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14:textFill>
            <w14:solidFill>
              <w14:schemeClr w14:val="tx1"/>
            </w14:solidFill>
          </w14:textFill>
        </w:rPr>
      </w:pPr>
      <w:r>
        <w:rPr>
          <w:rFonts w:ascii="Arial" w:hAnsi="Arial" w:eastAsia="黑体"/>
          <w:b/>
          <w:bCs/>
          <w:color w:val="000000" w:themeColor="text1"/>
          <w:sz w:val="84"/>
          <w:szCs w:val="24"/>
          <w14:textFill>
            <w14:solidFill>
              <w14:schemeClr w14:val="tx1"/>
            </w14:solidFill>
          </w14:textFill>
        </w:rPr>
      </w:r>
      <w:r/>
    </w:p>
    <w:p>
      <w:pPr>
        <w:jc w:val="center"/>
        <w:spacing w:before="120" w:after="120" w:line="360" w:lineRule="auto"/>
        <w:rPr>
          <w:rFonts w:ascii="Arial" w:hAnsi="Arial" w:eastAsia="黑体"/>
          <w:b/>
          <w:bCs/>
          <w:color w:val="000000" w:themeColor="text1"/>
          <w:sz w:val="84"/>
          <w:szCs w:val="24"/>
          <w14:textFill>
            <w14:solidFill>
              <w14:schemeClr w14:val="tx1"/>
            </w14:solidFill>
          </w14:textFill>
        </w:rPr>
      </w:pPr>
      <w:r>
        <w:rPr>
          <w:rFonts w:hint="eastAsia" w:ascii="Arial" w:hAnsi="Arial" w:eastAsia="黑体"/>
          <w:b/>
          <w:bCs/>
          <w:color w:val="000000" w:themeColor="text1"/>
          <w:sz w:val="84"/>
          <w:szCs w:val="24"/>
          <w14:textFill>
            <w14:solidFill>
              <w14:schemeClr w14:val="tx1"/>
            </w14:solidFill>
          </w14:textFill>
        </w:rPr>
        <w:t xml:space="preserve">竞争性磋商文件</w:t>
      </w:r>
      <w:r/>
    </w:p>
    <w:p>
      <w:pPr>
        <w:jc w:val="center"/>
        <w:spacing w:before="120" w:after="120" w:line="360" w:lineRule="auto"/>
        <w:rPr>
          <w:rFonts w:hint="eastAsia" w:ascii="Arial" w:hAnsi="Arial" w:eastAsia="宋体"/>
          <w:b/>
          <w:bCs/>
          <w:color w:val="000000" w:themeColor="text1"/>
          <w:sz w:val="32"/>
          <w:szCs w:val="24"/>
          <w:lang w:eastAsia="zh-CN"/>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     项目名称：</w:t>
      </w:r>
      <w:r>
        <w:rPr>
          <w:rFonts w:hint="eastAsia" w:ascii="Arial" w:hAnsi="Arial"/>
          <w:b/>
          <w:bCs/>
          <w:color w:val="000000" w:themeColor="text1"/>
          <w:sz w:val="32"/>
          <w:szCs w:val="24"/>
          <w:lang w:eastAsia="zh-CN"/>
          <w14:textFill>
            <w14:solidFill>
              <w14:schemeClr w14:val="tx1"/>
            </w14:solidFill>
          </w14:textFill>
        </w:rPr>
        <w:t xml:space="preserve">海安红星河片区、城区智慧管控系统提升项目</w:t>
      </w:r>
      <w:r/>
    </w:p>
    <w:p>
      <w:pPr>
        <w:ind w:firstLine="1285"/>
        <w:jc w:val="both"/>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项目编号：JSZC-320685-GZXM-C2026-0006</w:t>
      </w:r>
      <w:r/>
    </w:p>
    <w:p>
      <w:pPr>
        <w:ind w:firstLine="1470"/>
        <w:jc w:val="left"/>
        <w:spacing w:before="120" w:after="120" w:line="360" w:lineRule="auto"/>
        <w:rPr>
          <w:b/>
          <w:color w:val="000000" w:themeColor="text1"/>
          <w:sz w:val="30"/>
          <w:szCs w:val="30"/>
          <w14:textFill>
            <w14:solidFill>
              <w14:schemeClr w14:val="tx1"/>
            </w14:solidFill>
          </w14:textFill>
        </w:rPr>
      </w:pPr>
      <w:r>
        <w:rPr>
          <w:b/>
          <w:color w:val="000000" w:themeColor="text1"/>
          <w:sz w:val="30"/>
          <w:szCs w:val="30"/>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ascii="Arial" w:hAnsi="Arial"/>
          <w:b/>
          <w:bCs/>
          <w:color w:val="000000" w:themeColor="text1"/>
          <w:sz w:val="32"/>
          <w:szCs w:val="24"/>
          <w14:textFill>
            <w14:solidFill>
              <w14:schemeClr w14:val="tx1"/>
            </w14:solidFill>
          </w14:textFill>
        </w:rPr>
      </w:pPr>
      <w:r>
        <w:rPr>
          <w:rFonts w:ascii="Arial" w:hAnsi="Arial"/>
          <w:b/>
          <w:bCs/>
          <w:color w:val="000000" w:themeColor="text1"/>
          <w:sz w:val="32"/>
          <w:szCs w:val="24"/>
          <w14:textFill>
            <w14:solidFill>
              <w14:schemeClr w14:val="tx1"/>
            </w14:solidFill>
          </w14:textFill>
        </w:rPr>
      </w:r>
      <w:r/>
    </w:p>
    <w:p>
      <w:pPr>
        <w:jc w:val="center"/>
        <w:spacing w:before="120" w:after="120" w:line="360" w:lineRule="auto"/>
        <w:rPr>
          <w:rFonts w:hint="eastAsia" w:ascii="Arial" w:hAnsi="Arial" w:eastAsia="宋体"/>
          <w:b/>
          <w:bCs/>
          <w:color w:val="000000" w:themeColor="text1"/>
          <w:sz w:val="32"/>
          <w:szCs w:val="24"/>
          <w:lang w:eastAsia="zh-CN"/>
          <w14:textFill>
            <w14:solidFill>
              <w14:schemeClr w14:val="tx1"/>
            </w14:solidFill>
          </w14:textFill>
        </w:rPr>
      </w:pPr>
      <w:r>
        <w:rPr>
          <w:rFonts w:hint="eastAsia" w:ascii="Arial" w:hAnsi="Arial"/>
          <w:b/>
          <w:bCs/>
          <w:color w:val="000000" w:themeColor="text1"/>
          <w:sz w:val="32"/>
          <w:szCs w:val="24"/>
          <w:lang w:eastAsia="zh-CN"/>
          <w14:textFill>
            <w14:solidFill>
              <w14:schemeClr w14:val="tx1"/>
            </w14:solidFill>
          </w14:textFill>
        </w:rPr>
        <w:t xml:space="preserve">海安市水利局</w:t>
      </w:r>
      <w:r/>
    </w:p>
    <w:p>
      <w:pPr>
        <w:jc w:val="center"/>
        <w:spacing w:before="120" w:after="120" w:line="360" w:lineRule="auto"/>
        <w:rPr>
          <w:rFonts w:ascii="Arial" w:hAnsi="Arial"/>
          <w:color w:val="000000" w:themeColor="text1"/>
          <w:sz w:val="24"/>
          <w:szCs w:val="24"/>
          <w:u w:val="single"/>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2026年</w:t>
      </w:r>
      <w:r>
        <w:rPr>
          <w:rFonts w:hint="eastAsia" w:ascii="Arial" w:hAnsi="Arial"/>
          <w:b/>
          <w:bCs/>
          <w:color w:val="000000" w:themeColor="text1"/>
          <w:sz w:val="32"/>
          <w:szCs w:val="24"/>
          <w:lang w:val="en-US" w:eastAsia="zh-CN"/>
          <w14:textFill>
            <w14:solidFill>
              <w14:schemeClr w14:val="tx1"/>
            </w14:solidFill>
          </w14:textFill>
        </w:rPr>
        <w:t xml:space="preserve">10</w:t>
      </w:r>
      <w:r>
        <w:rPr>
          <w:rFonts w:hint="eastAsia" w:ascii="Arial" w:hAnsi="Arial"/>
          <w:b/>
          <w:bCs/>
          <w:color w:val="000000" w:themeColor="text1"/>
          <w:sz w:val="32"/>
          <w:szCs w:val="24"/>
          <w14:textFill>
            <w14:solidFill>
              <w14:schemeClr w14:val="tx1"/>
            </w14:solidFill>
          </w14:textFill>
        </w:rPr>
        <w:t xml:space="preserve">月</w:t>
      </w:r>
      <w:r>
        <w:rPr>
          <w:rFonts w:hint="eastAsia" w:ascii="Arial" w:hAnsi="Arial"/>
          <w:b/>
          <w:bCs/>
          <w:color w:val="000000" w:themeColor="text1"/>
          <w:sz w:val="32"/>
          <w:szCs w:val="24"/>
          <w:lang w:val="en-US" w:eastAsia="zh-CN"/>
          <w14:textFill>
            <w14:solidFill>
              <w14:schemeClr w14:val="tx1"/>
            </w14:solidFill>
          </w14:textFill>
        </w:rPr>
        <w:t xml:space="preserve">10</w:t>
      </w:r>
      <w:r>
        <w:rPr>
          <w:rFonts w:hint="eastAsia" w:ascii="Arial" w:hAnsi="Arial"/>
          <w:b/>
          <w:bCs/>
          <w:color w:val="000000" w:themeColor="text1"/>
          <w:sz w:val="32"/>
          <w:szCs w:val="24"/>
          <w14:textFill>
            <w14:solidFill>
              <w14:schemeClr w14:val="tx1"/>
            </w14:solidFill>
          </w14:textFill>
        </w:rPr>
        <w:t xml:space="preserve">日</w:t>
      </w:r>
      <w:r/>
    </w:p>
    <w:p>
      <w:pPr>
        <w:jc w:val="center"/>
        <w:spacing w:line="480" w:lineRule="auto"/>
        <w:rPr>
          <w:color w:val="000000" w:themeColor="text1"/>
          <w:szCs w:val="21"/>
          <w14:textFill>
            <w14:solidFill>
              <w14:schemeClr w14:val="tx1"/>
            </w14:solidFill>
          </w14:textFill>
        </w:rPr>
        <w:outlineLvl w:val="0"/>
      </w:pPr>
      <w:r>
        <w:rPr>
          <w:color w:val="000000" w:themeColor="text1"/>
          <w:szCs w:val="21"/>
          <w14:textFill>
            <w14:solidFill>
              <w14:schemeClr w14:val="tx1"/>
            </w14:solidFill>
          </w14:textFill>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
    </w:p>
    <w:p>
      <w:pPr>
        <w:jc w:val="center"/>
        <w:spacing w:line="480" w:lineRule="auto"/>
        <w:rPr>
          <w:rFonts w:ascii="黑体" w:hAnsi="Arial" w:eastAsia="黑体"/>
          <w:b/>
          <w:color w:val="000000" w:themeColor="text1"/>
          <w:sz w:val="44"/>
          <w:szCs w:val="21"/>
          <w14:textFill>
            <w14:solidFill>
              <w14:schemeClr w14:val="tx1"/>
            </w14:solidFill>
          </w14:textFill>
        </w:rPr>
        <w:outlineLvl w:val="0"/>
      </w:pPr>
      <w:r>
        <w:rPr>
          <w:rFonts w:hint="eastAsia" w:ascii="黑体" w:hAnsi="Arial" w:eastAsia="黑体"/>
          <w:b/>
          <w:color w:val="000000" w:themeColor="text1"/>
          <w:sz w:val="44"/>
          <w:szCs w:val="21"/>
          <w14:textFill>
            <w14:solidFill>
              <w14:schemeClr w14:val="tx1"/>
            </w14:solidFill>
          </w14:textFill>
        </w:rPr>
        <w:t xml:space="preserve">总  目  录</w:t>
      </w:r>
      <w:r/>
    </w:p>
    <w:p>
      <w:pPr>
        <w:spacing w:line="480" w:lineRule="auto"/>
        <w:rPr>
          <w:rFonts w:ascii="仿宋_GB2312" w:hAnsi="Arial" w:eastAsia="仿宋_GB2312"/>
          <w:b/>
          <w:color w:val="000000" w:themeColor="text1"/>
          <w:sz w:val="28"/>
          <w:szCs w:val="21"/>
          <w14:textFill>
            <w14:solidFill>
              <w14:schemeClr w14:val="tx1"/>
            </w14:solidFill>
          </w14:textFill>
        </w:rPr>
      </w:pPr>
      <w:r>
        <w:rPr>
          <w:rFonts w:ascii="仿宋_GB2312" w:hAnsi="Arial" w:eastAsia="仿宋_GB2312"/>
          <w:b/>
          <w:color w:val="000000" w:themeColor="text1"/>
          <w:sz w:val="28"/>
          <w:szCs w:val="21"/>
          <w14:textFill>
            <w14:solidFill>
              <w14:schemeClr w14:val="tx1"/>
            </w14:solidFill>
          </w14:textFill>
        </w:rPr>
      </w:r>
      <w:r/>
    </w:p>
    <w:p>
      <w:pPr>
        <w:numPr>
          <w:ilvl w:val="0"/>
          <w:numId w:val="4"/>
        </w:numPr>
        <w:spacing w:line="480" w:lineRule="auto"/>
        <w:rPr>
          <w:rFonts w:ascii="黑体" w:hAnsi="Showcard Gothic" w:eastAsia="黑体"/>
          <w:color w:val="000000" w:themeColor="text1"/>
          <w:sz w:val="32"/>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磋商邀请</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供应商须知</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采购需求</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bCs/>
          <w:color w:val="000000" w:themeColor="text1"/>
          <w:sz w:val="36"/>
          <w:szCs w:val="36"/>
          <w14:textFill>
            <w14:solidFill>
              <w14:schemeClr w14:val="tx1"/>
            </w14:solidFill>
          </w14:textFill>
        </w:rPr>
        <w:t xml:space="preserve">评审方法与评审标准</w:t>
      </w:r>
      <w:r/>
    </w:p>
    <w:p>
      <w:pPr>
        <w:numPr>
          <w:ilvl w:val="0"/>
          <w:numId w:val="4"/>
        </w:numPr>
        <w:spacing w:line="480" w:lineRule="auto"/>
        <w:rPr>
          <w:rFonts w:ascii="黑体" w:hAnsi="Showcard Gothic" w:eastAsia="黑体"/>
          <w:color w:val="000000" w:themeColor="text1"/>
          <w:sz w:val="36"/>
          <w:szCs w:val="21"/>
          <w14:textFill>
            <w14:solidFill>
              <w14:schemeClr w14:val="tx1"/>
            </w14:solidFill>
          </w14:textFill>
        </w:rPr>
        <w:outlineLvl w:val="0"/>
      </w:pPr>
      <w:r>
        <w:rPr>
          <w:rFonts w:hint="eastAsia" w:ascii="黑体" w:hAnsi="宋体" w:eastAsia="黑体"/>
          <w:color w:val="000000" w:themeColor="text1"/>
          <w:sz w:val="36"/>
          <w:szCs w:val="21"/>
          <w14:textFill>
            <w14:solidFill>
              <w14:schemeClr w14:val="tx1"/>
            </w14:solidFill>
          </w14:textFill>
        </w:rPr>
        <w:t xml:space="preserve">响应文件格式</w:t>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keepNext/>
        <w:spacing w:line="560" w:lineRule="exact"/>
        <w:rPr>
          <w:rFonts w:ascii="黑体" w:eastAsia="黑体"/>
          <w:bCs/>
          <w:color w:val="000000" w:themeColor="text1"/>
          <w:sz w:val="44"/>
          <w:szCs w:val="44"/>
          <w14:textFill>
            <w14:solidFill>
              <w14:schemeClr w14:val="tx1"/>
            </w14:solidFill>
          </w14:textFill>
        </w:rPr>
        <w:outlineLvl w:val="0"/>
      </w:pPr>
      <w:r>
        <w:rPr>
          <w:rFonts w:hint="eastAsia" w:ascii="黑体" w:eastAsia="黑体"/>
          <w:color w:val="000000" w:themeColor="text1"/>
          <w:sz w:val="44"/>
          <w:szCs w:val="44"/>
          <w14:textFill>
            <w14:solidFill>
              <w14:schemeClr w14:val="tx1"/>
            </w14:solidFill>
          </w14:textFill>
        </w:rPr>
        <w:t xml:space="preserve">第一章  </w:t>
      </w:r>
      <w:bookmarkEnd w:id="0"/>
      <w:r>
        <w:rPr>
          <w:rFonts w:hint="eastAsia" w:ascii="黑体" w:eastAsia="黑体"/>
          <w:color w:val="000000" w:themeColor="text1"/>
          <w:sz w:val="44"/>
          <w:szCs w:val="44"/>
          <w14:textFill>
            <w14:solidFill>
              <w14:schemeClr w14:val="tx1"/>
            </w14:solidFill>
          </w14:textFill>
        </w:rPr>
        <w:t xml:space="preserve">磋商邀请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受</w:t>
      </w:r>
      <w:r>
        <w:rPr>
          <w:rFonts w:hint="eastAsia" w:ascii="宋体" w:hAnsi="宋体"/>
          <w:color w:val="000000" w:themeColor="text1"/>
          <w:sz w:val="24"/>
          <w:szCs w:val="24"/>
          <w:lang w:eastAsia="zh-CN"/>
          <w14:textFill>
            <w14:solidFill>
              <w14:schemeClr w14:val="tx1"/>
            </w14:solidFill>
          </w14:textFill>
        </w:rPr>
        <w:t xml:space="preserve">海安市水利局</w:t>
      </w:r>
      <w:r>
        <w:rPr>
          <w:rFonts w:hint="eastAsia" w:ascii="宋体" w:hAnsi="宋体"/>
          <w:color w:val="000000" w:themeColor="text1"/>
          <w:sz w:val="24"/>
          <w:szCs w:val="24"/>
          <w14:textFill>
            <w14:solidFill>
              <w14:schemeClr w14:val="tx1"/>
            </w14:solidFill>
          </w14:textFill>
        </w:rPr>
        <w:t xml:space="preserve">的委托，</w:t>
      </w:r>
      <w:r>
        <w:rPr>
          <w:rFonts w:hint="eastAsia" w:ascii="宋体" w:hAnsi="宋体"/>
          <w:color w:val="000000" w:themeColor="text1"/>
          <w:sz w:val="24"/>
          <w:szCs w:val="24"/>
          <w:lang w:eastAsia="zh-CN"/>
          <w14:textFill>
            <w14:solidFill>
              <w14:schemeClr w14:val="tx1"/>
            </w14:solidFill>
          </w14:textFill>
        </w:rPr>
        <w:t xml:space="preserve">国咨项目管理有限公司</w:t>
      </w:r>
      <w:r>
        <w:rPr>
          <w:rFonts w:hint="eastAsia" w:ascii="宋体" w:hAnsi="宋体"/>
          <w:color w:val="000000" w:themeColor="text1"/>
          <w:sz w:val="24"/>
          <w:szCs w:val="24"/>
          <w14:textFill>
            <w14:solidFill>
              <w14:schemeClr w14:val="tx1"/>
            </w14:solidFill>
          </w14:textFill>
        </w:rPr>
        <w:t xml:space="preserve">就</w:t>
      </w:r>
      <w:r>
        <w:rPr>
          <w:rFonts w:hint="eastAsia" w:ascii="宋体" w:hAnsi="宋体"/>
          <w:color w:val="000000" w:themeColor="text1"/>
          <w:sz w:val="24"/>
          <w:szCs w:val="24"/>
          <w:lang w:eastAsia="zh-CN"/>
          <w14:textFill>
            <w14:solidFill>
              <w14:schemeClr w14:val="tx1"/>
            </w14:solidFill>
          </w14:textFill>
        </w:rPr>
        <w:t xml:space="preserve">海安红星河片区、城区智慧管控系统提升项目</w:t>
      </w:r>
      <w:r>
        <w:rPr>
          <w:rFonts w:hint="eastAsia" w:ascii="宋体" w:hAnsi="宋体"/>
          <w:color w:val="000000" w:themeColor="text1"/>
          <w:sz w:val="24"/>
          <w:szCs w:val="24"/>
          <w14:textFill>
            <w14:solidFill>
              <w14:schemeClr w14:val="tx1"/>
            </w14:solidFill>
          </w14:textFill>
        </w:rPr>
        <w:t xml:space="preserve">（项目编号：JSZC-320685-GZXM-C2026-0006）项目进行竞争性磋商采购，欢迎符合条件的供应商参加磋商。</w:t>
      </w:r>
      <w:r/>
    </w:p>
    <w:p>
      <w:pPr>
        <w:ind w:firstLine="480"/>
        <w:spacing w:line="360" w:lineRule="auto"/>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14:textFill>
            <w14:solidFill>
              <w14:schemeClr w14:val="tx1"/>
            </w14:solidFill>
          </w14:textFill>
        </w:rPr>
        <w:t xml:space="preserve">项目概况</w:t>
      </w:r>
      <w:r/>
    </w:p>
    <w:p>
      <w:pPr>
        <w:ind w:firstLine="480"/>
        <w:spacing w:line="360" w:lineRule="auto"/>
        <w:rPr>
          <w:rFonts w:ascii="宋体" w:hAnsi="宋体"/>
          <w:color w:val="000000" w:themeColor="text1"/>
          <w:sz w:val="24"/>
          <w:szCs w:val="24"/>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lang w:eastAsia="zh-CN"/>
          <w14:textFill>
            <w14:solidFill>
              <w14:schemeClr w14:val="tx1"/>
            </w14:solidFill>
          </w14:textFill>
        </w:rPr>
        <w:t xml:space="preserve">海安红星河片区、城区智慧管控系统提升项目</w:t>
      </w:r>
      <w:r>
        <w:rPr>
          <w:rFonts w:hint="eastAsia" w:ascii="宋体" w:hAnsi="宋体"/>
          <w:color w:val="000000" w:themeColor="text1"/>
          <w:sz w:val="24"/>
          <w:szCs w:val="24"/>
          <w14:textFill>
            <w14:solidFill>
              <w14:schemeClr w14:val="tx1"/>
            </w14:solidFill>
          </w14:textFill>
        </w:rPr>
        <w:t xml:space="preserve">竞争性磋商项目的潜在供应商可在</w:t>
      </w:r>
      <w:r>
        <w:rPr>
          <w:rFonts w:hint="eastAsia" w:ascii="宋体" w:hAnsi="宋体"/>
          <w:color w:val="000000" w:themeColor="text1"/>
          <w:sz w:val="24"/>
          <w:szCs w:val="24"/>
          <w:u w:val="single"/>
          <w14:textFill>
            <w14:solidFill>
              <w14:schemeClr w14:val="tx1"/>
            </w14:solidFill>
          </w14:textFill>
        </w:rPr>
        <w:t xml:space="preserve">“江苏政府采购网”自行免费下载</w:t>
      </w:r>
      <w:r>
        <w:rPr>
          <w:rFonts w:hint="eastAsia" w:ascii="宋体" w:hAnsi="宋体"/>
          <w:color w:val="000000" w:themeColor="text1"/>
          <w:sz w:val="24"/>
          <w:szCs w:val="24"/>
          <w14:textFill>
            <w14:solidFill>
              <w14:schemeClr w14:val="tx1"/>
            </w14:solidFill>
          </w14:textFill>
        </w:rPr>
        <w:t xml:space="preserve">磋商文件，并于</w:t>
      </w:r>
      <w:r>
        <w:rPr>
          <w:rFonts w:ascii="宋体" w:hAnsi="宋体"/>
          <w:color w:val="000000" w:themeColor="text1"/>
          <w:sz w:val="24"/>
          <w:szCs w:val="24"/>
          <w:u w:val="single"/>
          <w14:textFill>
            <w14:solidFill>
              <w14:schemeClr w14:val="tx1"/>
            </w14:solidFill>
          </w14:textFill>
        </w:rPr>
        <w:t xml:space="preserve">202</w:t>
      </w:r>
      <w:r>
        <w:rPr>
          <w:rFonts w:hint="eastAsia" w:ascii="宋体" w:hAnsi="宋体"/>
          <w:color w:val="000000" w:themeColor="text1"/>
          <w:sz w:val="24"/>
          <w:szCs w:val="24"/>
          <w:u w:val="single"/>
          <w14:textFill>
            <w14:solidFill>
              <w14:schemeClr w14:val="tx1"/>
            </w14:solidFill>
          </w14:textFill>
        </w:rPr>
        <w:t xml:space="preserve">6</w:t>
      </w:r>
      <w:r>
        <w:rPr>
          <w:rFonts w:hint="eastAsia" w:ascii="宋体" w:hAnsi="宋体"/>
          <w:bCs/>
          <w:color w:val="000000" w:themeColor="text1"/>
          <w:sz w:val="24"/>
          <w:szCs w:val="24"/>
          <w:u w:val="single"/>
          <w14:textFill>
            <w14:solidFill>
              <w14:schemeClr w14:val="tx1"/>
            </w14:solidFill>
          </w14:textFill>
        </w:rPr>
        <w:t xml:space="preserve">年</w:t>
      </w:r>
      <w:r>
        <w:rPr>
          <w:rFonts w:hint="eastAsia" w:ascii="宋体" w:hAnsi="宋体"/>
          <w:bCs/>
          <w:color w:val="000000" w:themeColor="text1"/>
          <w:sz w:val="24"/>
          <w:szCs w:val="24"/>
          <w:u w:val="single"/>
          <w:lang w:val="en-US" w:eastAsia="zh-CN"/>
          <w14:textFill>
            <w14:solidFill>
              <w14:schemeClr w14:val="tx1"/>
            </w14:solidFill>
          </w14:textFill>
        </w:rPr>
        <w:t xml:space="preserve">10</w:t>
      </w:r>
      <w:r>
        <w:rPr>
          <w:rFonts w:hint="eastAsia" w:ascii="宋体" w:hAnsi="宋体"/>
          <w:bCs/>
          <w:color w:val="000000" w:themeColor="text1"/>
          <w:sz w:val="24"/>
          <w:szCs w:val="24"/>
          <w:u w:val="single"/>
          <w14:textFill>
            <w14:solidFill>
              <w14:schemeClr w14:val="tx1"/>
            </w14:solidFill>
          </w14:textFill>
        </w:rPr>
        <w:t xml:space="preserve">月</w:t>
      </w:r>
      <w:r>
        <w:rPr>
          <w:rFonts w:hint="eastAsia" w:ascii="宋体" w:hAnsi="宋体"/>
          <w:bCs/>
          <w:color w:val="000000" w:themeColor="text1"/>
          <w:sz w:val="24"/>
          <w:szCs w:val="24"/>
          <w:u w:val="single"/>
          <w:lang w:val="en-US" w:eastAsia="zh-CN"/>
          <w14:textFill>
            <w14:solidFill>
              <w14:schemeClr w14:val="tx1"/>
            </w14:solidFill>
          </w14:textFill>
        </w:rPr>
        <w:t xml:space="preserve">20</w:t>
      </w:r>
      <w:r>
        <w:rPr>
          <w:rFonts w:hint="eastAsia" w:ascii="宋体" w:hAnsi="宋体"/>
          <w:bCs/>
          <w:color w:val="000000" w:themeColor="text1"/>
          <w:sz w:val="24"/>
          <w:szCs w:val="24"/>
          <w:u w:val="single"/>
          <w14:textFill>
            <w14:solidFill>
              <w14:schemeClr w14:val="tx1"/>
            </w14:solidFill>
          </w14:textFill>
        </w:rPr>
        <w:t xml:space="preserve">日</w:t>
      </w:r>
      <w:r>
        <w:rPr>
          <w:rFonts w:hint="eastAsia" w:ascii="宋体" w:hAnsi="宋体"/>
          <w:bCs/>
          <w:color w:val="000000" w:themeColor="text1"/>
          <w:sz w:val="24"/>
          <w:szCs w:val="24"/>
          <w:u w:val="single"/>
          <w:lang w:val="en-US" w:eastAsia="zh-CN"/>
          <w14:textFill>
            <w14:solidFill>
              <w14:schemeClr w14:val="tx1"/>
            </w14:solidFill>
          </w14:textFill>
        </w:rPr>
        <w:t xml:space="preserve">09</w:t>
      </w:r>
      <w:r>
        <w:rPr>
          <w:rFonts w:hint="eastAsia" w:ascii="宋体" w:hAnsi="宋体"/>
          <w:bCs/>
          <w:color w:val="000000" w:themeColor="text1"/>
          <w:sz w:val="24"/>
          <w:szCs w:val="24"/>
          <w:u w:val="single"/>
          <w14:textFill>
            <w14:solidFill>
              <w14:schemeClr w14:val="tx1"/>
            </w14:solidFill>
          </w14:textFill>
        </w:rPr>
        <w:t xml:space="preserve">点</w:t>
      </w:r>
      <w:r>
        <w:rPr>
          <w:rFonts w:hint="eastAsia" w:ascii="宋体" w:hAnsi="宋体"/>
          <w:bCs/>
          <w:color w:val="000000" w:themeColor="text1"/>
          <w:sz w:val="24"/>
          <w:szCs w:val="24"/>
          <w:u w:val="single"/>
          <w:lang w:val="en-US" w:eastAsia="zh-CN"/>
          <w14:textFill>
            <w14:solidFill>
              <w14:schemeClr w14:val="tx1"/>
            </w14:solidFill>
          </w14:textFill>
        </w:rPr>
        <w:t xml:space="preserve">00</w:t>
      </w:r>
      <w:r>
        <w:rPr>
          <w:rFonts w:hint="eastAsia" w:ascii="宋体" w:hAnsi="宋体"/>
          <w:bCs/>
          <w:color w:val="000000" w:themeColor="text1"/>
          <w:sz w:val="24"/>
          <w:szCs w:val="24"/>
          <w:u w:val="singl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北京时间）前递交响应文件</w:t>
      </w:r>
      <w:r>
        <w:rPr>
          <w:rFonts w:hint="eastAsia" w:ascii="宋体" w:hAnsi="宋体"/>
          <w:color w:val="000000" w:themeColor="text1"/>
          <w:sz w:val="24"/>
          <w:szCs w:val="24"/>
          <w14:textFill>
            <w14:solidFill>
              <w14:schemeClr w14:val="tx1"/>
            </w14:solidFill>
          </w14:textFill>
        </w:rPr>
        <w:t xml:space="preserve">。</w:t>
      </w:r>
      <w:r/>
    </w:p>
    <w:p>
      <w:pPr>
        <w:ind w:firstLine="498"/>
        <w:keepLines/>
        <w:keepNext/>
        <w:spacing w:line="360" w:lineRule="auto"/>
        <w:rPr>
          <w:b/>
          <w:bCs/>
          <w:color w:val="000000" w:themeColor="text1"/>
          <w:sz w:val="32"/>
          <w:szCs w:val="32"/>
          <w14:textFill>
            <w14:solidFill>
              <w14:schemeClr w14:val="tx1"/>
            </w14:solidFill>
          </w14:textFill>
        </w:rPr>
        <w:outlineLvl w:val="2"/>
      </w:pPr>
      <w:r/>
      <w:bookmarkStart w:id="6" w:name="_Toc35393790"/>
      <w:r/>
      <w:bookmarkStart w:id="7" w:name="_Toc38985263"/>
      <w:r/>
      <w:bookmarkStart w:id="8" w:name="_Toc28359002"/>
      <w:r/>
      <w:bookmarkStart w:id="9" w:name="_Hlk24379207"/>
      <w:r/>
      <w:bookmarkStart w:id="10" w:name="_Toc35393621"/>
      <w:r/>
      <w:bookmarkStart w:id="11" w:name="_Toc28359079"/>
      <w:r>
        <w:rPr>
          <w:rFonts w:hint="eastAsia"/>
          <w:b/>
          <w:bCs/>
          <w:color w:val="000000" w:themeColor="text1"/>
          <w:sz w:val="32"/>
          <w:szCs w:val="32"/>
          <w14:textFill>
            <w14:solidFill>
              <w14:schemeClr w14:val="tx1"/>
            </w14:solidFill>
          </w14:textFill>
        </w:rPr>
        <w:t xml:space="preserve">一、项目基本情况</w:t>
      </w:r>
      <w:bookmarkEnd w:id="6"/>
      <w:r/>
      <w:bookmarkEnd w:id="7"/>
      <w:r/>
      <w:bookmarkEnd w:id="8"/>
      <w:r/>
      <w:bookmarkEnd w:id="9"/>
      <w:r/>
      <w:bookmarkEnd w:id="10"/>
      <w:r/>
      <w:bookmarkEnd w:id="11"/>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1.项目编号：JSZC-320685-GZXM-C2026-0006</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2.项目名称：</w:t>
      </w:r>
      <w:r>
        <w:rPr>
          <w:rFonts w:hint="eastAsia" w:ascii="宋体" w:hAnsi="宋体"/>
          <w:color w:val="000000" w:themeColor="text1"/>
          <w:sz w:val="24"/>
          <w:szCs w:val="24"/>
          <w:lang w:eastAsia="zh-CN"/>
          <w14:textFill>
            <w14:solidFill>
              <w14:schemeClr w14:val="tx1"/>
            </w14:solidFill>
          </w14:textFill>
        </w:rPr>
        <w:t xml:space="preserve">海安红星河片区、城区智慧管控系统提升项目</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3.项目类型：</w:t>
      </w:r>
      <w:r>
        <w:rPr>
          <w:rFonts w:hint="eastAsia" w:ascii="宋体" w:hAnsi="宋体"/>
          <w:color w:val="000000" w:themeColor="text1"/>
          <w:sz w:val="24"/>
          <w:szCs w:val="24"/>
          <w:lang w:val="en-US" w:eastAsia="zh-CN"/>
          <w14:textFill>
            <w14:solidFill>
              <w14:schemeClr w14:val="tx1"/>
            </w14:solidFill>
          </w14:textFill>
        </w:rPr>
        <w:t xml:space="preserve">货物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4.项目行业：工业</w:t>
      </w:r>
      <w:r/>
    </w:p>
    <w:p>
      <w:pPr>
        <w:ind w:firstLine="480"/>
        <w:spacing w:line="360" w:lineRule="auto"/>
        <w:rPr>
          <w:rFonts w:ascii="宋体" w:hAnsi="宋体"/>
          <w:color w:val="000000" w:themeColor="text1"/>
          <w:sz w:val="24"/>
          <w:szCs w:val="24"/>
          <w14:textFill>
            <w14:solidFill>
              <w14:schemeClr w14:val="tx1"/>
            </w14:solidFill>
          </w14:textFill>
        </w:rPr>
      </w:pPr>
      <w:r/>
      <w:bookmarkStart w:id="12" w:name="OLE_LINK10"/>
      <w:r/>
      <w:bookmarkStart w:id="13" w:name="OLE_LINK9"/>
      <w:r>
        <w:rPr>
          <w:rFonts w:hint="eastAsia" w:ascii="宋体" w:hAnsi="宋体"/>
          <w:color w:val="000000" w:themeColor="text1"/>
          <w:sz w:val="24"/>
          <w:szCs w:val="24"/>
          <w:lang w:val="en-US"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.最高限价：</w:t>
      </w:r>
      <w:r>
        <w:rPr>
          <w:rFonts w:hint="eastAsia" w:ascii="宋体" w:hAnsi="宋体"/>
          <w:color w:val="000000" w:themeColor="text1"/>
          <w:sz w:val="24"/>
          <w:szCs w:val="24"/>
          <w:lang w:val="en-US" w:eastAsia="zh-CN"/>
          <w14:textFill>
            <w14:solidFill>
              <w14:schemeClr w14:val="tx1"/>
            </w14:solidFill>
          </w14:textFill>
        </w:rPr>
        <w:t xml:space="preserve">186</w:t>
      </w:r>
      <w:r>
        <w:rPr>
          <w:rFonts w:hint="eastAsia" w:ascii="宋体" w:hAnsi="宋体"/>
          <w:color w:val="000000" w:themeColor="text1"/>
          <w:sz w:val="24"/>
          <w:szCs w:val="24"/>
          <w14:textFill>
            <w14:solidFill>
              <w14:schemeClr w14:val="tx1"/>
            </w14:solidFill>
          </w14:textFill>
        </w:rPr>
        <w:t xml:space="preserve">万元</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报价超过最高限价的将作为无效响应处理。</w:t>
      </w:r>
      <w:bookmarkEnd w:id="12"/>
      <w:r/>
      <w:bookmarkEnd w:id="13"/>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.采购需求：</w:t>
      </w:r>
      <w:bookmarkStart w:id="14" w:name="OLE_LINK3"/>
      <w:r/>
      <w:bookmarkStart w:id="15" w:name="OLE_LINK4"/>
      <w:r>
        <w:rPr>
          <w:rFonts w:hint="eastAsia" w:ascii="宋体" w:hAnsi="宋体"/>
          <w:color w:val="000000" w:themeColor="text1"/>
          <w:sz w:val="24"/>
          <w:szCs w:val="24"/>
          <w14:textFill>
            <w14:solidFill>
              <w14:schemeClr w14:val="tx1"/>
            </w14:solidFill>
          </w14:textFill>
        </w:rPr>
        <w:t xml:space="preserve">详细内容见本采购文件第三章，请仔细研究。</w:t>
      </w:r>
      <w:bookmarkEnd w:id="14"/>
      <w:r/>
      <w:bookmarkEnd w:id="15"/>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.合同履行期限：详见磋商文件。</w:t>
      </w:r>
      <w:r/>
    </w:p>
    <w:p>
      <w:pPr>
        <w:ind w:firstLine="498"/>
        <w:keepLines/>
        <w:keepNext/>
        <w:spacing w:line="360" w:lineRule="auto"/>
        <w:rPr>
          <w:b/>
          <w:bCs/>
          <w:color w:val="000000" w:themeColor="text1"/>
          <w:sz w:val="32"/>
          <w:szCs w:val="32"/>
          <w14:textFill>
            <w14:solidFill>
              <w14:schemeClr w14:val="tx1"/>
            </w14:solidFill>
          </w14:textFill>
        </w:rPr>
        <w:outlineLvl w:val="2"/>
      </w:pPr>
      <w:r/>
      <w:bookmarkStart w:id="16" w:name="_Toc35393622"/>
      <w:r/>
      <w:bookmarkStart w:id="17" w:name="_Toc28359003"/>
      <w:r/>
      <w:bookmarkStart w:id="18" w:name="_Toc38985264"/>
      <w:r/>
      <w:bookmarkStart w:id="19" w:name="_Toc28359080"/>
      <w:r/>
      <w:bookmarkStart w:id="20" w:name="_Toc35393791"/>
      <w:r>
        <w:rPr>
          <w:rFonts w:hint="eastAsia"/>
          <w:b/>
          <w:bCs/>
          <w:color w:val="000000" w:themeColor="text1"/>
          <w:sz w:val="32"/>
          <w:szCs w:val="32"/>
          <w14:textFill>
            <w14:solidFill>
              <w14:schemeClr w14:val="tx1"/>
            </w14:solidFill>
          </w14:textFill>
        </w:rPr>
        <w:t xml:space="preserve">二、申请人的资格要求：</w:t>
      </w:r>
      <w:bookmarkEnd w:id="16"/>
      <w:r/>
      <w:bookmarkEnd w:id="17"/>
      <w:r/>
      <w:bookmarkEnd w:id="18"/>
      <w:r/>
      <w:bookmarkEnd w:id="19"/>
      <w:r/>
      <w:bookmarkEnd w:id="20"/>
      <w:r/>
      <w:r/>
    </w:p>
    <w:p>
      <w:pPr>
        <w:ind w:firstLine="480"/>
        <w:spacing w:line="360" w:lineRule="auto"/>
        <w:rPr>
          <w:rFonts w:ascii="宋体" w:hAnsi="宋体"/>
          <w:color w:val="000000" w:themeColor="text1"/>
          <w:sz w:val="24"/>
          <w:szCs w:val="24"/>
          <w14:textFill>
            <w14:solidFill>
              <w14:schemeClr w14:val="tx1"/>
            </w14:solidFill>
          </w14:textFill>
        </w:rPr>
      </w:pPr>
      <w:r/>
      <w:bookmarkStart w:id="21" w:name="_Toc35393623"/>
      <w:r/>
      <w:bookmarkStart w:id="22" w:name="_Toc35393792"/>
      <w:r/>
      <w:bookmarkStart w:id="23" w:name="_Toc38985265"/>
      <w:r/>
      <w:bookmarkStart w:id="24" w:name="_Toc28359081"/>
      <w:r/>
      <w:bookmarkStart w:id="25" w:name="_Toc28359004"/>
      <w:r>
        <w:rPr>
          <w:rFonts w:hint="eastAsia" w:ascii="宋体" w:hAnsi="宋体"/>
          <w:color w:val="000000" w:themeColor="text1"/>
          <w:sz w:val="24"/>
          <w:szCs w:val="24"/>
          <w14:textFill>
            <w14:solidFill>
              <w14:schemeClr w14:val="tx1"/>
            </w14:solidFill>
          </w14:textFill>
        </w:rPr>
        <w:t xml:space="preserve">（一）通用资格要求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360" w:lineRule="auto"/>
        <w:rPr>
          <w:rFonts w:ascii="宋体" w:hAnsi="宋体"/>
          <w:color w:val="000000" w:themeColor="text1"/>
          <w:sz w:val="24"/>
          <w:szCs w:val="24"/>
          <w14:textFill>
            <w14:solidFill>
              <w14:schemeClr w14:val="tx1"/>
            </w14:solidFill>
          </w14:textFill>
        </w:rPr>
      </w:pPr>
      <w:r/>
      <w:bookmarkStart w:id="26" w:name="OLE_LINK7"/>
      <w:r/>
      <w:bookmarkStart w:id="27" w:name="OLE_LINK8"/>
      <w:r>
        <w:rPr>
          <w:rFonts w:hint="eastAsia" w:ascii="宋体" w:hAnsi="宋体"/>
          <w:color w:val="000000" w:themeColor="text1"/>
          <w:sz w:val="24"/>
          <w:szCs w:val="24"/>
          <w14:textFill>
            <w14:solidFill>
              <w14:schemeClr w14:val="tx1"/>
            </w14:solidFill>
          </w14:textFill>
        </w:rPr>
        <w:t xml:space="preserve">（1）</w:t>
      </w:r>
      <w:bookmarkEnd w:id="26"/>
      <w:r/>
      <w:bookmarkEnd w:id="27"/>
      <w:r>
        <w:rPr>
          <w:rFonts w:hint="eastAsia" w:ascii="宋体" w:hAnsi="宋体"/>
          <w:color w:val="000000" w:themeColor="text1"/>
          <w:sz w:val="24"/>
          <w:szCs w:val="24"/>
          <w14:textFill>
            <w14:solidFill>
              <w14:schemeClr w14:val="tx1"/>
            </w14:solidFill>
          </w14:textFill>
        </w:rPr>
        <w:t xml:space="preserve">法人或者其他组织的营业执照等证明文件，自然人的身份证明；（提供营业执照复印件）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（2）上一年度的财务状况报告（成立不满一年不需提供）；</w:t>
      </w:r>
      <w:bookmarkStart w:id="28" w:name="OLE_LINK18"/>
      <w:r>
        <w:rPr>
          <w:rFonts w:hint="eastAsia" w:ascii="宋体" w:hAnsi="宋体"/>
          <w:color w:val="000000" w:themeColor="text1"/>
          <w:sz w:val="24"/>
          <w:szCs w:val="24"/>
          <w14:textFill>
            <w14:solidFill>
              <w14:schemeClr w14:val="tx1"/>
            </w14:solidFill>
          </w14:textFill>
        </w:rPr>
        <w:t xml:space="preserve">(提供参加本次开标前的会计报表，必须含资产负债表、利润表等证明材料)；</w:t>
      </w:r>
      <w:bookmarkEnd w:id="2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（3）依法缴纳税收和社会保障资金的相关材料（</w:t>
      </w:r>
      <w:bookmarkStart w:id="29" w:name="OLE_LINK19"/>
      <w:r>
        <w:rPr>
          <w:rFonts w:hint="eastAsia" w:ascii="宋体" w:hAnsi="宋体"/>
          <w:color w:val="000000" w:themeColor="text1"/>
          <w:sz w:val="24"/>
          <w:szCs w:val="24"/>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bookmarkEnd w:id="29"/>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（4）具备履行合同所必需的设备和专业技术能力的证明材料；（</w:t>
      </w:r>
      <w:bookmarkStart w:id="30" w:name="OLE_LINK20"/>
      <w:r/>
      <w:bookmarkStart w:id="31" w:name="OLE_LINK21"/>
      <w:r>
        <w:rPr>
          <w:rFonts w:hint="eastAsia" w:ascii="宋体" w:hAnsi="宋体"/>
          <w:color w:val="000000" w:themeColor="text1"/>
          <w:sz w:val="24"/>
          <w:szCs w:val="24"/>
          <w14:textFill>
            <w14:solidFill>
              <w14:schemeClr w14:val="tx1"/>
            </w14:solidFill>
          </w14:textFill>
        </w:rPr>
        <w:t xml:space="preserve">格式见附件</w:t>
      </w:r>
      <w:bookmarkEnd w:id="30"/>
      <w:r/>
      <w:bookmarkEnd w:id="31"/>
      <w:r>
        <w:rPr>
          <w:rFonts w:hint="eastAsia" w:ascii="宋体" w:hAnsi="宋体"/>
          <w:color w:val="000000" w:themeColor="text1"/>
          <w:sz w:val="24"/>
          <w:szCs w:val="24"/>
          <w14:textFill>
            <w14:solidFill>
              <w14:schemeClr w14:val="tx1"/>
            </w14:solidFill>
          </w14:textFill>
        </w:rPr>
        <w:t xml:space="preserve">）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bookmarkStart w:id="32" w:name="OLE_LINK22"/>
      <w:r>
        <w:rPr>
          <w:rFonts w:hint="eastAsia" w:ascii="宋体" w:hAnsi="宋体"/>
          <w:color w:val="000000" w:themeColor="text1"/>
          <w:sz w:val="24"/>
          <w:szCs w:val="24"/>
          <w14:textFill>
            <w14:solidFill>
              <w14:schemeClr w14:val="tx1"/>
            </w14:solidFill>
          </w14:textFill>
        </w:rPr>
        <w:t xml:space="preserve">法律、行政法规规定的其他条件</w:t>
      </w:r>
      <w:bookmarkEnd w:id="32"/>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bookmarkStart w:id="33" w:name="OLE_LINK15"/>
      <w:r/>
      <w:bookmarkStart w:id="34" w:name="OLE_LINK16"/>
      <w:r>
        <w:rPr>
          <w:rFonts w:hint="eastAsia" w:ascii="宋体" w:hAnsi="宋体"/>
          <w:color w:val="000000" w:themeColor="text1"/>
          <w:sz w:val="24"/>
          <w:szCs w:val="24"/>
          <w14:textFill>
            <w14:solidFill>
              <w14:schemeClr w14:val="tx1"/>
            </w14:solidFill>
          </w14:textFill>
        </w:rPr>
        <w:t xml:space="preserve">落实政府采购政策需满足的资格要求</w:t>
      </w:r>
      <w:bookmarkEnd w:id="33"/>
      <w:r/>
      <w:bookmarkEnd w:id="34"/>
      <w:r>
        <w:rPr>
          <w:rFonts w:hint="eastAsia" w:ascii="宋体" w:hAnsi="宋体"/>
          <w:color w:val="000000" w:themeColor="text1"/>
          <w:sz w:val="24"/>
          <w:szCs w:val="24"/>
          <w14:textFill>
            <w14:solidFill>
              <w14:schemeClr w14:val="tx1"/>
            </w14:solidFill>
          </w14:textFill>
        </w:rPr>
        <w:t xml:space="preserve">：</w:t>
      </w:r>
      <w:bookmarkStart w:id="35" w:name="OLE_LINK5"/>
      <w:r/>
      <w:bookmarkStart w:id="36" w:name="OLE_LINK6"/>
      <w:r>
        <w:rPr>
          <w:rFonts w:hint="eastAsia" w:ascii="宋体" w:hAnsi="宋体" w:eastAsia="宋体" w:cs="宋体"/>
          <w:b/>
          <w:bCs/>
          <w:color w:val="000000"/>
          <w:sz w:val="24"/>
          <w:szCs w:val="24"/>
          <w:highlight w:val="none"/>
          <w:u w:val="single"/>
        </w:rPr>
        <w:t xml:space="preserve">本项目为</w:t>
      </w:r>
      <w:r>
        <w:rPr>
          <w:rFonts w:hint="eastAsia" w:ascii="宋体" w:hAnsi="宋体" w:cs="宋体"/>
          <w:b/>
          <w:bCs/>
          <w:color w:val="000000"/>
          <w:sz w:val="24"/>
          <w:szCs w:val="24"/>
          <w:highlight w:val="none"/>
          <w:u w:val="single"/>
          <w:lang w:eastAsia="zh-CN"/>
        </w:rPr>
        <w:t xml:space="preserve">非</w:t>
      </w:r>
      <w:r>
        <w:rPr>
          <w:rFonts w:hint="eastAsia" w:ascii="宋体" w:hAnsi="宋体" w:eastAsia="宋体" w:cs="宋体"/>
          <w:b/>
          <w:bCs/>
          <w:color w:val="000000"/>
          <w:sz w:val="24"/>
          <w:szCs w:val="24"/>
          <w:highlight w:val="none"/>
          <w:u w:val="single"/>
        </w:rPr>
        <w:t xml:space="preserve">专门面向中小微企业</w:t>
      </w:r>
      <w:r>
        <w:rPr>
          <w:rFonts w:hint="eastAsia" w:ascii="宋体" w:hAnsi="宋体"/>
          <w:b/>
          <w:bCs/>
          <w:color w:val="000000" w:themeColor="text1"/>
          <w:sz w:val="24"/>
          <w:szCs w:val="24"/>
          <w14:textFill>
            <w14:solidFill>
              <w14:schemeClr w14:val="tx1"/>
            </w14:solidFill>
          </w14:textFill>
        </w:rPr>
        <w:t xml:space="preserve">。</w:t>
      </w:r>
      <w:bookmarkEnd w:id="35"/>
      <w:r/>
      <w:bookmarkEnd w:id="36"/>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函，格式详见附件）</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4.本项目不接受</w:t>
      </w:r>
      <w:r>
        <w:rPr>
          <w:rFonts w:hint="eastAsia" w:ascii="宋体" w:hAnsi="宋体"/>
          <w:color w:val="000000" w:themeColor="text1"/>
          <w:sz w:val="24"/>
          <w:szCs w:val="24"/>
          <w:lang w:val="en-US" w:eastAsia="zh-CN"/>
          <w14:textFill>
            <w14:solidFill>
              <w14:schemeClr w14:val="tx1"/>
            </w14:solidFill>
          </w14:textFill>
        </w:rPr>
        <w:t xml:space="preserve">联合体</w:t>
      </w:r>
      <w:r>
        <w:rPr>
          <w:rFonts w:hint="eastAsia" w:ascii="宋体" w:hAnsi="宋体"/>
          <w:color w:val="000000" w:themeColor="text1"/>
          <w:sz w:val="24"/>
          <w:szCs w:val="24"/>
          <w14:textFill>
            <w14:solidFill>
              <w14:schemeClr w14:val="tx1"/>
            </w14:solidFill>
          </w14:textFill>
        </w:rPr>
        <w:t xml:space="preserve">投标。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5.本项目不接受进口产品投标。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6.本项目不接受分包。</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（二）本项目的特定资格要求：无。</w:t>
      </w:r>
      <w:r/>
    </w:p>
    <w:p>
      <w:pPr>
        <w:spacing w:line="360" w:lineRule="auto"/>
        <w:rPr>
          <w:b/>
          <w:bCs/>
          <w:color w:val="000000" w:themeColor="text1"/>
          <w:sz w:val="32"/>
          <w:szCs w:val="32"/>
          <w14:textFill>
            <w14:solidFill>
              <w14:schemeClr w14:val="tx1"/>
            </w14:solidFill>
          </w14:textFill>
        </w:rPr>
      </w:pPr>
      <w:r>
        <w:rPr>
          <w:rFonts w:hint="eastAsia"/>
          <w:b/>
          <w:bCs/>
          <w:color w:val="000000" w:themeColor="text1"/>
          <w:sz w:val="32"/>
          <w:szCs w:val="32"/>
          <w14:textFill>
            <w14:solidFill>
              <w14:schemeClr w14:val="tx1"/>
            </w14:solidFill>
          </w14:textFill>
        </w:rPr>
        <w:t xml:space="preserve">三、获取</w:t>
      </w:r>
      <w:bookmarkEnd w:id="21"/>
      <w:r/>
      <w:bookmarkEnd w:id="22"/>
      <w:r/>
      <w:bookmarkEnd w:id="23"/>
      <w:r/>
      <w:bookmarkEnd w:id="24"/>
      <w:r/>
      <w:bookmarkEnd w:id="25"/>
      <w:r>
        <w:rPr>
          <w:rFonts w:hint="eastAsia"/>
          <w:b/>
          <w:bCs/>
          <w:color w:val="000000" w:themeColor="text1"/>
          <w:sz w:val="32"/>
          <w:szCs w:val="32"/>
          <w14:textFill>
            <w14:solidFill>
              <w14:schemeClr w14:val="tx1"/>
            </w14:solidFill>
          </w14:textFill>
        </w:rPr>
        <w:t xml:space="preserve">磋商文件</w:t>
      </w:r>
      <w:r/>
    </w:p>
    <w:p>
      <w:pPr>
        <w:ind w:firstLine="480"/>
        <w:spacing w:line="360" w:lineRule="auto"/>
        <w:rPr>
          <w:rFonts w:ascii="宋体" w:hAnsi="宋体" w:cs="宋体"/>
          <w:b/>
          <w:color w:val="000000" w:themeColor="text1"/>
          <w:sz w:val="24"/>
          <w:szCs w:val="24"/>
          <w14:textFill>
            <w14:solidFill>
              <w14:schemeClr w14:val="tx1"/>
            </w14:solidFill>
          </w14:textFill>
        </w:rPr>
      </w:pPr>
      <w:r/>
      <w:bookmarkStart w:id="37" w:name="_Toc28359082"/>
      <w:r/>
      <w:bookmarkStart w:id="38" w:name="_Toc28359005"/>
      <w:r/>
      <w:bookmarkStart w:id="39" w:name="_Toc35393793"/>
      <w:r/>
      <w:bookmarkStart w:id="40" w:name="_Toc38985266"/>
      <w:r/>
      <w:bookmarkStart w:id="41" w:name="_Toc35393624"/>
      <w:r>
        <w:rPr>
          <w:rFonts w:hint="eastAsia" w:ascii="宋体" w:hAnsi="宋体" w:cs="宋体"/>
          <w:color w:val="000000" w:themeColor="text1"/>
          <w:sz w:val="24"/>
          <w:szCs w:val="24"/>
          <w14:textFill>
            <w14:solidFill>
              <w14:schemeClr w14:val="tx1"/>
            </w14:solidFill>
          </w14:textFill>
        </w:rPr>
        <w:t xml:space="preserve">1.时间：</w:t>
      </w:r>
      <w:r>
        <w:rPr>
          <w:rFonts w:ascii="宋体" w:hAnsi="宋体" w:cs="宋体"/>
          <w:color w:val="000000" w:themeColor="text1"/>
          <w:sz w:val="24"/>
          <w:szCs w:val="24"/>
          <w14:textFill>
            <w14:solidFill>
              <w14:schemeClr w14:val="tx1"/>
            </w14:solidFill>
          </w14:textFill>
        </w:rPr>
        <w:t xml:space="preserve">202</w:t>
      </w:r>
      <w:r>
        <w:rPr>
          <w:rFonts w:hint="eastAsia" w:ascii="宋体" w:hAnsi="宋体" w:cs="宋体"/>
          <w:color w:val="000000" w:themeColor="text1"/>
          <w:sz w:val="24"/>
          <w:szCs w:val="24"/>
          <w14:textFill>
            <w14:solidFill>
              <w14:schemeClr w14:val="tx1"/>
            </w14:solidFill>
          </w14:textFill>
        </w:rPr>
        <w:t xml:space="preserve">6年</w:t>
      </w: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日至</w:t>
      </w:r>
      <w:r>
        <w:rPr>
          <w:rFonts w:ascii="宋体" w:hAnsi="宋体" w:cs="宋体"/>
          <w:color w:val="000000" w:themeColor="text1"/>
          <w:sz w:val="24"/>
          <w:szCs w:val="24"/>
          <w14:textFill>
            <w14:solidFill>
              <w14:schemeClr w14:val="tx1"/>
            </w14:solidFill>
          </w14:textFill>
        </w:rPr>
        <w:t xml:space="preserve">202</w:t>
      </w:r>
      <w:r>
        <w:rPr>
          <w:rFonts w:hint="eastAsia" w:ascii="宋体" w:hAnsi="宋体" w:cs="宋体"/>
          <w:color w:val="000000" w:themeColor="text1"/>
          <w:sz w:val="24"/>
          <w:szCs w:val="24"/>
          <w14:textFill>
            <w14:solidFill>
              <w14:schemeClr w14:val="tx1"/>
            </w14:solidFill>
          </w14:textFill>
        </w:rPr>
        <w:t xml:space="preserve">6年</w:t>
      </w:r>
      <w:r>
        <w:rPr>
          <w:rFonts w:hint="eastAsia" w:ascii="宋体" w:hAnsi="宋体" w:cs="宋体"/>
          <w:color w:val="000000" w:themeColor="text1"/>
          <w:sz w:val="24"/>
          <w:szCs w:val="24"/>
          <w:lang w:val="en-US"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20</w:t>
      </w:r>
      <w:r>
        <w:rPr>
          <w:rFonts w:hint="eastAsia" w:ascii="宋体" w:hAnsi="宋体" w:cs="宋体"/>
          <w:color w:val="000000" w:themeColor="text1"/>
          <w:sz w:val="24"/>
          <w:szCs w:val="24"/>
          <w14:textFill>
            <w14:solidFill>
              <w14:schemeClr w14:val="tx1"/>
            </w14:solidFill>
          </w14:textFill>
        </w:rPr>
        <w:t xml:space="preserve">日（提供期限自本公告发布之日起不得少于5个工作日）。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2.方式：在“江苏政府采购网”自行免费下载磋商文件。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3.获取方式：本项目采用网上注册登记方式。</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3.1潜在供应商访问电子招标响应交易平台的网络地址和方法：</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3.2潜在供应商访问“苏采云”系统的网络地址和方法：“苏采云”系统的网址：http://jszfcg.jsczt.cn/。</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3.3“CA数字证书”的获取：</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供应商需办理“CA 数字证书”，CA办理指南及“苏采云”操作手册可至江苏省政府采购网—办事指南-资料下载中心下载。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w:t>
      </w:r>
      <w:r>
        <w:rPr>
          <w:rFonts w:hint="eastAsia" w:ascii="宋体" w:hAnsi="宋体" w:cs="宋体"/>
          <w:color w:val="000000" w:themeColor="text1"/>
          <w:sz w:val="24"/>
          <w:szCs w:val="24"/>
          <w:lang w:val="en-US" w:eastAsia="zh-CN"/>
          <w14:textFill>
            <w14:solidFill>
              <w14:schemeClr w14:val="tx1"/>
            </w14:solidFill>
          </w14:textFill>
        </w:rPr>
        <w:t xml:space="preserve">磋商</w:t>
      </w:r>
      <w:r>
        <w:rPr>
          <w:rFonts w:hint="eastAsia" w:ascii="宋体" w:hAnsi="宋体" w:cs="宋体"/>
          <w:color w:val="000000" w:themeColor="text1"/>
          <w:sz w:val="24"/>
          <w:szCs w:val="24"/>
          <w14:textFill>
            <w14:solidFill>
              <w14:schemeClr w14:val="tx1"/>
            </w14:solidFill>
          </w14:textFill>
        </w:rPr>
        <w:t xml:space="preserve">文件（后缀名为“.kedt”）、供应商操作手册及政府采购客户端工具可通过“苏采云”系统--已报名项目--报名详情页面内相应链接进行下载。</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3.5招标代理机构（采购代理机构）将数据电文形式的采购文件加载至“苏采云”系统，供潜在供应商下载或者查阅。  </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360" w:lineRule="auto"/>
        <w:rPr>
          <w:b/>
          <w:bCs/>
          <w:color w:val="000000" w:themeColor="text1"/>
          <w:sz w:val="32"/>
          <w:szCs w:val="32"/>
          <w14:textFill>
            <w14:solidFill>
              <w14:schemeClr w14:val="tx1"/>
            </w14:solidFill>
          </w14:textFill>
        </w:rPr>
        <w:outlineLvl w:val="2"/>
      </w:pPr>
      <w:r>
        <w:rPr>
          <w:rFonts w:hint="eastAsia"/>
          <w:b/>
          <w:bCs/>
          <w:color w:val="000000" w:themeColor="text1"/>
          <w:sz w:val="32"/>
          <w:szCs w:val="32"/>
          <w14:textFill>
            <w14:solidFill>
              <w14:schemeClr w14:val="tx1"/>
            </w14:solidFill>
          </w14:textFill>
        </w:rPr>
        <w:t xml:space="preserve">四、提交</w:t>
      </w:r>
      <w:bookmarkEnd w:id="37"/>
      <w:r/>
      <w:bookmarkEnd w:id="38"/>
      <w:r>
        <w:rPr>
          <w:rFonts w:hint="eastAsia"/>
          <w:b/>
          <w:bCs/>
          <w:color w:val="000000" w:themeColor="text1"/>
          <w:sz w:val="32"/>
          <w:szCs w:val="32"/>
          <w14:textFill>
            <w14:solidFill>
              <w14:schemeClr w14:val="tx1"/>
            </w14:solidFill>
          </w14:textFill>
        </w:rPr>
        <w:t xml:space="preserve">响应文件截止时间</w:t>
      </w:r>
      <w:bookmarkEnd w:id="39"/>
      <w:r/>
      <w:bookmarkEnd w:id="40"/>
      <w:r/>
      <w:bookmarkEnd w:id="41"/>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1.</w:t>
      </w:r>
      <w:r>
        <w:rPr>
          <w:rFonts w:ascii="宋体" w:hAnsi="宋体"/>
          <w:bCs/>
          <w:color w:val="000000" w:themeColor="text1"/>
          <w:sz w:val="24"/>
          <w:szCs w:val="24"/>
          <w:u w:val="single"/>
          <w14:textFill>
            <w14:solidFill>
              <w14:schemeClr w14:val="tx1"/>
            </w14:solidFill>
          </w14:textFill>
        </w:rPr>
        <w:t xml:space="preserve">202</w:t>
      </w:r>
      <w:r>
        <w:rPr>
          <w:rFonts w:hint="eastAsia" w:ascii="宋体" w:hAnsi="宋体"/>
          <w:bCs/>
          <w:color w:val="000000" w:themeColor="text1"/>
          <w:sz w:val="24"/>
          <w:szCs w:val="24"/>
          <w:u w:val="single"/>
          <w14:textFill>
            <w14:solidFill>
              <w14:schemeClr w14:val="tx1"/>
            </w14:solidFill>
          </w14:textFill>
        </w:rPr>
        <w:t xml:space="preserve">6年</w:t>
      </w:r>
      <w:r>
        <w:rPr>
          <w:rFonts w:hint="eastAsia" w:ascii="宋体" w:hAnsi="宋体"/>
          <w:bCs/>
          <w:color w:val="000000" w:themeColor="text1"/>
          <w:sz w:val="24"/>
          <w:szCs w:val="24"/>
          <w:u w:val="single"/>
          <w:lang w:val="en-US" w:eastAsia="zh-CN"/>
          <w14:textFill>
            <w14:solidFill>
              <w14:schemeClr w14:val="tx1"/>
            </w14:solidFill>
          </w14:textFill>
        </w:rPr>
        <w:t xml:space="preserve">10</w:t>
      </w:r>
      <w:r>
        <w:rPr>
          <w:rFonts w:hint="eastAsia" w:ascii="宋体" w:hAnsi="宋体"/>
          <w:bCs/>
          <w:color w:val="000000" w:themeColor="text1"/>
          <w:sz w:val="24"/>
          <w:szCs w:val="24"/>
          <w:u w:val="single"/>
          <w14:textFill>
            <w14:solidFill>
              <w14:schemeClr w14:val="tx1"/>
            </w14:solidFill>
          </w14:textFill>
        </w:rPr>
        <w:t xml:space="preserve">月</w:t>
      </w:r>
      <w:r>
        <w:rPr>
          <w:rFonts w:hint="eastAsia" w:ascii="宋体" w:hAnsi="宋体"/>
          <w:bCs/>
          <w:color w:val="000000" w:themeColor="text1"/>
          <w:sz w:val="24"/>
          <w:szCs w:val="24"/>
          <w:u w:val="single"/>
          <w:lang w:val="en-US" w:eastAsia="zh-CN"/>
          <w14:textFill>
            <w14:solidFill>
              <w14:schemeClr w14:val="tx1"/>
            </w14:solidFill>
          </w14:textFill>
        </w:rPr>
        <w:t xml:space="preserve">20</w:t>
      </w:r>
      <w:r>
        <w:rPr>
          <w:rFonts w:hint="eastAsia" w:ascii="宋体" w:hAnsi="宋体"/>
          <w:bCs/>
          <w:color w:val="000000" w:themeColor="text1"/>
          <w:sz w:val="24"/>
          <w:szCs w:val="24"/>
          <w:u w:val="single"/>
          <w14:textFill>
            <w14:solidFill>
              <w14:schemeClr w14:val="tx1"/>
            </w14:solidFill>
          </w14:textFill>
        </w:rPr>
        <w:t xml:space="preserve">日</w:t>
      </w:r>
      <w:r>
        <w:rPr>
          <w:rFonts w:hint="eastAsia" w:ascii="宋体" w:hAnsi="宋体"/>
          <w:bCs/>
          <w:color w:val="000000" w:themeColor="text1"/>
          <w:sz w:val="24"/>
          <w:szCs w:val="24"/>
          <w:u w:val="single"/>
          <w:lang w:val="en-US" w:eastAsia="zh-CN"/>
          <w14:textFill>
            <w14:solidFill>
              <w14:schemeClr w14:val="tx1"/>
            </w14:solidFill>
          </w14:textFill>
        </w:rPr>
        <w:t xml:space="preserve">09</w:t>
      </w:r>
      <w:r>
        <w:rPr>
          <w:rFonts w:hint="eastAsia" w:ascii="宋体" w:hAnsi="宋体"/>
          <w:bCs/>
          <w:color w:val="000000" w:themeColor="text1"/>
          <w:sz w:val="24"/>
          <w:szCs w:val="24"/>
          <w:u w:val="single"/>
          <w14:textFill>
            <w14:solidFill>
              <w14:schemeClr w14:val="tx1"/>
            </w14:solidFill>
          </w14:textFill>
        </w:rPr>
        <w:t xml:space="preserve">点</w:t>
      </w:r>
      <w:r>
        <w:rPr>
          <w:rFonts w:hint="eastAsia" w:ascii="宋体" w:hAnsi="宋体"/>
          <w:bCs/>
          <w:color w:val="000000" w:themeColor="text1"/>
          <w:sz w:val="24"/>
          <w:szCs w:val="24"/>
          <w:u w:val="single"/>
          <w:lang w:val="en-US" w:eastAsia="zh-CN"/>
          <w14:textFill>
            <w14:solidFill>
              <w14:schemeClr w14:val="tx1"/>
            </w14:solidFill>
          </w14:textFill>
        </w:rPr>
        <w:t xml:space="preserve">00</w:t>
      </w:r>
      <w:r>
        <w:rPr>
          <w:rFonts w:hint="eastAsia" w:ascii="宋体" w:hAnsi="宋体"/>
          <w:bCs/>
          <w:color w:val="000000" w:themeColor="text1"/>
          <w:sz w:val="24"/>
          <w:szCs w:val="24"/>
          <w:u w:val="single"/>
          <w14:textFill>
            <w14:solidFill>
              <w14:schemeClr w14:val="tx1"/>
            </w14:solidFill>
          </w14:textFill>
        </w:rPr>
        <w:t xml:space="preserve">分</w:t>
      </w:r>
      <w:r>
        <w:rPr>
          <w:rFonts w:hint="eastAsia" w:ascii="宋体" w:hAnsi="宋体"/>
          <w:bCs/>
          <w:color w:val="000000" w:themeColor="text1"/>
          <w:sz w:val="24"/>
          <w:szCs w:val="24"/>
          <w14:textFill>
            <w14:solidFill>
              <w14:schemeClr w14:val="tx1"/>
            </w14:solidFill>
          </w14:textFill>
        </w:rPr>
        <w:t xml:space="preserve">（北京时间）。</w:t>
      </w:r>
      <w:r>
        <w:rPr>
          <w:rFonts w:hint="eastAsia" w:ascii="宋体" w:hAnsi="宋体" w:cs="宋体"/>
          <w:color w:val="000000" w:themeColor="text1"/>
          <w:sz w:val="24"/>
          <w:szCs w:val="24"/>
          <w14:textFill>
            <w14:solidFill>
              <w14:schemeClr w14:val="tx1"/>
            </w14:solidFill>
          </w14:textFill>
        </w:rPr>
        <w:t xml:space="preserve">（自磋商文件开始发出之日起至供应商提交响应文件截止之日止，不得少于10日。）</w:t>
      </w:r>
      <w:bookmarkStart w:id="207" w:name="_GoBack"/>
      <w:r/>
      <w:bookmarkEnd w:id="207"/>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2.地点：“苏采云”政府采购交易系统网上开标大厅。</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注：各供应商请关注开标大厅交流区，在开标结束后，请勿离开开标大厅，待资格审查完毕，磋商小组发出报价指令后须在15分钟内完成系统报价。</w:t>
      </w:r>
      <w:r>
        <w:rPr>
          <w:rFonts w:hint="eastAsia" w:ascii="宋体" w:hAnsi="宋体"/>
          <w:bCs/>
          <w:color w:val="000000" w:themeColor="text1"/>
          <w:sz w:val="24"/>
          <w:szCs w:val="24"/>
          <w14:textFill>
            <w14:solidFill>
              <w14:schemeClr w14:val="tx1"/>
            </w14:solidFill>
          </w14:textFill>
        </w:rPr>
        <w:t xml:space="preserve">供应商未在磋商小组规定的时间内在苏采云系统中提交最后报价的视为放弃磋商，其响应文件按无效响应处理。</w:t>
      </w:r>
      <w:r/>
    </w:p>
    <w:p>
      <w:pPr>
        <w:ind w:firstLine="480"/>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3.响应文件的解密：开标当天各供应商及时登录不见面开标大厅，响应文件递交截止时间后，采购人将在系统内公布响应供应商名单，然后通过开标会议区发出响应文件解密的指令，</w:t>
      </w:r>
      <w:r>
        <w:rPr>
          <w:rFonts w:hint="eastAsia" w:ascii="宋体" w:hAnsi="宋体"/>
          <w:b/>
          <w:bCs/>
          <w:color w:val="000000" w:themeColor="text1"/>
          <w:sz w:val="24"/>
          <w:szCs w:val="24"/>
          <w14:textFill>
            <w14:solidFill>
              <w14:schemeClr w14:val="tx1"/>
            </w14:solidFill>
          </w14:textFill>
        </w:rPr>
        <w:t xml:space="preserve">供应商在开标室按规定时间自行实施远程解密，供应商解密限定在开标后30分钟之内完成。</w:t>
      </w:r>
      <w:r>
        <w:rPr>
          <w:rFonts w:hint="eastAsia" w:ascii="宋体" w:hAnsi="宋体"/>
          <w:bCs/>
          <w:color w:val="000000" w:themeColor="text1"/>
          <w:sz w:val="24"/>
          <w:szCs w:val="24"/>
          <w14:textFill>
            <w14:solidFill>
              <w14:schemeClr w14:val="tx1"/>
            </w14:solidFill>
          </w14:textFill>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line="360" w:lineRule="auto"/>
        <w:rPr>
          <w:b/>
          <w:bCs/>
          <w:color w:val="000000" w:themeColor="text1"/>
          <w:sz w:val="32"/>
          <w:szCs w:val="32"/>
          <w14:textFill>
            <w14:solidFill>
              <w14:schemeClr w14:val="tx1"/>
            </w14:solidFill>
          </w14:textFill>
        </w:rPr>
        <w:outlineLvl w:val="2"/>
      </w:pPr>
      <w:r/>
      <w:bookmarkStart w:id="42" w:name="_Toc28359007"/>
      <w:r/>
      <w:bookmarkStart w:id="43" w:name="_Toc35393625"/>
      <w:r/>
      <w:bookmarkStart w:id="44" w:name="_Toc38985267"/>
      <w:r/>
      <w:bookmarkStart w:id="45" w:name="_Toc35393794"/>
      <w:r/>
      <w:bookmarkStart w:id="46" w:name="_Toc28359084"/>
      <w:r>
        <w:rPr>
          <w:rFonts w:hint="eastAsia"/>
          <w:b/>
          <w:bCs/>
          <w:color w:val="000000" w:themeColor="text1"/>
          <w:sz w:val="32"/>
          <w:szCs w:val="32"/>
          <w14:textFill>
            <w14:solidFill>
              <w14:schemeClr w14:val="tx1"/>
            </w14:solidFill>
          </w14:textFill>
        </w:rPr>
        <w:t xml:space="preserve">五、公告期限</w:t>
      </w:r>
      <w:bookmarkEnd w:id="42"/>
      <w:r/>
      <w:bookmarkEnd w:id="43"/>
      <w:r/>
      <w:bookmarkEnd w:id="44"/>
      <w:r/>
      <w:bookmarkEnd w:id="45"/>
      <w:r/>
      <w:bookmarkEnd w:id="46"/>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47" w:name="_Toc35393795"/>
      <w:r/>
      <w:bookmarkStart w:id="48" w:name="_Toc35393626"/>
      <w:r/>
      <w:bookmarkStart w:id="49" w:name="_Toc38985268"/>
      <w:r>
        <w:rPr>
          <w:rFonts w:hint="eastAsia" w:ascii="宋体" w:hAnsi="宋体" w:cs="宋体"/>
          <w:color w:val="000000" w:themeColor="text1"/>
          <w:sz w:val="24"/>
          <w:szCs w:val="24"/>
          <w14:textFill>
            <w14:solidFill>
              <w14:schemeClr w14:val="tx1"/>
            </w14:solidFill>
          </w14:textFill>
        </w:rPr>
        <w:t xml:space="preserve">磋商公告及磋商文件公告期限为自本公告发布之日起5个工作日。</w:t>
      </w:r>
      <w:r/>
    </w:p>
    <w:p>
      <w:pPr>
        <w:ind w:firstLine="498"/>
        <w:keepLines/>
        <w:keepNext/>
        <w:spacing w:line="360" w:lineRule="auto"/>
        <w:rPr>
          <w:b/>
          <w:bCs/>
          <w:color w:val="000000" w:themeColor="text1"/>
          <w:sz w:val="32"/>
          <w:szCs w:val="32"/>
          <w14:textFill>
            <w14:solidFill>
              <w14:schemeClr w14:val="tx1"/>
            </w14:solidFill>
          </w14:textFill>
        </w:rPr>
        <w:outlineLvl w:val="2"/>
      </w:pPr>
      <w:r>
        <w:rPr>
          <w:rFonts w:hint="eastAsia"/>
          <w:b/>
          <w:bCs/>
          <w:color w:val="000000" w:themeColor="text1"/>
          <w:sz w:val="32"/>
          <w:szCs w:val="32"/>
          <w14:textFill>
            <w14:solidFill>
              <w14:schemeClr w14:val="tx1"/>
            </w14:solidFill>
          </w14:textFill>
        </w:rPr>
        <w:t xml:space="preserve">六、其他补充事宜</w:t>
      </w:r>
      <w:bookmarkEnd w:id="47"/>
      <w:r/>
      <w:bookmarkEnd w:id="48"/>
      <w:r/>
      <w:bookmarkEnd w:id="49"/>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1.投标保证金：免收</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2.项目开标活动模式：不见面远程开标模式，供应商在各自地点通过“苏采云”政府采购交易系统参加磋商活动。</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3.项目演示、样品、答辩等（如有请描述）：无。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360" w:lineRule="auto"/>
        <w:rPr>
          <w:rFonts w:ascii="宋体" w:hAnsi="宋体" w:cs="宋体"/>
          <w:color w:val="000000" w:themeColor="text1"/>
          <w:sz w:val="24"/>
          <w:szCs w:val="24"/>
          <w14:textFill>
            <w14:solidFill>
              <w14:schemeClr w14:val="tx1"/>
            </w14:solidFill>
          </w14:textFill>
        </w:rPr>
      </w:pPr>
      <w:r/>
      <w:bookmarkStart w:id="50" w:name="_Toc35393796"/>
      <w:r/>
      <w:bookmarkStart w:id="51" w:name="_Toc28359085"/>
      <w:r/>
      <w:bookmarkStart w:id="52" w:name="_Toc28359008"/>
      <w:r/>
      <w:bookmarkStart w:id="53" w:name="_Toc38985269"/>
      <w:r/>
      <w:bookmarkStart w:id="54" w:name="_Toc35393627"/>
      <w:r>
        <w:rPr>
          <w:rFonts w:hint="eastAsia" w:ascii="宋体" w:hAnsi="宋体" w:cs="宋体"/>
          <w:color w:val="000000" w:themeColor="text1"/>
          <w:sz w:val="24"/>
          <w:szCs w:val="24"/>
          <w14:textFill>
            <w14:solidFill>
              <w14:schemeClr w14:val="tx1"/>
            </w14:solidFill>
          </w14:textFill>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6.有关本次磋商的事项若存在变动或修改，敬请及时关注采购人在“江苏政府采购网”发布的更正公告。</w:t>
      </w:r>
      <w:r/>
    </w:p>
    <w:p>
      <w:pPr>
        <w:ind w:firstLine="498"/>
        <w:keepLines/>
        <w:keepNext/>
        <w:spacing w:line="360" w:lineRule="auto"/>
        <w:rPr>
          <w:b/>
          <w:bCs/>
          <w:color w:val="000000" w:themeColor="text1"/>
          <w:sz w:val="32"/>
          <w:szCs w:val="32"/>
          <w14:textFill>
            <w14:solidFill>
              <w14:schemeClr w14:val="tx1"/>
            </w14:solidFill>
          </w14:textFill>
        </w:rPr>
        <w:outlineLvl w:val="2"/>
      </w:pPr>
      <w:r>
        <w:rPr>
          <w:rFonts w:hint="eastAsia"/>
          <w:b/>
          <w:bCs/>
          <w:color w:val="000000" w:themeColor="text1"/>
          <w:sz w:val="32"/>
          <w:szCs w:val="32"/>
          <w14:textFill>
            <w14:solidFill>
              <w14:schemeClr w14:val="tx1"/>
            </w14:solidFill>
          </w14:textFill>
        </w:rPr>
        <w:t xml:space="preserve">七、本次磋商联系方式</w:t>
      </w:r>
      <w:bookmarkEnd w:id="50"/>
      <w:r/>
      <w:bookmarkEnd w:id="51"/>
      <w:r/>
      <w:bookmarkEnd w:id="52"/>
      <w:r/>
      <w:bookmarkEnd w:id="53"/>
      <w:r/>
      <w:bookmarkEnd w:id="54"/>
      <w:r/>
      <w:r/>
    </w:p>
    <w:p>
      <w:pPr>
        <w:ind w:firstLine="480"/>
        <w:jc w:val="left"/>
        <w:spacing w:line="360" w:lineRule="auto"/>
        <w:widowControl/>
        <w:rPr>
          <w:rFonts w:ascii="宋体" w:hAnsi="宋体"/>
          <w:color w:val="000000" w:themeColor="text1"/>
          <w:sz w:val="24"/>
          <w:szCs w:val="24"/>
          <w14:textFill>
            <w14:solidFill>
              <w14:schemeClr w14:val="tx1"/>
            </w14:solidFill>
          </w14:textFill>
        </w:rPr>
      </w:pPr>
      <w:r/>
      <w:bookmarkStart w:id="55" w:name="_Toc28359087"/>
      <w:r/>
      <w:bookmarkStart w:id="56" w:name="_Toc28359010"/>
      <w:r>
        <w:rPr>
          <w:rFonts w:hint="eastAsia" w:ascii="宋体" w:hAnsi="宋体" w:cs="宋体"/>
          <w:color w:val="000000" w:themeColor="text1"/>
          <w:sz w:val="24"/>
          <w:szCs w:val="24"/>
          <w14:textFill>
            <w14:solidFill>
              <w14:schemeClr w14:val="tx1"/>
            </w14:solidFill>
          </w14:textFill>
        </w:rPr>
        <w:t xml:space="preserve">1.采购人信息</w:t>
      </w:r>
      <w:r/>
    </w:p>
    <w:p>
      <w:pPr>
        <w:ind w:firstLine="480"/>
        <w:jc w:val="left"/>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名 称：</w:t>
      </w:r>
      <w:r>
        <w:rPr>
          <w:rFonts w:hint="eastAsia" w:ascii="宋体" w:hAnsi="宋体"/>
          <w:color w:val="000000" w:themeColor="text1"/>
          <w:sz w:val="24"/>
          <w:szCs w:val="24"/>
          <w:lang w:eastAsia="zh-CN"/>
          <w14:textFill>
            <w14:solidFill>
              <w14:schemeClr w14:val="tx1"/>
            </w14:solidFill>
          </w14:textFill>
        </w:rPr>
        <w:t xml:space="preserve">海安市水利局</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rPr>
          <w:rFonts w:hint="eastAsia" w:ascii="宋体" w:hAnsi="宋体"/>
          <w:color w:val="000000" w:themeColor="text1"/>
          <w:sz w:val="24"/>
          <w:szCs w:val="24"/>
          <w:lang w:eastAsia="zh-CN"/>
          <w14:textFill>
            <w14:solidFill>
              <w14:schemeClr w14:val="tx1"/>
            </w14:solidFill>
          </w14:textFill>
        </w:rPr>
        <w:t xml:space="preserve">海安市长江中路106号</w:t>
      </w:r>
      <w:r>
        <w:rPr>
          <w:rFonts w:ascii="宋体" w:hAnsi="宋体"/>
          <w:color w:val="000000" w:themeColor="text1"/>
          <w:sz w:val="24"/>
          <w:szCs w:val="24"/>
          <w14:textFill>
            <w14:solidFill>
              <w14:schemeClr w14:val="tx1"/>
            </w14:solidFill>
          </w14:textFill>
        </w:rPr>
        <w:t xml:space="preserve"> </w:t>
      </w:r>
      <w:r/>
    </w:p>
    <w:p>
      <w:pPr>
        <w:ind w:firstLine="480"/>
        <w:jc w:val="left"/>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陈霄</w:t>
      </w:r>
      <w:r/>
    </w:p>
    <w:p>
      <w:pPr>
        <w:ind w:firstLine="480"/>
        <w:jc w:val="left"/>
        <w:spacing w:line="360" w:lineRule="auto"/>
        <w:rPr>
          <w:rFonts w:hint="default"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bookmarkStart w:id="57" w:name="_Toc28359086"/>
      <w:r/>
      <w:bookmarkStart w:id="58" w:name="_Toc28359009"/>
      <w:r>
        <w:rPr>
          <w:rFonts w:hint="eastAsia" w:ascii="宋体" w:hAnsi="宋体"/>
          <w:color w:val="000000" w:themeColor="text1"/>
          <w:sz w:val="24"/>
          <w:szCs w:val="24"/>
          <w14:textFill>
            <w14:solidFill>
              <w14:schemeClr w14:val="tx1"/>
            </w14:solidFill>
          </w14:textFill>
        </w:rPr>
        <w:t xml:space="preserve">18795730211</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bookmarkEnd w:id="57"/>
      <w:r/>
      <w:bookmarkEnd w:id="58"/>
      <w:r>
        <w:rPr>
          <w:rFonts w:hint="eastAsia" w:ascii="宋体" w:hAnsi="宋体" w:cs="宋体"/>
          <w:color w:val="000000" w:themeColor="text1"/>
          <w:sz w:val="24"/>
          <w:szCs w:val="24"/>
          <w14:textFill>
            <w14:solidFill>
              <w14:schemeClr w14:val="tx1"/>
            </w14:solidFill>
          </w14:textFill>
        </w:rPr>
        <w:t xml:space="preserve">采购代理机构信息</w:t>
      </w:r>
      <w:r/>
    </w:p>
    <w:p>
      <w:pPr>
        <w:ind w:firstLine="480"/>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  称：</w:t>
      </w:r>
      <w:r>
        <w:rPr>
          <w:rFonts w:hint="eastAsia" w:ascii="宋体" w:hAnsi="宋体" w:cs="宋体"/>
          <w:color w:val="000000" w:themeColor="text1"/>
          <w:sz w:val="24"/>
          <w:szCs w:val="24"/>
          <w:lang w:eastAsia="zh-CN"/>
          <w14:textFill>
            <w14:solidFill>
              <w14:schemeClr w14:val="tx1"/>
            </w14:solidFill>
          </w14:textFill>
        </w:rPr>
        <w:t xml:space="preserve">国咨项目管理有限公司</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址：海安市宁海南路</w:t>
      </w:r>
      <w:r>
        <w:rPr>
          <w:rFonts w:hint="eastAsia" w:ascii="宋体" w:hAnsi="宋体" w:cs="宋体"/>
          <w:color w:val="000000" w:themeColor="text1"/>
          <w:sz w:val="24"/>
          <w:szCs w:val="24"/>
          <w:lang w:val="en-US" w:eastAsia="zh-CN"/>
          <w14:textFill>
            <w14:solidFill>
              <w14:schemeClr w14:val="tx1"/>
            </w14:solidFill>
          </w14:textFill>
        </w:rPr>
        <w:t xml:space="preserve">229</w:t>
      </w:r>
      <w:r>
        <w:rPr>
          <w:rFonts w:hint="eastAsia" w:ascii="宋体" w:hAnsi="宋体" w:cs="宋体"/>
          <w:color w:val="000000" w:themeColor="text1"/>
          <w:sz w:val="24"/>
          <w:szCs w:val="24"/>
          <w14:textFill>
            <w14:solidFill>
              <w14:schemeClr w14:val="tx1"/>
            </w14:solidFill>
          </w14:textFill>
        </w:rPr>
        <w:t xml:space="preserve">号</w:t>
      </w:r>
      <w:r/>
    </w:p>
    <w:p>
      <w:pPr>
        <w:ind w:firstLine="480"/>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w:t>
      </w:r>
      <w:r>
        <w:rPr>
          <w:rFonts w:hint="eastAsia" w:ascii="宋体" w:hAnsi="宋体" w:cs="宋体"/>
          <w:color w:val="000000" w:themeColor="text1"/>
          <w:sz w:val="24"/>
          <w:szCs w:val="24"/>
          <w:lang w:val="en-US" w:eastAsia="zh-CN"/>
          <w14:textFill>
            <w14:solidFill>
              <w14:schemeClr w14:val="tx1"/>
            </w14:solidFill>
          </w14:textFill>
        </w:rPr>
        <w:t xml:space="preserve">丁忠庆</w:t>
      </w:r>
      <w:r/>
    </w:p>
    <w:p>
      <w:pPr>
        <w:ind w:firstLine="480"/>
        <w:spacing w:line="360" w:lineRule="auto"/>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联系方式：</w:t>
      </w:r>
      <w:r>
        <w:rPr>
          <w:rFonts w:hint="eastAsia" w:ascii="宋体" w:hAnsi="宋体" w:cs="宋体"/>
          <w:color w:val="000000" w:themeColor="text1"/>
          <w:sz w:val="24"/>
          <w:szCs w:val="24"/>
          <w:lang w:val="en-US" w:eastAsia="zh-CN"/>
          <w14:textFill>
            <w14:solidFill>
              <w14:schemeClr w14:val="tx1"/>
            </w14:solidFill>
          </w14:textFill>
        </w:rPr>
        <w:t xml:space="preserve">15358708177</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3.项目联系方式</w:t>
      </w:r>
      <w:r/>
    </w:p>
    <w:p>
      <w:pPr>
        <w:ind w:firstLine="480"/>
        <w:spacing w:line="360" w:lineRule="auto"/>
        <w:rPr>
          <w:rFonts w:ascii="宋体" w:hAnsi="宋体"/>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磋商文件制作人:</w:t>
      </w:r>
      <w:r>
        <w:rPr>
          <w:rFonts w:hint="eastAsia" w:ascii="宋体" w:hAnsi="宋体" w:cs="宋体"/>
          <w:color w:val="000000" w:themeColor="text1"/>
          <w:sz w:val="24"/>
          <w:szCs w:val="24"/>
          <w:lang w:val="en-US" w:eastAsia="zh-CN"/>
          <w14:textFill>
            <w14:solidFill>
              <w14:schemeClr w14:val="tx1"/>
            </w14:solidFill>
          </w14:textFill>
        </w:rPr>
        <w:t xml:space="preserve">丁忠庆</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项目磋商经办人:</w:t>
      </w:r>
      <w:r>
        <w:rPr>
          <w:rFonts w:hint="eastAsia" w:ascii="宋体" w:hAnsi="宋体"/>
          <w:color w:val="000000" w:themeColor="text1"/>
          <w:sz w:val="24"/>
          <w:szCs w:val="24"/>
          <w:lang w:eastAsia="zh-CN"/>
          <w14:textFill>
            <w14:solidFill>
              <w14:schemeClr w14:val="tx1"/>
            </w14:solidFill>
          </w14:textFill>
        </w:rPr>
        <w:t xml:space="preserve">陈霄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交易系统软件维护人员：那工</w:t>
      </w:r>
      <w:r>
        <w:rPr>
          <w:rFonts w:ascii="宋体" w:hAnsi="宋体"/>
          <w:color w:val="000000" w:themeColor="text1"/>
          <w:sz w:val="24"/>
          <w:szCs w:val="24"/>
          <w14:textFill>
            <w14:solidFill>
              <w14:schemeClr w14:val="tx1"/>
            </w14:solidFill>
          </w14:textFill>
        </w:rPr>
        <w:t xml:space="preserve">0519-86722801、0519-86722806</w:t>
      </w:r>
      <w:bookmarkEnd w:id="55"/>
      <w:r/>
      <w:bookmarkEnd w:id="56"/>
      <w:r/>
      <w:r/>
    </w:p>
    <w:p>
      <w:pPr>
        <w:jc w:val="left"/>
        <w:spacing w:line="560" w:lineRule="exac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spacing w:line="560" w:lineRule="exac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jc w:val="left"/>
        <w:widowControl/>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br w:type="page" w:clear="all"/>
      </w:r>
      <w:r/>
    </w:p>
    <w:p>
      <w:pPr>
        <w:jc w:val="center"/>
        <w:widowControl/>
        <w:rPr>
          <w:rFonts w:ascii="黑体" w:hAnsi="Arial" w:eastAsia="黑体" w:cs="Arial"/>
          <w:color w:val="000000" w:themeColor="text1"/>
          <w:sz w:val="44"/>
          <w:szCs w:val="44"/>
          <w14:textFill>
            <w14:solidFill>
              <w14:schemeClr w14:val="tx1"/>
            </w14:solidFill>
          </w14:textFill>
        </w:rPr>
      </w:pPr>
      <w:r/>
      <w:bookmarkStart w:id="59" w:name="_Toc120614211"/>
      <w:r>
        <w:rPr>
          <w:rFonts w:hint="eastAsia" w:ascii="黑体" w:hAnsi="Arial" w:eastAsia="黑体" w:cs="Arial"/>
          <w:b/>
          <w:bCs/>
          <w:color w:val="000000" w:themeColor="text1"/>
          <w:sz w:val="44"/>
          <w:szCs w:val="44"/>
          <w14:textFill>
            <w14:solidFill>
              <w14:schemeClr w14:val="tx1"/>
            </w14:solidFill>
          </w14:textFill>
        </w:rPr>
        <w:t xml:space="preserve">第二章  </w:t>
      </w:r>
      <w:bookmarkEnd w:id="1"/>
      <w:r/>
      <w:bookmarkEnd w:id="2"/>
      <w:r/>
      <w:bookmarkEnd w:id="3"/>
      <w:r/>
      <w:bookmarkEnd w:id="4"/>
      <w:r/>
      <w:bookmarkEnd w:id="5"/>
      <w:r/>
      <w:bookmarkEnd w:id="59"/>
      <w:r>
        <w:rPr>
          <w:rFonts w:hint="eastAsia" w:ascii="黑体" w:hAnsi="Arial" w:eastAsia="黑体" w:cs="Arial"/>
          <w:b/>
          <w:bCs/>
          <w:color w:val="000000" w:themeColor="text1"/>
          <w:sz w:val="44"/>
          <w:szCs w:val="44"/>
          <w14:textFill>
            <w14:solidFill>
              <w14:schemeClr w14:val="tx1"/>
            </w14:solidFill>
          </w14:textFill>
        </w:rPr>
        <w:t xml:space="preserve">供应商须知</w:t>
      </w:r>
      <w:r/>
    </w:p>
    <w:p>
      <w:pPr>
        <w:ind w:firstLine="482"/>
        <w:spacing w:line="360" w:lineRule="auto"/>
        <w:rPr>
          <w:rFonts w:ascii="宋体" w:hAnsi="宋体"/>
          <w:b/>
          <w:color w:val="000000" w:themeColor="text1"/>
          <w:sz w:val="24"/>
          <w:szCs w:val="24"/>
          <w14:textFill>
            <w14:solidFill>
              <w14:schemeClr w14:val="tx1"/>
            </w14:solidFill>
          </w14:textFill>
        </w:rPr>
      </w:pPr>
      <w:r/>
      <w:bookmarkStart w:id="60" w:name="_Toc513029203"/>
      <w:r/>
      <w:bookmarkStart w:id="61" w:name="_Toc120614214"/>
      <w:r/>
      <w:bookmarkStart w:id="62" w:name="_Toc20823275"/>
      <w:r/>
      <w:bookmarkStart w:id="63" w:name="_Toc16938519"/>
      <w:r>
        <w:rPr>
          <w:rFonts w:hint="eastAsia" w:ascii="宋体" w:hAnsi="宋体"/>
          <w:b/>
          <w:color w:val="000000" w:themeColor="text1"/>
          <w:sz w:val="24"/>
          <w:szCs w:val="24"/>
          <w14:textFill>
            <w14:solidFill>
              <w14:schemeClr w14:val="tx1"/>
            </w14:solidFill>
          </w14:textFill>
        </w:rPr>
        <w:t xml:space="preserve">一、总则</w:t>
      </w:r>
      <w:bookmarkEnd w:id="60"/>
      <w:r/>
      <w:bookmarkEnd w:id="61"/>
      <w:r/>
      <w:bookmarkEnd w:id="62"/>
      <w:r/>
      <w:bookmarkEnd w:id="63"/>
      <w:r/>
      <w:r/>
    </w:p>
    <w:p>
      <w:pPr>
        <w:ind w:firstLine="482"/>
        <w:spacing w:line="360" w:lineRule="auto"/>
        <w:rPr>
          <w:rFonts w:ascii="宋体" w:hAnsi="宋体"/>
          <w:b/>
          <w:color w:val="000000" w:themeColor="text1"/>
          <w:sz w:val="24"/>
          <w:szCs w:val="24"/>
          <w14:textFill>
            <w14:solidFill>
              <w14:schemeClr w14:val="tx1"/>
            </w14:solidFill>
          </w14:textFill>
        </w:rPr>
      </w:pPr>
      <w:r/>
      <w:bookmarkStart w:id="64" w:name="_Hlt16619475"/>
      <w:r/>
      <w:bookmarkEnd w:id="64"/>
      <w:r/>
      <w:bookmarkStart w:id="65" w:name="_Toc458694821"/>
      <w:r/>
      <w:bookmarkStart w:id="66" w:name="_Toc513029204"/>
      <w:r/>
      <w:bookmarkStart w:id="67" w:name="_Toc20823276"/>
      <w:r/>
      <w:bookmarkStart w:id="68" w:name="_Toc16938520"/>
      <w:r>
        <w:rPr>
          <w:rFonts w:hint="eastAsia" w:ascii="宋体" w:hAnsi="宋体"/>
          <w:b/>
          <w:color w:val="000000" w:themeColor="text1"/>
          <w:sz w:val="24"/>
          <w:szCs w:val="24"/>
          <w14:textFill>
            <w14:solidFill>
              <w14:schemeClr w14:val="tx1"/>
            </w14:solidFill>
          </w14:textFill>
        </w:rPr>
        <w:t xml:space="preserve">1</w:t>
      </w:r>
      <w:bookmarkEnd w:id="65"/>
      <w:r>
        <w:rPr>
          <w:rFonts w:hint="eastAsia" w:ascii="宋体" w:hAnsi="宋体"/>
          <w:b/>
          <w:color w:val="000000" w:themeColor="text1"/>
          <w:sz w:val="24"/>
          <w:szCs w:val="24"/>
          <w14:textFill>
            <w14:solidFill>
              <w14:schemeClr w14:val="tx1"/>
            </w14:solidFill>
          </w14:textFill>
        </w:rPr>
        <w:t xml:space="preserve">、采购方式</w:t>
      </w:r>
      <w:bookmarkEnd w:id="66"/>
      <w:r/>
      <w:bookmarkEnd w:id="67"/>
      <w:r/>
      <w:bookmarkEnd w:id="6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1.1本次政府采购活动采取竞争性磋商(以下简称磋商)方式，本磋商文件仅适用于磋商公告中所述项目。</w:t>
      </w:r>
      <w:r/>
    </w:p>
    <w:p>
      <w:pPr>
        <w:ind w:firstLine="482"/>
        <w:spacing w:line="360" w:lineRule="auto"/>
        <w:rPr>
          <w:rFonts w:ascii="宋体" w:hAnsi="宋体"/>
          <w:b/>
          <w:color w:val="000000" w:themeColor="text1"/>
          <w:sz w:val="24"/>
          <w:szCs w:val="24"/>
          <w14:textFill>
            <w14:solidFill>
              <w14:schemeClr w14:val="tx1"/>
            </w14:solidFill>
          </w14:textFill>
        </w:rPr>
      </w:pPr>
      <w:r/>
      <w:bookmarkStart w:id="69" w:name="_Toc513029205"/>
      <w:r/>
      <w:bookmarkStart w:id="70" w:name="_Toc20823277"/>
      <w:r/>
      <w:bookmarkStart w:id="71" w:name="_Toc16938521"/>
      <w:r>
        <w:rPr>
          <w:rFonts w:hint="eastAsia" w:ascii="宋体" w:hAnsi="宋体"/>
          <w:b/>
          <w:color w:val="000000" w:themeColor="text1"/>
          <w:sz w:val="24"/>
          <w:szCs w:val="24"/>
          <w14:textFill>
            <w14:solidFill>
              <w14:schemeClr w14:val="tx1"/>
            </w14:solidFill>
          </w14:textFill>
        </w:rPr>
        <w:t xml:space="preserve">2、合格的</w:t>
      </w:r>
      <w:bookmarkEnd w:id="69"/>
      <w:r/>
      <w:bookmarkEnd w:id="70"/>
      <w:r/>
      <w:bookmarkEnd w:id="71"/>
      <w:r>
        <w:rPr>
          <w:rFonts w:hint="eastAsia" w:ascii="宋体" w:hAnsi="宋体"/>
          <w:b/>
          <w:color w:val="000000" w:themeColor="text1"/>
          <w:sz w:val="24"/>
          <w:szCs w:val="24"/>
          <w14:textFill>
            <w14:solidFill>
              <w14:schemeClr w14:val="tx1"/>
            </w14:solidFill>
          </w14:textFill>
        </w:rPr>
        <w:t xml:space="preserve">供应商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2.1满足磋商公告中供应商资格要求的规定。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 满足本磋商文件实质性要求和条件的规定。</w:t>
      </w:r>
      <w:r/>
    </w:p>
    <w:p>
      <w:pPr>
        <w:ind w:firstLine="482"/>
        <w:spacing w:line="360" w:lineRule="auto"/>
        <w:rPr>
          <w:rFonts w:ascii="宋体" w:hAnsi="宋体"/>
          <w:b/>
          <w:color w:val="000000" w:themeColor="text1"/>
          <w:sz w:val="24"/>
          <w:szCs w:val="24"/>
          <w14:textFill>
            <w14:solidFill>
              <w14:schemeClr w14:val="tx1"/>
            </w14:solidFill>
          </w14:textFill>
        </w:rPr>
      </w:pPr>
      <w:r/>
      <w:bookmarkStart w:id="72" w:name="_Toc16938522"/>
      <w:r/>
      <w:bookmarkStart w:id="73" w:name="_Toc20823278"/>
      <w:r/>
      <w:bookmarkStart w:id="74" w:name="_Toc513029206"/>
      <w:r>
        <w:rPr>
          <w:rFonts w:hint="eastAsia" w:ascii="宋体" w:hAnsi="宋体"/>
          <w:b/>
          <w:color w:val="000000" w:themeColor="text1"/>
          <w:sz w:val="24"/>
          <w:szCs w:val="24"/>
          <w14:textFill>
            <w14:solidFill>
              <w14:schemeClr w14:val="tx1"/>
            </w14:solidFill>
          </w14:textFill>
        </w:rPr>
        <w:t xml:space="preserve">3、适用法律</w:t>
      </w:r>
      <w:bookmarkEnd w:id="72"/>
      <w:r/>
      <w:bookmarkEnd w:id="73"/>
      <w:r/>
      <w:bookmarkEnd w:id="74"/>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本次磋商及由此产生的合同受中华人民共和国有关的法律法规制约和保护</w:t>
      </w:r>
      <w:r>
        <w:rPr>
          <w:rFonts w:ascii="宋体" w:hAnsi="宋体"/>
          <w:color w:val="000000" w:themeColor="text1"/>
          <w:sz w:val="24"/>
          <w:szCs w:val="24"/>
          <w14:textFill>
            <w14:solidFill>
              <w14:schemeClr w14:val="tx1"/>
            </w14:solidFill>
          </w14:textFill>
        </w:rPr>
        <w:t xml:space="preserve">。</w:t>
      </w:r>
      <w:r/>
    </w:p>
    <w:p>
      <w:pPr>
        <w:ind w:firstLine="482"/>
        <w:spacing w:line="360" w:lineRule="auto"/>
        <w:rPr>
          <w:rFonts w:ascii="宋体" w:hAnsi="宋体"/>
          <w:b/>
          <w:color w:val="000000" w:themeColor="text1"/>
          <w:sz w:val="24"/>
          <w:szCs w:val="24"/>
          <w14:textFill>
            <w14:solidFill>
              <w14:schemeClr w14:val="tx1"/>
            </w14:solidFill>
          </w14:textFill>
        </w:rPr>
      </w:pPr>
      <w:r/>
      <w:bookmarkStart w:id="75" w:name="_Toc462564067"/>
      <w:r/>
      <w:bookmarkStart w:id="76" w:name="_Toc20823279"/>
      <w:r/>
      <w:bookmarkStart w:id="77" w:name="_Toc16938523"/>
      <w:r/>
      <w:bookmarkStart w:id="78" w:name="_Toc513029207"/>
      <w:r>
        <w:rPr>
          <w:rFonts w:hint="eastAsia" w:ascii="宋体" w:hAnsi="宋体"/>
          <w:b/>
          <w:color w:val="000000" w:themeColor="text1"/>
          <w:sz w:val="24"/>
          <w:szCs w:val="24"/>
          <w14:textFill>
            <w14:solidFill>
              <w14:schemeClr w14:val="tx1"/>
            </w14:solidFill>
          </w14:textFill>
        </w:rPr>
        <w:t xml:space="preserve">4、磋商费用</w:t>
      </w:r>
      <w:bookmarkEnd w:id="75"/>
      <w:r/>
      <w:bookmarkEnd w:id="76"/>
      <w:r/>
      <w:bookmarkEnd w:id="77"/>
      <w:r/>
      <w:bookmarkEnd w:id="7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4.1供应商应自行承担所有与参加磋商有关的费用，无论磋商过程中的做法和结果如何，采购人在任何情况下均无义务和责任承担这些费用。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4.2本次磋商不收取标书工本费。</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5、磋商文件的约束力</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5.1供应商一旦参加本项目采购活动，即被认为接受了本磋商文件的规定和约束。</w:t>
      </w:r>
      <w:r/>
    </w:p>
    <w:p>
      <w:pPr>
        <w:ind w:firstLine="482"/>
        <w:spacing w:line="360" w:lineRule="auto"/>
        <w:rPr>
          <w:rFonts w:ascii="宋体" w:hAnsi="宋体"/>
          <w:b/>
          <w:color w:val="000000" w:themeColor="text1"/>
          <w:sz w:val="24"/>
          <w:szCs w:val="24"/>
          <w14:textFill>
            <w14:solidFill>
              <w14:schemeClr w14:val="tx1"/>
            </w14:solidFill>
          </w14:textFill>
        </w:rPr>
      </w:pPr>
      <w:r/>
      <w:bookmarkStart w:id="79" w:name="_Toc20823281"/>
      <w:r/>
      <w:bookmarkStart w:id="80" w:name="_Toc513029209"/>
      <w:r/>
      <w:bookmarkStart w:id="81" w:name="_Toc16938525"/>
      <w:r/>
      <w:bookmarkStart w:id="82" w:name="_Toc120614215"/>
      <w:r>
        <w:rPr>
          <w:rFonts w:hint="eastAsia" w:ascii="宋体" w:hAnsi="宋体"/>
          <w:b/>
          <w:color w:val="000000" w:themeColor="text1"/>
          <w:sz w:val="24"/>
          <w:szCs w:val="24"/>
          <w14:textFill>
            <w14:solidFill>
              <w14:schemeClr w14:val="tx1"/>
            </w14:solidFill>
          </w14:textFill>
        </w:rPr>
        <w:t xml:space="preserve">二、</w:t>
      </w:r>
      <w:bookmarkEnd w:id="79"/>
      <w:r/>
      <w:bookmarkEnd w:id="80"/>
      <w:r/>
      <w:bookmarkEnd w:id="81"/>
      <w:r/>
      <w:bookmarkEnd w:id="82"/>
      <w:r>
        <w:rPr>
          <w:rFonts w:hint="eastAsia" w:ascii="宋体" w:hAnsi="宋体"/>
          <w:b/>
          <w:color w:val="000000" w:themeColor="text1"/>
          <w:sz w:val="24"/>
          <w:szCs w:val="24"/>
          <w14:textFill>
            <w14:solidFill>
              <w14:schemeClr w14:val="tx1"/>
            </w14:solidFill>
          </w14:textFill>
        </w:rPr>
        <w:t xml:space="preserve">磋商文件</w:t>
      </w:r>
      <w:r/>
    </w:p>
    <w:p>
      <w:pPr>
        <w:ind w:firstLine="482"/>
        <w:spacing w:line="360" w:lineRule="auto"/>
        <w:rPr>
          <w:rFonts w:ascii="宋体" w:hAnsi="宋体"/>
          <w:b/>
          <w:color w:val="000000" w:themeColor="text1"/>
          <w:sz w:val="24"/>
          <w:szCs w:val="24"/>
          <w14:textFill>
            <w14:solidFill>
              <w14:schemeClr w14:val="tx1"/>
            </w14:solidFill>
          </w14:textFill>
        </w:rPr>
      </w:pPr>
      <w:r/>
      <w:bookmarkStart w:id="83" w:name="_Toc20823282"/>
      <w:r/>
      <w:bookmarkStart w:id="84" w:name="_Toc16938526"/>
      <w:r/>
      <w:bookmarkStart w:id="85" w:name="_Toc513029210"/>
      <w:r>
        <w:rPr>
          <w:rFonts w:hint="eastAsia" w:ascii="宋体" w:hAnsi="宋体"/>
          <w:b/>
          <w:color w:val="000000" w:themeColor="text1"/>
          <w:sz w:val="24"/>
          <w:szCs w:val="24"/>
          <w14:textFill>
            <w14:solidFill>
              <w14:schemeClr w14:val="tx1"/>
            </w14:solidFill>
          </w14:textFill>
        </w:rPr>
        <w:t xml:space="preserve">6、磋商文件构成</w:t>
      </w:r>
      <w:bookmarkEnd w:id="83"/>
      <w:r/>
      <w:bookmarkEnd w:id="84"/>
      <w:r/>
      <w:bookmarkEnd w:id="8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6.1磋商文件由以下部分组成：</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（1）磋商</w:t>
      </w:r>
      <w:r>
        <w:rPr>
          <w:rFonts w:ascii="宋体" w:hAnsi="宋体"/>
          <w:color w:val="000000" w:themeColor="text1"/>
          <w:sz w:val="24"/>
          <w:szCs w:val="24"/>
          <w14:textFill>
            <w14:solidFill>
              <w14:schemeClr w14:val="tx1"/>
            </w14:solidFill>
          </w14:textFill>
        </w:rPr>
        <w:t xml:space="preserve">邀请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（2）供应商须知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（3）采购需求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（4）评审方法与评审标准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（5）响应文件格式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（6）附件（如有）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请仔细检查磋商文件是否齐全，如有缺漏请立即与采购人联系解决。</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2"/>
        <w:spacing w:line="360" w:lineRule="auto"/>
        <w:rPr>
          <w:rFonts w:ascii="宋体" w:hAnsi="宋体"/>
          <w:b/>
          <w:color w:val="000000" w:themeColor="text1"/>
          <w:sz w:val="24"/>
          <w:szCs w:val="24"/>
          <w14:textFill>
            <w14:solidFill>
              <w14:schemeClr w14:val="tx1"/>
            </w14:solidFill>
          </w14:textFill>
        </w:rPr>
      </w:pPr>
      <w:r/>
      <w:bookmarkStart w:id="86" w:name="_Toc513029211"/>
      <w:r/>
      <w:bookmarkStart w:id="87" w:name="_Toc462564070"/>
      <w:r/>
      <w:bookmarkStart w:id="88" w:name="_Toc20823283"/>
      <w:r/>
      <w:bookmarkStart w:id="89" w:name="_Toc16938527"/>
      <w:r>
        <w:rPr>
          <w:rFonts w:hint="eastAsia" w:ascii="宋体" w:hAnsi="宋体"/>
          <w:b/>
          <w:color w:val="000000" w:themeColor="text1"/>
          <w:sz w:val="24"/>
          <w:szCs w:val="24"/>
          <w14:textFill>
            <w14:solidFill>
              <w14:schemeClr w14:val="tx1"/>
            </w14:solidFill>
          </w14:textFill>
        </w:rPr>
        <w:t xml:space="preserve">7、磋商文件的澄清</w:t>
      </w:r>
      <w:bookmarkEnd w:id="86"/>
      <w:r/>
      <w:bookmarkEnd w:id="87"/>
      <w:r/>
      <w:bookmarkEnd w:id="88"/>
      <w:r/>
      <w:bookmarkEnd w:id="89"/>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任何要求对磋商文件进行澄清的供应商，应在磋商截止期5日前按磋商公告中的通讯地址，以书面形式通知采购人。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7.2采购人视情组织答疑会。</w:t>
      </w:r>
      <w:r/>
    </w:p>
    <w:p>
      <w:pPr>
        <w:ind w:firstLine="482"/>
        <w:spacing w:line="360" w:lineRule="auto"/>
        <w:rPr>
          <w:rFonts w:ascii="宋体" w:hAnsi="宋体"/>
          <w:b/>
          <w:color w:val="000000" w:themeColor="text1"/>
          <w:sz w:val="24"/>
          <w:szCs w:val="24"/>
          <w14:textFill>
            <w14:solidFill>
              <w14:schemeClr w14:val="tx1"/>
            </w14:solidFill>
          </w14:textFill>
        </w:rPr>
      </w:pPr>
      <w:r/>
      <w:bookmarkStart w:id="90" w:name="_Toc513029212"/>
      <w:r/>
      <w:bookmarkStart w:id="91" w:name="_Toc16938528"/>
      <w:r/>
      <w:bookmarkStart w:id="92" w:name="_Toc462564071"/>
      <w:r/>
      <w:bookmarkStart w:id="93" w:name="_Toc20823284"/>
      <w:r>
        <w:rPr>
          <w:rFonts w:hint="eastAsia" w:ascii="宋体" w:hAnsi="宋体"/>
          <w:b/>
          <w:color w:val="000000" w:themeColor="text1"/>
          <w:sz w:val="24"/>
          <w:szCs w:val="24"/>
          <w14:textFill>
            <w14:solidFill>
              <w14:schemeClr w14:val="tx1"/>
            </w14:solidFill>
          </w14:textFill>
        </w:rPr>
        <w:t xml:space="preserve">8、磋商文件的澄清和修改</w:t>
      </w:r>
      <w:bookmarkEnd w:id="90"/>
      <w:r/>
      <w:bookmarkEnd w:id="91"/>
      <w:r/>
      <w:bookmarkEnd w:id="92"/>
      <w:r/>
      <w:bookmarkEnd w:id="93"/>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 在响应文件提交截止时间前，采购人可以对磋商文件进行澄清和修改,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spacing w:line="360" w:lineRule="auto"/>
        <w:rPr>
          <w:rFonts w:ascii="宋体" w:hAnsi="宋体"/>
          <w:b/>
          <w:color w:val="000000" w:themeColor="text1"/>
          <w:sz w:val="24"/>
          <w:szCs w:val="24"/>
          <w14:textFill>
            <w14:solidFill>
              <w14:schemeClr w14:val="tx1"/>
            </w14:solidFill>
          </w14:textFill>
        </w:rPr>
      </w:pPr>
      <w:r/>
      <w:bookmarkStart w:id="94" w:name="_Toc20823285"/>
      <w:r/>
      <w:bookmarkStart w:id="95" w:name="_Toc462564072"/>
      <w:r/>
      <w:bookmarkStart w:id="96" w:name="_Toc120614216"/>
      <w:r/>
      <w:bookmarkStart w:id="97" w:name="_Toc513029213"/>
      <w:r/>
      <w:bookmarkStart w:id="98" w:name="_Toc16938529"/>
      <w:r>
        <w:rPr>
          <w:rFonts w:hint="eastAsia" w:ascii="宋体" w:hAnsi="宋体"/>
          <w:b/>
          <w:color w:val="000000" w:themeColor="text1"/>
          <w:sz w:val="24"/>
          <w:szCs w:val="24"/>
          <w14:textFill>
            <w14:solidFill>
              <w14:schemeClr w14:val="tx1"/>
            </w14:solidFill>
          </w14:textFill>
        </w:rPr>
        <w:t xml:space="preserve">三、响应文件的编制</w:t>
      </w:r>
      <w:bookmarkEnd w:id="94"/>
      <w:r/>
      <w:bookmarkEnd w:id="95"/>
      <w:r/>
      <w:bookmarkEnd w:id="96"/>
      <w:r/>
      <w:bookmarkEnd w:id="97"/>
      <w:r/>
      <w:bookmarkEnd w:id="98"/>
      <w:r/>
      <w:r/>
    </w:p>
    <w:p>
      <w:pPr>
        <w:ind w:firstLine="482"/>
        <w:spacing w:line="360" w:lineRule="auto"/>
        <w:rPr>
          <w:rFonts w:ascii="宋体" w:hAnsi="宋体"/>
          <w:b/>
          <w:color w:val="000000" w:themeColor="text1"/>
          <w:sz w:val="24"/>
          <w:szCs w:val="24"/>
          <w14:textFill>
            <w14:solidFill>
              <w14:schemeClr w14:val="tx1"/>
            </w14:solidFill>
          </w14:textFill>
        </w:rPr>
      </w:pPr>
      <w:r/>
      <w:bookmarkStart w:id="99" w:name="_Toc462564073"/>
      <w:r/>
      <w:bookmarkStart w:id="100" w:name="_Toc16938530"/>
      <w:r/>
      <w:bookmarkStart w:id="101" w:name="_Toc513029214"/>
      <w:r/>
      <w:bookmarkStart w:id="102" w:name="_Toc20823286"/>
      <w:r>
        <w:rPr>
          <w:rFonts w:hint="eastAsia" w:ascii="宋体" w:hAnsi="宋体"/>
          <w:b/>
          <w:color w:val="000000" w:themeColor="text1"/>
          <w:sz w:val="24"/>
          <w:szCs w:val="24"/>
          <w14:textFill>
            <w14:solidFill>
              <w14:schemeClr w14:val="tx1"/>
            </w14:solidFill>
          </w14:textFill>
        </w:rPr>
        <w:t xml:space="preserve">9、响应文件的语言及度量衡单位</w:t>
      </w:r>
      <w:bookmarkEnd w:id="99"/>
      <w:r/>
      <w:bookmarkEnd w:id="100"/>
      <w:r/>
      <w:bookmarkEnd w:id="101"/>
      <w:r/>
      <w:bookmarkEnd w:id="102"/>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9.1供应商提交的响应文件以及供应商与采购人就有关磋商的所有来往通知、函件和文件均应使用简体中文。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除技术性能另有规定外，响应文件所使用的度量衡单位，均须采用国家法定计量单位。</w:t>
      </w:r>
      <w:r/>
    </w:p>
    <w:p>
      <w:pPr>
        <w:ind w:firstLine="482"/>
        <w:spacing w:line="360" w:lineRule="auto"/>
        <w:rPr>
          <w:rFonts w:ascii="宋体" w:hAnsi="宋体"/>
          <w:b/>
          <w:color w:val="000000" w:themeColor="text1"/>
          <w:sz w:val="24"/>
          <w:szCs w:val="24"/>
          <w14:textFill>
            <w14:solidFill>
              <w14:schemeClr w14:val="tx1"/>
            </w14:solidFill>
          </w14:textFill>
        </w:rPr>
      </w:pPr>
      <w:r/>
      <w:bookmarkStart w:id="103" w:name="_Toc16938531"/>
      <w:r/>
      <w:bookmarkStart w:id="104" w:name="_Toc513029215"/>
      <w:r/>
      <w:bookmarkStart w:id="105" w:name="_Toc462564074"/>
      <w:r/>
      <w:bookmarkStart w:id="106" w:name="_Toc20823287"/>
      <w:r>
        <w:rPr>
          <w:rFonts w:hint="eastAsia" w:ascii="宋体" w:hAnsi="宋体"/>
          <w:b/>
          <w:color w:val="000000" w:themeColor="text1"/>
          <w:sz w:val="24"/>
          <w:szCs w:val="24"/>
          <w14:textFill>
            <w14:solidFill>
              <w14:schemeClr w14:val="tx1"/>
            </w14:solidFill>
          </w14:textFill>
        </w:rPr>
        <w:t xml:space="preserve">10、响应文件构成</w:t>
      </w:r>
      <w:bookmarkEnd w:id="103"/>
      <w:r/>
      <w:bookmarkEnd w:id="104"/>
      <w:r/>
      <w:bookmarkEnd w:id="105"/>
      <w:r/>
      <w:bookmarkEnd w:id="106"/>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10.1供应商编写的响应文件应包括资格证明文件、符合性证明文件、分项报价表、技术要求响应及偏离表、商务要求响应及偏离表、其他证明文件、磋商响应函等部分。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 如标书制作工具中格式和内容与“江苏政府采购网”发布的磋商文件不一致，请以“江苏政府采购网”发布的磋商文件为准。</w:t>
      </w:r>
      <w:r/>
    </w:p>
    <w:p>
      <w:pPr>
        <w:ind w:firstLine="482"/>
        <w:spacing w:line="360" w:lineRule="auto"/>
        <w:rPr>
          <w:rFonts w:ascii="宋体" w:hAnsi="宋体"/>
          <w:b/>
          <w:color w:val="000000" w:themeColor="text1"/>
          <w:sz w:val="24"/>
          <w:szCs w:val="24"/>
          <w14:textFill>
            <w14:solidFill>
              <w14:schemeClr w14:val="tx1"/>
            </w14:solidFill>
          </w14:textFill>
        </w:rPr>
      </w:pPr>
      <w:r/>
      <w:bookmarkStart w:id="107" w:name="_Hlt26670360"/>
      <w:r/>
      <w:bookmarkEnd w:id="107"/>
      <w:r/>
      <w:bookmarkStart w:id="108" w:name="_Hlt26954838"/>
      <w:r/>
      <w:bookmarkEnd w:id="108"/>
      <w:r/>
      <w:bookmarkStart w:id="109" w:name="_Hlt26668975"/>
      <w:r/>
      <w:bookmarkEnd w:id="109"/>
      <w:r/>
      <w:bookmarkStart w:id="110" w:name="_Toc49090509"/>
      <w:r/>
      <w:bookmarkStart w:id="111" w:name="_Toc14577357"/>
      <w:r/>
      <w:bookmarkStart w:id="112" w:name="_Toc49090507"/>
      <w:r/>
      <w:bookmarkStart w:id="113" w:name="_Toc513029219"/>
      <w:r/>
      <w:bookmarkStart w:id="114" w:name="_Toc14577354"/>
      <w:r/>
      <w:bookmarkStart w:id="115" w:name="_Toc513029216"/>
      <w:r/>
      <w:bookmarkStart w:id="116" w:name="_Toc14577355"/>
      <w:r/>
      <w:bookmarkStart w:id="117" w:name="_Toc49090508"/>
      <w:r>
        <w:rPr>
          <w:rFonts w:hint="eastAsia" w:ascii="宋体" w:hAnsi="宋体"/>
          <w:b/>
          <w:color w:val="000000" w:themeColor="text1"/>
          <w:sz w:val="24"/>
          <w:szCs w:val="24"/>
          <w14:textFill>
            <w14:solidFill>
              <w14:schemeClr w14:val="tx1"/>
            </w14:solidFill>
          </w14:textFill>
        </w:rPr>
        <w:t xml:space="preserve">11、证明磋商响应标的符合磋商文件规定的文件</w:t>
      </w:r>
      <w:bookmarkEnd w:id="110"/>
      <w:r/>
      <w:bookmarkEnd w:id="111"/>
      <w:r/>
      <w:bookmarkEnd w:id="112"/>
      <w:r/>
      <w:bookmarkEnd w:id="113"/>
      <w:r/>
      <w:bookmarkEnd w:id="114"/>
      <w:r/>
      <w:bookmarkEnd w:id="11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11.1供应商应按照磋商文件要求提交证明文件，证明其及磋商响应标的符合磋商文件规定。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11.2磋商文件对证明文件无明确形式要求的，证明文件可以以文字资料、图纸和数据等形式提交。</w:t>
      </w:r>
      <w:bookmarkEnd w:id="116"/>
      <w:r/>
      <w:bookmarkEnd w:id="117"/>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12、分项报价表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12.1供应商应按照磋商文件规定格式填报分项报价表。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2"/>
        <w:spacing w:line="360" w:lineRule="auto"/>
        <w:rPr>
          <w:rFonts w:ascii="宋体" w:hAnsi="宋体"/>
          <w:b/>
          <w:color w:val="000000" w:themeColor="text1"/>
          <w:sz w:val="24"/>
          <w:szCs w:val="24"/>
          <w14:textFill>
            <w14:solidFill>
              <w14:schemeClr w14:val="tx1"/>
            </w14:solidFill>
          </w14:textFill>
        </w:rPr>
      </w:pPr>
      <w:r/>
      <w:bookmarkStart w:id="118" w:name="_Hlt26670486"/>
      <w:r/>
      <w:bookmarkEnd w:id="118"/>
      <w:r/>
      <w:bookmarkStart w:id="119" w:name="_Hlt26954846"/>
      <w:r/>
      <w:bookmarkEnd w:id="119"/>
      <w:r/>
      <w:bookmarkStart w:id="120" w:name="_Hlt26954848"/>
      <w:r/>
      <w:bookmarkEnd w:id="120"/>
      <w:r/>
      <w:bookmarkStart w:id="121" w:name="_Hlt26954731"/>
      <w:r/>
      <w:bookmarkEnd w:id="121"/>
      <w:r/>
      <w:bookmarkStart w:id="122" w:name="_Hlt26670482"/>
      <w:r/>
      <w:bookmarkEnd w:id="122"/>
      <w:r>
        <w:rPr>
          <w:rFonts w:hint="eastAsia" w:ascii="宋体" w:hAnsi="宋体"/>
          <w:b/>
          <w:color w:val="000000" w:themeColor="text1"/>
          <w:sz w:val="24"/>
          <w:szCs w:val="24"/>
          <w14:textFill>
            <w14:solidFill>
              <w14:schemeClr w14:val="tx1"/>
            </w14:solidFill>
          </w14:textFill>
        </w:rPr>
        <w:t xml:space="preserve">13、技术要求响应及偏离表、商务要求响应及偏离表</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供应商需对磋商文件中的技术要求与商务要求逐项作出响应或偏离，并说明原因。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13.2供应商可在响应文件中提供认为需要的其他技术文件或说明。</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14、服务承诺、培训计划、人员安排及其他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14.2供应商需根据磋商文件要求提供培训计划。</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14.3供应商需根据磋商文件要求提供磋商响应标的的主要组成部分、功能设计、实现思路及关键技术等。</w:t>
      </w:r>
      <w:r/>
    </w:p>
    <w:p>
      <w:pPr>
        <w:ind w:firstLine="482"/>
        <w:spacing w:line="360" w:lineRule="auto"/>
        <w:rPr>
          <w:rFonts w:ascii="宋体" w:hAnsi="宋体"/>
          <w:b/>
          <w:color w:val="000000" w:themeColor="text1"/>
          <w:sz w:val="24"/>
          <w:szCs w:val="24"/>
          <w14:textFill>
            <w14:solidFill>
              <w14:schemeClr w14:val="tx1"/>
            </w14:solidFill>
          </w14:textFill>
        </w:rPr>
      </w:pPr>
      <w:r/>
      <w:bookmarkStart w:id="123" w:name="_Toc14577359"/>
      <w:r/>
      <w:bookmarkStart w:id="124" w:name="_Toc49090510"/>
      <w:r>
        <w:rPr>
          <w:rFonts w:hint="eastAsia" w:ascii="宋体" w:hAnsi="宋体"/>
          <w:b/>
          <w:color w:val="000000" w:themeColor="text1"/>
          <w:sz w:val="24"/>
          <w:szCs w:val="24"/>
          <w14:textFill>
            <w14:solidFill>
              <w14:schemeClr w14:val="tx1"/>
            </w14:solidFill>
          </w14:textFill>
        </w:rPr>
        <w:t xml:space="preserve">15、磋商响应函</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15.1供应商应按照磋商文件中提供的格式完整、正确填写磋商响应函。</w:t>
      </w:r>
      <w:bookmarkEnd w:id="123"/>
      <w:r/>
      <w:bookmarkEnd w:id="124"/>
      <w:r/>
      <w:r/>
    </w:p>
    <w:p>
      <w:pPr>
        <w:ind w:firstLine="482"/>
        <w:spacing w:line="360" w:lineRule="auto"/>
        <w:rPr>
          <w:rFonts w:ascii="宋体" w:hAnsi="宋体"/>
          <w:b/>
          <w:color w:val="000000" w:themeColor="text1"/>
          <w:sz w:val="24"/>
          <w:szCs w:val="24"/>
          <w14:textFill>
            <w14:solidFill>
              <w14:schemeClr w14:val="tx1"/>
            </w14:solidFill>
          </w14:textFill>
        </w:rPr>
      </w:pPr>
      <w:r/>
      <w:bookmarkStart w:id="125" w:name="_Toc14577360"/>
      <w:r/>
      <w:bookmarkStart w:id="126" w:name="_Toc49090511"/>
      <w:r>
        <w:rPr>
          <w:rFonts w:hint="eastAsia" w:ascii="宋体" w:hAnsi="宋体"/>
          <w:b/>
          <w:color w:val="000000" w:themeColor="text1"/>
          <w:sz w:val="24"/>
          <w:szCs w:val="24"/>
          <w14:textFill>
            <w14:solidFill>
              <w14:schemeClr w14:val="tx1"/>
            </w14:solidFill>
          </w14:textFill>
        </w:rPr>
        <w:t xml:space="preserve">16、磋商有效期</w:t>
      </w:r>
      <w:bookmarkEnd w:id="125"/>
      <w:r/>
      <w:bookmarkEnd w:id="126"/>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16.1磋商有效期为采购人规定的提交响应文件截止之日后六十（60）天。磋商有效期比规定短的将被视为非实质性响应磋商文件而予以拒绝。</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w:t>
      </w:r>
      <w:r>
        <w:rPr>
          <w:rFonts w:ascii="宋体" w:hAnsi="宋体"/>
          <w:b/>
          <w:color w:val="000000" w:themeColor="text1"/>
          <w:sz w:val="24"/>
          <w:szCs w:val="24"/>
          <w14:textFill>
            <w14:solidFill>
              <w14:schemeClr w14:val="tx1"/>
            </w14:solidFill>
          </w14:textFill>
        </w:rPr>
        <w:t xml:space="preserve">7</w:t>
      </w:r>
      <w:r>
        <w:rPr>
          <w:rFonts w:hint="eastAsia" w:ascii="宋体" w:hAnsi="宋体"/>
          <w:b/>
          <w:color w:val="000000" w:themeColor="text1"/>
          <w:sz w:val="24"/>
          <w:szCs w:val="24"/>
          <w14:textFill>
            <w14:solidFill>
              <w14:schemeClr w14:val="tx1"/>
            </w14:solidFill>
          </w14:textFill>
        </w:rPr>
        <w:t xml:space="preserve">、磋商有效期的延长</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firstLine="482"/>
        <w:spacing w:line="360" w:lineRule="auto"/>
        <w:rPr>
          <w:rFonts w:ascii="宋体" w:hAnsi="宋体"/>
          <w:b/>
          <w:color w:val="000000" w:themeColor="text1"/>
          <w:sz w:val="24"/>
          <w:szCs w:val="24"/>
          <w14:textFill>
            <w14:solidFill>
              <w14:schemeClr w14:val="tx1"/>
            </w14:solidFill>
          </w14:textFill>
        </w:rPr>
      </w:pPr>
      <w:r/>
      <w:bookmarkStart w:id="127" w:name="_Hlt26954852"/>
      <w:r/>
      <w:bookmarkEnd w:id="127"/>
      <w:r/>
      <w:bookmarkStart w:id="128" w:name="_Hlt26954739"/>
      <w:r/>
      <w:bookmarkEnd w:id="128"/>
      <w:r/>
      <w:bookmarkStart w:id="129" w:name="_Toc20823296"/>
      <w:r/>
      <w:bookmarkStart w:id="130" w:name="_Toc16938540"/>
      <w:r/>
      <w:bookmarkStart w:id="131" w:name="_Toc120614217"/>
      <w:r/>
      <w:bookmarkStart w:id="132" w:name="_Toc513029224"/>
      <w:r>
        <w:rPr>
          <w:rFonts w:hint="eastAsia" w:ascii="宋体" w:hAnsi="宋体"/>
          <w:b/>
          <w:color w:val="000000" w:themeColor="text1"/>
          <w:sz w:val="24"/>
          <w:szCs w:val="24"/>
          <w14:textFill>
            <w14:solidFill>
              <w14:schemeClr w14:val="tx1"/>
            </w14:solidFill>
          </w14:textFill>
        </w:rPr>
        <w:t xml:space="preserve">四、响应文件的递交</w:t>
      </w:r>
      <w:bookmarkEnd w:id="129"/>
      <w:r/>
      <w:bookmarkEnd w:id="130"/>
      <w:r/>
      <w:bookmarkEnd w:id="131"/>
      <w:r/>
      <w:bookmarkEnd w:id="132"/>
      <w:r/>
      <w:r/>
    </w:p>
    <w:p>
      <w:pPr>
        <w:ind w:firstLine="482"/>
        <w:spacing w:line="360" w:lineRule="auto"/>
        <w:rPr>
          <w:rFonts w:ascii="宋体" w:hAnsi="宋体"/>
          <w:b/>
          <w:color w:val="000000" w:themeColor="text1"/>
          <w:sz w:val="24"/>
          <w:szCs w:val="24"/>
          <w14:textFill>
            <w14:solidFill>
              <w14:schemeClr w14:val="tx1"/>
            </w14:solidFill>
          </w14:textFill>
        </w:rPr>
      </w:pPr>
      <w:r/>
      <w:bookmarkStart w:id="133" w:name="_Toc462564084"/>
      <w:r/>
      <w:bookmarkStart w:id="134" w:name="_Toc20823297"/>
      <w:r/>
      <w:bookmarkStart w:id="135" w:name="_Toc513029225"/>
      <w:r/>
      <w:bookmarkStart w:id="136" w:name="_Toc16938541"/>
      <w:r>
        <w:rPr>
          <w:rFonts w:hint="eastAsia" w:ascii="宋体" w:hAnsi="宋体"/>
          <w:b/>
          <w:color w:val="000000" w:themeColor="text1"/>
          <w:sz w:val="24"/>
          <w:szCs w:val="24"/>
          <w14:textFill>
            <w14:solidFill>
              <w14:schemeClr w14:val="tx1"/>
            </w14:solidFill>
          </w14:textFill>
        </w:rPr>
        <w:t xml:space="preserve">1</w:t>
      </w:r>
      <w:r>
        <w:rPr>
          <w:rFonts w:ascii="宋体" w:hAnsi="宋体"/>
          <w:b/>
          <w:color w:val="000000" w:themeColor="text1"/>
          <w:sz w:val="24"/>
          <w:szCs w:val="24"/>
          <w14:textFill>
            <w14:solidFill>
              <w14:schemeClr w14:val="tx1"/>
            </w14:solidFill>
          </w14:textFill>
        </w:rPr>
        <w:t xml:space="preserve">8</w:t>
      </w:r>
      <w:r>
        <w:rPr>
          <w:rFonts w:hint="eastAsia" w:ascii="宋体" w:hAnsi="宋体"/>
          <w:b/>
          <w:color w:val="000000" w:themeColor="text1"/>
          <w:sz w:val="24"/>
          <w:szCs w:val="24"/>
          <w14:textFill>
            <w14:solidFill>
              <w14:schemeClr w14:val="tx1"/>
            </w14:solidFill>
          </w14:textFill>
        </w:rPr>
        <w:t xml:space="preserve">、电子磋商</w:t>
      </w:r>
      <w:bookmarkEnd w:id="133"/>
      <w:r/>
      <w:bookmarkEnd w:id="134"/>
      <w:r/>
      <w:bookmarkEnd w:id="135"/>
      <w:r/>
      <w:bookmarkEnd w:id="136"/>
      <w:r>
        <w:rPr>
          <w:rFonts w:hint="eastAsia" w:ascii="宋体" w:hAnsi="宋体"/>
          <w:b/>
          <w:color w:val="000000" w:themeColor="text1"/>
          <w:sz w:val="24"/>
          <w:szCs w:val="24"/>
          <w14:textFill>
            <w14:solidFill>
              <w14:schemeClr w14:val="tx1"/>
            </w14:solidFill>
          </w14:textFill>
        </w:rPr>
        <w:t xml:space="preserve">响应文件的递交</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18.1供应商应当按照《操作手册》规定，在提交响应文件截止时间前</w:t>
      </w:r>
      <w:r>
        <w:rPr>
          <w:rFonts w:ascii="宋体" w:hAnsi="宋体"/>
          <w:color w:val="000000" w:themeColor="text1"/>
          <w:sz w:val="24"/>
          <w:szCs w:val="24"/>
          <w14:textFill>
            <w14:solidFill>
              <w14:schemeClr w14:val="tx1"/>
            </w14:solidFill>
          </w14:textFill>
        </w:rPr>
        <w:t xml:space="preserve">制作</w:t>
      </w:r>
      <w:r>
        <w:rPr>
          <w:rFonts w:hint="eastAsia" w:ascii="宋体" w:hAnsi="宋体"/>
          <w:color w:val="000000" w:themeColor="text1"/>
          <w:sz w:val="24"/>
          <w:szCs w:val="24"/>
          <w14:textFill>
            <w14:solidFill>
              <w14:schemeClr w14:val="tx1"/>
            </w14:solidFill>
          </w14:textFill>
        </w:rPr>
        <w:t xml:space="preserve">并上传电子响应文件。</w:t>
      </w:r>
      <w:bookmarkStart w:id="137" w:name="_Toc20823298"/>
      <w:r/>
      <w:bookmarkStart w:id="138" w:name="_Toc513029226"/>
      <w:r/>
      <w:bookmarkStart w:id="139" w:name="_Toc16938542"/>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19</w:t>
      </w:r>
      <w:r>
        <w:rPr>
          <w:rFonts w:hint="eastAsia" w:ascii="宋体" w:hAnsi="宋体"/>
          <w:b/>
          <w:color w:val="000000" w:themeColor="text1"/>
          <w:sz w:val="24"/>
          <w:szCs w:val="24"/>
          <w14:textFill>
            <w14:solidFill>
              <w14:schemeClr w14:val="tx1"/>
            </w14:solidFill>
          </w14:textFill>
        </w:rPr>
        <w:t xml:space="preserve">、提交响应文件截止时间</w:t>
      </w:r>
      <w:bookmarkEnd w:id="137"/>
      <w:r/>
      <w:bookmarkEnd w:id="138"/>
      <w:r/>
      <w:bookmarkEnd w:id="139"/>
      <w:r/>
      <w:r/>
    </w:p>
    <w:p>
      <w:pPr>
        <w:ind w:firstLine="482"/>
        <w:spacing w:line="360" w:lineRule="auto"/>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19</w:t>
      </w:r>
      <w:r>
        <w:rPr>
          <w:rFonts w:hint="eastAsia" w:ascii="宋体" w:hAnsi="宋体"/>
          <w:b/>
          <w:color w:val="000000" w:themeColor="text1"/>
          <w:sz w:val="24"/>
          <w:szCs w:val="24"/>
          <w14:textFill>
            <w14:solidFill>
              <w14:schemeClr w14:val="tx1"/>
            </w14:solidFill>
          </w14:textFill>
        </w:rPr>
        <w:t xml:space="preserve">.1供应商上传电子响应文件的时间不得迟于磋商公告中规定的提交响应文件截止时间。</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19</w:t>
      </w:r>
      <w:r>
        <w:rPr>
          <w:rFonts w:hint="eastAsia" w:ascii="宋体" w:hAnsi="宋体"/>
          <w:color w:val="000000" w:themeColor="text1"/>
          <w:sz w:val="24"/>
          <w:szCs w:val="24"/>
          <w14:textFill>
            <w14:solidFill>
              <w14:schemeClr w14:val="tx1"/>
            </w14:solidFill>
          </w14:textFill>
        </w:rPr>
        <w:t xml:space="preserve">.2 采购人可以按照规定，通过修改磋商文件酌情延长提交响应文件截止日期，在此情况下，供应商的所有权利和义务以及供应商受制的截止日期均应以延长后新的截止日期为准。</w:t>
      </w:r>
      <w:r/>
    </w:p>
    <w:p>
      <w:pPr>
        <w:ind w:firstLine="482"/>
        <w:spacing w:line="360" w:lineRule="auto"/>
        <w:rPr>
          <w:rFonts w:ascii="宋体" w:hAnsi="宋体"/>
          <w:b/>
          <w:color w:val="000000" w:themeColor="text1"/>
          <w:sz w:val="24"/>
          <w:szCs w:val="24"/>
          <w14:textFill>
            <w14:solidFill>
              <w14:schemeClr w14:val="tx1"/>
            </w14:solidFill>
          </w14:textFill>
        </w:rPr>
      </w:pPr>
      <w:r/>
      <w:bookmarkStart w:id="140" w:name="_Toc513029227"/>
      <w:r/>
      <w:bookmarkStart w:id="141" w:name="_Toc20823299"/>
      <w:r/>
      <w:bookmarkStart w:id="142" w:name="_Toc16938543"/>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0</w:t>
      </w:r>
      <w:r>
        <w:rPr>
          <w:rFonts w:hint="eastAsia" w:ascii="宋体" w:hAnsi="宋体"/>
          <w:b/>
          <w:color w:val="000000" w:themeColor="text1"/>
          <w:sz w:val="24"/>
          <w:szCs w:val="24"/>
          <w14:textFill>
            <w14:solidFill>
              <w14:schemeClr w14:val="tx1"/>
            </w14:solidFill>
          </w14:textFill>
        </w:rPr>
        <w:t xml:space="preserve">、响应文件</w:t>
      </w:r>
      <w:bookmarkEnd w:id="140"/>
      <w:r/>
      <w:bookmarkEnd w:id="141"/>
      <w:r/>
      <w:bookmarkEnd w:id="142"/>
      <w:r>
        <w:rPr>
          <w:rFonts w:hint="eastAsia" w:ascii="宋体" w:hAnsi="宋体"/>
          <w:b/>
          <w:color w:val="000000" w:themeColor="text1"/>
          <w:sz w:val="24"/>
          <w:szCs w:val="24"/>
          <w14:textFill>
            <w14:solidFill>
              <w14:schemeClr w14:val="tx1"/>
            </w14:solidFill>
          </w14:textFill>
        </w:rPr>
        <w:t xml:space="preserve">的拒收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20.1 采购人拒绝接收在其规定的提交响应文件截止时间后上传的任何电子响应文件。</w:t>
      </w:r>
      <w:r/>
    </w:p>
    <w:p>
      <w:pPr>
        <w:ind w:firstLine="482"/>
        <w:spacing w:line="360" w:lineRule="auto"/>
        <w:rPr>
          <w:rFonts w:ascii="宋体" w:hAnsi="宋体"/>
          <w:b/>
          <w:color w:val="000000" w:themeColor="text1"/>
          <w:sz w:val="24"/>
          <w:szCs w:val="24"/>
          <w14:textFill>
            <w14:solidFill>
              <w14:schemeClr w14:val="tx1"/>
            </w14:solidFill>
          </w14:textFill>
        </w:rPr>
      </w:pPr>
      <w:r/>
      <w:bookmarkStart w:id="143" w:name="_Toc513029228"/>
      <w:r/>
      <w:bookmarkStart w:id="144" w:name="_Toc16938544"/>
      <w:r/>
      <w:bookmarkStart w:id="145" w:name="_Toc20823300"/>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1</w:t>
      </w:r>
      <w:r>
        <w:rPr>
          <w:rFonts w:hint="eastAsia" w:ascii="宋体" w:hAnsi="宋体"/>
          <w:b/>
          <w:color w:val="000000" w:themeColor="text1"/>
          <w:sz w:val="24"/>
          <w:szCs w:val="24"/>
          <w14:textFill>
            <w14:solidFill>
              <w14:schemeClr w14:val="tx1"/>
            </w14:solidFill>
          </w14:textFill>
        </w:rPr>
        <w:t xml:space="preserve">、响应文件的撤回和修改</w:t>
      </w:r>
      <w:bookmarkEnd w:id="143"/>
      <w:r/>
      <w:bookmarkEnd w:id="144"/>
      <w:r/>
      <w:bookmarkEnd w:id="14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.1响应文件的撤回</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.1.1 电子响应文件的撤回</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供应商可在提交响应文件截止时间前，撤回其电子响应文件，具体操作方法见《操作手册》。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供应商撤回电子响应文件，则认为其不再参与本项目磋商活动。</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.2响应文件的修改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供应商可在提交响应文件截止时间前，对其电子响应文件进行修改，具体操作方法见《操作手册》。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.3 在提交响应文件截止时间之后，供应商不得对其电子响应文件作任何修改。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.4 在提交响应文件截止时间至磋商文件中规定的磋商有效期满之间的这段时间内，供应商不得撤回其响应文件。</w:t>
      </w:r>
      <w:r/>
    </w:p>
    <w:p>
      <w:pPr>
        <w:ind w:firstLine="482"/>
        <w:spacing w:line="360" w:lineRule="auto"/>
        <w:rPr>
          <w:rFonts w:ascii="宋体" w:hAnsi="宋体"/>
          <w:b/>
          <w:color w:val="000000" w:themeColor="text1"/>
          <w:sz w:val="24"/>
          <w:szCs w:val="24"/>
          <w14:textFill>
            <w14:solidFill>
              <w14:schemeClr w14:val="tx1"/>
            </w14:solidFill>
          </w14:textFill>
        </w:rPr>
      </w:pPr>
      <w:r/>
      <w:bookmarkStart w:id="146" w:name="_Toc16938545"/>
      <w:r/>
      <w:bookmarkStart w:id="147" w:name="_Toc20823301"/>
      <w:r/>
      <w:bookmarkStart w:id="148" w:name="_Toc513029229"/>
      <w:r/>
      <w:bookmarkStart w:id="149" w:name="_Toc120614218"/>
      <w:r>
        <w:rPr>
          <w:rFonts w:hint="eastAsia" w:ascii="宋体" w:hAnsi="宋体"/>
          <w:b/>
          <w:color w:val="000000" w:themeColor="text1"/>
          <w:sz w:val="24"/>
          <w:szCs w:val="24"/>
          <w14:textFill>
            <w14:solidFill>
              <w14:schemeClr w14:val="tx1"/>
            </w14:solidFill>
          </w14:textFill>
        </w:rPr>
        <w:t xml:space="preserve">五、响应文件的解密与评审</w:t>
      </w:r>
      <w:bookmarkEnd w:id="146"/>
      <w:r/>
      <w:bookmarkEnd w:id="147"/>
      <w:r/>
      <w:bookmarkEnd w:id="148"/>
      <w:r/>
      <w:bookmarkEnd w:id="149"/>
      <w:r/>
      <w:r/>
    </w:p>
    <w:p>
      <w:pPr>
        <w:ind w:firstLine="482"/>
        <w:spacing w:line="360" w:lineRule="auto"/>
        <w:rPr>
          <w:rFonts w:ascii="宋体" w:hAnsi="宋体"/>
          <w:b/>
          <w:color w:val="000000" w:themeColor="text1"/>
          <w:sz w:val="24"/>
          <w:szCs w:val="24"/>
          <w14:textFill>
            <w14:solidFill>
              <w14:schemeClr w14:val="tx1"/>
            </w14:solidFill>
          </w14:textFill>
        </w:rPr>
      </w:pPr>
      <w:r/>
      <w:bookmarkStart w:id="150" w:name="_Toc20823302"/>
      <w:r/>
      <w:bookmarkStart w:id="151" w:name="_Toc16938546"/>
      <w:r/>
      <w:bookmarkStart w:id="152" w:name="_Toc513029230"/>
      <w:r>
        <w:rPr>
          <w:rFonts w:hint="eastAsia" w:ascii="宋体" w:hAnsi="宋体"/>
          <w:b/>
          <w:color w:val="000000" w:themeColor="text1"/>
          <w:sz w:val="24"/>
          <w:szCs w:val="24"/>
          <w14:textFill>
            <w14:solidFill>
              <w14:schemeClr w14:val="tx1"/>
            </w14:solidFill>
          </w14:textFill>
        </w:rPr>
        <w:t xml:space="preserve">22、</w:t>
      </w:r>
      <w:bookmarkEnd w:id="150"/>
      <w:r/>
      <w:bookmarkEnd w:id="151"/>
      <w:r/>
      <w:bookmarkEnd w:id="152"/>
      <w:r>
        <w:rPr>
          <w:rFonts w:hint="eastAsia" w:ascii="宋体" w:hAnsi="宋体"/>
          <w:b/>
          <w:color w:val="000000" w:themeColor="text1"/>
          <w:sz w:val="24"/>
          <w:szCs w:val="24"/>
          <w14:textFill>
            <w14:solidFill>
              <w14:schemeClr w14:val="tx1"/>
            </w14:solidFill>
          </w14:textFill>
        </w:rPr>
        <w:t xml:space="preserve">响应文件解密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.1供应商应当按照《操作手册》规定，在苏采云系统规定的时间内对磋商响应文件进行解密。</w:t>
      </w:r>
      <w:r/>
    </w:p>
    <w:p>
      <w:pPr>
        <w:ind w:firstLine="482"/>
        <w:spacing w:line="360" w:lineRule="auto"/>
        <w:rPr>
          <w:rFonts w:ascii="宋体" w:hAnsi="宋体"/>
          <w:b/>
          <w:color w:val="000000" w:themeColor="text1"/>
          <w:sz w:val="24"/>
          <w:szCs w:val="24"/>
          <w14:textFill>
            <w14:solidFill>
              <w14:schemeClr w14:val="tx1"/>
            </w14:solidFill>
          </w14:textFill>
        </w:rPr>
      </w:pPr>
      <w:r/>
      <w:bookmarkStart w:id="153" w:name="_Toc513029231"/>
      <w:r/>
      <w:bookmarkStart w:id="154" w:name="_Toc16938547"/>
      <w:r/>
      <w:bookmarkStart w:id="155" w:name="_Toc20823303"/>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3</w:t>
      </w:r>
      <w:r>
        <w:rPr>
          <w:rFonts w:hint="eastAsia" w:ascii="宋体" w:hAnsi="宋体"/>
          <w:b/>
          <w:color w:val="000000" w:themeColor="text1"/>
          <w:sz w:val="24"/>
          <w:szCs w:val="24"/>
          <w14:textFill>
            <w14:solidFill>
              <w14:schemeClr w14:val="tx1"/>
            </w14:solidFill>
          </w14:textFill>
        </w:rPr>
        <w:t xml:space="preserve">、磋商小组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.1采购人将组织磋商小组对响应文件进行评审。磋商小组由采购人代表和有关技术、经济等方面的专家组成，且人员构成符合政府采购有关规定。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.2磋商小组独立工作，负责评审所有响应文件并确定成交候选人。</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4</w:t>
      </w:r>
      <w:r>
        <w:rPr>
          <w:rFonts w:hint="eastAsia" w:ascii="宋体" w:hAnsi="宋体"/>
          <w:b/>
          <w:color w:val="000000" w:themeColor="text1"/>
          <w:sz w:val="24"/>
          <w:szCs w:val="24"/>
          <w14:textFill>
            <w14:solidFill>
              <w14:schemeClr w14:val="tx1"/>
            </w14:solidFill>
          </w14:textFill>
        </w:rPr>
        <w:t xml:space="preserve">、评审过程的保密与公正</w:t>
      </w:r>
      <w:bookmarkEnd w:id="153"/>
      <w:r/>
      <w:bookmarkEnd w:id="154"/>
      <w:r/>
      <w:bookmarkEnd w:id="155"/>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.1磋商小组、采购人和采购人工作人员、相关监督人员等与评审工作有关的人员，对评审情况以及在评审过程中获悉的国家秘密、商业秘密负有保密责任。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.2在评审过程中，供应商不得以任何行为影响磋商评审过程，否则其响应文件将被作为无效响应文件。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.3在项目评审期间，采购人将设专门人员与供应商联系。</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24</w:t>
      </w:r>
      <w:r>
        <w:rPr>
          <w:rFonts w:hint="eastAsia" w:ascii="宋体" w:hAnsi="宋体"/>
          <w:color w:val="000000" w:themeColor="text1"/>
          <w:sz w:val="24"/>
          <w:szCs w:val="24"/>
          <w14:textFill>
            <w14:solidFill>
              <w14:schemeClr w14:val="tx1"/>
            </w14:solidFill>
          </w14:textFill>
        </w:rPr>
        <w:t xml:space="preserve">.4 采购人和磋商小组不向未成交的供应商解释未成交原因，也不公布评审过程中的相关细节。</w:t>
      </w:r>
      <w:r/>
    </w:p>
    <w:p>
      <w:pPr>
        <w:ind w:firstLine="482"/>
        <w:spacing w:line="360" w:lineRule="auto"/>
        <w:rPr>
          <w:rFonts w:ascii="宋体" w:hAnsi="宋体"/>
          <w:b/>
          <w:color w:val="000000" w:themeColor="text1"/>
          <w:sz w:val="24"/>
          <w:szCs w:val="24"/>
          <w14:textFill>
            <w14:solidFill>
              <w14:schemeClr w14:val="tx1"/>
            </w14:solidFill>
          </w14:textFill>
        </w:rPr>
      </w:pPr>
      <w:r/>
      <w:bookmarkStart w:id="156" w:name="_Toc20823304"/>
      <w:r/>
      <w:bookmarkStart w:id="157" w:name="_Toc16938548"/>
      <w:r/>
      <w:bookmarkStart w:id="158" w:name="_Toc513029232"/>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5</w:t>
      </w:r>
      <w:r>
        <w:rPr>
          <w:rFonts w:hint="eastAsia" w:ascii="宋体" w:hAnsi="宋体"/>
          <w:b/>
          <w:color w:val="000000" w:themeColor="text1"/>
          <w:sz w:val="24"/>
          <w:szCs w:val="24"/>
          <w14:textFill>
            <w14:solidFill>
              <w14:schemeClr w14:val="tx1"/>
            </w14:solidFill>
          </w14:textFill>
        </w:rPr>
        <w:t xml:space="preserve">、评审过程中的澄清</w:t>
      </w:r>
      <w:bookmarkEnd w:id="156"/>
      <w:r/>
      <w:bookmarkEnd w:id="157"/>
      <w:r/>
      <w:bookmarkEnd w:id="158"/>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磋商小组并非对每个供应商都作澄清要求。</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color w:val="000000" w:themeColor="text1"/>
          <w:sz w:val="24"/>
          <w:szCs w:val="24"/>
          <w14:textFill>
            <w14:solidFill>
              <w14:schemeClr w14:val="tx1"/>
            </w14:solidFill>
          </w14:textFill>
        </w:rPr>
        <w:t xml:space="preserve">操作</w:t>
      </w:r>
      <w:r>
        <w:rPr>
          <w:rFonts w:hint="eastAsia" w:ascii="宋体" w:hAnsi="宋体"/>
          <w:color w:val="000000" w:themeColor="text1"/>
          <w:sz w:val="24"/>
          <w:szCs w:val="24"/>
          <w14:textFill>
            <w14:solidFill>
              <w14:schemeClr w14:val="tx1"/>
            </w14:solidFill>
          </w14:textFill>
        </w:rPr>
        <w:t xml:space="preserve">方式</w:t>
      </w:r>
      <w:r>
        <w:rPr>
          <w:rFonts w:ascii="宋体" w:hAnsi="宋体"/>
          <w:color w:val="000000" w:themeColor="text1"/>
          <w:sz w:val="24"/>
          <w:szCs w:val="24"/>
          <w14:textFill>
            <w14:solidFill>
              <w14:schemeClr w14:val="tx1"/>
            </w14:solidFill>
          </w14:textFill>
        </w:rPr>
        <w:t xml:space="preserve">见</w:t>
      </w:r>
      <w:r>
        <w:rPr>
          <w:rFonts w:hint="eastAsia" w:ascii="宋体" w:hAnsi="宋体"/>
          <w:color w:val="000000" w:themeColor="text1"/>
          <w:sz w:val="24"/>
          <w:szCs w:val="24"/>
          <w14:textFill>
            <w14:solidFill>
              <w14:schemeClr w14:val="tx1"/>
            </w14:solidFill>
          </w14:textFill>
        </w:rPr>
        <w:t xml:space="preserve">《操作手册》。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.3 接到磋商小组澄清、说明和更正要求的供应商如未按规定做出澄清、说明和更正，其风险由供应商自行承担。</w:t>
      </w:r>
      <w:r/>
    </w:p>
    <w:p>
      <w:pPr>
        <w:ind w:firstLine="482"/>
        <w:spacing w:line="360" w:lineRule="auto"/>
        <w:rPr>
          <w:rFonts w:ascii="宋体" w:hAnsi="宋体"/>
          <w:b/>
          <w:color w:val="000000" w:themeColor="text1"/>
          <w:sz w:val="24"/>
          <w:szCs w:val="24"/>
          <w14:textFill>
            <w14:solidFill>
              <w14:schemeClr w14:val="tx1"/>
            </w14:solidFill>
          </w14:textFill>
        </w:rPr>
      </w:pPr>
      <w:r/>
      <w:bookmarkStart w:id="159" w:name="_Toc513029233"/>
      <w:r/>
      <w:bookmarkStart w:id="160" w:name="_Toc16938549"/>
      <w:r/>
      <w:bookmarkStart w:id="161" w:name="_Toc20823305"/>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6</w:t>
      </w:r>
      <w:r>
        <w:rPr>
          <w:rFonts w:hint="eastAsia" w:ascii="宋体" w:hAnsi="宋体"/>
          <w:b/>
          <w:color w:val="000000" w:themeColor="text1"/>
          <w:sz w:val="24"/>
          <w:szCs w:val="24"/>
          <w14:textFill>
            <w14:solidFill>
              <w14:schemeClr w14:val="tx1"/>
            </w14:solidFill>
          </w14:textFill>
        </w:rPr>
        <w:t xml:space="preserve">、对响应文件的审</w:t>
      </w:r>
      <w:bookmarkEnd w:id="159"/>
      <w:r/>
      <w:bookmarkEnd w:id="160"/>
      <w:r/>
      <w:bookmarkEnd w:id="161"/>
      <w:r>
        <w:rPr>
          <w:rFonts w:hint="eastAsia" w:ascii="宋体" w:hAnsi="宋体"/>
          <w:b/>
          <w:color w:val="000000" w:themeColor="text1"/>
          <w:sz w:val="24"/>
          <w:szCs w:val="24"/>
          <w14:textFill>
            <w14:solidFill>
              <w14:schemeClr w14:val="tx1"/>
            </w14:solidFill>
          </w14:textFill>
        </w:rPr>
        <w:t xml:space="preserve">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.1响应文件审查分为资格审查和符合性审查。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.1.1 资格审查：由采购人依据法律法规和磋商文件的规定，对响应文件中的资格证明文件进行审查，以确定供应商是否具备参加磋商的资格。</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采购人在进行资格审查的同时，将在“信用中国”网站查询供应商的信用记录，以确定供应商是否具备磋商资格,查询结果留存并归档。</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26.3未实质性响应磋商文件的情形</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26.3.1供应商在苏采云系统规定的时间内未成功解密电子响应文件的。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26.3.2供应商未按照磋商文件要求上传电子响应文件的。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26.3.3同一供应商提交两个（含两个）以上不同的响应文件或者最后报价的。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26.3.4供应商不具备磋商文件中规定资格要求的。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26.3.5供应商的最后报价超过了采购预算或最高限价。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26.3.6不符合磋商文件中规定的实质性要求和条件的。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26.3.8响应文件含有采购人不能接受的附加条件的。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26.3.10响应文件未按照磋商文件要求加盖CA电子公章的。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26.4未实质性响应磋商文件的响应文件按无效响应处理。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.5如果响应文件实质上没有响应磋商文件的要求，磋商小组将予以拒绝，供应商不得通过修改或撤销不合要求的偏离或保留而使其成为实质性响应的文件。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26.6磋商小组将对确定为实质性响应的文件进行进一步审核，看其是否有计算上或累加上的算术错误，修正错误的原则如下：</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（1）响应文件中报价总表内容与响应文件中相应内容不一致的，以报价总表为准。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（2）大写金额和小写金额不一致的，以大写金额为准。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（3）单价金额小数点或者百分比有明显错位的，以报价总表的总价为准，并修改单价。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（4）总价金额与按单价汇总金额不一致的，以单价金额计算结果为准。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同时出现两种以上错误的，按照前款规定的顺序修正。</w:t>
      </w:r>
      <w:r/>
    </w:p>
    <w:p>
      <w:pPr>
        <w:ind w:firstLine="480"/>
        <w:spacing w:line="360" w:lineRule="auto"/>
        <w:rPr>
          <w:rFonts w:ascii="宋体" w:hAnsi="宋体"/>
          <w:color w:val="000000" w:themeColor="text1"/>
          <w:sz w:val="24"/>
          <w:szCs w:val="24"/>
          <w14:textFill>
            <w14:solidFill>
              <w14:schemeClr w14:val="tx1"/>
            </w14:solidFill>
          </w14:textFill>
        </w:rPr>
      </w:pPr>
      <w:r/>
      <w:bookmarkStart w:id="162" w:name="_Toc513029234"/>
      <w:r/>
      <w:bookmarkStart w:id="163" w:name="_Toc16938550"/>
      <w:r/>
      <w:bookmarkStart w:id="164" w:name="_Toc20823306"/>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.7供应商在项目评审全过程中应保持通讯畅通，并安排专人与采购人及磋商小组联系。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w:t>
      </w:r>
      <w:bookmarkEnd w:id="162"/>
      <w:r/>
      <w:bookmarkEnd w:id="163"/>
      <w:r/>
      <w:bookmarkEnd w:id="164"/>
      <w:r>
        <w:rPr>
          <w:rFonts w:hint="eastAsia" w:ascii="宋体" w:hAnsi="宋体"/>
          <w:color w:val="000000" w:themeColor="text1"/>
          <w:sz w:val="24"/>
          <w:szCs w:val="24"/>
          <w14:textFill>
            <w14:solidFill>
              <w14:schemeClr w14:val="tx1"/>
            </w14:solidFill>
          </w14:textFill>
        </w:rPr>
        <w:t xml:space="preserve">磋商程序及评审方法和评审标准</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27.1磋商程序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27.1.2</w:t>
      </w:r>
      <w:r>
        <w:rPr>
          <w:rFonts w:ascii="宋体" w:hAnsi="宋体"/>
          <w:color w:val="000000" w:themeColor="text1"/>
          <w:sz w:val="24"/>
          <w:szCs w:val="24"/>
          <w14:textFill>
            <w14:solidFill>
              <w14:schemeClr w14:val="tx1"/>
            </w14:solidFill>
          </w14:textFill>
        </w:rPr>
        <w:t xml:space="preserve">磋商文件能够详细列明采购标的的技术、服务要求的，磋商结束后，磋商小组</w:t>
      </w:r>
      <w:r>
        <w:rPr>
          <w:rFonts w:hint="eastAsia" w:ascii="宋体" w:hAnsi="宋体"/>
          <w:color w:val="000000" w:themeColor="text1"/>
          <w:sz w:val="24"/>
          <w:szCs w:val="24"/>
          <w14:textFill>
            <w14:solidFill>
              <w14:schemeClr w14:val="tx1"/>
            </w14:solidFill>
          </w14:textFill>
        </w:rPr>
        <w:t xml:space="preserve">将在苏采云系统向所有</w:t>
      </w:r>
      <w:r>
        <w:rPr>
          <w:rFonts w:ascii="宋体" w:hAnsi="宋体"/>
          <w:color w:val="000000" w:themeColor="text1"/>
          <w:sz w:val="24"/>
          <w:szCs w:val="24"/>
          <w14:textFill>
            <w14:solidFill>
              <w14:schemeClr w14:val="tx1"/>
            </w14:solidFill>
          </w14:textFill>
        </w:rPr>
        <w:t xml:space="preserve">实质性响应的供应商</w:t>
      </w:r>
      <w:r>
        <w:rPr>
          <w:rFonts w:hint="eastAsia" w:ascii="宋体" w:hAnsi="宋体"/>
          <w:color w:val="000000" w:themeColor="text1"/>
          <w:sz w:val="24"/>
          <w:szCs w:val="24"/>
          <w14:textFill>
            <w14:solidFill>
              <w14:schemeClr w14:val="tx1"/>
            </w14:solidFill>
          </w14:textFill>
        </w:rPr>
        <w:t xml:space="preserve">发布“最后报价要求函”及最后报价格式表，</w:t>
      </w:r>
      <w:r>
        <w:rPr>
          <w:rFonts w:ascii="宋体" w:hAnsi="宋体"/>
          <w:color w:val="000000" w:themeColor="text1"/>
          <w:sz w:val="24"/>
          <w:szCs w:val="24"/>
          <w14:textFill>
            <w14:solidFill>
              <w14:schemeClr w14:val="tx1"/>
            </w14:solidFill>
          </w14:textFill>
        </w:rPr>
        <w:t xml:space="preserve">要求所有实质性响应的供应商在规定时间内提交最后报价。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themeColor="text1"/>
          <w:sz w:val="24"/>
          <w:szCs w:val="24"/>
          <w14:textFill>
            <w14:solidFill>
              <w14:schemeClr w14:val="tx1"/>
            </w14:solidFill>
          </w14:textFill>
        </w:rPr>
        <w:t xml:space="preserve">已提交响应文件的供应商，在提交最后报价之前，可以根据磋商情况退出磋商</w:t>
      </w:r>
      <w:r>
        <w:rPr>
          <w:rFonts w:hint="eastAsia" w:ascii="宋体" w:hAnsi="宋体"/>
          <w:color w:val="000000" w:themeColor="text1"/>
          <w:sz w:val="24"/>
          <w:szCs w:val="24"/>
          <w14:textFill>
            <w14:solidFill>
              <w14:schemeClr w14:val="tx1"/>
            </w14:solidFill>
          </w14:textFill>
        </w:rPr>
        <w:t xml:space="preserve">，并在苏采云系统中提交“退出磋商函”并加盖CA电子公章</w:t>
      </w:r>
      <w:r>
        <w:rPr>
          <w:rFonts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27.2 评审方法和评审标准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27.2.2评审标准</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见本磋商文件第四章规定。</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27.3采购活动终止的情况</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出现下列情形之一的，本次竞争性磋商采购活动将被终止：</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27.3.1因情况变化，不再符合规定的竞争性磋商采购方式适用情形的。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27.3.2出现影响采购公正的违法、违规行为的。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27.3.3除本磋商文件第二章第27.1.2条第三款规定的情形外，在采购过程中符合要求的供应商或者最后报价未超过采购预算的供应商不足3家的。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27.3.4在苏采云系统规定时间内成功解密电子响应文件的供应商不足3家的。</w:t>
      </w:r>
      <w:r/>
    </w:p>
    <w:p>
      <w:pPr>
        <w:ind w:firstLine="482"/>
        <w:spacing w:line="360" w:lineRule="auto"/>
        <w:rPr>
          <w:rFonts w:ascii="宋体" w:hAnsi="宋体"/>
          <w:b/>
          <w:color w:val="000000" w:themeColor="text1"/>
          <w:sz w:val="24"/>
          <w:szCs w:val="24"/>
          <w14:textFill>
            <w14:solidFill>
              <w14:schemeClr w14:val="tx1"/>
            </w14:solidFill>
          </w14:textFill>
        </w:rPr>
      </w:pPr>
      <w:r/>
      <w:bookmarkStart w:id="165" w:name="_Toc20823307"/>
      <w:r/>
      <w:bookmarkStart w:id="166" w:name="_Toc16938551"/>
      <w:r/>
      <w:bookmarkStart w:id="167" w:name="_Toc513029235"/>
      <w:r/>
      <w:bookmarkStart w:id="168" w:name="_Toc120614219"/>
      <w:r>
        <w:rPr>
          <w:rFonts w:hint="eastAsia" w:ascii="宋体" w:hAnsi="宋体"/>
          <w:b/>
          <w:color w:val="000000" w:themeColor="text1"/>
          <w:sz w:val="24"/>
          <w:szCs w:val="24"/>
          <w14:textFill>
            <w14:solidFill>
              <w14:schemeClr w14:val="tx1"/>
            </w14:solidFill>
          </w14:textFill>
        </w:rPr>
        <w:t xml:space="preserve">六、</w:t>
      </w:r>
      <w:bookmarkEnd w:id="165"/>
      <w:r/>
      <w:bookmarkEnd w:id="166"/>
      <w:r/>
      <w:bookmarkEnd w:id="167"/>
      <w:r/>
      <w:bookmarkEnd w:id="168"/>
      <w:r>
        <w:rPr>
          <w:rFonts w:hint="eastAsia" w:ascii="宋体" w:hAnsi="宋体"/>
          <w:b/>
          <w:color w:val="000000" w:themeColor="text1"/>
          <w:sz w:val="24"/>
          <w:szCs w:val="24"/>
          <w14:textFill>
            <w14:solidFill>
              <w14:schemeClr w14:val="tx1"/>
            </w14:solidFill>
          </w14:textFill>
        </w:rPr>
        <w:t xml:space="preserve">成交</w:t>
      </w:r>
      <w:r/>
    </w:p>
    <w:p>
      <w:pPr>
        <w:ind w:firstLine="482"/>
        <w:spacing w:line="360" w:lineRule="auto"/>
        <w:rPr>
          <w:rFonts w:ascii="宋体" w:hAnsi="宋体"/>
          <w:b/>
          <w:color w:val="000000" w:themeColor="text1"/>
          <w:sz w:val="24"/>
          <w:szCs w:val="24"/>
          <w14:textFill>
            <w14:solidFill>
              <w14:schemeClr w14:val="tx1"/>
            </w14:solidFill>
          </w14:textFill>
        </w:rPr>
      </w:pPr>
      <w:r/>
      <w:bookmarkStart w:id="169" w:name="_Toc513029238"/>
      <w:r/>
      <w:bookmarkStart w:id="170" w:name="_Toc16938554"/>
      <w:r/>
      <w:bookmarkStart w:id="171" w:name="_Toc20823310"/>
      <w:r>
        <w:rPr>
          <w:rFonts w:hint="eastAsia" w:ascii="宋体" w:hAnsi="宋体"/>
          <w:b/>
          <w:color w:val="000000" w:themeColor="text1"/>
          <w:sz w:val="24"/>
          <w:szCs w:val="24"/>
          <w14:textFill>
            <w14:solidFill>
              <w14:schemeClr w14:val="tx1"/>
            </w14:solidFill>
          </w14:textFill>
        </w:rPr>
        <w:t xml:space="preserve">2</w:t>
      </w:r>
      <w:r>
        <w:rPr>
          <w:rFonts w:ascii="宋体" w:hAnsi="宋体"/>
          <w:b/>
          <w:color w:val="000000" w:themeColor="text1"/>
          <w:sz w:val="24"/>
          <w:szCs w:val="24"/>
          <w14:textFill>
            <w14:solidFill>
              <w14:schemeClr w14:val="tx1"/>
            </w14:solidFill>
          </w14:textFill>
        </w:rPr>
        <w:t xml:space="preserve">8</w:t>
      </w:r>
      <w:r>
        <w:rPr>
          <w:rFonts w:hint="eastAsia" w:ascii="宋体" w:hAnsi="宋体"/>
          <w:b/>
          <w:color w:val="000000" w:themeColor="text1"/>
          <w:sz w:val="24"/>
          <w:szCs w:val="24"/>
          <w14:textFill>
            <w14:solidFill>
              <w14:schemeClr w14:val="tx1"/>
            </w14:solidFill>
          </w14:textFill>
        </w:rPr>
        <w:t xml:space="preserve">、</w:t>
      </w:r>
      <w:bookmarkEnd w:id="169"/>
      <w:r>
        <w:rPr>
          <w:rFonts w:hint="eastAsia" w:ascii="宋体" w:hAnsi="宋体"/>
          <w:b/>
          <w:color w:val="000000" w:themeColor="text1"/>
          <w:sz w:val="24"/>
          <w:szCs w:val="24"/>
          <w14:textFill>
            <w14:solidFill>
              <w14:schemeClr w14:val="tx1"/>
            </w14:solidFill>
          </w14:textFill>
        </w:rPr>
        <w:t xml:space="preserve">确定</w:t>
      </w:r>
      <w:bookmarkEnd w:id="170"/>
      <w:r/>
      <w:bookmarkEnd w:id="171"/>
      <w:r>
        <w:rPr>
          <w:rFonts w:hint="eastAsia" w:ascii="宋体" w:hAnsi="宋体"/>
          <w:b/>
          <w:color w:val="000000" w:themeColor="text1"/>
          <w:sz w:val="24"/>
          <w:szCs w:val="24"/>
          <w14:textFill>
            <w14:solidFill>
              <w14:schemeClr w14:val="tx1"/>
            </w14:solidFill>
          </w14:textFill>
        </w:rPr>
        <w:t xml:space="preserve">成交单位</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.2采购人应根据磋商小组推荐的成交候选供应商确定成交供应商。采购人确定成交供应商后，采购人将在“江苏政府采购网”发布成交结果公告，公告期限为1个工作日。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28.3若有充分证据证明，成交供应商出现下列情况之一的，一经查实，将被取消成交资格：</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28.3.1提供虚假材料谋取成交的。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28.3.2与评审专家、采购人、其他供应商或者采购人工作人员恶意串通的。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28.3.3向评审专家、采购人或采购人工作人员行贿或者提供其他不正当利益的。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28.3.4恶意竞争，最后报价明显低于其自身合理成本且又无法提供证明的。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28.3.5不满足本磋商文件规定的实质性要求，但在评审过程中又未被磋商小组发现的。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28.3.7将政府采购合同转包的。</w:t>
      </w:r>
      <w:r/>
    </w:p>
    <w:p>
      <w:pPr>
        <w:ind w:firstLine="482"/>
        <w:spacing w:line="360" w:lineRule="auto"/>
        <w:rPr>
          <w:rFonts w:ascii="宋体" w:hAnsi="宋体"/>
          <w:b/>
          <w:color w:val="000000" w:themeColor="text1"/>
          <w:sz w:val="24"/>
          <w:szCs w:val="24"/>
          <w14:textFill>
            <w14:solidFill>
              <w14:schemeClr w14:val="tx1"/>
            </w14:solidFill>
          </w14:textFill>
        </w:rPr>
      </w:pPr>
      <w:r/>
      <w:bookmarkStart w:id="172" w:name="_Toc200451960"/>
      <w:r>
        <w:rPr>
          <w:rFonts w:ascii="宋体" w:hAnsi="宋体"/>
          <w:b/>
          <w:color w:val="000000" w:themeColor="text1"/>
          <w:sz w:val="24"/>
          <w:szCs w:val="24"/>
          <w14:textFill>
            <w14:solidFill>
              <w14:schemeClr w14:val="tx1"/>
            </w14:solidFill>
          </w14:textFill>
        </w:rPr>
        <w:t xml:space="preserve">29</w:t>
      </w:r>
      <w:r>
        <w:rPr>
          <w:rFonts w:hint="eastAsia" w:ascii="宋体" w:hAnsi="宋体"/>
          <w:b/>
          <w:color w:val="000000" w:themeColor="text1"/>
          <w:sz w:val="24"/>
          <w:szCs w:val="24"/>
          <w14:textFill>
            <w14:solidFill>
              <w14:schemeClr w14:val="tx1"/>
            </w14:solidFill>
          </w14:textFill>
        </w:rPr>
        <w:t xml:space="preserve">、质疑处理</w:t>
      </w:r>
      <w:bookmarkEnd w:id="172"/>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29.4条款的规定向采购人或采购人提出质疑。上述应知其权益受到损害之日，是指：</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.2.1</w:t>
      </w:r>
      <w:r>
        <w:rPr>
          <w:rFonts w:ascii="宋体" w:hAnsi="宋体"/>
          <w:color w:val="000000" w:themeColor="text1"/>
          <w:sz w:val="24"/>
          <w:szCs w:val="24"/>
          <w14:textFill>
            <w14:solidFill>
              <w14:schemeClr w14:val="tx1"/>
            </w14:solidFill>
          </w14:textFill>
        </w:rPr>
        <w:t xml:space="preserve">对可以质疑的采购文件提出质疑的，为收到采购文件之日或者采购文件公告期限届满之日</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29.2.2对采购过程提出质疑的，为各采购程序环节结束之日。</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.2.3</w:t>
      </w:r>
      <w:r>
        <w:rPr>
          <w:rFonts w:ascii="宋体" w:hAnsi="宋体"/>
          <w:color w:val="000000" w:themeColor="text1"/>
          <w:sz w:val="24"/>
          <w:szCs w:val="24"/>
          <w14:textFill>
            <w14:solidFill>
              <w14:schemeClr w14:val="tx1"/>
            </w14:solidFill>
          </w14:textFill>
        </w:rPr>
        <w:t xml:space="preserve">对成交结果提出质疑的，为成交结果公告期限届满之日。</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w:t>
      </w:r>
      <w:r>
        <w:rPr>
          <w:rFonts w:ascii="宋体" w:hAnsi="宋体"/>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将只对供应商第一次质疑作出答复。</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29.4 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采购人及采购人只接收以纸质原件形式送达的质疑,建议供应商尽量通过邮寄方式提交质疑（采购人和采购人不接受未填写快递运单的快件）。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采购人及采购代理机构质疑接收人及联系方式见本采购文件第一章。</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 以下情形的质疑不予受理</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.5.1 内容不符合《政府采购质疑和投诉办法》第十二条规定的质疑。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.5.2 超出政府采购法定期限的质疑。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.5.3 以传真、电子邮件等方式递交的非原件形式的质疑。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.5.4 未参加磋商活动的供应商或在磋商活动中自身权益未受到损害的供应商所提出的质疑。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.5.5供应商组成联合体参加磋商，联合体中任何一方或多方未按要求签字、盖章、加盖公章的质疑。</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29</w:t>
      </w:r>
      <w:r>
        <w:rPr>
          <w:rFonts w:hint="eastAsia" w:ascii="宋体" w:hAnsi="宋体"/>
          <w:color w:val="000000" w:themeColor="text1"/>
          <w:sz w:val="24"/>
          <w:szCs w:val="24"/>
          <w14:textFill>
            <w14:solidFill>
              <w14:schemeClr w14:val="tx1"/>
            </w14:solidFill>
          </w14:textFill>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0</w:t>
      </w:r>
      <w:r>
        <w:rPr>
          <w:rFonts w:hint="eastAsia" w:ascii="宋体" w:hAnsi="宋体"/>
          <w:b/>
          <w:color w:val="000000" w:themeColor="text1"/>
          <w:sz w:val="24"/>
          <w:szCs w:val="24"/>
          <w14:textFill>
            <w14:solidFill>
              <w14:schemeClr w14:val="tx1"/>
            </w14:solidFill>
          </w14:textFill>
        </w:rPr>
        <w:t xml:space="preserve">、成交通知书</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0</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0</w:t>
      </w:r>
      <w:r>
        <w:rPr>
          <w:rFonts w:hint="eastAsia" w:ascii="宋体" w:hAnsi="宋体"/>
          <w:color w:val="000000" w:themeColor="text1"/>
          <w:sz w:val="24"/>
          <w:szCs w:val="24"/>
          <w14:textFill>
            <w14:solidFill>
              <w14:schemeClr w14:val="tx1"/>
            </w14:solidFill>
          </w14:textFill>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b/>
          <w:color w:val="000000" w:themeColor="text1"/>
          <w:sz w:val="24"/>
          <w:szCs w:val="24"/>
          <w14:textFill>
            <w14:solidFill>
              <w14:schemeClr w14:val="tx1"/>
            </w14:solidFill>
          </w14:textFill>
        </w:rPr>
      </w:pPr>
      <w:r/>
      <w:bookmarkStart w:id="173" w:name="_Toc20823308"/>
      <w:r/>
      <w:bookmarkStart w:id="174" w:name="_Toc120614220"/>
      <w:r/>
      <w:bookmarkStart w:id="175" w:name="_Toc16938552"/>
      <w:r/>
      <w:bookmarkStart w:id="176" w:name="_Toc513029236"/>
      <w:r>
        <w:rPr>
          <w:rFonts w:hint="eastAsia" w:ascii="宋体" w:hAnsi="宋体"/>
          <w:b/>
          <w:color w:val="000000" w:themeColor="text1"/>
          <w:sz w:val="24"/>
          <w:szCs w:val="24"/>
          <w14:textFill>
            <w14:solidFill>
              <w14:schemeClr w14:val="tx1"/>
            </w14:solidFill>
          </w14:textFill>
        </w:rPr>
        <w:t xml:space="preserve">七、授予合同</w:t>
      </w:r>
      <w:bookmarkEnd w:id="173"/>
      <w:r/>
      <w:bookmarkEnd w:id="174"/>
      <w:r/>
      <w:bookmarkEnd w:id="175"/>
      <w:r/>
      <w:bookmarkEnd w:id="176"/>
      <w:r/>
      <w:r/>
    </w:p>
    <w:p>
      <w:pPr>
        <w:ind w:firstLine="482"/>
        <w:spacing w:line="360" w:lineRule="auto"/>
        <w:rPr>
          <w:rFonts w:ascii="宋体" w:hAnsi="宋体"/>
          <w:b/>
          <w:color w:val="000000" w:themeColor="text1"/>
          <w:sz w:val="24"/>
          <w:szCs w:val="24"/>
          <w14:textFill>
            <w14:solidFill>
              <w14:schemeClr w14:val="tx1"/>
            </w14:solidFill>
          </w14:textFill>
        </w:rPr>
      </w:pPr>
      <w:r/>
      <w:bookmarkStart w:id="177" w:name="_Toc20823309"/>
      <w:r/>
      <w:bookmarkStart w:id="178" w:name="_Toc513029237"/>
      <w:r/>
      <w:bookmarkStart w:id="179" w:name="_Toc16938553"/>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1</w:t>
      </w:r>
      <w:r>
        <w:rPr>
          <w:rFonts w:hint="eastAsia" w:ascii="宋体" w:hAnsi="宋体"/>
          <w:b/>
          <w:color w:val="000000" w:themeColor="text1"/>
          <w:sz w:val="24"/>
          <w:szCs w:val="24"/>
          <w14:textFill>
            <w14:solidFill>
              <w14:schemeClr w14:val="tx1"/>
            </w14:solidFill>
          </w14:textFill>
        </w:rPr>
        <w:t xml:space="preserve">. 签订合同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.l成交供应商应当在成交通知书发出之日起三十日内，按照磋商文件确定的事项与采购人签订政府采购合同。</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.2磋商文件、成交供应商的响应文件及磋商过程中有关澄清、承诺文件均应作为合同附件。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.3 </w:t>
      </w:r>
      <w:r>
        <w:rPr>
          <w:rFonts w:hint="eastAsia" w:ascii="宋体" w:hAnsi="宋体"/>
          <w:b/>
          <w:color w:val="000000" w:themeColor="text1"/>
          <w:sz w:val="24"/>
          <w:szCs w:val="24"/>
          <w14:textFill>
            <w14:solidFill>
              <w14:schemeClr w14:val="tx1"/>
            </w14:solidFill>
          </w14:textFill>
        </w:rPr>
        <w:t xml:space="preserve">签订合同后，成交供应商不得将合同标的进行转包。</w:t>
      </w:r>
      <w:r>
        <w:rPr>
          <w:rFonts w:hint="eastAsia" w:ascii="宋体" w:hAnsi="宋体"/>
          <w:color w:val="000000" w:themeColor="text1"/>
          <w:sz w:val="24"/>
          <w:szCs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2</w:t>
      </w:r>
      <w:r>
        <w:rPr>
          <w:rFonts w:hint="eastAsia" w:ascii="宋体" w:hAnsi="宋体"/>
          <w:b/>
          <w:color w:val="000000" w:themeColor="text1"/>
          <w:sz w:val="24"/>
          <w:szCs w:val="24"/>
          <w14:textFill>
            <w14:solidFill>
              <w14:schemeClr w14:val="tx1"/>
            </w14:solidFill>
          </w14:textFill>
        </w:rPr>
        <w:t xml:space="preserve">、标的物的追加</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bookmarkEnd w:id="177"/>
      <w:r/>
      <w:bookmarkEnd w:id="178"/>
      <w:r/>
      <w:bookmarkEnd w:id="179"/>
      <w:r/>
      <w:r/>
    </w:p>
    <w:p>
      <w:pPr>
        <w:ind w:firstLine="482"/>
        <w:spacing w:line="360" w:lineRule="auto"/>
        <w:rPr>
          <w:rFonts w:ascii="宋体" w:hAnsi="宋体"/>
          <w:b/>
          <w:color w:val="000000" w:themeColor="text1"/>
          <w:sz w:val="24"/>
          <w:szCs w:val="24"/>
          <w14:textFill>
            <w14:solidFill>
              <w14:schemeClr w14:val="tx1"/>
            </w14:solidFill>
          </w14:textFill>
        </w:rPr>
      </w:pPr>
      <w:r/>
      <w:bookmarkStart w:id="180" w:name="_Toc120614221"/>
      <w:r/>
      <w:bookmarkStart w:id="181" w:name="_Toc20823314"/>
      <w:r/>
      <w:bookmarkStart w:id="182" w:name="_Toc479757207"/>
      <w:r/>
      <w:bookmarkStart w:id="183" w:name="_Toc16938558"/>
      <w:r/>
      <w:bookmarkStart w:id="184" w:name="_Toc513029242"/>
      <w:r>
        <w:rPr>
          <w:rFonts w:hint="eastAsia" w:ascii="宋体" w:hAnsi="宋体"/>
          <w:b/>
          <w:color w:val="000000" w:themeColor="text1"/>
          <w:sz w:val="24"/>
          <w:szCs w:val="24"/>
          <w14:textFill>
            <w14:solidFill>
              <w14:schemeClr w14:val="tx1"/>
            </w14:solidFill>
          </w14:textFill>
        </w:rPr>
        <w:t xml:space="preserve">3</w:t>
      </w:r>
      <w:r>
        <w:rPr>
          <w:rFonts w:ascii="宋体" w:hAnsi="宋体"/>
          <w:b/>
          <w:color w:val="000000" w:themeColor="text1"/>
          <w:sz w:val="24"/>
          <w:szCs w:val="24"/>
          <w14:textFill>
            <w14:solidFill>
              <w14:schemeClr w14:val="tx1"/>
            </w14:solidFill>
          </w14:textFill>
        </w:rPr>
        <w:t xml:space="preserve">3</w:t>
      </w:r>
      <w:r>
        <w:rPr>
          <w:rFonts w:hint="eastAsia" w:ascii="宋体" w:hAnsi="宋体"/>
          <w:b/>
          <w:color w:val="000000" w:themeColor="text1"/>
          <w:sz w:val="24"/>
          <w:szCs w:val="24"/>
          <w14:textFill>
            <w14:solidFill>
              <w14:schemeClr w14:val="tx1"/>
            </w14:solidFill>
          </w14:textFill>
        </w:rPr>
        <w:t xml:space="preserve">、政府采购履约资金扶持政策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成交供应商可凭政府采购合同办理融资贷款，详情请见江苏政府采购网“政采贷”专栏。</w:t>
      </w:r>
      <w:bookmarkEnd w:id="180"/>
      <w:r/>
      <w:bookmarkEnd w:id="181"/>
      <w:r/>
      <w:bookmarkEnd w:id="182"/>
      <w:r/>
      <w:bookmarkEnd w:id="183"/>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
    </w:p>
    <w:p>
      <w:pPr>
        <w:ind w:firstLine="482"/>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34. 政府采购合同信用融资扶持政策</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34.1根据</w:t>
      </w:r>
      <w:r>
        <w:rPr>
          <w:rFonts w:hint="eastAsia" w:ascii="宋体" w:hAnsi="宋体"/>
          <w:color w:val="000000" w:themeColor="text1"/>
          <w:sz w:val="24"/>
          <w:szCs w:val="24"/>
          <w14:textFill>
            <w14:solidFill>
              <w14:schemeClr w14:val="tx1"/>
            </w14:solidFill>
          </w14:textFill>
        </w:rPr>
        <w:t xml:space="preserve">《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根据《关于深入开展南通市政府采购线上合同信用融资业务的通知》（通财购〔2022〕68号），中标（成交）供应商可通过中征应收账款融资服务平台（简称“中征平台”）办理“政采贷”融资贷款，具体业务操作流程如下：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34.2.1确定融资意向。中标(成交) 供应商取得中标 (成交 ) 通知书后，联系意向金融机构，商治融资事项，确定融资意向。</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34.2.2签订采购合同。中标(成交 ) 供应商与采购人签订政府采购合同时，应将自身融资需求告知采购人或其委托的采购代理机构，提醒 (或协助 ) 其当天在“苏采云”上传合同的同时将“供应商是否融资”选为“是”</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34.2.3提交融资申请。中标(成交) 供应商登录“中征平台”进行用户注册，查看“政采贷”融资产品，向确定合作的金融机构提交融资申请。</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34.2.4确认回款账户。金融机构填写需要锁定的回款账户信息后中标(成交)供应商应登录“中征平台”确认账户信息，以实现回款账户的锁定。</w:t>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hint="eastAsia"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r>
      <w:r/>
    </w:p>
    <w:p>
      <w:pPr>
        <w:ind w:firstLine="880"/>
        <w:jc w:val="center"/>
        <w:spacing w:line="560" w:lineRule="exact"/>
        <w:rPr>
          <w:rFonts w:ascii="黑体" w:hAnsi="Courier New" w:eastAsia="黑体" w:cs="Courier New"/>
          <w:bCs/>
          <w:color w:val="000000" w:themeColor="text1"/>
          <w:sz w:val="44"/>
          <w:szCs w:val="21"/>
          <w14:textFill>
            <w14:solidFill>
              <w14:schemeClr w14:val="tx1"/>
            </w14:solidFill>
          </w14:textFill>
        </w:rPr>
      </w:pPr>
      <w:r>
        <w:rPr>
          <w:rFonts w:hint="eastAsia" w:ascii="黑体" w:hAnsi="Courier New" w:eastAsia="黑体" w:cs="Courier New"/>
          <w:bCs/>
          <w:color w:val="000000" w:themeColor="text1"/>
          <w:sz w:val="44"/>
          <w:szCs w:val="21"/>
          <w14:textFill>
            <w14:solidFill>
              <w14:schemeClr w14:val="tx1"/>
            </w14:solidFill>
          </w14:textFill>
        </w:rPr>
        <w:t xml:space="preserve">第</w:t>
      </w:r>
      <w:bookmarkEnd w:id="185"/>
      <w:r>
        <w:rPr>
          <w:rFonts w:hint="eastAsia" w:ascii="黑体" w:hAnsi="Courier New" w:eastAsia="黑体" w:cs="Courier New"/>
          <w:bCs/>
          <w:color w:val="000000" w:themeColor="text1"/>
          <w:sz w:val="44"/>
          <w:szCs w:val="21"/>
          <w14:textFill>
            <w14:solidFill>
              <w14:schemeClr w14:val="tx1"/>
            </w14:solidFill>
          </w14:textFill>
        </w:rPr>
        <w:t xml:space="preserve">三章 采购需求</w:t>
      </w:r>
      <w:bookmarkEnd w:id="186"/>
      <w:r/>
      <w:bookmarkEnd w:id="187"/>
      <w:r/>
      <w:bookmarkEnd w:id="188"/>
      <w:r/>
      <w:bookmarkStart w:id="191" w:name="_Toc26554093"/>
      <w:r/>
      <w:bookmarkStart w:id="192" w:name="_Toc49090575"/>
      <w:r/>
      <w:r/>
    </w:p>
    <w:p>
      <w:pPr>
        <w:ind w:firstLine="480"/>
        <w:spacing w:line="560" w:lineRule="exact"/>
        <w:rPr>
          <w:rFonts w:ascii="宋体" w:hAnsi="Courier New" w:cs="Courier New"/>
          <w:color w:val="000000" w:themeColor="text1"/>
          <w:sz w:val="24"/>
          <w:szCs w:val="24"/>
          <w14:textFill>
            <w14:solidFill>
              <w14:schemeClr w14:val="tx1"/>
            </w14:solidFill>
          </w14:textFill>
        </w:rPr>
      </w:pPr>
      <w:r>
        <w:rPr>
          <w:rFonts w:hint="eastAsia" w:ascii="宋体" w:hAnsi="Courier New" w:cs="Courier New"/>
          <w:color w:val="000000" w:themeColor="text1"/>
          <w:sz w:val="24"/>
          <w:szCs w:val="24"/>
          <w14:textFill>
            <w14:solidFill>
              <w14:schemeClr w14:val="tx1"/>
            </w14:solidFill>
          </w14:textFill>
        </w:rPr>
        <w:t xml:space="preserve">项目属性：</w:t>
      </w:r>
      <w:r>
        <w:rPr>
          <w:rFonts w:hint="eastAsia" w:ascii="宋体" w:hAnsi="Courier New" w:cs="Courier New"/>
          <w:color w:val="000000" w:themeColor="text1"/>
          <w:sz w:val="24"/>
          <w:szCs w:val="24"/>
          <w:lang w:val="en-US" w:eastAsia="zh-CN"/>
          <w14:textFill>
            <w14:solidFill>
              <w14:schemeClr w14:val="tx1"/>
            </w14:solidFill>
          </w14:textFill>
        </w:rPr>
        <w:t xml:space="preserve">货物</w:t>
      </w:r>
      <w:r>
        <w:rPr>
          <w:rFonts w:hint="eastAsia" w:ascii="宋体" w:hAnsi="Courier New" w:cs="Courier New"/>
          <w:color w:val="000000" w:themeColor="text1"/>
          <w:sz w:val="24"/>
          <w:szCs w:val="24"/>
          <w14:textFill>
            <w14:solidFill>
              <w14:schemeClr w14:val="tx1"/>
            </w14:solidFill>
          </w14:textFill>
        </w:rPr>
        <w:t xml:space="preserve">类项目</w:t>
      </w:r>
      <w:r/>
    </w:p>
    <w:p>
      <w:pPr>
        <w:ind w:firstLine="480"/>
        <w:spacing w:line="560" w:lineRule="exact"/>
        <w:rPr>
          <w:rFonts w:ascii="宋体" w:hAnsi="Courier New" w:cs="Courier New"/>
          <w:color w:val="000000" w:themeColor="text1"/>
          <w:sz w:val="24"/>
          <w:szCs w:val="24"/>
          <w14:textFill>
            <w14:solidFill>
              <w14:schemeClr w14:val="tx1"/>
            </w14:solidFill>
          </w14:textFill>
        </w:rPr>
      </w:pPr>
      <w:r>
        <w:rPr>
          <w:rFonts w:hint="eastAsia" w:ascii="宋体" w:hAnsi="Courier New" w:cs="Courier New"/>
          <w:color w:val="000000" w:themeColor="text1"/>
          <w:sz w:val="24"/>
          <w:szCs w:val="24"/>
          <w14:textFill>
            <w14:solidFill>
              <w14:schemeClr w14:val="tx1"/>
            </w14:solidFill>
          </w14:textFill>
        </w:rPr>
        <w:t xml:space="preserve">采购需求包括拟采购的标的及其需要满足的技术、商务要求。</w:t>
      </w:r>
      <w:r/>
    </w:p>
    <w:p>
      <w:pPr>
        <w:numPr>
          <w:ilvl w:val="0"/>
          <w:numId w:val="5"/>
        </w:numPr>
        <w:ind w:firstLine="480"/>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技术要求是指对采购标的功能和质量要求，包括性能、材料、结构、外观、安全，或</w:t>
      </w:r>
      <w:r>
        <w:rPr>
          <w:rFonts w:hint="eastAsia" w:ascii="宋体" w:hAnsi="Courier New" w:cs="Courier New"/>
          <w:color w:val="000000" w:themeColor="text1"/>
          <w:sz w:val="24"/>
          <w:szCs w:val="24"/>
          <w14:textFill>
            <w14:solidFill>
              <w14:schemeClr w14:val="tx1"/>
            </w14:solidFill>
          </w14:textFill>
        </w:rPr>
        <w:t xml:space="preserve">者服务内容和标准等</w:t>
      </w:r>
      <w:r>
        <w:rPr>
          <w:rFonts w:hint="eastAsia" w:ascii="宋体" w:hAnsi="Courier New" w:cs="Courier New"/>
          <w:color w:val="000000" w:themeColor="text1"/>
          <w:sz w:val="24"/>
          <w:szCs w:val="24"/>
          <w:lang w:eastAsia="zh-CN"/>
          <w14:textFill>
            <w14:solidFill>
              <w14:schemeClr w14:val="tx1"/>
            </w14:solidFill>
          </w14:textFill>
        </w:rPr>
        <w:t xml:space="preserve">，</w:t>
      </w:r>
      <w:r>
        <w:rPr>
          <w:rFonts w:hint="eastAsia" w:ascii="宋体" w:hAnsi="Courier New" w:cs="Courier New"/>
          <w:color w:val="000000" w:themeColor="text1"/>
          <w:sz w:val="24"/>
          <w:szCs w:val="24"/>
          <w:lang w:val="en-US" w:eastAsia="zh-CN"/>
          <w14:textFill>
            <w14:solidFill>
              <w14:schemeClr w14:val="tx1"/>
            </w14:solidFill>
          </w14:textFill>
        </w:rPr>
        <w:t xml:space="preserve">本项目不接受负偏离</w:t>
      </w:r>
      <w:r>
        <w:rPr>
          <w:rFonts w:hint="eastAsia" w:ascii="宋体" w:hAnsi="Courier New" w:cs="Courier New"/>
          <w:color w:val="000000" w:themeColor="text1"/>
          <w:sz w:val="24"/>
          <w:szCs w:val="24"/>
          <w14:textFill>
            <w14:solidFill>
              <w14:schemeClr w14:val="tx1"/>
            </w14:solidFill>
          </w14:textFill>
        </w:rPr>
        <w:t xml:space="preserve">。</w:t>
      </w:r>
      <w:r/>
    </w:p>
    <w:p>
      <w:pPr>
        <w:ind w:firstLine="482"/>
        <w:keepLines w:val="0"/>
        <w:keepNext w:val="0"/>
        <w:pageBreakBefore w:val="0"/>
        <w:spacing w:line="560" w:lineRule="exact"/>
        <w:widowControl w:val="off"/>
        <w:rPr>
          <w:rFonts w:hint="eastAsia" w:ascii="宋体" w:hAnsi="Courier New" w:eastAsia="宋体" w:cs="Courier New"/>
          <w:b/>
          <w:bCs/>
          <w:color w:val="000000" w:themeColor="text1"/>
          <w:sz w:val="24"/>
          <w:szCs w:val="24"/>
          <w:lang w:val="en-US" w:eastAsia="zh-CN"/>
          <w14:textFill>
            <w14:solidFill>
              <w14:schemeClr w14:val="tx1"/>
            </w14:solidFill>
          </w14:textFill>
        </w:rPr>
      </w:pPr>
      <w:r>
        <w:rPr>
          <w:rFonts w:hint="eastAsia" w:ascii="宋体" w:hAnsi="Courier New" w:eastAsia="宋体" w:cs="Courier New"/>
          <w:b/>
          <w:bCs/>
          <w:color w:val="000000" w:themeColor="text1"/>
          <w:sz w:val="24"/>
          <w:szCs w:val="24"/>
          <w:lang w:val="en-US" w:eastAsia="zh-CN"/>
          <w14:textFill>
            <w14:solidFill>
              <w14:schemeClr w14:val="tx1"/>
            </w14:solidFill>
          </w14:textFill>
        </w:rPr>
        <w:t xml:space="preserve">1.1概况</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海安红星河片区、城区智慧管控系统提升项目范围。根据海安市区域治水推进情况，结合海安实际，红星河片区初步拟定以 5、6 片区作为海安市区域治水近期实施先行片；本次提升改造为 5 区（红星 河片区）内涉及的 27 座泵闸站，实现远程监控、数据监测、视频监控、语音广播及对讲。城区智慧管控系统提升项目范围以 3 区（城区）内涉及的 15 座泵闸站，实现远程监控、数据监测、视频监控、语音广播及对讲。</w:t>
      </w:r>
      <w:r/>
    </w:p>
    <w:p>
      <w:pPr>
        <w:ind w:firstLine="482"/>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b/>
          <w:bCs/>
          <w:color w:val="000000" w:themeColor="text1"/>
          <w:sz w:val="24"/>
          <w:szCs w:val="24"/>
          <w:lang w:val="en-US" w:eastAsia="zh-CN"/>
          <w14:textFill>
            <w14:solidFill>
              <w14:schemeClr w14:val="tx1"/>
            </w14:solidFill>
          </w14:textFill>
        </w:rPr>
        <w:t xml:space="preserve">1.2项目建设目标</w: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充分运用物联</w: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网、云计算、大数据、移动互联等信息化新技术，围绕全市防洪与水环境的调度管理，对泵闸进行自动化提升改造，整合已有系统资源，建立统一的数据资源汇集管理中心，建立业务融合的水利工程智慧管控平台，同时预留接口，保证与海安智慧水网互联互通。形成以“监测预警、智能控制、精细管理、智慧调度”为标志的“海安市区域治水智慧管控”模式,实现泵闸集中远程控制、分级管理，构建防洪排涝调度优先、水环境调度常态化管理机制，全面提升水利工程的综合管理水平，保障城市防洪排涝安全，提升城市水环境，为海安下一阶段“水利数字孪生”建设打下基础。</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具体目标：对现有闸站、排涝泵站的自动化监控设施进行全面的升级改造、维护，接入智慧管控系统，实现工程的远程集中控制、视频监控、现场水位等数据的准确采集。 </w:t>
      </w:r>
      <w:r/>
    </w:p>
    <w:p>
      <w:pPr>
        <w:ind w:firstLine="482"/>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b/>
          <w:bCs/>
          <w:color w:val="000000" w:themeColor="text1"/>
          <w:sz w:val="24"/>
          <w:szCs w:val="24"/>
          <w:lang w:val="en-US" w:eastAsia="zh-CN"/>
          <w14:textFill>
            <w14:solidFill>
              <w14:schemeClr w14:val="tx1"/>
            </w14:solidFill>
          </w14:textFill>
        </w:rPr>
        <w:t xml:space="preserve">1.3项目主要建设内容</w: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红星河片区主要建设内容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1.设备搬迁：统一整合，协同管理。把原位于海安市水利堤闸管理中心贲家集分中心（贲家集管理所）内的红星灌区控制中心机房整体迁至海安市水利管理中心大公水利分中心（大公水利站）5楼，重新融合搭建。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机房设备搬迁是一项复杂而重要的任务。通过制定详细的搬迁方案、实施科学的搬迁流程以及加强后期管理和维护等措施，可以确保机房设备搬迁的安全、高效和顺利。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2、信息化平台升级：系统架构、系统软件、系统软件主要功能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3、闸站控制系统修复升级改造：现地控制柜的检修、电源检查、PLC 控制系统、现场操作屏维修改造、闸位计修复升级改造、水位计修复升级改造、视频监控系统修复升级改造、网络更新整合、闸站语音广播系统。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NumType w:start="1"/>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w:r>
      <w:r/>
    </w:p>
    <w:p>
      <w:pPr>
        <w:ind w:firstLine="480"/>
        <w:keepLines w:val="0"/>
        <w:keepNext w:val="0"/>
        <w:pageBreakBefore w:val="0"/>
        <w:spacing w:line="240" w:lineRule="auto"/>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mc:AlternateContent>
          <mc:Choice Requires="wpg">
            <w:drawing>
              <wp:inline xmlns:wp="http://schemas.openxmlformats.org/drawingml/2006/wordprocessingDrawing" distT="0" distB="0" distL="0" distR="0">
                <wp:extent cx="8856980" cy="5276850"/>
                <wp:effectExtent l="0" t="0" r="1270" b="0"/>
                <wp:docPr id="1"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r/>
                      </pic:nvPicPr>
                      <pic:blipFill>
                        <a:blip r:embed="rId13"/>
                        <a:stretch/>
                      </pic:blipFill>
                      <pic:spPr bwMode="auto">
                        <a:xfrm>
                          <a:off x="0" y="0"/>
                          <a:ext cx="8856980" cy="5276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97.4pt;height:415.5pt;mso-wrap-distance-left:0.0pt;mso-wrap-distance-top:0.0pt;mso-wrap-distance-right:0.0pt;mso-wrap-distance-bottom:0.0pt;" stroked="false">
                <v:path textboxrect="0,0,0,0"/>
                <v:imagedata r:id="rId13" o:title=""/>
              </v:shape>
            </w:pict>
          </mc:Fallback>
        </mc:AlternateContent>
      </w:r>
      <w:r/>
    </w:p>
    <w:p>
      <w:pPr>
        <w:ind w:firstLine="480"/>
        <w:keepLines w:val="0"/>
        <w:keepNext w:val="0"/>
        <w:pageBreakBefore w:val="0"/>
        <w:spacing w:line="240" w:lineRule="auto"/>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mc:AlternateContent>
          <mc:Choice Requires="wpg">
            <w:drawing>
              <wp:inline xmlns:wp="http://schemas.openxmlformats.org/drawingml/2006/wordprocessingDrawing" distT="0" distB="0" distL="0" distR="0">
                <wp:extent cx="8852535" cy="5673090"/>
                <wp:effectExtent l="0" t="0" r="5715" b="3810"/>
                <wp:docPr id="2" name="图片 3" descr="dc51fdcb-64a8-4ab6-8131-c769596f2d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c51fdcb-64a8-4ab6-8131-c769596f2d40"/>
                        <pic:cNvPicPr>
                          <a:picLocks noChangeAspect="1"/>
                        </pic:cNvPicPr>
                        <pic:nvPr/>
                      </pic:nvPicPr>
                      <pic:blipFill>
                        <a:blip r:embed="rId14"/>
                        <a:stretch/>
                      </pic:blipFill>
                      <pic:spPr bwMode="auto">
                        <a:xfrm>
                          <a:off x="0" y="0"/>
                          <a:ext cx="8852535" cy="5673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7.0pt;height:446.7pt;mso-wrap-distance-left:0.0pt;mso-wrap-distance-top:0.0pt;mso-wrap-distance-right:0.0pt;mso-wrap-distance-bottom:0.0pt;" stroked="false">
                <v:path textboxrect="0,0,0,0"/>
                <v:imagedata r:id="rId14" o:title=""/>
              </v:shape>
            </w:pict>
          </mc:Fallback>
        </mc:AlternateConten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城区片区主要建设内容： </w:t>
      </w:r>
      <w:r/>
    </w:p>
    <w:p>
      <w:pPr>
        <w:numPr>
          <w:ilvl w:val="0"/>
          <w:numId w:val="6"/>
        </w:num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平台改造: 系统架构、系统软件等；</w:t>
      </w:r>
      <w:r/>
    </w:p>
    <w:p>
      <w:pPr>
        <w:numPr>
          <w:ilvl w:val="0"/>
          <w:numId w:val="0"/>
        </w:num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2、管理平台开发：闸站总览、计量任务、历史计录、告警管理、操作日志、计量设备、管理大屏等；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3、增设服务器：2U 机架式，2*Kunpeng 920 32Core@2.6GHz）/32GB*2/4T SATA*3/4*GE/900W*2/导轨/三年维保；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4、UPS 系统；输出功率容量 11.0K 瓦数/11.0kVA 最大可配置功率(瓦)11.0K 瓦数/11.0kVA 额定输出电压 220V 输出电压失真低于3%输出频率(与主频率同步)50Hz。UPS 主机通讯与管理：接口端口（多个），环境：工作温度 0-40°C。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5、仪表系统更换：雷达水位计、闸位计等；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6、视频监控系统改造：增设前端视频监控、更换硬盘录像机、增设视频服务器、增设喊话器。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7、报警系统 </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pPr>
      <w:r>
        <w:rPr>
          <w:rFonts w:hint="eastAsia" w:ascii="宋体" w:hAnsi="Courier New" w:eastAsia="宋体" w:cs="Courier New"/>
          <w:color w:val="000000" w:themeColor="text1"/>
          <w:sz w:val="24"/>
          <w:szCs w:val="24"/>
          <w:lang w:val="en-US" w:eastAsia="zh-CN"/>
          <w14:textFill>
            <w14:solidFill>
              <w14:schemeClr w14:val="tx1"/>
            </w14:solidFill>
          </w14:textFill>
        </w:rPr>
        <w:t xml:space="preserve">8、通扬河西泵站接入平台</w:t>
      </w:r>
      <w:r/>
    </w:p>
    <w:p>
      <w:pPr>
        <w:ind w:firstLine="480"/>
        <w:keepLines w:val="0"/>
        <w:keepNext w:val="0"/>
        <w:pageBreakBefore w:val="0"/>
        <w:spacing w:line="560" w:lineRule="exact"/>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1906" w:h="16838" w:orient="portrait"/>
          <w:pgMar w:top="1440" w:right="1080" w:bottom="1440" w:left="108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w:r>
      <w:r/>
    </w:p>
    <w:p>
      <w:pPr>
        <w:ind w:left="479" w:firstLine="0"/>
        <w:keepLines w:val="0"/>
        <w:keepNext w:val="0"/>
        <w:pageBreakBefore w:val="0"/>
        <w:spacing w:line="240" w:lineRule="auto"/>
        <w:widowControl w:val="off"/>
        <w:rPr>
          <w:rFonts w:hint="eastAsia" w:ascii="宋体" w:hAnsi="Courier New" w:eastAsia="宋体" w:cs="Courier New"/>
          <w:color w:val="000000" w:themeColor="text1"/>
          <w:sz w:val="24"/>
          <w:szCs w:val="24"/>
          <w:lang w:val="en-US" w:eastAsia="zh-CN"/>
          <w14:textFill>
            <w14:solidFill>
              <w14:schemeClr w14:val="tx1"/>
            </w14:solidFill>
          </w14:textFill>
        </w:rPr>
        <w:sectPr>
          <w:footnotePr/>
          <w:endnotePr/>
          <w:type w:val="nextPage"/>
          <w:pgSz w:w="16838" w:h="11906" w:orient="landscape"/>
          <w:pgMar w:top="1080" w:right="1440" w:bottom="1080" w:left="1440" w:header="851" w:footer="907" w:gutter="0"/>
          <w:cols w:num="1" w:sep="0" w:space="720" w:equalWidth="1"/>
          <w:docGrid w:linePitch="360"/>
          <w:titlePg/>
        </w:sectPr>
      </w:pPr>
      <w:r>
        <w:rPr>
          <w:rFonts w:hint="eastAsia" w:ascii="宋体" w:hAnsi="Courier New" w:eastAsia="宋体" w:cs="Courier New"/>
          <w:color w:val="000000" w:themeColor="text1"/>
          <w:sz w:val="24"/>
          <w:szCs w:val="24"/>
          <w:lang w:val="en-US" w:eastAsia="zh-CN"/>
          <w14:textFill>
            <w14:solidFill>
              <w14:schemeClr w14:val="tx1"/>
            </w14:solidFill>
          </w14:textFill>
        </w:rPr>
        <mc:AlternateContent>
          <mc:Choice Requires="wpg">
            <w:drawing>
              <wp:inline xmlns:wp="http://schemas.openxmlformats.org/drawingml/2006/wordprocessingDrawing" distT="0" distB="0" distL="0" distR="0">
                <wp:extent cx="8663940" cy="5343525"/>
                <wp:effectExtent l="0" t="0" r="3810" b="9525"/>
                <wp:docPr id="3" name="图片 4" descr="d-4582-a571-a3560f6393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4582-a571-a3560f6393c8"/>
                        <pic:cNvPicPr>
                          <a:picLocks noChangeAspect="1"/>
                        </pic:cNvPicPr>
                        <pic:nvPr/>
                      </pic:nvPicPr>
                      <pic:blipFill>
                        <a:blip r:embed="rId15"/>
                        <a:stretch/>
                      </pic:blipFill>
                      <pic:spPr bwMode="auto">
                        <a:xfrm>
                          <a:off x="0" y="0"/>
                          <a:ext cx="8663940" cy="53435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82.2pt;height:420.8pt;mso-wrap-distance-left:0.0pt;mso-wrap-distance-top:0.0pt;mso-wrap-distance-right:0.0pt;mso-wrap-distance-bottom:0.0pt;" stroked="false">
                <v:path textboxrect="0,0,0,0"/>
                <v:imagedata r:id="rId15" o:title=""/>
              </v:shape>
            </w:pict>
          </mc:Fallback>
        </mc:AlternateContent>
      </w:r>
      <w:r>
        <w:rPr>
          <w:rFonts w:hint="eastAsia" w:ascii="宋体" w:hAnsi="Courier New" w:eastAsia="宋体" w:cs="Courier New"/>
          <w:color w:val="000000" w:themeColor="text1"/>
          <w:sz w:val="24"/>
          <w:szCs w:val="24"/>
          <w:lang w:val="en-US" w:eastAsia="zh-CN"/>
          <w14:textFill>
            <w14:solidFill>
              <w14:schemeClr w14:val="tx1"/>
            </w14:solidFill>
          </w14:textFill>
        </w:rPr>
        <w:t xml:space="preserve">中标单位产生后，参建各方对清单复核确认，确认无误后施工，原有资产拍照留档、拆除或废旧件验收前施工单位集中保管，验收前一并移交给管理单位处置。</w:t>
      </w:r>
      <w:r/>
    </w:p>
    <w:p>
      <w:pPr>
        <w:ind w:firstLine="480"/>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宋体"/>
          <w:b/>
          <w:bCs/>
          <w:color w:val="000000"/>
          <w:sz w:val="24"/>
          <w:szCs w:val="24"/>
          <w:lang w:val="en-US" w:eastAsia="zh-CN"/>
        </w:rPr>
        <w:t xml:space="preserve">红星河片区</w:t>
      </w:r>
      <w:r>
        <w:rPr>
          <w:rFonts w:hint="eastAsia" w:ascii="宋体" w:hAnsi="宋体"/>
          <w:b/>
          <w:bCs/>
          <w:color w:val="000000"/>
          <w:sz w:val="24"/>
          <w:szCs w:val="24"/>
        </w:rPr>
        <w:t xml:space="preserve">采购需求清单</w:t>
      </w:r>
      <w:r>
        <w:rPr>
          <w:rFonts w:hint="eastAsia" w:ascii="宋体" w:hAnsi="Courier New" w:cs="Courier New"/>
          <w:color w:val="000000" w:themeColor="text1"/>
          <w:sz w:val="24"/>
          <w:szCs w:val="24"/>
          <w14:textFill>
            <w14:solidFill>
              <w14:schemeClr w14:val="tx1"/>
            </w14:solidFill>
          </w14:textFill>
        </w:rPr>
        <w:t xml:space="preserve">：</w:t>
      </w:r>
      <w:r/>
    </w:p>
    <w:tbl>
      <w:tblPr>
        <w:tblStyle w:val="699"/>
        <w:tblW w:w="105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5"/>
        <w:gridCol w:w="1086"/>
        <w:gridCol w:w="429"/>
        <w:gridCol w:w="3255"/>
        <w:gridCol w:w="783"/>
        <w:gridCol w:w="947"/>
        <w:gridCol w:w="869"/>
        <w:gridCol w:w="868"/>
        <w:gridCol w:w="1713"/>
      </w:tblGrid>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1、首部平台系统搬迁整合及升级</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582"/>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280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信息化平台</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实现数据上下对接、共享。建设调度、防汛、水利等业务管理相关数据的采集、设备运行状态采集、视频监控、综合调度管理平台。通过一个登陆门户、分级权限管理方式，实现防汛及水利业务、信息预警与运行维护等系统整合，提高系统资源共享、业务协同能力和行业管理水平。详见设计方案（管理平台进行二次设计并通过建设单位评审）</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数据库软件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国产数据库（一次购买、无需每年续费）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操作员站（含视频操作）</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国产CPU、主频大于2.7GHZ/16G/512G+2TB/2G/国产操作系统 键盘鼠标，显示器27寸，分辨率不低于2K</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1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服务器、机柜等迁移</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红星灌区控制中心设备移到大公水利服务中心5楼 栟北片区红星河西片；（服务器大数据中心部署无费用，需申请配额）</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网络安全等级保护</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服务费</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2、闸站控制系统升级改造</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480"/>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电源隔离器</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电压380V（220V） 30A 、50/60Hz、 0℃~60℃、端子连接</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浪涌保护器、电压380V（220V）、防雷UP≥2.0KA、阻燃、导轨安装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PLC</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PLC主控制器全国产器件</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8 IN(NTC10K,开关量，0-10V，4-20mA)；12 BI(开关量输入)；</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6 BO(干接点,5A，AC220V)；</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6 AO(0-10V或4-20mA)；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·32位CPU；支持1个MODBUS SLAVE RS485通讯口 ；1个MODBUS MASTER RS485通讯口；1个H-BUS扩展模块RS485通讯口；</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触摸屏更新</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10.1"TFT 、 网口、工业级                                   分 辨 率1024X600 、铸铝合金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显示亮度：300cd/㎡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四线电容式、 24-20%VDC 含面板整改，编程</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维护、整改</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现场线路、控制柜修复，恢复项目设计功能，清理柜内及自动化相关区域，符合项目验收标准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3、仪表更新完善</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270"/>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LCD 液晶显示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中英文菜单切换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物位/液位模式选择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输出量程起点和终点任意设置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可带 HART 通讯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带还原设置功能，支持恢复出厂设置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带数字滤波，动态回波识别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测量范围:0-85 米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过程连接:螺纹锁紧，法兰从DN50/G2 起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过程温度:-40-80℃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过程压力:(-0.1-0.3)MPa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精度:±2mm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频率范围:76GHz-81GHZ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防护等级:IP68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天线尺寸:35mm 透镜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供电电源:9-30VDC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信号输出:4-20mA/RS485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调试:Modbus 协议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波特率:9600(默认)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外壳:PTFE/ABS</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水位计支架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高度1米，带旋转支架、臂长1.1米</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04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水位显示屏</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尺寸：1002*362*68mm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像素：192*64</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供电电压：AC220V</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显示颜色：红、黄、绿、根据要求自动切换；</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通信协议：s7或者modbus tcp</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防水等级：IP54</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安装方式：壁挂或者抱箍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304不锈钢、烤漆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59"/>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多圈绝对式编码器 258圈*128分辨率， 4~20mA 输出， DC 24V 供电，双限位</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闸位计安装附件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根据现场安装支架及联轴器，量程调校、限位调节支架等</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2"/>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安装调试，分布现场27座闸站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2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4、网络更新整合</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439"/>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控制中心专线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专线网络500M （二年）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海安大数据中心专线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专线网络500M （二年）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闸站专线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专线网络20M（二年）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预留栟北控制中心专线</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固定IP 专线网络500M （二年）</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动态路由协议、自动网络拓扑、安全增强型、支持多VALAN接口</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5、视频监控系统更换改造</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彩色超低照度高性能摄像机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支持传感器类型1/3" Progressive Scan CMOS；聚焦功能:自动; 镜头焦距  2.7mm～12mm最大分辨率2688 × 1520；宽动态120dB；H.265支持；星光支持；供电方式DC12V/POE；防护等级IP67 （双向语音对讲）</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DS-1293ZJ</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监控专用电源 </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摄像球机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一体化球机1）★23倍变焦、360度旋转；2）★有效像素：400万像素；3）★最低照度：彩色：0.05Lux @ (F1.4，AGC ON)；4）黑白：0.005Lux @(F1.4，AGC ON)白平衡；5) 自动/手动/自动跟踪白平衡/室内/室外/室外自动/钠灯白平衡；6）背光补偿：支持；（含备品1只）</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工业交换机10口千兆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4605"/>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安防管理平台软件，适用于全行业通用综合安防业务，平台集成视频监控、门禁管理、停车出入口、入侵报警、事件联动、智脸监控等功能，并对各系统资源进行整合和集中管理。含300路视频监控授权名单库比对报警，支持最大8路图片流分析或2路视频流分析（400W视频流）</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16个目标名单库，总库容5万张（证件照）</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抓拍库500万张目标图片</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支持陌生人报警、目标1V1比对</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支持以图搜图、按姓名检索、按属性检索</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GPU分析能力：</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图片流：8路；视频流：2路200W/2路400W</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00"/>
        </w:trPr>
        <w:tc>
          <w:tcPr>
            <w:gridSpan w:val="6"/>
            <w:shd w:val="clear" w:color="auto" w:fill="d6dce4"/>
            <w:tcBorders>
              <w:top w:val="single" w:color="000000" w:sz="8" w:space="0"/>
              <w:left w:val="single" w:color="000000" w:sz="8" w:space="0"/>
              <w:bottom w:val="single" w:color="000000" w:sz="8" w:space="0"/>
              <w:right w:val="single" w:color="000000" w:sz="4" w:space="0"/>
            </w:tcBorders>
            <w:tcW w:w="7055"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6、闸站语音广播系统</w:t>
            </w:r>
            <w:r/>
          </w:p>
        </w:tc>
        <w:tc>
          <w:tcPr>
            <w:shd w:val="clear" w:color="auto" w:fill="d6dce4"/>
            <w:tcBorders>
              <w:top w:val="single" w:color="000000" w:sz="8" w:space="0"/>
              <w:left w:val="single" w:color="000000" w:sz="4" w:space="0"/>
              <w:bottom w:val="single" w:color="000000" w:sz="8" w:space="0"/>
              <w:right w:val="single" w:color="000000" w:sz="4" w:space="0"/>
            </w:tcBorders>
            <w:tcW w:w="869"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258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522"/>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gridSpan w:val="2"/>
            <w:shd w:val="clear" w:color="auto" w:fill="auto"/>
            <w:tcBorders>
              <w:top w:val="single" w:color="000000" w:sz="8"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32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7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广播对讲系统</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公共广播系统、专业可调频，工程级</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闸站报警号角</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报警控制、录音播放、实时语音播放（融合入指挥中心控制）</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IP网络解码器</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标准RJ45  TCP/IP,UDP,IGMP，FTP，ICMP,ARP,支持跨网关跨路由配置，音频模式网络数据包</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79"/>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25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安装、调试，网线、电源线等材料</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widowControl/>
              <w:rPr>
                <w:rFonts w:hint="eastAsia" w:ascii="宋体" w:hAnsi="宋体" w:eastAsia="宋体" w:cs="宋体"/>
                <w:i w:val="0"/>
                <w:iCs w:val="0"/>
                <w:color w:val="0000ff"/>
                <w:sz w:val="21"/>
                <w:szCs w:val="21"/>
                <w:u w:val="none"/>
              </w:rPr>
              <w:suppressLineNumbers w:val="0"/>
            </w:pPr>
            <w:r>
              <w:rPr>
                <w:rFonts w:hint="eastAsia" w:ascii="宋体" w:hAnsi="宋体" w:eastAsia="宋体" w:cs="宋体"/>
                <w:i w:val="0"/>
                <w:iCs w:val="0"/>
                <w:color w:val="0000ff"/>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2"/>
        </w:trPr>
        <w:tc>
          <w:tcPr>
            <w:gridSpan w:val="2"/>
            <w:shd w:val="clear" w:color="auto" w:fill="d6dce4"/>
            <w:tcBorders>
              <w:top w:val="single" w:color="000000" w:sz="8" w:space="0"/>
              <w:left w:val="single" w:color="000000" w:sz="8" w:space="0"/>
              <w:bottom w:val="single" w:color="000000" w:sz="8" w:space="0"/>
              <w:right w:val="single" w:color="000000" w:sz="4" w:space="0"/>
            </w:tcBorders>
            <w:tcW w:w="164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合计：</w:t>
            </w:r>
            <w:r/>
          </w:p>
        </w:tc>
        <w:tc>
          <w:tcPr>
            <w:gridSpan w:val="3"/>
            <w:shd w:val="clear" w:color="auto" w:fill="d6dce4"/>
            <w:tcBorders>
              <w:top w:val="single" w:color="000000" w:sz="8" w:space="0"/>
              <w:left w:val="single" w:color="000000" w:sz="4" w:space="0"/>
              <w:bottom w:val="single" w:color="000000" w:sz="8" w:space="0"/>
              <w:right w:val="single" w:color="000000" w:sz="4" w:space="0"/>
            </w:tcBorders>
            <w:tcW w:w="446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gridSpan w:val="4"/>
            <w:shd w:val="clear" w:color="auto" w:fill="d6dce4"/>
            <w:tcBorders>
              <w:top w:val="single" w:color="000000" w:sz="8" w:space="0"/>
              <w:left w:val="single" w:color="000000" w:sz="4" w:space="0"/>
              <w:bottom w:val="single" w:color="000000" w:sz="8" w:space="0"/>
              <w:right w:val="single" w:color="000000" w:sz="8" w:space="0"/>
            </w:tcBorders>
            <w:tcW w:w="439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480"/>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Courier New" w:cs="Courier New"/>
          <w:color w:val="000000" w:themeColor="text1"/>
          <w:sz w:val="24"/>
          <w:szCs w:val="24"/>
          <w14:textFill>
            <w14:solidFill>
              <w14:schemeClr w14:val="tx1"/>
            </w14:solidFill>
          </w14:textFill>
        </w:rPr>
      </w:r>
      <w:r/>
    </w:p>
    <w:p>
      <w:pPr>
        <w:ind w:firstLine="482"/>
        <w:spacing w:line="560" w:lineRule="exact"/>
        <w:rPr>
          <w:rFonts w:hint="eastAsia" w:ascii="宋体" w:hAnsi="Courier New" w:cs="Courier New"/>
          <w:color w:val="000000" w:themeColor="text1"/>
          <w:sz w:val="24"/>
          <w:szCs w:val="24"/>
          <w14:textFill>
            <w14:solidFill>
              <w14:schemeClr w14:val="tx1"/>
            </w14:solidFill>
          </w14:textFill>
        </w:rPr>
      </w:pPr>
      <w:r>
        <w:rPr>
          <w:rFonts w:hint="eastAsia" w:ascii="宋体" w:hAnsi="宋体"/>
          <w:b/>
          <w:bCs/>
          <w:color w:val="000000"/>
          <w:sz w:val="24"/>
          <w:szCs w:val="24"/>
          <w:lang w:val="en-US" w:eastAsia="zh-CN"/>
        </w:rPr>
        <w:t xml:space="preserve">城区片区</w:t>
      </w:r>
      <w:r>
        <w:rPr>
          <w:rFonts w:hint="eastAsia" w:ascii="宋体" w:hAnsi="宋体"/>
          <w:b/>
          <w:bCs/>
          <w:color w:val="000000"/>
          <w:sz w:val="24"/>
          <w:szCs w:val="24"/>
        </w:rPr>
        <w:t xml:space="preserve">采购需求清单</w:t>
      </w:r>
      <w:r>
        <w:rPr>
          <w:rFonts w:hint="eastAsia" w:ascii="宋体" w:hAnsi="Courier New" w:cs="Courier New"/>
          <w:color w:val="000000" w:themeColor="text1"/>
          <w:sz w:val="24"/>
          <w:szCs w:val="24"/>
          <w14:textFill>
            <w14:solidFill>
              <w14:schemeClr w14:val="tx1"/>
            </w14:solidFill>
          </w14:textFill>
        </w:rPr>
        <w:t xml:space="preserve">：</w:t>
      </w:r>
      <w:r/>
    </w:p>
    <w:tbl>
      <w:tblPr>
        <w:tblStyle w:val="699"/>
        <w:tblW w:w="105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0"/>
        <w:gridCol w:w="1041"/>
        <w:gridCol w:w="4035"/>
        <w:gridCol w:w="985"/>
        <w:gridCol w:w="1092"/>
        <w:gridCol w:w="927"/>
        <w:gridCol w:w="732"/>
        <w:gridCol w:w="1128"/>
      </w:tblGrid>
      <w:tr>
        <w:trPr>
          <w:trHeight w:val="462"/>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1、信息化平台改造</w:t>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2505"/>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信息化平台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实现数据上下对接、共享。建设调度、防汛、水利等业务管理相关数据的采集、设备运行状态采集、视频监控、综合调度管理平台。通过一个登陆门户、分级权限管理方式，实现防汛及水利业务、信息预警与运行维护等系统整合，提高系统资源共享、业务协同能力和行业管理水平。详见设计方案（管理平台进行二次设计并通过建设单位评审）</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国产数据库（一次购买、无需每年续费）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新站接入</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通扬河西闸站改造接入</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网络安全等级保护</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2、服务器改造</w:t>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36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2U机架式，2*Kunpeng 920 32Core@2.6GHz）/32GB*2/4T SATA*3/SR450-M-2G/4*GE/900W*2/导轨/三年维保  </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3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   国产服务器软件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4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操作员站（含视频操作）</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国产CPU、主频大于2.7GHZ/16G/512G+2TB/2G/国产操作系统 键盘鼠标，显示器27寸，分辨率不低于2K</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59"/>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42"/>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机房电池</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12V160ah</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更换电池，安装调试，接地</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900"/>
        </w:trPr>
        <w:tc>
          <w:tcPr>
            <w:gridSpan w:val="5"/>
            <w:shd w:val="clear" w:color="auto" w:fill="d6dce4"/>
            <w:tcBorders>
              <w:top w:val="none" w:color="000000" w:sz="4"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4、仪表系统更换改造</w:t>
            </w:r>
            <w:r/>
          </w:p>
        </w:tc>
        <w:tc>
          <w:tcPr>
            <w:shd w:val="clear" w:color="auto" w:fill="d6dce4"/>
            <w:tcBorders>
              <w:top w:val="none" w:color="000000" w:sz="4"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none" w:color="000000" w:sz="4"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LCD 液晶显示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中英文菜单切换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物位/液位模式选择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输出量程起点和终点任意设置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可带 HART 通讯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带还原设置功能，支持恢复出厂设置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带数字滤波，动态回波识别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测量范围:0-85 米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过程连接:螺纹锁紧，法兰从DN50/G2 起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过程温度:-40-80℃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过程压力:(-0.1-0.3)MPa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精度:±2mm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频率范围:76GHz-81GHZ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防护等级:IP68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天线尺寸:35mm 透镜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供电电源:9-30VDC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信号输出:4-20mA/RS485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调试:Modbus 协议 </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波特率:9600(默认) </w:t>
            </w:r>
            <w:r/>
          </w:p>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外壳:PTFE/ABS</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水位计支架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高度1米，带旋转支架、臂长1.1米（两个备品备件）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多圈绝对式编码器 258圈*128分辨率， 4~20mA 输出， DC 24V 供电，双限位（一套备品备件）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闸位计安装附件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根据现场安装支架及联轴器，量程调校、限位调节支架等（一套备品备件）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3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安装调试，分布现场15座闸站</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3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触摸屏更新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10.1"TFT 、 网口、工业级                                   分 辨 率1024X600 、铸铝合金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显示亮度：300cd/㎡              </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四线电容式、 24-20%VDC 含面板整改，编程</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00"/>
        </w:trPr>
        <w:tc>
          <w:tcPr>
            <w:gridSpan w:val="5"/>
            <w:shd w:val="clear" w:color="auto" w:fill="d6dce4"/>
            <w:tcBorders>
              <w:top w:val="single" w:color="000000" w:sz="8" w:space="0"/>
              <w:left w:val="single" w:color="000000" w:sz="8" w:space="0"/>
              <w:bottom w:val="single" w:color="000000" w:sz="8" w:space="0"/>
              <w:right w:val="single" w:color="000000" w:sz="4" w:space="0"/>
            </w:tcBorders>
            <w:tcW w:w="7753"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5、视频监控系统更换改造</w:t>
            </w:r>
            <w:r/>
          </w:p>
        </w:tc>
        <w:tc>
          <w:tcPr>
            <w:shd w:val="clear" w:color="auto" w:fill="d6dce4"/>
            <w:tcBorders>
              <w:top w:val="single" w:color="000000" w:sz="8" w:space="0"/>
              <w:left w:val="single" w:color="000000" w:sz="4" w:space="0"/>
              <w:bottom w:val="single" w:color="000000" w:sz="8" w:space="0"/>
              <w:right w:val="single" w:color="000000" w:sz="4" w:space="0"/>
            </w:tcBorders>
            <w:tcW w:w="927" w:type="dxa"/>
            <w:vAlign w:val="center"/>
            <w:textDirection w:val="lrTb"/>
            <w:noWrap/>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小计：</w:t>
            </w:r>
            <w:r/>
          </w:p>
        </w:tc>
        <w:tc>
          <w:tcPr>
            <w:gridSpan w:val="2"/>
            <w:shd w:val="clear" w:color="auto" w:fill="d6dce4"/>
            <w:tcBorders>
              <w:top w:val="single" w:color="000000" w:sz="8" w:space="0"/>
              <w:left w:val="single" w:color="000000" w:sz="4" w:space="0"/>
              <w:bottom w:val="single" w:color="000000" w:sz="8" w:space="0"/>
              <w:right w:val="single" w:color="000000" w:sz="4" w:space="0"/>
            </w:tcBorders>
            <w:tcW w:w="1860"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r>
        <w:trPr>
          <w:trHeight w:val="600"/>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名称</w:t>
            </w:r>
            <w:r/>
          </w:p>
        </w:tc>
        <w:tc>
          <w:tcPr>
            <w:shd w:val="clear" w:color="auto" w:fill="auto"/>
            <w:tcBorders>
              <w:top w:val="single" w:color="000000" w:sz="8"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参数</w:t>
            </w:r>
            <w:r/>
          </w:p>
        </w:tc>
        <w:tc>
          <w:tcPr>
            <w:shd w:val="clear" w:color="auto" w:fill="auto"/>
            <w:tcBorders>
              <w:top w:val="single" w:color="000000" w:sz="8"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品牌</w:t>
            </w:r>
            <w:r/>
          </w:p>
        </w:tc>
        <w:tc>
          <w:tcPr>
            <w:shd w:val="clear" w:color="auto" w:fill="auto"/>
            <w:tcBorders>
              <w:top w:val="single" w:color="000000" w:sz="8"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数量</w:t>
            </w:r>
            <w:r/>
          </w:p>
        </w:tc>
        <w:tc>
          <w:tcPr>
            <w:shd w:val="clear" w:color="auto" w:fill="auto"/>
            <w:tcBorders>
              <w:top w:val="single" w:color="000000" w:sz="8"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单价</w:t>
            </w:r>
            <w:r/>
          </w:p>
        </w:tc>
        <w:tc>
          <w:tcPr>
            <w:shd w:val="clear" w:color="auto" w:fill="auto"/>
            <w:tcBorders>
              <w:top w:val="single" w:color="000000" w:sz="8" w:space="0"/>
              <w:left w:val="single" w:color="000000" w:sz="4" w:space="0"/>
              <w:bottom w:val="single" w:color="000000" w:sz="4" w:space="0"/>
              <w:right w:val="single" w:color="000000" w:sz="8" w:space="0"/>
            </w:tcBorders>
            <w:tcW w:w="112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pacing w:val="-2"/>
                <w:sz w:val="22"/>
                <w:szCs w:val="22"/>
                <w:u w:val="none"/>
                <w:lang w:val="en-US" w:eastAsia="zh-CN" w:bidi="ar"/>
              </w:rPr>
              <w:t xml:space="preserve">合计</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彩色超低照度高性能摄像机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支持传感器类型1/3" Progressive Scan CMOS；聚焦功能:自动; 镜头焦距  2.7mm～12mm最大分辨率2688 × 1520；宽动态120dB；H.265支持；星光支持；供电方式DC12V/POE；防护等级IP67  （双向语音对讲） （双向语音对讲）</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DS-1293ZJ</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4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监控专用电源 </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摄像球机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一体化球机1）★23倍变焦、360度旋转；2）★有效像素：400万像素；3）★最低照度：彩色：0.05Lux @ (F1.4，AGC ON)；4）黑白：0.005Lux @(F1.4，AGC ON)白平衡；5) 自动/手动/自动跟踪白平衡/室内/室外/室外自动/钠灯白平衡；6）背光补偿：支持</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16口千兆、工业级交换机、POE</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网络检修</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各闸站网络修复，光纤收发器、电源模块等设备（含其中一座闸站枪2个机摄像头更换一项）</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i w:val="0"/>
                <w:iCs w:val="0"/>
                <w:color w:val="ff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58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3U机架式16盘位嵌入式网络硬盘录像机，整机采用短机箱设计，搭载1+1冗余电源</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【硬件规格】</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存储接口：16个SATA接口，支持硬盘热插拔，可满配20TB硬盘</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视频接口：4×HDMI，2×VGA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网络接口：4×RJ45 10/100/1000Mbps自适应以太网口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报警接口：16路报警输入，8路报警输出</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串行接口：1路RS-232接口，2路半双工RS-485接口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USB接口：2×USB 2.0，4×USB 3.0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扩展接口：1×eSATA</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660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监控硬盘</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10TB容量，3.5英寸，SATA3.0接口，7200RPM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氦气盘， CMR传统磁记录</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传输速率268 MB/s，流畅存储视频有效防止丢帧</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高级格式（AF）512e扇区技术，保障硬盘扇区4K对齐</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满足数据严苛的7*24小时运行可靠性、安全性的需求</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支持5年有限质保服务</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适用海拔高度范围-305m至3050m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标称容量：20TB</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外形规格：3.5-inch</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接口类型：SATA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刻录技术：CMR</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转速：7200RPM</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缓存：512MB</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最大读取速度：268MB/s</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接口传输速率（最大值）：6.0Gb/s</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平均读写功率（W）：8.11W</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加载/卸载周期：600,000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MTBF：2,500,000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年负荷（TB/年）：550TB</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工作状态温度(°C)：5-60℃</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尺寸：147mm(L)×101.6mm(W)×26.1mm(H) </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2502"/>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视频服务器</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2个HDMI接口、2个VGA接口，双异源输出</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支持满配8T硬盘（不支持IoT硬盘）</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2个10M/100M/1000Mbps网口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2个USB2.0接口、1个USB2.0接口</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报警IO：16路报警输入，5路报警输出（其中第5路支持CTRL 12V）</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反向供电接口：1路（DC 12V 1A）</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串行接口：1路全双工485接口 ，1路标准RS-232接口</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34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综合安防管理平台软件，适用于全行业通用综合安防业务，平台集成视频监控、门禁管理、停车出入口、入侵报警、事件联动、智脸监控等功能，并对各系统资源进行整合和集中管理。含300路视频监控授权名单库比对报警，支持最大8路图片流分析或2路视频流分析（400W视频流）</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16个目标名单库，总库容5万张（证件照）</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抓拍库500万张目标图片</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支持陌生人报警、目标1V1比对</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支持以图搜图、按姓名检索、按属性检索</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GPU分析能力：</w:t>
            </w:r>
            <w:r>
              <w:rPr>
                <w:rFonts w:hint="eastAsia" w:ascii="宋体" w:hAnsi="宋体" w:eastAsia="宋体" w:cs="宋体"/>
                <w:i w:val="0"/>
                <w:iCs w:val="0"/>
                <w:color w:val="000000"/>
                <w:spacing w:val="-2"/>
                <w:sz w:val="21"/>
                <w:szCs w:val="21"/>
                <w:u w:val="none"/>
                <w:lang w:val="en-US" w:eastAsia="zh-CN" w:bidi="ar"/>
              </w:rPr>
              <w:br/>
            </w:r>
            <w:r>
              <w:rPr>
                <w:rFonts w:hint="eastAsia" w:ascii="宋体" w:hAnsi="宋体" w:eastAsia="宋体" w:cs="宋体"/>
                <w:i w:val="0"/>
                <w:iCs w:val="0"/>
                <w:color w:val="000000"/>
                <w:spacing w:val="-2"/>
                <w:sz w:val="21"/>
                <w:szCs w:val="21"/>
                <w:u w:val="none"/>
                <w:lang w:val="en-US" w:eastAsia="zh-CN" w:bidi="ar"/>
              </w:rPr>
              <w:t xml:space="preserve">图片流：8路；视频流：2路200W/2路400W</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8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闸站报警号角</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报警控制、录音播放、实时语音播放（备品2套）（融合入指挥中心控制）</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799"/>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安装、调试，网线、电源线等材料</w:t>
            </w:r>
            <w:r/>
          </w:p>
        </w:tc>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pacing w:val="-2"/>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112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r>
        <w:trPr>
          <w:trHeight w:val="522"/>
        </w:trPr>
        <w:tc>
          <w:tcPr>
            <w:gridSpan w:val="2"/>
            <w:shd w:val="clear" w:color="auto" w:fill="d6dce4"/>
            <w:tcBorders>
              <w:top w:val="single" w:color="000000" w:sz="8" w:space="0"/>
              <w:left w:val="single" w:color="000000" w:sz="8" w:space="0"/>
              <w:bottom w:val="single" w:color="000000" w:sz="8" w:space="0"/>
              <w:right w:val="single" w:color="000000" w:sz="4" w:space="0"/>
            </w:tcBorders>
            <w:tcW w:w="1641"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pacing w:val="-2"/>
                <w:sz w:val="24"/>
                <w:szCs w:val="24"/>
                <w:u w:val="none"/>
                <w:lang w:val="en-US" w:eastAsia="zh-CN" w:bidi="ar"/>
              </w:rPr>
              <w:t xml:space="preserve">合计：</w:t>
            </w:r>
            <w:r/>
          </w:p>
        </w:tc>
        <w:tc>
          <w:tcPr>
            <w:gridSpan w:val="3"/>
            <w:shd w:val="clear" w:color="auto" w:fill="d6dce4"/>
            <w:tcBorders>
              <w:top w:val="single" w:color="000000" w:sz="8" w:space="0"/>
              <w:left w:val="single" w:color="000000" w:sz="4" w:space="0"/>
              <w:bottom w:val="single" w:color="000000" w:sz="8" w:space="0"/>
              <w:right w:val="single" w:color="000000" w:sz="4" w:space="0"/>
            </w:tcBorders>
            <w:tcW w:w="611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gridSpan w:val="3"/>
            <w:shd w:val="clear" w:color="auto" w:fill="d6dce4"/>
            <w:tcBorders>
              <w:top w:val="single" w:color="000000" w:sz="8" w:space="0"/>
              <w:left w:val="single" w:color="000000" w:sz="4" w:space="0"/>
              <w:bottom w:val="single" w:color="000000" w:sz="8" w:space="0"/>
              <w:right w:val="single" w:color="000000" w:sz="8" w:space="0"/>
            </w:tcBorders>
            <w:tcW w:w="27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r>
    </w:tbl>
    <w:p>
      <w:pPr>
        <w:ind w:firstLine="480"/>
        <w:spacing w:line="56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（二）商务要求是指取得采购标的的时间、地点、财务和服务要求，包括交付（实施）的时间（期限）和地点（范围），付款条件（进度和方法），包装和运输，售后服务，保险等。</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1.采购标的需实现的功能或者目标，以及为落实政府采购政策需满足的要求：</w:t>
      </w:r>
      <w:r/>
    </w:p>
    <w:p>
      <w:pPr>
        <w:ind w:firstLine="480"/>
        <w:spacing w:line="560" w:lineRule="exact"/>
        <w:rPr>
          <w:rFonts w:hint="eastAsia" w:ascii="宋体" w:hAnsi="宋体" w:cs="宋体"/>
          <w:sz w:val="24"/>
          <w:szCs w:val="24"/>
        </w:rPr>
      </w:pPr>
      <w:r>
        <w:rPr>
          <w:rFonts w:hint="eastAsia" w:ascii="宋体" w:hAnsi="宋体"/>
          <w:bCs/>
          <w:color w:val="000000" w:themeColor="text1"/>
          <w:sz w:val="24"/>
          <w:szCs w:val="24"/>
          <w14:textFill>
            <w14:solidFill>
              <w14:schemeClr w14:val="tx1"/>
            </w14:solidFill>
          </w14:textFill>
        </w:rPr>
        <w:t xml:space="preserve">符合国家最新行业标准及采购人要求。</w:t>
      </w:r>
      <w:r>
        <w:rPr>
          <w:rFonts w:hint="eastAsia" w:ascii="宋体" w:hAnsi="宋体" w:cs="宋体"/>
          <w:sz w:val="24"/>
          <w:szCs w:val="24"/>
        </w:rPr>
        <w:t xml:space="preserve">服务期内，中标人提供免费保修等三包服务，服务期内维修、更换零配件、维修人工费均免费。货物在服务期内发生的任何故障中标人均应负责免费修复，无法修复的产品或零部件应免费更换。对于非质保范围内损坏的零部件，中标人应保证以不高于在设备生产地购买的一般价格提供给招标人。</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三年服务期内提供7×24小时上门服务，接到报修通知1小时内响应，2小时内应派专业技术人员到达现场并提供免费咨询、维修服务，一般故障4小时内解决问题，如果48小时无法排除故障，则应免费提供同等配置的备用设备以保证招标人设备的正常运行。若未能在规定的时间内进行现场响应和解决设备问题的，招标人采取一切措施所产生的费用和风险由中标人承担。</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2.采购标的需执行的国家相关标准、行业标准、地方标准或者其他标准、规范：</w:t>
      </w:r>
      <w:r/>
    </w:p>
    <w:p>
      <w:pPr>
        <w:numPr>
          <w:ilvl w:val="0"/>
          <w:numId w:val="0"/>
        </w:num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采购标的需满足的质量、安全、技术规格、物理特性等要求：</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满足验收标准及采购人要求。</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4.采购标的的数量、采购项目交付或者实施的时间和地点： </w:t>
      </w:r>
      <w:r/>
    </w:p>
    <w:p>
      <w:pPr>
        <w:ind w:firstLine="480"/>
        <w:spacing w:line="560" w:lineRule="exact"/>
        <w:rPr>
          <w:rFonts w:hint="default" w:ascii="宋体" w:hAnsi="宋体"/>
          <w:bCs/>
          <w:color w:val="000000" w:themeColor="text1"/>
          <w:sz w:val="24"/>
          <w:szCs w:val="24"/>
          <w:lang w:val="en-US" w:eastAsia="zh-CN"/>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采购数量、采购项目：详见采购</w:t>
      </w:r>
      <w:r>
        <w:rPr>
          <w:rFonts w:hint="eastAsia" w:ascii="宋体" w:hAnsi="宋体"/>
          <w:bCs/>
          <w:color w:val="000000" w:themeColor="text1"/>
          <w:sz w:val="24"/>
          <w:szCs w:val="24"/>
          <w:lang w:val="en-US" w:eastAsia="zh-CN"/>
          <w14:textFill>
            <w14:solidFill>
              <w14:schemeClr w14:val="tx1"/>
            </w14:solidFill>
          </w14:textFill>
        </w:rPr>
        <w:t xml:space="preserve">内容；</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5.签定合同日期：自中标（成交）通知书发出之日起30日内按时签约。</w:t>
      </w:r>
      <w:r/>
    </w:p>
    <w:p>
      <w:pPr>
        <w:ind w:left="239" w:firstLine="307"/>
        <w:spacing w:line="560" w:lineRule="exact"/>
        <w:rPr>
          <w:rFonts w:hint="eastAsia" w:ascii="宋体" w:hAnsi="宋体" w:cs="宋体"/>
          <w:sz w:val="24"/>
          <w:szCs w:val="24"/>
        </w:rPr>
      </w:pPr>
      <w:r>
        <w:rPr>
          <w:rFonts w:hint="eastAsia" w:ascii="宋体" w:hAnsi="宋体"/>
          <w:bCs/>
          <w:color w:val="000000" w:themeColor="text1"/>
          <w:sz w:val="24"/>
          <w:szCs w:val="24"/>
          <w:lang w:val="en-US" w:eastAsia="zh-CN"/>
          <w14:textFill>
            <w14:solidFill>
              <w14:schemeClr w14:val="tx1"/>
            </w14:solidFill>
          </w14:textFill>
        </w:rPr>
        <w:t xml:space="preserve">6</w:t>
      </w:r>
      <w:r>
        <w:rPr>
          <w:rFonts w:hint="eastAsia" w:ascii="宋体" w:hAnsi="宋体"/>
          <w:bCs/>
          <w:color w:val="000000" w:themeColor="text1"/>
          <w:sz w:val="24"/>
          <w:szCs w:val="24"/>
          <w14:textFill>
            <w14:solidFill>
              <w14:schemeClr w14:val="tx1"/>
            </w14:solidFill>
          </w14:textFill>
        </w:rPr>
        <w:t xml:space="preserve">.交货期（服务时间）：</w:t>
      </w:r>
      <w:r>
        <w:rPr>
          <w:rFonts w:hint="eastAsia" w:ascii="宋体" w:hAnsi="宋体" w:cs="宋体"/>
          <w:sz w:val="24"/>
          <w:szCs w:val="24"/>
        </w:rPr>
        <w:t xml:space="preserve">自合同签定之日起60天内完成所有设备安装调试，投入试运行。</w:t>
      </w:r>
      <w:r/>
    </w:p>
    <w:p>
      <w:pPr>
        <w:ind w:firstLine="480"/>
        <w:spacing w:line="560" w:lineRule="exact"/>
        <w:rPr>
          <w:rFonts w:hint="eastAsia" w:ascii="Times New Roman" w:hAnsi="Times New Roman"/>
          <w:b/>
          <w:sz w:val="24"/>
          <w:szCs w:val="24"/>
        </w:rPr>
      </w:pPr>
      <w:r>
        <w:rPr>
          <w:rFonts w:hint="eastAsia" w:ascii="宋体" w:hAnsi="宋体"/>
          <w:bCs/>
          <w:color w:val="000000" w:themeColor="text1"/>
          <w:sz w:val="24"/>
          <w:szCs w:val="24"/>
          <w:lang w:val="en-US" w:eastAsia="zh-CN"/>
          <w14:textFill>
            <w14:solidFill>
              <w14:schemeClr w14:val="tx1"/>
            </w14:solidFill>
          </w14:textFill>
        </w:rPr>
        <w:t xml:space="preserve">7</w:t>
      </w:r>
      <w:r>
        <w:rPr>
          <w:rFonts w:hint="eastAsia" w:ascii="宋体" w:hAnsi="宋体"/>
          <w:bCs/>
          <w:color w:val="000000" w:themeColor="text1"/>
          <w:sz w:val="24"/>
          <w:szCs w:val="24"/>
          <w14:textFill>
            <w14:solidFill>
              <w14:schemeClr w14:val="tx1"/>
            </w14:solidFill>
          </w14:textFill>
        </w:rPr>
        <w:t xml:space="preserve">.采购标的的验收标准：符合国家最新行业标准及采购人要求。</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中标人须保证项目中所使用的材料、提供的设备为优质产品并完全符合国家质量、消防、环保、安全检验标准。验收时采用的检验方法将按照制造厂商生产的产品验收标准和中华人民共和国有关标准以及采购文件规定的技术要求进行验收，必要时邀请相关的专业人员或机构参与验收。因产品质量问题发生争议时，招标人请有权部门鉴定。货物符合质量技术标准的鉴定费由招标人承担，否则鉴定费由中标人承担，同时按合同违约处理（按规定设计要求标准验收），招标人有权退货并追索赔偿。</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(1)主要技术标准</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中标人投标设备的设计、制造、安装、验收应符合下列标准和规范：我国和国际上的相关标准和规范及本招标文件要求。没有国家标准的按行业标准执行，没有行业标准的产品，中标人应提供相关制造商标准。</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(2)投标报价包括本次采购范</w:t>
      </w:r>
      <w:r>
        <w:rPr>
          <w:rFonts w:hint="eastAsia" w:ascii="Times New Roman" w:hAnsi="Times New Roman"/>
          <w:sz w:val="24"/>
          <w:szCs w:val="24"/>
        </w:rPr>
        <w:t xml:space="preserve">围内二次深化设计费、全部设备、材料、随设备提供的备品配件及专用工具的价格、全部税、包装费、运杂费（运抵采购单位项目现场）、保险费、安装费、调试费、利润、竣工所需的验收、后期售后服务、采购单位操作维护人员培训费、验收鉴定费、需与其他单位配合及供应商认为需要的其他费用等。中标人漏报或不报，招标人将视为该漏报或不报部分的费用已包括在已报的分项报价中而不予支付。在安装、调试、验收过程中，如发现有漏项、缺件，中标人应无条件、无偿补齐，所发生的一切费用，视为已包含在中标人报价之中，且并不因此而影响交付招标人使用的时间。</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（3）设备安装调试期间各类安全保障工作由中标人自行负责。</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（4）本项目所有材料、品牌需得到招标人认可并经验收合格后，方可进场安装。</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7.2系统培训</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（1）除清单中所列各项系统专业培训外，中标人须提供对所有本项目系统硬件产品、应用软件、系统集成等在内的全部培训工作，提供不低于二次专职教师操作培训。</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（2）培训方式为现场培训或集中培训，现场培训指在设备的安装调试、故障处理过程中，对招标单位技术人员进行实际的操作和故障处理培训。</w:t>
      </w:r>
      <w:r/>
    </w:p>
    <w:p>
      <w:pPr>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（3）培训内容包括正常使用和一般故障排除，培训的内容，必须提供完整的培训资料、培训计划等文档。</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w:t>
      </w:r>
      <w:bookmarkStart w:id="193" w:name="OLE_LINK2"/>
      <w:r/>
      <w:bookmarkStart w:id="194" w:name="OLE_LINK1"/>
      <w:r>
        <w:rPr>
          <w:rFonts w:hint="eastAsia" w:ascii="宋体" w:hAnsi="宋体"/>
          <w:bCs/>
          <w:color w:val="000000" w:themeColor="text1"/>
          <w:sz w:val="24"/>
          <w:szCs w:val="24"/>
          <w14:textFill>
            <w14:solidFill>
              <w14:schemeClr w14:val="tx1"/>
            </w14:solidFill>
          </w14:textFill>
        </w:rPr>
        <w:t xml:space="preserve">采购标的的其他技术、服务等要求</w:t>
      </w:r>
      <w:bookmarkEnd w:id="193"/>
      <w:r/>
      <w:bookmarkEnd w:id="194"/>
      <w:r>
        <w:rPr>
          <w:rFonts w:hint="eastAsia" w:ascii="宋体" w:hAnsi="宋体"/>
          <w:bCs/>
          <w:color w:val="000000" w:themeColor="text1"/>
          <w:sz w:val="24"/>
          <w:szCs w:val="24"/>
          <w14:textFill>
            <w14:solidFill>
              <w14:schemeClr w14:val="tx1"/>
            </w14:solidFill>
          </w14:textFill>
        </w:rPr>
        <w:t xml:space="preserve">：</w:t>
      </w:r>
      <w:r/>
    </w:p>
    <w:p>
      <w:pPr>
        <w:ind w:firstLine="480"/>
        <w:spacing w:line="56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8.1</w:t>
      </w:r>
      <w:r>
        <w:rPr>
          <w:rFonts w:hint="eastAsia" w:ascii="宋体" w:hAnsi="宋体"/>
          <w:bCs/>
          <w:color w:val="000000" w:themeColor="text1"/>
          <w:sz w:val="24"/>
          <w:szCs w:val="24"/>
          <w14:textFill>
            <w14:solidFill>
              <w14:schemeClr w14:val="tx1"/>
            </w14:solidFill>
          </w14:textFill>
        </w:rPr>
        <w:t xml:space="preserve">质保：质保</w:t>
      </w:r>
      <w:r>
        <w:rPr>
          <w:rFonts w:hint="eastAsia" w:ascii="宋体" w:hAnsi="宋体"/>
          <w:bCs/>
          <w:color w:val="000000" w:themeColor="text1"/>
          <w:sz w:val="24"/>
          <w:szCs w:val="24"/>
          <w:lang w:val="en-US" w:eastAsia="zh-CN"/>
          <w14:textFill>
            <w14:solidFill>
              <w14:schemeClr w14:val="tx1"/>
            </w14:solidFill>
          </w14:textFill>
        </w:rPr>
        <w:t xml:space="preserve">3</w:t>
      </w:r>
      <w:r>
        <w:rPr>
          <w:rFonts w:hint="eastAsia" w:ascii="宋体" w:hAnsi="宋体"/>
          <w:bCs/>
          <w:color w:val="000000" w:themeColor="text1"/>
          <w:sz w:val="24"/>
          <w:szCs w:val="24"/>
          <w14:textFill>
            <w14:solidFill>
              <w14:schemeClr w14:val="tx1"/>
            </w14:solidFill>
          </w14:textFill>
        </w:rPr>
        <w:t xml:space="preserve">年。</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8.2</w:t>
      </w:r>
      <w:r>
        <w:rPr>
          <w:rFonts w:hint="eastAsia" w:ascii="宋体" w:hAnsi="宋体"/>
          <w:bCs/>
          <w:color w:val="000000" w:themeColor="text1"/>
          <w:sz w:val="24"/>
          <w:szCs w:val="24"/>
          <w14:textFill>
            <w14:solidFill>
              <w14:schemeClr w14:val="tx1"/>
            </w14:solidFill>
          </w14:textFill>
        </w:rPr>
        <w:t xml:space="preserve">包装要求： </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8.2.1</w:t>
      </w:r>
      <w:r>
        <w:rPr>
          <w:rFonts w:hint="eastAsia" w:ascii="宋体" w:hAnsi="宋体"/>
          <w:bCs/>
          <w:color w:val="000000" w:themeColor="text1"/>
          <w:sz w:val="24"/>
          <w:szCs w:val="24"/>
          <w14:textFill>
            <w14:solidFill>
              <w14:schemeClr w14:val="tx1"/>
            </w14:solidFill>
          </w14:textFill>
        </w:rPr>
        <w:t xml:space="preserve">商品包装环保要求：应当按《关于印发〈商品包装政府采购需求标准（试行）〉、〈快递包装政府采购需求标准（试行）〉的通知》（财办库〔2020〕123号）文件执行。</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（1）商品包装层数不得超过3层，空隙率不大于40%；</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（2）商品包装尽可能使用单一材质的包装材料，如因功能需求必需使用不同材质，不同材质间应便于分离；</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（3）商品包装中铅、汞、镉、六价铬的总含量应不大于100mg/kg；</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（4）商品包装印刷使用的油墨中挥发性有机化合物(VOCs)含量应不大于5%（以重量计）；</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（5）塑料材质商品包装上呈现的印刷颜色不得超过6色；</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（6）纸质商品包装应使用75%以上的可再生纤维原料生产；</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（7）木质商品包装的原料应来源于可持续性森林。</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8.3</w:t>
      </w:r>
      <w:r>
        <w:rPr>
          <w:rFonts w:hint="eastAsia" w:ascii="宋体" w:hAnsi="宋体"/>
          <w:bCs/>
          <w:color w:val="000000" w:themeColor="text1"/>
          <w:sz w:val="24"/>
          <w:szCs w:val="24"/>
          <w14:textFill>
            <w14:solidFill>
              <w14:schemeClr w14:val="tx1"/>
            </w14:solidFill>
          </w14:textFill>
        </w:rPr>
        <w:t xml:space="preserve">快递包装环保要求：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（1）快递包装中重金属（铅、汞、镉、六价铬）总量应不大于100mg/kg；</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（2）快递包装印刷使用的油墨中不应添加邻苯二甲酸酯，其挥发性有机化合物(VOCs)含量应不大于5%（以重量计）；</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（3）快递包装中使用纸基材的包装材料，纸基材中的有机氯的含量应不大于150 mg/kg；</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（5）快递中使用的塑料包装袋不得使用聚氯乙烯作为原料，且原料应为单一材质制成，生物分解率大于60%；</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（6）快递中使用的充气类填充物不得使用聚氯乙烯作为 原料，且原料为单一材质制成，生物分解率大于60%；</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（7）快递中使用的集装袋应为单一材质制成，其重复使用次数应不小于 80 次；</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（8）快递中应使用幅宽不大于45mm 的生物降解胶带；</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（9）快递包装中不得使用溶剂型胶粘剂；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（11）快递应使用电子面单；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（12）直接使用商品包装作为快递包装的商品，其商品包装满足《商品包装政府采购需求标准（试行）》即可；</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（13）快递包装产品质量和封装方式应符合相关国家或行业标准技术指标要求。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8.4</w:t>
      </w:r>
      <w:r>
        <w:rPr>
          <w:rFonts w:hint="eastAsia" w:ascii="宋体" w:hAnsi="宋体"/>
          <w:bCs/>
          <w:color w:val="000000" w:themeColor="text1"/>
          <w:sz w:val="24"/>
          <w:szCs w:val="24"/>
          <w14:textFill>
            <w14:solidFill>
              <w14:schemeClr w14:val="tx1"/>
            </w14:solidFill>
          </w14:textFill>
        </w:rPr>
        <w:t xml:space="preserve">绿色数据中心</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5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6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.7绿色低碳管理目标和服务要求：在物业、合同能源管理等服务类采购项目需求中，要强化绿色低碳管理目标和服务要求，促进绿色产品和服务推广应用。</w:t>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9</w:t>
      </w:r>
      <w:r>
        <w:rPr>
          <w:rFonts w:hint="eastAsia" w:ascii="宋体" w:hAnsi="宋体"/>
          <w:bCs/>
          <w:color w:val="000000" w:themeColor="text1"/>
          <w:sz w:val="24"/>
          <w:szCs w:val="24"/>
          <w14:textFill>
            <w14:solidFill>
              <w14:schemeClr w14:val="tx1"/>
            </w14:solidFill>
          </w14:textFill>
        </w:rPr>
        <w:t xml:space="preserve">.（1）非单一产品采购项目，采购标的中的核心产品</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智能化设备</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（2）本项目的主要标的：</w:t>
      </w:r>
      <w:r>
        <w:rPr>
          <w:rFonts w:hint="eastAsia" w:ascii="宋体" w:hAnsi="宋体"/>
          <w:bCs/>
          <w:color w:val="000000" w:themeColor="text1"/>
          <w:sz w:val="24"/>
          <w:szCs w:val="24"/>
          <w:highlight w:val="none"/>
          <w:lang w:val="en-US" w:eastAsia="zh-CN"/>
          <w14:textFill>
            <w14:solidFill>
              <w14:schemeClr w14:val="tx1"/>
            </w14:solidFill>
          </w14:textFill>
        </w:rPr>
        <w:t xml:space="preserve">智能化设备</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10</w:t>
      </w:r>
      <w:r>
        <w:rPr>
          <w:rFonts w:hint="eastAsia" w:ascii="宋体" w:hAnsi="宋体"/>
          <w:bCs/>
          <w:color w:val="000000" w:themeColor="text1"/>
          <w:sz w:val="24"/>
          <w:szCs w:val="24"/>
          <w14:textFill>
            <w14:solidFill>
              <w14:schemeClr w14:val="tx1"/>
            </w14:solidFill>
          </w14:textFill>
        </w:rPr>
        <w:t xml:space="preserve">.采购需求中必须满足的实质性要求：详见第三章项目需求。</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11</w:t>
      </w:r>
      <w:r>
        <w:rPr>
          <w:rFonts w:hint="eastAsia" w:ascii="宋体" w:hAnsi="宋体"/>
          <w:bCs/>
          <w:color w:val="000000" w:themeColor="text1"/>
          <w:sz w:val="24"/>
          <w:szCs w:val="24"/>
          <w14:textFill>
            <w14:solidFill>
              <w14:schemeClr w14:val="tx1"/>
            </w14:solidFill>
          </w14:textFill>
        </w:rPr>
        <w:t xml:space="preserve">.付款方式</w:t>
      </w:r>
      <w:r/>
    </w:p>
    <w:p>
      <w:pPr>
        <w:ind w:firstLine="480"/>
        <w:spacing w:line="50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付款方式:签订合同30日内，预付合同价的30%，待货物和服务到位验收合格后在10个工作日内一次性付清所有款项。</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12</w:t>
      </w:r>
      <w:r>
        <w:rPr>
          <w:rFonts w:hint="eastAsia" w:ascii="宋体" w:hAnsi="宋体"/>
          <w:bCs/>
          <w:color w:val="000000" w:themeColor="text1"/>
          <w:sz w:val="24"/>
          <w:szCs w:val="24"/>
          <w14:textFill>
            <w14:solidFill>
              <w14:schemeClr w14:val="tx1"/>
            </w14:solidFill>
          </w14:textFill>
        </w:rPr>
        <w:t xml:space="preserve">.履约保证金：</w:t>
      </w:r>
      <w:r>
        <w:rPr>
          <w:rFonts w:ascii="宋体" w:hAnsi="宋体"/>
          <w:color w:val="000000" w:themeColor="text1"/>
          <w:sz w:val="24"/>
          <w:szCs w:val="24"/>
          <w14:textFill>
            <w14:solidFill>
              <w14:schemeClr w14:val="tx1"/>
            </w14:solidFill>
          </w14:textFill>
        </w:rPr>
        <w:t xml:space="preserve">不收取。</w:t>
      </w:r>
      <w:r/>
    </w:p>
    <w:p>
      <w:pPr>
        <w:ind w:firstLine="480"/>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lang w:val="en-US"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.合同条款（详见附件）</w:t>
      </w:r>
      <w:r/>
    </w:p>
    <w:p>
      <w:pPr>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560"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879"/>
        <w:jc w:val="center"/>
        <w:spacing w:line="560" w:lineRule="exact"/>
        <w:rPr>
          <w:rFonts w:ascii="黑体" w:eastAsia="黑体"/>
          <w:bCs/>
          <w:color w:val="000000" w:themeColor="text1"/>
          <w:sz w:val="44"/>
          <w:szCs w:val="28"/>
          <w14:textFill>
            <w14:solidFill>
              <w14:schemeClr w14:val="tx1"/>
            </w14:solidFill>
          </w14:textFill>
        </w:rPr>
        <w:outlineLvl w:val="0"/>
      </w:pPr>
      <w:r/>
      <w:bookmarkStart w:id="195" w:name="_Toc120614281"/>
      <w:r/>
      <w:r/>
    </w:p>
    <w:p>
      <w:pPr>
        <w:jc w:val="left"/>
        <w:widowControl/>
        <w:rPr>
          <w:rFonts w:ascii="黑体" w:eastAsia="黑体"/>
          <w:bCs/>
          <w:color w:val="000000" w:themeColor="text1"/>
          <w:sz w:val="44"/>
          <w:szCs w:val="28"/>
          <w14:textFill>
            <w14:solidFill>
              <w14:schemeClr w14:val="tx1"/>
            </w14:solidFill>
          </w14:textFill>
        </w:rPr>
      </w:pPr>
      <w:r>
        <w:rPr>
          <w:rFonts w:ascii="黑体" w:eastAsia="黑体"/>
          <w:bCs/>
          <w:color w:val="000000" w:themeColor="text1"/>
          <w:sz w:val="44"/>
          <w:szCs w:val="28"/>
          <w14:textFill>
            <w14:solidFill>
              <w14:schemeClr w14:val="tx1"/>
            </w14:solidFill>
          </w14:textFill>
        </w:rPr>
        <w:br w:type="page" w:clear="all"/>
      </w:r>
      <w:r/>
    </w:p>
    <w:p>
      <w:pPr>
        <w:ind w:firstLine="879"/>
        <w:jc w:val="center"/>
        <w:spacing w:line="560" w:lineRule="exact"/>
        <w:rPr>
          <w:rFonts w:ascii="黑体" w:eastAsia="黑体"/>
          <w:b/>
          <w:bCs/>
          <w:color w:val="000000" w:themeColor="text1"/>
          <w:sz w:val="44"/>
          <w:szCs w:val="28"/>
          <w14:textFill>
            <w14:solidFill>
              <w14:schemeClr w14:val="tx1"/>
            </w14:solidFill>
          </w14:textFill>
        </w:rPr>
        <w:outlineLvl w:val="0"/>
      </w:pPr>
      <w:r>
        <w:rPr>
          <w:rFonts w:hint="eastAsia" w:ascii="黑体" w:eastAsia="黑体"/>
          <w:bCs/>
          <w:color w:val="000000" w:themeColor="text1"/>
          <w:sz w:val="44"/>
          <w:szCs w:val="28"/>
          <w14:textFill>
            <w14:solidFill>
              <w14:schemeClr w14:val="tx1"/>
            </w14:solidFill>
          </w14:textFill>
        </w:rPr>
        <w:t xml:space="preserve">第四章  </w:t>
      </w:r>
      <w:r>
        <w:rPr>
          <w:rFonts w:hint="eastAsia" w:ascii="黑体" w:eastAsia="黑体"/>
          <w:b/>
          <w:bCs/>
          <w:color w:val="000000" w:themeColor="text1"/>
          <w:sz w:val="44"/>
          <w:szCs w:val="28"/>
          <w14:textFill>
            <w14:solidFill>
              <w14:schemeClr w14:val="tx1"/>
            </w14:solidFill>
          </w14:textFill>
        </w:rPr>
        <w:t xml:space="preserve">评审方法与评审标准</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评委在认真审阅响应文件的基础上，根据各响应文件的响应程度独立评判，不得统一打分。</w:t>
      </w:r>
      <w:r/>
    </w:p>
    <w:p>
      <w:pPr>
        <w:ind w:firstLine="482"/>
        <w:spacing w:line="5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（一）采购人（代表）对供应商资格进行审查。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供应商资格不合格的，其响应文件判定为无效响应文件。</w:t>
      </w:r>
      <w:r/>
    </w:p>
    <w:p>
      <w:pPr>
        <w:ind w:firstLine="482"/>
        <w:spacing w:line="50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（二）磋商小组对符合资格供应商的响应文件进行符合性审查。</w:t>
      </w:r>
      <w:r/>
    </w:p>
    <w:p>
      <w:pPr>
        <w:ind w:firstLine="480"/>
        <w:spacing w:line="50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未通过符合性审查的响应文件，将被判为不满足磋商文件实质性要求。 </w:t>
      </w:r>
      <w:r/>
    </w:p>
    <w:p>
      <w:pPr>
        <w:ind w:firstLine="482"/>
        <w:spacing w:line="500" w:lineRule="exact"/>
        <w:rPr>
          <w:rFonts w:ascii="宋体" w:hAnsi="宋体" w:cs="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（三）</w:t>
      </w:r>
      <w:r>
        <w:rPr>
          <w:rFonts w:hint="eastAsia" w:ascii="宋体" w:hAnsi="宋体" w:cs="宋体"/>
          <w:b/>
          <w:color w:val="000000" w:themeColor="text1"/>
          <w:sz w:val="24"/>
          <w:szCs w:val="24"/>
          <w14:textFill>
            <w14:solidFill>
              <w14:schemeClr w14:val="tx1"/>
            </w14:solidFill>
          </w14:textFill>
        </w:rPr>
        <w:t xml:space="preserve">商务技术分</w:t>
      </w:r>
      <w:r>
        <w:rPr>
          <w:rFonts w:hint="eastAsia" w:ascii="宋体" w:hAnsi="宋体" w:cs="宋体"/>
          <w:b/>
          <w:color w:val="000000" w:themeColor="text1"/>
          <w:sz w:val="24"/>
          <w:szCs w:val="24"/>
          <w:lang w:val="en-US" w:eastAsia="zh-CN"/>
          <w14:textFill>
            <w14:solidFill>
              <w14:schemeClr w14:val="tx1"/>
            </w14:solidFill>
          </w14:textFill>
        </w:rPr>
        <w:t xml:space="preserve">70</w:t>
      </w:r>
      <w:r>
        <w:rPr>
          <w:rFonts w:hint="eastAsia" w:ascii="宋体" w:hAnsi="宋体" w:cs="宋体"/>
          <w:b/>
          <w:color w:val="000000" w:themeColor="text1"/>
          <w:sz w:val="24"/>
          <w:szCs w:val="24"/>
          <w14:textFill>
            <w14:solidFill>
              <w14:schemeClr w14:val="tx1"/>
            </w14:solidFill>
          </w14:textFill>
        </w:rPr>
        <w:t xml:space="preserve">分</w:t>
      </w:r>
      <w:r/>
    </w:p>
    <w:p>
      <w:pPr>
        <w:ind w:firstLine="480"/>
        <w:spacing w:line="5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各供应商得分为磋商小组成员评分的算术平均分，分值保留小数点后两位。</w:t>
      </w:r>
      <w:r/>
    </w:p>
    <w:tbl>
      <w:tblPr>
        <w:tblStyle w:val="69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19"/>
        <w:gridCol w:w="1064"/>
        <w:gridCol w:w="830"/>
        <w:gridCol w:w="7349"/>
      </w:tblGrid>
      <w:tr>
        <w:trPr>
          <w:trHeight w:val="255"/>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评分点名称</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tcPr>
          <w:p>
            <w:pPr>
              <w:jc w:val="center"/>
              <w:spacing w:line="440" w:lineRule="exact"/>
              <w:rPr>
                <w:rFonts w:hint="eastAsia" w:ascii="宋体" w:hAnsi="宋体" w:eastAsia="宋体" w:cs="宋体"/>
                <w:sz w:val="24"/>
              </w:rPr>
            </w:pPr>
            <w:r>
              <w:rPr>
                <w:rFonts w:hint="eastAsia" w:ascii="宋体" w:hAnsi="宋体" w:eastAsia="宋体" w:cs="宋体"/>
                <w:sz w:val="24"/>
              </w:rPr>
              <w:t xml:space="preserve">评审标准</w:t>
            </w:r>
            <w:r/>
          </w:p>
        </w:tc>
      </w:tr>
      <w:tr>
        <w:trPr>
          <w:trHeight w:val="360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spacing w:line="440" w:lineRule="exact"/>
              <w:rPr>
                <w:rFonts w:hint="eastAsia" w:ascii="宋体" w:hAnsi="宋体" w:eastAsia="宋体" w:cs="宋体"/>
                <w:sz w:val="24"/>
              </w:rPr>
            </w:pPr>
            <w:r>
              <w:rPr>
                <w:rFonts w:hint="eastAsia" w:ascii="宋体" w:hAnsi="宋体" w:eastAsia="宋体" w:cs="宋体"/>
                <w:sz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spacing w:line="440" w:lineRule="exact"/>
              <w:rPr>
                <w:rFonts w:hint="eastAsia" w:ascii="宋体" w:hAnsi="宋体" w:eastAsia="宋体" w:cs="宋体"/>
                <w:sz w:val="24"/>
                <w:lang w:eastAsia="zh-CN"/>
              </w:rPr>
            </w:pPr>
            <w:r>
              <w:rPr>
                <w:rFonts w:ascii="宋体" w:hAnsi="宋体" w:eastAsia="宋体"/>
                <w:sz w:val="24"/>
              </w:rPr>
              <w:t xml:space="preserve">项目负责人业绩与技术负责人能力</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宋体" w:hAnsi="宋体" w:eastAsia="宋体" w:cs="宋体"/>
                <w:sz w:val="24"/>
                <w:lang w:val="en-US" w:eastAsia="zh-CN"/>
              </w:rPr>
            </w:pPr>
            <w:r>
              <w:rPr>
                <w:rFonts w:hint="eastAsia" w:ascii="宋体" w:hAnsi="宋体" w:cs="宋体"/>
                <w:sz w:val="24"/>
                <w:lang w:val="en-US" w:eastAsia="zh-CN"/>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sz w:val="24"/>
              </w:rPr>
            </w:pPr>
            <w:r>
              <w:rPr>
                <w:rFonts w:hint="eastAsia" w:ascii="宋体" w:hAnsi="宋体" w:eastAsia="宋体"/>
                <w:sz w:val="24"/>
              </w:rPr>
              <w:t xml:space="preserve">1、响应供应商针对本项目的项目负责人（1人）具有一级建造师（通信与广电工程）</w:t>
            </w:r>
            <w:r>
              <w:rPr>
                <w:rFonts w:hint="eastAsia" w:ascii="宋体" w:hAnsi="宋体"/>
                <w:sz w:val="24"/>
                <w:lang w:eastAsia="zh-CN"/>
              </w:rPr>
              <w:t xml:space="preserve">、</w:t>
            </w:r>
            <w:r>
              <w:rPr>
                <w:rFonts w:hint="eastAsia" w:ascii="宋体" w:hAnsi="宋体" w:eastAsia="宋体"/>
                <w:sz w:val="24"/>
              </w:rPr>
              <w:t xml:space="preserve">高级工程师(通信)</w:t>
            </w:r>
            <w:r>
              <w:rPr>
                <w:rFonts w:hint="eastAsia" w:ascii="宋体" w:hAnsi="宋体"/>
                <w:sz w:val="24"/>
                <w:lang w:eastAsia="zh-CN"/>
              </w:rPr>
              <w:t xml:space="preserve">、</w:t>
            </w:r>
            <w:r>
              <w:rPr>
                <w:rFonts w:hint="eastAsia" w:ascii="宋体" w:hAnsi="宋体" w:eastAsia="宋体"/>
                <w:sz w:val="24"/>
              </w:rPr>
              <w:t xml:space="preserve">系统集成项目管理工程师、信息系统项目管理师，有1个得1分，最高得</w:t>
            </w:r>
            <w:r>
              <w:rPr>
                <w:rFonts w:hint="eastAsia" w:ascii="宋体" w:hAnsi="宋体"/>
                <w:sz w:val="24"/>
                <w:lang w:val="en-US" w:eastAsia="zh-CN"/>
              </w:rPr>
              <w:t xml:space="preserve">4</w:t>
            </w:r>
            <w:r>
              <w:rPr>
                <w:rFonts w:hint="eastAsia" w:ascii="宋体" w:hAnsi="宋体" w:eastAsia="宋体"/>
                <w:sz w:val="24"/>
              </w:rPr>
              <w:t xml:space="preserve">分。不提供或不符合不得分。</w:t>
            </w:r>
            <w:r/>
          </w:p>
          <w:p>
            <w:pPr>
              <w:ind w:firstLine="480"/>
              <w:spacing w:after="0" w:line="240" w:lineRule="auto"/>
              <w:rPr>
                <w:rFonts w:hint="eastAsia" w:ascii="宋体" w:hAnsi="宋体" w:eastAsia="宋体"/>
                <w:sz w:val="24"/>
              </w:rPr>
            </w:pPr>
            <w:r>
              <w:rPr>
                <w:rFonts w:hint="eastAsia" w:ascii="宋体" w:hAnsi="宋体" w:eastAsia="宋体"/>
                <w:sz w:val="24"/>
              </w:rPr>
              <w:t xml:space="preserve">2、响应供应商针对本项目的技术负责人（1人）具有注册信息安全人员CISP</w:t>
            </w:r>
            <w:r>
              <w:rPr>
                <w:rFonts w:hint="eastAsia" w:ascii="宋体" w:hAnsi="宋体"/>
                <w:sz w:val="24"/>
                <w:lang w:eastAsia="zh-CN"/>
              </w:rPr>
              <w:t xml:space="preserve">、</w:t>
            </w:r>
            <w:r>
              <w:rPr>
                <w:rFonts w:hint="eastAsia" w:ascii="宋体" w:hAnsi="宋体" w:eastAsia="宋体"/>
                <w:sz w:val="24"/>
              </w:rPr>
              <w:t xml:space="preserve">网络信息安全工程师</w:t>
            </w:r>
            <w:r>
              <w:rPr>
                <w:rFonts w:hint="eastAsia" w:ascii="宋体" w:hAnsi="宋体"/>
                <w:sz w:val="24"/>
                <w:lang w:eastAsia="zh-CN"/>
              </w:rPr>
              <w:t xml:space="preserve">、</w:t>
            </w:r>
            <w:r>
              <w:rPr>
                <w:rFonts w:hint="eastAsia" w:ascii="宋体" w:hAnsi="宋体" w:eastAsia="宋体"/>
                <w:sz w:val="24"/>
              </w:rPr>
              <w:t xml:space="preserve">系统架构师</w:t>
            </w:r>
            <w:r>
              <w:rPr>
                <w:rFonts w:hint="eastAsia" w:ascii="宋体" w:hAnsi="宋体"/>
                <w:sz w:val="24"/>
                <w:lang w:eastAsia="zh-CN"/>
              </w:rPr>
              <w:t xml:space="preserve">、</w:t>
            </w:r>
            <w:r>
              <w:rPr>
                <w:rFonts w:hint="eastAsia" w:ascii="宋体" w:hAnsi="宋体" w:eastAsia="宋体"/>
                <w:sz w:val="24"/>
              </w:rPr>
              <w:t xml:space="preserve">IT服务项目经理证书</w:t>
            </w:r>
            <w:r>
              <w:rPr>
                <w:rFonts w:hint="eastAsia" w:ascii="宋体" w:hAnsi="宋体"/>
                <w:sz w:val="24"/>
                <w:lang w:eastAsia="zh-CN"/>
              </w:rPr>
              <w:t xml:space="preserve">、</w:t>
            </w:r>
            <w:r>
              <w:rPr>
                <w:rFonts w:hint="eastAsia" w:ascii="宋体" w:hAnsi="宋体" w:eastAsia="宋体"/>
                <w:sz w:val="24"/>
              </w:rPr>
              <w:t xml:space="preserve">信创集成项目管理师的，有1个得1分，最高得</w:t>
            </w:r>
            <w:r>
              <w:rPr>
                <w:rFonts w:hint="eastAsia" w:ascii="宋体" w:hAnsi="宋体"/>
                <w:sz w:val="24"/>
                <w:lang w:val="en-US" w:eastAsia="zh-CN"/>
              </w:rPr>
              <w:t xml:space="preserve">3</w:t>
            </w:r>
            <w:r>
              <w:rPr>
                <w:rFonts w:hint="eastAsia" w:ascii="宋体" w:hAnsi="宋体" w:eastAsia="宋体"/>
                <w:sz w:val="24"/>
              </w:rPr>
              <w:t xml:space="preserve">分。不提供或不符合不得分。</w:t>
            </w:r>
            <w:r/>
          </w:p>
          <w:p>
            <w:pPr>
              <w:ind w:firstLine="480"/>
              <w:spacing w:after="0" w:line="240" w:lineRule="auto"/>
              <w:rPr>
                <w:rFonts w:hint="eastAsia" w:ascii="宋体" w:hAnsi="宋体" w:eastAsia="宋体"/>
                <w:sz w:val="24"/>
              </w:rPr>
            </w:pPr>
            <w:r>
              <w:rPr>
                <w:rFonts w:hint="eastAsia" w:ascii="宋体" w:hAnsi="宋体" w:eastAsia="宋体"/>
                <w:sz w:val="24"/>
              </w:rPr>
              <w:t xml:space="preserve">3、响应供应商针对本项目的</w:t>
            </w:r>
            <w:r>
              <w:rPr>
                <w:rFonts w:hint="eastAsia" w:ascii="宋体" w:hAnsi="宋体"/>
                <w:sz w:val="24"/>
                <w:lang w:val="en-US" w:eastAsia="zh-CN"/>
              </w:rPr>
              <w:t xml:space="preserve">网络</w:t>
            </w:r>
            <w:r>
              <w:rPr>
                <w:rFonts w:hint="eastAsia" w:ascii="宋体" w:hAnsi="宋体" w:eastAsia="宋体"/>
                <w:sz w:val="24"/>
              </w:rPr>
              <w:t xml:space="preserve">安全负责人（1人）具有网络通信安全管理员</w:t>
            </w:r>
            <w:r>
              <w:rPr>
                <w:rFonts w:hint="eastAsia" w:ascii="宋体" w:hAnsi="宋体"/>
                <w:sz w:val="24"/>
                <w:lang w:eastAsia="zh-CN"/>
              </w:rPr>
              <w:t xml:space="preserve">、</w:t>
            </w:r>
            <w:r>
              <w:rPr>
                <w:rFonts w:hint="eastAsia" w:ascii="宋体" w:hAnsi="宋体" w:eastAsia="宋体"/>
                <w:sz w:val="24"/>
              </w:rPr>
              <w:t xml:space="preserve">CCSC网络安全能力认证（网络安全技术I级）</w:t>
            </w:r>
            <w:r>
              <w:rPr>
                <w:rFonts w:hint="eastAsia" w:ascii="宋体" w:hAnsi="宋体"/>
                <w:sz w:val="24"/>
                <w:lang w:eastAsia="zh-CN"/>
              </w:rPr>
              <w:t xml:space="preserve">、</w:t>
            </w:r>
            <w:r>
              <w:rPr>
                <w:rFonts w:hint="eastAsia" w:ascii="宋体" w:hAnsi="宋体" w:eastAsia="宋体"/>
                <w:sz w:val="24"/>
              </w:rPr>
              <w:t xml:space="preserve">注册信息安全专业人员（CISP）证书的</w:t>
            </w:r>
            <w:r>
              <w:rPr>
                <w:rFonts w:hint="eastAsia" w:ascii="宋体" w:hAnsi="宋体"/>
                <w:sz w:val="24"/>
                <w:lang w:eastAsia="zh-CN"/>
              </w:rPr>
              <w:t xml:space="preserve">、</w:t>
            </w:r>
            <w:r>
              <w:rPr>
                <w:rFonts w:hint="eastAsia" w:ascii="宋体" w:hAnsi="宋体" w:eastAsia="宋体"/>
                <w:sz w:val="24"/>
              </w:rPr>
              <w:t xml:space="preserve">有1个得1分，最高得3分。不提供或不符合不得分。</w:t>
            </w:r>
            <w:r/>
          </w:p>
          <w:p>
            <w:pPr>
              <w:ind w:firstLine="480"/>
              <w:spacing w:after="0" w:line="240" w:lineRule="auto"/>
              <w:rPr>
                <w:rFonts w:hint="default" w:ascii="宋体" w:hAnsi="宋体" w:eastAsia="宋体" w:cs="宋体"/>
                <w:sz w:val="24"/>
                <w:lang w:val="en-US" w:eastAsia="zh-CN"/>
              </w:rPr>
            </w:pPr>
            <w:r>
              <w:rPr>
                <w:rFonts w:hint="eastAsia" w:ascii="宋体" w:hAnsi="宋体" w:eastAsia="宋体"/>
                <w:sz w:val="24"/>
              </w:rPr>
              <w:t xml:space="preserve">注：以上人员第1、2、3项中人员不可重复计算，响应供应商须保证上述人员为本单位正式职工，响应时需提供以下材料扫描件并加盖公章：①以上人员有效期内的有关证书；②以上人员在响应供应商公司注册所在地社保部门出具的社保缴纳证明或有效期内的劳动合同。材料不全或无效的对应证书不得分。</w:t>
            </w:r>
            <w:r/>
          </w:p>
        </w:tc>
      </w:tr>
      <w:tr>
        <w:trPr>
          <w:trHeight w:val="841"/>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hint="eastAsia" w:ascii="黑体" w:hAnsi="黑体" w:eastAsia="黑体" w:cs="宋体"/>
                <w:sz w:val="20"/>
                <w:szCs w:val="20"/>
              </w:rPr>
            </w:pPr>
            <w:r>
              <w:rPr>
                <w:rFonts w:hint="eastAsia" w:ascii="黑体" w:hAnsi="黑体" w:eastAsia="黑体" w:cs="宋体"/>
                <w:sz w:val="20"/>
                <w:szCs w:val="20"/>
              </w:rPr>
            </w:r>
            <w:r/>
          </w:p>
          <w:p>
            <w:pPr>
              <w:jc w:val="center"/>
              <w:widowControl/>
              <w:rPr>
                <w:rFonts w:ascii="黑体" w:hAnsi="黑体" w:eastAsia="黑体" w:cs="宋体"/>
                <w:sz w:val="20"/>
                <w:szCs w:val="20"/>
              </w:rPr>
            </w:pPr>
            <w:r>
              <w:rPr>
                <w:rFonts w:hint="eastAsia" w:ascii="黑体" w:hAnsi="黑体" w:eastAsia="黑体" w:cs="宋体"/>
                <w:sz w:val="20"/>
                <w:szCs w:val="20"/>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ascii="宋体" w:hAnsi="宋体" w:eastAsia="宋体"/>
                <w:sz w:val="24"/>
              </w:rPr>
            </w:pPr>
            <w:r>
              <w:rPr>
                <w:rFonts w:ascii="宋体" w:hAnsi="宋体" w:eastAsia="宋体"/>
                <w:sz w:val="24"/>
              </w:rPr>
            </w:r>
            <w:r/>
          </w:p>
          <w:p>
            <w:pPr>
              <w:jc w:val="center"/>
              <w:widowControl/>
              <w:rPr>
                <w:rFonts w:hint="default" w:ascii="黑体" w:hAnsi="黑体" w:eastAsia="黑体" w:cs="宋体"/>
                <w:sz w:val="20"/>
                <w:szCs w:val="20"/>
                <w:lang w:val="en-US" w:eastAsia="zh-CN"/>
              </w:rPr>
            </w:pPr>
            <w:r>
              <w:rPr>
                <w:rFonts w:ascii="宋体" w:hAnsi="宋体" w:eastAsia="宋体"/>
                <w:sz w:val="24"/>
              </w:rPr>
              <w:t xml:space="preserve">企业资信</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eastAsia" w:ascii="宋体" w:hAnsi="宋体" w:cs="宋体"/>
                <w:sz w:val="24"/>
                <w:lang w:val="en-US" w:eastAsia="zh-CN"/>
              </w:rPr>
            </w:pPr>
            <w:r>
              <w:rPr>
                <w:rFonts w:hint="eastAsia" w:ascii="宋体" w:hAnsi="宋体" w:cs="宋体"/>
                <w:sz w:val="24"/>
                <w:lang w:val="en-US" w:eastAsia="zh-CN"/>
              </w:rPr>
            </w:r>
            <w:r/>
          </w:p>
          <w:p>
            <w:pPr>
              <w:jc w:val="center"/>
              <w:widowControl/>
              <w:rPr>
                <w:rFonts w:hint="default" w:ascii="黑体" w:hAnsi="黑体" w:eastAsia="黑体" w:cs="宋体"/>
                <w:sz w:val="20"/>
                <w:szCs w:val="20"/>
                <w:lang w:val="en-US" w:eastAsia="zh-CN"/>
              </w:rPr>
            </w:pPr>
            <w:r>
              <w:rPr>
                <w:rFonts w:hint="eastAsia" w:ascii="宋体" w:hAnsi="宋体" w:cs="宋体"/>
                <w:sz w:val="24"/>
                <w:lang w:val="en-US" w:eastAsia="zh-CN"/>
              </w:rPr>
              <w:t xml:space="preserve">16</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top"/>
            <w:textDirection w:val="lrTb"/>
            <w:noWrap w:val="false"/>
          </w:tcPr>
          <w:p>
            <w:pPr>
              <w:numPr>
                <w:ilvl w:val="0"/>
                <w:numId w:val="7"/>
              </w:numPr>
              <w:ind w:firstLine="480"/>
              <w:spacing w:after="0" w:line="240" w:lineRule="auto"/>
              <w:rPr>
                <w:rFonts w:hint="eastAsia" w:ascii="宋体" w:hAnsi="宋体"/>
                <w:sz w:val="24"/>
                <w:lang w:val="en-US" w:eastAsia="zh-CN"/>
              </w:rPr>
            </w:pPr>
            <w:r>
              <w:rPr>
                <w:rFonts w:hint="eastAsia" w:ascii="宋体" w:hAnsi="宋体" w:eastAsia="宋体"/>
                <w:sz w:val="24"/>
                <w:lang w:val="en-US" w:eastAsia="zh-CN"/>
              </w:rPr>
              <w:t xml:space="preserve">供应商具有ISO9001质量管理体系认证证书、ISO14001环境管理体系认证证书、ISO20000信息技术服务管理体系认证，每提供一个得</w:t>
            </w:r>
            <w:r>
              <w:rPr>
                <w:rFonts w:hint="eastAsia" w:ascii="宋体" w:hAnsi="宋体"/>
                <w:sz w:val="24"/>
                <w:lang w:val="en-US" w:eastAsia="zh-CN"/>
              </w:rPr>
              <w:t xml:space="preserve">2</w:t>
            </w:r>
            <w:r>
              <w:rPr>
                <w:rFonts w:hint="eastAsia" w:ascii="宋体" w:hAnsi="宋体" w:eastAsia="宋体"/>
                <w:sz w:val="24"/>
                <w:lang w:val="en-US" w:eastAsia="zh-CN"/>
              </w:rPr>
              <w:t xml:space="preserve">分，最高得</w:t>
            </w:r>
            <w:r>
              <w:rPr>
                <w:rFonts w:hint="eastAsia" w:ascii="宋体" w:hAnsi="宋体"/>
                <w:sz w:val="24"/>
                <w:lang w:val="en-US" w:eastAsia="zh-CN"/>
              </w:rPr>
              <w:t xml:space="preserve">6</w:t>
            </w:r>
            <w:r>
              <w:rPr>
                <w:rFonts w:hint="eastAsia" w:ascii="宋体" w:hAnsi="宋体" w:eastAsia="宋体"/>
                <w:sz w:val="24"/>
                <w:lang w:val="en-US" w:eastAsia="zh-CN"/>
              </w:rPr>
              <w:t xml:space="preserve">分</w:t>
            </w:r>
            <w:r>
              <w:rPr>
                <w:rFonts w:hint="eastAsia" w:ascii="宋体" w:hAnsi="宋体"/>
                <w:sz w:val="24"/>
                <w:lang w:val="en-US" w:eastAsia="zh-CN"/>
              </w:rPr>
              <w:t xml:space="preserve">。</w:t>
            </w:r>
            <w:r/>
          </w:p>
          <w:p>
            <w:pPr>
              <w:numPr>
                <w:ilvl w:val="0"/>
                <w:numId w:val="0"/>
              </w:numPr>
              <w:ind w:firstLine="480"/>
              <w:spacing w:after="0" w:line="240" w:lineRule="auto"/>
              <w:rPr>
                <w:rFonts w:hint="eastAsia" w:ascii="宋体" w:hAnsi="宋体" w:eastAsia="宋体"/>
                <w:sz w:val="24"/>
                <w:lang w:val="en-US" w:eastAsia="zh-CN"/>
              </w:rPr>
            </w:pPr>
            <w:r>
              <w:rPr>
                <w:rFonts w:hint="eastAsia" w:ascii="宋体" w:hAnsi="宋体" w:eastAsia="宋体"/>
                <w:sz w:val="24"/>
                <w:lang w:val="en-US" w:eastAsia="zh-CN"/>
              </w:rPr>
              <w:t xml:space="preserve">2、响应供应商具有信息技术服务标准（ITSS）符合性证书（</w:t>
            </w:r>
            <w:r>
              <w:rPr>
                <w:rFonts w:hint="eastAsia" w:ascii="宋体" w:hAnsi="宋体"/>
                <w:sz w:val="24"/>
                <w:lang w:val="en-US" w:eastAsia="zh-CN"/>
              </w:rPr>
              <w:t xml:space="preserve">数据中心</w:t>
            </w:r>
            <w:r>
              <w:rPr>
                <w:rFonts w:hint="eastAsia" w:ascii="宋体" w:hAnsi="宋体" w:eastAsia="宋体"/>
                <w:sz w:val="24"/>
                <w:lang w:val="en-US" w:eastAsia="zh-CN"/>
              </w:rPr>
              <w:t xml:space="preserve">），得</w:t>
            </w:r>
            <w:r>
              <w:rPr>
                <w:rFonts w:hint="eastAsia" w:ascii="宋体" w:hAnsi="宋体"/>
                <w:sz w:val="24"/>
                <w:lang w:val="en-US" w:eastAsia="zh-CN"/>
              </w:rPr>
              <w:t xml:space="preserve">2</w:t>
            </w:r>
            <w:r>
              <w:rPr>
                <w:rFonts w:hint="eastAsia" w:ascii="宋体" w:hAnsi="宋体" w:eastAsia="宋体"/>
                <w:sz w:val="24"/>
                <w:lang w:val="en-US" w:eastAsia="zh-CN"/>
              </w:rPr>
              <w:t xml:space="preserve">分</w:t>
            </w:r>
            <w:r>
              <w:rPr>
                <w:rFonts w:hint="eastAsia" w:ascii="宋体" w:hAnsi="宋体"/>
                <w:sz w:val="24"/>
                <w:lang w:val="en-US" w:eastAsia="zh-CN"/>
              </w:rPr>
              <w:t xml:space="preserve">。</w:t>
            </w:r>
            <w:r/>
          </w:p>
          <w:p>
            <w:pPr>
              <w:ind w:firstLine="480"/>
              <w:spacing w:after="0" w:line="240" w:lineRule="auto"/>
              <w:rPr>
                <w:rFonts w:hint="eastAsia" w:ascii="宋体" w:hAnsi="宋体" w:eastAsia="宋体"/>
                <w:sz w:val="24"/>
                <w:lang w:val="en-US" w:eastAsia="zh-CN"/>
              </w:rPr>
            </w:pPr>
            <w:r>
              <w:rPr>
                <w:rFonts w:hint="eastAsia" w:ascii="宋体" w:hAnsi="宋体"/>
                <w:sz w:val="24"/>
                <w:lang w:val="en-US" w:eastAsia="zh-CN"/>
              </w:rPr>
              <w:t xml:space="preserve">3</w:t>
            </w:r>
            <w:r>
              <w:rPr>
                <w:rFonts w:hint="eastAsia" w:ascii="宋体" w:hAnsi="宋体" w:eastAsia="宋体"/>
                <w:sz w:val="24"/>
                <w:lang w:val="en-US" w:eastAsia="zh-CN"/>
              </w:rPr>
              <w:t xml:space="preserve">、响应供应商具有信息技术服务标准（ITSS）符合性证书（</w:t>
            </w:r>
            <w:r>
              <w:rPr>
                <w:rFonts w:hint="eastAsia" w:ascii="宋体" w:hAnsi="宋体"/>
                <w:sz w:val="24"/>
                <w:lang w:val="en-US" w:eastAsia="zh-CN"/>
              </w:rPr>
              <w:t xml:space="preserve">智能运维</w:t>
            </w:r>
            <w:r>
              <w:rPr>
                <w:rFonts w:hint="eastAsia" w:ascii="宋体" w:hAnsi="宋体" w:eastAsia="宋体"/>
                <w:sz w:val="24"/>
                <w:lang w:val="en-US" w:eastAsia="zh-CN"/>
              </w:rPr>
              <w:t xml:space="preserve">）</w:t>
            </w:r>
            <w:r>
              <w:rPr>
                <w:rFonts w:hint="eastAsia" w:ascii="宋体" w:hAnsi="宋体"/>
                <w:sz w:val="24"/>
                <w:lang w:val="en-US" w:eastAsia="zh-CN"/>
              </w:rPr>
              <w:t xml:space="preserve">或</w:t>
            </w:r>
            <w:r>
              <w:rPr>
                <w:rFonts w:hint="eastAsia" w:ascii="宋体" w:hAnsi="宋体" w:eastAsia="宋体"/>
                <w:sz w:val="24"/>
                <w:lang w:val="en-US" w:eastAsia="zh-CN"/>
              </w:rPr>
              <w:t xml:space="preserve">信息技术服务标准（ITSS）符合性证书（</w:t>
            </w:r>
            <w:r>
              <w:rPr>
                <w:rFonts w:hint="eastAsia" w:ascii="宋体" w:hAnsi="宋体"/>
                <w:sz w:val="24"/>
                <w:lang w:val="en-US" w:eastAsia="zh-CN"/>
              </w:rPr>
              <w:t xml:space="preserve">运维</w:t>
            </w:r>
            <w:r>
              <w:rPr>
                <w:rFonts w:hint="eastAsia" w:ascii="宋体" w:hAnsi="宋体" w:eastAsia="宋体"/>
                <w:sz w:val="24"/>
                <w:lang w:val="en-US" w:eastAsia="zh-CN"/>
              </w:rPr>
              <w:t xml:space="preserve">），得</w:t>
            </w:r>
            <w:r>
              <w:rPr>
                <w:rFonts w:hint="eastAsia" w:ascii="宋体" w:hAnsi="宋体"/>
                <w:sz w:val="24"/>
                <w:lang w:val="en-US" w:eastAsia="zh-CN"/>
              </w:rPr>
              <w:t xml:space="preserve">2</w:t>
            </w:r>
            <w:r>
              <w:rPr>
                <w:rFonts w:hint="eastAsia" w:ascii="宋体" w:hAnsi="宋体" w:eastAsia="宋体"/>
                <w:sz w:val="24"/>
                <w:lang w:val="en-US" w:eastAsia="zh-CN"/>
              </w:rPr>
              <w:t xml:space="preserve">分</w:t>
            </w:r>
            <w:r>
              <w:rPr>
                <w:rFonts w:hint="eastAsia" w:ascii="宋体" w:hAnsi="宋体"/>
                <w:sz w:val="24"/>
                <w:lang w:val="en-US" w:eastAsia="zh-CN"/>
              </w:rPr>
              <w:t xml:space="preserve">。</w:t>
            </w:r>
            <w:r/>
          </w:p>
          <w:p>
            <w:pPr>
              <w:ind w:firstLine="480"/>
              <w:spacing w:after="0" w:line="240" w:lineRule="auto"/>
              <w:rPr>
                <w:rFonts w:hint="eastAsia" w:ascii="宋体" w:hAnsi="宋体" w:eastAsia="宋体"/>
                <w:sz w:val="24"/>
                <w:lang w:eastAsia="zh-CN"/>
              </w:rPr>
            </w:pPr>
            <w:r>
              <w:rPr>
                <w:rFonts w:hint="eastAsia" w:ascii="宋体" w:hAnsi="宋体"/>
                <w:sz w:val="24"/>
                <w:lang w:val="en-US" w:eastAsia="zh-CN"/>
              </w:rPr>
              <w:t xml:space="preserve">4</w:t>
            </w:r>
            <w:r>
              <w:rPr>
                <w:rFonts w:hint="eastAsia" w:ascii="宋体" w:hAnsi="宋体" w:eastAsia="宋体"/>
                <w:sz w:val="24"/>
              </w:rPr>
              <w:t xml:space="preserve">、响应供应商具有信息安全服务资质认证（CCRC）：</w:t>
            </w:r>
            <w:r>
              <w:rPr>
                <w:rFonts w:hint="eastAsia" w:ascii="宋体" w:hAnsi="宋体" w:eastAsia="宋体"/>
                <w:sz w:val="24"/>
                <w:lang w:val="en-US" w:eastAsia="zh-CN"/>
              </w:rPr>
              <w:t xml:space="preserve">网络安全审计</w:t>
            </w:r>
            <w:r>
              <w:rPr>
                <w:rFonts w:hint="eastAsia" w:ascii="宋体" w:hAnsi="宋体" w:eastAsia="宋体"/>
                <w:sz w:val="24"/>
                <w:lang w:eastAsia="zh-CN"/>
              </w:rPr>
              <w:t xml:space="preserve">，</w:t>
            </w:r>
            <w:r>
              <w:rPr>
                <w:rFonts w:hint="eastAsia" w:ascii="宋体" w:hAnsi="宋体" w:eastAsia="宋体"/>
                <w:sz w:val="24"/>
              </w:rPr>
              <w:t xml:space="preserve">得</w:t>
            </w:r>
            <w:r>
              <w:rPr>
                <w:rFonts w:hint="eastAsia" w:ascii="宋体" w:hAnsi="宋体"/>
                <w:sz w:val="24"/>
                <w:lang w:val="en-US" w:eastAsia="zh-CN"/>
              </w:rPr>
              <w:t xml:space="preserve">2</w:t>
            </w:r>
            <w:r>
              <w:rPr>
                <w:rFonts w:hint="eastAsia" w:ascii="宋体" w:hAnsi="宋体" w:eastAsia="宋体"/>
                <w:sz w:val="24"/>
              </w:rPr>
              <w:t xml:space="preserve">分</w:t>
            </w:r>
            <w:r>
              <w:rPr>
                <w:rFonts w:hint="eastAsia" w:ascii="宋体" w:hAnsi="宋体"/>
                <w:sz w:val="24"/>
                <w:lang w:eastAsia="zh-CN"/>
              </w:rPr>
              <w:t xml:space="preserve">。</w:t>
            </w:r>
            <w:r/>
          </w:p>
          <w:p>
            <w:pPr>
              <w:ind w:firstLine="480"/>
              <w:spacing w:after="0" w:line="240" w:lineRule="auto"/>
              <w:rPr>
                <w:rFonts w:hint="eastAsia" w:ascii="宋体" w:hAnsi="宋体" w:eastAsia="宋体"/>
                <w:sz w:val="24"/>
              </w:rPr>
            </w:pPr>
            <w:r>
              <w:rPr>
                <w:rFonts w:hint="eastAsia" w:ascii="宋体" w:hAnsi="宋体"/>
                <w:sz w:val="24"/>
                <w:lang w:val="en-US" w:eastAsia="zh-CN"/>
              </w:rPr>
              <w:t xml:space="preserve">5</w:t>
            </w:r>
            <w:r>
              <w:rPr>
                <w:rFonts w:hint="eastAsia" w:ascii="宋体" w:hAnsi="宋体" w:eastAsia="宋体"/>
                <w:sz w:val="24"/>
              </w:rPr>
              <w:t xml:space="preserve">、响应供应商具有与本项目业务范围相关的类似水利工程运行管理系统、防汛预警预报软件系统、可视化</w:t>
            </w:r>
            <w:r>
              <w:rPr>
                <w:rFonts w:hint="eastAsia" w:ascii="宋体" w:hAnsi="宋体" w:eastAsia="宋体"/>
                <w:sz w:val="24"/>
                <w:lang w:val="en-US" w:eastAsia="zh-CN"/>
              </w:rPr>
              <w:t xml:space="preserve">类</w:t>
            </w:r>
            <w:r>
              <w:rPr>
                <w:rFonts w:hint="eastAsia" w:ascii="宋体" w:hAnsi="宋体" w:eastAsia="宋体"/>
                <w:sz w:val="24"/>
              </w:rPr>
              <w:t xml:space="preserve">软件、视频</w:t>
            </w:r>
            <w:r>
              <w:rPr>
                <w:rFonts w:hint="eastAsia" w:ascii="宋体" w:hAnsi="宋体" w:eastAsia="宋体"/>
                <w:sz w:val="24"/>
                <w:lang w:val="en-US" w:eastAsia="zh-CN"/>
              </w:rPr>
              <w:t xml:space="preserve">类</w:t>
            </w:r>
            <w:r>
              <w:rPr>
                <w:rFonts w:hint="eastAsia" w:ascii="宋体" w:hAnsi="宋体" w:eastAsia="宋体"/>
                <w:sz w:val="24"/>
              </w:rPr>
              <w:t xml:space="preserve">平台软件相关的软件著作权的，每提供一项得1分，最多得4分。（提供证书复印件并加盖投标人公章）。</w:t>
            </w:r>
            <w:r/>
          </w:p>
          <w:p>
            <w:pPr>
              <w:ind w:firstLine="480"/>
              <w:spacing w:after="0" w:line="240" w:lineRule="auto"/>
              <w:rPr>
                <w:rFonts w:hint="eastAsia" w:ascii="宋体" w:hAnsi="宋体" w:eastAsia="宋体"/>
                <w:sz w:val="24"/>
              </w:rPr>
            </w:pPr>
            <w:r>
              <w:rPr>
                <w:rFonts w:hint="eastAsia" w:ascii="宋体" w:hAnsi="宋体" w:eastAsia="宋体"/>
                <w:sz w:val="24"/>
                <w:lang w:val="en-US" w:eastAsia="zh-CN"/>
              </w:rPr>
              <w:t xml:space="preserve">以上内容均需提供证明材料扫描件（加盖公章）。</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投标人业绩</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jc w:val="center"/>
              <w:spacing w:line="440" w:lineRule="exact"/>
              <w:rPr>
                <w:rFonts w:hint="eastAsia" w:ascii="黑体" w:hAnsi="黑体" w:eastAsia="黑体" w:cs="宋体"/>
                <w:sz w:val="20"/>
                <w:szCs w:val="20"/>
                <w:lang w:val="en-US" w:eastAsia="zh-CN"/>
              </w:rPr>
            </w:pPr>
            <w:r>
              <w:rPr>
                <w:rFonts w:hint="eastAsia" w:ascii="宋体" w:hAnsi="宋体" w:cs="宋体"/>
                <w:sz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202</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年</w:t>
            </w:r>
            <w:r>
              <w:rPr>
                <w:rFonts w:hint="eastAsia" w:ascii="宋体" w:hAnsi="宋体" w:cs="Times New Roman"/>
                <w:color w:val="auto"/>
                <w:sz w:val="24"/>
                <w:lang w:val="en-US" w:eastAsia="zh-CN"/>
              </w:rPr>
              <w:t xml:space="preserve">09</w:t>
            </w:r>
            <w:r>
              <w:rPr>
                <w:rFonts w:hint="eastAsia" w:ascii="宋体" w:hAnsi="宋体" w:eastAsia="宋体" w:cs="Times New Roman"/>
                <w:color w:val="auto"/>
                <w:sz w:val="24"/>
                <w:lang w:val="en-US" w:eastAsia="zh-CN"/>
              </w:rPr>
              <w:t xml:space="preserve">月</w:t>
            </w:r>
            <w:r>
              <w:rPr>
                <w:rFonts w:hint="eastAsia" w:ascii="宋体" w:hAnsi="宋体" w:cs="Times New Roman"/>
                <w:color w:val="auto"/>
                <w:sz w:val="24"/>
                <w:lang w:val="en-US" w:eastAsia="zh-CN"/>
              </w:rPr>
              <w:t xml:space="preserve">0</w:t>
            </w:r>
            <w:r>
              <w:rPr>
                <w:rFonts w:hint="eastAsia" w:ascii="宋体" w:hAnsi="宋体" w:eastAsia="宋体" w:cs="Times New Roman"/>
                <w:color w:val="auto"/>
                <w:sz w:val="24"/>
                <w:lang w:val="en-US" w:eastAsia="zh-CN"/>
              </w:rPr>
              <w:t xml:space="preserve">1日以来（以合同或协议签订时间为准）供应商具有类似项目成功案例的，有1项得1分，最多得</w:t>
            </w: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en-US" w:eastAsia="zh-CN"/>
              </w:rPr>
              <w:t xml:space="preserve">分。</w:t>
            </w:r>
            <w:r/>
          </w:p>
          <w:p>
            <w:pPr>
              <w:ind w:firstLine="480"/>
              <w:spacing w:after="0" w:line="240" w:lineRule="auto"/>
              <w:rPr>
                <w:rFonts w:hint="eastAsia" w:ascii="宋体" w:hAnsi="宋体" w:cs="宋体"/>
                <w:sz w:val="24"/>
              </w:rPr>
            </w:pPr>
            <w:r>
              <w:rPr>
                <w:rFonts w:hint="eastAsia" w:ascii="宋体" w:hAnsi="宋体" w:eastAsia="宋体" w:cs="Times New Roman"/>
                <w:color w:val="auto"/>
                <w:sz w:val="24"/>
                <w:lang w:val="en-US" w:eastAsia="zh-CN"/>
              </w:rPr>
              <w:t xml:space="preserve">注：须同时提供合同协议书、中标通知书，否则不得分。</w:t>
            </w:r>
            <w:r/>
          </w:p>
        </w:tc>
      </w:tr>
      <w:tr>
        <w:trPr>
          <w:trHeight w:val="52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val="false"/>
          </w:tcPr>
          <w:p>
            <w:pPr>
              <w:jc w:val="center"/>
              <w:spacing w:line="440" w:lineRule="exact"/>
              <w:rPr>
                <w:rFonts w:ascii="黑体" w:hAnsi="黑体" w:eastAsia="黑体" w:cs="宋体"/>
                <w:sz w:val="20"/>
                <w:szCs w:val="20"/>
              </w:rPr>
            </w:pPr>
            <w:r>
              <w:rPr>
                <w:rFonts w:ascii="宋体" w:hAnsi="宋体" w:eastAsia="宋体"/>
                <w:sz w:val="24"/>
              </w:rPr>
              <w:t xml:space="preserve">技术方案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黑体" w:hAnsi="黑体" w:eastAsia="黑体" w:cs="宋体"/>
                <w:sz w:val="20"/>
                <w:szCs w:val="20"/>
                <w:lang w:val="en-US" w:eastAsia="zh-CN"/>
              </w:rPr>
            </w:pPr>
            <w:r>
              <w:rPr>
                <w:rFonts w:hint="eastAsia" w:ascii="宋体" w:hAnsi="宋体" w:cs="宋体"/>
                <w:sz w:val="24"/>
                <w:lang w:val="en-US" w:eastAsia="zh-CN"/>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ascii="宋体" w:hAnsi="宋体" w:eastAsia="宋体"/>
                <w:sz w:val="24"/>
              </w:rPr>
            </w:pPr>
            <w:r>
              <w:rPr>
                <w:rFonts w:ascii="宋体" w:hAnsi="宋体" w:eastAsia="宋体"/>
                <w:sz w:val="24"/>
              </w:rPr>
              <w:t xml:space="preserve">根据供应商提供的以下方案进行综合评审，包括但不限于以下内容：</w:t>
            </w:r>
            <w:r/>
          </w:p>
          <w:p>
            <w:pPr>
              <w:ind w:firstLine="480"/>
              <w:spacing w:after="0" w:line="240" w:lineRule="auto"/>
              <w:rPr>
                <w:rFonts w:ascii="宋体" w:hAnsi="宋体" w:eastAsia="宋体"/>
                <w:sz w:val="24"/>
                <w:highlight w:val="none"/>
              </w:rPr>
            </w:pPr>
            <w:r>
              <w:rPr>
                <w:rFonts w:hint="eastAsia" w:ascii="宋体" w:hAnsi="宋体" w:eastAsia="宋体"/>
                <w:sz w:val="24"/>
              </w:rPr>
              <w:t xml:space="preserve">1、红星河片区、城区闸站、红星灌区控制中心、城市防洪运行中心、</w:t>
            </w:r>
            <w:r>
              <w:rPr>
                <w:rFonts w:hint="eastAsia" w:ascii="宋体" w:hAnsi="宋体"/>
                <w:sz w:val="24"/>
                <w:lang w:val="en-US" w:eastAsia="zh-CN"/>
              </w:rPr>
              <w:t xml:space="preserve">北凌河及低洼区防洪除涝</w:t>
            </w:r>
            <w:r>
              <w:rPr>
                <w:rFonts w:hint="eastAsia" w:ascii="宋体" w:hAnsi="宋体" w:eastAsia="宋体"/>
                <w:sz w:val="24"/>
              </w:rPr>
              <w:t xml:space="preserve">控制中心、区域治水中心</w:t>
            </w:r>
            <w:r>
              <w:rPr>
                <w:rFonts w:ascii="宋体" w:hAnsi="宋体" w:eastAsia="宋体"/>
                <w:sz w:val="24"/>
              </w:rPr>
              <w:t xml:space="preserve">的现状</w:t>
            </w:r>
            <w:r>
              <w:rPr>
                <w:rFonts w:hint="eastAsia" w:ascii="宋体" w:hAnsi="宋体" w:eastAsia="宋体"/>
                <w:sz w:val="24"/>
              </w:rPr>
              <w:t xml:space="preserve">分析</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包含不限于现场勘查记录、设备名称及数量、现有自动化系统型号/版本、通信协议/网络拓扑、设备投运年限及健康状态、现有主要问题等</w:t>
            </w:r>
            <w:r>
              <w:rPr>
                <w:rFonts w:hint="eastAsia" w:ascii="宋体" w:hAnsi="宋体" w:eastAsia="宋体"/>
                <w:sz w:val="24"/>
                <w:highlight w:val="none"/>
                <w:lang w:eastAsia="zh-CN"/>
              </w:rPr>
              <w:t xml:space="preserve">）</w:t>
            </w:r>
            <w:r>
              <w:rPr>
                <w:rFonts w:ascii="宋体" w:hAnsi="宋体" w:eastAsia="宋体"/>
                <w:sz w:val="24"/>
                <w:highlight w:val="none"/>
              </w:rPr>
              <w:t xml:space="preserve">，</w:t>
            </w:r>
            <w:r>
              <w:rPr>
                <w:rFonts w:hint="eastAsia" w:ascii="宋体" w:hAnsi="宋体"/>
                <w:sz w:val="24"/>
                <w:highlight w:val="none"/>
                <w:lang w:val="en-US" w:eastAsia="zh-CN"/>
              </w:rPr>
              <w:t xml:space="preserve">共计</w:t>
            </w:r>
            <w:r>
              <w:rPr>
                <w:rFonts w:hint="eastAsia" w:ascii="宋体" w:hAnsi="宋体" w:eastAsia="宋体"/>
                <w:sz w:val="24"/>
                <w:highlight w:val="none"/>
                <w:lang w:val="en-US" w:eastAsia="zh-CN"/>
              </w:rPr>
              <w:t xml:space="preserve">9</w:t>
            </w:r>
            <w:r>
              <w:rPr>
                <w:rFonts w:ascii="宋体" w:hAnsi="宋体" w:eastAsia="宋体"/>
                <w:sz w:val="24"/>
                <w:highlight w:val="none"/>
              </w:rPr>
              <w:t xml:space="preserve">分；</w:t>
            </w:r>
            <w:r>
              <w:rPr>
                <w:rFonts w:hint="eastAsia" w:ascii="宋体" w:hAnsi="宋体" w:eastAsia="宋体"/>
                <w:sz w:val="24"/>
                <w:highlight w:val="none"/>
              </w:rPr>
              <w:t xml:space="preserve">每有一项缺项的扣</w:t>
            </w:r>
            <w:r>
              <w:rPr>
                <w:rFonts w:hint="eastAsia" w:ascii="宋体" w:hAnsi="宋体" w:eastAsia="宋体"/>
                <w:sz w:val="24"/>
                <w:highlight w:val="none"/>
                <w:lang w:val="en-US" w:eastAsia="zh-CN"/>
              </w:rPr>
              <w:t xml:space="preserve">1.5</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分，扣完为止，未提供不得分。</w:t>
            </w:r>
            <w:r/>
          </w:p>
          <w:p>
            <w:pPr>
              <w:ind w:firstLine="480"/>
              <w:spacing w:after="0" w:line="240" w:lineRule="auto"/>
              <w:rPr>
                <w:rFonts w:ascii="宋体" w:hAnsi="宋体" w:eastAsia="宋体"/>
                <w:sz w:val="24"/>
                <w:highlight w:val="green"/>
              </w:rPr>
            </w:pPr>
            <w:r>
              <w:rPr>
                <w:rFonts w:hint="eastAsia" w:ascii="宋体" w:hAnsi="宋体" w:eastAsia="宋体"/>
                <w:sz w:val="24"/>
              </w:rPr>
              <w:t xml:space="preserve">2、红星河片区闸站控制系统升级改造方案，首部平台系统搬迁整合及升级方案，</w:t>
            </w:r>
            <w:r>
              <w:rPr>
                <w:rFonts w:ascii="宋体" w:hAnsi="宋体" w:eastAsia="宋体"/>
                <w:sz w:val="24"/>
              </w:rPr>
              <w:t xml:space="preserve">专线接入方案</w:t>
            </w:r>
            <w:r>
              <w:rPr>
                <w:rFonts w:hint="eastAsia" w:ascii="宋体" w:hAnsi="宋体" w:eastAsia="宋体"/>
                <w:sz w:val="24"/>
              </w:rPr>
              <w:t xml:space="preserve">、水位计及闸位计更新改造方案、视频监控系统更新升级</w:t>
            </w:r>
            <w:r>
              <w:rPr>
                <w:rFonts w:ascii="宋体" w:hAnsi="宋体" w:eastAsia="宋体"/>
                <w:sz w:val="24"/>
              </w:rPr>
              <w:t xml:space="preserve">方案、</w:t>
            </w:r>
            <w:r>
              <w:rPr>
                <w:rFonts w:hint="eastAsia" w:ascii="宋体" w:hAnsi="宋体" w:eastAsia="宋体"/>
                <w:sz w:val="24"/>
              </w:rPr>
              <w:t xml:space="preserve">闸站语音广播系统方案，</w:t>
            </w:r>
            <w:r>
              <w:rPr>
                <w:rFonts w:hint="eastAsia" w:ascii="宋体" w:hAnsi="宋体"/>
                <w:sz w:val="24"/>
                <w:highlight w:val="none"/>
                <w:lang w:val="en-US" w:eastAsia="zh-CN"/>
              </w:rPr>
              <w:t xml:space="preserve">共计</w:t>
            </w:r>
            <w:r>
              <w:rPr>
                <w:rFonts w:hint="eastAsia" w:ascii="宋体" w:hAnsi="宋体" w:eastAsia="宋体"/>
                <w:sz w:val="24"/>
              </w:rPr>
              <w:t xml:space="preserve">6分</w:t>
            </w:r>
            <w:r>
              <w:rPr>
                <w:rFonts w:hint="eastAsia" w:ascii="宋体" w:hAnsi="宋体" w:eastAsia="宋体"/>
                <w:sz w:val="24"/>
                <w:highlight w:val="none"/>
              </w:rPr>
              <w:t xml:space="preserve">；每有一项缺项的扣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0.5</w:t>
            </w:r>
            <w:r>
              <w:rPr>
                <w:rFonts w:hint="eastAsia" w:ascii="宋体" w:hAnsi="宋体" w:eastAsia="宋体"/>
                <w:sz w:val="24"/>
                <w:highlight w:val="none"/>
              </w:rPr>
              <w:t xml:space="preserve">分，扣完为止，未提供不得分。</w:t>
            </w:r>
            <w:r/>
          </w:p>
          <w:p>
            <w:pPr>
              <w:ind w:firstLine="480"/>
              <w:spacing w:after="0" w:line="240" w:lineRule="auto"/>
              <w:rPr>
                <w:rFonts w:ascii="宋体" w:hAnsi="宋体" w:eastAsia="宋体"/>
                <w:sz w:val="24"/>
                <w:highlight w:val="none"/>
              </w:rPr>
            </w:pPr>
            <w:r>
              <w:rPr>
                <w:rFonts w:hint="eastAsia" w:ascii="宋体" w:hAnsi="宋体" w:eastAsia="宋体"/>
                <w:sz w:val="24"/>
              </w:rPr>
              <w:t xml:space="preserve">3、城区智慧管控信息化平台改造方案、服务器改造方案、UPS供电系统改造方案、仪表系统更换改造方案、视频监控系统更换改造方案、通扬河西泵站接入平台方案，</w:t>
            </w:r>
            <w:r>
              <w:rPr>
                <w:rFonts w:hint="eastAsia" w:ascii="宋体" w:hAnsi="宋体"/>
                <w:sz w:val="24"/>
                <w:highlight w:val="none"/>
                <w:lang w:val="en-US" w:eastAsia="zh-CN"/>
              </w:rPr>
              <w:t xml:space="preserve">共计</w:t>
            </w:r>
            <w:r>
              <w:rPr>
                <w:rFonts w:hint="eastAsia" w:ascii="宋体" w:hAnsi="宋体" w:eastAsia="宋体"/>
                <w:sz w:val="24"/>
              </w:rPr>
              <w:t xml:space="preserve">6分；</w:t>
            </w:r>
            <w:r>
              <w:rPr>
                <w:rFonts w:hint="eastAsia" w:ascii="宋体" w:hAnsi="宋体" w:eastAsia="宋体"/>
                <w:sz w:val="24"/>
                <w:highlight w:val="none"/>
              </w:rPr>
              <w:t xml:space="preserve">每有一项缺项的扣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0.5</w:t>
            </w:r>
            <w:r>
              <w:rPr>
                <w:rFonts w:hint="eastAsia" w:ascii="宋体" w:hAnsi="宋体" w:eastAsia="宋体"/>
                <w:sz w:val="24"/>
                <w:highlight w:val="none"/>
              </w:rPr>
              <w:t xml:space="preserve">分，扣完为止，未提供不得分。</w:t>
            </w:r>
            <w:r/>
          </w:p>
          <w:p>
            <w:pPr>
              <w:ind w:firstLine="480"/>
              <w:spacing w:after="0" w:line="240" w:lineRule="auto"/>
              <w:rPr>
                <w:rFonts w:hint="eastAsia" w:ascii="宋体" w:hAnsi="宋体" w:eastAsia="宋体"/>
                <w:sz w:val="24"/>
                <w:highlight w:val="green"/>
              </w:rPr>
            </w:pPr>
            <w:r>
              <w:rPr>
                <w:rFonts w:hint="eastAsia" w:ascii="宋体" w:hAnsi="宋体" w:eastAsia="宋体"/>
                <w:sz w:val="24"/>
                <w:highlight w:val="none"/>
              </w:rPr>
              <w:t xml:space="preserve">4、</w:t>
            </w:r>
            <w:r>
              <w:rPr>
                <w:rFonts w:ascii="宋体" w:hAnsi="宋体" w:eastAsia="宋体"/>
                <w:sz w:val="24"/>
                <w:highlight w:val="none"/>
              </w:rPr>
              <w:t xml:space="preserve">设备配置完整及选型</w:t>
            </w:r>
            <w:r>
              <w:rPr>
                <w:rFonts w:hint="eastAsia" w:ascii="宋体" w:hAnsi="宋体" w:eastAsia="宋体"/>
                <w:sz w:val="24"/>
                <w:highlight w:val="none"/>
                <w:lang w:val="en-US" w:eastAsia="zh-CN"/>
              </w:rPr>
              <w:t xml:space="preserve">方案</w:t>
            </w:r>
            <w:r>
              <w:rPr>
                <w:rFonts w:ascii="宋体" w:hAnsi="宋体" w:eastAsia="宋体"/>
                <w:sz w:val="24"/>
                <w:highlight w:val="none"/>
              </w:rPr>
              <w:t xml:space="preserve">、</w:t>
            </w:r>
            <w:r>
              <w:rPr>
                <w:rFonts w:hint="eastAsia" w:ascii="宋体" w:hAnsi="宋体" w:eastAsia="宋体"/>
                <w:sz w:val="24"/>
                <w:highlight w:val="none"/>
              </w:rPr>
              <w:t xml:space="preserve">设备供货进度保障方案</w:t>
            </w:r>
            <w:r>
              <w:rPr>
                <w:rFonts w:hint="eastAsia" w:ascii="宋体" w:hAnsi="宋体" w:eastAsia="宋体"/>
                <w:sz w:val="24"/>
                <w:highlight w:val="none"/>
                <w:lang w:eastAsia="zh-CN"/>
              </w:rPr>
              <w:t xml:space="preserve">、备品备件采购管理</w:t>
            </w:r>
            <w:r>
              <w:rPr>
                <w:rFonts w:hint="eastAsia" w:ascii="宋体" w:hAnsi="宋体" w:eastAsia="宋体"/>
                <w:sz w:val="24"/>
                <w:highlight w:val="none"/>
                <w:lang w:val="en-US" w:eastAsia="zh-CN"/>
              </w:rPr>
              <w:t xml:space="preserve">及</w:t>
            </w:r>
            <w:r>
              <w:rPr>
                <w:rFonts w:hint="eastAsia" w:ascii="宋体" w:hAnsi="宋体" w:eastAsia="宋体"/>
                <w:sz w:val="24"/>
                <w:highlight w:val="none"/>
                <w:lang w:eastAsia="zh-CN"/>
              </w:rPr>
              <w:t xml:space="preserve">本地化备品备件响应服务保障</w:t>
            </w:r>
            <w:r>
              <w:rPr>
                <w:rFonts w:hint="eastAsia" w:ascii="宋体" w:hAnsi="宋体" w:eastAsia="宋体"/>
                <w:sz w:val="24"/>
                <w:highlight w:val="none"/>
              </w:rPr>
              <w:t xml:space="preserve">，</w:t>
            </w:r>
            <w:r>
              <w:rPr>
                <w:rFonts w:hint="eastAsia" w:ascii="宋体" w:hAnsi="宋体"/>
                <w:sz w:val="24"/>
                <w:highlight w:val="none"/>
                <w:lang w:val="en-US" w:eastAsia="zh-CN"/>
              </w:rPr>
              <w:t xml:space="preserve">共计</w:t>
            </w:r>
            <w:r>
              <w:rPr>
                <w:rFonts w:hint="eastAsia" w:ascii="宋体" w:hAnsi="宋体" w:eastAsia="宋体"/>
                <w:sz w:val="24"/>
                <w:highlight w:val="none"/>
                <w:lang w:val="en-US" w:eastAsia="zh-CN"/>
              </w:rPr>
              <w:t xml:space="preserve">3</w:t>
            </w:r>
            <w:r>
              <w:rPr>
                <w:rFonts w:hint="eastAsia" w:ascii="宋体" w:hAnsi="宋体" w:eastAsia="宋体"/>
                <w:sz w:val="24"/>
                <w:highlight w:val="none"/>
              </w:rPr>
              <w:t xml:space="preserve">分。每有一项缺项的扣</w:t>
            </w:r>
            <w:r>
              <w:rPr>
                <w:rFonts w:hint="eastAsia" w:ascii="宋体" w:hAnsi="宋体" w:eastAsia="宋体"/>
                <w:sz w:val="24"/>
                <w:highlight w:val="none"/>
                <w:lang w:val="en-US" w:eastAsia="zh-CN"/>
              </w:rPr>
              <w:t xml:space="preserve">1</w:t>
            </w:r>
            <w:r>
              <w:rPr>
                <w:rFonts w:hint="eastAsia" w:ascii="宋体" w:hAnsi="宋体" w:eastAsia="宋体"/>
                <w:sz w:val="24"/>
                <w:highlight w:val="none"/>
              </w:rPr>
              <w:t xml:space="preserve">分，每有一项内容不完整或有缺陷的扣</w:t>
            </w:r>
            <w:r>
              <w:rPr>
                <w:rFonts w:hint="eastAsia" w:ascii="宋体" w:hAnsi="宋体" w:eastAsia="宋体"/>
                <w:sz w:val="24"/>
                <w:highlight w:val="none"/>
                <w:lang w:val="en-US" w:eastAsia="zh-CN"/>
              </w:rPr>
              <w:t xml:space="preserve">0.5</w:t>
            </w:r>
            <w:r>
              <w:rPr>
                <w:rFonts w:hint="eastAsia" w:ascii="宋体" w:hAnsi="宋体" w:eastAsia="宋体"/>
                <w:sz w:val="24"/>
                <w:highlight w:val="none"/>
              </w:rPr>
              <w:t xml:space="preserve">分</w:t>
            </w:r>
            <w:r>
              <w:rPr>
                <w:rFonts w:hint="eastAsia" w:ascii="宋体" w:hAnsi="宋体" w:eastAsia="宋体"/>
                <w:sz w:val="24"/>
              </w:rPr>
              <w:t xml:space="preserve">，扣完为止，未提供不得分。</w:t>
            </w:r>
            <w:r/>
          </w:p>
          <w:p>
            <w:pPr>
              <w:ind w:firstLine="480"/>
              <w:spacing w:after="0" w:line="240" w:lineRule="auto"/>
              <w:rPr>
                <w:rFonts w:hint="eastAsia" w:ascii="宋体" w:hAnsi="宋体" w:cs="宋体"/>
                <w:sz w:val="24"/>
              </w:rPr>
            </w:pPr>
            <w:r>
              <w:rPr>
                <w:rFonts w:hint="eastAsia" w:ascii="宋体" w:hAnsi="宋体" w:eastAsia="宋体"/>
                <w:sz w:val="24"/>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黑体" w:hAnsi="黑体" w:eastAsia="黑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施工方案</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黑体" w:hAnsi="黑体" w:eastAsia="黑体" w:cs="宋体"/>
                <w:sz w:val="20"/>
                <w:szCs w:val="20"/>
                <w:lang w:val="en-US" w:eastAsia="zh-CN"/>
              </w:rPr>
            </w:pPr>
            <w:r>
              <w:rPr>
                <w:rFonts w:hint="eastAsia" w:ascii="宋体" w:hAnsi="宋体" w:cs="宋体"/>
                <w:sz w:val="24"/>
                <w:lang w:val="en-US" w:eastAsia="zh-CN"/>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根据供应商提供的以下方案进行综合评审，包括但不限于以下内容：</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1、系统安装调试方案，得1分；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2、技术保证措施方案，得1分；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质量保证措施方案，得1分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4</w:t>
            </w:r>
            <w:r>
              <w:rPr>
                <w:rFonts w:hint="eastAsia" w:ascii="宋体" w:hAnsi="宋体" w:eastAsia="宋体" w:cs="Times New Roman"/>
                <w:color w:val="auto"/>
                <w:sz w:val="24"/>
                <w:lang w:val="en-US" w:eastAsia="zh-CN"/>
              </w:rPr>
              <w:t xml:space="preserve">、安全保证措施方案，得1分；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5</w:t>
            </w:r>
            <w:r>
              <w:rPr>
                <w:rFonts w:hint="eastAsia" w:ascii="宋体" w:hAnsi="宋体" w:eastAsia="宋体" w:cs="Times New Roman"/>
                <w:color w:val="auto"/>
                <w:sz w:val="24"/>
                <w:lang w:val="en-US" w:eastAsia="zh-CN"/>
              </w:rPr>
              <w:t xml:space="preserve">、施工进度安排方案（提供横道图），得1分；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6</w:t>
            </w:r>
            <w:r>
              <w:rPr>
                <w:rFonts w:hint="eastAsia" w:ascii="宋体" w:hAnsi="宋体" w:eastAsia="宋体" w:cs="Times New Roman"/>
                <w:color w:val="auto"/>
                <w:sz w:val="24"/>
                <w:lang w:val="en-US" w:eastAsia="zh-CN"/>
              </w:rPr>
              <w:t xml:space="preserve">、系统试运行管理与考核方案，得1分；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7</w:t>
            </w:r>
            <w:r>
              <w:rPr>
                <w:rFonts w:hint="eastAsia" w:ascii="宋体" w:hAnsi="宋体" w:eastAsia="宋体" w:cs="Times New Roman"/>
                <w:color w:val="auto"/>
                <w:sz w:val="24"/>
                <w:lang w:val="en-US" w:eastAsia="zh-CN"/>
              </w:rPr>
              <w:t xml:space="preserve">、检验方案，得1分；</w:t>
            </w:r>
            <w:r/>
          </w:p>
          <w:p>
            <w:pPr>
              <w:ind w:firstLine="480"/>
              <w:spacing w:after="0" w:line="240" w:lineRule="auto"/>
              <w:rPr>
                <w:rFonts w:hint="default"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8、验收方案，</w:t>
            </w:r>
            <w:r>
              <w:rPr>
                <w:rFonts w:hint="eastAsia" w:ascii="宋体" w:hAnsi="宋体" w:eastAsia="宋体" w:cs="Times New Roman"/>
                <w:color w:val="auto"/>
                <w:sz w:val="24"/>
                <w:lang w:val="en-US" w:eastAsia="zh-CN"/>
              </w:rPr>
              <w:t xml:space="preserve">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以上每项1分，共计</w:t>
            </w:r>
            <w:r>
              <w:rPr>
                <w:rFonts w:hint="eastAsia" w:ascii="宋体" w:hAnsi="宋体" w:cs="Times New Roman"/>
                <w:color w:val="auto"/>
                <w:sz w:val="24"/>
                <w:lang w:val="en-US" w:eastAsia="zh-CN"/>
              </w:rPr>
              <w:t xml:space="preserve">8</w:t>
            </w:r>
            <w:r>
              <w:rPr>
                <w:rFonts w:hint="eastAsia" w:ascii="宋体" w:hAnsi="宋体" w:eastAsia="宋体" w:cs="Times New Roman"/>
                <w:color w:val="auto"/>
                <w:sz w:val="24"/>
                <w:lang w:val="en-US" w:eastAsia="zh-CN"/>
              </w:rPr>
              <w:t xml:space="preserve">分，每有一项缺项的扣1分，每有一项内容不完整或有缺陷的扣0.5分，扣完为止，未提供不得分。</w:t>
            </w:r>
            <w:r/>
          </w:p>
          <w:p>
            <w:pPr>
              <w:ind w:firstLine="480"/>
              <w:spacing w:after="0" w:line="240" w:lineRule="auto"/>
              <w:rPr>
                <w:rFonts w:hint="eastAsia" w:ascii="宋体" w:hAnsi="宋体" w:eastAsia="宋体"/>
                <w:sz w:val="24"/>
              </w:rPr>
            </w:pPr>
            <w:r>
              <w:rPr>
                <w:rFonts w:hint="eastAsia" w:ascii="宋体" w:hAnsi="宋体" w:eastAsia="宋体" w:cs="Times New Roman"/>
                <w:color w:val="auto"/>
                <w:sz w:val="24"/>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255"/>
        </w:trPr>
        <w:tc>
          <w:tcPr>
            <w:shd w:val="clear" w:color="auto" w:fill="auto"/>
            <w:tcBorders>
              <w:top w:val="none" w:color="000000" w:sz="4" w:space="0"/>
              <w:left w:val="single" w:color="auto" w:sz="4" w:space="0"/>
              <w:bottom w:val="single" w:color="auto" w:sz="4" w:space="0"/>
              <w:right w:val="single" w:color="auto" w:sz="4" w:space="0"/>
            </w:tcBorders>
            <w:tcW w:w="360" w:type="pct"/>
            <w:vAlign w:val="center"/>
            <w:textDirection w:val="lrTb"/>
            <w:noWrap/>
          </w:tcPr>
          <w:p>
            <w:pPr>
              <w:jc w:val="center"/>
              <w:spacing w:line="440" w:lineRule="exact"/>
              <w:rPr>
                <w:rFonts w:ascii="黑体" w:hAnsi="黑体" w:eastAsia="黑体" w:cs="宋体"/>
                <w:sz w:val="20"/>
                <w:szCs w:val="20"/>
              </w:rPr>
            </w:pPr>
            <w:r>
              <w:rPr>
                <w:rFonts w:hint="eastAsia" w:ascii="宋体" w:hAnsi="宋体" w:eastAsia="宋体" w:cs="宋体"/>
                <w:sz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培训</w:t>
            </w:r>
            <w:r/>
          </w:p>
        </w:tc>
        <w:tc>
          <w:tcPr>
            <w:shd w:val="clear" w:color="auto" w:fill="auto"/>
            <w:tcBorders>
              <w:top w:val="none" w:color="000000"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黑体" w:hAnsi="黑体" w:eastAsia="黑体" w:cs="宋体"/>
                <w:sz w:val="20"/>
                <w:szCs w:val="20"/>
                <w:lang w:val="en-US" w:eastAsia="zh-CN"/>
              </w:rPr>
            </w:pPr>
            <w:r>
              <w:rPr>
                <w:rFonts w:hint="eastAsia" w:ascii="宋体" w:hAnsi="宋体" w:eastAsia="宋体" w:cs="宋体"/>
                <w:sz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根据供应商提供的编制的技术培训方案方案进行综合评审，包括但不限于以下内容：</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1、范围、内容、计划、措施，得1分；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2、技术培训师资力量配备、教材编制、培训质量考核，得1分。</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以上每项1分，共计2分，每有一项缺项的扣1分，每有一项内容不完整或有缺陷的扣0.5分，扣完为止，未提供不得分。</w:t>
            </w:r>
            <w:r/>
          </w:p>
          <w:p>
            <w:pPr>
              <w:ind w:firstLine="480"/>
              <w:spacing w:after="0" w:line="240" w:lineRule="auto"/>
              <w:rPr>
                <w:rFonts w:hint="eastAsia" w:ascii="宋体" w:hAnsi="宋体" w:cs="宋体"/>
                <w:sz w:val="24"/>
              </w:rPr>
            </w:pPr>
            <w:r>
              <w:rPr>
                <w:rFonts w:hint="eastAsia" w:ascii="宋体" w:hAnsi="宋体" w:eastAsia="宋体" w:cs="Times New Roman"/>
                <w:color w:val="auto"/>
                <w:sz w:val="24"/>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ascii="黑体" w:hAnsi="黑体" w:eastAsia="黑体" w:cs="宋体"/>
                <w:sz w:val="20"/>
                <w:szCs w:val="20"/>
              </w:rPr>
            </w:pPr>
            <w:r>
              <w:rPr>
                <w:rFonts w:hint="eastAsia" w:ascii="宋体" w:hAnsi="宋体" w:eastAsia="宋体" w:cs="宋体"/>
                <w:sz w:val="24"/>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黑体" w:hAnsi="黑体" w:eastAsia="黑体" w:cs="宋体"/>
                <w:sz w:val="20"/>
                <w:szCs w:val="20"/>
              </w:rPr>
            </w:pPr>
            <w:r>
              <w:rPr>
                <w:rFonts w:ascii="宋体" w:hAnsi="宋体" w:eastAsia="宋体"/>
                <w:sz w:val="24"/>
              </w:rPr>
              <w:t xml:space="preserve">售后服务</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根据供应商提供的编制的售后服务方案方案进行综合评审，包括但不限于以下内容：</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w:t>
            </w:r>
            <w:r>
              <w:rPr>
                <w:rFonts w:hint="eastAsia" w:ascii="宋体" w:hAnsi="宋体" w:eastAsia="宋体" w:cs="宋体"/>
                <w:bCs/>
                <w:color w:val="000000"/>
                <w:sz w:val="24"/>
                <w:szCs w:val="24"/>
                <w:highlight w:val="none"/>
                <w:lang w:val="en-US" w:eastAsia="zh-CN" w:bidi="ar-SA"/>
              </w:rPr>
              <w:t xml:space="preserve">完善的售后服务保障体系（设备维护、故障响应时效、技术支持、系统管理、数据安全及定期巡检等）</w:t>
            </w:r>
            <w:r>
              <w:rPr>
                <w:rFonts w:hint="eastAsia" w:ascii="宋体" w:hAnsi="宋体" w:eastAsia="宋体" w:cs="Times New Roman"/>
                <w:color w:val="auto"/>
                <w:sz w:val="24"/>
                <w:lang w:val="en-US" w:eastAsia="zh-CN"/>
              </w:rPr>
              <w:t xml:space="preserve">；</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w:t>
            </w:r>
            <w:r>
              <w:rPr>
                <w:rFonts w:hint="eastAsia" w:ascii="宋体" w:hAnsi="宋体" w:cs="Times New Roman"/>
                <w:color w:val="auto"/>
                <w:sz w:val="24"/>
                <w:lang w:val="en-US" w:eastAsia="zh-CN"/>
              </w:rPr>
              <w:t xml:space="preserve">售后</w:t>
            </w:r>
            <w:r>
              <w:rPr>
                <w:rFonts w:hint="eastAsia" w:ascii="宋体" w:hAnsi="宋体" w:eastAsia="宋体" w:cs="宋体"/>
                <w:bCs/>
                <w:color w:val="000000"/>
                <w:sz w:val="24"/>
                <w:szCs w:val="24"/>
                <w:highlight w:val="none"/>
                <w:lang w:val="en-US" w:eastAsia="zh-CN" w:bidi="ar-SA"/>
              </w:rPr>
              <w:t xml:space="preserve">服务人员配备及能力（客服人员、现场人员、软硬件维护人员的配备及具备信息化等相关专业知识）</w:t>
            </w:r>
            <w:r>
              <w:rPr>
                <w:rFonts w:hint="eastAsia" w:ascii="宋体" w:hAnsi="宋体" w:eastAsia="宋体" w:cs="Times New Roman"/>
                <w:color w:val="auto"/>
                <w:sz w:val="24"/>
                <w:lang w:val="en-US" w:eastAsia="zh-CN"/>
              </w:rPr>
              <w:t xml:space="preserve">。</w:t>
            </w:r>
            <w:r/>
          </w:p>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以上每项1分，共计2分，每有一项缺项的扣1分，每有一项内容不完整或有缺陷的扣0.5分，扣完为止，未提供不得分。</w:t>
            </w:r>
            <w:r/>
          </w:p>
          <w:p>
            <w:pPr>
              <w:ind w:firstLine="480"/>
              <w:spacing w:after="0" w:line="240" w:lineRule="auto"/>
              <w:rPr>
                <w:rFonts w:hint="eastAsia" w:ascii="宋体" w:hAnsi="宋体" w:eastAsia="宋体"/>
                <w:sz w:val="24"/>
              </w:rPr>
            </w:pPr>
            <w:r>
              <w:rPr>
                <w:rFonts w:hint="eastAsia" w:ascii="宋体" w:hAnsi="宋体" w:eastAsia="宋体" w:cs="Times New Roman"/>
                <w:color w:val="auto"/>
                <w:sz w:val="24"/>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720"/>
        </w:trPr>
        <w:tc>
          <w:tcPr>
            <w:shd w:val="clear" w:color="auto" w:fill="auto"/>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hint="eastAsia" w:ascii="宋体" w:hAnsi="宋体" w:eastAsia="宋体" w:cs="宋体"/>
                <w:sz w:val="24"/>
                <w:lang w:val="en-US" w:eastAsia="zh-CN"/>
              </w:rPr>
            </w:pPr>
            <w:r>
              <w:rPr>
                <w:rFonts w:hint="eastAsia" w:ascii="宋体" w:hAnsi="宋体" w:cs="宋体"/>
                <w:sz w:val="24"/>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34" w:type="pct"/>
            <w:vAlign w:val="center"/>
            <w:textDirection w:val="lrTb"/>
            <w:noWrap/>
          </w:tcPr>
          <w:p>
            <w:pPr>
              <w:jc w:val="center"/>
              <w:spacing w:line="440" w:lineRule="exact"/>
              <w:rPr>
                <w:rFonts w:ascii="宋体" w:hAnsi="宋体" w:eastAsia="宋体"/>
                <w:sz w:val="24"/>
              </w:rPr>
            </w:pPr>
            <w:r>
              <w:rPr>
                <w:rFonts w:hint="eastAsia" w:ascii="宋体" w:hAnsi="宋体" w:cs="宋体"/>
                <w:color w:val="000000"/>
                <w:sz w:val="22"/>
              </w:rPr>
              <w:t xml:space="preserve">节能环保</w:t>
            </w:r>
            <w:r/>
          </w:p>
        </w:tc>
        <w:tc>
          <w:tcPr>
            <w:shd w:val="clear" w:color="auto" w:fill="auto"/>
            <w:tcBorders>
              <w:top w:val="single" w:color="auto" w:sz="4" w:space="0"/>
              <w:left w:val="none" w:color="000000" w:sz="4" w:space="0"/>
              <w:bottom w:val="single" w:color="auto" w:sz="4" w:space="0"/>
              <w:right w:val="single" w:color="auto" w:sz="4" w:space="0"/>
            </w:tcBorders>
            <w:tcW w:w="416" w:type="pct"/>
            <w:vAlign w:val="center"/>
            <w:textDirection w:val="lrTb"/>
            <w:noWrap/>
          </w:tcPr>
          <w:p>
            <w:pPr>
              <w:ind w:firstLine="240"/>
              <w:spacing w:line="44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3688" w:type="pct"/>
            <w:vAlign w:val="center"/>
            <w:textDirection w:val="lrTb"/>
            <w:noWrap w:val="false"/>
          </w:tcPr>
          <w:p>
            <w:pPr>
              <w:ind w:firstLine="480"/>
              <w:spacing w:after="0"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响应产品属于财政部、国家发改委公布的“节能产品品目清单”范围内的，响应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Times New Roman"/>
                <w:color w:val="auto"/>
                <w:sz w:val="24"/>
                <w:lang w:val="en-US" w:eastAsia="zh-CN"/>
              </w:rPr>
              <w:br/>
            </w:r>
            <w:r>
              <w:rPr>
                <w:rFonts w:hint="eastAsia" w:ascii="宋体" w:hAnsi="宋体" w:cs="Times New Roman"/>
                <w:color w:val="auto"/>
                <w:sz w:val="24"/>
                <w:lang w:val="en-US" w:eastAsia="zh-CN"/>
              </w:rPr>
              <w:t xml:space="preserve">    </w:t>
            </w:r>
            <w:r>
              <w:rPr>
                <w:rFonts w:hint="eastAsia" w:ascii="宋体" w:hAnsi="宋体" w:eastAsia="宋体" w:cs="Times New Roman"/>
                <w:color w:val="auto"/>
                <w:sz w:val="24"/>
                <w:lang w:val="en-US" w:eastAsia="zh-CN"/>
              </w:rPr>
              <w:t xml:space="preserve">2.响应产品属于财政部、生态环境部公布的“环境标志产品品目清单”范围内的，响应供应商提供国家确定的认证机构出具的、处于有效期内的该环保产品认证证书复印件的，有1个得0.5分，最多得1分。</w:t>
            </w:r>
            <w:r>
              <w:rPr>
                <w:rFonts w:hint="eastAsia" w:ascii="宋体" w:hAnsi="宋体" w:cs="宋体"/>
                <w:color w:val="000000"/>
                <w:sz w:val="22"/>
              </w:rPr>
              <w:br/>
            </w:r>
            <w:r>
              <w:rPr>
                <w:rFonts w:hint="eastAsia" w:ascii="宋体" w:hAnsi="宋体" w:cs="宋体"/>
                <w:color w:val="000000"/>
                <w:sz w:val="22"/>
                <w:lang w:val="en-US" w:eastAsia="zh-CN"/>
              </w:rPr>
              <w:t xml:space="preserve">    </w:t>
            </w:r>
            <w:r>
              <w:rPr>
                <w:rFonts w:hint="eastAsia" w:ascii="宋体" w:hAnsi="宋体" w:eastAsia="宋体" w:cs="Times New Roman"/>
                <w:color w:val="auto"/>
                <w:sz w:val="24"/>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响应时须提供相应使用低VOCs 含量的有效证明材料，否则不得分）。</w:t>
            </w:r>
            <w:r/>
          </w:p>
        </w:tc>
      </w:tr>
    </w:tbl>
    <w:p>
      <w:pPr>
        <w:ind w:firstLine="482"/>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（四）</w:t>
      </w:r>
      <w:r>
        <w:rPr>
          <w:rFonts w:hint="eastAsia" w:ascii="宋体" w:hAnsi="宋体" w:cs="宋体"/>
          <w:b/>
          <w:color w:val="000000" w:themeColor="text1"/>
          <w:sz w:val="24"/>
          <w:szCs w:val="24"/>
          <w:lang w:val="zh-CN"/>
          <w14:textFill>
            <w14:solidFill>
              <w14:schemeClr w14:val="tx1"/>
            </w14:solidFill>
          </w14:textFill>
        </w:rPr>
        <w:t xml:space="preserve">价格分</w:t>
      </w:r>
      <w:r>
        <w:rPr>
          <w:rFonts w:hint="eastAsia" w:ascii="宋体" w:hAnsi="宋体" w:cs="宋体"/>
          <w:b/>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30</w:t>
      </w:r>
      <w:r>
        <w:rPr>
          <w:rFonts w:hint="eastAsia" w:ascii="宋体" w:hAnsi="宋体" w:cs="宋体"/>
          <w:color w:val="000000" w:themeColor="text1"/>
          <w:sz w:val="24"/>
          <w:szCs w:val="24"/>
          <w:lang w:val="zh-CN"/>
          <w14:textFill>
            <w14:solidFill>
              <w14:schemeClr w14:val="tx1"/>
            </w14:solidFill>
          </w14:textFill>
        </w:rPr>
        <w:t xml:space="preserve">分</w:t>
      </w:r>
      <w:r/>
    </w:p>
    <w:p>
      <w:pPr>
        <w:ind w:firstLine="480"/>
        <w:spacing w:line="460" w:lineRule="exact"/>
        <w:rPr>
          <w:rFonts w:ascii="宋体" w:hAnsi="宋体" w:cs="宋体"/>
          <w:color w:val="000000" w:themeColor="text1"/>
          <w:sz w:val="24"/>
          <w:szCs w:val="24"/>
          <w14:textFill>
            <w14:solidFill>
              <w14:schemeClr w14:val="tx1"/>
            </w14:solidFill>
          </w14:textFill>
        </w:rPr>
      </w:pPr>
      <w:r/>
      <w:bookmarkStart w:id="196" w:name="OLE_LINK25"/>
      <w:r/>
      <w:bookmarkStart w:id="197" w:name="OLE_LINK24"/>
      <w:r>
        <w:rPr>
          <w:rFonts w:hint="eastAsia" w:ascii="宋体" w:hAnsi="宋体" w:cs="宋体"/>
          <w:color w:val="000000" w:themeColor="text1"/>
          <w:sz w:val="24"/>
          <w:szCs w:val="24"/>
          <w14:textFill>
            <w14:solidFill>
              <w14:schemeClr w14:val="tx1"/>
            </w14:solidFill>
          </w14:textFill>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磋商报价得分=（磋商基准价/最后磋商报价）×价格权值×100</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注：评分的取值采取四舍五入，保留两位小数。</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出现下列情形之一的，磋商小组应当启动异常低价响应审查程序：</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3.投标（响应）报价低于采购项目最高限价45%的，即投标（响应）报价&lt;采购项目最高限价×45%；</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4.评审委员会基于专业判断，认为供应商报价过低，有可能影响产品质量或者不能诚信履约的其他情形。</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磋商小组启动异常低价响应审查后，属于前述第1项至第4项情形的，磋商小组将通过苏采云系统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由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6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bookmarkEnd w:id="196"/>
      <w:r/>
      <w:bookmarkEnd w:id="197"/>
      <w:r/>
      <w:r/>
    </w:p>
    <w:p>
      <w:pPr>
        <w:ind w:firstLine="482"/>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（五）政府采购政策功能落实</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1.小微型企业价格扣除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（1）本项目对小型和微型企业产品给予20%的扣除价格，用扣除后的价格参与评审。</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（2）供应商需按照《政府采购促进中小企业发展管理办法》（财库﹝2020﹞46 号）的规定提供相应的《中小企业声明函》。</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（3）企业标准请参照《关于印发中小企业划型标准规定的通知》（工信部联企业[2011]300号）文件规定自行填写。</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b w:val="0"/>
          <w:bCs/>
          <w:color w:val="auto"/>
          <w:sz w:val="24"/>
          <w:szCs w:val="24"/>
          <w:highlight w:val="none"/>
          <w:lang w:val="en-US" w:eastAsia="zh-CN"/>
        </w:rPr>
        <w:t xml:space="preserve">（4）专门面向中小微企业采购的项目或者采购包，不再执行价格评审优惠的扶持政策。</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2.残疾人福利单位价格扣除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（1）本项目对残疾人福利性单位，给予20%的价格扣除，用扣除后的价格参与评审。</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（2）残疾人福利单位需按照采购文件的要求提供《残疾人福利性单位声明函》。</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（3）残疾人福利单位标准请参照《关于促进残疾人就业政府采购政策的通知》（财库〔2017〕141号）。</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3.监狱和戒毒企业价格扣除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（1）本项目对监狱和戒毒企业（简称监狱企业）给予20%的价格扣除，用扣除后的价格参与评审。</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（3）监狱企业标准请参照《关于政府采购支持监狱企业发展有关问题的通知》（财库[2014]68号）。</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4.残疾人福利单位、监狱企业属于小型、微型企业的，不重复享受政策。</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6.联合体各方均为小型、微型企业（残疾人福利单位、监狱企业）的，联合体享受上述同类价格扣除，用扣除后的价格参与评审。</w:t>
      </w:r>
      <w:r/>
    </w:p>
    <w:p>
      <w:pPr>
        <w:ind w:firstLine="482"/>
        <w:spacing w:line="560" w:lineRule="exact"/>
        <w:rPr>
          <w:rFonts w:hint="eastAsia" w:ascii="宋体" w:hAnsi="宋体"/>
          <w:b/>
          <w:sz w:val="24"/>
          <w:szCs w:val="24"/>
          <w:highlight w:val="lightGray"/>
        </w:rPr>
      </w:pPr>
      <w:r>
        <w:rPr>
          <w:rFonts w:hint="eastAsia" w:ascii="Arial" w:hAnsi="Arial" w:cs="Arial"/>
          <w:b/>
          <w:sz w:val="24"/>
          <w:szCs w:val="24"/>
        </w:rPr>
        <w:t xml:space="preserve">（六）</w:t>
      </w:r>
      <w:r>
        <w:rPr>
          <w:rFonts w:hint="eastAsia" w:ascii="宋体" w:hAnsi="宋体"/>
          <w:b/>
          <w:color w:val="000000"/>
          <w:sz w:val="24"/>
          <w:szCs w:val="24"/>
        </w:rPr>
        <w:t xml:space="preserve">采购本国产品的支持政策</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480"/>
        <w:spacing w:line="460" w:lineRule="exact"/>
        <w:rPr>
          <w:rFonts w:hint="eastAsia" w:ascii="宋体" w:hAnsi="宋体" w:cs="宋体"/>
          <w:color w:val="333333"/>
          <w:sz w:val="24"/>
          <w:szCs w:val="24"/>
        </w:rPr>
      </w:pPr>
      <w:r>
        <w:rPr>
          <w:rFonts w:hint="eastAsia" w:ascii="宋体" w:hAnsi="宋体" w:cs="宋体"/>
          <w:color w:val="000000" w:themeColor="text1"/>
          <w:sz w:val="24"/>
          <w:szCs w:val="24"/>
          <w14:textFill>
            <w14:solidFill>
              <w14:schemeClr w14:val="tx1"/>
            </w14:solidFill>
          </w14:textFill>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4.供应商需按照</w:t>
      </w:r>
      <w:r>
        <w:rPr>
          <w:rFonts w:hint="eastAsia" w:ascii="宋体" w:hAnsi="宋体" w:cs="宋体"/>
          <w:b/>
          <w:bCs/>
          <w:color w:val="000000" w:themeColor="text1"/>
          <w:sz w:val="24"/>
          <w:szCs w:val="24"/>
          <w:lang w:val="en-US" w:eastAsia="zh-CN"/>
          <w14:textFill>
            <w14:solidFill>
              <w14:schemeClr w14:val="tx1"/>
            </w14:solidFill>
          </w14:textFill>
        </w:rPr>
        <w:t xml:space="preserve">采购</w:t>
      </w:r>
      <w:r>
        <w:rPr>
          <w:rFonts w:hint="eastAsia" w:ascii="宋体" w:hAnsi="宋体" w:cs="宋体"/>
          <w:b/>
          <w:bCs/>
          <w:color w:val="000000" w:themeColor="text1"/>
          <w:sz w:val="24"/>
          <w:szCs w:val="24"/>
          <w14:textFill>
            <w14:solidFill>
              <w14:schemeClr w14:val="tx1"/>
            </w14:solidFill>
          </w14:textFill>
        </w:rPr>
        <w:t xml:space="preserve">文件的要求提供《关于符合本国产品标准的声明函》，如不提供将不享受本国产品价格评审优惠。</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spacing w:line="4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cs="宋体"/>
          <w:color w:val="000000" w:themeColor="text1"/>
          <w:sz w:val="24"/>
          <w:szCs w:val="24"/>
          <w:lang w:val="en-US" w:eastAsia="zh-CN"/>
          <w14:textFill>
            <w14:solidFill>
              <w14:schemeClr w14:val="tx1"/>
            </w14:solidFill>
          </w14:textFill>
        </w:rPr>
        <w:t xml:space="preserve">采购</w:t>
      </w:r>
      <w:r>
        <w:rPr>
          <w:rFonts w:hint="eastAsia" w:ascii="宋体" w:hAnsi="宋体" w:cs="宋体"/>
          <w:color w:val="000000" w:themeColor="text1"/>
          <w:sz w:val="24"/>
          <w:szCs w:val="24"/>
          <w14:textFill>
            <w14:solidFill>
              <w14:schemeClr w14:val="tx1"/>
            </w14:solidFill>
          </w14:textFill>
        </w:rPr>
        <w:t xml:space="preserve">文件规定的，供应商提供的相关产品视为不符合本国产品标准。</w:t>
      </w:r>
      <w:r/>
    </w:p>
    <w:p>
      <w:pPr>
        <w:ind w:firstLine="480"/>
        <w:spacing w:line="46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5.对于仅有本国产品参与竞争的政府采购项目，本国产品不享受价格扣除评审优惠。</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（六）成交供应商的确定</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磋商小组汇总各评委评分后，按照得分从高到低的顺序推荐三名成交候选人，并编写评审报告。</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采购人授权磋商小组在成交候选供应商中直接确定成交供应商。</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（七）采购人代表宣布评审结果。</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（八）公告成交结果</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自确定成交供应商之日起2个工作日内，在江苏政府采购网公告成交结果，公告期限为1个工作日。</w:t>
      </w:r>
      <w:r/>
    </w:p>
    <w:p>
      <w:pPr>
        <w:ind w:firstLine="480"/>
        <w:spacing w:line="46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（九）发放成交通知书</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公告成交结果的同时，采购人或采购代理机构向成交供应商发放成交通知书。</w:t>
      </w:r>
      <w:r/>
    </w:p>
    <w:p>
      <w:pPr>
        <w:ind w:firstLine="480"/>
        <w:spacing w:line="46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成交通知书发出后，采购人不得违法改变成交结果，成交供应商无正当理由不得放弃成交。</w:t>
      </w:r>
      <w:r/>
    </w:p>
    <w:p>
      <w:pPr>
        <w:jc w:val="left"/>
        <w:widowControl/>
        <w:rPr>
          <w:rFonts w:ascii="黑体" w:eastAsia="黑体"/>
          <w:bCs/>
          <w:color w:val="000000" w:themeColor="text1"/>
          <w:sz w:val="44"/>
          <w:szCs w:val="28"/>
          <w14:textFill>
            <w14:solidFill>
              <w14:schemeClr w14:val="tx1"/>
            </w14:solidFill>
          </w14:textFill>
        </w:rPr>
      </w:pPr>
      <w:r>
        <w:rPr>
          <w:rFonts w:ascii="黑体" w:eastAsia="黑体"/>
          <w:bCs/>
          <w:color w:val="000000" w:themeColor="text1"/>
          <w:sz w:val="44"/>
          <w:szCs w:val="28"/>
          <w14:textFill>
            <w14:solidFill>
              <w14:schemeClr w14:val="tx1"/>
            </w14:solidFill>
          </w14:textFill>
        </w:rPr>
        <w:br w:type="page" w:clear="all"/>
      </w:r>
      <w:r/>
    </w:p>
    <w:p>
      <w:pPr>
        <w:jc w:val="center"/>
        <w:rPr>
          <w:rFonts w:ascii="黑体" w:eastAsia="黑体"/>
          <w:bCs/>
          <w:color w:val="000000" w:themeColor="text1"/>
          <w:sz w:val="44"/>
          <w:szCs w:val="28"/>
          <w14:textFill>
            <w14:solidFill>
              <w14:schemeClr w14:val="tx1"/>
            </w14:solidFill>
          </w14:textFill>
        </w:rPr>
        <w:outlineLvl w:val="0"/>
      </w:pPr>
      <w:r>
        <w:rPr>
          <w:rFonts w:hint="eastAsia" w:ascii="黑体" w:eastAsia="黑体"/>
          <w:bCs/>
          <w:color w:val="000000" w:themeColor="text1"/>
          <w:sz w:val="44"/>
          <w:szCs w:val="28"/>
          <w14:textFill>
            <w14:solidFill>
              <w14:schemeClr w14:val="tx1"/>
            </w14:solidFill>
          </w14:textFill>
        </w:rPr>
        <w:t xml:space="preserve">第五章  </w:t>
      </w:r>
      <w:bookmarkEnd w:id="191"/>
      <w:r/>
      <w:bookmarkEnd w:id="192"/>
      <w:r/>
      <w:bookmarkEnd w:id="195"/>
      <w:r>
        <w:rPr>
          <w:rFonts w:hint="eastAsia" w:ascii="黑体" w:eastAsia="黑体"/>
          <w:bCs/>
          <w:color w:val="000000" w:themeColor="text1"/>
          <w:sz w:val="44"/>
          <w:szCs w:val="28"/>
          <w14:textFill>
            <w14:solidFill>
              <w14:schemeClr w14:val="tx1"/>
            </w14:solidFill>
          </w14:textFill>
        </w:rPr>
        <w:t xml:space="preserve">响应文件格式</w:t>
      </w:r>
      <w:r/>
    </w:p>
    <w:p>
      <w:pPr>
        <w:jc w:val="center"/>
        <w:rPr>
          <w:rFonts w:ascii="宋体" w:hAnsi="宋体"/>
          <w:b/>
          <w:color w:val="000000" w:themeColor="text1"/>
          <w:sz w:val="72"/>
          <w:szCs w:val="21"/>
          <w14:textFill>
            <w14:solidFill>
              <w14:schemeClr w14:val="tx1"/>
            </w14:solidFill>
          </w14:textFill>
        </w:rPr>
      </w:pPr>
      <w:r/>
      <w:bookmarkStart w:id="198" w:name="_Hlt26955039"/>
      <w:r/>
      <w:bookmarkEnd w:id="198"/>
      <w:r/>
      <w:bookmarkStart w:id="199" w:name="_Hlt26671244"/>
      <w:r/>
      <w:bookmarkEnd w:id="199"/>
      <w:r/>
      <w:bookmarkStart w:id="200" w:name="_Toc120614282"/>
      <w:r/>
      <w:bookmarkStart w:id="201" w:name="_Toc49090576"/>
      <w:r/>
      <w:bookmarkStart w:id="202" w:name="_Toc26554094"/>
      <w:r/>
      <w:r/>
    </w:p>
    <w:p>
      <w:pPr>
        <w:jc w:val="center"/>
        <w:rPr>
          <w:rFonts w:ascii="宋体" w:hAnsi="宋体"/>
          <w:b/>
          <w:color w:val="000000" w:themeColor="text1"/>
          <w:sz w:val="72"/>
          <w:szCs w:val="21"/>
          <w14:textFill>
            <w14:solidFill>
              <w14:schemeClr w14:val="tx1"/>
            </w14:solidFill>
          </w14:textFill>
        </w:rPr>
      </w:pPr>
      <w:r>
        <w:rPr>
          <w:rFonts w:hint="eastAsia" w:ascii="宋体" w:hAnsi="宋体"/>
          <w:b/>
          <w:color w:val="000000" w:themeColor="text1"/>
          <w:sz w:val="72"/>
          <w:szCs w:val="21"/>
          <w14:textFill>
            <w14:solidFill>
              <w14:schemeClr w14:val="tx1"/>
            </w14:solidFill>
          </w14:textFill>
        </w:rPr>
        <w:t xml:space="preserve">响  应  文  件</w:t>
      </w:r>
      <w:r/>
    </w:p>
    <w:p>
      <w:pPr>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jc w:val="center"/>
        <w:rPr>
          <w:rFonts w:ascii="宋体" w:hAnsi="宋体"/>
          <w:b/>
          <w:color w:val="000000" w:themeColor="text1"/>
          <w:sz w:val="36"/>
          <w:szCs w:val="21"/>
          <w14:textFill>
            <w14:solidFill>
              <w14:schemeClr w14:val="tx1"/>
            </w14:solidFill>
          </w14:textFill>
        </w:rPr>
      </w:pPr>
      <w:r>
        <w:rPr>
          <w:rFonts w:ascii="宋体" w:hAnsi="宋体"/>
          <w:b/>
          <w:color w:val="000000" w:themeColor="text1"/>
          <w:sz w:val="36"/>
          <w:szCs w:val="21"/>
          <w14:textFill>
            <w14:solidFill>
              <w14:schemeClr w14:val="tx1"/>
            </w14:solidFill>
          </w14:textFill>
        </w:rPr>
      </w:r>
      <w:r/>
    </w:p>
    <w:p>
      <w:pPr>
        <w:ind w:firstLine="1084"/>
        <w:rPr>
          <w:rFonts w:ascii="宋体" w:hAnsi="宋体"/>
          <w:b/>
          <w:color w:val="000000" w:themeColor="text1"/>
          <w:sz w:val="36"/>
          <w:szCs w:val="21"/>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名 称：</w:t>
      </w:r>
      <w:r/>
    </w:p>
    <w:p>
      <w:pPr>
        <w:ind w:firstLine="1084"/>
        <w:rPr>
          <w:rFonts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项 目 编 号：</w:t>
      </w:r>
      <w:r/>
    </w:p>
    <w:p>
      <w:pPr>
        <w:rPr>
          <w:rFonts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供应商名称 ：</w:t>
      </w:r>
      <w:r>
        <w:rPr>
          <w:rFonts w:hint="eastAsia" w:ascii="宋体" w:hAnsi="宋体"/>
          <w:b/>
          <w:color w:val="000000" w:themeColor="text1"/>
          <w:sz w:val="36"/>
          <w:szCs w:val="21"/>
          <w:u w:val="single"/>
          <w14:textFill>
            <w14:solidFill>
              <w14:schemeClr w14:val="tx1"/>
            </w14:solidFill>
          </w14:textFill>
        </w:rPr>
        <w:t xml:space="preserve">（加盖CA电子公章）</w:t>
      </w:r>
      <w:r/>
    </w:p>
    <w:p>
      <w:pPr>
        <w:rPr>
          <w:rFonts w:ascii="宋体" w:hAnsi="宋体"/>
          <w:b/>
          <w:color w:val="000000" w:themeColor="text1"/>
          <w:sz w:val="36"/>
          <w:szCs w:val="21"/>
          <w:u w:val="single"/>
          <w14:textFill>
            <w14:solidFill>
              <w14:schemeClr w14:val="tx1"/>
            </w14:solidFill>
          </w14:textFill>
        </w:rPr>
      </w:pPr>
      <w:r>
        <w:rPr>
          <w:rFonts w:hint="eastAsia" w:ascii="宋体" w:hAnsi="宋体"/>
          <w:b/>
          <w:color w:val="000000" w:themeColor="text1"/>
          <w:sz w:val="36"/>
          <w:szCs w:val="21"/>
          <w14:textFill>
            <w14:solidFill>
              <w14:schemeClr w14:val="tx1"/>
            </w14:solidFill>
          </w14:textFill>
        </w:rPr>
        <w:t xml:space="preserve">      日      期 ：</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spacing w:line="44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color w:val="000000" w:themeColor="text1"/>
          <w:sz w:val="36"/>
          <w:szCs w:val="21"/>
          <w:u w:val="single"/>
          <w14:textFill>
            <w14:solidFill>
              <w14:schemeClr w14:val="tx1"/>
            </w14:solidFill>
          </w14:textFill>
        </w:rPr>
      </w:pPr>
      <w:r>
        <w:rPr>
          <w:rFonts w:ascii="宋体" w:hAnsi="宋体"/>
          <w:b/>
          <w:color w:val="000000" w:themeColor="text1"/>
          <w:sz w:val="36"/>
          <w:szCs w:val="21"/>
          <w:u w:val="single"/>
          <w14:textFill>
            <w14:solidFill>
              <w14:schemeClr w14:val="tx1"/>
            </w14:solidFill>
          </w14:textFill>
        </w:rPr>
      </w:r>
      <w:r/>
    </w:p>
    <w:p>
      <w:pPr>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jc w:val="center"/>
        <w:spacing w:line="560" w:lineRule="exact"/>
        <w:rPr>
          <w:rFonts w:ascii="宋体" w:hAnsi="宋体"/>
          <w:b/>
          <w:bCs/>
          <w:color w:val="000000" w:themeColor="text1"/>
          <w:sz w:val="44"/>
          <w:szCs w:val="44"/>
          <w14:textFill>
            <w14:solidFill>
              <w14:schemeClr w14:val="tx1"/>
            </w14:solidFill>
          </w14:textFill>
        </w:rPr>
      </w:pPr>
      <w:r>
        <w:rPr>
          <w:rFonts w:hint="eastAsia" w:ascii="宋体" w:hAnsi="宋体"/>
          <w:b/>
          <w:bCs/>
          <w:color w:val="000000" w:themeColor="text1"/>
          <w:sz w:val="44"/>
          <w:szCs w:val="44"/>
          <w14:textFill>
            <w14:solidFill>
              <w14:schemeClr w14:val="tx1"/>
            </w14:solidFill>
          </w14:textFill>
        </w:rPr>
        <w:t xml:space="preserve">响应文件目录</w:t>
      </w:r>
      <w:r/>
    </w:p>
    <w:p>
      <w:pPr>
        <w:jc w:val="center"/>
        <w:spacing w:line="56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一、资格审查证明材料</w:t>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二、商务、技术标</w:t>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三、价格标</w:t>
      </w:r>
      <w:r/>
    </w:p>
    <w:p>
      <w:pPr>
        <w:ind w:left="482"/>
        <w:spacing w:line="72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四、其他资料（如有）</w:t>
      </w:r>
      <w:r/>
    </w:p>
    <w:p>
      <w:pPr>
        <w:ind w:firstLine="480"/>
        <w:spacing w:line="440" w:lineRule="exact"/>
        <w:rPr>
          <w:rFonts w:ascii="宋体" w:hAnsi="宋体"/>
          <w:i/>
          <w:color w:val="000000" w:themeColor="text1"/>
          <w:sz w:val="24"/>
          <w:szCs w:val="21"/>
          <w:u w:val="single"/>
          <w14:textFill>
            <w14:solidFill>
              <w14:schemeClr w14:val="tx1"/>
            </w14:solidFill>
          </w14:textFill>
        </w:rPr>
      </w:pPr>
      <w:r>
        <w:rPr>
          <w:rFonts w:ascii="宋体" w:hAnsi="宋体"/>
          <w:i/>
          <w:color w:val="000000" w:themeColor="text1"/>
          <w:sz w:val="24"/>
          <w:szCs w:val="21"/>
          <w:u w:val="single"/>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ind w:firstLine="480"/>
        <w:spacing w:line="560" w:lineRule="exact"/>
        <w:rPr>
          <w:rFonts w:ascii="黑体" w:hAnsi="黑体" w:eastAsia="黑体"/>
          <w:color w:val="000000" w:themeColor="text1"/>
          <w:sz w:val="32"/>
          <w:szCs w:val="32"/>
          <w14:textFill>
            <w14:solidFill>
              <w14:schemeClr w14:val="tx1"/>
            </w14:solidFill>
          </w14:textFill>
        </w:rPr>
      </w:pPr>
      <w:r>
        <w:rPr>
          <w:rFonts w:ascii="宋体" w:hAnsi="宋体"/>
          <w:color w:val="000000" w:themeColor="text1"/>
          <w:sz w:val="24"/>
          <w:szCs w:val="21"/>
          <w14:textFill>
            <w14:solidFill>
              <w14:schemeClr w14:val="tx1"/>
            </w14:solidFill>
          </w14:textFill>
        </w:rPr>
        <w:br w:type="page" w:clear="all"/>
      </w:r>
      <w:r>
        <w:rPr>
          <w:rFonts w:hint="eastAsia" w:ascii="黑体" w:hAnsi="黑体" w:eastAsia="黑体"/>
          <w:color w:val="000000" w:themeColor="text1"/>
          <w:sz w:val="32"/>
          <w:szCs w:val="32"/>
          <w14:textFill>
            <w14:solidFill>
              <w14:schemeClr w14:val="tx1"/>
            </w14:solidFill>
          </w14:textFill>
        </w:rPr>
        <w:t xml:space="preserve">一、资格审查证明材料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1.法人或者其他组织的营业执照等证明文件，自然人的身份证明；</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2.上一年度的财务状况报告（成立不满一年不需提供）；(提供参加本次开标前的会计报表，必须含资产负债表、利润表等证明材料)；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4.具备履行合同所必需的设备和专业技术能力的证明材料；（格式见附件）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6.法定代表人身份证明书（格式见附件）；</w:t>
      </w:r>
      <w:r/>
    </w:p>
    <w:p>
      <w:pPr>
        <w:ind w:firstLine="480"/>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7.法定代表人授权委托书原件，磋商代表本人身份证复印件（格式见附件）；</w:t>
      </w:r>
      <w:r/>
    </w:p>
    <w:p>
      <w:pPr>
        <w:ind w:firstLine="480"/>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8.</w:t>
      </w:r>
      <w:r>
        <w:rPr>
          <w:rFonts w:hint="eastAsia" w:asciiTheme="minorEastAsia" w:hAnsiTheme="minorEastAsia" w:eastAsiaTheme="minorEastAsia"/>
          <w:color w:val="000000" w:themeColor="text1"/>
          <w:sz w:val="24"/>
          <w:szCs w:val="24"/>
          <w14:textFill>
            <w14:solidFill>
              <w14:schemeClr w14:val="tx1"/>
            </w14:solidFill>
          </w14:textFill>
        </w:rPr>
        <w:t xml:space="preserve">磋商响应函（格式见附件）；</w:t>
      </w:r>
      <w:r/>
    </w:p>
    <w:p>
      <w:pPr>
        <w:ind w:firstLine="480"/>
        <w:spacing w:line="56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9.磋商公告资格要求提供相应的佐证材料；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10.其它需</w:t>
      </w:r>
      <w:r>
        <w:rPr>
          <w:rFonts w:hint="eastAsia" w:ascii="宋体" w:hAnsi="宋体"/>
          <w:color w:val="000000" w:themeColor="text1"/>
          <w:sz w:val="24"/>
          <w:szCs w:val="24"/>
          <w14:textFill>
            <w14:solidFill>
              <w14:schemeClr w14:val="tx1"/>
            </w14:solidFill>
          </w14:textFill>
        </w:rPr>
        <w:t xml:space="preserve">要提交的资格审查证明材料。</w:t>
      </w:r>
      <w:r/>
    </w:p>
    <w:p>
      <w:pPr>
        <w:ind w:firstLine="640"/>
        <w:spacing w:line="56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二、商务、技术标</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bookmarkStart w:id="203" w:name="OLE_LINK13"/>
      <w:r>
        <w:rPr>
          <w:rFonts w:hint="eastAsia" w:ascii="宋体" w:hAnsi="宋体"/>
          <w:color w:val="000000" w:themeColor="text1"/>
          <w:sz w:val="24"/>
          <w:szCs w:val="24"/>
          <w14:textFill>
            <w14:solidFill>
              <w14:schemeClr w14:val="tx1"/>
            </w14:solidFill>
          </w14:textFill>
        </w:rPr>
        <w:t xml:space="preserve">商务部分正负偏离表</w:t>
      </w:r>
      <w:bookmarkEnd w:id="203"/>
      <w:r>
        <w:rPr>
          <w:rFonts w:hint="eastAsia" w:ascii="宋体" w:hAnsi="宋体"/>
          <w:color w:val="000000" w:themeColor="text1"/>
          <w:sz w:val="24"/>
          <w:szCs w:val="24"/>
          <w14:textFill>
            <w14:solidFill>
              <w14:schemeClr w14:val="tx1"/>
            </w14:solidFill>
          </w14:textFill>
        </w:rPr>
        <w:t xml:space="preserve">；（格式见附件）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bookmarkStart w:id="204" w:name="OLE_LINK17"/>
      <w:r/>
      <w:bookmarkStart w:id="205" w:name="OLE_LINK14"/>
      <w:r>
        <w:rPr>
          <w:rFonts w:hint="eastAsia" w:ascii="宋体" w:hAnsi="宋体"/>
          <w:color w:val="000000" w:themeColor="text1"/>
          <w:sz w:val="24"/>
          <w:szCs w:val="24"/>
          <w14:textFill>
            <w14:solidFill>
              <w14:schemeClr w14:val="tx1"/>
            </w14:solidFill>
          </w14:textFill>
        </w:rPr>
        <w:t xml:space="preserve">技术部分正负偏离表</w:t>
      </w:r>
      <w:bookmarkEnd w:id="204"/>
      <w:r/>
      <w:bookmarkEnd w:id="205"/>
      <w:r>
        <w:rPr>
          <w:rFonts w:hint="eastAsia" w:ascii="宋体" w:hAnsi="宋体"/>
          <w:color w:val="000000" w:themeColor="text1"/>
          <w:sz w:val="24"/>
          <w:szCs w:val="24"/>
          <w14:textFill>
            <w14:solidFill>
              <w14:schemeClr w14:val="tx1"/>
            </w14:solidFill>
          </w14:textFill>
        </w:rPr>
        <w:t xml:space="preserve">；（格式见附件）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3.响应方案、货物（服务）清单。</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4.商务、技术评分标准中须提供的相关得分佐证材料；</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5.供应商认为需要提交的其他商务、技术材料。</w:t>
      </w:r>
      <w:r/>
    </w:p>
    <w:p>
      <w:pPr>
        <w:ind w:firstLine="640"/>
        <w:spacing w:line="560" w:lineRule="exact"/>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 xml:space="preserve">三、价格标</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1.报价总表（格式见附件）；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2.分项报价明细表（格式见附件）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3.中小企业声明函（如有）（格式见附件）；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4.残疾人福利性单位声明函（如有）（格式见附件）；</w:t>
      </w:r>
      <w:r/>
    </w:p>
    <w:p>
      <w:pPr>
        <w:ind w:firstLine="480"/>
        <w:spacing w:line="56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5.监狱和戒毒企业证明材料（如有）（格式见附件）</w:t>
      </w:r>
      <w:r/>
    </w:p>
    <w:p>
      <w:pPr>
        <w:ind w:firstLine="480"/>
        <w:spacing w:line="440" w:lineRule="exact"/>
        <w:rPr>
          <w:rFonts w:ascii="宋体" w:hAnsi="宋体"/>
          <w:color w:val="000000" w:themeColor="text1"/>
          <w:sz w:val="24"/>
          <w:szCs w:val="21"/>
          <w14:textFill>
            <w14:solidFill>
              <w14:schemeClr w14:val="tx1"/>
            </w14:solidFill>
          </w14:textFill>
        </w:rPr>
      </w:pPr>
      <w:r>
        <w:rPr>
          <w:rFonts w:ascii="宋体" w:hAnsi="宋体"/>
          <w:color w:val="000000" w:themeColor="text1"/>
          <w:sz w:val="24"/>
          <w:szCs w:val="21"/>
          <w14:textFill>
            <w14:solidFill>
              <w14:schemeClr w14:val="tx1"/>
            </w14:solidFill>
          </w14:textFill>
        </w:rPr>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ascii="宋体" w:hAnsi="宋体"/>
          <w:color w:val="000000" w:themeColor="text1"/>
          <w:sz w:val="24"/>
          <w:szCs w:val="21"/>
          <w14:textFill>
            <w14:solidFill>
              <w14:schemeClr w14:val="tx1"/>
            </w14:solidFill>
          </w14:textFill>
        </w:rPr>
        <w:br w:type="page" w:clear="all"/>
      </w:r>
      <w:bookmarkEnd w:id="200"/>
      <w:r/>
      <w:bookmarkEnd w:id="201"/>
      <w:r/>
      <w:bookmarkEnd w:id="202"/>
      <w:r/>
      <w:bookmarkStart w:id="206" w:name="_Toc120614284"/>
      <w:r>
        <w:rPr>
          <w:rFonts w:asciiTheme="minorEastAsia" w:hAnsiTheme="minorEastAsia" w:eastAsiaTheme="minorEastAsia"/>
          <w:color w:val="000000" w:themeColor="text1"/>
          <w:sz w:val="32"/>
          <w:szCs w:val="32"/>
          <w:lang w:val="zh-CN"/>
          <w14:textFill>
            <w14:solidFill>
              <w14:schemeClr w14:val="tx1"/>
            </w14:solidFill>
          </w14:textFill>
        </w:rPr>
        <w:t xml:space="preserve">附件1</w:t>
      </w:r>
      <w:r/>
    </w:p>
    <w:p>
      <w:pPr>
        <w:jc w:val="center"/>
        <w:spacing w:line="420" w:lineRule="exact"/>
        <w:rPr>
          <w:rFonts w:cs="宋体" w:asciiTheme="minorEastAsia" w:hAnsiTheme="minorEastAsia" w:eastAsiaTheme="minorEastAsia"/>
          <w:b/>
          <w:bCs/>
          <w:color w:val="000000" w:themeColor="text1"/>
          <w:sz w:val="24"/>
          <w:szCs w:val="24"/>
          <w14:textFill>
            <w14:solidFill>
              <w14:schemeClr w14:val="tx1"/>
            </w14:solidFill>
          </w14:textFill>
        </w:rPr>
        <w:outlineLvl w:val="1"/>
      </w:pPr>
      <w:r>
        <w:rPr>
          <w:rFonts w:hint="eastAsia" w:cs="宋体" w:asciiTheme="minorEastAsia" w:hAnsiTheme="minorEastAsia" w:eastAsiaTheme="minorEastAsia"/>
          <w:b/>
          <w:bCs/>
          <w:color w:val="000000" w:themeColor="text1"/>
          <w:sz w:val="24"/>
          <w:szCs w:val="24"/>
          <w14:textFill>
            <w14:solidFill>
              <w14:schemeClr w14:val="tx1"/>
            </w14:solidFill>
          </w14:textFill>
        </w:rPr>
        <w:t xml:space="preserve">具备履行合同所必需的设备和专业技术能力的证明材料</w:t>
      </w:r>
      <w:r/>
    </w:p>
    <w:p>
      <w:pP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left"/>
        <w:spacing w:line="42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spacing w:line="420" w:lineRule="exact"/>
        <w:rPr>
          <w:rFonts w:asciiTheme="minorEastAsia" w:hAnsiTheme="minorEastAsia" w:eastAsiaTheme="minorEastAsia"/>
          <w:bCs/>
          <w:color w:val="000000" w:themeColor="text1"/>
          <w:sz w:val="24"/>
          <w:szCs w:val="24"/>
          <w:u w:val="single"/>
          <w:lang w:val="zh-CN"/>
          <w14:textFill>
            <w14:solidFill>
              <w14:schemeClr w14:val="tx1"/>
            </w14:solidFill>
          </w14:textFill>
        </w:rPr>
      </w:pPr>
      <w:r>
        <w:rPr>
          <w:rFonts w:hint="eastAsia" w:asciiTheme="minorEastAsia" w:hAnsiTheme="minorEastAsia" w:eastAsiaTheme="minorEastAsia"/>
          <w:bCs/>
          <w:color w:val="000000" w:themeColor="text1"/>
          <w:sz w:val="24"/>
          <w:szCs w:val="24"/>
          <w:u w:val="single"/>
          <w:lang w:val="zh-CN"/>
          <w14:textFill>
            <w14:solidFill>
              <w14:schemeClr w14:val="tx1"/>
            </w14:solidFill>
          </w14:textFill>
        </w:rPr>
        <w:t xml:space="preserve">海安市水利局：</w:t>
      </w:r>
      <w:r/>
    </w:p>
    <w:p>
      <w:pPr>
        <w:ind w:firstLine="468"/>
        <w:jc w:val="left"/>
        <w:spacing w:line="42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我方参加你方的</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（项目名称）的投标，现我方向你方慎重承诺：</w:t>
      </w:r>
      <w:r/>
    </w:p>
    <w:p>
      <w:pPr>
        <w:ind w:left="448"/>
        <w:jc w:val="left"/>
        <w:spacing w:line="420" w:lineRule="exact"/>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本单位</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（具备</w:t>
      </w:r>
      <w:r>
        <w:rPr>
          <w:rFonts w:cs="宋体" w:asciiTheme="minorEastAsia" w:hAnsiTheme="minorEastAsia" w:eastAsia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不具备）履行合同所必需的设备和专业技术能力。</w:t>
      </w:r>
      <w:r/>
    </w:p>
    <w:p>
      <w:pPr>
        <w:ind w:right="-512" w:firstLine="3120"/>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r>
      <w:r/>
    </w:p>
    <w:p>
      <w:pPr>
        <w:ind w:right="-512" w:firstLine="3840"/>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供应商（盖章）：</w:t>
      </w:r>
      <w:r/>
    </w:p>
    <w:p>
      <w:pPr>
        <w:ind w:right="-512" w:firstLine="3120"/>
        <w:spacing w:line="420" w:lineRule="exact"/>
        <w:tabs>
          <w:tab w:val="left" w:pos="4320" w:leader="none"/>
        </w:tabs>
        <w:rPr>
          <w:rFonts w:cs="宋体"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法定代表人或其授权委托人</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（签字或盖章）：</w:t>
      </w:r>
      <w:r/>
    </w:p>
    <w:p>
      <w:pPr>
        <w:jc w:val="right"/>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年</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月</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日</w:t>
      </w:r>
      <w:r/>
    </w:p>
    <w:p>
      <w:pPr>
        <w:jc w:val="left"/>
        <w:widowControl/>
        <w:rPr>
          <w:rFonts w:ascii="宋体" w:hAnsi="宋体"/>
          <w:bCs/>
          <w:color w:val="000000" w:themeColor="text1"/>
          <w:sz w:val="24"/>
          <w:szCs w:val="21"/>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br w:type="page" w:clear="all"/>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hint="eastAsia" w:asciiTheme="minorEastAsia" w:hAnsiTheme="minorEastAsia" w:eastAsiaTheme="minorEastAsia"/>
          <w:color w:val="000000" w:themeColor="text1"/>
          <w:sz w:val="32"/>
          <w:szCs w:val="32"/>
          <w:lang w:val="zh-CN"/>
          <w14:textFill>
            <w14:solidFill>
              <w14:schemeClr w14:val="tx1"/>
            </w14:solidFill>
          </w14:textFill>
        </w:rPr>
        <w:t xml:space="preserve">附件2</w:t>
      </w:r>
      <w:r/>
    </w:p>
    <w:p>
      <w:pPr>
        <w:ind w:firstLine="643"/>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r>
      <w:r/>
    </w:p>
    <w:p>
      <w:pPr>
        <w:ind w:firstLine="643"/>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参加政府采购活动前</w:t>
      </w:r>
      <w:r>
        <w:rPr>
          <w:rFonts w:asciiTheme="minorEastAsia" w:hAnsiTheme="minorEastAsia" w:eastAsiaTheme="minorEastAsia"/>
          <w:b/>
          <w:color w:val="000000" w:themeColor="text1"/>
          <w:sz w:val="32"/>
          <w:szCs w:val="32"/>
          <w14:textFill>
            <w14:solidFill>
              <w14:schemeClr w14:val="tx1"/>
            </w14:solidFill>
          </w14:textFill>
        </w:rPr>
        <w:t xml:space="preserve"> 3 </w:t>
      </w:r>
      <w:r>
        <w:rPr>
          <w:rFonts w:hint="eastAsia" w:asciiTheme="minorEastAsia" w:hAnsiTheme="minorEastAsia" w:eastAsiaTheme="minorEastAsia"/>
          <w:b/>
          <w:color w:val="000000" w:themeColor="text1"/>
          <w:sz w:val="32"/>
          <w:szCs w:val="32"/>
          <w14:textFill>
            <w14:solidFill>
              <w14:schemeClr w14:val="tx1"/>
            </w14:solidFill>
          </w14:textFill>
        </w:rPr>
        <w:t xml:space="preserve">年内在经营活动中没有重大违法记</w:t>
      </w:r>
      <w:r>
        <w:rPr>
          <w:rFonts w:hint="eastAsia" w:asciiTheme="minorEastAsia" w:hAnsiTheme="minorEastAsia" w:eastAsiaTheme="minorEastAsia"/>
          <w:b/>
          <w:bCs/>
          <w:color w:val="000000" w:themeColor="text1"/>
          <w:sz w:val="32"/>
          <w:szCs w:val="32"/>
          <w14:textFill>
            <w14:solidFill>
              <w14:schemeClr w14:val="tx1"/>
            </w14:solidFill>
          </w14:textFill>
        </w:rPr>
        <w:t xml:space="preserve">录的书面声明</w:t>
      </w:r>
      <w:r/>
    </w:p>
    <w:p>
      <w:pPr>
        <w:spacing w:line="420" w:lineRule="exact"/>
        <w:rPr>
          <w:rFonts w:asciiTheme="minorEastAsia" w:hAnsiTheme="minorEastAsia" w:eastAsiaTheme="minorEastAsia"/>
          <w:b/>
          <w:bCs/>
          <w:color w:val="000000" w:themeColor="text1"/>
          <w:sz w:val="44"/>
          <w:szCs w:val="44"/>
          <w14:textFill>
            <w14:solidFill>
              <w14:schemeClr w14:val="tx1"/>
            </w14:solidFill>
          </w14:textFill>
        </w:rPr>
      </w:pPr>
      <w:r>
        <w:rPr>
          <w:rFonts w:asciiTheme="minorEastAsia" w:hAnsiTheme="minorEastAsia" w:eastAsiaTheme="minorEastAsia"/>
          <w:b/>
          <w:bCs/>
          <w:color w:val="000000" w:themeColor="text1"/>
          <w:sz w:val="44"/>
          <w:szCs w:val="44"/>
          <w14:textFill>
            <w14:solidFill>
              <w14:schemeClr w14:val="tx1"/>
            </w14:solidFill>
          </w14:textFill>
        </w:rPr>
      </w:r>
      <w:r/>
    </w:p>
    <w:p>
      <w:pPr>
        <w:ind w:firstLine="881"/>
        <w:jc w:val="center"/>
        <w:spacing w:line="420" w:lineRule="exact"/>
        <w:rPr>
          <w:rFonts w:asciiTheme="minorEastAsia" w:hAnsiTheme="minorEastAsia" w:eastAsiaTheme="minorEastAsia"/>
          <w:b/>
          <w:bCs/>
          <w:color w:val="000000" w:themeColor="text1"/>
          <w:sz w:val="44"/>
          <w:szCs w:val="44"/>
          <w14:textFill>
            <w14:solidFill>
              <w14:schemeClr w14:val="tx1"/>
            </w14:solidFill>
          </w14:textFill>
        </w:rPr>
      </w:pPr>
      <w:r>
        <w:rPr>
          <w:rFonts w:asciiTheme="minorEastAsia" w:hAnsiTheme="minorEastAsia" w:eastAsiaTheme="minorEastAsia"/>
          <w:b/>
          <w:bCs/>
          <w:color w:val="000000" w:themeColor="text1"/>
          <w:sz w:val="44"/>
          <w:szCs w:val="44"/>
          <w14:textFill>
            <w14:solidFill>
              <w14:schemeClr w14:val="tx1"/>
            </w14:solidFill>
          </w14:textFill>
        </w:rPr>
      </w:r>
      <w:r/>
    </w:p>
    <w:p>
      <w:pPr>
        <w:ind w:firstLine="482"/>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我公司（本人）郑重声明：参加本次政府采购活动前</w:t>
      </w:r>
      <w:r>
        <w:rPr>
          <w:rFonts w:asciiTheme="minorEastAsia" w:hAnsiTheme="minorEastAsia" w:eastAsiaTheme="minorEastAsia"/>
          <w:bCs/>
          <w:color w:val="000000" w:themeColor="text1"/>
          <w:szCs w:val="21"/>
          <w14:textFill>
            <w14:solidFill>
              <w14:schemeClr w14:val="tx1"/>
            </w14:solidFill>
          </w14:textFill>
        </w:rPr>
        <w:t xml:space="preserve"> 3 </w:t>
      </w:r>
      <w:r>
        <w:rPr>
          <w:rFonts w:hint="eastAsia" w:asciiTheme="minorEastAsia" w:hAnsiTheme="minorEastAsia" w:eastAsiaTheme="minorEastAsia"/>
          <w:bCs/>
          <w:color w:val="000000" w:themeColor="text1"/>
          <w:szCs w:val="21"/>
          <w14:textFill>
            <w14:solidFill>
              <w14:schemeClr w14:val="tx1"/>
            </w14:solidFill>
          </w14:textFill>
        </w:rPr>
        <w:t xml:space="preserve">年内，我公司在经营活动中没有因违法经营受到刑事处罚或者责令停产停业、吊销许可证或者执照、较大数额罚款等行政处罚。</w:t>
      </w:r>
      <w:r/>
    </w:p>
    <w:p>
      <w:pPr>
        <w:ind w:firstLine="482"/>
        <w:spacing w:line="420" w:lineRule="exac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ind w:firstLine="482"/>
        <w:spacing w:line="420" w:lineRule="exact"/>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spacing w:line="420" w:lineRule="exact"/>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供应商名称（公章）：</w:t>
      </w:r>
      <w:r/>
    </w:p>
    <w:p>
      <w:pPr>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授权代表签字：</w:t>
      </w:r>
      <w:r>
        <w:rPr>
          <w:rFonts w:asciiTheme="minorEastAsia" w:hAnsiTheme="minorEastAsia" w:eastAsiaTheme="minorEastAsia"/>
          <w:bCs/>
          <w:color w:val="000000" w:themeColor="text1"/>
          <w:szCs w:val="21"/>
          <w:u w:val="single"/>
          <w14:textFill>
            <w14:solidFill>
              <w14:schemeClr w14:val="tx1"/>
            </w14:solidFill>
          </w14:textFill>
        </w:rPr>
        <w:t xml:space="preserve">_______________________</w:t>
      </w:r>
      <w:r/>
    </w:p>
    <w:p>
      <w:pPr>
        <w:spacing w:line="420" w:lineRule="exact"/>
        <w:rPr>
          <w:rFonts w:asciiTheme="minorEastAsia" w:hAnsiTheme="minorEastAsia" w:eastAsiaTheme="minorEastAsia"/>
          <w:bCs/>
          <w:color w:val="000000" w:themeColor="text1"/>
          <w:szCs w:val="21"/>
          <w14:textFill>
            <w14:solidFill>
              <w14:schemeClr w14:val="tx1"/>
            </w14:solidFill>
          </w14:textFill>
        </w:rPr>
      </w:pPr>
      <w:r>
        <w:rPr>
          <w:rFonts w:hint="eastAsia" w:asciiTheme="minorEastAsia" w:hAnsiTheme="minorEastAsia" w:eastAsiaTheme="minorEastAsia"/>
          <w:bCs/>
          <w:color w:val="000000" w:themeColor="text1"/>
          <w:szCs w:val="21"/>
          <w14:textFill>
            <w14:solidFill>
              <w14:schemeClr w14:val="tx1"/>
            </w14:solidFill>
          </w14:textFill>
        </w:rPr>
        <w:t xml:space="preserve">日期：</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asciiTheme="minorEastAsia" w:hAnsiTheme="minorEastAsia" w:eastAsiaTheme="minorEastAsia"/>
          <w:bCs/>
          <w:color w:val="000000" w:themeColor="text1"/>
          <w:szCs w:val="21"/>
          <w14:textFill>
            <w14:solidFill>
              <w14:schemeClr w14:val="tx1"/>
            </w14:solidFill>
          </w14:textFill>
        </w:rPr>
        <w:t xml:space="preserve">年</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asciiTheme="minorEastAsia" w:hAnsiTheme="minorEastAsia" w:eastAsiaTheme="minorEastAsia"/>
          <w:bCs/>
          <w:color w:val="000000" w:themeColor="text1"/>
          <w:szCs w:val="21"/>
          <w14:textFill>
            <w14:solidFill>
              <w14:schemeClr w14:val="tx1"/>
            </w14:solidFill>
          </w14:textFill>
        </w:rPr>
        <w:t xml:space="preserve">月</w:t>
      </w:r>
      <w:r>
        <w:rPr>
          <w:rFonts w:asciiTheme="minorEastAsia" w:hAnsiTheme="minorEastAsia" w:eastAsiaTheme="minorEastAsia"/>
          <w:bCs/>
          <w:color w:val="000000" w:themeColor="text1"/>
          <w:szCs w:val="21"/>
          <w:u w:val="single"/>
          <w14:textFill>
            <w14:solidFill>
              <w14:schemeClr w14:val="tx1"/>
            </w14:solidFill>
          </w14:textFill>
        </w:rPr>
        <w:t xml:space="preserve">______</w:t>
      </w:r>
      <w:r>
        <w:rPr>
          <w:rFonts w:hint="eastAsia" w:asciiTheme="minorEastAsia" w:hAnsiTheme="minorEastAsia" w:eastAsiaTheme="minorEastAsia"/>
          <w:bCs/>
          <w:color w:val="000000" w:themeColor="text1"/>
          <w:szCs w:val="21"/>
          <w14:textFill>
            <w14:solidFill>
              <w14:schemeClr w14:val="tx1"/>
            </w14:solidFill>
          </w14:textFill>
        </w:rPr>
        <w:t xml:space="preserve">日</w:t>
      </w:r>
      <w:r/>
    </w:p>
    <w:p>
      <w:pPr>
        <w:jc w:val="left"/>
        <w:widowControl/>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asciiTheme="minorEastAsia" w:hAnsiTheme="minorEastAsia" w:eastAsiaTheme="minorEastAsia"/>
          <w:color w:val="000000" w:themeColor="text1"/>
          <w:sz w:val="32"/>
          <w:szCs w:val="32"/>
          <w:lang w:val="zh-CN"/>
          <w14:textFill>
            <w14:solidFill>
              <w14:schemeClr w14:val="tx1"/>
            </w14:solidFill>
          </w14:textFill>
        </w:rPr>
        <w:t xml:space="preserve">附件</w:t>
      </w:r>
      <w:r>
        <w:rPr>
          <w:rFonts w:hint="eastAsia" w:asciiTheme="minorEastAsia" w:hAnsiTheme="minorEastAsia" w:eastAsiaTheme="minorEastAsia"/>
          <w:color w:val="000000" w:themeColor="text1"/>
          <w:sz w:val="32"/>
          <w:szCs w:val="32"/>
          <w:lang w:val="zh-CN"/>
          <w14:textFill>
            <w14:solidFill>
              <w14:schemeClr w14:val="tx1"/>
            </w14:solidFill>
          </w14:textFill>
        </w:rPr>
        <w:t xml:space="preserve">3</w:t>
      </w:r>
      <w:r/>
    </w:p>
    <w:p>
      <w:pPr>
        <w:jc w:val="center"/>
        <w:spacing w:line="420" w:lineRule="exact"/>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法定代表人身份证明</w:t>
      </w:r>
      <w:r/>
    </w:p>
    <w:p>
      <w:pP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___________先生/女士：现任我单位___________职务，为法定代表人，特此证明。</w:t>
      </w:r>
      <w:r/>
    </w:p>
    <w:p>
      <w:pPr>
        <w:ind w:firstLine="480"/>
        <w:spacing w:line="420" w:lineRule="exact"/>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身份证号码：___________</w:t>
      </w:r>
      <w:r/>
    </w:p>
    <w:p>
      <w:pPr>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spacing w:line="42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注：提供法定代表人的身份证复印件盖公章</w:t>
      </w:r>
      <w:r/>
    </w:p>
    <w:p>
      <w:pPr>
        <w:ind w:firstLine="480"/>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asciiTheme="minorEastAsia" w:hAnsiTheme="minorEastAsia" w:eastAsiaTheme="minorEastAsia"/>
          <w:color w:val="000000" w:themeColor="text1"/>
          <w:sz w:val="24"/>
          <w:szCs w:val="21"/>
          <w14:textFill>
            <w14:solidFill>
              <w14:schemeClr w14:val="tx1"/>
            </w14:solidFill>
          </w14:textFill>
        </w:rPr>
      </w:r>
      <w:r/>
    </w:p>
    <w:p>
      <w:pPr>
        <w:spacing w:line="4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contextualSpacing/>
        <w:spacing w:line="40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20" w:lineRule="exact"/>
        <w:rPr>
          <w:rFonts w:asciiTheme="minorEastAsia" w:hAnsiTheme="minorEastAsia" w:eastAsiaTheme="minorEastAsia"/>
          <w:color w:val="000000" w:themeColor="text1"/>
          <w:sz w:val="32"/>
          <w:szCs w:val="32"/>
          <w:lang w:val="zh-CN"/>
          <w14:textFill>
            <w14:solidFill>
              <w14:schemeClr w14:val="tx1"/>
            </w14:solidFill>
          </w14:textFill>
        </w:rPr>
      </w:pPr>
      <w:r>
        <w:rPr>
          <w:rFonts w:asciiTheme="minorEastAsia" w:hAnsiTheme="minorEastAsia" w:eastAsiaTheme="minorEastAsia"/>
          <w:color w:val="000000" w:themeColor="text1"/>
          <w:sz w:val="32"/>
          <w:szCs w:val="32"/>
          <w:lang w:val="zh-CN"/>
          <w14:textFill>
            <w14:solidFill>
              <w14:schemeClr w14:val="tx1"/>
            </w14:solidFill>
          </w14:textFill>
        </w:rPr>
        <w:t xml:space="preserve">附件</w:t>
      </w:r>
      <w:r>
        <w:rPr>
          <w:rFonts w:hint="eastAsia" w:asciiTheme="minorEastAsia" w:hAnsiTheme="minorEastAsia" w:eastAsiaTheme="minorEastAsia"/>
          <w:color w:val="000000" w:themeColor="text1"/>
          <w:sz w:val="32"/>
          <w:szCs w:val="32"/>
          <w:lang w:val="zh-CN"/>
          <w14:textFill>
            <w14:solidFill>
              <w14:schemeClr w14:val="tx1"/>
            </w14:solidFill>
          </w14:textFill>
        </w:rPr>
        <w:t xml:space="preserve">4</w:t>
      </w:r>
      <w:r/>
    </w:p>
    <w:p>
      <w:pPr>
        <w:jc w:val="center"/>
        <w:spacing w:line="420" w:lineRule="exact"/>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法人授权书</w:t>
      </w:r>
      <w:r/>
    </w:p>
    <w:p>
      <w:pPr>
        <w:ind w:firstLine="48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本授权书声明：____________（供应商名称）授权________________（被授权人的姓名）为我方项目编号：</w:t>
      </w:r>
      <w:r>
        <w:rPr>
          <w:rFonts w:hint="eastAsia" w:cs="宋体" w:asciiTheme="minorEastAsia" w:hAnsiTheme="minorEastAsia" w:eastAsia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firstLine="48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本授权书于______年____月____日起生效，特此声明。</w:t>
      </w:r>
      <w:r/>
    </w:p>
    <w:p>
      <w:pPr>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w:t>
      </w:r>
      <w:r/>
    </w:p>
    <w:p>
      <w:pPr>
        <w:ind w:firstLine="1080"/>
        <w:spacing w:line="420" w:lineRule="exact"/>
        <w:tabs>
          <w:tab w:val="left" w:pos="360" w:leader="none"/>
        </w:tabs>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被授权人身份证号码：</w:t>
      </w:r>
      <w:r/>
    </w:p>
    <w:p>
      <w:pPr>
        <w:spacing w:line="420" w:lineRule="exact"/>
        <w:tabs>
          <w:tab w:val="left" w:pos="360" w:leader="none"/>
        </w:tabs>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被授权人联系电话：（手机）</w:t>
      </w:r>
      <w:r/>
    </w:p>
    <w:p>
      <w:pPr>
        <w:ind w:firstLine="120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授权单位名称：</w:t>
      </w:r>
      <w:r>
        <w:rPr>
          <w:rFonts w:hint="eastAsia" w:asciiTheme="minorEastAsia" w:hAnsiTheme="minorEastAsia" w:eastAsiaTheme="minorEastAsia"/>
          <w:color w:val="000000" w:themeColor="text1"/>
          <w:sz w:val="24"/>
          <w:szCs w:val="24"/>
          <w:u w:val="single"/>
          <w14:textFill>
            <w14:solidFill>
              <w14:schemeClr w14:val="tx1"/>
            </w14:solidFill>
          </w14:textFill>
        </w:rPr>
        <w:t xml:space="preserve">（加盖CA电子公章）</w:t>
      </w:r>
      <w:r/>
    </w:p>
    <w:p>
      <w:pPr>
        <w:ind w:firstLine="480"/>
        <w:spacing w:line="420" w:lineRule="exact"/>
        <w:tabs>
          <w:tab w:val="left" w:pos="360" w:leader="none"/>
        </w:tabs>
        <w:rPr>
          <w:rFonts w:asciiTheme="minorEastAsia" w:hAnsiTheme="minorEastAsia" w:eastAsiaTheme="minorEastAsia"/>
          <w:color w:val="000000" w:themeColor="text1"/>
          <w:sz w:val="24"/>
          <w:szCs w:val="24"/>
          <w:u w:val="single"/>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单位地址：</w:t>
      </w:r>
      <w:r/>
    </w:p>
    <w:p>
      <w:pPr>
        <w:ind w:firstLine="480"/>
        <w:spacing w:line="420" w:lineRule="exact"/>
        <w:tabs>
          <w:tab w:val="left" w:pos="360" w:leader="none"/>
        </w:tabs>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      日期：</w:t>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contextualSpacing/>
        <w:spacing w:line="420" w:lineRule="exact"/>
        <w:rPr>
          <w:rFonts w:hint="eastAsia" w:asciiTheme="minorEastAsia" w:hAnsiTheme="minorEastAsia" w:eastAsiaTheme="minorEastAsia"/>
          <w:color w:val="000000" w:themeColor="text1"/>
          <w:sz w:val="32"/>
          <w:szCs w:val="32"/>
          <w:lang w:val="zh-CN" w:eastAsia="zh-CN"/>
          <w14:textFill>
            <w14:solidFill>
              <w14:schemeClr w14:val="tx1"/>
            </w14:solidFill>
          </w14:textFill>
        </w:rPr>
      </w:pPr>
      <w:r>
        <w:t xml:space="preserve"> </w:t>
      </w:r>
      <w:r>
        <w:rPr>
          <w:rFonts w:asciiTheme="minorEastAsia" w:hAnsiTheme="minorEastAsia" w:eastAsiaTheme="minorEastAsia"/>
          <w:color w:val="000000" w:themeColor="text1"/>
          <w:sz w:val="32"/>
          <w:szCs w:val="32"/>
          <w:lang w:val="zh-CN"/>
          <w14:textFill>
            <w14:solidFill>
              <w14:schemeClr w14:val="tx1"/>
            </w14:solidFill>
          </w14:textFill>
        </w:rPr>
        <w:t xml:space="preserve">附件</w:t>
      </w:r>
      <w:r>
        <w:rPr>
          <w:rFonts w:hint="eastAsia" w:asciiTheme="minorEastAsia" w:hAnsiTheme="minorEastAsia" w:eastAsiaTheme="minorEastAsia"/>
          <w:color w:val="000000" w:themeColor="text1"/>
          <w:sz w:val="32"/>
          <w:szCs w:val="32"/>
          <w:lang w:val="en-US" w:eastAsia="zh-CN"/>
          <w14:textFill>
            <w14:solidFill>
              <w14:schemeClr w14:val="tx1"/>
            </w14:solidFill>
          </w14:textFill>
        </w:rPr>
        <w:t xml:space="preserve">5</w:t>
      </w:r>
      <w:r/>
    </w:p>
    <w:p>
      <w:pPr>
        <w:pStyle w:val="719"/>
        <w:ind w:left="0" w:right="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19"/>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32"/>
          <w:szCs w:val="32"/>
        </w:rPr>
        <w:t xml:space="preserve">承诺函</w:t>
      </w:r>
      <w:r/>
    </w:p>
    <w:p>
      <w:pPr>
        <w:pStyle w:val="719"/>
        <w:ind w:left="0" w:firstLine="480"/>
        <w:jc w:val="both"/>
        <w:keepLines w:val="0"/>
        <w:keepNext w:val="0"/>
        <w:spacing w:before="0" w:beforeAutospacing="0" w:after="0" w:afterAutospacing="0" w:line="30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我单位承诺响应竞争性磋商文件二、申请人的资格要求：‘</w:t>
      </w:r>
      <w:r>
        <w:rPr>
          <w:rFonts w:hint="eastAsia" w:ascii="宋体" w:hAnsi="宋体" w:eastAsia="宋体" w:cs="宋体"/>
          <w:color w:val="000000"/>
          <w:sz w:val="24"/>
          <w:szCs w:val="24"/>
        </w:rPr>
        <w:t xml:space="preserve">3.</w:t>
      </w:r>
      <w:r>
        <w:rPr>
          <w:rFonts w:hint="eastAsia" w:ascii="宋体" w:hAnsi="宋体" w:eastAsia="宋体" w:cs="宋体"/>
          <w:color w:val="000000"/>
          <w:sz w:val="21"/>
          <w:szCs w:val="21"/>
        </w:rPr>
        <w:t xml:space="preserve"> </w:t>
      </w:r>
      <w:r>
        <w:rPr>
          <w:rFonts w:hint="default" w:ascii="Times New Roman" w:hAnsi="Times New Roman" w:cs="Times New Roman"/>
          <w:color w:val="000000"/>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ind w:left="0" w:firstLine="48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响应供应商全称(盖公章)：</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法人代表或授权委托人（签字或盖章）：</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                                                 </w:t>
      </w:r>
      <w:r/>
    </w:p>
    <w:p>
      <w:pPr>
        <w:pStyle w:val="719"/>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19"/>
        <w:jc w:val="right"/>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000000"/>
          <w:sz w:val="24"/>
          <w:szCs w:val="24"/>
        </w:rPr>
        <w:t xml:space="preserve">2026年  月   日</w:t>
      </w:r>
      <w:r/>
    </w:p>
    <w:p>
      <w:pPr>
        <w:jc w:val="left"/>
        <w:widowControl/>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br w:type="page" w:clear="all"/>
      </w:r>
      <w:r/>
    </w:p>
    <w:p>
      <w:pPr>
        <w:spacing w:line="400" w:lineRule="exact"/>
        <w:rPr>
          <w:rFonts w:hint="eastAsia" w:asciiTheme="minorEastAsia" w:hAnsiTheme="minorEastAsia" w:eastAsiaTheme="minorEastAsia"/>
          <w:color w:val="000000" w:themeColor="text1"/>
          <w:sz w:val="32"/>
          <w:lang w:eastAsia="zh-CN"/>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附件</w:t>
      </w:r>
      <w:r>
        <w:rPr>
          <w:rFonts w:hint="eastAsia" w:asciiTheme="minorEastAsia" w:hAnsiTheme="minorEastAsia" w:eastAsiaTheme="minorEastAsia"/>
          <w:color w:val="000000" w:themeColor="text1"/>
          <w:sz w:val="32"/>
          <w:lang w:val="en-US" w:eastAsia="zh-CN"/>
          <w14:textFill>
            <w14:solidFill>
              <w14:schemeClr w14:val="tx1"/>
            </w14:solidFill>
          </w14:textFill>
        </w:rPr>
        <w:t xml:space="preserve">6</w:t>
      </w:r>
      <w:r/>
    </w:p>
    <w:p>
      <w:pPr>
        <w:jc w:val="center"/>
        <w:spacing w:line="560" w:lineRule="exact"/>
        <w:rPr>
          <w:rFonts w:asciiTheme="minorEastAsia" w:hAnsiTheme="minorEastAsia" w:eastAsiaTheme="minorEastAsia"/>
          <w:b/>
          <w:bCs/>
          <w:color w:val="000000" w:themeColor="text1"/>
          <w:sz w:val="32"/>
          <w:szCs w:val="32"/>
          <w14:textFill>
            <w14:solidFill>
              <w14:schemeClr w14:val="tx1"/>
            </w14:solidFill>
          </w14:textFill>
        </w:rPr>
      </w:pPr>
      <w:r>
        <w:rPr>
          <w:rFonts w:hint="eastAsia" w:asciiTheme="minorEastAsia" w:hAnsiTheme="minorEastAsia" w:eastAsiaTheme="minorEastAsia"/>
          <w:b/>
          <w:bCs/>
          <w:color w:val="000000" w:themeColor="text1"/>
          <w:sz w:val="32"/>
          <w:szCs w:val="32"/>
          <w14:textFill>
            <w14:solidFill>
              <w14:schemeClr w14:val="tx1"/>
            </w14:solidFill>
          </w14:textFill>
        </w:rPr>
        <w:t xml:space="preserve">磋商响应函</w:t>
      </w:r>
      <w:r/>
    </w:p>
    <w:p>
      <w:pPr>
        <w:jc w:val="left"/>
        <w:spacing w:line="420" w:lineRule="exact"/>
        <w:rPr>
          <w:rFonts w:hint="eastAsia" w:asciiTheme="minorEastAsia" w:hAnsiTheme="minorEastAsia" w:eastAsiaTheme="minorEastAsia"/>
          <w:color w:val="000000" w:themeColor="text1"/>
          <w:sz w:val="24"/>
          <w:szCs w:val="21"/>
          <w:u w:val="single"/>
          <w:lang w:eastAsia="zh-CN"/>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致：</w:t>
      </w:r>
      <w:r>
        <w:rPr>
          <w:rFonts w:hint="eastAsia" w:asciiTheme="minorEastAsia" w:hAnsiTheme="minorEastAsia" w:eastAsiaTheme="minorEastAsia"/>
          <w:color w:val="000000" w:themeColor="text1"/>
          <w:sz w:val="24"/>
          <w:szCs w:val="21"/>
          <w:u w:val="single"/>
          <w:lang w:eastAsia="zh-CN"/>
          <w14:textFill>
            <w14:solidFill>
              <w14:schemeClr w14:val="tx1"/>
            </w14:solidFill>
          </w14:textFill>
        </w:rPr>
        <w:t xml:space="preserve">海安市水利局</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根据贵方的项目编号：</w:t>
      </w:r>
      <w:r>
        <w:rPr>
          <w:rFonts w:hint="eastAsia" w:asciiTheme="minorEastAsia" w:hAnsiTheme="minorEastAsia" w:eastAsiaTheme="minorEastAsia"/>
          <w:b/>
          <w:color w:val="000000" w:themeColor="text1"/>
          <w:sz w:val="36"/>
          <w:szCs w:val="24"/>
          <w:u w:val="single"/>
          <w14:textFill>
            <w14:solidFill>
              <w14:schemeClr w14:val="tx1"/>
            </w14:solidFill>
          </w14:textFill>
        </w:rPr>
        <w:t xml:space="preserve">    </w:t>
      </w:r>
      <w:r>
        <w:rPr>
          <w:rFonts w:hint="eastAsia" w:asciiTheme="minorEastAsia" w:hAnsiTheme="minorEastAsia" w:eastAsiaTheme="minorEastAsia"/>
          <w:color w:val="000000" w:themeColor="text1"/>
          <w:sz w:val="24"/>
          <w:szCs w:val="21"/>
          <w14:textFill>
            <w14:solidFill>
              <w14:schemeClr w14:val="tx1"/>
            </w14:solidFill>
          </w14:textFill>
        </w:rPr>
        <w:t xml:space="preserve">磋商文件，正式授权下述签字人______(姓名)代表我方______________（供应商的名称），全权处理本次项目磋商的有关事宜。</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据此函，__________签字人兹宣布同意如下：</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1.按磋商文件规定的各项要求，向买方提供所需货物、服务（包含与货物相关的服务及与服务相关的货物）。</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2.我们完全理解贵方不一定将合同授予最低报价的供应商。</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4.我们同意从规定的开标日期起遵循本响应文件，并在规定的磋商有效期期满之前均具有约束力。</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7.我方与本磋商有关的正式通讯地址为：</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地          址：</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邮          编：</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电          话：</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传          真：</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供应商开户行：</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账          号： </w:t>
      </w:r>
      <w:r/>
    </w:p>
    <w:p>
      <w:pPr>
        <w:ind w:left="420" w:firstLine="480"/>
        <w:jc w:val="left"/>
        <w:spacing w:line="42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日           期：________年____月____日</w:t>
      </w:r>
      <w:r/>
    </w:p>
    <w:p>
      <w:pPr>
        <w:spacing w:line="400" w:lineRule="exact"/>
        <w:rPr>
          <w:rFonts w:asciiTheme="minorEastAsia" w:hAnsiTheme="minorEastAsia" w:eastAsiaTheme="minorEastAsia"/>
          <w:bCs/>
          <w:color w:val="000000" w:themeColor="text1"/>
          <w:sz w:val="24"/>
          <w:szCs w:val="21"/>
          <w14:textFill>
            <w14:solidFill>
              <w14:schemeClr w14:val="tx1"/>
            </w14:solidFill>
          </w14:textFill>
        </w:rPr>
      </w:pPr>
      <w:r>
        <w:rPr>
          <w:rFonts w:asciiTheme="minorEastAsia" w:hAnsiTheme="minorEastAsia" w:eastAsiaTheme="minorEastAsia"/>
          <w:bCs/>
          <w:color w:val="000000" w:themeColor="text1"/>
          <w:sz w:val="24"/>
          <w:szCs w:val="21"/>
          <w14:textFill>
            <w14:solidFill>
              <w14:schemeClr w14:val="tx1"/>
            </w14:solidFill>
          </w14:textFill>
        </w:rPr>
      </w:r>
      <w:r/>
    </w:p>
    <w:p>
      <w:pPr>
        <w:ind w:left="420" w:firstLine="480"/>
        <w:jc w:val="left"/>
        <w:spacing w:line="440" w:lineRule="exact"/>
        <w:rPr>
          <w:rFonts w:asciiTheme="minorEastAsia" w:hAnsiTheme="minorEastAsia" w:eastAsiaTheme="minorEastAsia"/>
          <w:color w:val="000000" w:themeColor="text1"/>
          <w:sz w:val="24"/>
          <w:szCs w:val="21"/>
          <w14:textFill>
            <w14:solidFill>
              <w14:schemeClr w14:val="tx1"/>
            </w14:solidFill>
          </w14:textFill>
        </w:rPr>
      </w:pPr>
      <w:r>
        <w:rPr>
          <w:rFonts w:asciiTheme="minorEastAsia" w:hAnsiTheme="minorEastAsia" w:eastAsiaTheme="minorEastAsia"/>
          <w:color w:val="000000" w:themeColor="text1"/>
          <w:sz w:val="24"/>
          <w:szCs w:val="21"/>
          <w14:textFill>
            <w14:solidFill>
              <w14:schemeClr w14:val="tx1"/>
            </w14:solidFill>
          </w14:textFill>
        </w:rPr>
      </w:r>
      <w:r/>
    </w:p>
    <w:p>
      <w:pPr>
        <w:ind w:left="420" w:firstLine="2400"/>
        <w:jc w:val="left"/>
        <w:spacing w:line="44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响应供应商全称(盖公章)：</w:t>
      </w:r>
      <w:r/>
    </w:p>
    <w:p>
      <w:pPr>
        <w:ind w:left="420" w:firstLine="2400"/>
        <w:jc w:val="left"/>
        <w:spacing w:line="440" w:lineRule="exact"/>
        <w:rPr>
          <w:rFonts w:asciiTheme="minorEastAsia" w:hAnsiTheme="minorEastAsia" w:eastAsiaTheme="minorEastAsia"/>
          <w:color w:val="000000" w:themeColor="text1"/>
          <w:sz w:val="24"/>
          <w:szCs w:val="21"/>
          <w14:textFill>
            <w14:solidFill>
              <w14:schemeClr w14:val="tx1"/>
            </w14:solidFill>
          </w14:textFill>
        </w:rPr>
      </w:pPr>
      <w:r>
        <w:rPr>
          <w:rFonts w:hint="eastAsia" w:asciiTheme="minorEastAsia" w:hAnsiTheme="minorEastAsia" w:eastAsiaTheme="minorEastAsia"/>
          <w:color w:val="000000" w:themeColor="text1"/>
          <w:sz w:val="24"/>
          <w:szCs w:val="21"/>
          <w14:textFill>
            <w14:solidFill>
              <w14:schemeClr w14:val="tx1"/>
            </w14:solidFill>
          </w14:textFill>
        </w:rPr>
        <w:t xml:space="preserve">法定代表人（签字或盖章）：</w:t>
      </w:r>
      <w:r/>
    </w:p>
    <w:p>
      <w:pPr>
        <w:jc w:val="left"/>
        <w:widowControl/>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color w:val="000000" w:themeColor="text1"/>
          <w:sz w:val="32"/>
          <w:szCs w:val="32"/>
          <w14:textFill>
            <w14:solidFill>
              <w14:schemeClr w14:val="tx1"/>
            </w14:solidFill>
          </w14:textFill>
        </w:rPr>
        <w:br w:type="page" w:clear="all"/>
      </w:r>
      <w:r/>
    </w:p>
    <w:p>
      <w:pPr>
        <w:contextualSpacing/>
        <w:spacing w:line="400" w:lineRule="exact"/>
        <w:rPr>
          <w:rFonts w:hint="eastAsia" w:eastAsia="宋体"/>
          <w:color w:val="000000" w:themeColor="text1"/>
          <w:sz w:val="32"/>
          <w:szCs w:val="32"/>
          <w:lang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7</w:t>
      </w:r>
      <w:r/>
    </w:p>
    <w:p>
      <w:pPr>
        <w:contextualSpacing/>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商务部分正负偏离表</w:t>
      </w:r>
      <w:r/>
    </w:p>
    <w:p>
      <w:pPr>
        <w:ind w:firstLine="560"/>
        <w:jc w:val="center"/>
        <w:spacing w:line="42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（由供应商据实填写，表格不够自行添加）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磋商文件要求的商务条款</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bl>
    <w:p>
      <w:pPr>
        <w:contextualSpacing/>
        <w:spacing w:line="42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注：</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1.供应商提交的响应文件中与磋商文件第三部分“项目需求”中的商务部分的要求，应逐条填列在偏离表中。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4.供应商若提供其他增值服务，可以在表中自行据实填写。</w:t>
      </w:r>
      <w:r/>
    </w:p>
    <w:p>
      <w:pPr>
        <w:contextualSpacing/>
        <w:ind w:firstLine="540"/>
        <w:spacing w:line="56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spacing w:line="4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contextualSpacing/>
        <w:spacing w:line="40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00" w:lineRule="exact"/>
        <w:rPr>
          <w:rFonts w:hint="eastAsia" w:eastAsia="宋体"/>
          <w:color w:val="000000" w:themeColor="text1"/>
          <w:sz w:val="32"/>
          <w:szCs w:val="32"/>
          <w:lang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8</w:t>
      </w:r>
      <w:r/>
    </w:p>
    <w:p>
      <w:pPr>
        <w:contextualSpacing/>
        <w:jc w:val="center"/>
        <w:spacing w:line="420" w:lineRule="exact"/>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 xml:space="preserve">技术部分正负偏离表</w:t>
      </w:r>
      <w:r/>
    </w:p>
    <w:p>
      <w:pPr>
        <w:ind w:firstLine="560"/>
        <w:jc w:val="center"/>
        <w:spacing w:line="420" w:lineRule="exact"/>
        <w:rPr>
          <w:rFonts w:asciiTheme="minorEastAsia" w:hAnsiTheme="minorEastAsia" w:eastAsiaTheme="minorEastAsia"/>
          <w:color w:val="000000" w:themeColor="text1"/>
          <w:sz w:val="28"/>
          <w:szCs w:val="28"/>
          <w14:textFill>
            <w14:solidFill>
              <w14:schemeClr w14:val="tx1"/>
            </w14:solidFill>
          </w14:textFill>
        </w:rPr>
      </w:pPr>
      <w:r>
        <w:rPr>
          <w:rFonts w:hint="eastAsia" w:asciiTheme="minorEastAsia" w:hAnsiTheme="minorEastAsia" w:eastAsiaTheme="minorEastAsia"/>
          <w:color w:val="000000" w:themeColor="text1"/>
          <w:sz w:val="28"/>
          <w:szCs w:val="28"/>
          <w14:textFill>
            <w14:solidFill>
              <w14:schemeClr w14:val="tx1"/>
            </w14:solidFill>
          </w14:textFill>
        </w:rPr>
        <w:t xml:space="preserve">（由供应商据实填写，表格不够自行添加）</w:t>
      </w:r>
      <w:r/>
    </w:p>
    <w:tbl>
      <w:tblPr>
        <w:tblStyle w:val="699"/>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序号</w:t>
            </w:r>
            <w:r/>
          </w:p>
        </w:tc>
        <w:tc>
          <w:tcPr>
            <w:tcW w:w="1254"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货物或服务名称</w:t>
            </w:r>
            <w:r/>
          </w:p>
        </w:tc>
        <w:tc>
          <w:tcPr>
            <w:tcW w:w="1095"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磋商文件要求的技术要求</w:t>
            </w:r>
            <w:r/>
          </w:p>
        </w:tc>
        <w:tc>
          <w:tcPr>
            <w:tcW w:w="1413" w:type="dxa"/>
            <w:vAlign w:val="center"/>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响应文件响应情况</w:t>
            </w:r>
            <w:r/>
          </w:p>
        </w:tc>
        <w:tc>
          <w:tcPr>
            <w:tcW w:w="778"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偏离说明</w:t>
            </w:r>
            <w:r/>
          </w:p>
        </w:tc>
      </w:tr>
      <w:tr>
        <w:trPr>
          <w:trHeight w:val="414"/>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548"/>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00"/>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r>
        <w:trPr>
          <w:trHeight w:val="419"/>
        </w:trPr>
        <w:tc>
          <w:tcPr>
            <w:tcW w:w="460" w:type="dxa"/>
            <w:textDirection w:val="lrTb"/>
            <w:noWrap w:val="false"/>
          </w:tcPr>
          <w:p>
            <w:pPr>
              <w:jc w:val="center"/>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4</w:t>
            </w:r>
            <w:r/>
          </w:p>
        </w:tc>
        <w:tc>
          <w:tcPr>
            <w:tcW w:w="1254"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095"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1413" w:type="dxa"/>
            <w:vAlign w:val="center"/>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c>
          <w:tcPr>
            <w:tcW w:w="778" w:type="dxa"/>
            <w:textDirection w:val="lrTb"/>
            <w:noWrap w:val="false"/>
          </w:tcPr>
          <w:p>
            <w:pPr>
              <w:jc w:val="left"/>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tc>
      </w:tr>
    </w:tbl>
    <w:p>
      <w:pPr>
        <w:contextualSpacing/>
        <w:spacing w:line="420" w:lineRule="exact"/>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 xml:space="preserve">注：</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1.供应商提交的响应文件中与磋商文件第三部分“项目需求”中的技术部分的要求，应逐条填列在偏离表中。</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2.“偏离说明”一栏选择“正偏离”、“无偏离”、“负偏离”进行填写。正偏离、无偏离的确认和负偏离的是否响应采购文件，由磋商小组认定。</w:t>
      </w:r>
      <w:r/>
    </w:p>
    <w:p>
      <w:pPr>
        <w:contextualSpacing/>
        <w:ind w:firstLine="480"/>
        <w:spacing w:line="420" w:lineRule="exac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3.供应商如果虚假响应，将被暂停参加采购人组织政府采购活动。</w:t>
      </w:r>
      <w:r/>
    </w:p>
    <w:p>
      <w:pPr>
        <w:contextualSpacing/>
        <w:ind w:firstLine="480"/>
        <w:spacing w:line="420" w:lineRule="exact"/>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4.供应商若提供其他增值服务，可以在表中自行据实填写。</w:t>
      </w:r>
      <w:r/>
    </w:p>
    <w:p>
      <w:pPr>
        <w:spacing w:line="4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contextualSpacing/>
        <w:spacing w:line="40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br w:type="page" w:clear="all"/>
      </w:r>
      <w:r/>
    </w:p>
    <w:p>
      <w:pPr>
        <w:contextualSpacing/>
        <w:spacing w:line="400" w:lineRule="exact"/>
        <w:rPr>
          <w:rFonts w:hint="eastAsia" w:eastAsia="宋体"/>
          <w:color w:val="000000" w:themeColor="text1"/>
          <w:sz w:val="32"/>
          <w:szCs w:val="32"/>
          <w:lang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9</w:t>
      </w:r>
      <w:r/>
    </w:p>
    <w:p>
      <w:pPr>
        <w:jc w:val="center"/>
        <w:spacing w:before="100" w:beforeAutospacing="1" w:after="100" w:afterAutospacing="1" w:line="420" w:lineRule="exact"/>
        <w:widowControl/>
        <w:rPr>
          <w:rFonts w:cs="宋体" w:asciiTheme="minorEastAsia" w:hAnsiTheme="minorEastAsia" w:eastAsiaTheme="minorEastAsia"/>
          <w:color w:val="000000" w:themeColor="text1"/>
          <w:sz w:val="32"/>
          <w:szCs w:val="32"/>
          <w14:textFill>
            <w14:solidFill>
              <w14:schemeClr w14:val="tx1"/>
            </w14:solidFill>
          </w14:textFill>
        </w:rPr>
      </w:pPr>
      <w:r>
        <w:rPr>
          <w:rFonts w:hint="eastAsia" w:cs="宋体" w:asciiTheme="minorEastAsia" w:hAnsiTheme="minorEastAsia" w:eastAsiaTheme="minorEastAsia"/>
          <w:b/>
          <w:bCs/>
          <w:color w:val="000000" w:themeColor="text1"/>
          <w:sz w:val="32"/>
          <w:szCs w:val="32"/>
          <w14:textFill>
            <w14:solidFill>
              <w14:schemeClr w14:val="tx1"/>
            </w14:solidFill>
          </w14:textFill>
        </w:rPr>
        <w:t xml:space="preserve">报价总表</w:t>
      </w:r>
      <w:r/>
    </w:p>
    <w:p>
      <w:pPr>
        <w:spacing w:line="420" w:lineRule="exact"/>
        <w:rPr>
          <w:rFonts w:cs="宋体" w:asciiTheme="minorEastAsia" w:hAnsiTheme="minorEastAsia" w:eastAsiaTheme="minorEastAsia"/>
          <w:color w:val="000000" w:themeColor="text1"/>
          <w:sz w:val="28"/>
          <w:szCs w:val="28"/>
          <w:u w:val="single"/>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供应商全称（加盖公章）：</w:t>
      </w:r>
      <w:r/>
    </w:p>
    <w:p>
      <w:pPr>
        <w:spacing w:line="420" w:lineRule="exact"/>
        <w:rPr>
          <w:rFonts w:cs="宋体" w:asciiTheme="minorEastAsia" w:hAnsiTheme="minorEastAsia" w:eastAsiaTheme="minorEastAsia"/>
          <w:color w:val="000000" w:themeColor="text1"/>
          <w:sz w:val="28"/>
          <w:szCs w:val="28"/>
          <w:u w:val="single"/>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项目名称：</w:t>
      </w:r>
      <w:r/>
    </w:p>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项目编号：</w:t>
      </w:r>
      <w:r/>
    </w:p>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分包号：</w:t>
      </w:r>
      <w:r/>
    </w:p>
    <w:tbl>
      <w:tblPr>
        <w:tblStyle w:val="699"/>
        <w:tblW w:w="91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1"/>
        <w:gridCol w:w="5316"/>
      </w:tblGrid>
      <w:tr>
        <w:trPr/>
        <w:tc>
          <w:tcPr>
            <w:tcW w:w="3851" w:type="dxa"/>
            <w:textDirection w:val="lrTb"/>
            <w:noWrap w:val="false"/>
          </w:tcPr>
          <w:p>
            <w:pPr>
              <w:jc w:val="center"/>
              <w:spacing w:line="420" w:lineRule="exact"/>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磋商</w:t>
            </w:r>
            <w:r>
              <w:rPr>
                <w:rFonts w:cs="宋体" w:asciiTheme="minorEastAsia" w:hAnsiTheme="minorEastAsia" w:eastAsiaTheme="minorEastAsia"/>
                <w:color w:val="000000" w:themeColor="text1"/>
                <w:sz w:val="28"/>
                <w:szCs w:val="28"/>
                <w14:textFill>
                  <w14:solidFill>
                    <w14:schemeClr w14:val="tx1"/>
                  </w14:solidFill>
                </w14:textFill>
              </w:rPr>
              <w:t xml:space="preserve">货物、服务名称</w:t>
            </w:r>
            <w:r/>
          </w:p>
        </w:tc>
        <w:tc>
          <w:tcPr>
            <w:tcW w:w="5316" w:type="dxa"/>
            <w:textDirection w:val="lrTb"/>
            <w:noWrap w:val="false"/>
          </w:tcPr>
          <w:p>
            <w:pPr>
              <w:jc w:val="cente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磋商总</w:t>
            </w:r>
            <w:r>
              <w:rPr>
                <w:rFonts w:cs="宋体" w:asciiTheme="minorEastAsia" w:hAnsiTheme="minorEastAsia" w:eastAsiaTheme="minorEastAsia"/>
                <w:color w:val="000000" w:themeColor="text1"/>
                <w:sz w:val="28"/>
                <w:szCs w:val="28"/>
                <w14:textFill>
                  <w14:solidFill>
                    <w14:schemeClr w14:val="tx1"/>
                  </w14:solidFill>
                </w14:textFill>
              </w:rPr>
              <w:t xml:space="preserve">价</w:t>
            </w:r>
            <w:r/>
          </w:p>
        </w:tc>
      </w:tr>
      <w:tr>
        <w:trPr>
          <w:trHeight w:val="1091"/>
        </w:trPr>
        <w:tc>
          <w:tcPr>
            <w:tcW w:w="3851"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c>
          <w:tcPr>
            <w:tcW w:w="5316" w:type="dxa"/>
            <w:textDirection w:val="lrTb"/>
            <w:noWrap w:val="false"/>
          </w:tcPr>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大写：</w:t>
            </w:r>
            <w:r>
              <w:rPr>
                <w:rFonts w:cs="宋体" w:asciiTheme="minorEastAsia" w:hAnsiTheme="minorEastAsia" w:eastAsiaTheme="minorEastAsia"/>
                <w:color w:val="000000" w:themeColor="text1"/>
                <w:sz w:val="28"/>
                <w:szCs w:val="28"/>
                <w14:textFill>
                  <w14:solidFill>
                    <w14:schemeClr w14:val="tx1"/>
                  </w14:solidFill>
                </w14:textFill>
              </w:rPr>
              <w:br w:type="textWrapping" w:clear="all"/>
            </w:r>
            <w:r>
              <w:rPr>
                <w:rFonts w:cs="宋体" w:asciiTheme="minorEastAsia" w:hAnsiTheme="minorEastAsia" w:eastAsiaTheme="minorEastAsia"/>
                <w:color w:val="000000" w:themeColor="text1"/>
                <w:sz w:val="28"/>
                <w:szCs w:val="28"/>
                <w14:textFill>
                  <w14:solidFill>
                    <w14:schemeClr w14:val="tx1"/>
                  </w14:solidFill>
                </w14:textFill>
              </w:rPr>
              <w:t xml:space="preserve">小写：</w:t>
            </w:r>
            <w:r>
              <w:rPr>
                <w:rFonts w:hint="eastAsia" w:asciiTheme="minorEastAsia" w:hAnsiTheme="minorEastAsia" w:eastAsiaTheme="minorEastAsia"/>
                <w:color w:val="000000" w:themeColor="text1"/>
                <w:sz w:val="24"/>
                <w:szCs w:val="24"/>
                <w14:textFill>
                  <w14:solidFill>
                    <w14:schemeClr w14:val="tx1"/>
                  </w14:solidFill>
                </w14:textFill>
              </w:rPr>
              <w:t xml:space="preserve">元</w:t>
            </w:r>
            <w:r>
              <w:rPr>
                <w:rFonts w:cs="宋体" w:asciiTheme="minorEastAsia" w:hAnsiTheme="minorEastAsia" w:eastAsiaTheme="minorEastAsia"/>
                <w:color w:val="000000" w:themeColor="text1"/>
                <w:sz w:val="28"/>
                <w:szCs w:val="28"/>
                <w14:textFill>
                  <w14:solidFill>
                    <w14:schemeClr w14:val="tx1"/>
                  </w14:solidFill>
                </w14:textFill>
              </w:rPr>
              <w:t xml:space="preserve">（人民币）</w:t>
            </w:r>
            <w:r/>
          </w:p>
        </w:tc>
      </w:tr>
      <w:tr>
        <w:trPr/>
        <w:tc>
          <w:tcPr>
            <w:tcW w:w="3851"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主要货物、服务制造商及产地</w:t>
            </w:r>
            <w:r/>
          </w:p>
        </w:tc>
        <w:tc>
          <w:tcPr>
            <w:tcW w:w="5316"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r>
        <w:trPr>
          <w:trHeight w:val="481"/>
        </w:trPr>
        <w:tc>
          <w:tcPr>
            <w:tcW w:w="3851"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hint="eastAsia" w:cs="宋体" w:asciiTheme="minorEastAsia" w:hAnsiTheme="minorEastAsia" w:eastAsiaTheme="minorEastAsia"/>
                <w:color w:val="000000" w:themeColor="text1"/>
                <w:sz w:val="28"/>
                <w:szCs w:val="28"/>
                <w14:textFill>
                  <w14:solidFill>
                    <w14:schemeClr w14:val="tx1"/>
                  </w14:solidFill>
                </w14:textFill>
              </w:rPr>
              <w:t xml:space="preserve">核心产品品牌（如有）</w:t>
            </w:r>
            <w:r/>
          </w:p>
        </w:tc>
        <w:tc>
          <w:tcPr>
            <w:tcW w:w="5316" w:type="dxa"/>
            <w:textDirection w:val="lrTb"/>
            <w:noWrap w:val="false"/>
          </w:tcPr>
          <w:p>
            <w:pPr>
              <w:spacing w:line="420" w:lineRule="exact"/>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tc>
      </w:tr>
    </w:tbl>
    <w:p>
      <w:pPr>
        <w:spacing w:line="420" w:lineRule="exact"/>
        <w:rPr>
          <w:rFonts w:cs="宋体" w:asciiTheme="minorEastAsia" w:hAnsiTheme="minorEastAsia" w:eastAsiaTheme="minorEastAsia"/>
          <w:color w:val="000000" w:themeColor="text1"/>
          <w:sz w:val="28"/>
          <w:szCs w:val="28"/>
          <w14:textFill>
            <w14:solidFill>
              <w14:schemeClr w14:val="tx1"/>
            </w14:solidFill>
          </w14:textFill>
        </w:rPr>
      </w:pPr>
      <w:r>
        <w:rPr>
          <w:rFonts w:cs="宋体" w:asciiTheme="minorEastAsia" w:hAnsiTheme="minorEastAsia" w:eastAsiaTheme="minorEastAsia"/>
          <w:color w:val="000000" w:themeColor="text1"/>
          <w:sz w:val="28"/>
          <w:szCs w:val="28"/>
          <w14:textFill>
            <w14:solidFill>
              <w14:schemeClr w14:val="tx1"/>
            </w14:solidFill>
          </w14:textFill>
        </w:rPr>
        <w:t xml:space="preserve">日期：</w:t>
      </w:r>
      <w:r/>
    </w:p>
    <w:p>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cs="宋体" w:asciiTheme="minorEastAsia" w:hAnsiTheme="minorEastAsia" w:eastAsiaTheme="minorEastAsia"/>
          <w:color w:val="000000" w:themeColor="text1"/>
          <w:sz w:val="24"/>
          <w:szCs w:val="24"/>
          <w14:textFill>
            <w14:solidFill>
              <w14:schemeClr w14:val="tx1"/>
            </w14:solidFill>
          </w14:textFill>
        </w:rPr>
        <w:t xml:space="preserve">填写说明：</w:t>
      </w:r>
      <w:r/>
    </w:p>
    <w:p>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1</w:t>
      </w:r>
      <w:r>
        <w:rPr>
          <w:rFonts w:cs="宋体" w:asciiTheme="minorEastAsia" w:hAnsiTheme="minorEastAsia" w:eastAsiaTheme="minorEastAsia"/>
          <w:color w:val="000000" w:themeColor="text1"/>
          <w:sz w:val="24"/>
          <w:szCs w:val="24"/>
          <w14:textFill>
            <w14:solidFill>
              <w14:schemeClr w14:val="tx1"/>
            </w14:solidFill>
          </w14:textFill>
        </w:rPr>
        <w:t xml:space="preserve">、</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报价总表</w:t>
      </w:r>
      <w:r>
        <w:rPr>
          <w:rFonts w:cs="宋体" w:asciiTheme="minorEastAsia" w:hAnsiTheme="minorEastAsia" w:eastAsiaTheme="minorEastAsia"/>
          <w:color w:val="000000" w:themeColor="text1"/>
          <w:sz w:val="24"/>
          <w:szCs w:val="24"/>
          <w14:textFill>
            <w14:solidFill>
              <w14:schemeClr w14:val="tx1"/>
            </w14:solidFill>
          </w14:textFill>
        </w:rPr>
        <w:t xml:space="preserve">必须加盖</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w:t>
      </w:r>
      <w:r>
        <w:rPr>
          <w:rFonts w:cs="宋体" w:asciiTheme="minorEastAsia" w:hAnsiTheme="minorEastAsia" w:eastAsiaTheme="minorEastAsia"/>
          <w:color w:val="000000" w:themeColor="text1"/>
          <w:sz w:val="24"/>
          <w:szCs w:val="24"/>
          <w14:textFill>
            <w14:solidFill>
              <w14:schemeClr w14:val="tx1"/>
            </w14:solidFill>
          </w14:textFill>
        </w:rPr>
        <w:t xml:space="preserve">公章（复印件无效）。</w:t>
      </w:r>
      <w:r/>
    </w:p>
    <w:p>
      <w:pPr>
        <w:spacing w:line="420" w:lineRule="exact"/>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000000" w:themeColor="text1"/>
          <w:sz w:val="24"/>
          <w:szCs w:val="24"/>
          <w14:textFill>
            <w14:solidFill>
              <w14:schemeClr w14:val="tx1"/>
            </w14:solidFill>
          </w14:textFill>
        </w:rPr>
        <w:t xml:space="preserve">2</w:t>
      </w:r>
      <w:r>
        <w:rPr>
          <w:rFonts w:cs="宋体" w:asciiTheme="minorEastAsia" w:hAnsiTheme="minorEastAsia" w:eastAsiaTheme="minorEastAsia"/>
          <w:color w:val="000000" w:themeColor="text1"/>
          <w:sz w:val="24"/>
          <w:szCs w:val="24"/>
          <w14:textFill>
            <w14:solidFill>
              <w14:schemeClr w14:val="tx1"/>
            </w14:solidFill>
          </w14:textFill>
        </w:rPr>
        <w:t xml:space="preserve">、如有分包，</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供应商</w:t>
      </w:r>
      <w:r>
        <w:rPr>
          <w:rFonts w:cs="宋体" w:asciiTheme="minorEastAsia" w:hAnsiTheme="minorEastAsia" w:eastAsiaTheme="minorEastAsia"/>
          <w:color w:val="000000" w:themeColor="text1"/>
          <w:sz w:val="24"/>
          <w:szCs w:val="24"/>
          <w14:textFill>
            <w14:solidFill>
              <w14:schemeClr w14:val="tx1"/>
            </w14:solidFill>
          </w14:textFill>
        </w:rPr>
        <w:t xml:space="preserve">投任何一个包的标的，都需单独填写</w:t>
      </w:r>
      <w:r>
        <w:rPr>
          <w:rFonts w:hint="eastAsia" w:cs="宋体" w:asciiTheme="minorEastAsia" w:hAnsiTheme="minorEastAsia" w:eastAsiaTheme="minorEastAsia"/>
          <w:color w:val="000000" w:themeColor="text1"/>
          <w:sz w:val="24"/>
          <w:szCs w:val="24"/>
          <w14:textFill>
            <w14:solidFill>
              <w14:schemeClr w14:val="tx1"/>
            </w14:solidFill>
          </w14:textFill>
        </w:rPr>
        <w:t xml:space="preserve">报价总表</w:t>
      </w:r>
      <w:r>
        <w:rPr>
          <w:rFonts w:cs="宋体" w:asciiTheme="minorEastAsia" w:hAnsiTheme="minorEastAsia" w:eastAsiaTheme="minorEastAsia"/>
          <w:color w:val="000000" w:themeColor="text1"/>
          <w:sz w:val="24"/>
          <w:szCs w:val="24"/>
          <w14:textFill>
            <w14:solidFill>
              <w14:schemeClr w14:val="tx1"/>
            </w14:solidFill>
          </w14:textFill>
        </w:rPr>
        <w:t xml:space="preserve">。</w:t>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br w:type="page" w:clear="all"/>
      </w:r>
      <w:r/>
    </w:p>
    <w:p>
      <w:pPr>
        <w:contextualSpacing/>
        <w:spacing w:line="400" w:lineRule="exact"/>
        <w:rPr>
          <w:rFonts w:hint="default" w:eastAsia="宋体"/>
          <w:color w:val="000000" w:themeColor="text1"/>
          <w:sz w:val="32"/>
          <w:szCs w:val="32"/>
          <w:lang w:val="en-US" w:eastAsia="zh-CN"/>
          <w14:textFill>
            <w14:solidFill>
              <w14:schemeClr w14:val="tx1"/>
            </w14:solidFill>
          </w14:textFill>
        </w:rPr>
      </w:pPr>
      <w:r>
        <w:rPr>
          <w:rFonts w:eastAsia="方正黑体_GBK"/>
          <w:color w:val="000000" w:themeColor="text1"/>
          <w:sz w:val="32"/>
          <w:szCs w:val="32"/>
          <w14:textFill>
            <w14:solidFill>
              <w14:schemeClr w14:val="tx1"/>
            </w14:solidFill>
          </w14:textFill>
        </w:rPr>
        <w:t xml:space="preserve">附件</w:t>
      </w:r>
      <w:r>
        <w:rPr>
          <w:rFonts w:hint="eastAsia" w:eastAsiaTheme="minorEastAsia"/>
          <w:color w:val="000000" w:themeColor="text1"/>
          <w:sz w:val="32"/>
          <w:szCs w:val="32"/>
          <w:lang w:val="en-US" w:eastAsia="zh-CN"/>
          <w14:textFill>
            <w14:solidFill>
              <w14:schemeClr w14:val="tx1"/>
            </w14:solidFill>
          </w14:textFill>
        </w:rPr>
        <w:t xml:space="preserve">10</w:t>
      </w:r>
      <w:r/>
    </w:p>
    <w:p>
      <w:pPr>
        <w:spacing w:line="400" w:lineRule="exact"/>
        <w:rPr>
          <w:rFonts w:ascii="仿宋_GB2312" w:eastAsia="仿宋_GB2312"/>
          <w:b/>
          <w:bCs/>
          <w:color w:val="000000" w:themeColor="text1"/>
          <w:sz w:val="28"/>
          <w:szCs w:val="28"/>
          <w14:textFill>
            <w14:solidFill>
              <w14:schemeClr w14:val="tx1"/>
            </w14:solidFill>
          </w14:textFill>
        </w:rPr>
      </w:pPr>
      <w:r>
        <w:rPr>
          <w:rFonts w:ascii="仿宋_GB2312" w:eastAsia="仿宋_GB2312"/>
          <w:b/>
          <w:bCs/>
          <w:color w:val="000000" w:themeColor="text1"/>
          <w:sz w:val="28"/>
          <w:szCs w:val="28"/>
          <w14:textFill>
            <w14:solidFill>
              <w14:schemeClr w14:val="tx1"/>
            </w14:solidFill>
          </w14:textFill>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99"/>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序号</w:t>
            </w:r>
            <w:r/>
          </w:p>
        </w:tc>
        <w:tc>
          <w:tcPr>
            <w:tcW w:w="134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名称</w:t>
            </w:r>
            <w:r/>
          </w:p>
        </w:tc>
        <w:tc>
          <w:tcPr>
            <w:tcW w:w="121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规格型号</w:t>
            </w:r>
            <w:r/>
          </w:p>
        </w:tc>
        <w:tc>
          <w:tcPr>
            <w:tcW w:w="1276"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品牌</w:t>
            </w:r>
            <w:r/>
          </w:p>
        </w:tc>
        <w:tc>
          <w:tcPr>
            <w:tcW w:w="992"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单位</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数量</w:t>
            </w:r>
            <w:r/>
          </w:p>
        </w:tc>
        <w:tc>
          <w:tcPr>
            <w:tcW w:w="850"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单价</w:t>
            </w:r>
            <w:r/>
          </w:p>
        </w:tc>
        <w:tc>
          <w:tcPr>
            <w:tcW w:w="851" w:type="dxa"/>
            <w:vAlign w:val="center"/>
            <w:textDirection w:val="lrTb"/>
            <w:noWrap w:val="false"/>
          </w:tcPr>
          <w:p>
            <w:pPr>
              <w:jc w:val="center"/>
              <w:spacing w:line="360" w:lineRule="auto"/>
              <w:rPr>
                <w:rFonts w:ascii="宋体" w:hAnsi="宋体"/>
                <w:b/>
                <w:color w:val="000000"/>
                <w:szCs w:val="21"/>
              </w:rPr>
            </w:pPr>
            <w:r>
              <w:rPr>
                <w:rFonts w:hint="eastAsia" w:ascii="宋体" w:hAnsi="宋体"/>
                <w:b/>
                <w:color w:val="000000"/>
                <w:szCs w:val="21"/>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color w:val="000000" w:themeColor="text1"/>
          <w:sz w:val="28"/>
          <w:szCs w:val="28"/>
          <w:lang w:val="zh-CN"/>
          <w14:textFill>
            <w14:solidFill>
              <w14:schemeClr w14:val="tx1"/>
            </w14:solidFill>
          </w14:textFill>
        </w:rPr>
        <w:outlineLvl w:val="0"/>
      </w:pPr>
      <w:r>
        <w:rPr>
          <w:rFonts w:ascii="宋体" w:hAnsi="宋体" w:cs="宋体"/>
          <w:b/>
          <w:color w:val="000000" w:themeColor="text1"/>
          <w:sz w:val="28"/>
          <w:szCs w:val="28"/>
          <w:lang w:val="zh-CN"/>
          <w14:textFill>
            <w14:solidFill>
              <w14:schemeClr w14:val="tx1"/>
            </w14:solidFill>
          </w14:textFill>
        </w:rPr>
      </w:r>
      <w:r/>
    </w:p>
    <w:p>
      <w:pPr>
        <w:ind w:left="105" w:right="105"/>
        <w:jc w:val="left"/>
        <w:spacing w:line="360" w:lineRule="auto"/>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r>
      <w:r/>
    </w:p>
    <w:p>
      <w:pPr>
        <w:spacing w:line="300" w:lineRule="auto"/>
        <w:rPr>
          <w:rFonts w:ascii="宋体" w:hAnsi="宋体" w:eastAsia="幼圆" w:cs="Arial"/>
          <w:b/>
          <w:color w:val="000000" w:themeColor="text1"/>
          <w:sz w:val="24"/>
          <w:szCs w:val="44"/>
          <w14:textFill>
            <w14:solidFill>
              <w14:schemeClr w14:val="tx1"/>
            </w14:solidFill>
          </w14:textFill>
        </w:rPr>
        <w:outlineLvl w:val="0"/>
      </w:pPr>
      <w:r>
        <w:rPr>
          <w:rFonts w:ascii="宋体" w:hAnsi="宋体" w:eastAsia="幼圆" w:cs="Arial"/>
          <w:b/>
          <w:color w:val="000000" w:themeColor="text1"/>
          <w:sz w:val="24"/>
          <w:szCs w:val="44"/>
          <w14:textFill>
            <w14:solidFill>
              <w14:schemeClr w14:val="tx1"/>
            </w14:solidFill>
          </w14:textFill>
        </w:rPr>
        <w:br w:type="page" w:clear="all"/>
      </w:r>
      <w:r/>
    </w:p>
    <w:p>
      <w:pPr>
        <w:spacing w:line="300" w:lineRule="auto"/>
        <w:rPr>
          <w:rFonts w:hint="eastAsia" w:eastAsia="宋体"/>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w:t>
      </w:r>
      <w:r>
        <w:rPr>
          <w:rFonts w:hint="eastAsia" w:eastAsia="方正黑体_GBK"/>
          <w:color w:val="000000" w:themeColor="text1"/>
          <w:sz w:val="32"/>
          <w:szCs w:val="32"/>
          <w14:textFill>
            <w14:solidFill>
              <w14:schemeClr w14:val="tx1"/>
            </w14:solidFill>
          </w14:textFill>
        </w:rPr>
        <w:t xml:space="preserve">1</w:t>
      </w:r>
      <w:r>
        <w:rPr>
          <w:rFonts w:hint="eastAsia" w:eastAsiaTheme="minorEastAsia"/>
          <w:color w:val="000000" w:themeColor="text1"/>
          <w:sz w:val="32"/>
          <w:szCs w:val="32"/>
          <w:lang w:val="en-US" w:eastAsia="zh-CN"/>
          <w14:textFill>
            <w14:solidFill>
              <w14:schemeClr w14:val="tx1"/>
            </w14:solidFill>
          </w14:textFill>
        </w:rPr>
        <w:t xml:space="preserve">1</w:t>
      </w:r>
      <w:r/>
    </w:p>
    <w:p>
      <w:pPr>
        <w:jc w:val="center"/>
        <w:spacing w:line="300" w:lineRule="auto"/>
        <w:rPr>
          <w:rFonts w:ascii="Times New Roman" w:hAnsi="Times New Roman"/>
          <w:b/>
          <w:bCs/>
          <w:sz w:val="28"/>
          <w:szCs w:val="28"/>
          <w:lang w:val="en-US" w:bidi="zh-CN"/>
        </w:rPr>
        <w:outlineLvl w:val="0"/>
      </w:pPr>
      <w:r>
        <w:rPr>
          <w:rFonts w:ascii="Times New Roman" w:hAnsi="Times New Roman"/>
          <w:b/>
          <w:bCs/>
          <w:sz w:val="28"/>
          <w:szCs w:val="28"/>
          <w:lang w:val="en-US" w:bidi="zh-CN"/>
        </w:rPr>
        <w:t xml:space="preserve">中小企业声明函（货物）</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本公司（联合体）郑重声明，根据《政府采购促进中小企业发展管理办法》（财库</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2020</w:t>
      </w:r>
      <w:r>
        <w:rPr>
          <w:rFonts w:hint="eastAsia" w:ascii="Times New Roman" w:hAnsi="Times New Roman"/>
          <w:sz w:val="28"/>
          <w:szCs w:val="28"/>
          <w:lang w:val="en-US" w:bidi="zh-CN"/>
        </w:rPr>
        <w:t xml:space="preserve">﹞</w:t>
      </w:r>
      <w:r>
        <w:rPr>
          <w:rFonts w:ascii="Times New Roman" w:hAnsi="Times New Roman"/>
          <w:sz w:val="28"/>
          <w:szCs w:val="28"/>
          <w:lang w:val="en-US" w:bidi="zh-CN"/>
        </w:rPr>
        <w:t xml:space="preserve">46 号）的规定，本公司（联合体）参加</w:t>
      </w:r>
      <w:r>
        <w:rPr>
          <w:rFonts w:ascii="Times New Roman" w:hAnsi="Times New Roman"/>
          <w:sz w:val="28"/>
          <w:szCs w:val="28"/>
          <w:u w:val="single"/>
          <w:lang w:val="en-US" w:bidi="zh-CN"/>
        </w:rPr>
        <w:t xml:space="preserve">（单位名称）</w:t>
      </w:r>
      <w:r>
        <w:rPr>
          <w:rFonts w:ascii="Times New Roman" w:hAnsi="Times New Roman"/>
          <w:sz w:val="28"/>
          <w:szCs w:val="28"/>
          <w:lang w:val="en-US" w:bidi="zh-CN"/>
        </w:rPr>
        <w:t xml:space="preserve">的</w:t>
      </w:r>
      <w:r>
        <w:rPr>
          <w:rFonts w:ascii="Times New Roman" w:hAnsi="Times New Roman"/>
          <w:sz w:val="28"/>
          <w:szCs w:val="28"/>
          <w:u w:val="single"/>
          <w:lang w:val="en-US" w:bidi="zh-CN"/>
        </w:rPr>
        <w:t xml:space="preserve">（项目名称）</w:t>
      </w:r>
      <w:r>
        <w:rPr>
          <w:rFonts w:ascii="Times New Roman" w:hAnsi="Times New Roman"/>
          <w:sz w:val="28"/>
          <w:szCs w:val="28"/>
          <w:lang w:val="en-US"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1.</w:t>
      </w:r>
      <w:r>
        <w:rPr>
          <w:rFonts w:ascii="Times New Roman" w:hAnsi="Times New Roman"/>
          <w:sz w:val="28"/>
          <w:szCs w:val="28"/>
          <w:u w:val="single"/>
          <w:lang w:val="en-US" w:bidi="zh-CN"/>
        </w:rPr>
        <w:t xml:space="preserve"> （标的名称）</w:t>
      </w:r>
      <w:r>
        <w:rPr>
          <w:rFonts w:ascii="Times New Roman" w:hAnsi="Times New Roman"/>
          <w:sz w:val="28"/>
          <w:szCs w:val="28"/>
          <w:lang w:val="en-US" w:bidi="zh-CN"/>
        </w:rPr>
        <w:t xml:space="preserve"> ，属于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hint="eastAsia" w:ascii="Times New Roman" w:hAnsi="Times New Roman"/>
          <w:sz w:val="28"/>
          <w:szCs w:val="28"/>
          <w:lang w:val="en-US" w:bidi="zh-CN"/>
        </w:rPr>
        <w:t xml:space="preserve">2.</w:t>
      </w:r>
      <w:r>
        <w:rPr>
          <w:rFonts w:ascii="Times New Roman" w:hAnsi="Times New Roman"/>
          <w:i/>
          <w:sz w:val="28"/>
          <w:szCs w:val="28"/>
          <w:u w:val="single"/>
          <w:lang w:val="en-US" w:bidi="zh-CN"/>
        </w:rPr>
        <w:t xml:space="preserve"> </w:t>
      </w:r>
      <w:r>
        <w:rPr>
          <w:rFonts w:ascii="Times New Roman" w:hAnsi="Times New Roman"/>
          <w:sz w:val="28"/>
          <w:szCs w:val="28"/>
          <w:u w:val="single"/>
          <w:lang w:val="en-US" w:bidi="zh-CN"/>
        </w:rPr>
        <w:t xml:space="preserve">（标的名称） </w:t>
      </w:r>
      <w:r>
        <w:rPr>
          <w:rFonts w:ascii="Times New Roman" w:hAnsi="Times New Roman"/>
          <w:sz w:val="28"/>
          <w:szCs w:val="28"/>
          <w:lang w:val="en-US" w:bidi="zh-CN"/>
        </w:rPr>
        <w:t xml:space="preserve">，属于</w:t>
      </w:r>
      <w:r>
        <w:rPr>
          <w:rFonts w:ascii="Times New Roman" w:hAnsi="Times New Roman"/>
          <w:sz w:val="28"/>
          <w:szCs w:val="28"/>
          <w:u w:val="single"/>
          <w:lang w:val="en-US" w:bidi="zh-CN"/>
        </w:rPr>
        <w:t xml:space="preserve">（采购文件中明确的所属行业）</w:t>
      </w:r>
      <w:r>
        <w:rPr>
          <w:rFonts w:ascii="Times New Roman" w:hAnsi="Times New Roman"/>
          <w:sz w:val="28"/>
          <w:szCs w:val="28"/>
          <w:lang w:val="en-US" w:bidi="zh-CN"/>
        </w:rPr>
        <w:t xml:space="preserve">行业；制造商为</w:t>
      </w:r>
      <w:r>
        <w:rPr>
          <w:rFonts w:ascii="Times New Roman" w:hAnsi="Times New Roman"/>
          <w:sz w:val="28"/>
          <w:szCs w:val="28"/>
          <w:u w:val="single"/>
          <w:lang w:val="en-US" w:bidi="zh-CN"/>
        </w:rPr>
        <w:t xml:space="preserve">（企业名称）</w:t>
      </w:r>
      <w:r>
        <w:rPr>
          <w:rFonts w:ascii="Times New Roman" w:hAnsi="Times New Roman"/>
          <w:sz w:val="28"/>
          <w:szCs w:val="28"/>
          <w:lang w:val="en-US" w:bidi="zh-CN"/>
        </w:rPr>
        <w:t xml:space="preserve">，从业人员</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人，营业收入为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万元，资产总额为</w:t>
      </w:r>
      <w:r>
        <w:rPr>
          <w:rFonts w:ascii="Times New Roman" w:hAnsi="Times New Roman"/>
          <w:sz w:val="28"/>
          <w:szCs w:val="28"/>
          <w:u w:val="single"/>
          <w:lang w:val="en-US" w:bidi="zh-CN"/>
        </w:rPr>
        <w:t xml:space="preserve"> </w:t>
      </w:r>
      <w:r>
        <w:rPr>
          <w:rFonts w:ascii="Times New Roman" w:hAnsi="Times New Roman"/>
          <w:sz w:val="28"/>
          <w:szCs w:val="28"/>
          <w:u w:val="single"/>
          <w:lang w:val="en-US" w:bidi="zh-CN"/>
        </w:rPr>
        <w:tab/>
      </w:r>
      <w:r>
        <w:rPr>
          <w:rFonts w:ascii="Times New Roman" w:hAnsi="Times New Roman"/>
          <w:sz w:val="28"/>
          <w:szCs w:val="28"/>
          <w:lang w:val="en-US" w:bidi="zh-CN"/>
        </w:rPr>
        <w:t xml:space="preserve">万元，属于</w:t>
      </w:r>
      <w:r>
        <w:rPr>
          <w:rFonts w:ascii="Times New Roman" w:hAnsi="Times New Roman"/>
          <w:sz w:val="28"/>
          <w:szCs w:val="28"/>
          <w:u w:val="single"/>
          <w:lang w:val="en-US" w:bidi="zh-CN"/>
        </w:rPr>
        <w:t xml:space="preserve">（中型企业、小型企业、微型企业）</w:t>
      </w:r>
      <w:r>
        <w:rPr>
          <w:rFonts w:ascii="Times New Roman" w:hAnsi="Times New Roman"/>
          <w:sz w:val="28"/>
          <w:szCs w:val="28"/>
          <w:lang w:val="en-US" w:bidi="zh-CN"/>
        </w:rPr>
        <w:t xml:space="preserve">；</w:t>
      </w:r>
      <w:r/>
    </w:p>
    <w:p>
      <w:pPr>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Times New Roman" w:hAnsi="Times New Roman"/>
          <w:sz w:val="28"/>
          <w:szCs w:val="28"/>
          <w:lang w:val="en-US" w:bidi="zh-CN"/>
        </w:rPr>
        <w:outlineLvl w:val="0"/>
      </w:pPr>
      <w:r>
        <w:rPr>
          <w:rFonts w:ascii="Times New Roman" w:hAnsi="Times New Roman"/>
          <w:sz w:val="28"/>
          <w:szCs w:val="28"/>
          <w:lang w:val="en-US" w:bidi="zh-CN"/>
        </w:rPr>
        <w:t xml:space="preserve">本企业对上述声明内容的真实性负责。如有虚假，将依法承担相应责任。</w:t>
      </w:r>
      <w:r/>
    </w:p>
    <w:p>
      <w:pPr>
        <w:ind w:firstLine="560"/>
        <w:spacing w:line="360" w:lineRule="auto"/>
        <w:rPr>
          <w:rFonts w:ascii="Times New Roman" w:hAnsi="Times New Roman"/>
          <w:sz w:val="28"/>
          <w:szCs w:val="28"/>
          <w:lang w:val="en-US" w:bidi="zh-CN"/>
        </w:rPr>
        <w:outlineLvl w:val="0"/>
      </w:pPr>
      <w:r>
        <w:rPr>
          <w:rFonts w:ascii="Times New Roman" w:hAnsi="Times New Roman"/>
          <w:sz w:val="28"/>
          <w:szCs w:val="28"/>
          <w:lang w:val="en-US" w:bidi="zh-CN"/>
        </w:rPr>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p>
    <w:p>
      <w:pPr>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p>
    <w:p>
      <w:pPr>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p>
    <w:p>
      <w:pPr>
        <w:spacing w:line="300" w:lineRule="auto"/>
        <w:rPr>
          <w:rFonts w:hint="eastAsia" w:ascii="Times New Roman" w:hAnsi="Times New Roman"/>
          <w:sz w:val="28"/>
          <w:szCs w:val="28"/>
          <w:lang w:val="en-US"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企业名称（盖章）：</w:t>
      </w:r>
      <w:r/>
    </w:p>
    <w:p>
      <w:pPr>
        <w:jc w:val="center"/>
        <w:spacing w:line="300" w:lineRule="auto"/>
        <w:rPr>
          <w:rFonts w:hint="eastAsia" w:ascii="Times New Roman" w:hAnsi="Times New Roman"/>
          <w:sz w:val="28"/>
          <w:szCs w:val="28"/>
          <w:lang w:val="en-US" w:bidi="zh-CN"/>
        </w:rPr>
        <w:outlineLvl w:val="0"/>
      </w:pPr>
      <w:r>
        <w:rPr>
          <w:rFonts w:hint="eastAsia" w:ascii="Times New Roman" w:hAnsi="Times New Roman"/>
          <w:sz w:val="28"/>
          <w:szCs w:val="28"/>
          <w:lang w:val="en-US" w:bidi="zh-CN"/>
        </w:rPr>
        <w:t xml:space="preserve">          </w:t>
      </w:r>
      <w:r>
        <w:rPr>
          <w:rFonts w:ascii="Times New Roman" w:hAnsi="Times New Roman"/>
          <w:sz w:val="28"/>
          <w:szCs w:val="28"/>
          <w:lang w:val="en-US" w:bidi="zh-CN"/>
        </w:rPr>
        <w:t xml:space="preserve">日期：</w:t>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br w:type="page" w:clear="all"/>
      </w:r>
      <w:r/>
    </w:p>
    <w:p>
      <w:pPr>
        <w:spacing w:line="300" w:lineRule="auto"/>
        <w:rPr>
          <w:rFonts w:hint="eastAsia" w:eastAsia="宋体"/>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附件1</w:t>
      </w:r>
      <w:r>
        <w:rPr>
          <w:rFonts w:hint="eastAsia" w:eastAsiaTheme="minorEastAsia"/>
          <w:color w:val="000000" w:themeColor="text1"/>
          <w:sz w:val="32"/>
          <w:szCs w:val="32"/>
          <w:lang w:val="en-US" w:eastAsia="zh-CN"/>
          <w14:textFill>
            <w14:solidFill>
              <w14:schemeClr w14:val="tx1"/>
            </w14:solidFill>
          </w14:textFill>
        </w:rPr>
        <w:t xml:space="preserve">2</w:t>
      </w:r>
      <w:r/>
    </w:p>
    <w:p>
      <w:pPr>
        <w:jc w:val="center"/>
        <w:spacing w:line="460" w:lineRule="exact"/>
        <w:rPr>
          <w:rFonts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 xml:space="preserve">残疾人福利性单位声明函</w:t>
      </w:r>
      <w:r/>
    </w:p>
    <w:p>
      <w:pPr>
        <w:ind w:firstLine="560"/>
        <w:spacing w:line="588"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本单位对上述声明的真实性负责。如有虚假，将依法承担相应责任。</w:t>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ind w:firstLine="560"/>
        <w:spacing w:line="588" w:lineRule="exact"/>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00" w:lineRule="auto"/>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lang w:bidi="zh-CN"/>
          <w14:textFill>
            <w14:solidFill>
              <w14:schemeClr w14:val="tx1"/>
            </w14:solidFill>
          </w14:textFill>
        </w:rPr>
        <w:t xml:space="preserve">注：1、供应商如不提供此声明函，价格将不做相应扣除。</w:t>
      </w:r>
      <w:r/>
    </w:p>
    <w:p>
      <w:pPr>
        <w:ind w:firstLine="560"/>
        <w:spacing w:line="588" w:lineRule="exact"/>
        <w:rPr>
          <w:rFonts w:ascii="仿宋_GB2312" w:eastAsia="仿宋_GB2312"/>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lang w:bidi="zh-CN"/>
          <w14:textFill>
            <w14:solidFill>
              <w14:schemeClr w14:val="tx1"/>
            </w14:solidFill>
          </w14:textFill>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color w:val="000000" w:themeColor="text1"/>
          <w:spacing w:val="6"/>
          <w:sz w:val="24"/>
          <w:szCs w:val="24"/>
          <w14:textFill>
            <w14:solidFill>
              <w14:schemeClr w14:val="tx1"/>
            </w14:solidFill>
          </w14:textFill>
        </w:rPr>
      </w:pPr>
      <w:r>
        <w:rPr>
          <w:rFonts w:ascii="仿宋_GB2312" w:eastAsia="仿宋_GB2312"/>
          <w:color w:val="000000" w:themeColor="text1"/>
          <w:spacing w:val="6"/>
          <w:sz w:val="24"/>
          <w:szCs w:val="24"/>
          <w14:textFill>
            <w14:solidFill>
              <w14:schemeClr w14:val="tx1"/>
            </w14:solidFill>
          </w14:textFill>
        </w:rPr>
      </w:r>
      <w:r/>
    </w:p>
    <w:p>
      <w:pPr>
        <w:ind w:right="1560" w:firstLine="584"/>
        <w:jc w:val="center"/>
        <w:spacing w:line="588"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供应商全称（盖章）：</w:t>
      </w:r>
      <w:r/>
    </w:p>
    <w:p>
      <w:pPr>
        <w:ind w:right="1560" w:firstLine="560"/>
        <w:jc w:val="center"/>
        <w:spacing w:line="588" w:lineRule="exact"/>
        <w:tabs>
          <w:tab w:val="left" w:pos="486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              日  期：</w:t>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ind w:firstLine="240"/>
        <w:jc w:val="center"/>
        <w:spacing w:line="560" w:lineRule="exact"/>
        <w:rPr>
          <w:rFonts w:ascii="宋体" w:hAnsi="宋体"/>
          <w:bCs/>
          <w:color w:val="000000" w:themeColor="text1"/>
          <w:sz w:val="24"/>
          <w:szCs w:val="21"/>
          <w14:textFill>
            <w14:solidFill>
              <w14:schemeClr w14:val="tx1"/>
            </w14:solidFill>
          </w14:textFill>
        </w:rPr>
      </w:pPr>
      <w:r>
        <w:rPr>
          <w:rFonts w:ascii="宋体" w:hAnsi="宋体"/>
          <w:bCs/>
          <w:color w:val="000000" w:themeColor="text1"/>
          <w:sz w:val="24"/>
          <w:szCs w:val="21"/>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eastAsiaTheme="minorEastAsia"/>
          <w:color w:val="000000" w:themeColor="text1"/>
          <w:sz w:val="32"/>
          <w:szCs w:val="32"/>
          <w14:textFill>
            <w14:solidFill>
              <w14:schemeClr w14:val="tx1"/>
            </w14:solidFill>
          </w14:textFill>
        </w:rPr>
        <w:outlineLvl w:val="0"/>
      </w:pPr>
      <w:r>
        <w:rPr>
          <w:rFonts w:eastAsiaTheme="minorEastAsia"/>
          <w:color w:val="000000" w:themeColor="text1"/>
          <w:sz w:val="32"/>
          <w:szCs w:val="32"/>
          <w14:textFill>
            <w14:solidFill>
              <w14:schemeClr w14:val="tx1"/>
            </w14:solidFill>
          </w14:textFill>
        </w:rPr>
      </w:r>
      <w:r/>
    </w:p>
    <w:p>
      <w:pPr>
        <w:spacing w:line="300" w:lineRule="auto"/>
        <w:rPr>
          <w:rFonts w:hint="eastAsia" w:eastAsia="宋体"/>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附件1</w:t>
      </w:r>
      <w:r>
        <w:rPr>
          <w:rFonts w:hint="eastAsia" w:eastAsiaTheme="minorEastAsia"/>
          <w:color w:val="000000" w:themeColor="text1"/>
          <w:sz w:val="32"/>
          <w:szCs w:val="32"/>
          <w:lang w:val="en-US" w:eastAsia="zh-CN"/>
          <w14:textFill>
            <w14:solidFill>
              <w14:schemeClr w14:val="tx1"/>
            </w14:solidFill>
          </w14:textFill>
        </w:rPr>
        <w:t xml:space="preserve">3</w:t>
      </w:r>
      <w:r/>
    </w:p>
    <w:p>
      <w:pPr>
        <w:jc w:val="center"/>
        <w:spacing w:line="420" w:lineRule="exact"/>
        <w:rPr>
          <w:b/>
          <w:bCs/>
          <w:color w:val="000000" w:themeColor="text1"/>
          <w:sz w:val="32"/>
          <w:szCs w:val="32"/>
          <w14:textFill>
            <w14:solidFill>
              <w14:schemeClr w14:val="tx1"/>
            </w14:solidFill>
          </w14:textFill>
        </w:rPr>
        <w:outlineLvl w:val="3"/>
      </w:pPr>
      <w:r>
        <w:rPr>
          <w:rFonts w:hint="eastAsia"/>
          <w:b/>
          <w:bCs/>
          <w:color w:val="000000" w:themeColor="text1"/>
          <w:sz w:val="32"/>
          <w:szCs w:val="32"/>
          <w14:textFill>
            <w14:solidFill>
              <w14:schemeClr w14:val="tx1"/>
            </w14:solidFill>
          </w14:textFill>
        </w:rPr>
        <w:t xml:space="preserve">监狱和戒毒企业证明材料</w:t>
      </w:r>
      <w:r/>
    </w:p>
    <w:p>
      <w:pPr>
        <w:ind w:firstLine="496"/>
        <w:spacing w:line="42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498"/>
        <w:spacing w:line="42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（格式自拟）</w:t>
      </w:r>
      <w:r/>
    </w:p>
    <w:p>
      <w:pPr>
        <w:ind w:firstLine="496"/>
        <w:spacing w:line="420" w:lineRule="exac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661"/>
        <w:spacing w:line="42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spacing w:line="300" w:lineRule="auto"/>
        <w:rPr>
          <w:color w:val="000000" w:themeColor="text1"/>
          <w:sz w:val="24"/>
          <w:szCs w:val="24"/>
          <w14:textFill>
            <w14:solidFill>
              <w14:schemeClr w14:val="tx1"/>
            </w14:solidFill>
          </w14:textFill>
        </w:rPr>
        <w:outlineLvl w:val="0"/>
      </w:pPr>
      <w:r>
        <w:rPr>
          <w:rFonts w:hint="eastAsia"/>
          <w:color w:val="000000" w:themeColor="text1"/>
          <w:sz w:val="24"/>
          <w:szCs w:val="24"/>
          <w14:textFill>
            <w14:solidFill>
              <w14:schemeClr w14:val="tx1"/>
            </w14:solidFill>
          </w14:textFill>
        </w:rPr>
        <w:t xml:space="preserve">注：1、供应商如不提供此声明函，价格将不做相应扣除。</w:t>
      </w:r>
      <w:r/>
    </w:p>
    <w:p>
      <w:pPr>
        <w:ind w:firstLine="560"/>
        <w:spacing w:line="300" w:lineRule="auto"/>
        <w:rPr>
          <w:color w:val="000000" w:themeColor="text1"/>
          <w:sz w:val="24"/>
          <w:szCs w:val="24"/>
          <w14:textFill>
            <w14:solidFill>
              <w14:schemeClr w14:val="tx1"/>
            </w14:solidFill>
          </w14:textFill>
        </w:rPr>
        <w:outlineLvl w:val="0"/>
      </w:pPr>
      <w:r>
        <w:rPr>
          <w:rFonts w:hint="eastAsia"/>
          <w:color w:val="000000" w:themeColor="text1"/>
          <w:sz w:val="24"/>
          <w:szCs w:val="24"/>
          <w14:textFill>
            <w14:solidFill>
              <w14:schemeClr w14:val="tx1"/>
            </w14:solidFill>
          </w14:textFill>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color w:val="000000" w:themeColor="text1"/>
          <w:sz w:val="24"/>
          <w:szCs w:val="24"/>
          <w14:textFill>
            <w14:solidFill>
              <w14:schemeClr w14:val="tx1"/>
            </w14:solidFill>
          </w14:textFill>
        </w:rPr>
        <w:outlineLvl w:val="0"/>
      </w:pPr>
      <w:r>
        <w:rPr>
          <w:color w:val="000000" w:themeColor="text1"/>
          <w:sz w:val="24"/>
          <w:szCs w:val="24"/>
          <w14:textFill>
            <w14:solidFill>
              <w14:schemeClr w14:val="tx1"/>
            </w14:solidFill>
          </w14:textFill>
        </w:rPr>
      </w:r>
      <w:r/>
    </w:p>
    <w:p>
      <w:pPr>
        <w:ind w:firstLine="360"/>
        <w:spacing w:line="560" w:lineRule="exact"/>
        <w:rPr>
          <w:rFonts w:ascii="华文新魏" w:hAnsi="宋体" w:eastAsia="华文新魏"/>
          <w:color w:val="000000" w:themeColor="text1"/>
          <w:sz w:val="24"/>
          <w:szCs w:val="24"/>
          <w14:textFill>
            <w14:solidFill>
              <w14:schemeClr w14:val="tx1"/>
            </w14:solidFill>
          </w14:textFill>
        </w:rPr>
      </w:pPr>
      <w:r>
        <w:rPr>
          <w:rFonts w:ascii="华文新魏" w:hAnsi="宋体" w:eastAsia="华文新魏"/>
          <w:color w:val="000000" w:themeColor="text1"/>
          <w:sz w:val="24"/>
          <w:szCs w:val="24"/>
          <w14:textFill>
            <w14:solidFill>
              <w14:schemeClr w14:val="tx1"/>
            </w14:solidFill>
          </w14:textFill>
        </w:rPr>
      </w:r>
      <w:r/>
    </w:p>
    <w:p>
      <w:pPr>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t xml:space="preserve"> </w:t>
      </w:r>
      <w:r/>
    </w:p>
    <w:p>
      <w:pPr>
        <w:jc w:val="left"/>
        <w:widowControl/>
        <w:rPr>
          <w:rFonts w:eastAsia="方正黑体_GBK"/>
          <w:color w:val="000000" w:themeColor="text1"/>
          <w:sz w:val="32"/>
          <w:szCs w:val="32"/>
          <w14:textFill>
            <w14:solidFill>
              <w14:schemeClr w14:val="tx1"/>
            </w14:solidFill>
          </w14:textFill>
        </w:rPr>
        <w:sectPr>
          <w:footerReference w:type="default" r:id="rId12"/>
          <w:footnotePr/>
          <w:endnotePr/>
          <w:type w:val="nextPage"/>
          <w:pgSz w:w="11906" w:h="16838" w:orient="portrait"/>
          <w:pgMar w:top="1440" w:right="1080" w:bottom="1440" w:left="1080" w:header="851" w:footer="907" w:gutter="0"/>
          <w:cols w:num="1" w:sep="0" w:space="720" w:equalWidth="1"/>
          <w:docGrid w:linePitch="360"/>
          <w:titlePg/>
        </w:sectPr>
      </w:pPr>
      <w:r>
        <w:rPr>
          <w:rFonts w:eastAsia="方正黑体_GBK"/>
          <w:color w:val="000000" w:themeColor="text1"/>
          <w:sz w:val="32"/>
          <w:szCs w:val="32"/>
          <w14:textFill>
            <w14:solidFill>
              <w14:schemeClr w14:val="tx1"/>
            </w14:solidFill>
          </w14:textFill>
        </w:rPr>
        <w:br w:type="page" w:clear="all"/>
      </w:r>
      <w:r/>
    </w:p>
    <w:p>
      <w:pPr>
        <w:rPr>
          <w:rFonts w:hint="eastAsia" w:ascii="Times New Roman" w:hAnsi="Times New Roman" w:eastAsia="方正黑体_GBK"/>
          <w:bCs/>
          <w:sz w:val="32"/>
          <w:szCs w:val="32"/>
          <w:lang w:eastAsia="zh-CN" w:bidi="ar"/>
        </w:rPr>
      </w:pPr>
      <w:r>
        <w:rPr>
          <w:rFonts w:ascii="Times New Roman" w:hAnsi="Times New Roman" w:eastAsia="方正黑体_GBK"/>
          <w:bCs/>
          <w:sz w:val="32"/>
          <w:szCs w:val="32"/>
          <w:highlight w:val="none"/>
          <w:lang w:bidi="ar"/>
        </w:rPr>
        <w:t xml:space="preserve">附件1</w:t>
      </w:r>
      <w:r>
        <w:rPr>
          <w:rFonts w:hint="eastAsia" w:ascii="Times New Roman" w:hAnsi="Times New Roman" w:eastAsia="方正黑体_GBK"/>
          <w:bCs/>
          <w:sz w:val="32"/>
          <w:szCs w:val="32"/>
          <w:highlight w:val="none"/>
          <w:lang w:val="en-US" w:eastAsia="zh-CN" w:bidi="ar"/>
        </w:rPr>
        <w:t xml:space="preserve">4</w:t>
      </w:r>
      <w:r/>
    </w:p>
    <w:p>
      <w:pPr>
        <w:jc w:val="center"/>
        <w:spacing w:line="440" w:lineRule="exact"/>
        <w:shd w:val="clear" w:color="auto" w:fill="ffffff"/>
        <w:widowControl/>
        <w:rPr>
          <w:rFonts w:hint="eastAsia" w:ascii="黑体" w:hAnsi="黑体" w:eastAsia="黑体" w:cs="方正魏碑_GBK"/>
          <w:sz w:val="32"/>
          <w:szCs w:val="32"/>
        </w:rPr>
      </w:pPr>
      <w:r>
        <w:rPr>
          <w:rFonts w:hint="eastAsia" w:ascii="黑体" w:hAnsi="黑体" w:eastAsia="黑体" w:cs="方正魏碑_GBK"/>
          <w:sz w:val="32"/>
          <w:szCs w:val="32"/>
        </w:rPr>
        <w:t xml:space="preserve">关于符合本国产品标准的声明函</w:t>
      </w:r>
      <w:r/>
    </w:p>
    <w:p>
      <w:pPr>
        <w:ind w:firstLine="420"/>
        <w:jc w:val="left"/>
        <w:spacing w:line="440" w:lineRule="exact"/>
        <w:widowControl/>
        <w:rPr>
          <w:rFonts w:ascii="宋体" w:hAnsi="宋体" w:cs="方正魏碑_GBK"/>
          <w:sz w:val="28"/>
          <w:szCs w:val="28"/>
        </w:rPr>
      </w:pPr>
      <w:r>
        <w:rPr>
          <w:rFonts w:ascii="宋体" w:hAnsi="宋体" w:cs="方正魏碑_GBK"/>
          <w:sz w:val="28"/>
          <w:szCs w:val="28"/>
        </w:rPr>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1.</w:t>
      </w:r>
      <w:r>
        <w:rPr>
          <w:rFonts w:hint="eastAsia" w:ascii="宋体" w:hAnsi="宋体" w:cs="方正魏碑_GBK"/>
          <w:sz w:val="28"/>
          <w:szCs w:val="28"/>
          <w:u w:val="single"/>
        </w:rPr>
        <w:t xml:space="preserve">（产品名称1）</w:t>
      </w:r>
      <w:r>
        <w:rPr>
          <w:rFonts w:hint="eastAsia" w:ascii="宋体" w:hAnsi="宋体" w:cs="方正魏碑_GBK"/>
          <w:sz w:val="28"/>
          <w:szCs w:val="28"/>
          <w:vertAlign w:val="superscript"/>
        </w:rPr>
        <w:t xml:space="preserve">1</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vertAlign w:val="superscript"/>
        </w:rPr>
        <w:t xml:space="preserve">2</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z w:val="28"/>
          <w:szCs w:val="28"/>
          <w:u w:val="single"/>
          <w:shd w:val="clear" w:color="auto" w:fill="ffffff"/>
        </w:rPr>
        <w:t xml:space="preserve"> </w:t>
      </w:r>
      <w:r>
        <w:rPr>
          <w:rFonts w:hint="eastAsia" w:ascii="宋体" w:hAnsi="宋体" w:cs="方正魏碑_GBK"/>
          <w:strike/>
          <w:sz w:val="28"/>
          <w:szCs w:val="28"/>
          <w:u w:val="single"/>
        </w:rPr>
        <w:t xml:space="preserve">（产品名称1）</w:t>
      </w:r>
      <w:r>
        <w:rPr>
          <w:rFonts w:hint="eastAsia" w:ascii="宋体" w:hAnsi="宋体" w:cs="方正魏碑_GBK"/>
          <w:sz w:val="28"/>
          <w:szCs w:val="28"/>
          <w:u w:val="single"/>
        </w:rPr>
        <w:t xml:space="preserve"> </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3</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4</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vertAlign w:val="superscript"/>
        </w:rPr>
        <w:t xml:space="preserve">5</w:t>
      </w:r>
      <w:r>
        <w:rPr>
          <w:rFonts w:hint="eastAsia" w:ascii="宋体" w:hAnsi="宋体" w:cs="方正魏碑_GBK"/>
          <w:sz w:val="28"/>
          <w:szCs w:val="28"/>
          <w:shd w:val="clear" w:color="auto" w:fill="ffffff"/>
        </w:rPr>
        <w:t xml:space="preserve">在中国境内完成。</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2.</w:t>
      </w:r>
      <w:r>
        <w:rPr>
          <w:rFonts w:hint="eastAsia" w:ascii="宋体" w:hAnsi="宋体" w:cs="方正魏碑_GBK"/>
          <w:sz w:val="28"/>
          <w:szCs w:val="28"/>
          <w:u w:val="single"/>
        </w:rPr>
        <w:t xml:space="preserve">（产品名称2）</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shd w:val="clear" w:color="auto" w:fill="ffffff"/>
        </w:rPr>
        <w:t xml:space="preserve">在中国境内完成。</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w:t>
      </w:r>
      <w:r/>
    </w:p>
    <w:p>
      <w:pPr>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本公司（单位）对上述声明内容的真实性负责。如有虚假，愿承担相应法律责任。</w:t>
      </w:r>
      <w:r/>
    </w:p>
    <w:p>
      <w:pPr>
        <w:jc w:val="left"/>
        <w:spacing w:line="440" w:lineRule="exact"/>
        <w:widowControl/>
        <w:rPr>
          <w:rFonts w:hint="eastAsia" w:ascii="宋体" w:hAnsi="宋体" w:cs="方正魏碑_GBK"/>
          <w:sz w:val="28"/>
          <w:szCs w:val="28"/>
        </w:rPr>
      </w:pPr>
      <w:r>
        <w:rPr>
          <w:rFonts w:hint="eastAsia" w:ascii="宋体" w:hAnsi="宋体" w:cs="方正魏碑_GBK"/>
          <w:sz w:val="28"/>
          <w:szCs w:val="28"/>
        </w:rPr>
      </w:r>
      <w:r/>
    </w:p>
    <w:p>
      <w:pPr>
        <w:ind w:right="480" w:firstLine="434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公司（单位）名称（盖章）：　</w:t>
      </w:r>
      <w:r>
        <w:rPr>
          <w:rFonts w:hint="eastAsia" w:ascii="宋体" w:hAnsi="宋体" w:eastAsia="MS Gothic" w:cs="MS Gothic"/>
          <w:sz w:val="28"/>
          <w:szCs w:val="28"/>
          <w:shd w:val="clear" w:color="auto" w:fill="ffffff"/>
        </w:rPr>
        <w:t xml:space="preserve">        </w:t>
      </w:r>
      <w:r/>
    </w:p>
    <w:p>
      <w:pPr>
        <w:jc w:val="center"/>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                    </w:t>
      </w:r>
      <w:r>
        <w:rPr>
          <w:rFonts w:ascii="宋体" w:hAnsi="宋体" w:cs="方正魏碑_GBK"/>
          <w:sz w:val="28"/>
          <w:szCs w:val="28"/>
          <w:shd w:val="clear" w:color="auto" w:fill="ffffff"/>
        </w:rPr>
        <w:t xml:space="preserve">            </w:t>
      </w:r>
      <w:r>
        <w:rPr>
          <w:rFonts w:hint="eastAsia" w:ascii="宋体" w:hAnsi="宋体" w:cs="方正魏碑_GBK"/>
          <w:sz w:val="28"/>
          <w:szCs w:val="28"/>
          <w:shd w:val="clear" w:color="auto" w:fill="ffffff"/>
        </w:rPr>
        <w:t xml:space="preserve">日期：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年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月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日</w:t>
      </w:r>
      <w:r>
        <w:rPr>
          <w:rFonts w:hint="eastAsia" w:ascii="宋体" w:hAnsi="宋体" w:eastAsia="MS Gothic" w:cs="MS Gothic"/>
          <w:sz w:val="28"/>
          <w:szCs w:val="28"/>
          <w:shd w:val="clear" w:color="auto" w:fill="ffffff"/>
        </w:rPr>
        <w:t xml:space="preserve">         </w:t>
      </w:r>
      <w:r/>
    </w:p>
    <w:p>
      <w:pPr>
        <w:jc w:val="left"/>
        <w:spacing w:line="400" w:lineRule="exact"/>
        <w:widowControl/>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说明：</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line="400" w:lineRule="exact"/>
        <w:widowControl/>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6.用删除线划除的地方无需填写。（如：</w:t>
      </w:r>
      <w:r>
        <w:rPr>
          <w:rFonts w:hint="eastAsia" w:ascii="宋体" w:hAnsi="宋体" w:cs="方正魏碑_GBK"/>
          <w:strike/>
          <w:szCs w:val="21"/>
          <w:u w:val="single"/>
        </w:rPr>
        <w:t xml:space="preserve">（产品名称1）</w:t>
      </w:r>
      <w:r>
        <w:rPr>
          <w:rFonts w:hint="eastAsia" w:ascii="宋体" w:hAnsi="宋体" w:cs="方正魏碑_GBK"/>
          <w:szCs w:val="21"/>
          <w:shd w:val="clear" w:color="auto" w:fill="ffffff"/>
        </w:rPr>
        <w:t xml:space="preserve">）</w:t>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r>
      <w:r/>
    </w:p>
    <w:p>
      <w:pPr>
        <w:spacing w:line="520" w:lineRule="exact"/>
        <w:rPr>
          <w:rFonts w:hint="default" w:eastAsia="宋体"/>
          <w:color w:val="000000" w:themeColor="text1"/>
          <w:sz w:val="32"/>
          <w:szCs w:val="32"/>
          <w:lang w:val="en-US"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w:t>
      </w:r>
      <w:r>
        <w:rPr>
          <w:rFonts w:hint="eastAsia" w:eastAsia="宋体"/>
          <w:color w:val="000000" w:themeColor="text1"/>
          <w:sz w:val="32"/>
          <w:szCs w:val="32"/>
          <w:lang w:val="en-US" w:eastAsia="zh-CN"/>
          <w14:textFill>
            <w14:solidFill>
              <w14:schemeClr w14:val="tx1"/>
            </w14:solidFill>
          </w14:textFill>
        </w:rPr>
        <w:t xml:space="preserve">1</w:t>
      </w:r>
      <w:r>
        <w:rPr>
          <w:rFonts w:hint="eastAsia"/>
          <w:color w:val="000000" w:themeColor="text1"/>
          <w:sz w:val="32"/>
          <w:szCs w:val="32"/>
          <w:lang w:val="en-US" w:eastAsia="zh-CN"/>
          <w14:textFill>
            <w14:solidFill>
              <w14:schemeClr w14:val="tx1"/>
            </w14:solidFill>
          </w14:textFill>
        </w:rPr>
        <w:t xml:space="preserve">5</w:t>
      </w:r>
      <w:r/>
    </w:p>
    <w:p>
      <w:pPr>
        <w:jc w:val="center"/>
        <w:spacing w:line="520" w:lineRule="exact"/>
        <w:rPr>
          <w:rFonts w:ascii="宋体" w:hAnsi="宋体" w:cs="仿宋"/>
          <w:b/>
          <w:bCs/>
          <w:color w:val="000000" w:themeColor="text1"/>
          <w:sz w:val="32"/>
          <w:szCs w:val="32"/>
          <w14:textFill>
            <w14:solidFill>
              <w14:schemeClr w14:val="tx1"/>
            </w14:solidFill>
          </w14:textFill>
        </w:rPr>
      </w:pPr>
      <w:r>
        <w:rPr>
          <w:rFonts w:hint="eastAsia" w:ascii="宋体" w:hAnsi="宋体" w:cs="仿宋"/>
          <w:b/>
          <w:bCs/>
          <w:color w:val="000000" w:themeColor="text1"/>
          <w:sz w:val="32"/>
          <w:szCs w:val="32"/>
          <w14:textFill>
            <w14:solidFill>
              <w14:schemeClr w14:val="tx1"/>
            </w14:solidFill>
          </w14:textFill>
        </w:rPr>
        <w:t xml:space="preserve">质疑函范本</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一、质疑供应商基本信息</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质疑供应商：</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地址：邮编：</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联系人：联系电话：</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授权代表：</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联系电话：</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地址：邮编：</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二、质疑项目基本情况</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质疑项目的名称：</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质疑项目的编号：包号：</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采购人名称：</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采购文件获取日期：</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三、质疑事项具体内容</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质疑事项1：</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事实依据：</w:t>
      </w:r>
      <w:r/>
    </w:p>
    <w:p>
      <w:pPr>
        <w:spacing w:line="520" w:lineRule="exact"/>
        <w:rPr>
          <w:rFonts w:ascii="宋体" w:hAnsi="宋体" w:cs="仿宋"/>
          <w:color w:val="000000" w:themeColor="text1"/>
          <w:sz w:val="24"/>
          <w:szCs w:val="24"/>
          <w14:textFill>
            <w14:solidFill>
              <w14:schemeClr w14:val="tx1"/>
            </w14:solidFill>
          </w14:textFill>
        </w:rPr>
      </w:pPr>
      <w:r>
        <w:rPr>
          <w:rFonts w:ascii="宋体" w:hAnsi="宋体" w:cs="仿宋"/>
          <w:color w:val="000000" w:themeColor="text1"/>
          <w:sz w:val="24"/>
          <w:szCs w:val="24"/>
          <w14:textFill>
            <w14:solidFill>
              <w14:schemeClr w14:val="tx1"/>
            </w14:solidFill>
          </w14:textFill>
        </w:rPr>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法律依据：</w:t>
      </w:r>
      <w:r/>
    </w:p>
    <w:p>
      <w:pPr>
        <w:spacing w:line="520" w:lineRule="exact"/>
        <w:rPr>
          <w:rFonts w:ascii="宋体" w:hAnsi="宋体" w:cs="仿宋"/>
          <w:color w:val="000000" w:themeColor="text1"/>
          <w:sz w:val="24"/>
          <w:szCs w:val="24"/>
          <w:u w:val="single"/>
          <w14:textFill>
            <w14:solidFill>
              <w14:schemeClr w14:val="tx1"/>
            </w14:solidFill>
          </w14:textFill>
        </w:rPr>
      </w:pPr>
      <w:r>
        <w:rPr>
          <w:rFonts w:ascii="宋体" w:hAnsi="宋体" w:cs="仿宋"/>
          <w:color w:val="000000" w:themeColor="text1"/>
          <w:sz w:val="24"/>
          <w:szCs w:val="24"/>
          <w:u w:val="single"/>
          <w14:textFill>
            <w14:solidFill>
              <w14:schemeClr w14:val="tx1"/>
            </w14:solidFill>
          </w14:textFill>
        </w:rPr>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质疑事项2</w:t>
      </w:r>
      <w:r/>
    </w:p>
    <w:p>
      <w:pPr>
        <w:spacing w:line="520" w:lineRule="exact"/>
        <w:rPr>
          <w:rFonts w:ascii="宋体" w:hAnsi="宋体" w:cs="仿宋"/>
          <w:color w:val="000000" w:themeColor="text1"/>
          <w:sz w:val="24"/>
          <w:szCs w:val="24"/>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w:t>
      </w:r>
      <w:r/>
    </w:p>
    <w:p>
      <w:pPr>
        <w:spacing w:line="520" w:lineRule="exact"/>
        <w:rPr>
          <w:rFonts w:ascii="宋体" w:hAnsi="宋体" w:cs="仿宋"/>
          <w:bCs/>
          <w:color w:val="000000" w:themeColor="text1"/>
          <w:sz w:val="24"/>
          <w:szCs w:val="24"/>
          <w14:textFill>
            <w14:solidFill>
              <w14:schemeClr w14:val="tx1"/>
            </w14:solidFill>
          </w14:textFill>
        </w:rPr>
      </w:pPr>
      <w:r>
        <w:rPr>
          <w:rFonts w:hint="eastAsia" w:ascii="宋体" w:hAnsi="宋体" w:cs="仿宋"/>
          <w:bCs/>
          <w:color w:val="000000" w:themeColor="text1"/>
          <w:sz w:val="24"/>
          <w:szCs w:val="24"/>
          <w14:textFill>
            <w14:solidFill>
              <w14:schemeClr w14:val="tx1"/>
            </w14:solidFill>
          </w14:textFill>
        </w:rPr>
        <w:t xml:space="preserve">四、与质疑事项相关的质疑请求</w:t>
      </w:r>
      <w:r/>
    </w:p>
    <w:p>
      <w:pPr>
        <w:spacing w:line="520" w:lineRule="exact"/>
        <w:rPr>
          <w:rFonts w:ascii="宋体" w:hAnsi="宋体" w:cs="仿宋"/>
          <w:color w:val="000000" w:themeColor="text1"/>
          <w:sz w:val="24"/>
          <w:szCs w:val="24"/>
          <w:u w:val="single"/>
          <w14:textFill>
            <w14:solidFill>
              <w14:schemeClr w14:val="tx1"/>
            </w14:solidFill>
          </w14:textFill>
        </w:rPr>
      </w:pPr>
      <w:r>
        <w:rPr>
          <w:rFonts w:hint="eastAsia" w:ascii="宋体" w:hAnsi="宋体" w:cs="仿宋"/>
          <w:color w:val="000000" w:themeColor="text1"/>
          <w:sz w:val="24"/>
          <w:szCs w:val="24"/>
          <w14:textFill>
            <w14:solidFill>
              <w14:schemeClr w14:val="tx1"/>
            </w14:solidFill>
          </w14:textFill>
        </w:rPr>
        <w:t xml:space="preserve">请求：</w:t>
      </w:r>
      <w:r/>
    </w:p>
    <w:p>
      <w:pPr>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签字(签章)：                   公章：                      </w:t>
      </w:r>
      <w:r/>
    </w:p>
    <w:p>
      <w:pPr>
        <w:spacing w:line="52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    </w:t>
      </w:r>
      <w:r/>
    </w:p>
    <w:p>
      <w:pPr>
        <w:spacing w:line="520" w:lineRule="exact"/>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质疑函制作说明：</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1.供应商提出质疑时，应提交质疑函和必要的证明材料。</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3.质疑供应商若对项目的某一分包进行质疑，质疑函中应列明具体分包号。</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4.质疑函的质疑事项应具体、明确，并有必要的事实依据和法律依据。</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5.质疑函的质疑请求应与质疑事项相关。</w:t>
      </w:r>
      <w:r/>
    </w:p>
    <w:p>
      <w:pPr>
        <w:ind w:firstLine="480"/>
        <w:jc w:val="left"/>
        <w:spacing w:line="520" w:lineRule="exact"/>
        <w:widowControl/>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bookmarkEnd w:id="189"/>
      <w:r/>
      <w:bookmarkEnd w:id="190"/>
      <w:r/>
      <w:bookmarkEnd w:id="206"/>
      <w:r/>
      <w:r/>
    </w:p>
    <w:p>
      <w:pPr>
        <w:jc w:val="center"/>
        <w:spacing w:line="560" w:lineRule="exact"/>
        <w:rPr>
          <w:rFonts w:ascii="黑体" w:hAnsi="黑体" w:eastAsia="黑体"/>
          <w:b/>
          <w:color w:val="000000" w:themeColor="text1"/>
          <w:sz w:val="32"/>
          <w:szCs w:val="32"/>
          <w14:textFill>
            <w14:solidFill>
              <w14:schemeClr w14:val="tx1"/>
            </w14:solidFill>
          </w14:textFill>
        </w:rPr>
      </w:pPr>
      <w:r>
        <w:rPr>
          <w:rFonts w:ascii="黑体" w:hAnsi="黑体" w:eastAsia="黑体"/>
          <w:b/>
          <w:color w:val="000000" w:themeColor="text1"/>
          <w:sz w:val="32"/>
          <w:szCs w:val="32"/>
          <w14:textFill>
            <w14:solidFill>
              <w14:schemeClr w14:val="tx1"/>
            </w14:solidFill>
          </w14:textFill>
        </w:rPr>
      </w:r>
      <w:r/>
    </w:p>
    <w:p>
      <w:pPr>
        <w:jc w:val="left"/>
        <w:widowControl/>
        <w:rPr>
          <w:rFonts w:eastAsia="方正黑体_GBK"/>
          <w:color w:val="000000" w:themeColor="text1"/>
          <w:sz w:val="32"/>
          <w:szCs w:val="32"/>
          <w14:textFill>
            <w14:solidFill>
              <w14:schemeClr w14:val="tx1"/>
            </w14:solidFill>
          </w14:textFill>
        </w:rPr>
      </w:pPr>
      <w:r>
        <w:rPr>
          <w:rFonts w:eastAsia="方正黑体_GBK"/>
          <w:color w:val="000000" w:themeColor="text1"/>
          <w:sz w:val="32"/>
          <w:szCs w:val="32"/>
          <w14:textFill>
            <w14:solidFill>
              <w14:schemeClr w14:val="tx1"/>
            </w14:solidFill>
          </w14:textFill>
        </w:rPr>
        <w:br w:type="page" w:clear="all"/>
      </w:r>
      <w:r/>
    </w:p>
    <w:p>
      <w:pPr>
        <w:spacing w:line="300" w:lineRule="auto"/>
        <w:rPr>
          <w:rFonts w:hint="eastAsia" w:ascii="仿宋_GB2312" w:eastAsia="宋体"/>
          <w:b/>
          <w:color w:val="000000" w:themeColor="text1"/>
          <w:sz w:val="32"/>
          <w:szCs w:val="32"/>
          <w:lang w:eastAsia="zh-CN"/>
          <w14:textFill>
            <w14:solidFill>
              <w14:schemeClr w14:val="tx1"/>
            </w14:solidFill>
          </w14:textFill>
        </w:rPr>
        <w:outlineLvl w:val="0"/>
      </w:pPr>
      <w:r>
        <w:rPr>
          <w:rFonts w:eastAsia="方正黑体_GBK"/>
          <w:color w:val="000000" w:themeColor="text1"/>
          <w:sz w:val="32"/>
          <w:szCs w:val="32"/>
          <w14:textFill>
            <w14:solidFill>
              <w14:schemeClr w14:val="tx1"/>
            </w14:solidFill>
          </w14:textFill>
        </w:rPr>
        <w:t xml:space="preserve">附件</w:t>
      </w:r>
      <w:r>
        <w:rPr>
          <w:rFonts w:hint="eastAsia" w:eastAsia="方正黑体_GBK"/>
          <w:color w:val="000000" w:themeColor="text1"/>
          <w:sz w:val="32"/>
          <w:szCs w:val="32"/>
          <w14:textFill>
            <w14:solidFill>
              <w14:schemeClr w14:val="tx1"/>
            </w14:solidFill>
          </w14:textFill>
        </w:rPr>
        <w:t xml:space="preserve">1</w:t>
      </w:r>
      <w:r>
        <w:rPr>
          <w:rFonts w:hint="eastAsia" w:eastAsiaTheme="minorEastAsia"/>
          <w:color w:val="000000" w:themeColor="text1"/>
          <w:sz w:val="32"/>
          <w:szCs w:val="32"/>
          <w:lang w:val="en-US" w:eastAsia="zh-CN"/>
          <w14:textFill>
            <w14:solidFill>
              <w14:schemeClr w14:val="tx1"/>
            </w14:solidFill>
          </w14:textFill>
        </w:rPr>
        <w:t xml:space="preserve">6</w:t>
      </w:r>
      <w:r/>
    </w:p>
    <w:p>
      <w:pPr>
        <w:jc w:val="center"/>
        <w:spacing w:line="420" w:lineRule="exact"/>
        <w:rPr>
          <w:rFonts w:asciiTheme="minorEastAsia" w:hAnsiTheme="minorEastAsia" w:eastAsiaTheme="minorEastAsia"/>
          <w:color w:val="000000" w:themeColor="text1"/>
          <w:sz w:val="44"/>
          <w14:textFill>
            <w14:solidFill>
              <w14:schemeClr w14:val="tx1"/>
            </w14:solidFill>
          </w14:textFill>
        </w:rPr>
      </w:pPr>
      <w:r>
        <w:rPr>
          <w:rFonts w:hint="eastAsia" w:asciiTheme="minorEastAsia" w:hAnsiTheme="minorEastAsia" w:eastAsiaTheme="minorEastAsia"/>
          <w:bCs/>
          <w:color w:val="000000" w:themeColor="text1"/>
          <w:sz w:val="44"/>
          <w:szCs w:val="44"/>
          <w14:textFill>
            <w14:solidFill>
              <w14:schemeClr w14:val="tx1"/>
            </w14:solidFill>
          </w14:textFill>
        </w:rPr>
        <w:t xml:space="preserve">办理政采贷和</w:t>
      </w:r>
      <w:r>
        <w:rPr>
          <w:rFonts w:asciiTheme="minorEastAsia" w:hAnsiTheme="minorEastAsia" w:eastAsiaTheme="minorEastAsia"/>
          <w:bCs/>
          <w:color w:val="000000" w:themeColor="text1"/>
          <w:sz w:val="44"/>
          <w:szCs w:val="44"/>
          <w14:textFill>
            <w14:solidFill>
              <w14:schemeClr w14:val="tx1"/>
            </w14:solidFill>
          </w14:textFill>
        </w:rPr>
        <w:t xml:space="preserve">履</w:t>
      </w:r>
      <w:r>
        <w:rPr>
          <w:rFonts w:hint="eastAsia" w:asciiTheme="minorEastAsia" w:hAnsiTheme="minorEastAsia" w:eastAsiaTheme="minorEastAsia"/>
          <w:bCs/>
          <w:color w:val="000000" w:themeColor="text1"/>
          <w:sz w:val="44"/>
          <w:szCs w:val="44"/>
          <w14:textFill>
            <w14:solidFill>
              <w14:schemeClr w14:val="tx1"/>
            </w14:solidFill>
          </w14:textFill>
        </w:rPr>
        <w:t xml:space="preserve">约保函（</w:t>
      </w:r>
      <w:r>
        <w:rPr>
          <w:rFonts w:asciiTheme="minorEastAsia" w:hAnsiTheme="minorEastAsia" w:eastAsiaTheme="minorEastAsia"/>
          <w:bCs/>
          <w:color w:val="000000" w:themeColor="text1"/>
          <w:sz w:val="44"/>
          <w:szCs w:val="44"/>
          <w14:textFill>
            <w14:solidFill>
              <w14:schemeClr w14:val="tx1"/>
            </w14:solidFill>
          </w14:textFill>
        </w:rPr>
        <w:t xml:space="preserve">保险</w:t>
      </w:r>
      <w:r>
        <w:rPr>
          <w:rFonts w:hint="eastAsia" w:asciiTheme="minorEastAsia" w:hAnsiTheme="minorEastAsia" w:eastAsiaTheme="minorEastAsia"/>
          <w:bCs/>
          <w:color w:val="000000" w:themeColor="text1"/>
          <w:sz w:val="44"/>
          <w:szCs w:val="44"/>
          <w14:textFill>
            <w14:solidFill>
              <w14:schemeClr w14:val="tx1"/>
            </w14:solidFill>
          </w14:textFill>
        </w:rPr>
        <w:t xml:space="preserve">）告知函</w:t>
      </w:r>
      <w:r/>
    </w:p>
    <w:p>
      <w:pPr>
        <w:rPr>
          <w:rFonts w:eastAsia="仿宋_GB2312"/>
          <w:color w:val="000000" w:themeColor="text1"/>
          <w:sz w:val="32"/>
          <w14:textFill>
            <w14:solidFill>
              <w14:schemeClr w14:val="tx1"/>
            </w14:solidFill>
          </w14:textFill>
        </w:rPr>
      </w:pPr>
      <w:r>
        <w:rPr>
          <w:rFonts w:eastAsia="仿宋_GB2312"/>
          <w:color w:val="000000" w:themeColor="text1"/>
          <w:sz w:val="32"/>
          <w14:textFill>
            <w14:solidFill>
              <w14:schemeClr w14:val="tx1"/>
            </w14:solidFill>
          </w14:textFill>
        </w:rPr>
      </w:r>
      <w:r/>
    </w:p>
    <w:p>
      <w:pPr>
        <w:spacing w:line="500" w:lineRule="exact"/>
        <w:rPr>
          <w:rFonts w:asciiTheme="minorEastAsia" w:hAnsiTheme="minorEastAsia" w:eastAsiaTheme="minorEastAsia"/>
          <w:color w:val="000000" w:themeColor="text1"/>
          <w:sz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各政府采购供应商：</w:t>
      </w:r>
      <w:r/>
    </w:p>
    <w:p>
      <w:pPr>
        <w:ind w:firstLine="640"/>
        <w:spacing w:line="500" w:lineRule="exact"/>
        <w:rPr>
          <w:rFonts w:asciiTheme="minorEastAsia" w:hAnsiTheme="minorEastAsia" w:eastAsiaTheme="minorEastAsia"/>
          <w:color w:val="000000" w:themeColor="text1"/>
          <w:sz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欢迎贵公司参与南通市政府采购活动！</w:t>
      </w:r>
      <w:r/>
    </w:p>
    <w:p>
      <w:pPr>
        <w:ind w:firstLine="640"/>
        <w:spacing w:line="500" w:lineRule="exact"/>
        <w:rPr>
          <w:rFonts w:asciiTheme="minorEastAsia" w:hAnsiTheme="minorEastAsia" w:eastAsiaTheme="minorEastAsia"/>
          <w:color w:val="000000" w:themeColor="text1"/>
          <w:sz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政府采购线上合同信用融资和</w:t>
      </w:r>
      <w:r>
        <w:rPr>
          <w:rFonts w:asciiTheme="minorEastAsia" w:hAnsiTheme="minorEastAsia" w:eastAsiaTheme="minorEastAsia"/>
          <w:color w:val="000000" w:themeColor="text1"/>
          <w:sz w:val="32"/>
          <w14:textFill>
            <w14:solidFill>
              <w14:schemeClr w14:val="tx1"/>
            </w14:solidFill>
          </w14:textFill>
        </w:rPr>
        <w:t xml:space="preserve">履</w:t>
      </w:r>
      <w:r>
        <w:rPr>
          <w:rFonts w:hint="eastAsia" w:asciiTheme="minorEastAsia" w:hAnsiTheme="minorEastAsia" w:eastAsiaTheme="minorEastAsia"/>
          <w:color w:val="000000" w:themeColor="text1"/>
          <w:sz w:val="32"/>
          <w14:textFill>
            <w14:solidFill>
              <w14:schemeClr w14:val="tx1"/>
            </w14:solidFill>
          </w14:textFill>
        </w:rPr>
        <w:t xml:space="preserve">约保函（</w:t>
      </w:r>
      <w:r>
        <w:rPr>
          <w:rFonts w:asciiTheme="minorEastAsia" w:hAnsiTheme="minorEastAsia" w:eastAsiaTheme="minorEastAsia"/>
          <w:color w:val="000000" w:themeColor="text1"/>
          <w:sz w:val="32"/>
          <w14:textFill>
            <w14:solidFill>
              <w14:schemeClr w14:val="tx1"/>
            </w14:solidFill>
          </w14:textFill>
        </w:rPr>
        <w:t xml:space="preserve">保险</w:t>
      </w:r>
      <w:r>
        <w:rPr>
          <w:rFonts w:hint="eastAsia" w:asciiTheme="minorEastAsia" w:hAnsiTheme="minorEastAsia" w:eastAsiaTheme="minorEastAsia"/>
          <w:color w:val="000000" w:themeColor="text1"/>
          <w:sz w:val="32"/>
          <w14:textFill>
            <w14:solidFill>
              <w14:schemeClr w14:val="tx1"/>
            </w14:solidFill>
          </w14:textFill>
        </w:rPr>
        <w:t xml:space="preserve">）是支持企业发展，针对参与政府采购活动的企业融资难、现金流不足等问题推出的一项服务举措。</w:t>
      </w:r>
      <w:r/>
    </w:p>
    <w:p>
      <w:pPr>
        <w:ind w:firstLine="640"/>
        <w:spacing w:line="500" w:lineRule="exact"/>
        <w:rPr>
          <w:rFonts w:asciiTheme="minorEastAsia" w:hAnsiTheme="minorEastAsia" w:eastAsiaTheme="minorEastAsia"/>
          <w:color w:val="000000" w:themeColor="text1"/>
          <w:sz w:val="32"/>
          <w:szCs w:val="32"/>
          <w14:textFill>
            <w14:solidFill>
              <w14:schemeClr w14:val="tx1"/>
            </w14:solidFill>
          </w14:textFill>
        </w:rPr>
      </w:pPr>
      <w:r>
        <w:rPr>
          <w:rFonts w:hint="eastAsia" w:asciiTheme="minorEastAsia" w:hAnsiTheme="minorEastAsia" w:eastAsiaTheme="minorEastAsia"/>
          <w:color w:val="000000" w:themeColor="text1"/>
          <w:sz w:val="32"/>
          <w14:textFill>
            <w14:solidFill>
              <w14:schemeClr w14:val="tx1"/>
            </w14:solidFill>
          </w14:textFill>
        </w:rPr>
        <w:t xml:space="preserve">贵公司若成为本次政府采购项目的中标（成交）供应商，</w:t>
      </w:r>
      <w:r>
        <w:rPr>
          <w:rFonts w:hint="eastAsia" w:asciiTheme="minorEastAsia" w:hAnsiTheme="minorEastAsia" w:eastAsiaTheme="minorEastAsia"/>
          <w:color w:val="000000" w:themeColor="text1"/>
          <w:sz w:val="32"/>
          <w:szCs w:val="32"/>
          <w14:textFill>
            <w14:solidFill>
              <w14:schemeClr w14:val="tx1"/>
            </w14:solidFill>
          </w14:textFill>
        </w:rPr>
        <w:t xml:space="preserve">可自愿选择</w:t>
      </w:r>
      <w:r>
        <w:rPr>
          <w:rFonts w:asciiTheme="minorEastAsia" w:hAnsiTheme="minorEastAsia" w:eastAsiaTheme="minorEastAsia"/>
          <w:color w:val="000000" w:themeColor="text1"/>
          <w:sz w:val="32"/>
          <w14:textFill>
            <w14:solidFill>
              <w14:schemeClr w14:val="tx1"/>
            </w14:solidFill>
          </w14:textFill>
        </w:rPr>
        <w:t xml:space="preserve">履</w:t>
      </w:r>
      <w:r>
        <w:rPr>
          <w:rFonts w:hint="eastAsia" w:asciiTheme="minorEastAsia" w:hAnsiTheme="minorEastAsia" w:eastAsiaTheme="minorEastAsia"/>
          <w:color w:val="000000" w:themeColor="text1"/>
          <w:sz w:val="32"/>
          <w14:textFill>
            <w14:solidFill>
              <w14:schemeClr w14:val="tx1"/>
            </w14:solidFill>
          </w14:textFill>
        </w:rPr>
        <w:t xml:space="preserve">约保函（</w:t>
      </w:r>
      <w:r>
        <w:rPr>
          <w:rFonts w:asciiTheme="minorEastAsia" w:hAnsiTheme="minorEastAsia" w:eastAsiaTheme="minorEastAsia"/>
          <w:color w:val="000000" w:themeColor="text1"/>
          <w:sz w:val="32"/>
          <w14:textFill>
            <w14:solidFill>
              <w14:schemeClr w14:val="tx1"/>
            </w14:solidFill>
          </w14:textFill>
        </w:rPr>
        <w:t xml:space="preserve">保险</w:t>
      </w:r>
      <w:r>
        <w:rPr>
          <w:rFonts w:hint="eastAsia" w:asciiTheme="minorEastAsia" w:hAnsiTheme="minorEastAsia" w:eastAsiaTheme="minorEastAsia"/>
          <w:color w:val="000000" w:themeColor="text1"/>
          <w:sz w:val="32"/>
          <w14:textFill>
            <w14:solidFill>
              <w14:schemeClr w14:val="tx1"/>
            </w14:solidFill>
          </w14:textFill>
        </w:rPr>
        <w:t xml:space="preserve">）</w:t>
      </w:r>
      <w:r>
        <w:rPr>
          <w:rFonts w:hint="eastAsia" w:asciiTheme="minorEastAsia" w:hAnsiTheme="minorEastAsia" w:eastAsiaTheme="minorEastAsia"/>
          <w:color w:val="000000" w:themeColor="text1"/>
          <w:sz w:val="32"/>
          <w:szCs w:val="32"/>
          <w14:textFill>
            <w14:solidFill>
              <w14:schemeClr w14:val="tx1"/>
            </w14:solidFill>
          </w14:textFill>
        </w:rPr>
        <w:t xml:space="preserve">形式替代履约保证金，也</w:t>
      </w:r>
      <w:r>
        <w:rPr>
          <w:rFonts w:hint="eastAsia" w:asciiTheme="minorEastAsia" w:hAnsiTheme="minorEastAsia" w:eastAsiaTheme="minorEastAsia"/>
          <w:color w:val="000000" w:themeColor="text1"/>
          <w:sz w:val="32"/>
          <w14:textFill>
            <w14:solidFill>
              <w14:schemeClr w14:val="tx1"/>
            </w14:solidFill>
          </w14:textFill>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jc w:val="left"/>
        <w:widowControl/>
        <w:rPr>
          <w:rFonts w:ascii="仿宋" w:hAnsi="仿宋" w:eastAsia="仿宋"/>
          <w:color w:val="000000" w:themeColor="text1"/>
          <w:sz w:val="32"/>
          <w14:textFill>
            <w14:solidFill>
              <w14:schemeClr w14:val="tx1"/>
            </w14:solidFill>
          </w14:textFill>
        </w:rPr>
      </w:pPr>
      <w:r>
        <w:rPr>
          <w:rFonts w:ascii="仿宋" w:hAnsi="仿宋" w:eastAsia="仿宋"/>
          <w:color w:val="000000" w:themeColor="text1"/>
          <w:sz w:val="32"/>
          <w14:textFill>
            <w14:solidFill>
              <w14:schemeClr w14:val="tx1"/>
            </w14:solidFill>
          </w14:textFill>
        </w:rPr>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华文新魏">
    <w:panose1 w:val="02010800040101010101"/>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75"/>
      <w:spacing w:line="255" w:lineRule="exact"/>
      <w:rPr>
        <w:rFonts w:ascii="Calibri" w:hAnsi="Calibri" w:eastAsia="Calibri" w:cs="Calibri"/>
        <w:sz w:val="18"/>
        <w:szCs w:val="18"/>
      </w:rPr>
    </w:pPr>
    <w:r>
      <w:rPr>
        <w:rFonts w:ascii="Calibri" w:hAnsi="Calibri" w:eastAsia="Calibri" w:cs="Calibri"/>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decimal"/>
      <w:pStyle w:val="920"/>
      <w:isLgl w:val="false"/>
      <w:suff w:val="nothing"/>
      <w:lvlText w:val=""/>
      <w:lvlJc w:val="left"/>
      <w:pPr>
        <w:ind w:left="0" w:firstLine="0"/>
      </w:pPr>
      <w:rPr>
        <w:rFonts w:hint="eastAsia"/>
      </w:rPr>
    </w:lvl>
    <w:lvl w:ilvl="6">
      <w:start w:val="1"/>
      <w:numFmt w:val="decimal"/>
      <w:pStyle w:val="922"/>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6"/>
      <w:isLgl w:val="false"/>
      <w:suff w:val="nothing"/>
      <w:lvlText w:val=""/>
      <w:lvlJc w:val="left"/>
      <w:pPr>
        <w:ind w:left="0" w:firstLine="0"/>
      </w:pPr>
      <w:rPr>
        <w:rFonts w:hint="eastAsia"/>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1"/>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num w:numId="1">
    <w:abstractNumId w:val="4"/>
  </w:num>
  <w:num w:numId="2">
    <w:abstractNumId w:val="1"/>
  </w:num>
  <w:num w:numId="3">
    <w:abstractNumId w:val="6"/>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9">
    <w:name w:val="Heading 1"/>
    <w:basedOn w:val="688"/>
    <w:next w:val="688"/>
    <w:link w:val="761"/>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62"/>
    <w:uiPriority w:val="9"/>
    <w:qFormat/>
    <w:pPr>
      <w:keepLines/>
      <w:keepNext/>
      <w:spacing w:before="360" w:after="200"/>
      <w:outlineLvl w:val="1"/>
    </w:pPr>
    <w:rPr>
      <w:rFonts w:ascii="Arial" w:hAnsi="Arial" w:eastAsia="Arial" w:cs="Arial"/>
      <w:sz w:val="34"/>
    </w:rPr>
  </w:style>
  <w:style w:type="paragraph" w:styleId="691">
    <w:name w:val="Heading 3"/>
    <w:basedOn w:val="688"/>
    <w:next w:val="688"/>
    <w:link w:val="763"/>
    <w:uiPriority w:val="9"/>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64"/>
    <w:uiPriority w:val="9"/>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65"/>
    <w:uiPriority w:val="9"/>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66"/>
    <w:uiPriority w:val="9"/>
    <w:qFormat/>
    <w:pPr>
      <w:keepLines/>
      <w:keepNext/>
      <w:spacing w:before="320" w:after="200"/>
      <w:outlineLvl w:val="5"/>
    </w:pPr>
    <w:rPr>
      <w:rFonts w:ascii="Arial" w:hAnsi="Arial" w:eastAsia="Arial" w:cs="Arial"/>
      <w:b/>
      <w:bCs/>
      <w:sz w:val="22"/>
    </w:rPr>
  </w:style>
  <w:style w:type="paragraph" w:styleId="695">
    <w:name w:val="Heading 7"/>
    <w:basedOn w:val="688"/>
    <w:next w:val="688"/>
    <w:link w:val="767"/>
    <w:uiPriority w:val="9"/>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68"/>
    <w:uiPriority w:val="9"/>
    <w:qFormat/>
    <w:pPr>
      <w:keepLines/>
      <w:keepNext/>
      <w:spacing w:before="320" w:after="200"/>
      <w:outlineLvl w:val="7"/>
    </w:pPr>
    <w:rPr>
      <w:rFonts w:ascii="Arial" w:hAnsi="Arial" w:eastAsia="Arial" w:cs="Arial"/>
      <w:i/>
      <w:iCs/>
      <w:sz w:val="22"/>
    </w:rPr>
  </w:style>
  <w:style w:type="paragraph" w:styleId="697">
    <w:name w:val="Heading 9"/>
    <w:basedOn w:val="688"/>
    <w:next w:val="688"/>
    <w:link w:val="769"/>
    <w:uiPriority w:val="9"/>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0"/>
    <w:semiHidden/>
    <w:qFormat/>
    <w:pPr>
      <w:ind w:left="1260"/>
      <w:jc w:val="left"/>
    </w:pPr>
    <w:rPr>
      <w:szCs w:val="21"/>
    </w:rPr>
  </w:style>
  <w:style w:type="paragraph" w:styleId="701">
    <w:name w:val="Caption"/>
    <w:basedOn w:val="688"/>
    <w:next w:val="688"/>
    <w:uiPriority w:val="35"/>
    <w:qFormat/>
    <w:pPr>
      <w:spacing w:line="276" w:lineRule="auto"/>
    </w:pPr>
    <w:rPr>
      <w:b/>
      <w:bCs/>
      <w:color w:val="4f81bd"/>
      <w:sz w:val="18"/>
      <w:szCs w:val="18"/>
    </w:rPr>
  </w:style>
  <w:style w:type="paragraph" w:styleId="702">
    <w:name w:val="annotation text"/>
    <w:basedOn w:val="688"/>
    <w:link w:val="1008"/>
    <w:uiPriority w:val="99"/>
    <w:semiHidden/>
    <w:unhideWhenUsed/>
    <w:qFormat/>
    <w:pPr>
      <w:jc w:val="left"/>
    </w:pPr>
  </w:style>
  <w:style w:type="paragraph" w:styleId="703">
    <w:name w:val="Body Text"/>
    <w:basedOn w:val="688"/>
    <w:uiPriority w:val="0"/>
    <w:semiHidden/>
    <w:qFormat/>
    <w:rPr>
      <w:rFonts w:ascii="Arial" w:hAnsi="Arial" w:eastAsia="Arial" w:cs="Arial"/>
      <w:sz w:val="21"/>
      <w:szCs w:val="21"/>
      <w:lang w:val="en-US" w:eastAsia="en-US" w:bidi="ar-SA"/>
    </w:rPr>
  </w:style>
  <w:style w:type="paragraph" w:styleId="704">
    <w:name w:val="toc 5"/>
    <w:basedOn w:val="688"/>
    <w:next w:val="688"/>
    <w:uiPriority w:val="0"/>
    <w:semiHidden/>
    <w:qFormat/>
    <w:pPr>
      <w:ind w:left="840"/>
      <w:jc w:val="left"/>
    </w:pPr>
    <w:rPr>
      <w:szCs w:val="21"/>
    </w:rPr>
  </w:style>
  <w:style w:type="paragraph" w:styleId="705">
    <w:name w:val="toc 3"/>
    <w:basedOn w:val="688"/>
    <w:next w:val="688"/>
    <w:uiPriority w:val="0"/>
    <w:semiHidden/>
    <w:qFormat/>
    <w:pPr>
      <w:ind w:left="420"/>
      <w:jc w:val="left"/>
    </w:pPr>
    <w:rPr>
      <w:i/>
      <w:iCs/>
      <w:szCs w:val="24"/>
    </w:rPr>
  </w:style>
  <w:style w:type="paragraph" w:styleId="706">
    <w:name w:val="toc 8"/>
    <w:basedOn w:val="688"/>
    <w:next w:val="688"/>
    <w:uiPriority w:val="0"/>
    <w:semiHidden/>
    <w:qFormat/>
    <w:pPr>
      <w:ind w:left="1470"/>
      <w:jc w:val="left"/>
    </w:pPr>
    <w:rPr>
      <w:szCs w:val="21"/>
    </w:rPr>
  </w:style>
  <w:style w:type="paragraph" w:styleId="707">
    <w:name w:val="endnote text"/>
    <w:basedOn w:val="688"/>
    <w:link w:val="770"/>
    <w:uiPriority w:val="99"/>
    <w:unhideWhenUsed/>
    <w:qFormat/>
    <w:rPr>
      <w:sz w:val="20"/>
    </w:rPr>
  </w:style>
  <w:style w:type="paragraph" w:styleId="708">
    <w:name w:val="Balloon Text"/>
    <w:basedOn w:val="688"/>
    <w:link w:val="1007"/>
    <w:uiPriority w:val="99"/>
    <w:semiHidden/>
    <w:unhideWhenUsed/>
    <w:qFormat/>
    <w:rPr>
      <w:sz w:val="18"/>
      <w:szCs w:val="18"/>
    </w:rPr>
  </w:style>
  <w:style w:type="paragraph" w:styleId="709">
    <w:name w:val="Footer"/>
    <w:basedOn w:val="688"/>
    <w:link w:val="771"/>
    <w:uiPriority w:val="99"/>
    <w:unhideWhenUsed/>
    <w:qFormat/>
    <w:pPr>
      <w:tabs>
        <w:tab w:val="center" w:pos="7143" w:leader="none"/>
        <w:tab w:val="right" w:pos="14287" w:leader="none"/>
      </w:tabs>
    </w:pPr>
  </w:style>
  <w:style w:type="paragraph" w:styleId="710">
    <w:name w:val="Header"/>
    <w:basedOn w:val="688"/>
    <w:link w:val="772"/>
    <w:uiPriority w:val="99"/>
    <w:unhideWhenUsed/>
    <w:qFormat/>
    <w:pPr>
      <w:tabs>
        <w:tab w:val="center" w:pos="7143" w:leader="none"/>
        <w:tab w:val="right" w:pos="14287" w:leader="none"/>
      </w:tabs>
    </w:pPr>
  </w:style>
  <w:style w:type="paragraph" w:styleId="711">
    <w:name w:val="toc 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712">
    <w:name w:val="toc 4"/>
    <w:basedOn w:val="688"/>
    <w:next w:val="688"/>
    <w:uiPriority w:val="0"/>
    <w:semiHidden/>
    <w:qFormat/>
    <w:pPr>
      <w:ind w:left="630"/>
      <w:jc w:val="left"/>
    </w:pPr>
    <w:rPr>
      <w:szCs w:val="21"/>
    </w:rPr>
  </w:style>
  <w:style w:type="paragraph" w:styleId="713">
    <w:name w:val="Subtitle"/>
    <w:basedOn w:val="688"/>
    <w:next w:val="688"/>
    <w:link w:val="773"/>
    <w:uiPriority w:val="11"/>
    <w:qFormat/>
    <w:pPr>
      <w:spacing w:before="200" w:after="200"/>
    </w:pPr>
    <w:rPr>
      <w:sz w:val="24"/>
      <w:szCs w:val="24"/>
    </w:rPr>
  </w:style>
  <w:style w:type="paragraph" w:styleId="714">
    <w:name w:val="footnote text"/>
    <w:basedOn w:val="688"/>
    <w:link w:val="774"/>
    <w:uiPriority w:val="99"/>
    <w:unhideWhenUsed/>
    <w:qFormat/>
    <w:pPr>
      <w:spacing w:after="40"/>
    </w:pPr>
    <w:rPr>
      <w:sz w:val="18"/>
    </w:rPr>
  </w:style>
  <w:style w:type="paragraph" w:styleId="715">
    <w:name w:val="toc 6"/>
    <w:basedOn w:val="688"/>
    <w:next w:val="688"/>
    <w:uiPriority w:val="0"/>
    <w:semiHidden/>
    <w:qFormat/>
    <w:pPr>
      <w:ind w:left="1050"/>
      <w:jc w:val="left"/>
    </w:pPr>
    <w:rPr>
      <w:szCs w:val="21"/>
    </w:rPr>
  </w:style>
  <w:style w:type="paragraph" w:styleId="716">
    <w:name w:val="table of figures"/>
    <w:basedOn w:val="688"/>
    <w:next w:val="688"/>
    <w:uiPriority w:val="99"/>
    <w:unhideWhenUsed/>
    <w:qFormat/>
  </w:style>
  <w:style w:type="paragraph" w:styleId="717">
    <w:name w:val="toc 2"/>
    <w:basedOn w:val="688"/>
    <w:next w:val="688"/>
    <w:uiPriority w:val="0"/>
    <w:semiHidden/>
    <w:qFormat/>
    <w:pPr>
      <w:ind w:left="210"/>
      <w:jc w:val="left"/>
    </w:pPr>
    <w:rPr>
      <w:smallCaps/>
      <w:szCs w:val="24"/>
    </w:rPr>
  </w:style>
  <w:style w:type="paragraph" w:styleId="718">
    <w:name w:val="toc 9"/>
    <w:basedOn w:val="688"/>
    <w:next w:val="688"/>
    <w:uiPriority w:val="0"/>
    <w:semiHidden/>
    <w:qFormat/>
    <w:pPr>
      <w:ind w:left="1680"/>
      <w:jc w:val="left"/>
    </w:pPr>
    <w:rPr>
      <w:szCs w:val="21"/>
    </w:rPr>
  </w:style>
  <w:style w:type="paragraph" w:styleId="719">
    <w:name w:val="Normal (Web)"/>
    <w:basedOn w:val="688"/>
    <w:uiPriority w:val="99"/>
    <w:semiHidden/>
    <w:unhideWhenUsed/>
    <w:qFormat/>
    <w:pPr>
      <w:ind w:left="0" w:right="0"/>
      <w:jc w:val="left"/>
      <w:spacing w:before="0" w:beforeAutospacing="1" w:after="0" w:afterAutospacing="1"/>
    </w:pPr>
    <w:rPr>
      <w:sz w:val="24"/>
      <w:lang w:val="en-US" w:eastAsia="zh-CN" w:bidi="ar"/>
    </w:rPr>
  </w:style>
  <w:style w:type="paragraph" w:styleId="720">
    <w:name w:val="Title"/>
    <w:basedOn w:val="688"/>
    <w:next w:val="688"/>
    <w:link w:val="775"/>
    <w:uiPriority w:val="10"/>
    <w:qFormat/>
    <w:pPr>
      <w:contextualSpacing/>
      <w:spacing w:before="300" w:after="200"/>
    </w:pPr>
    <w:rPr>
      <w:sz w:val="48"/>
      <w:szCs w:val="48"/>
    </w:rPr>
  </w:style>
  <w:style w:type="paragraph" w:styleId="721">
    <w:name w:val="annotation subject"/>
    <w:basedOn w:val="702"/>
    <w:next w:val="702"/>
    <w:link w:val="1009"/>
    <w:uiPriority w:val="99"/>
    <w:semiHidden/>
    <w:unhideWhenUsed/>
    <w:qFormat/>
    <w:rPr>
      <w:b/>
      <w:bCs/>
    </w:rPr>
  </w:style>
  <w:style w:type="table" w:styleId="722">
    <w:name w:val="Table Grid"/>
    <w:uiPriority w:val="59"/>
    <w:qFormat/>
    <w:tblPr>
      <w:tblCellMar>
        <w:left w:w="0" w:type="dxa"/>
        <w:top w:w="0" w:type="dxa"/>
        <w:right w:w="0" w:type="dxa"/>
        <w:bottom w:w="0" w:type="dxa"/>
      </w:tblCellMar>
    </w:tblPr>
  </w:style>
  <w:style w:type="character" w:styleId="723">
    <w:name w:val="Strong"/>
    <w:basedOn w:val="698"/>
    <w:uiPriority w:val="22"/>
    <w:qFormat/>
    <w:rPr>
      <w:b/>
    </w:rPr>
  </w:style>
  <w:style w:type="character" w:styleId="724">
    <w:name w:val="endnote reference"/>
    <w:uiPriority w:val="99"/>
    <w:unhideWhenUsed/>
    <w:qFormat/>
    <w:rPr>
      <w:vertAlign w:val="superscript"/>
    </w:rPr>
  </w:style>
  <w:style w:type="character" w:styleId="725">
    <w:name w:val="Hyperlink"/>
    <w:uiPriority w:val="99"/>
    <w:unhideWhenUsed/>
    <w:qFormat/>
    <w:rPr>
      <w:color w:val="0000ff"/>
      <w:u w:val="single"/>
    </w:rPr>
  </w:style>
  <w:style w:type="character" w:styleId="726">
    <w:name w:val="annotation reference"/>
    <w:basedOn w:val="698"/>
    <w:uiPriority w:val="99"/>
    <w:semiHidden/>
    <w:unhideWhenUsed/>
    <w:qFormat/>
    <w:rPr>
      <w:sz w:val="21"/>
      <w:szCs w:val="21"/>
    </w:rPr>
  </w:style>
  <w:style w:type="character" w:styleId="727">
    <w:name w:val="footnote reference"/>
    <w:uiPriority w:val="99"/>
    <w:unhideWhenUsed/>
    <w:qFormat/>
    <w:rPr>
      <w:vertAlign w:val="superscript"/>
    </w:rPr>
  </w:style>
  <w:style w:type="paragraph" w:styleId="728" w:customStyle="1">
    <w:name w:val="Heading 1"/>
    <w:basedOn w:val="688"/>
    <w:next w:val="688"/>
    <w:link w:val="729"/>
    <w:uiPriority w:val="9"/>
    <w:qFormat/>
    <w:pPr>
      <w:keepLines/>
      <w:keepNext/>
      <w:spacing w:before="480" w:after="200"/>
      <w:outlineLvl w:val="0"/>
    </w:pPr>
    <w:rPr>
      <w:rFonts w:ascii="Arial" w:hAnsi="Arial" w:eastAsia="Arial" w:cs="Arial"/>
      <w:sz w:val="40"/>
      <w:szCs w:val="40"/>
    </w:rPr>
  </w:style>
  <w:style w:type="character" w:styleId="729" w:customStyle="1">
    <w:name w:val="Heading 1 Char"/>
    <w:link w:val="728"/>
    <w:uiPriority w:val="9"/>
    <w:qFormat/>
    <w:rPr>
      <w:rFonts w:ascii="Arial" w:hAnsi="Arial" w:eastAsia="Arial" w:cs="Arial"/>
      <w:sz w:val="40"/>
      <w:szCs w:val="40"/>
    </w:rPr>
  </w:style>
  <w:style w:type="paragraph" w:styleId="730" w:customStyle="1">
    <w:name w:val="Heading 2"/>
    <w:basedOn w:val="688"/>
    <w:next w:val="688"/>
    <w:link w:val="731"/>
    <w:uiPriority w:val="9"/>
    <w:unhideWhenUsed/>
    <w:qFormat/>
    <w:pPr>
      <w:keepLines/>
      <w:keepNext/>
      <w:spacing w:before="360" w:after="200"/>
      <w:outlineLvl w:val="1"/>
    </w:pPr>
    <w:rPr>
      <w:rFonts w:ascii="Arial" w:hAnsi="Arial" w:eastAsia="Arial" w:cs="Arial"/>
      <w:sz w:val="34"/>
    </w:rPr>
  </w:style>
  <w:style w:type="character" w:styleId="731" w:customStyle="1">
    <w:name w:val="Heading 2 Char"/>
    <w:link w:val="730"/>
    <w:uiPriority w:val="9"/>
    <w:qFormat/>
    <w:rPr>
      <w:rFonts w:ascii="Arial" w:hAnsi="Arial" w:eastAsia="Arial" w:cs="Arial"/>
      <w:sz w:val="34"/>
    </w:rPr>
  </w:style>
  <w:style w:type="paragraph" w:styleId="732" w:customStyle="1">
    <w:name w:val="Heading 3"/>
    <w:basedOn w:val="688"/>
    <w:next w:val="688"/>
    <w:link w:val="733"/>
    <w:uiPriority w:val="9"/>
    <w:unhideWhenUsed/>
    <w:qFormat/>
    <w:pPr>
      <w:keepLines/>
      <w:keepNext/>
      <w:spacing w:before="320" w:after="200"/>
      <w:outlineLvl w:val="2"/>
    </w:pPr>
    <w:rPr>
      <w:rFonts w:ascii="Arial" w:hAnsi="Arial" w:eastAsia="Arial" w:cs="Arial"/>
      <w:sz w:val="30"/>
      <w:szCs w:val="30"/>
    </w:rPr>
  </w:style>
  <w:style w:type="character" w:styleId="733" w:customStyle="1">
    <w:name w:val="Heading 3 Char"/>
    <w:link w:val="732"/>
    <w:uiPriority w:val="9"/>
    <w:qFormat/>
    <w:rPr>
      <w:rFonts w:ascii="Arial" w:hAnsi="Arial" w:eastAsia="Arial" w:cs="Arial"/>
      <w:sz w:val="30"/>
      <w:szCs w:val="30"/>
    </w:rPr>
  </w:style>
  <w:style w:type="paragraph" w:styleId="734" w:customStyle="1">
    <w:name w:val="Heading 4"/>
    <w:basedOn w:val="688"/>
    <w:next w:val="688"/>
    <w:link w:val="735"/>
    <w:uiPriority w:val="9"/>
    <w:unhideWhenUsed/>
    <w:qFormat/>
    <w:pPr>
      <w:keepLines/>
      <w:keepNext/>
      <w:spacing w:before="320" w:after="200"/>
      <w:outlineLvl w:val="3"/>
    </w:pPr>
    <w:rPr>
      <w:rFonts w:ascii="Arial" w:hAnsi="Arial" w:eastAsia="Arial" w:cs="Arial"/>
      <w:b/>
      <w:bCs/>
      <w:sz w:val="26"/>
      <w:szCs w:val="26"/>
    </w:rPr>
  </w:style>
  <w:style w:type="character" w:styleId="735" w:customStyle="1">
    <w:name w:val="Heading 4 Char"/>
    <w:link w:val="734"/>
    <w:uiPriority w:val="9"/>
    <w:qFormat/>
    <w:rPr>
      <w:rFonts w:ascii="Arial" w:hAnsi="Arial" w:eastAsia="Arial" w:cs="Arial"/>
      <w:b/>
      <w:bCs/>
      <w:sz w:val="26"/>
      <w:szCs w:val="26"/>
    </w:rPr>
  </w:style>
  <w:style w:type="paragraph" w:styleId="736" w:customStyle="1">
    <w:name w:val="Heading 5"/>
    <w:basedOn w:val="688"/>
    <w:next w:val="688"/>
    <w:link w:val="737"/>
    <w:uiPriority w:val="9"/>
    <w:unhideWhenUsed/>
    <w:qFormat/>
    <w:pPr>
      <w:keepLines/>
      <w:keepNext/>
      <w:spacing w:before="320" w:after="200"/>
      <w:outlineLvl w:val="4"/>
    </w:pPr>
    <w:rPr>
      <w:rFonts w:ascii="Arial" w:hAnsi="Arial" w:eastAsia="Arial" w:cs="Arial"/>
      <w:b/>
      <w:bCs/>
      <w:sz w:val="24"/>
      <w:szCs w:val="24"/>
    </w:rPr>
  </w:style>
  <w:style w:type="character" w:styleId="737" w:customStyle="1">
    <w:name w:val="Heading 5 Char"/>
    <w:link w:val="736"/>
    <w:uiPriority w:val="9"/>
    <w:qFormat/>
    <w:rPr>
      <w:rFonts w:ascii="Arial" w:hAnsi="Arial" w:eastAsia="Arial" w:cs="Arial"/>
      <w:b/>
      <w:bCs/>
      <w:sz w:val="24"/>
      <w:szCs w:val="24"/>
    </w:rPr>
  </w:style>
  <w:style w:type="paragraph" w:styleId="738" w:customStyle="1">
    <w:name w:val="Heading 6"/>
    <w:basedOn w:val="688"/>
    <w:next w:val="688"/>
    <w:link w:val="739"/>
    <w:uiPriority w:val="9"/>
    <w:unhideWhenUsed/>
    <w:qFormat/>
    <w:pPr>
      <w:keepLines/>
      <w:keepNext/>
      <w:spacing w:before="320" w:after="200"/>
      <w:outlineLvl w:val="5"/>
    </w:pPr>
    <w:rPr>
      <w:rFonts w:ascii="Arial" w:hAnsi="Arial" w:eastAsia="Arial" w:cs="Arial"/>
      <w:b/>
      <w:bCs/>
      <w:sz w:val="22"/>
    </w:rPr>
  </w:style>
  <w:style w:type="character" w:styleId="739" w:customStyle="1">
    <w:name w:val="Heading 6 Char"/>
    <w:link w:val="738"/>
    <w:uiPriority w:val="9"/>
    <w:qFormat/>
    <w:rPr>
      <w:rFonts w:ascii="Arial" w:hAnsi="Arial" w:eastAsia="Arial" w:cs="Arial"/>
      <w:b/>
      <w:bCs/>
      <w:sz w:val="22"/>
      <w:szCs w:val="22"/>
    </w:rPr>
  </w:style>
  <w:style w:type="paragraph" w:styleId="740" w:customStyle="1">
    <w:name w:val="Heading 7"/>
    <w:basedOn w:val="688"/>
    <w:next w:val="688"/>
    <w:link w:val="741"/>
    <w:uiPriority w:val="9"/>
    <w:unhideWhenUsed/>
    <w:qFormat/>
    <w:pPr>
      <w:keepLines/>
      <w:keepNext/>
      <w:spacing w:before="320" w:after="200"/>
      <w:outlineLvl w:val="6"/>
    </w:pPr>
    <w:rPr>
      <w:rFonts w:ascii="Arial" w:hAnsi="Arial" w:eastAsia="Arial" w:cs="Arial"/>
      <w:b/>
      <w:bCs/>
      <w:i/>
      <w:iCs/>
      <w:sz w:val="22"/>
    </w:rPr>
  </w:style>
  <w:style w:type="character" w:styleId="741" w:customStyle="1">
    <w:name w:val="Heading 7 Char"/>
    <w:link w:val="740"/>
    <w:uiPriority w:val="9"/>
    <w:qFormat/>
    <w:rPr>
      <w:rFonts w:ascii="Arial" w:hAnsi="Arial" w:eastAsia="Arial" w:cs="Arial"/>
      <w:b/>
      <w:bCs/>
      <w:i/>
      <w:iCs/>
      <w:sz w:val="22"/>
      <w:szCs w:val="22"/>
    </w:rPr>
  </w:style>
  <w:style w:type="paragraph" w:styleId="742" w:customStyle="1">
    <w:name w:val="Heading 8"/>
    <w:basedOn w:val="688"/>
    <w:next w:val="688"/>
    <w:link w:val="743"/>
    <w:uiPriority w:val="9"/>
    <w:unhideWhenUsed/>
    <w:qFormat/>
    <w:pPr>
      <w:keepLines/>
      <w:keepNext/>
      <w:spacing w:before="320" w:after="200"/>
      <w:outlineLvl w:val="7"/>
    </w:pPr>
    <w:rPr>
      <w:rFonts w:ascii="Arial" w:hAnsi="Arial" w:eastAsia="Arial" w:cs="Arial"/>
      <w:i/>
      <w:iCs/>
      <w:sz w:val="22"/>
    </w:rPr>
  </w:style>
  <w:style w:type="character" w:styleId="743" w:customStyle="1">
    <w:name w:val="Heading 8 Char"/>
    <w:link w:val="742"/>
    <w:uiPriority w:val="9"/>
    <w:qFormat/>
    <w:rPr>
      <w:rFonts w:ascii="Arial" w:hAnsi="Arial" w:eastAsia="Arial" w:cs="Arial"/>
      <w:i/>
      <w:iCs/>
      <w:sz w:val="22"/>
      <w:szCs w:val="22"/>
    </w:rPr>
  </w:style>
  <w:style w:type="paragraph" w:styleId="744" w:customStyle="1">
    <w:name w:val="Heading 9"/>
    <w:basedOn w:val="688"/>
    <w:next w:val="688"/>
    <w:link w:val="745"/>
    <w:uiPriority w:val="9"/>
    <w:unhideWhenUsed/>
    <w:qFormat/>
    <w:pPr>
      <w:keepLines/>
      <w:keepNext/>
      <w:spacing w:before="320" w:after="200"/>
      <w:outlineLvl w:val="8"/>
    </w:pPr>
    <w:rPr>
      <w:rFonts w:ascii="Arial" w:hAnsi="Arial" w:eastAsia="Arial" w:cs="Arial"/>
      <w:i/>
      <w:iCs/>
      <w:szCs w:val="21"/>
    </w:rPr>
  </w:style>
  <w:style w:type="character" w:styleId="745" w:customStyle="1">
    <w:name w:val="Heading 9 Char"/>
    <w:link w:val="744"/>
    <w:uiPriority w:val="9"/>
    <w:qFormat/>
    <w:rPr>
      <w:rFonts w:ascii="Arial" w:hAnsi="Arial" w:eastAsia="Arial" w:cs="Arial"/>
      <w:i/>
      <w:iCs/>
      <w:sz w:val="21"/>
      <w:szCs w:val="21"/>
    </w:rPr>
  </w:style>
  <w:style w:type="paragraph" w:styleId="746">
    <w:name w:val="List Paragraph"/>
    <w:basedOn w:val="688"/>
    <w:uiPriority w:val="34"/>
    <w:qFormat/>
    <w:pPr>
      <w:contextualSpacing/>
      <w:ind w:left="720"/>
    </w:pPr>
  </w:style>
  <w:style w:type="paragraph" w:styleId="74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748" w:customStyle="1">
    <w:name w:val="Title Char"/>
    <w:link w:val="720"/>
    <w:uiPriority w:val="10"/>
    <w:qFormat/>
    <w:rPr>
      <w:sz w:val="48"/>
      <w:szCs w:val="48"/>
    </w:rPr>
  </w:style>
  <w:style w:type="character" w:styleId="749" w:customStyle="1">
    <w:name w:val="Subtitle Char"/>
    <w:link w:val="713"/>
    <w:uiPriority w:val="11"/>
    <w:qFormat/>
    <w:rPr>
      <w:sz w:val="24"/>
      <w:szCs w:val="24"/>
    </w:rPr>
  </w:style>
  <w:style w:type="paragraph" w:styleId="750">
    <w:name w:val="Quote"/>
    <w:basedOn w:val="688"/>
    <w:next w:val="688"/>
    <w:link w:val="780"/>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88"/>
    <w:next w:val="688"/>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paragraph" w:styleId="754" w:customStyle="1">
    <w:name w:val="Header"/>
    <w:basedOn w:val="688"/>
    <w:link w:val="755"/>
    <w:uiPriority w:val="99"/>
    <w:unhideWhenUsed/>
    <w:qFormat/>
    <w:pPr>
      <w:tabs>
        <w:tab w:val="center" w:pos="7143" w:leader="none"/>
        <w:tab w:val="right" w:pos="14287" w:leader="none"/>
      </w:tabs>
    </w:pPr>
  </w:style>
  <w:style w:type="character" w:styleId="755" w:customStyle="1">
    <w:name w:val="Header Char"/>
    <w:link w:val="754"/>
    <w:uiPriority w:val="99"/>
    <w:qFormat/>
  </w:style>
  <w:style w:type="paragraph" w:styleId="756" w:customStyle="1">
    <w:name w:val="Footer"/>
    <w:basedOn w:val="688"/>
    <w:link w:val="776"/>
    <w:uiPriority w:val="99"/>
    <w:unhideWhenUsed/>
    <w:qFormat/>
    <w:pPr>
      <w:tabs>
        <w:tab w:val="center" w:pos="7143" w:leader="none"/>
        <w:tab w:val="right" w:pos="14287" w:leader="none"/>
      </w:tabs>
    </w:pPr>
  </w:style>
  <w:style w:type="character" w:styleId="757" w:customStyle="1">
    <w:name w:val="Footer Char"/>
    <w:link w:val="756"/>
    <w:uiPriority w:val="99"/>
    <w:qFormat/>
  </w:style>
  <w:style w:type="paragraph" w:styleId="758" w:customStyle="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759" w:customStyle="1">
    <w:name w:val="Footnote Text Char"/>
    <w:link w:val="714"/>
    <w:uiPriority w:val="99"/>
    <w:qFormat/>
    <w:rPr>
      <w:sz w:val="18"/>
    </w:rPr>
  </w:style>
  <w:style w:type="character" w:styleId="760" w:customStyle="1">
    <w:name w:val="Endnote Text Char"/>
    <w:link w:val="707"/>
    <w:uiPriority w:val="99"/>
    <w:qFormat/>
    <w:rPr>
      <w:sz w:val="20"/>
    </w:rPr>
  </w:style>
  <w:style w:type="character" w:styleId="761" w:customStyle="1">
    <w:name w:val="标题 1 Char"/>
    <w:link w:val="689"/>
    <w:uiPriority w:val="9"/>
    <w:qFormat/>
    <w:rPr>
      <w:rFonts w:ascii="Arial" w:hAnsi="Arial" w:eastAsia="Arial" w:cs="Arial"/>
      <w:sz w:val="40"/>
      <w:szCs w:val="40"/>
    </w:rPr>
  </w:style>
  <w:style w:type="character" w:styleId="762" w:customStyle="1">
    <w:name w:val="标题 2 Char"/>
    <w:link w:val="690"/>
    <w:uiPriority w:val="9"/>
    <w:qFormat/>
    <w:rPr>
      <w:rFonts w:ascii="Arial" w:hAnsi="Arial" w:eastAsia="Arial" w:cs="Arial"/>
      <w:sz w:val="34"/>
    </w:rPr>
  </w:style>
  <w:style w:type="character" w:styleId="763" w:customStyle="1">
    <w:name w:val="标题 3 Char"/>
    <w:link w:val="691"/>
    <w:uiPriority w:val="9"/>
    <w:qFormat/>
    <w:rPr>
      <w:rFonts w:ascii="Arial" w:hAnsi="Arial" w:eastAsia="Arial" w:cs="Arial"/>
      <w:sz w:val="30"/>
      <w:szCs w:val="30"/>
    </w:rPr>
  </w:style>
  <w:style w:type="character" w:styleId="764" w:customStyle="1">
    <w:name w:val="标题 4 Char"/>
    <w:link w:val="692"/>
    <w:uiPriority w:val="9"/>
    <w:qFormat/>
    <w:rPr>
      <w:rFonts w:ascii="Arial" w:hAnsi="Arial" w:eastAsia="Arial" w:cs="Arial"/>
      <w:b/>
      <w:bCs/>
      <w:sz w:val="26"/>
      <w:szCs w:val="26"/>
    </w:rPr>
  </w:style>
  <w:style w:type="character" w:styleId="765" w:customStyle="1">
    <w:name w:val="标题 5 Char"/>
    <w:link w:val="693"/>
    <w:uiPriority w:val="9"/>
    <w:qFormat/>
    <w:rPr>
      <w:rFonts w:ascii="Arial" w:hAnsi="Arial" w:eastAsia="Arial" w:cs="Arial"/>
      <w:b/>
      <w:bCs/>
      <w:sz w:val="24"/>
      <w:szCs w:val="24"/>
    </w:rPr>
  </w:style>
  <w:style w:type="character" w:styleId="766" w:customStyle="1">
    <w:name w:val="标题 6 Char"/>
    <w:link w:val="694"/>
    <w:uiPriority w:val="9"/>
    <w:qFormat/>
    <w:rPr>
      <w:rFonts w:ascii="Arial" w:hAnsi="Arial" w:eastAsia="Arial" w:cs="Arial"/>
      <w:b/>
      <w:bCs/>
      <w:sz w:val="22"/>
      <w:szCs w:val="22"/>
    </w:rPr>
  </w:style>
  <w:style w:type="character" w:styleId="767" w:customStyle="1">
    <w:name w:val="标题 7 Char"/>
    <w:link w:val="695"/>
    <w:uiPriority w:val="9"/>
    <w:qFormat/>
    <w:rPr>
      <w:rFonts w:ascii="Arial" w:hAnsi="Arial" w:eastAsia="Arial" w:cs="Arial"/>
      <w:b/>
      <w:bCs/>
      <w:i/>
      <w:iCs/>
      <w:sz w:val="22"/>
      <w:szCs w:val="22"/>
    </w:rPr>
  </w:style>
  <w:style w:type="character" w:styleId="768" w:customStyle="1">
    <w:name w:val="标题 8 Char"/>
    <w:link w:val="696"/>
    <w:uiPriority w:val="9"/>
    <w:qFormat/>
    <w:rPr>
      <w:rFonts w:ascii="Arial" w:hAnsi="Arial" w:eastAsia="Arial" w:cs="Arial"/>
      <w:i/>
      <w:iCs/>
      <w:sz w:val="22"/>
      <w:szCs w:val="22"/>
    </w:rPr>
  </w:style>
  <w:style w:type="character" w:styleId="769" w:customStyle="1">
    <w:name w:val="标题 9 Char"/>
    <w:link w:val="697"/>
    <w:uiPriority w:val="9"/>
    <w:qFormat/>
    <w:rPr>
      <w:rFonts w:ascii="Arial" w:hAnsi="Arial" w:eastAsia="Arial" w:cs="Arial"/>
      <w:i/>
      <w:iCs/>
      <w:sz w:val="21"/>
      <w:szCs w:val="21"/>
    </w:rPr>
  </w:style>
  <w:style w:type="character" w:styleId="770" w:customStyle="1">
    <w:name w:val="尾注文本 Char"/>
    <w:link w:val="707"/>
    <w:uiPriority w:val="99"/>
    <w:qFormat/>
    <w:rPr>
      <w:sz w:val="20"/>
    </w:rPr>
  </w:style>
  <w:style w:type="character" w:styleId="771" w:customStyle="1">
    <w:name w:val="页脚 Char"/>
    <w:link w:val="709"/>
    <w:uiPriority w:val="99"/>
    <w:qFormat/>
  </w:style>
  <w:style w:type="character" w:styleId="772" w:customStyle="1">
    <w:name w:val="页眉 Char"/>
    <w:link w:val="710"/>
    <w:uiPriority w:val="99"/>
    <w:qFormat/>
  </w:style>
  <w:style w:type="character" w:styleId="773" w:customStyle="1">
    <w:name w:val="副标题 Char"/>
    <w:link w:val="713"/>
    <w:uiPriority w:val="11"/>
    <w:qFormat/>
    <w:rPr>
      <w:sz w:val="24"/>
      <w:szCs w:val="24"/>
    </w:rPr>
  </w:style>
  <w:style w:type="character" w:styleId="774" w:customStyle="1">
    <w:name w:val="脚注文本 Char"/>
    <w:link w:val="714"/>
    <w:uiPriority w:val="99"/>
    <w:qFormat/>
    <w:rPr>
      <w:sz w:val="18"/>
    </w:rPr>
  </w:style>
  <w:style w:type="character" w:styleId="775" w:customStyle="1">
    <w:name w:val="标题 Char"/>
    <w:link w:val="720"/>
    <w:uiPriority w:val="10"/>
    <w:qFormat/>
    <w:rPr>
      <w:sz w:val="48"/>
      <w:szCs w:val="48"/>
    </w:rPr>
  </w:style>
  <w:style w:type="character" w:styleId="776" w:customStyle="1">
    <w:name w:val="Caption Char"/>
    <w:link w:val="756"/>
    <w:uiPriority w:val="99"/>
    <w:qFormat/>
  </w:style>
  <w:style w:type="paragraph" w:styleId="777" w:customStyle="1">
    <w:name w:val="正文文本1"/>
    <w:basedOn w:val="688"/>
    <w:link w:val="778"/>
    <w:uiPriority w:val="0"/>
    <w:qFormat/>
    <w:rPr>
      <w:rFonts w:ascii="楷体_GB2312" w:hAnsi="Arial" w:eastAsia="楷体_GB2312"/>
      <w:sz w:val="28"/>
      <w:szCs w:val="28"/>
    </w:rPr>
  </w:style>
  <w:style w:type="character" w:styleId="778" w:customStyle="1">
    <w:name w:val="正文文本 字符"/>
    <w:link w:val="777"/>
    <w:uiPriority w:val="0"/>
    <w:qFormat/>
    <w:rPr>
      <w:rFonts w:ascii="楷体_GB2312" w:hAnsi="Arial" w:eastAsia="楷体_GB2312" w:cs="Times New Roman"/>
      <w:sz w:val="28"/>
      <w:szCs w:val="28"/>
    </w:rPr>
  </w:style>
  <w:style w:type="character" w:styleId="779" w:customStyle="1">
    <w:name w:val="active15"/>
    <w:uiPriority w:val="0"/>
    <w:qFormat/>
    <w:rPr>
      <w:color w:val="ffffff"/>
      <w:shd w:val="clear" w:color="auto" w:fill="0f5bb9"/>
    </w:rPr>
  </w:style>
  <w:style w:type="character" w:styleId="780" w:customStyle="1">
    <w:name w:val="引用 Char"/>
    <w:link w:val="750"/>
    <w:uiPriority w:val="29"/>
    <w:qFormat/>
    <w:rPr>
      <w:i/>
    </w:rPr>
  </w:style>
  <w:style w:type="character" w:styleId="781" w:customStyle="1">
    <w:name w:val="明显引用 Char"/>
    <w:link w:val="752"/>
    <w:uiPriority w:val="30"/>
    <w:qFormat/>
    <w:rPr>
      <w:i/>
    </w:rPr>
  </w:style>
  <w:style w:type="table" w:styleId="782" w:customStyle="1">
    <w:name w:val="Table Grid Light"/>
    <w:uiPriority w:val="59"/>
    <w:qFormat/>
    <w:tblPr>
      <w:tblCellMar>
        <w:left w:w="0" w:type="dxa"/>
        <w:top w:w="0" w:type="dxa"/>
        <w:right w:w="0" w:type="dxa"/>
        <w:bottom w:w="0" w:type="dxa"/>
      </w:tblCellMar>
    </w:tblPr>
  </w:style>
  <w:style w:type="table" w:styleId="783" w:customStyle="1">
    <w:name w:val="Plain Table 1"/>
    <w:uiPriority w:val="59"/>
    <w:qFormat/>
    <w:tblPr>
      <w:tblCellMar>
        <w:left w:w="0" w:type="dxa"/>
        <w:top w:w="0" w:type="dxa"/>
        <w:right w:w="0" w:type="dxa"/>
        <w:bottom w:w="0" w:type="dxa"/>
      </w:tblCellMar>
    </w:tblPr>
  </w:style>
  <w:style w:type="table" w:styleId="784" w:customStyle="1">
    <w:name w:val="Plain Table 2"/>
    <w:uiPriority w:val="59"/>
    <w:qFormat/>
    <w:tblPr>
      <w:tblCellMar>
        <w:left w:w="0" w:type="dxa"/>
        <w:top w:w="0" w:type="dxa"/>
        <w:right w:w="0" w:type="dxa"/>
        <w:bottom w:w="0" w:type="dxa"/>
      </w:tblCellMar>
    </w:tblPr>
  </w:style>
  <w:style w:type="table" w:styleId="785" w:customStyle="1">
    <w:name w:val="Plain Table 3"/>
    <w:uiPriority w:val="99"/>
    <w:qFormat/>
    <w:tblPr>
      <w:tblCellMar>
        <w:left w:w="0" w:type="dxa"/>
        <w:top w:w="0" w:type="dxa"/>
        <w:right w:w="0" w:type="dxa"/>
        <w:bottom w:w="0" w:type="dxa"/>
      </w:tblCellMar>
    </w:tblPr>
  </w:style>
  <w:style w:type="table" w:styleId="786" w:customStyle="1">
    <w:name w:val="Plain Table 4"/>
    <w:uiPriority w:val="99"/>
    <w:qFormat/>
    <w:tblPr>
      <w:tblCellMar>
        <w:left w:w="0" w:type="dxa"/>
        <w:top w:w="0" w:type="dxa"/>
        <w:right w:w="0" w:type="dxa"/>
        <w:bottom w:w="0" w:type="dxa"/>
      </w:tblCellMar>
    </w:tblPr>
  </w:style>
  <w:style w:type="table" w:styleId="787" w:customStyle="1">
    <w:name w:val="Plain Table 5"/>
    <w:uiPriority w:val="99"/>
    <w:qFormat/>
    <w:tblPr>
      <w:tblCellMar>
        <w:left w:w="0" w:type="dxa"/>
        <w:top w:w="0" w:type="dxa"/>
        <w:right w:w="0" w:type="dxa"/>
        <w:bottom w:w="0" w:type="dxa"/>
      </w:tblCellMar>
    </w:tblPr>
  </w:style>
  <w:style w:type="table" w:styleId="788" w:customStyle="1">
    <w:name w:val="Grid Table 1 Light"/>
    <w:uiPriority w:val="99"/>
    <w:qFormat/>
    <w:tblPr>
      <w:tblCellMar>
        <w:left w:w="0" w:type="dxa"/>
        <w:top w:w="0" w:type="dxa"/>
        <w:right w:w="0" w:type="dxa"/>
        <w:bottom w:w="0" w:type="dxa"/>
      </w:tblCellMar>
    </w:tblPr>
  </w:style>
  <w:style w:type="table" w:styleId="789" w:customStyle="1">
    <w:name w:val="Grid Table 1 Light - Accent 1"/>
    <w:uiPriority w:val="99"/>
    <w:qFormat/>
    <w:tblPr>
      <w:tblCellMar>
        <w:left w:w="0" w:type="dxa"/>
        <w:top w:w="0" w:type="dxa"/>
        <w:right w:w="0" w:type="dxa"/>
        <w:bottom w:w="0" w:type="dxa"/>
      </w:tblCellMar>
    </w:tblPr>
  </w:style>
  <w:style w:type="table" w:styleId="790" w:customStyle="1">
    <w:name w:val="Grid Table 1 Light - Accent 2"/>
    <w:uiPriority w:val="99"/>
    <w:qFormat/>
    <w:tblPr>
      <w:tblCellMar>
        <w:left w:w="0" w:type="dxa"/>
        <w:top w:w="0" w:type="dxa"/>
        <w:right w:w="0" w:type="dxa"/>
        <w:bottom w:w="0" w:type="dxa"/>
      </w:tblCellMar>
    </w:tblPr>
  </w:style>
  <w:style w:type="table" w:styleId="791" w:customStyle="1">
    <w:name w:val="Grid Table 1 Light - Accent 3"/>
    <w:uiPriority w:val="99"/>
    <w:qFormat/>
    <w:tblPr>
      <w:tblCellMar>
        <w:left w:w="0" w:type="dxa"/>
        <w:top w:w="0" w:type="dxa"/>
        <w:right w:w="0" w:type="dxa"/>
        <w:bottom w:w="0" w:type="dxa"/>
      </w:tblCellMar>
    </w:tblPr>
  </w:style>
  <w:style w:type="table" w:styleId="792" w:customStyle="1">
    <w:name w:val="Grid Table 1 Light - Accent 4"/>
    <w:uiPriority w:val="99"/>
    <w:qFormat/>
    <w:tblPr>
      <w:tblCellMar>
        <w:left w:w="0" w:type="dxa"/>
        <w:top w:w="0" w:type="dxa"/>
        <w:right w:w="0" w:type="dxa"/>
        <w:bottom w:w="0" w:type="dxa"/>
      </w:tblCellMar>
    </w:tblPr>
  </w:style>
  <w:style w:type="table" w:styleId="793" w:customStyle="1">
    <w:name w:val="Grid Table 1 Light - Accent 5"/>
    <w:uiPriority w:val="99"/>
    <w:qFormat/>
    <w:tblPr>
      <w:tblCellMar>
        <w:left w:w="0" w:type="dxa"/>
        <w:top w:w="0" w:type="dxa"/>
        <w:right w:w="0" w:type="dxa"/>
        <w:bottom w:w="0" w:type="dxa"/>
      </w:tblCellMar>
    </w:tblPr>
  </w:style>
  <w:style w:type="table" w:styleId="794" w:customStyle="1">
    <w:name w:val="Grid Table 1 Light - Accent 6"/>
    <w:uiPriority w:val="99"/>
    <w:qFormat/>
    <w:tblPr>
      <w:tblCellMar>
        <w:left w:w="0" w:type="dxa"/>
        <w:top w:w="0" w:type="dxa"/>
        <w:right w:w="0" w:type="dxa"/>
        <w:bottom w:w="0" w:type="dxa"/>
      </w:tblCellMar>
    </w:tblPr>
  </w:style>
  <w:style w:type="table" w:styleId="795" w:customStyle="1">
    <w:name w:val="Grid Table 2"/>
    <w:uiPriority w:val="99"/>
    <w:qFormat/>
    <w:tblPr>
      <w:tblCellMar>
        <w:left w:w="0" w:type="dxa"/>
        <w:top w:w="0" w:type="dxa"/>
        <w:right w:w="0" w:type="dxa"/>
        <w:bottom w:w="0" w:type="dxa"/>
      </w:tblCellMar>
    </w:tblPr>
  </w:style>
  <w:style w:type="table" w:styleId="796" w:customStyle="1">
    <w:name w:val="Grid Table 2 - Accent 1"/>
    <w:uiPriority w:val="99"/>
    <w:qFormat/>
    <w:tblPr>
      <w:tblCellMar>
        <w:left w:w="0" w:type="dxa"/>
        <w:top w:w="0" w:type="dxa"/>
        <w:right w:w="0" w:type="dxa"/>
        <w:bottom w:w="0" w:type="dxa"/>
      </w:tblCellMar>
    </w:tblPr>
  </w:style>
  <w:style w:type="table" w:styleId="797" w:customStyle="1">
    <w:name w:val="Grid Table 2 - Accent 2"/>
    <w:uiPriority w:val="99"/>
    <w:qFormat/>
    <w:tblPr>
      <w:tblCellMar>
        <w:left w:w="0" w:type="dxa"/>
        <w:top w:w="0" w:type="dxa"/>
        <w:right w:w="0" w:type="dxa"/>
        <w:bottom w:w="0" w:type="dxa"/>
      </w:tblCellMar>
    </w:tblPr>
  </w:style>
  <w:style w:type="table" w:styleId="798" w:customStyle="1">
    <w:name w:val="Grid Table 2 - Accent 3"/>
    <w:uiPriority w:val="99"/>
    <w:qFormat/>
    <w:tblPr>
      <w:tblCellMar>
        <w:left w:w="0" w:type="dxa"/>
        <w:top w:w="0" w:type="dxa"/>
        <w:right w:w="0" w:type="dxa"/>
        <w:bottom w:w="0" w:type="dxa"/>
      </w:tblCellMar>
    </w:tblPr>
  </w:style>
  <w:style w:type="table" w:styleId="799" w:customStyle="1">
    <w:name w:val="Grid Table 2 - Accent 4"/>
    <w:uiPriority w:val="99"/>
    <w:qFormat/>
    <w:tblPr>
      <w:tblCellMar>
        <w:left w:w="0" w:type="dxa"/>
        <w:top w:w="0" w:type="dxa"/>
        <w:right w:w="0" w:type="dxa"/>
        <w:bottom w:w="0" w:type="dxa"/>
      </w:tblCellMar>
    </w:tblPr>
  </w:style>
  <w:style w:type="table" w:styleId="800" w:customStyle="1">
    <w:name w:val="Grid Table 2 - Accent 5"/>
    <w:uiPriority w:val="99"/>
    <w:qFormat/>
    <w:tblPr>
      <w:tblCellMar>
        <w:left w:w="0" w:type="dxa"/>
        <w:top w:w="0" w:type="dxa"/>
        <w:right w:w="0" w:type="dxa"/>
        <w:bottom w:w="0" w:type="dxa"/>
      </w:tblCellMar>
    </w:tblPr>
  </w:style>
  <w:style w:type="table" w:styleId="801" w:customStyle="1">
    <w:name w:val="Grid Table 2 - Accent 6"/>
    <w:uiPriority w:val="99"/>
    <w:qFormat/>
    <w:tblPr>
      <w:tblCellMar>
        <w:left w:w="0" w:type="dxa"/>
        <w:top w:w="0" w:type="dxa"/>
        <w:right w:w="0" w:type="dxa"/>
        <w:bottom w:w="0" w:type="dxa"/>
      </w:tblCellMar>
    </w:tblPr>
  </w:style>
  <w:style w:type="table" w:styleId="802" w:customStyle="1">
    <w:name w:val="Grid Table 3"/>
    <w:uiPriority w:val="99"/>
    <w:qFormat/>
    <w:tblPr>
      <w:tblCellMar>
        <w:left w:w="0" w:type="dxa"/>
        <w:top w:w="0" w:type="dxa"/>
        <w:right w:w="0" w:type="dxa"/>
        <w:bottom w:w="0" w:type="dxa"/>
      </w:tblCellMar>
    </w:tblPr>
  </w:style>
  <w:style w:type="table" w:styleId="803" w:customStyle="1">
    <w:name w:val="Grid Table 3 - Accent 1"/>
    <w:uiPriority w:val="99"/>
    <w:qFormat/>
    <w:tblPr>
      <w:tblCellMar>
        <w:left w:w="0" w:type="dxa"/>
        <w:top w:w="0" w:type="dxa"/>
        <w:right w:w="0" w:type="dxa"/>
        <w:bottom w:w="0" w:type="dxa"/>
      </w:tblCellMar>
    </w:tblPr>
  </w:style>
  <w:style w:type="table" w:styleId="804" w:customStyle="1">
    <w:name w:val="Grid Table 3 - Accent 2"/>
    <w:uiPriority w:val="99"/>
    <w:qFormat/>
    <w:tblPr>
      <w:tblCellMar>
        <w:left w:w="0" w:type="dxa"/>
        <w:top w:w="0" w:type="dxa"/>
        <w:right w:w="0" w:type="dxa"/>
        <w:bottom w:w="0" w:type="dxa"/>
      </w:tblCellMar>
    </w:tblPr>
  </w:style>
  <w:style w:type="table" w:styleId="805" w:customStyle="1">
    <w:name w:val="Grid Table 3 - Accent 3"/>
    <w:uiPriority w:val="99"/>
    <w:qFormat/>
    <w:tblPr>
      <w:tblCellMar>
        <w:left w:w="0" w:type="dxa"/>
        <w:top w:w="0" w:type="dxa"/>
        <w:right w:w="0" w:type="dxa"/>
        <w:bottom w:w="0" w:type="dxa"/>
      </w:tblCellMar>
    </w:tblPr>
  </w:style>
  <w:style w:type="table" w:styleId="806" w:customStyle="1">
    <w:name w:val="Grid Table 3 - Accent 4"/>
    <w:uiPriority w:val="99"/>
    <w:qFormat/>
    <w:tblPr>
      <w:tblCellMar>
        <w:left w:w="0" w:type="dxa"/>
        <w:top w:w="0" w:type="dxa"/>
        <w:right w:w="0" w:type="dxa"/>
        <w:bottom w:w="0" w:type="dxa"/>
      </w:tblCellMar>
    </w:tblPr>
  </w:style>
  <w:style w:type="table" w:styleId="807" w:customStyle="1">
    <w:name w:val="Grid Table 3 - Accent 5"/>
    <w:uiPriority w:val="99"/>
    <w:qFormat/>
    <w:tblPr>
      <w:tblCellMar>
        <w:left w:w="0" w:type="dxa"/>
        <w:top w:w="0" w:type="dxa"/>
        <w:right w:w="0" w:type="dxa"/>
        <w:bottom w:w="0" w:type="dxa"/>
      </w:tblCellMar>
    </w:tblPr>
  </w:style>
  <w:style w:type="table" w:styleId="808" w:customStyle="1">
    <w:name w:val="Grid Table 3 - Accent 6"/>
    <w:uiPriority w:val="99"/>
    <w:qFormat/>
    <w:tblPr>
      <w:tblCellMar>
        <w:left w:w="0" w:type="dxa"/>
        <w:top w:w="0" w:type="dxa"/>
        <w:right w:w="0" w:type="dxa"/>
        <w:bottom w:w="0" w:type="dxa"/>
      </w:tblCellMar>
    </w:tblPr>
  </w:style>
  <w:style w:type="table" w:styleId="809" w:customStyle="1">
    <w:name w:val="Grid Table 4"/>
    <w:uiPriority w:val="59"/>
    <w:qFormat/>
    <w:tblPr>
      <w:tblCellMar>
        <w:left w:w="0" w:type="dxa"/>
        <w:top w:w="0" w:type="dxa"/>
        <w:right w:w="0" w:type="dxa"/>
        <w:bottom w:w="0" w:type="dxa"/>
      </w:tblCellMar>
    </w:tblPr>
  </w:style>
  <w:style w:type="table" w:styleId="810" w:customStyle="1">
    <w:name w:val="Grid Table 4 - Accent 1"/>
    <w:uiPriority w:val="59"/>
    <w:qFormat/>
    <w:tblPr>
      <w:tblCellMar>
        <w:left w:w="0" w:type="dxa"/>
        <w:top w:w="0" w:type="dxa"/>
        <w:right w:w="0" w:type="dxa"/>
        <w:bottom w:w="0" w:type="dxa"/>
      </w:tblCellMar>
    </w:tblPr>
  </w:style>
  <w:style w:type="table" w:styleId="811" w:customStyle="1">
    <w:name w:val="Grid Table 4 - Accent 2"/>
    <w:uiPriority w:val="59"/>
    <w:qFormat/>
    <w:tblPr>
      <w:tblCellMar>
        <w:left w:w="0" w:type="dxa"/>
        <w:top w:w="0" w:type="dxa"/>
        <w:right w:w="0" w:type="dxa"/>
        <w:bottom w:w="0" w:type="dxa"/>
      </w:tblCellMar>
    </w:tblPr>
  </w:style>
  <w:style w:type="table" w:styleId="812" w:customStyle="1">
    <w:name w:val="Grid Table 4 - Accent 3"/>
    <w:uiPriority w:val="59"/>
    <w:qFormat/>
    <w:tblPr>
      <w:tblCellMar>
        <w:left w:w="0" w:type="dxa"/>
        <w:top w:w="0" w:type="dxa"/>
        <w:right w:w="0" w:type="dxa"/>
        <w:bottom w:w="0" w:type="dxa"/>
      </w:tblCellMar>
    </w:tblPr>
  </w:style>
  <w:style w:type="table" w:styleId="813" w:customStyle="1">
    <w:name w:val="Grid Table 4 - Accent 4"/>
    <w:uiPriority w:val="59"/>
    <w:qFormat/>
    <w:tblPr>
      <w:tblCellMar>
        <w:left w:w="0" w:type="dxa"/>
        <w:top w:w="0" w:type="dxa"/>
        <w:right w:w="0" w:type="dxa"/>
        <w:bottom w:w="0" w:type="dxa"/>
      </w:tblCellMar>
    </w:tblPr>
  </w:style>
  <w:style w:type="table" w:styleId="814" w:customStyle="1">
    <w:name w:val="Grid Table 4 - Accent 5"/>
    <w:uiPriority w:val="59"/>
    <w:qFormat/>
    <w:tblPr>
      <w:tblCellMar>
        <w:left w:w="0" w:type="dxa"/>
        <w:top w:w="0" w:type="dxa"/>
        <w:right w:w="0" w:type="dxa"/>
        <w:bottom w:w="0" w:type="dxa"/>
      </w:tblCellMar>
    </w:tblPr>
  </w:style>
  <w:style w:type="table" w:styleId="815" w:customStyle="1">
    <w:name w:val="Grid Table 4 - Accent 6"/>
    <w:uiPriority w:val="59"/>
    <w:qFormat/>
    <w:tblPr>
      <w:tblCellMar>
        <w:left w:w="0" w:type="dxa"/>
        <w:top w:w="0" w:type="dxa"/>
        <w:right w:w="0" w:type="dxa"/>
        <w:bottom w:w="0" w:type="dxa"/>
      </w:tblCellMar>
    </w:tblPr>
  </w:style>
  <w:style w:type="table" w:styleId="816" w:customStyle="1">
    <w:name w:val="Grid Table 5 Dark"/>
    <w:uiPriority w:val="99"/>
    <w:qFormat/>
    <w:tblPr>
      <w:tblCellMar>
        <w:left w:w="0" w:type="dxa"/>
        <w:top w:w="0" w:type="dxa"/>
        <w:right w:w="0" w:type="dxa"/>
        <w:bottom w:w="0" w:type="dxa"/>
      </w:tblCellMar>
    </w:tblPr>
  </w:style>
  <w:style w:type="table" w:styleId="817" w:customStyle="1">
    <w:name w:val="Grid Table 5 Dark- Accent 1"/>
    <w:uiPriority w:val="99"/>
    <w:qFormat/>
    <w:tblPr>
      <w:tblCellMar>
        <w:left w:w="0" w:type="dxa"/>
        <w:top w:w="0" w:type="dxa"/>
        <w:right w:w="0" w:type="dxa"/>
        <w:bottom w:w="0" w:type="dxa"/>
      </w:tblCellMar>
    </w:tblPr>
  </w:style>
  <w:style w:type="table" w:styleId="818" w:customStyle="1">
    <w:name w:val="Grid Table 5 Dark - Accent 2"/>
    <w:uiPriority w:val="99"/>
    <w:qFormat/>
    <w:tblPr>
      <w:tblCellMar>
        <w:left w:w="0" w:type="dxa"/>
        <w:top w:w="0" w:type="dxa"/>
        <w:right w:w="0" w:type="dxa"/>
        <w:bottom w:w="0" w:type="dxa"/>
      </w:tblCellMar>
    </w:tblPr>
  </w:style>
  <w:style w:type="table" w:styleId="819" w:customStyle="1">
    <w:name w:val="Grid Table 5 Dark - Accent 3"/>
    <w:uiPriority w:val="99"/>
    <w:qFormat/>
    <w:tblPr>
      <w:tblCellMar>
        <w:left w:w="0" w:type="dxa"/>
        <w:top w:w="0" w:type="dxa"/>
        <w:right w:w="0" w:type="dxa"/>
        <w:bottom w:w="0" w:type="dxa"/>
      </w:tblCellMar>
    </w:tblPr>
  </w:style>
  <w:style w:type="table" w:styleId="820" w:customStyle="1">
    <w:name w:val="Grid Table 5 Dark- Accent 4"/>
    <w:uiPriority w:val="99"/>
    <w:qFormat/>
    <w:tblPr>
      <w:tblCellMar>
        <w:left w:w="0" w:type="dxa"/>
        <w:top w:w="0" w:type="dxa"/>
        <w:right w:w="0" w:type="dxa"/>
        <w:bottom w:w="0" w:type="dxa"/>
      </w:tblCellMar>
    </w:tblPr>
  </w:style>
  <w:style w:type="table" w:styleId="821" w:customStyle="1">
    <w:name w:val="Grid Table 5 Dark - Accent 5"/>
    <w:uiPriority w:val="99"/>
    <w:qFormat/>
    <w:tblPr>
      <w:tblCellMar>
        <w:left w:w="0" w:type="dxa"/>
        <w:top w:w="0" w:type="dxa"/>
        <w:right w:w="0" w:type="dxa"/>
        <w:bottom w:w="0" w:type="dxa"/>
      </w:tblCellMar>
    </w:tblPr>
  </w:style>
  <w:style w:type="table" w:styleId="822" w:customStyle="1">
    <w:name w:val="Grid Table 5 Dark - Accent 6"/>
    <w:uiPriority w:val="99"/>
    <w:qFormat/>
    <w:tblPr>
      <w:tblCellMar>
        <w:left w:w="0" w:type="dxa"/>
        <w:top w:w="0" w:type="dxa"/>
        <w:right w:w="0" w:type="dxa"/>
        <w:bottom w:w="0" w:type="dxa"/>
      </w:tblCellMar>
    </w:tblPr>
  </w:style>
  <w:style w:type="table" w:styleId="823" w:customStyle="1">
    <w:name w:val="Grid Table 6 Colorful"/>
    <w:uiPriority w:val="99"/>
    <w:qFormat/>
    <w:tblPr>
      <w:tblCellMar>
        <w:left w:w="0" w:type="dxa"/>
        <w:top w:w="0" w:type="dxa"/>
        <w:right w:w="0" w:type="dxa"/>
        <w:bottom w:w="0" w:type="dxa"/>
      </w:tblCellMar>
    </w:tblPr>
  </w:style>
  <w:style w:type="table" w:styleId="824" w:customStyle="1">
    <w:name w:val="Grid Table 6 Colorful - Accent 1"/>
    <w:uiPriority w:val="99"/>
    <w:qFormat/>
    <w:tblPr>
      <w:tblCellMar>
        <w:left w:w="0" w:type="dxa"/>
        <w:top w:w="0" w:type="dxa"/>
        <w:right w:w="0" w:type="dxa"/>
        <w:bottom w:w="0" w:type="dxa"/>
      </w:tblCellMar>
    </w:tblPr>
  </w:style>
  <w:style w:type="table" w:styleId="825" w:customStyle="1">
    <w:name w:val="Grid Table 6 Colorful - Accent 2"/>
    <w:uiPriority w:val="99"/>
    <w:qFormat/>
    <w:tblPr>
      <w:tblCellMar>
        <w:left w:w="0" w:type="dxa"/>
        <w:top w:w="0" w:type="dxa"/>
        <w:right w:w="0" w:type="dxa"/>
        <w:bottom w:w="0" w:type="dxa"/>
      </w:tblCellMar>
    </w:tblPr>
  </w:style>
  <w:style w:type="table" w:styleId="826" w:customStyle="1">
    <w:name w:val="Grid Table 6 Colorful - Accent 3"/>
    <w:uiPriority w:val="99"/>
    <w:qFormat/>
    <w:tblPr>
      <w:tblCellMar>
        <w:left w:w="0" w:type="dxa"/>
        <w:top w:w="0" w:type="dxa"/>
        <w:right w:w="0" w:type="dxa"/>
        <w:bottom w:w="0" w:type="dxa"/>
      </w:tblCellMar>
    </w:tblPr>
  </w:style>
  <w:style w:type="table" w:styleId="827" w:customStyle="1">
    <w:name w:val="Grid Table 6 Colorful - Accent 4"/>
    <w:uiPriority w:val="99"/>
    <w:qFormat/>
    <w:tblPr>
      <w:tblCellMar>
        <w:left w:w="0" w:type="dxa"/>
        <w:top w:w="0" w:type="dxa"/>
        <w:right w:w="0" w:type="dxa"/>
        <w:bottom w:w="0" w:type="dxa"/>
      </w:tblCellMar>
    </w:tblPr>
  </w:style>
  <w:style w:type="table" w:styleId="828" w:customStyle="1">
    <w:name w:val="Grid Table 6 Colorful - Accent 5"/>
    <w:uiPriority w:val="99"/>
    <w:qFormat/>
    <w:tblPr>
      <w:tblCellMar>
        <w:left w:w="0" w:type="dxa"/>
        <w:top w:w="0" w:type="dxa"/>
        <w:right w:w="0" w:type="dxa"/>
        <w:bottom w:w="0" w:type="dxa"/>
      </w:tblCellMar>
    </w:tblPr>
  </w:style>
  <w:style w:type="table" w:styleId="829" w:customStyle="1">
    <w:name w:val="Grid Table 6 Colorful - Accent 6"/>
    <w:uiPriority w:val="99"/>
    <w:qFormat/>
    <w:tblPr>
      <w:tblCellMar>
        <w:left w:w="0" w:type="dxa"/>
        <w:top w:w="0" w:type="dxa"/>
        <w:right w:w="0" w:type="dxa"/>
        <w:bottom w:w="0" w:type="dxa"/>
      </w:tblCellMar>
    </w:tblPr>
  </w:style>
  <w:style w:type="table" w:styleId="830" w:customStyle="1">
    <w:name w:val="Grid Table 7 Colorful"/>
    <w:uiPriority w:val="99"/>
    <w:qFormat/>
    <w:tblPr>
      <w:tblCellMar>
        <w:left w:w="0" w:type="dxa"/>
        <w:top w:w="0" w:type="dxa"/>
        <w:right w:w="0" w:type="dxa"/>
        <w:bottom w:w="0" w:type="dxa"/>
      </w:tblCellMar>
    </w:tblPr>
  </w:style>
  <w:style w:type="table" w:styleId="831" w:customStyle="1">
    <w:name w:val="Grid Table 7 Colorful - Accent 1"/>
    <w:uiPriority w:val="99"/>
    <w:qFormat/>
    <w:tblPr>
      <w:tblCellMar>
        <w:left w:w="0" w:type="dxa"/>
        <w:top w:w="0" w:type="dxa"/>
        <w:right w:w="0" w:type="dxa"/>
        <w:bottom w:w="0" w:type="dxa"/>
      </w:tblCellMar>
    </w:tblPr>
  </w:style>
  <w:style w:type="table" w:styleId="832" w:customStyle="1">
    <w:name w:val="Grid Table 7 Colorful - Accent 2"/>
    <w:uiPriority w:val="99"/>
    <w:qFormat/>
    <w:tblPr>
      <w:tblCellMar>
        <w:left w:w="0" w:type="dxa"/>
        <w:top w:w="0" w:type="dxa"/>
        <w:right w:w="0" w:type="dxa"/>
        <w:bottom w:w="0" w:type="dxa"/>
      </w:tblCellMar>
    </w:tblPr>
  </w:style>
  <w:style w:type="table" w:styleId="833" w:customStyle="1">
    <w:name w:val="Grid Table 7 Colorful - Accent 3"/>
    <w:uiPriority w:val="99"/>
    <w:qFormat/>
    <w:tblPr>
      <w:tblCellMar>
        <w:left w:w="0" w:type="dxa"/>
        <w:top w:w="0" w:type="dxa"/>
        <w:right w:w="0" w:type="dxa"/>
        <w:bottom w:w="0" w:type="dxa"/>
      </w:tblCellMar>
    </w:tblPr>
  </w:style>
  <w:style w:type="table" w:styleId="834" w:customStyle="1">
    <w:name w:val="Grid Table 7 Colorful - Accent 4"/>
    <w:uiPriority w:val="99"/>
    <w:qFormat/>
    <w:tblPr>
      <w:tblCellMar>
        <w:left w:w="0" w:type="dxa"/>
        <w:top w:w="0" w:type="dxa"/>
        <w:right w:w="0" w:type="dxa"/>
        <w:bottom w:w="0" w:type="dxa"/>
      </w:tblCellMar>
    </w:tblPr>
  </w:style>
  <w:style w:type="table" w:styleId="835" w:customStyle="1">
    <w:name w:val="Grid Table 7 Colorful - Accent 5"/>
    <w:uiPriority w:val="99"/>
    <w:qFormat/>
    <w:tblPr>
      <w:tblCellMar>
        <w:left w:w="0" w:type="dxa"/>
        <w:top w:w="0" w:type="dxa"/>
        <w:right w:w="0" w:type="dxa"/>
        <w:bottom w:w="0" w:type="dxa"/>
      </w:tblCellMar>
    </w:tblPr>
  </w:style>
  <w:style w:type="table" w:styleId="836" w:customStyle="1">
    <w:name w:val="Grid Table 7 Colorful - Accent 6"/>
    <w:uiPriority w:val="99"/>
    <w:qFormat/>
    <w:tblPr>
      <w:tblCellMar>
        <w:left w:w="0" w:type="dxa"/>
        <w:top w:w="0" w:type="dxa"/>
        <w:right w:w="0" w:type="dxa"/>
        <w:bottom w:w="0" w:type="dxa"/>
      </w:tblCellMar>
    </w:tblPr>
  </w:style>
  <w:style w:type="table" w:styleId="837" w:customStyle="1">
    <w:name w:val="List Table 1 Light"/>
    <w:uiPriority w:val="99"/>
    <w:qFormat/>
    <w:tblPr>
      <w:tblCellMar>
        <w:left w:w="0" w:type="dxa"/>
        <w:top w:w="0" w:type="dxa"/>
        <w:right w:w="0" w:type="dxa"/>
        <w:bottom w:w="0" w:type="dxa"/>
      </w:tblCellMar>
    </w:tblPr>
  </w:style>
  <w:style w:type="table" w:styleId="838" w:customStyle="1">
    <w:name w:val="List Table 1 Light - Accent 1"/>
    <w:uiPriority w:val="99"/>
    <w:qFormat/>
    <w:tblPr>
      <w:tblCellMar>
        <w:left w:w="0" w:type="dxa"/>
        <w:top w:w="0" w:type="dxa"/>
        <w:right w:w="0" w:type="dxa"/>
        <w:bottom w:w="0" w:type="dxa"/>
      </w:tblCellMar>
    </w:tblPr>
  </w:style>
  <w:style w:type="table" w:styleId="839" w:customStyle="1">
    <w:name w:val="List Table 1 Light - Accent 2"/>
    <w:uiPriority w:val="99"/>
    <w:qFormat/>
    <w:tblPr>
      <w:tblCellMar>
        <w:left w:w="0" w:type="dxa"/>
        <w:top w:w="0" w:type="dxa"/>
        <w:right w:w="0" w:type="dxa"/>
        <w:bottom w:w="0" w:type="dxa"/>
      </w:tblCellMar>
    </w:tblPr>
  </w:style>
  <w:style w:type="table" w:styleId="840" w:customStyle="1">
    <w:name w:val="List Table 1 Light - Accent 3"/>
    <w:uiPriority w:val="99"/>
    <w:qFormat/>
    <w:tblPr>
      <w:tblCellMar>
        <w:left w:w="0" w:type="dxa"/>
        <w:top w:w="0" w:type="dxa"/>
        <w:right w:w="0" w:type="dxa"/>
        <w:bottom w:w="0" w:type="dxa"/>
      </w:tblCellMar>
    </w:tblPr>
  </w:style>
  <w:style w:type="table" w:styleId="841" w:customStyle="1">
    <w:name w:val="List Table 1 Light - Accent 4"/>
    <w:uiPriority w:val="99"/>
    <w:qFormat/>
    <w:tblPr>
      <w:tblCellMar>
        <w:left w:w="0" w:type="dxa"/>
        <w:top w:w="0" w:type="dxa"/>
        <w:right w:w="0" w:type="dxa"/>
        <w:bottom w:w="0" w:type="dxa"/>
      </w:tblCellMar>
    </w:tblPr>
  </w:style>
  <w:style w:type="table" w:styleId="842" w:customStyle="1">
    <w:name w:val="List Table 1 Light - Accent 5"/>
    <w:uiPriority w:val="99"/>
    <w:qFormat/>
    <w:tblPr>
      <w:tblCellMar>
        <w:left w:w="0" w:type="dxa"/>
        <w:top w:w="0" w:type="dxa"/>
        <w:right w:w="0" w:type="dxa"/>
        <w:bottom w:w="0" w:type="dxa"/>
      </w:tblCellMar>
    </w:tblPr>
  </w:style>
  <w:style w:type="table" w:styleId="843" w:customStyle="1">
    <w:name w:val="List Table 1 Light - Accent 6"/>
    <w:uiPriority w:val="99"/>
    <w:qFormat/>
    <w:tblPr>
      <w:tblCellMar>
        <w:left w:w="0" w:type="dxa"/>
        <w:top w:w="0" w:type="dxa"/>
        <w:right w:w="0" w:type="dxa"/>
        <w:bottom w:w="0" w:type="dxa"/>
      </w:tblCellMar>
    </w:tblPr>
  </w:style>
  <w:style w:type="table" w:styleId="844" w:customStyle="1">
    <w:name w:val="List Table 2"/>
    <w:uiPriority w:val="99"/>
    <w:qFormat/>
    <w:tblPr>
      <w:tblCellMar>
        <w:left w:w="0" w:type="dxa"/>
        <w:top w:w="0" w:type="dxa"/>
        <w:right w:w="0" w:type="dxa"/>
        <w:bottom w:w="0" w:type="dxa"/>
      </w:tblCellMar>
    </w:tblPr>
  </w:style>
  <w:style w:type="table" w:styleId="845" w:customStyle="1">
    <w:name w:val="List Table 2 - Accent 1"/>
    <w:uiPriority w:val="99"/>
    <w:qFormat/>
    <w:tblPr>
      <w:tblCellMar>
        <w:left w:w="0" w:type="dxa"/>
        <w:top w:w="0" w:type="dxa"/>
        <w:right w:w="0" w:type="dxa"/>
        <w:bottom w:w="0" w:type="dxa"/>
      </w:tblCellMar>
    </w:tblPr>
  </w:style>
  <w:style w:type="table" w:styleId="846" w:customStyle="1">
    <w:name w:val="List Table 2 - Accent 2"/>
    <w:uiPriority w:val="99"/>
    <w:qFormat/>
    <w:tblPr>
      <w:tblCellMar>
        <w:left w:w="0" w:type="dxa"/>
        <w:top w:w="0" w:type="dxa"/>
        <w:right w:w="0" w:type="dxa"/>
        <w:bottom w:w="0" w:type="dxa"/>
      </w:tblCellMar>
    </w:tblPr>
  </w:style>
  <w:style w:type="table" w:styleId="847" w:customStyle="1">
    <w:name w:val="List Table 2 - Accent 3"/>
    <w:uiPriority w:val="99"/>
    <w:qFormat/>
    <w:tblPr>
      <w:tblCellMar>
        <w:left w:w="0" w:type="dxa"/>
        <w:top w:w="0" w:type="dxa"/>
        <w:right w:w="0" w:type="dxa"/>
        <w:bottom w:w="0" w:type="dxa"/>
      </w:tblCellMar>
    </w:tblPr>
  </w:style>
  <w:style w:type="table" w:styleId="848" w:customStyle="1">
    <w:name w:val="List Table 2 - Accent 4"/>
    <w:uiPriority w:val="99"/>
    <w:qFormat/>
    <w:tblPr>
      <w:tblCellMar>
        <w:left w:w="0" w:type="dxa"/>
        <w:top w:w="0" w:type="dxa"/>
        <w:right w:w="0" w:type="dxa"/>
        <w:bottom w:w="0" w:type="dxa"/>
      </w:tblCellMar>
    </w:tblPr>
  </w:style>
  <w:style w:type="table" w:styleId="849" w:customStyle="1">
    <w:name w:val="List Table 2 - Accent 5"/>
    <w:uiPriority w:val="99"/>
    <w:qFormat/>
    <w:tblPr>
      <w:tblCellMar>
        <w:left w:w="0" w:type="dxa"/>
        <w:top w:w="0" w:type="dxa"/>
        <w:right w:w="0" w:type="dxa"/>
        <w:bottom w:w="0" w:type="dxa"/>
      </w:tblCellMar>
    </w:tblPr>
  </w:style>
  <w:style w:type="table" w:styleId="850" w:customStyle="1">
    <w:name w:val="List Table 2 - Accent 6"/>
    <w:uiPriority w:val="99"/>
    <w:qFormat/>
    <w:tblPr>
      <w:tblCellMar>
        <w:left w:w="0" w:type="dxa"/>
        <w:top w:w="0" w:type="dxa"/>
        <w:right w:w="0" w:type="dxa"/>
        <w:bottom w:w="0" w:type="dxa"/>
      </w:tblCellMar>
    </w:tblPr>
  </w:style>
  <w:style w:type="table" w:styleId="851" w:customStyle="1">
    <w:name w:val="List Table 3"/>
    <w:uiPriority w:val="99"/>
    <w:qFormat/>
    <w:tblPr>
      <w:tblCellMar>
        <w:left w:w="0" w:type="dxa"/>
        <w:top w:w="0" w:type="dxa"/>
        <w:right w:w="0" w:type="dxa"/>
        <w:bottom w:w="0" w:type="dxa"/>
      </w:tblCellMar>
    </w:tblPr>
  </w:style>
  <w:style w:type="table" w:styleId="852" w:customStyle="1">
    <w:name w:val="List Table 3 - Accent 1"/>
    <w:uiPriority w:val="99"/>
    <w:qFormat/>
    <w:tblPr>
      <w:tblCellMar>
        <w:left w:w="0" w:type="dxa"/>
        <w:top w:w="0" w:type="dxa"/>
        <w:right w:w="0" w:type="dxa"/>
        <w:bottom w:w="0" w:type="dxa"/>
      </w:tblCellMar>
    </w:tblPr>
  </w:style>
  <w:style w:type="table" w:styleId="853" w:customStyle="1">
    <w:name w:val="List Table 3 - Accent 2"/>
    <w:uiPriority w:val="99"/>
    <w:qFormat/>
    <w:tblPr>
      <w:tblCellMar>
        <w:left w:w="0" w:type="dxa"/>
        <w:top w:w="0" w:type="dxa"/>
        <w:right w:w="0" w:type="dxa"/>
        <w:bottom w:w="0" w:type="dxa"/>
      </w:tblCellMar>
    </w:tblPr>
  </w:style>
  <w:style w:type="table" w:styleId="854" w:customStyle="1">
    <w:name w:val="List Table 3 - Accent 3"/>
    <w:uiPriority w:val="99"/>
    <w:qFormat/>
    <w:tblPr>
      <w:tblCellMar>
        <w:left w:w="0" w:type="dxa"/>
        <w:top w:w="0" w:type="dxa"/>
        <w:right w:w="0" w:type="dxa"/>
        <w:bottom w:w="0" w:type="dxa"/>
      </w:tblCellMar>
    </w:tblPr>
  </w:style>
  <w:style w:type="table" w:styleId="855" w:customStyle="1">
    <w:name w:val="List Table 3 - Accent 4"/>
    <w:uiPriority w:val="99"/>
    <w:qFormat/>
    <w:tblPr>
      <w:tblCellMar>
        <w:left w:w="0" w:type="dxa"/>
        <w:top w:w="0" w:type="dxa"/>
        <w:right w:w="0" w:type="dxa"/>
        <w:bottom w:w="0" w:type="dxa"/>
      </w:tblCellMar>
    </w:tblPr>
  </w:style>
  <w:style w:type="table" w:styleId="856" w:customStyle="1">
    <w:name w:val="List Table 3 - Accent 5"/>
    <w:uiPriority w:val="99"/>
    <w:qFormat/>
    <w:tblPr>
      <w:tblCellMar>
        <w:left w:w="0" w:type="dxa"/>
        <w:top w:w="0" w:type="dxa"/>
        <w:right w:w="0" w:type="dxa"/>
        <w:bottom w:w="0" w:type="dxa"/>
      </w:tblCellMar>
    </w:tblPr>
  </w:style>
  <w:style w:type="table" w:styleId="857" w:customStyle="1">
    <w:name w:val="List Table 3 - Accent 6"/>
    <w:uiPriority w:val="99"/>
    <w:qFormat/>
    <w:tblPr>
      <w:tblCellMar>
        <w:left w:w="0" w:type="dxa"/>
        <w:top w:w="0" w:type="dxa"/>
        <w:right w:w="0" w:type="dxa"/>
        <w:bottom w:w="0" w:type="dxa"/>
      </w:tblCellMar>
    </w:tblPr>
  </w:style>
  <w:style w:type="table" w:styleId="858" w:customStyle="1">
    <w:name w:val="List Table 4"/>
    <w:uiPriority w:val="99"/>
    <w:qFormat/>
    <w:tblPr>
      <w:tblCellMar>
        <w:left w:w="0" w:type="dxa"/>
        <w:top w:w="0" w:type="dxa"/>
        <w:right w:w="0" w:type="dxa"/>
        <w:bottom w:w="0" w:type="dxa"/>
      </w:tblCellMar>
    </w:tblPr>
  </w:style>
  <w:style w:type="table" w:styleId="859" w:customStyle="1">
    <w:name w:val="List Table 4 - Accent 1"/>
    <w:uiPriority w:val="99"/>
    <w:qFormat/>
    <w:tblPr>
      <w:tblCellMar>
        <w:left w:w="0" w:type="dxa"/>
        <w:top w:w="0" w:type="dxa"/>
        <w:right w:w="0" w:type="dxa"/>
        <w:bottom w:w="0" w:type="dxa"/>
      </w:tblCellMar>
    </w:tblPr>
  </w:style>
  <w:style w:type="table" w:styleId="860" w:customStyle="1">
    <w:name w:val="List Table 4 - Accent 2"/>
    <w:uiPriority w:val="99"/>
    <w:qFormat/>
    <w:tblPr>
      <w:tblCellMar>
        <w:left w:w="0" w:type="dxa"/>
        <w:top w:w="0" w:type="dxa"/>
        <w:right w:w="0" w:type="dxa"/>
        <w:bottom w:w="0" w:type="dxa"/>
      </w:tblCellMar>
    </w:tblPr>
  </w:style>
  <w:style w:type="table" w:styleId="861" w:customStyle="1">
    <w:name w:val="List Table 4 - Accent 3"/>
    <w:uiPriority w:val="99"/>
    <w:qFormat/>
    <w:tblPr>
      <w:tblCellMar>
        <w:left w:w="0" w:type="dxa"/>
        <w:top w:w="0" w:type="dxa"/>
        <w:right w:w="0" w:type="dxa"/>
        <w:bottom w:w="0" w:type="dxa"/>
      </w:tblCellMar>
    </w:tblPr>
  </w:style>
  <w:style w:type="table" w:styleId="862" w:customStyle="1">
    <w:name w:val="List Table 4 - Accent 4"/>
    <w:uiPriority w:val="99"/>
    <w:qFormat/>
    <w:tblPr>
      <w:tblCellMar>
        <w:left w:w="0" w:type="dxa"/>
        <w:top w:w="0" w:type="dxa"/>
        <w:right w:w="0" w:type="dxa"/>
        <w:bottom w:w="0" w:type="dxa"/>
      </w:tblCellMar>
    </w:tblPr>
  </w:style>
  <w:style w:type="table" w:styleId="863" w:customStyle="1">
    <w:name w:val="List Table 4 - Accent 5"/>
    <w:uiPriority w:val="99"/>
    <w:qFormat/>
    <w:tblPr>
      <w:tblCellMar>
        <w:left w:w="0" w:type="dxa"/>
        <w:top w:w="0" w:type="dxa"/>
        <w:right w:w="0" w:type="dxa"/>
        <w:bottom w:w="0" w:type="dxa"/>
      </w:tblCellMar>
    </w:tblPr>
  </w:style>
  <w:style w:type="table" w:styleId="864" w:customStyle="1">
    <w:name w:val="List Table 4 - Accent 6"/>
    <w:uiPriority w:val="99"/>
    <w:qFormat/>
    <w:tblPr>
      <w:tblCellMar>
        <w:left w:w="0" w:type="dxa"/>
        <w:top w:w="0" w:type="dxa"/>
        <w:right w:w="0" w:type="dxa"/>
        <w:bottom w:w="0" w:type="dxa"/>
      </w:tblCellMar>
    </w:tblPr>
  </w:style>
  <w:style w:type="table" w:styleId="865" w:customStyle="1">
    <w:name w:val="List Table 5 Dark"/>
    <w:uiPriority w:val="99"/>
    <w:qFormat/>
    <w:tblPr>
      <w:tblCellMar>
        <w:left w:w="0" w:type="dxa"/>
        <w:top w:w="0" w:type="dxa"/>
        <w:right w:w="0" w:type="dxa"/>
        <w:bottom w:w="0" w:type="dxa"/>
      </w:tblCellMar>
    </w:tblPr>
  </w:style>
  <w:style w:type="table" w:styleId="866" w:customStyle="1">
    <w:name w:val="List Table 5 Dark - Accent 1"/>
    <w:uiPriority w:val="99"/>
    <w:qFormat/>
    <w:tblPr>
      <w:tblCellMar>
        <w:left w:w="0" w:type="dxa"/>
        <w:top w:w="0" w:type="dxa"/>
        <w:right w:w="0" w:type="dxa"/>
        <w:bottom w:w="0" w:type="dxa"/>
      </w:tblCellMar>
    </w:tblPr>
  </w:style>
  <w:style w:type="table" w:styleId="867" w:customStyle="1">
    <w:name w:val="List Table 5 Dark - Accent 2"/>
    <w:uiPriority w:val="99"/>
    <w:qFormat/>
    <w:tblPr>
      <w:tblCellMar>
        <w:left w:w="0" w:type="dxa"/>
        <w:top w:w="0" w:type="dxa"/>
        <w:right w:w="0" w:type="dxa"/>
        <w:bottom w:w="0" w:type="dxa"/>
      </w:tblCellMar>
    </w:tblPr>
  </w:style>
  <w:style w:type="table" w:styleId="868" w:customStyle="1">
    <w:name w:val="List Table 5 Dark - Accent 3"/>
    <w:uiPriority w:val="99"/>
    <w:qFormat/>
    <w:tblPr>
      <w:tblCellMar>
        <w:left w:w="0" w:type="dxa"/>
        <w:top w:w="0" w:type="dxa"/>
        <w:right w:w="0" w:type="dxa"/>
        <w:bottom w:w="0" w:type="dxa"/>
      </w:tblCellMar>
    </w:tblPr>
  </w:style>
  <w:style w:type="table" w:styleId="869" w:customStyle="1">
    <w:name w:val="List Table 5 Dark - Accent 4"/>
    <w:uiPriority w:val="99"/>
    <w:qFormat/>
    <w:tblPr>
      <w:tblCellMar>
        <w:left w:w="0" w:type="dxa"/>
        <w:top w:w="0" w:type="dxa"/>
        <w:right w:w="0" w:type="dxa"/>
        <w:bottom w:w="0" w:type="dxa"/>
      </w:tblCellMar>
    </w:tblPr>
  </w:style>
  <w:style w:type="table" w:styleId="870" w:customStyle="1">
    <w:name w:val="List Table 5 Dark - Accent 5"/>
    <w:uiPriority w:val="99"/>
    <w:qFormat/>
    <w:tblPr>
      <w:tblCellMar>
        <w:left w:w="0" w:type="dxa"/>
        <w:top w:w="0" w:type="dxa"/>
        <w:right w:w="0" w:type="dxa"/>
        <w:bottom w:w="0" w:type="dxa"/>
      </w:tblCellMar>
    </w:tblPr>
  </w:style>
  <w:style w:type="table" w:styleId="871" w:customStyle="1">
    <w:name w:val="List Table 5 Dark - Accent 6"/>
    <w:uiPriority w:val="99"/>
    <w:qFormat/>
    <w:tblPr>
      <w:tblCellMar>
        <w:left w:w="0" w:type="dxa"/>
        <w:top w:w="0" w:type="dxa"/>
        <w:right w:w="0" w:type="dxa"/>
        <w:bottom w:w="0" w:type="dxa"/>
      </w:tblCellMar>
    </w:tblPr>
  </w:style>
  <w:style w:type="table" w:styleId="872" w:customStyle="1">
    <w:name w:val="List Table 6 Colorful"/>
    <w:uiPriority w:val="99"/>
    <w:qFormat/>
    <w:tblPr>
      <w:tblCellMar>
        <w:left w:w="0" w:type="dxa"/>
        <w:top w:w="0" w:type="dxa"/>
        <w:right w:w="0" w:type="dxa"/>
        <w:bottom w:w="0" w:type="dxa"/>
      </w:tblCellMar>
    </w:tblPr>
  </w:style>
  <w:style w:type="table" w:styleId="873" w:customStyle="1">
    <w:name w:val="List Table 6 Colorful - Accent 1"/>
    <w:uiPriority w:val="99"/>
    <w:qFormat/>
    <w:tblPr>
      <w:tblCellMar>
        <w:left w:w="0" w:type="dxa"/>
        <w:top w:w="0" w:type="dxa"/>
        <w:right w:w="0" w:type="dxa"/>
        <w:bottom w:w="0" w:type="dxa"/>
      </w:tblCellMar>
    </w:tblPr>
  </w:style>
  <w:style w:type="table" w:styleId="874" w:customStyle="1">
    <w:name w:val="List Table 6 Colorful - Accent 2"/>
    <w:uiPriority w:val="99"/>
    <w:qFormat/>
    <w:tblPr>
      <w:tblCellMar>
        <w:left w:w="0" w:type="dxa"/>
        <w:top w:w="0" w:type="dxa"/>
        <w:right w:w="0" w:type="dxa"/>
        <w:bottom w:w="0" w:type="dxa"/>
      </w:tblCellMar>
    </w:tblPr>
  </w:style>
  <w:style w:type="table" w:styleId="875" w:customStyle="1">
    <w:name w:val="List Table 6 Colorful - Accent 3"/>
    <w:uiPriority w:val="99"/>
    <w:qFormat/>
    <w:tblPr>
      <w:tblCellMar>
        <w:left w:w="0" w:type="dxa"/>
        <w:top w:w="0" w:type="dxa"/>
        <w:right w:w="0" w:type="dxa"/>
        <w:bottom w:w="0" w:type="dxa"/>
      </w:tblCellMar>
    </w:tblPr>
  </w:style>
  <w:style w:type="table" w:styleId="876" w:customStyle="1">
    <w:name w:val="List Table 6 Colorful - Accent 4"/>
    <w:uiPriority w:val="99"/>
    <w:qFormat/>
    <w:tblPr>
      <w:tblCellMar>
        <w:left w:w="0" w:type="dxa"/>
        <w:top w:w="0" w:type="dxa"/>
        <w:right w:w="0" w:type="dxa"/>
        <w:bottom w:w="0" w:type="dxa"/>
      </w:tblCellMar>
    </w:tblPr>
  </w:style>
  <w:style w:type="table" w:styleId="877" w:customStyle="1">
    <w:name w:val="List Table 6 Colorful - Accent 5"/>
    <w:uiPriority w:val="99"/>
    <w:qFormat/>
    <w:tblPr>
      <w:tblCellMar>
        <w:left w:w="0" w:type="dxa"/>
        <w:top w:w="0" w:type="dxa"/>
        <w:right w:w="0" w:type="dxa"/>
        <w:bottom w:w="0" w:type="dxa"/>
      </w:tblCellMar>
    </w:tblPr>
  </w:style>
  <w:style w:type="table" w:styleId="878" w:customStyle="1">
    <w:name w:val="List Table 6 Colorful - Accent 6"/>
    <w:uiPriority w:val="99"/>
    <w:qFormat/>
    <w:tblPr>
      <w:tblCellMar>
        <w:left w:w="0" w:type="dxa"/>
        <w:top w:w="0" w:type="dxa"/>
        <w:right w:w="0" w:type="dxa"/>
        <w:bottom w:w="0" w:type="dxa"/>
      </w:tblCellMar>
    </w:tblPr>
  </w:style>
  <w:style w:type="table" w:styleId="879" w:customStyle="1">
    <w:name w:val="List Table 7 Colorful"/>
    <w:uiPriority w:val="99"/>
    <w:qFormat/>
    <w:tblPr>
      <w:tblCellMar>
        <w:left w:w="0" w:type="dxa"/>
        <w:top w:w="0" w:type="dxa"/>
        <w:right w:w="0" w:type="dxa"/>
        <w:bottom w:w="0" w:type="dxa"/>
      </w:tblCellMar>
    </w:tblPr>
  </w:style>
  <w:style w:type="table" w:styleId="880" w:customStyle="1">
    <w:name w:val="List Table 7 Colorful - Accent 1"/>
    <w:uiPriority w:val="99"/>
    <w:qFormat/>
    <w:tblPr>
      <w:tblCellMar>
        <w:left w:w="0" w:type="dxa"/>
        <w:top w:w="0" w:type="dxa"/>
        <w:right w:w="0" w:type="dxa"/>
        <w:bottom w:w="0" w:type="dxa"/>
      </w:tblCellMar>
    </w:tblPr>
  </w:style>
  <w:style w:type="table" w:styleId="881" w:customStyle="1">
    <w:name w:val="List Table 7 Colorful - Accent 2"/>
    <w:uiPriority w:val="99"/>
    <w:qFormat/>
    <w:tblPr>
      <w:tblCellMar>
        <w:left w:w="0" w:type="dxa"/>
        <w:top w:w="0" w:type="dxa"/>
        <w:right w:w="0" w:type="dxa"/>
        <w:bottom w:w="0" w:type="dxa"/>
      </w:tblCellMar>
    </w:tblPr>
  </w:style>
  <w:style w:type="table" w:styleId="882" w:customStyle="1">
    <w:name w:val="List Table 7 Colorful - Accent 3"/>
    <w:uiPriority w:val="99"/>
    <w:qFormat/>
    <w:tblPr>
      <w:tblCellMar>
        <w:left w:w="0" w:type="dxa"/>
        <w:top w:w="0" w:type="dxa"/>
        <w:right w:w="0" w:type="dxa"/>
        <w:bottom w:w="0" w:type="dxa"/>
      </w:tblCellMar>
    </w:tblPr>
  </w:style>
  <w:style w:type="table" w:styleId="883" w:customStyle="1">
    <w:name w:val="List Table 7 Colorful - Accent 4"/>
    <w:uiPriority w:val="99"/>
    <w:qFormat/>
    <w:tblPr>
      <w:tblCellMar>
        <w:left w:w="0" w:type="dxa"/>
        <w:top w:w="0" w:type="dxa"/>
        <w:right w:w="0" w:type="dxa"/>
        <w:bottom w:w="0" w:type="dxa"/>
      </w:tblCellMar>
    </w:tblPr>
  </w:style>
  <w:style w:type="table" w:styleId="884" w:customStyle="1">
    <w:name w:val="List Table 7 Colorful - Accent 5"/>
    <w:uiPriority w:val="99"/>
    <w:qFormat/>
    <w:tblPr>
      <w:tblCellMar>
        <w:left w:w="0" w:type="dxa"/>
        <w:top w:w="0" w:type="dxa"/>
        <w:right w:w="0" w:type="dxa"/>
        <w:bottom w:w="0" w:type="dxa"/>
      </w:tblCellMar>
    </w:tblPr>
  </w:style>
  <w:style w:type="table" w:styleId="885" w:customStyle="1">
    <w:name w:val="List Table 7 Colorful - Accent 6"/>
    <w:uiPriority w:val="99"/>
    <w:qFormat/>
    <w:tblPr>
      <w:tblCellMar>
        <w:left w:w="0" w:type="dxa"/>
        <w:top w:w="0" w:type="dxa"/>
        <w:right w:w="0" w:type="dxa"/>
        <w:bottom w:w="0" w:type="dxa"/>
      </w:tblCellMar>
    </w:tblPr>
  </w:style>
  <w:style w:type="table" w:styleId="886" w:customStyle="1">
    <w:name w:val="Lined - Accent"/>
    <w:uiPriority w:val="99"/>
    <w:qFormat/>
    <w:rPr>
      <w:color w:val="404040"/>
    </w:rPr>
    <w:tblPr>
      <w:tblCellMar>
        <w:left w:w="0" w:type="dxa"/>
        <w:top w:w="0" w:type="dxa"/>
        <w:right w:w="0" w:type="dxa"/>
        <w:bottom w:w="0" w:type="dxa"/>
      </w:tblCellMar>
    </w:tblPr>
  </w:style>
  <w:style w:type="table" w:styleId="887" w:customStyle="1">
    <w:name w:val="Lined - Accent 1"/>
    <w:uiPriority w:val="99"/>
    <w:qFormat/>
    <w:rPr>
      <w:color w:val="404040"/>
    </w:rPr>
    <w:tblPr>
      <w:tblCellMar>
        <w:left w:w="0" w:type="dxa"/>
        <w:top w:w="0" w:type="dxa"/>
        <w:right w:w="0" w:type="dxa"/>
        <w:bottom w:w="0" w:type="dxa"/>
      </w:tblCellMar>
    </w:tblPr>
  </w:style>
  <w:style w:type="table" w:styleId="888" w:customStyle="1">
    <w:name w:val="Lined - Accent 2"/>
    <w:uiPriority w:val="99"/>
    <w:qFormat/>
    <w:rPr>
      <w:color w:val="404040"/>
    </w:rPr>
    <w:tblPr>
      <w:tblCellMar>
        <w:left w:w="0" w:type="dxa"/>
        <w:top w:w="0" w:type="dxa"/>
        <w:right w:w="0" w:type="dxa"/>
        <w:bottom w:w="0" w:type="dxa"/>
      </w:tblCellMar>
    </w:tblPr>
  </w:style>
  <w:style w:type="table" w:styleId="889" w:customStyle="1">
    <w:name w:val="Lined - Accent 3"/>
    <w:uiPriority w:val="99"/>
    <w:qFormat/>
    <w:rPr>
      <w:color w:val="404040"/>
    </w:rPr>
    <w:tblPr>
      <w:tblCellMar>
        <w:left w:w="0" w:type="dxa"/>
        <w:top w:w="0" w:type="dxa"/>
        <w:right w:w="0" w:type="dxa"/>
        <w:bottom w:w="0" w:type="dxa"/>
      </w:tblCellMar>
    </w:tblPr>
  </w:style>
  <w:style w:type="table" w:styleId="890" w:customStyle="1">
    <w:name w:val="Lined - Accent 4"/>
    <w:uiPriority w:val="99"/>
    <w:qFormat/>
    <w:rPr>
      <w:color w:val="404040"/>
    </w:rPr>
    <w:tblPr>
      <w:tblCellMar>
        <w:left w:w="0" w:type="dxa"/>
        <w:top w:w="0" w:type="dxa"/>
        <w:right w:w="0" w:type="dxa"/>
        <w:bottom w:w="0" w:type="dxa"/>
      </w:tblCellMar>
    </w:tblPr>
  </w:style>
  <w:style w:type="table" w:styleId="891" w:customStyle="1">
    <w:name w:val="Lined - Accent 5"/>
    <w:uiPriority w:val="99"/>
    <w:qFormat/>
    <w:rPr>
      <w:color w:val="404040"/>
    </w:rPr>
    <w:tblPr>
      <w:tblCellMar>
        <w:left w:w="0" w:type="dxa"/>
        <w:top w:w="0" w:type="dxa"/>
        <w:right w:w="0" w:type="dxa"/>
        <w:bottom w:w="0" w:type="dxa"/>
      </w:tblCellMar>
    </w:tblPr>
  </w:style>
  <w:style w:type="table" w:styleId="892" w:customStyle="1">
    <w:name w:val="Lined - Accent 6"/>
    <w:uiPriority w:val="99"/>
    <w:qFormat/>
    <w:rPr>
      <w:color w:val="404040"/>
    </w:rPr>
    <w:tblPr>
      <w:tblCellMar>
        <w:left w:w="0" w:type="dxa"/>
        <w:top w:w="0" w:type="dxa"/>
        <w:right w:w="0" w:type="dxa"/>
        <w:bottom w:w="0" w:type="dxa"/>
      </w:tblCellMar>
    </w:tblPr>
  </w:style>
  <w:style w:type="table" w:styleId="893" w:customStyle="1">
    <w:name w:val="Bordered &amp; Lined - Accent"/>
    <w:uiPriority w:val="99"/>
    <w:qFormat/>
    <w:rPr>
      <w:color w:val="404040"/>
    </w:rPr>
    <w:tblPr>
      <w:tblCellMar>
        <w:left w:w="0" w:type="dxa"/>
        <w:top w:w="0" w:type="dxa"/>
        <w:right w:w="0" w:type="dxa"/>
        <w:bottom w:w="0" w:type="dxa"/>
      </w:tblCellMar>
    </w:tblPr>
  </w:style>
  <w:style w:type="table" w:styleId="894" w:customStyle="1">
    <w:name w:val="Bordered &amp; Lined - Accent 1"/>
    <w:uiPriority w:val="99"/>
    <w:qFormat/>
    <w:rPr>
      <w:color w:val="404040"/>
    </w:rPr>
    <w:tblPr>
      <w:tblCellMar>
        <w:left w:w="0" w:type="dxa"/>
        <w:top w:w="0" w:type="dxa"/>
        <w:right w:w="0" w:type="dxa"/>
        <w:bottom w:w="0" w:type="dxa"/>
      </w:tblCellMar>
    </w:tblPr>
  </w:style>
  <w:style w:type="table" w:styleId="895" w:customStyle="1">
    <w:name w:val="Bordered &amp; Lined - Accent 2"/>
    <w:uiPriority w:val="99"/>
    <w:qFormat/>
    <w:rPr>
      <w:color w:val="404040"/>
    </w:rPr>
    <w:tblPr>
      <w:tblCellMar>
        <w:left w:w="0" w:type="dxa"/>
        <w:top w:w="0" w:type="dxa"/>
        <w:right w:w="0" w:type="dxa"/>
        <w:bottom w:w="0" w:type="dxa"/>
      </w:tblCellMar>
    </w:tblPr>
  </w:style>
  <w:style w:type="table" w:styleId="896" w:customStyle="1">
    <w:name w:val="Bordered &amp; Lined - Accent 3"/>
    <w:uiPriority w:val="99"/>
    <w:qFormat/>
    <w:rPr>
      <w:color w:val="404040"/>
    </w:rPr>
    <w:tblPr>
      <w:tblCellMar>
        <w:left w:w="0" w:type="dxa"/>
        <w:top w:w="0" w:type="dxa"/>
        <w:right w:w="0" w:type="dxa"/>
        <w:bottom w:w="0" w:type="dxa"/>
      </w:tblCellMar>
    </w:tblPr>
  </w:style>
  <w:style w:type="table" w:styleId="897" w:customStyle="1">
    <w:name w:val="Bordered &amp; Lined - Accent 4"/>
    <w:uiPriority w:val="99"/>
    <w:qFormat/>
    <w:rPr>
      <w:color w:val="404040"/>
    </w:rPr>
    <w:tblPr>
      <w:tblCellMar>
        <w:left w:w="0" w:type="dxa"/>
        <w:top w:w="0" w:type="dxa"/>
        <w:right w:w="0" w:type="dxa"/>
        <w:bottom w:w="0" w:type="dxa"/>
      </w:tblCellMar>
    </w:tblPr>
  </w:style>
  <w:style w:type="table" w:styleId="898" w:customStyle="1">
    <w:name w:val="Bordered &amp; Lined - Accent 5"/>
    <w:uiPriority w:val="99"/>
    <w:qFormat/>
    <w:rPr>
      <w:color w:val="404040"/>
    </w:rPr>
    <w:tblPr>
      <w:tblCellMar>
        <w:left w:w="0" w:type="dxa"/>
        <w:top w:w="0" w:type="dxa"/>
        <w:right w:w="0" w:type="dxa"/>
        <w:bottom w:w="0" w:type="dxa"/>
      </w:tblCellMar>
    </w:tblPr>
  </w:style>
  <w:style w:type="table" w:styleId="899" w:customStyle="1">
    <w:name w:val="Bordered &amp; Lined - Accent 6"/>
    <w:uiPriority w:val="99"/>
    <w:qFormat/>
    <w:rPr>
      <w:color w:val="404040"/>
    </w:rPr>
    <w:tblPr>
      <w:tblCellMar>
        <w:left w:w="0" w:type="dxa"/>
        <w:top w:w="0" w:type="dxa"/>
        <w:right w:w="0" w:type="dxa"/>
        <w:bottom w:w="0" w:type="dxa"/>
      </w:tblCellMar>
    </w:tblPr>
  </w:style>
  <w:style w:type="table" w:styleId="900" w:customStyle="1">
    <w:name w:val="Bordered"/>
    <w:uiPriority w:val="99"/>
    <w:qFormat/>
    <w:tblPr>
      <w:tblCellMar>
        <w:left w:w="0" w:type="dxa"/>
        <w:top w:w="0" w:type="dxa"/>
        <w:right w:w="0" w:type="dxa"/>
        <w:bottom w:w="0" w:type="dxa"/>
      </w:tblCellMar>
    </w:tblPr>
  </w:style>
  <w:style w:type="table" w:styleId="901" w:customStyle="1">
    <w:name w:val="Bordered - Accent 1"/>
    <w:uiPriority w:val="99"/>
    <w:qFormat/>
    <w:tblPr>
      <w:tblCellMar>
        <w:left w:w="0" w:type="dxa"/>
        <w:top w:w="0" w:type="dxa"/>
        <w:right w:w="0" w:type="dxa"/>
        <w:bottom w:w="0" w:type="dxa"/>
      </w:tblCellMar>
    </w:tblPr>
  </w:style>
  <w:style w:type="table" w:styleId="902" w:customStyle="1">
    <w:name w:val="Bordered - Accent 2"/>
    <w:uiPriority w:val="99"/>
    <w:qFormat/>
    <w:tblPr>
      <w:tblCellMar>
        <w:left w:w="0" w:type="dxa"/>
        <w:top w:w="0" w:type="dxa"/>
        <w:right w:w="0" w:type="dxa"/>
        <w:bottom w:w="0" w:type="dxa"/>
      </w:tblCellMar>
    </w:tblPr>
  </w:style>
  <w:style w:type="table" w:styleId="903" w:customStyle="1">
    <w:name w:val="Bordered - Accent 3"/>
    <w:uiPriority w:val="99"/>
    <w:qFormat/>
    <w:tblPr>
      <w:tblCellMar>
        <w:left w:w="0" w:type="dxa"/>
        <w:top w:w="0" w:type="dxa"/>
        <w:right w:w="0" w:type="dxa"/>
        <w:bottom w:w="0" w:type="dxa"/>
      </w:tblCellMar>
    </w:tblPr>
  </w:style>
  <w:style w:type="table" w:styleId="904" w:customStyle="1">
    <w:name w:val="Bordered - Accent 4"/>
    <w:uiPriority w:val="99"/>
    <w:qFormat/>
    <w:tblPr>
      <w:tblCellMar>
        <w:left w:w="0" w:type="dxa"/>
        <w:top w:w="0" w:type="dxa"/>
        <w:right w:w="0" w:type="dxa"/>
        <w:bottom w:w="0" w:type="dxa"/>
      </w:tblCellMar>
    </w:tblPr>
  </w:style>
  <w:style w:type="table" w:styleId="905" w:customStyle="1">
    <w:name w:val="Bordered - Accent 5"/>
    <w:uiPriority w:val="99"/>
    <w:qFormat/>
    <w:tblPr>
      <w:tblCellMar>
        <w:left w:w="0" w:type="dxa"/>
        <w:top w:w="0" w:type="dxa"/>
        <w:right w:w="0" w:type="dxa"/>
        <w:bottom w:w="0" w:type="dxa"/>
      </w:tblCellMar>
    </w:tblPr>
  </w:style>
  <w:style w:type="table" w:styleId="906" w:customStyle="1">
    <w:name w:val="Bordered - Accent 6"/>
    <w:uiPriority w:val="99"/>
    <w:qFormat/>
    <w:tblPr>
      <w:tblCellMar>
        <w:left w:w="0" w:type="dxa"/>
        <w:top w:w="0" w:type="dxa"/>
        <w:right w:w="0" w:type="dxa"/>
        <w:bottom w:w="0" w:type="dxa"/>
      </w:tblCellMar>
    </w:tblPr>
  </w:style>
  <w:style w:type="paragraph" w:styleId="907" w:customStyle="1">
    <w:name w:val="TOC Heading"/>
    <w:uiPriority w:val="39"/>
    <w:unhideWhenUsed/>
    <w:qFormat/>
    <w:rPr>
      <w:rFonts w:hint="default" w:ascii="Times New Roman" w:hAnsi="Times New Roman" w:eastAsia="宋体" w:cs="Times New Roman"/>
      <w:lang w:val="en-US" w:eastAsia="zh-CN" w:bidi="ar-SA"/>
    </w:rPr>
  </w:style>
  <w:style w:type="paragraph" w:styleId="908" w:customStyle="1">
    <w:name w:val="标题 11"/>
    <w:basedOn w:val="688"/>
    <w:next w:val="688"/>
    <w:link w:val="909"/>
    <w:uiPriority w:val="0"/>
    <w:qFormat/>
    <w:pPr>
      <w:jc w:val="center"/>
      <w:keepNext/>
      <w:outlineLvl w:val="0"/>
    </w:pPr>
    <w:rPr>
      <w:rFonts w:ascii="楷体_GB2312" w:eastAsia="楷体_GB2312"/>
      <w:sz w:val="28"/>
      <w:szCs w:val="28"/>
    </w:rPr>
  </w:style>
  <w:style w:type="character" w:styleId="909" w:customStyle="1">
    <w:name w:val="标题 1 字符"/>
    <w:link w:val="908"/>
    <w:uiPriority w:val="0"/>
    <w:qFormat/>
    <w:rPr>
      <w:rFonts w:ascii="楷体_GB2312" w:hAnsi="Times New Roman" w:eastAsia="楷体_GB2312" w:cs="Times New Roman"/>
      <w:sz w:val="28"/>
      <w:szCs w:val="28"/>
    </w:rPr>
  </w:style>
  <w:style w:type="paragraph" w:styleId="910" w:customStyle="1">
    <w:name w:val="标题 21"/>
    <w:basedOn w:val="688"/>
    <w:next w:val="911"/>
    <w:link w:val="912"/>
    <w:uiPriority w:val="0"/>
    <w:qFormat/>
    <w:pPr>
      <w:jc w:val="center"/>
      <w:keepLines/>
      <w:keepNext/>
      <w:spacing w:before="260" w:after="260" w:line="416" w:lineRule="auto"/>
      <w:outlineLvl w:val="1"/>
    </w:pPr>
    <w:rPr>
      <w:rFonts w:ascii="Arial" w:hAnsi="Arial" w:eastAsia="幼圆"/>
      <w:b/>
      <w:bCs/>
      <w:sz w:val="44"/>
      <w:szCs w:val="44"/>
    </w:rPr>
  </w:style>
  <w:style w:type="paragraph" w:styleId="911" w:customStyle="1">
    <w:name w:val="正文缩进1"/>
    <w:basedOn w:val="688"/>
    <w:link w:val="913"/>
    <w:uiPriority w:val="0"/>
    <w:qFormat/>
    <w:pPr>
      <w:ind w:firstLine="420"/>
    </w:pPr>
    <w:rPr>
      <w:sz w:val="20"/>
      <w:szCs w:val="21"/>
    </w:rPr>
  </w:style>
  <w:style w:type="character" w:styleId="912" w:customStyle="1">
    <w:name w:val="标题 2 字符"/>
    <w:link w:val="910"/>
    <w:uiPriority w:val="0"/>
    <w:qFormat/>
    <w:rPr>
      <w:rFonts w:ascii="Arial" w:hAnsi="Arial" w:eastAsia="幼圆" w:cs="Arial"/>
      <w:b/>
      <w:bCs/>
      <w:sz w:val="44"/>
      <w:szCs w:val="44"/>
    </w:rPr>
  </w:style>
  <w:style w:type="character" w:styleId="913" w:customStyle="1">
    <w:name w:val="正文缩进 字符"/>
    <w:link w:val="911"/>
    <w:uiPriority w:val="0"/>
    <w:qFormat/>
    <w:rPr>
      <w:szCs w:val="21"/>
    </w:rPr>
  </w:style>
  <w:style w:type="paragraph" w:styleId="914" w:customStyle="1">
    <w:name w:val="标题 31"/>
    <w:basedOn w:val="688"/>
    <w:next w:val="911"/>
    <w:link w:val="915"/>
    <w:uiPriority w:val="0"/>
    <w:qFormat/>
    <w:pPr>
      <w:keepLines/>
      <w:keepNext/>
      <w:spacing w:before="260" w:after="260" w:line="416" w:lineRule="auto"/>
      <w:outlineLvl w:val="2"/>
    </w:pPr>
    <w:rPr>
      <w:b/>
      <w:bCs/>
      <w:sz w:val="32"/>
      <w:szCs w:val="32"/>
    </w:rPr>
  </w:style>
  <w:style w:type="character" w:styleId="915" w:customStyle="1">
    <w:name w:val="标题 3 字符"/>
    <w:link w:val="914"/>
    <w:uiPriority w:val="0"/>
    <w:qFormat/>
    <w:rPr>
      <w:rFonts w:ascii="Times New Roman" w:hAnsi="Times New Roman" w:eastAsia="宋体" w:cs="Times New Roman"/>
      <w:b/>
      <w:bCs/>
      <w:sz w:val="32"/>
      <w:szCs w:val="32"/>
    </w:rPr>
  </w:style>
  <w:style w:type="paragraph" w:styleId="916" w:customStyle="1">
    <w:name w:val="标题 41"/>
    <w:basedOn w:val="688"/>
    <w:next w:val="911"/>
    <w:link w:val="917"/>
    <w:uiPriority w:val="0"/>
    <w:qFormat/>
    <w:pPr>
      <w:keepLines/>
      <w:keepNext/>
      <w:spacing w:before="280" w:after="290" w:line="376" w:lineRule="auto"/>
      <w:outlineLvl w:val="3"/>
    </w:pPr>
    <w:rPr>
      <w:rFonts w:ascii="Arial" w:hAnsi="Arial" w:eastAsia="黑体"/>
      <w:b/>
      <w:bCs/>
      <w:sz w:val="28"/>
      <w:szCs w:val="28"/>
    </w:rPr>
  </w:style>
  <w:style w:type="character" w:styleId="917" w:customStyle="1">
    <w:name w:val="标题 4 字符"/>
    <w:link w:val="916"/>
    <w:uiPriority w:val="0"/>
    <w:qFormat/>
    <w:rPr>
      <w:rFonts w:ascii="Arial" w:hAnsi="Arial" w:eastAsia="黑体" w:cs="Arial"/>
      <w:b/>
      <w:bCs/>
      <w:sz w:val="28"/>
      <w:szCs w:val="28"/>
    </w:rPr>
  </w:style>
  <w:style w:type="paragraph" w:styleId="918" w:customStyle="1">
    <w:name w:val="标题 51"/>
    <w:basedOn w:val="688"/>
    <w:next w:val="911"/>
    <w:link w:val="919"/>
    <w:uiPriority w:val="0"/>
    <w:qFormat/>
    <w:pPr>
      <w:keepNext/>
      <w:outlineLvl w:val="4"/>
    </w:pPr>
    <w:rPr>
      <w:rFonts w:ascii="宋体"/>
      <w:color w:val="000000"/>
      <w:sz w:val="28"/>
      <w:szCs w:val="28"/>
    </w:rPr>
  </w:style>
  <w:style w:type="character" w:styleId="919" w:customStyle="1">
    <w:name w:val="标题 5 字符"/>
    <w:link w:val="918"/>
    <w:uiPriority w:val="0"/>
    <w:qFormat/>
    <w:rPr>
      <w:rFonts w:ascii="宋体" w:hAnsi="Times New Roman" w:eastAsia="宋体" w:cs="Times New Roman"/>
      <w:color w:val="000000"/>
      <w:sz w:val="28"/>
      <w:szCs w:val="28"/>
    </w:rPr>
  </w:style>
  <w:style w:type="paragraph" w:styleId="920" w:customStyle="1">
    <w:name w:val="标题 61"/>
    <w:basedOn w:val="688"/>
    <w:next w:val="688"/>
    <w:link w:val="921"/>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21" w:customStyle="1">
    <w:name w:val="标题 6 字符"/>
    <w:link w:val="920"/>
    <w:uiPriority w:val="0"/>
    <w:qFormat/>
    <w:rPr>
      <w:rFonts w:ascii="Arial" w:hAnsi="Arial" w:eastAsia="黑体" w:cs="Times New Roman"/>
      <w:b/>
      <w:bCs/>
      <w:sz w:val="24"/>
      <w:szCs w:val="24"/>
    </w:rPr>
  </w:style>
  <w:style w:type="paragraph" w:styleId="922" w:customStyle="1">
    <w:name w:val="标题 71"/>
    <w:basedOn w:val="688"/>
    <w:next w:val="688"/>
    <w:link w:val="923"/>
    <w:uiPriority w:val="0"/>
    <w:qFormat/>
    <w:pPr>
      <w:numPr>
        <w:ilvl w:val="6"/>
        <w:numId w:val="1"/>
      </w:numPr>
      <w:keepLines/>
      <w:keepNext/>
      <w:spacing w:before="240" w:after="64" w:line="320" w:lineRule="auto"/>
      <w:outlineLvl w:val="6"/>
    </w:pPr>
    <w:rPr>
      <w:b/>
      <w:bCs/>
      <w:sz w:val="24"/>
      <w:szCs w:val="24"/>
    </w:rPr>
  </w:style>
  <w:style w:type="character" w:styleId="923" w:customStyle="1">
    <w:name w:val="标题 7 字符"/>
    <w:link w:val="922"/>
    <w:uiPriority w:val="0"/>
    <w:qFormat/>
    <w:rPr>
      <w:rFonts w:ascii="Times New Roman" w:hAnsi="Times New Roman" w:eastAsia="宋体" w:cs="Times New Roman"/>
      <w:b/>
      <w:bCs/>
      <w:sz w:val="24"/>
      <w:szCs w:val="24"/>
    </w:rPr>
  </w:style>
  <w:style w:type="paragraph" w:styleId="924" w:customStyle="1">
    <w:name w:val="标题 81"/>
    <w:basedOn w:val="688"/>
    <w:next w:val="688"/>
    <w:link w:val="925"/>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25" w:customStyle="1">
    <w:name w:val="标题 8 字符"/>
    <w:link w:val="924"/>
    <w:uiPriority w:val="0"/>
    <w:qFormat/>
    <w:rPr>
      <w:rFonts w:ascii="Arial" w:hAnsi="Arial" w:eastAsia="黑体" w:cs="Times New Roman"/>
      <w:sz w:val="24"/>
      <w:szCs w:val="24"/>
    </w:rPr>
  </w:style>
  <w:style w:type="paragraph" w:styleId="926" w:customStyle="1">
    <w:name w:val="标题 91"/>
    <w:basedOn w:val="688"/>
    <w:next w:val="688"/>
    <w:link w:val="927"/>
    <w:uiPriority w:val="0"/>
    <w:qFormat/>
    <w:pPr>
      <w:numPr>
        <w:ilvl w:val="8"/>
        <w:numId w:val="1"/>
      </w:numPr>
      <w:keepLines/>
      <w:keepNext/>
      <w:spacing w:before="240" w:after="64" w:line="320" w:lineRule="auto"/>
      <w:outlineLvl w:val="8"/>
    </w:pPr>
    <w:rPr>
      <w:rFonts w:ascii="Arial" w:hAnsi="Arial" w:eastAsia="黑体"/>
      <w:sz w:val="20"/>
      <w:szCs w:val="21"/>
    </w:rPr>
  </w:style>
  <w:style w:type="character" w:styleId="927" w:customStyle="1">
    <w:name w:val="标题 9 字符"/>
    <w:link w:val="926"/>
    <w:uiPriority w:val="0"/>
    <w:qFormat/>
    <w:rPr>
      <w:rFonts w:ascii="Arial" w:hAnsi="Arial" w:eastAsia="黑体" w:cs="Times New Roman"/>
      <w:szCs w:val="21"/>
    </w:rPr>
  </w:style>
  <w:style w:type="character" w:styleId="928" w:customStyle="1">
    <w:name w:val="默认段落字体1"/>
    <w:uiPriority w:val="1"/>
    <w:unhideWhenUsed/>
    <w:qFormat/>
  </w:style>
  <w:style w:type="table" w:styleId="929" w:customStyle="1">
    <w:name w:val="普通表格1"/>
    <w:uiPriority w:val="99"/>
    <w:unhideWhenUsed/>
    <w:qFormat/>
    <w:tblPr>
      <w:tblCellMar>
        <w:left w:w="0" w:type="dxa"/>
        <w:top w:w="0" w:type="dxa"/>
        <w:right w:w="0" w:type="dxa"/>
        <w:bottom w:w="0" w:type="dxa"/>
      </w:tblCellMar>
    </w:tblPr>
  </w:style>
  <w:style w:type="paragraph" w:styleId="930" w:customStyle="1">
    <w:name w:val="列表 31"/>
    <w:basedOn w:val="688"/>
    <w:uiPriority w:val="0"/>
    <w:qFormat/>
    <w:pPr>
      <w:ind w:left="100" w:hanging="200"/>
    </w:pPr>
    <w:rPr>
      <w:szCs w:val="21"/>
    </w:rPr>
  </w:style>
  <w:style w:type="paragraph" w:styleId="931" w:customStyle="1">
    <w:name w:val="文档结构图1"/>
    <w:basedOn w:val="688"/>
    <w:link w:val="932"/>
    <w:uiPriority w:val="0"/>
    <w:semiHidden/>
    <w:qFormat/>
    <w:pPr>
      <w:shd w:val="clear" w:color="auto" w:fill="000080"/>
    </w:pPr>
    <w:rPr>
      <w:sz w:val="20"/>
      <w:szCs w:val="21"/>
    </w:rPr>
  </w:style>
  <w:style w:type="character" w:styleId="932" w:customStyle="1">
    <w:name w:val="文档结构图 字符"/>
    <w:link w:val="931"/>
    <w:uiPriority w:val="0"/>
    <w:semiHidden/>
    <w:qFormat/>
    <w:rPr>
      <w:rFonts w:ascii="Times New Roman" w:hAnsi="Times New Roman" w:eastAsia="宋体" w:cs="Times New Roman"/>
      <w:szCs w:val="21"/>
      <w:shd w:val="clear" w:color="auto" w:fill="000080"/>
    </w:rPr>
  </w:style>
  <w:style w:type="paragraph" w:styleId="933" w:customStyle="1">
    <w:name w:val="批注文字1"/>
    <w:basedOn w:val="688"/>
    <w:link w:val="934"/>
    <w:uiPriority w:val="0"/>
    <w:unhideWhenUsed/>
    <w:qFormat/>
    <w:pPr>
      <w:jc w:val="left"/>
    </w:pPr>
  </w:style>
  <w:style w:type="character" w:styleId="934" w:customStyle="1">
    <w:name w:val="批注文字 字符"/>
    <w:link w:val="933"/>
    <w:uiPriority w:val="99"/>
    <w:semiHidden/>
    <w:qFormat/>
  </w:style>
  <w:style w:type="paragraph" w:styleId="935" w:customStyle="1">
    <w:name w:val="正文文本 31"/>
    <w:basedOn w:val="688"/>
    <w:link w:val="936"/>
    <w:uiPriority w:val="0"/>
    <w:qFormat/>
    <w:rPr>
      <w:rFonts w:ascii="仿宋_GB2312" w:hAnsi="Arial" w:eastAsia="仿宋_GB2312"/>
      <w:sz w:val="32"/>
      <w:szCs w:val="32"/>
    </w:rPr>
  </w:style>
  <w:style w:type="character" w:styleId="936" w:customStyle="1">
    <w:name w:val="正文文本 3 字符"/>
    <w:link w:val="935"/>
    <w:uiPriority w:val="0"/>
    <w:qFormat/>
    <w:rPr>
      <w:rFonts w:ascii="仿宋_GB2312" w:hAnsi="Arial" w:eastAsia="仿宋_GB2312" w:cs="Times New Roman"/>
      <w:sz w:val="32"/>
      <w:szCs w:val="32"/>
    </w:rPr>
  </w:style>
  <w:style w:type="paragraph" w:styleId="937" w:customStyle="1">
    <w:name w:val="正文文本缩进1"/>
    <w:basedOn w:val="688"/>
    <w:link w:val="938"/>
    <w:uiPriority w:val="0"/>
    <w:unhideWhenUsed/>
    <w:qFormat/>
    <w:pPr>
      <w:ind w:left="420"/>
      <w:spacing w:after="120"/>
    </w:pPr>
  </w:style>
  <w:style w:type="character" w:styleId="938" w:customStyle="1">
    <w:name w:val="正文文本缩进 字符"/>
    <w:link w:val="937"/>
    <w:uiPriority w:val="99"/>
    <w:semiHidden/>
    <w:qFormat/>
  </w:style>
  <w:style w:type="paragraph" w:styleId="939" w:customStyle="1">
    <w:name w:val="列表 21"/>
    <w:basedOn w:val="688"/>
    <w:uiPriority w:val="0"/>
    <w:qFormat/>
    <w:pPr>
      <w:ind w:left="100" w:hanging="200"/>
    </w:pPr>
    <w:rPr>
      <w:szCs w:val="21"/>
    </w:rPr>
  </w:style>
  <w:style w:type="paragraph" w:styleId="940" w:customStyle="1">
    <w:name w:val="纯文本1"/>
    <w:basedOn w:val="688"/>
    <w:link w:val="941"/>
    <w:uiPriority w:val="0"/>
    <w:qFormat/>
    <w:rPr>
      <w:rFonts w:ascii="宋体" w:hAnsi="Courier New"/>
      <w:sz w:val="20"/>
      <w:szCs w:val="21"/>
    </w:rPr>
  </w:style>
  <w:style w:type="character" w:styleId="941" w:customStyle="1">
    <w:name w:val="纯文本 字符"/>
    <w:link w:val="940"/>
    <w:uiPriority w:val="0"/>
    <w:qFormat/>
    <w:rPr>
      <w:rFonts w:ascii="宋体" w:hAnsi="Courier New" w:eastAsia="宋体" w:cs="Courier New"/>
      <w:szCs w:val="21"/>
    </w:rPr>
  </w:style>
  <w:style w:type="paragraph" w:styleId="942" w:customStyle="1">
    <w:name w:val="日期1"/>
    <w:basedOn w:val="688"/>
    <w:next w:val="688"/>
    <w:link w:val="943"/>
    <w:uiPriority w:val="0"/>
    <w:qFormat/>
    <w:rPr>
      <w:sz w:val="24"/>
      <w:szCs w:val="24"/>
    </w:rPr>
  </w:style>
  <w:style w:type="character" w:styleId="943" w:customStyle="1">
    <w:name w:val="日期 字符"/>
    <w:link w:val="942"/>
    <w:uiPriority w:val="0"/>
    <w:qFormat/>
    <w:rPr>
      <w:rFonts w:ascii="Times New Roman" w:hAnsi="Times New Roman" w:eastAsia="宋体" w:cs="Times New Roman"/>
      <w:sz w:val="24"/>
      <w:szCs w:val="24"/>
    </w:rPr>
  </w:style>
  <w:style w:type="paragraph" w:styleId="944" w:customStyle="1">
    <w:name w:val="正文文本缩进 21"/>
    <w:basedOn w:val="688"/>
    <w:link w:val="945"/>
    <w:uiPriority w:val="0"/>
    <w:qFormat/>
    <w:pPr>
      <w:ind w:left="630" w:firstLine="645"/>
    </w:pPr>
    <w:rPr>
      <w:rFonts w:ascii="Arial" w:hAnsi="Arial" w:eastAsia="仿宋_GB2312"/>
      <w:sz w:val="32"/>
      <w:szCs w:val="32"/>
    </w:rPr>
  </w:style>
  <w:style w:type="character" w:styleId="945" w:customStyle="1">
    <w:name w:val="正文文本缩进 2 字符"/>
    <w:link w:val="944"/>
    <w:uiPriority w:val="0"/>
    <w:qFormat/>
    <w:rPr>
      <w:rFonts w:ascii="Arial" w:hAnsi="Arial" w:eastAsia="仿宋_GB2312" w:cs="Arial"/>
      <w:sz w:val="32"/>
      <w:szCs w:val="32"/>
    </w:rPr>
  </w:style>
  <w:style w:type="paragraph" w:styleId="946" w:customStyle="1">
    <w:name w:val="批注框文本1"/>
    <w:basedOn w:val="688"/>
    <w:link w:val="947"/>
    <w:uiPriority w:val="0"/>
    <w:semiHidden/>
    <w:qFormat/>
    <w:rPr>
      <w:sz w:val="18"/>
      <w:szCs w:val="18"/>
    </w:rPr>
  </w:style>
  <w:style w:type="character" w:styleId="947" w:customStyle="1">
    <w:name w:val="批注框文本 字符"/>
    <w:link w:val="946"/>
    <w:uiPriority w:val="0"/>
    <w:semiHidden/>
    <w:qFormat/>
    <w:rPr>
      <w:rFonts w:ascii="Times New Roman" w:hAnsi="Times New Roman" w:eastAsia="宋体" w:cs="Times New Roman"/>
      <w:sz w:val="18"/>
      <w:szCs w:val="18"/>
    </w:rPr>
  </w:style>
  <w:style w:type="paragraph" w:styleId="948" w:customStyle="1">
    <w:name w:val="页脚1"/>
    <w:basedOn w:val="688"/>
    <w:link w:val="949"/>
    <w:uiPriority w:val="99"/>
    <w:qFormat/>
    <w:pPr>
      <w:jc w:val="left"/>
      <w:tabs>
        <w:tab w:val="center" w:pos="4153" w:leader="none"/>
        <w:tab w:val="right" w:pos="8306" w:leader="none"/>
      </w:tabs>
    </w:pPr>
    <w:rPr>
      <w:sz w:val="18"/>
      <w:szCs w:val="18"/>
    </w:rPr>
  </w:style>
  <w:style w:type="character" w:styleId="949" w:customStyle="1">
    <w:name w:val="页脚 字符"/>
    <w:link w:val="948"/>
    <w:uiPriority w:val="99"/>
    <w:qFormat/>
    <w:rPr>
      <w:rFonts w:ascii="Times New Roman" w:hAnsi="Times New Roman" w:eastAsia="宋体" w:cs="Times New Roman"/>
      <w:sz w:val="18"/>
      <w:szCs w:val="18"/>
    </w:rPr>
  </w:style>
  <w:style w:type="paragraph" w:styleId="950" w:customStyle="1">
    <w:name w:val="页眉1"/>
    <w:basedOn w:val="688"/>
    <w:link w:val="951"/>
    <w:uiPriority w:val="0"/>
    <w:qFormat/>
    <w:pPr>
      <w:jc w:val="center"/>
      <w:tabs>
        <w:tab w:val="center" w:pos="4153" w:leader="none"/>
        <w:tab w:val="right" w:pos="8306" w:leader="none"/>
      </w:tabs>
      <w:pBdr>
        <w:bottom w:val="single" w:color="000000" w:sz="6" w:space="1"/>
      </w:pBdr>
    </w:pPr>
    <w:rPr>
      <w:sz w:val="18"/>
      <w:szCs w:val="18"/>
    </w:rPr>
  </w:style>
  <w:style w:type="character" w:styleId="951" w:customStyle="1">
    <w:name w:val="页眉 字符"/>
    <w:link w:val="950"/>
    <w:uiPriority w:val="0"/>
    <w:qFormat/>
    <w:rPr>
      <w:rFonts w:ascii="Times New Roman" w:hAnsi="Times New Roman" w:eastAsia="宋体" w:cs="Times New Roman"/>
      <w:sz w:val="18"/>
      <w:szCs w:val="18"/>
    </w:rPr>
  </w:style>
  <w:style w:type="paragraph" w:styleId="952" w:customStyle="1">
    <w:name w:val="列表1"/>
    <w:basedOn w:val="688"/>
    <w:uiPriority w:val="0"/>
    <w:qFormat/>
    <w:pPr>
      <w:ind w:left="200" w:hanging="200"/>
    </w:pPr>
    <w:rPr>
      <w:szCs w:val="21"/>
    </w:rPr>
  </w:style>
  <w:style w:type="paragraph" w:styleId="953" w:customStyle="1">
    <w:name w:val="正文文本缩进 31"/>
    <w:basedOn w:val="688"/>
    <w:link w:val="954"/>
    <w:uiPriority w:val="0"/>
    <w:qFormat/>
    <w:pPr>
      <w:ind w:left="645" w:firstLine="645"/>
    </w:pPr>
    <w:rPr>
      <w:rFonts w:ascii="Arial" w:hAnsi="Arial" w:eastAsia="仿宋_GB2312"/>
      <w:color w:val="ffff00"/>
      <w:sz w:val="32"/>
      <w:szCs w:val="32"/>
    </w:rPr>
  </w:style>
  <w:style w:type="character" w:styleId="954" w:customStyle="1">
    <w:name w:val="正文文本缩进 3 字符"/>
    <w:link w:val="953"/>
    <w:uiPriority w:val="0"/>
    <w:qFormat/>
    <w:rPr>
      <w:rFonts w:ascii="Arial" w:hAnsi="Arial" w:eastAsia="仿宋_GB2312" w:cs="Arial"/>
      <w:color w:val="ffff00"/>
      <w:sz w:val="32"/>
      <w:szCs w:val="32"/>
    </w:rPr>
  </w:style>
  <w:style w:type="paragraph" w:styleId="955" w:customStyle="1">
    <w:name w:val="图表目录1"/>
    <w:basedOn w:val="688"/>
    <w:next w:val="688"/>
    <w:uiPriority w:val="0"/>
    <w:semiHidden/>
    <w:qFormat/>
    <w:pPr>
      <w:ind w:left="840" w:hanging="420"/>
    </w:pPr>
    <w:rPr>
      <w:szCs w:val="21"/>
    </w:rPr>
  </w:style>
  <w:style w:type="paragraph" w:styleId="956" w:customStyle="1">
    <w:name w:val="正文文本 21"/>
    <w:basedOn w:val="688"/>
    <w:link w:val="957"/>
    <w:uiPriority w:val="0"/>
    <w:qFormat/>
    <w:pPr>
      <w:jc w:val="center"/>
      <w:widowControl/>
    </w:pPr>
    <w:rPr>
      <w:rFonts w:ascii="楷体_GB2312" w:eastAsia="楷体_GB2312"/>
      <w:sz w:val="28"/>
      <w:szCs w:val="28"/>
    </w:rPr>
  </w:style>
  <w:style w:type="character" w:styleId="957" w:customStyle="1">
    <w:name w:val="正文文本 2 字符"/>
    <w:link w:val="956"/>
    <w:uiPriority w:val="0"/>
    <w:qFormat/>
    <w:rPr>
      <w:rFonts w:ascii="楷体_GB2312" w:hAnsi="Times New Roman" w:eastAsia="楷体_GB2312" w:cs="Times New Roman"/>
      <w:sz w:val="28"/>
      <w:szCs w:val="28"/>
    </w:rPr>
  </w:style>
  <w:style w:type="paragraph" w:styleId="958"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59" w:customStyle="1">
    <w:name w:val="索引 11"/>
    <w:basedOn w:val="688"/>
    <w:next w:val="688"/>
    <w:uiPriority w:val="0"/>
    <w:semiHidden/>
    <w:qFormat/>
    <w:pPr>
      <w:spacing w:line="240" w:lineRule="atLeast"/>
    </w:pPr>
    <w:rPr>
      <w:b/>
      <w:bCs/>
      <w:szCs w:val="21"/>
    </w:rPr>
  </w:style>
  <w:style w:type="paragraph" w:styleId="960" w:customStyle="1">
    <w:name w:val="批注主题1"/>
    <w:basedOn w:val="933"/>
    <w:next w:val="933"/>
    <w:link w:val="961"/>
    <w:uiPriority w:val="0"/>
    <w:semiHidden/>
    <w:qFormat/>
    <w:rPr>
      <w:b/>
      <w:bCs/>
      <w:sz w:val="20"/>
      <w:szCs w:val="21"/>
    </w:rPr>
  </w:style>
  <w:style w:type="character" w:styleId="961" w:customStyle="1">
    <w:name w:val="批注主题 字符"/>
    <w:link w:val="960"/>
    <w:uiPriority w:val="0"/>
    <w:semiHidden/>
    <w:qFormat/>
    <w:rPr>
      <w:rFonts w:ascii="Times New Roman" w:hAnsi="Times New Roman" w:eastAsia="宋体" w:cs="Times New Roman"/>
      <w:b/>
      <w:bCs/>
      <w:szCs w:val="21"/>
    </w:rPr>
  </w:style>
  <w:style w:type="paragraph" w:styleId="962" w:customStyle="1">
    <w:name w:val="正文文本首行缩进"/>
    <w:basedOn w:val="688"/>
    <w:link w:val="963"/>
    <w:uiPriority w:val="0"/>
    <w:qFormat/>
    <w:pPr>
      <w:ind w:firstLine="200"/>
      <w:spacing w:line="360" w:lineRule="auto"/>
    </w:pPr>
    <w:rPr>
      <w:rFonts w:ascii="仿宋_GB2312" w:eastAsia="仿宋_GB2312"/>
      <w:sz w:val="30"/>
      <w:szCs w:val="30"/>
    </w:rPr>
  </w:style>
  <w:style w:type="character" w:styleId="963" w:customStyle="1">
    <w:name w:val="正文文本首行缩进 字符"/>
    <w:link w:val="962"/>
    <w:uiPriority w:val="0"/>
    <w:qFormat/>
    <w:rPr>
      <w:rFonts w:ascii="仿宋_GB2312" w:hAnsi="Times New Roman" w:eastAsia="仿宋_GB2312" w:cs="Times New Roman"/>
      <w:sz w:val="30"/>
      <w:szCs w:val="30"/>
    </w:rPr>
  </w:style>
  <w:style w:type="paragraph" w:styleId="964" w:customStyle="1">
    <w:name w:val="正文文本首行缩进 2"/>
    <w:basedOn w:val="937"/>
    <w:link w:val="965"/>
    <w:uiPriority w:val="0"/>
    <w:qFormat/>
    <w:pPr>
      <w:ind w:left="0" w:firstLine="420"/>
      <w:spacing w:after="0" w:line="360" w:lineRule="auto"/>
    </w:pPr>
    <w:rPr>
      <w:rFonts w:ascii="宋体" w:hAnsi="宋体"/>
      <w:sz w:val="20"/>
      <w:szCs w:val="20"/>
    </w:rPr>
  </w:style>
  <w:style w:type="character" w:styleId="965" w:customStyle="1">
    <w:name w:val="正文文本首行缩进 2 字符"/>
    <w:link w:val="964"/>
    <w:uiPriority w:val="0"/>
    <w:qFormat/>
    <w:rPr>
      <w:rFonts w:ascii="宋体" w:hAnsi="宋体" w:eastAsia="宋体" w:cs="Times New Roman"/>
      <w:szCs w:val="20"/>
    </w:rPr>
  </w:style>
  <w:style w:type="table" w:styleId="966" w:customStyle="1">
    <w:name w:val="网格型1"/>
    <w:basedOn w:val="929"/>
    <w:uiPriority w:val="0"/>
    <w:qFormat/>
    <w:pPr>
      <w:jc w:val="both"/>
      <w:widowControl w:val="off"/>
    </w:pPr>
    <w:tblPr>
      <w:tblCellMar>
        <w:left w:w="0" w:type="dxa"/>
        <w:top w:w="0" w:type="dxa"/>
        <w:right w:w="0" w:type="dxa"/>
        <w:bottom w:w="0" w:type="dxa"/>
      </w:tblCellMar>
    </w:tblPr>
  </w:style>
  <w:style w:type="character" w:styleId="967" w:customStyle="1">
    <w:name w:val="要点1"/>
    <w:uiPriority w:val="0"/>
    <w:qFormat/>
    <w:rPr>
      <w:b/>
      <w:bCs/>
    </w:rPr>
  </w:style>
  <w:style w:type="character" w:styleId="968" w:customStyle="1">
    <w:name w:val="页码1"/>
    <w:uiPriority w:val="0"/>
    <w:qFormat/>
  </w:style>
  <w:style w:type="character" w:styleId="969" w:customStyle="1">
    <w:name w:val="访问过的超链接"/>
    <w:uiPriority w:val="0"/>
    <w:qFormat/>
    <w:rPr>
      <w:color w:val="333333"/>
      <w:u w:val="none"/>
    </w:rPr>
  </w:style>
  <w:style w:type="character" w:styleId="970" w:customStyle="1">
    <w:name w:val="超链接1"/>
    <w:uiPriority w:val="0"/>
    <w:qFormat/>
    <w:rPr>
      <w:color w:val="333333"/>
      <w:u w:val="none"/>
    </w:rPr>
  </w:style>
  <w:style w:type="character" w:styleId="971" w:customStyle="1">
    <w:name w:val="批注引用1"/>
    <w:uiPriority w:val="0"/>
    <w:semiHidden/>
    <w:qFormat/>
    <w:rPr>
      <w:sz w:val="21"/>
      <w:szCs w:val="21"/>
    </w:rPr>
  </w:style>
  <w:style w:type="character" w:styleId="972" w:customStyle="1">
    <w:name w:val="font5 Char"/>
    <w:uiPriority w:val="0"/>
    <w:qFormat/>
    <w:rPr>
      <w:rFonts w:ascii="宋体" w:hAnsi="宋体" w:eastAsia="宋体"/>
      <w:sz w:val="28"/>
      <w:szCs w:val="28"/>
      <w:lang w:val="en-US" w:eastAsia="zh-CN" w:bidi="ar-SA"/>
    </w:rPr>
  </w:style>
  <w:style w:type="character" w:styleId="973" w:customStyle="1">
    <w:name w:val="二级目录 Char"/>
    <w:link w:val="974"/>
    <w:uiPriority w:val="0"/>
    <w:qFormat/>
    <w:rPr>
      <w:b/>
      <w:sz w:val="30"/>
      <w:szCs w:val="28"/>
      <w:lang w:val="en-US" w:eastAsia="zh-CN" w:bidi="ar-SA"/>
    </w:rPr>
  </w:style>
  <w:style w:type="paragraph" w:styleId="974" w:customStyle="1">
    <w:name w:val="二级目录"/>
    <w:next w:val="688"/>
    <w:link w:val="97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688"/>
    <w:link w:val="975"/>
    <w:uiPriority w:val="0"/>
    <w:qFormat/>
    <w:pPr>
      <w:contextualSpacing/>
      <w:ind w:left="720"/>
      <w:jc w:val="left"/>
      <w:widowControl/>
    </w:pPr>
    <w:rPr>
      <w:sz w:val="24"/>
      <w:szCs w:val="24"/>
      <w:lang w:eastAsia="en-US" w:bidi="en-US"/>
    </w:rPr>
  </w:style>
  <w:style w:type="paragraph" w:styleId="977" w:customStyle="1">
    <w:name w:val="Body Text(ch)"/>
    <w:basedOn w:val="688"/>
    <w:next w:val="777"/>
    <w:uiPriority w:val="0"/>
    <w:qFormat/>
    <w:pPr>
      <w:spacing w:after="120"/>
    </w:pPr>
    <w:rPr>
      <w:rFonts w:ascii="宋体" w:hAnsi="Arial"/>
      <w:bCs/>
      <w:iCs/>
      <w:szCs w:val="24"/>
    </w:rPr>
  </w:style>
  <w:style w:type="paragraph" w:styleId="978"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customStyle="1">
    <w:name w:val="Char"/>
    <w:basedOn w:val="688"/>
    <w:uiPriority w:val="0"/>
    <w:qFormat/>
    <w:pPr>
      <w:ind w:firstLine="200"/>
      <w:tabs>
        <w:tab w:val="left" w:pos="360" w:leader="none"/>
      </w:tabs>
    </w:pPr>
    <w:rPr>
      <w:sz w:val="28"/>
      <w:szCs w:val="30"/>
    </w:rPr>
  </w:style>
  <w:style w:type="paragraph" w:styleId="981" w:customStyle="1">
    <w:name w:val="Char1"/>
    <w:basedOn w:val="931"/>
    <w:uiPriority w:val="0"/>
    <w:qFormat/>
    <w:rPr>
      <w:rFonts w:ascii="Tahoma" w:hAnsi="Tahoma"/>
      <w:sz w:val="24"/>
      <w:szCs w:val="24"/>
    </w:rPr>
  </w:style>
  <w:style w:type="paragraph" w:styleId="982"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83" w:customStyle="1">
    <w:name w:val="table_lines"/>
    <w:basedOn w:val="688"/>
    <w:uiPriority w:val="0"/>
    <w:qFormat/>
    <w:pPr>
      <w:jc w:val="left"/>
      <w:widowControl/>
    </w:pPr>
    <w:rPr>
      <w:sz w:val="20"/>
      <w:szCs w:val="20"/>
      <w:lang w:val="de-DE" w:eastAsia="de-DE"/>
    </w:rPr>
  </w:style>
  <w:style w:type="paragraph" w:styleId="984"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5"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Char Char Char Char"/>
    <w:basedOn w:val="931"/>
    <w:uiPriority w:val="0"/>
    <w:qFormat/>
    <w:pPr>
      <w:spacing w:line="360" w:lineRule="auto"/>
    </w:pPr>
    <w:rPr>
      <w:rFonts w:ascii="Tahoma" w:hAnsi="Tahoma"/>
      <w:sz w:val="24"/>
      <w:szCs w:val="24"/>
    </w:rPr>
  </w:style>
  <w:style w:type="paragraph" w:styleId="987" w:customStyle="1">
    <w:name w:val="列表段落"/>
    <w:basedOn w:val="688"/>
    <w:uiPriority w:val="0"/>
    <w:qFormat/>
    <w:pPr>
      <w:contextualSpacing/>
      <w:ind w:left="720"/>
      <w:jc w:val="left"/>
      <w:widowControl/>
    </w:pPr>
    <w:rPr>
      <w:rFonts w:ascii="Calibri" w:hAnsi="Calibri"/>
      <w:sz w:val="24"/>
      <w:szCs w:val="24"/>
      <w:lang w:eastAsia="en-US" w:bidi="en-US"/>
    </w:rPr>
  </w:style>
  <w:style w:type="paragraph" w:styleId="988" w:customStyle="1">
    <w:name w:val="4"/>
    <w:basedOn w:val="688"/>
    <w:next w:val="953"/>
    <w:uiPriority w:val="0"/>
    <w:qFormat/>
    <w:pPr>
      <w:ind w:firstLine="420"/>
      <w:spacing w:line="360" w:lineRule="auto"/>
    </w:pPr>
    <w:rPr>
      <w:color w:val="ff0000"/>
      <w:sz w:val="24"/>
      <w:szCs w:val="24"/>
    </w:rPr>
  </w:style>
  <w:style w:type="paragraph" w:styleId="989"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90" w:customStyle="1">
    <w:name w:val="Char Char Char Char Char Char Char Char Char Char"/>
    <w:basedOn w:val="688"/>
    <w:uiPriority w:val="0"/>
    <w:qFormat/>
    <w:pPr>
      <w:spacing w:line="360" w:lineRule="auto"/>
    </w:pPr>
    <w:rPr>
      <w:sz w:val="24"/>
      <w:szCs w:val="20"/>
    </w:rPr>
  </w:style>
  <w:style w:type="paragraph" w:styleId="991" w:customStyle="1">
    <w:name w:val="样式1"/>
    <w:basedOn w:val="688"/>
    <w:uiPriority w:val="0"/>
    <w:qFormat/>
    <w:pPr>
      <w:numPr>
        <w:ilvl w:val="0"/>
        <w:numId w:val="3"/>
      </w:numPr>
    </w:pPr>
    <w:rPr>
      <w:rFonts w:ascii="宋体" w:hAnsi="宋体"/>
      <w:szCs w:val="21"/>
    </w:rPr>
  </w:style>
  <w:style w:type="paragraph" w:styleId="992"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93"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96"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99"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1001"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1002" w:customStyle="1">
    <w:name w:val="Char Char Char Char1"/>
    <w:basedOn w:val="931"/>
    <w:uiPriority w:val="0"/>
    <w:qFormat/>
    <w:pPr>
      <w:spacing w:line="360" w:lineRule="auto"/>
    </w:pPr>
    <w:rPr>
      <w:rFonts w:ascii="Tahoma" w:hAnsi="Tahoma"/>
      <w:sz w:val="24"/>
      <w:szCs w:val="24"/>
    </w:rPr>
  </w:style>
  <w:style w:type="paragraph" w:styleId="1003" w:customStyle="1">
    <w:name w:val="table_1stline"/>
    <w:basedOn w:val="688"/>
    <w:uiPriority w:val="0"/>
    <w:qFormat/>
    <w:pPr>
      <w:jc w:val="left"/>
      <w:spacing w:before="120"/>
      <w:widowControl/>
    </w:pPr>
    <w:rPr>
      <w:bCs/>
      <w:sz w:val="20"/>
      <w:szCs w:val="20"/>
      <w:lang w:val="de-DE" w:eastAsia="de-DE"/>
    </w:rPr>
  </w:style>
  <w:style w:type="paragraph" w:styleId="1004"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1005"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customStyle="1">
    <w:name w:val="Revision"/>
    <w:uiPriority w:val="99"/>
    <w:semiHidden/>
    <w:qFormat/>
    <w:rPr>
      <w:rFonts w:hint="default" w:ascii="Times New Roman" w:hAnsi="Times New Roman" w:eastAsia="宋体" w:cs="Times New Roman"/>
      <w:sz w:val="21"/>
      <w:szCs w:val="21"/>
      <w:lang w:val="en-US" w:eastAsia="zh-CN" w:bidi="ar-SA"/>
    </w:rPr>
  </w:style>
  <w:style w:type="character" w:styleId="1007" w:customStyle="1">
    <w:name w:val="批注框文本 Char"/>
    <w:basedOn w:val="698"/>
    <w:link w:val="708"/>
    <w:uiPriority w:val="99"/>
    <w:semiHidden/>
    <w:qFormat/>
    <w:rPr>
      <w:sz w:val="18"/>
      <w:szCs w:val="18"/>
    </w:rPr>
  </w:style>
  <w:style w:type="character" w:styleId="1008" w:customStyle="1">
    <w:name w:val="批注文字 Char"/>
    <w:basedOn w:val="698"/>
    <w:link w:val="702"/>
    <w:uiPriority w:val="99"/>
    <w:semiHidden/>
    <w:qFormat/>
    <w:rPr>
      <w:sz w:val="21"/>
      <w:szCs w:val="22"/>
    </w:rPr>
  </w:style>
  <w:style w:type="character" w:styleId="1009" w:customStyle="1">
    <w:name w:val="批注主题 Char"/>
    <w:basedOn w:val="1008"/>
    <w:link w:val="721"/>
    <w:uiPriority w:val="99"/>
    <w:semiHidden/>
    <w:qFormat/>
    <w:rPr>
      <w:b/>
      <w:bCs/>
    </w:rPr>
  </w:style>
  <w:style w:type="paragraph" w:styleId="1010" w:customStyle="1">
    <w:name w:val="Table Text"/>
    <w:basedOn w:val="688"/>
    <w:uiPriority w:val="0"/>
    <w:semiHidden/>
    <w:qFormat/>
    <w:pPr>
      <w:jc w:val="left"/>
      <w:widowControl/>
    </w:pPr>
    <w:rPr>
      <w:rFonts w:ascii="宋体" w:hAnsi="宋体" w:cs="宋体"/>
      <w:color w:val="000000"/>
      <w:sz w:val="24"/>
      <w:szCs w:val="24"/>
      <w:lang w:eastAsia="en-US"/>
    </w:rPr>
  </w:style>
  <w:style w:type="table" w:styleId="1011" w:customStyle="1">
    <w:name w:val="Table Normal"/>
    <w:uiPriority w:val="0"/>
    <w:unhideWhenUsed/>
    <w:qFormat/>
    <w:tblPr>
      <w:tblCellMar>
        <w:left w:w="0" w:type="dxa"/>
        <w:top w:w="0" w:type="dxa"/>
        <w:right w:w="0" w:type="dxa"/>
        <w:bottom w:w="0" w:type="dxa"/>
      </w:tblCellMar>
    </w:tbl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刘晓婵</cp:lastModifiedBy>
  <cp:revision>348</cp:revision>
  <dcterms:created xsi:type="dcterms:W3CDTF">2024-05-10T06:40:00Z</dcterms:created>
  <dcterms:modified xsi:type="dcterms:W3CDTF">2026-10-10T01:21:59Z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eyJoZGlkIjoiYmRhNTM2ZDE3YjBhNjM4Zjc2ODQ3MzBiNjliYTVmZWIiLCJ1c2VySWQiOiIyMDAwMTk2NzYifQ==</vt:lpwstr>
  </property>
  <property fmtid="{D5CDD505-2E9C-101B-9397-08002B2CF9AE}" pid="3" name="KSOProductBuildVer">
    <vt:lpwstr>2052-12.1.0.28505</vt:lpwstr>
  </property>
  <property fmtid="{D5CDD505-2E9C-101B-9397-08002B2CF9AE}" pid="4" name="ICV">
    <vt:lpwstr>382FA6F2908E43AA81C2050E96ACA26A_13</vt:lpwstr>
  </property>
</Properties>
</file>