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ascii="宋体" w:hAnsi="宋体" w:cs="宋体"/>
          <w:color w:val="auto"/>
          <w:sz w:val="76"/>
          <w:szCs w:val="76"/>
          <w:highlight w:val="none"/>
        </w:rPr>
      </w:pPr>
      <w:r>
        <w:rPr>
          <w:rFonts w:ascii="宋体" w:hAnsi="宋体" w:cs="宋体"/>
          <w:color w:val="auto"/>
          <w:sz w:val="76"/>
          <w:szCs w:val="76"/>
          <w:highlight w:val="none"/>
        </w:rPr>
      </w:r>
      <w:r/>
    </w:p>
    <w:p>
      <w:pPr>
        <w:jc w:val="center"/>
        <w:spacing w:line="360" w:lineRule="auto"/>
        <w:tabs>
          <w:tab w:val="left" w:pos="390" w:leader="none"/>
          <w:tab w:val="center" w:pos="4404" w:leader="none"/>
        </w:tabs>
        <w:rPr>
          <w:rFonts w:ascii="宋体" w:hAnsi="宋体" w:cs="宋体"/>
          <w:color w:val="auto"/>
          <w:sz w:val="76"/>
          <w:szCs w:val="76"/>
          <w:highlight w:val="none"/>
        </w:rPr>
      </w:pPr>
      <w:r>
        <w:rPr>
          <w:rFonts w:hint="eastAsia" w:ascii="宋体" w:hAnsi="宋体" w:cs="宋体"/>
          <w:color w:val="auto"/>
          <w:sz w:val="76"/>
          <w:szCs w:val="76"/>
          <w:highlight w:val="none"/>
        </w:rPr>
        <w:t xml:space="preserve">公开招标文件</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44"/>
          <w:highlight w:val="none"/>
        </w:rPr>
      </w:pPr>
      <w:r>
        <w:rPr>
          <w:rFonts w:ascii="宋体" w:hAnsi="宋体" w:cs="宋体"/>
          <w:color w:val="auto"/>
          <w:sz w:val="44"/>
          <w:highlight w:val="none"/>
        </w:rPr>
      </w:r>
      <w:r/>
    </w:p>
    <w:p>
      <w:pPr>
        <w:spacing w:line="36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44"/>
          <w:highlight w:val="none"/>
        </w:rPr>
      </w:pPr>
      <w:r>
        <w:rPr>
          <w:rFonts w:ascii="宋体" w:hAnsi="宋体" w:cs="宋体"/>
          <w:color w:val="auto"/>
          <w:sz w:val="44"/>
          <w:highlight w:val="none"/>
        </w:rPr>
      </w:r>
      <w:r/>
    </w:p>
    <w:tbl>
      <w:tblPr>
        <w:tblStyle w:val="685"/>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45"/>
      </w:tblGrid>
      <w:tr>
        <w:trPr>
          <w:trHeight w:val="1523"/>
        </w:trPr>
        <w:tc>
          <w:tcPr>
            <w:tcBorders>
              <w:top w:val="none" w:color="000000" w:sz="4" w:space="0"/>
              <w:left w:val="none" w:color="000000" w:sz="4" w:space="0"/>
              <w:bottom w:val="none" w:color="000000" w:sz="4" w:space="0"/>
              <w:right w:val="none" w:color="000000" w:sz="4" w:space="0"/>
            </w:tcBorders>
            <w:tcW w:w="9445" w:type="dxa"/>
            <w:textDirection w:val="lrTb"/>
            <w:noWrap w:val="false"/>
          </w:tcPr>
          <w:p>
            <w:pPr>
              <w:pStyle w:val="676"/>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JSZC-320100-NJYP-G2026-0026</w:t>
            </w:r>
            <w:r/>
          </w:p>
          <w:p>
            <w:pPr>
              <w:pStyle w:val="676"/>
              <w:jc w:val="center"/>
              <w:rPr>
                <w:color w:val="auto"/>
                <w:highlight w:val="none"/>
              </w:rPr>
            </w:pPr>
            <w:r>
              <w:rPr>
                <w:rFonts w:hint="eastAsia" w:ascii="宋体" w:hAnsi="宋体" w:cs="宋体"/>
                <w:b w:val="0"/>
                <w:color w:val="auto"/>
                <w:sz w:val="32"/>
                <w:szCs w:val="32"/>
                <w:highlight w:val="none"/>
              </w:rPr>
              <w:t xml:space="preserve">项目名称：2026年度警用装备更新专项-搜排爆装备项目</w:t>
            </w:r>
            <w:r/>
          </w:p>
        </w:tc>
      </w:tr>
      <w:tr>
        <w:trPr>
          <w:trHeight w:val="1523"/>
        </w:trPr>
        <w:tc>
          <w:tcPr>
            <w:tcBorders>
              <w:top w:val="none" w:color="000000" w:sz="4" w:space="0"/>
              <w:left w:val="none" w:color="000000" w:sz="4" w:space="0"/>
              <w:bottom w:val="none" w:color="000000" w:sz="4" w:space="0"/>
              <w:right w:val="none" w:color="000000" w:sz="4" w:space="0"/>
            </w:tcBorders>
            <w:tcW w:w="9445" w:type="dxa"/>
            <w:textDirection w:val="lrTb"/>
            <w:noWrap w:val="false"/>
          </w:tcPr>
          <w:p>
            <w:pPr>
              <w:ind w:left="1620" w:hanging="1620"/>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tc>
      </w:tr>
    </w:tbl>
    <w:p>
      <w:pPr>
        <w:jc w:val="center"/>
        <w:spacing w:line="36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招标人：南京市公安局巡特警支队（南京市公安局留置看护支队）</w:t>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招标代理机构：南京永平建设项目管理有限公司</w:t>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w:t>
      </w:r>
      <w:bookmarkStart w:id="0" w:name="_Hlk37241689"/>
      <w:r>
        <w:rPr>
          <w:rFonts w:hint="eastAsia" w:ascii="宋体" w:hAnsi="宋体" w:cs="宋体"/>
          <w:color w:val="auto"/>
          <w:sz w:val="32"/>
          <w:szCs w:val="32"/>
          <w:highlight w:val="none"/>
        </w:rPr>
        <w:t xml:space="preserve">〇</w:t>
      </w:r>
      <w:bookmarkEnd w:id="0"/>
      <w:r>
        <w:rPr>
          <w:rFonts w:hint="eastAsia" w:ascii="宋体" w:hAnsi="宋体" w:cs="宋体"/>
          <w:color w:val="auto"/>
          <w:sz w:val="32"/>
          <w:szCs w:val="32"/>
          <w:highlight w:val="none"/>
        </w:rPr>
        <w:t xml:space="preserve">二六年</w:t>
      </w:r>
      <w:r>
        <w:rPr>
          <w:rFonts w:hint="eastAsia" w:ascii="宋体" w:hAnsi="宋体" w:cs="宋体"/>
          <w:color w:val="auto"/>
          <w:sz w:val="32"/>
          <w:szCs w:val="32"/>
          <w:highlight w:val="none"/>
          <w:lang w:val="en-US" w:eastAsia="zh-CN"/>
        </w:rPr>
        <w:t xml:space="preserve">九</w:t>
      </w:r>
      <w:r>
        <w:rPr>
          <w:rFonts w:hint="eastAsia" w:ascii="宋体" w:hAnsi="宋体" w:cs="宋体"/>
          <w:color w:val="auto"/>
          <w:sz w:val="32"/>
          <w:szCs w:val="32"/>
          <w:highlight w:val="none"/>
        </w:rPr>
        <w:t xml:space="preserve">月 </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目 录</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01"/>
        <w:spacing w:line="360" w:lineRule="auto"/>
        <w:tabs>
          <w:tab w:val="clear" w:pos="8456" w:leader="none"/>
          <w:tab w:val="right" w:pos="9468" w:leader="dot"/>
        </w:tabs>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"_Toc8984" </w:instrText>
      </w:r>
      <w:r>
        <w:rPr>
          <w:color w:val="auto"/>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701"/>
        <w:spacing w:line="360" w:lineRule="auto"/>
        <w:tabs>
          <w:tab w:val="clear" w:pos="8456" w:leader="none"/>
          <w:tab w:val="right" w:pos="9468" w:leader="dot"/>
        </w:tabs>
        <w:rPr>
          <w:color w:val="auto"/>
          <w:sz w:val="28"/>
          <w:szCs w:val="28"/>
          <w:highlight w:val="none"/>
        </w:rPr>
      </w:pPr>
      <w:r>
        <w:rPr>
          <w:color w:val="auto"/>
          <w:highlight w:val="none"/>
        </w:rPr>
        <w:fldChar w:fldCharType="begin"/>
      </w:r>
      <w:r>
        <w:rPr>
          <w:color w:val="auto"/>
          <w:highlight w:val="none"/>
        </w:rPr>
        <w:instrText xml:space="preserve"> HYPERLINK \l "_Toc25854" </w:instrText>
      </w:r>
      <w:r>
        <w:rPr>
          <w:color w:val="auto"/>
          <w:highlight w:val="none"/>
        </w:rPr>
        <w:fldChar w:fldCharType="separate"/>
      </w:r>
      <w:r>
        <w:rPr>
          <w:rFonts w:hint="eastAsia" w:cs="宋体"/>
          <w:color w:val="auto"/>
          <w:sz w:val="28"/>
          <w:szCs w:val="28"/>
          <w:highlight w:val="none"/>
          <w:lang w:val="zh-CN"/>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color w:val="auto"/>
          <w:sz w:val="28"/>
          <w:szCs w:val="28"/>
          <w:highlight w:val="none"/>
        </w:rPr>
        <w:fldChar w:fldCharType="end"/>
      </w:r>
      <w:r/>
    </w:p>
    <w:p>
      <w:pPr>
        <w:pStyle w:val="701"/>
        <w:spacing w:line="360" w:lineRule="auto"/>
        <w:tabs>
          <w:tab w:val="clear" w:pos="8456" w:leader="none"/>
          <w:tab w:val="right" w:pos="9468" w:leader="dot"/>
        </w:tabs>
        <w:rPr>
          <w:color w:val="auto"/>
          <w:sz w:val="28"/>
          <w:szCs w:val="28"/>
          <w:highlight w:val="none"/>
        </w:rPr>
      </w:pPr>
      <w:r>
        <w:rPr>
          <w:color w:val="auto"/>
          <w:highlight w:val="none"/>
        </w:rPr>
        <w:fldChar w:fldCharType="begin"/>
      </w:r>
      <w:r>
        <w:rPr>
          <w:color w:val="auto"/>
          <w:highlight w:val="none"/>
        </w:rPr>
        <w:instrText xml:space="preserve"> HYPERLINK \l "_Toc6717" </w:instrText>
      </w:r>
      <w:r>
        <w:rPr>
          <w:color w:val="auto"/>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 xml:space="preserve">16</w:t>
      </w:r>
      <w:r>
        <w:rPr>
          <w:color w:val="auto"/>
          <w:sz w:val="28"/>
          <w:szCs w:val="28"/>
          <w:highlight w:val="none"/>
        </w:rPr>
        <w:fldChar w:fldCharType="end"/>
      </w:r>
      <w:r>
        <w:rPr>
          <w:color w:val="auto"/>
          <w:sz w:val="28"/>
          <w:szCs w:val="28"/>
          <w:highlight w:val="none"/>
        </w:rPr>
        <w:fldChar w:fldCharType="end"/>
      </w:r>
      <w:r/>
    </w:p>
    <w:p>
      <w:pPr>
        <w:pStyle w:val="701"/>
        <w:spacing w:line="360" w:lineRule="auto"/>
        <w:tabs>
          <w:tab w:val="clear" w:pos="8456" w:leader="none"/>
          <w:tab w:val="right" w:pos="9468" w:leader="dot"/>
        </w:tabs>
        <w:rPr>
          <w:color w:val="auto"/>
          <w:sz w:val="28"/>
          <w:szCs w:val="28"/>
          <w:highlight w:val="none"/>
        </w:rPr>
      </w:pPr>
      <w:r>
        <w:rPr>
          <w:color w:val="auto"/>
          <w:highlight w:val="none"/>
        </w:rPr>
        <w:fldChar w:fldCharType="begin"/>
      </w:r>
      <w:r>
        <w:rPr>
          <w:color w:val="auto"/>
          <w:highlight w:val="none"/>
        </w:rPr>
        <w:instrText xml:space="preserve"> HYPERLINK \l "_Toc8160" </w:instrText>
      </w:r>
      <w:r>
        <w:rPr>
          <w:color w:val="auto"/>
          <w:highlight w:val="none"/>
        </w:rPr>
        <w:fldChar w:fldCharType="separate"/>
      </w:r>
      <w:r>
        <w:rPr>
          <w:rFonts w:hint="eastAsia" w:cs="宋体"/>
          <w:color w:val="auto"/>
          <w:sz w:val="28"/>
          <w:szCs w:val="28"/>
          <w:highlight w:val="none"/>
          <w:lang w:val="zh-CN"/>
        </w:rPr>
        <w:t xml:space="preserve">第四章采购项目需求</w:t>
      </w:r>
      <w:r>
        <w:rPr>
          <w:color w:val="auto"/>
          <w:sz w:val="28"/>
          <w:szCs w:val="28"/>
          <w:highlight w:val="none"/>
        </w:rPr>
        <w:tab/>
      </w:r>
      <w:r>
        <w:rPr>
          <w:rFonts w:hint="eastAsia"/>
          <w:color w:val="auto"/>
          <w:sz w:val="28"/>
          <w:szCs w:val="28"/>
          <w:highlight w:val="none"/>
        </w:rPr>
        <w:t xml:space="preserve">1</w:t>
      </w:r>
      <w:r>
        <w:rPr>
          <w:rFonts w:hint="eastAsia"/>
          <w:color w:val="auto"/>
          <w:sz w:val="28"/>
          <w:szCs w:val="28"/>
          <w:highlight w:val="none"/>
        </w:rPr>
        <w:fldChar w:fldCharType="end"/>
      </w:r>
      <w:r>
        <w:rPr>
          <w:rFonts w:hint="eastAsia"/>
          <w:color w:val="auto"/>
          <w:sz w:val="28"/>
          <w:szCs w:val="28"/>
          <w:highlight w:val="none"/>
        </w:rPr>
        <w:t xml:space="preserve">9</w:t>
      </w:r>
      <w:r/>
    </w:p>
    <w:p>
      <w:pPr>
        <w:pStyle w:val="701"/>
        <w:spacing w:line="360" w:lineRule="auto"/>
        <w:tabs>
          <w:tab w:val="clear" w:pos="8456" w:leader="none"/>
          <w:tab w:val="right" w:pos="9468" w:leader="dot"/>
        </w:tabs>
        <w:rPr>
          <w:color w:val="auto"/>
          <w:sz w:val="28"/>
          <w:szCs w:val="28"/>
          <w:highlight w:val="none"/>
        </w:rPr>
      </w:pPr>
      <w:r>
        <w:rPr>
          <w:color w:val="auto"/>
          <w:highlight w:val="none"/>
        </w:rPr>
        <w:fldChar w:fldCharType="begin"/>
      </w:r>
      <w:r>
        <w:rPr>
          <w:color w:val="auto"/>
          <w:highlight w:val="none"/>
        </w:rPr>
        <w:instrText xml:space="preserve"> HYPERLINK \l "_Toc7238" </w:instrText>
      </w:r>
      <w:r>
        <w:rPr>
          <w:color w:val="auto"/>
          <w:highlight w:val="none"/>
        </w:rPr>
        <w:fldChar w:fldCharType="separate"/>
      </w:r>
      <w:r>
        <w:rPr>
          <w:rFonts w:hint="eastAsia"/>
          <w:color w:val="auto"/>
          <w:sz w:val="28"/>
          <w:szCs w:val="28"/>
          <w:highlight w:val="none"/>
          <w:lang w:val="zh-CN"/>
        </w:rPr>
        <w:t xml:space="preserve">第五章合同主要条款及格式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color w:val="auto"/>
          <w:sz w:val="28"/>
          <w:szCs w:val="28"/>
          <w:highlight w:val="none"/>
        </w:rPr>
        <w:fldChar w:fldCharType="end"/>
      </w:r>
      <w:r/>
    </w:p>
    <w:p>
      <w:pPr>
        <w:pStyle w:val="701"/>
        <w:spacing w:line="360" w:lineRule="auto"/>
        <w:tabs>
          <w:tab w:val="clear" w:pos="8456" w:leader="none"/>
          <w:tab w:val="right" w:pos="9468" w:leader="dot"/>
        </w:tabs>
        <w:rPr>
          <w:color w:val="auto"/>
          <w:sz w:val="28"/>
          <w:szCs w:val="28"/>
          <w:highlight w:val="none"/>
        </w:rPr>
      </w:pPr>
      <w:r>
        <w:rPr>
          <w:color w:val="auto"/>
          <w:highlight w:val="none"/>
        </w:rPr>
        <w:fldChar w:fldCharType="begin"/>
      </w:r>
      <w:r>
        <w:rPr>
          <w:color w:val="auto"/>
          <w:highlight w:val="none"/>
        </w:rPr>
        <w:instrText xml:space="preserve"> HYPERLINK \l "_Toc18137" </w:instrText>
      </w:r>
      <w:r>
        <w:rPr>
          <w:color w:val="auto"/>
          <w:highlight w:val="none"/>
        </w:rPr>
        <w:fldChar w:fldCharType="separate"/>
      </w:r>
      <w:r>
        <w:rPr>
          <w:rFonts w:hint="eastAsia" w:cs="宋体"/>
          <w:color w:val="auto"/>
          <w:sz w:val="28"/>
          <w:szCs w:val="28"/>
          <w:highlight w:val="none"/>
          <w:lang w:val="zh-CN"/>
        </w:rPr>
        <w:t xml:space="preserve">第六章投标文件格式及附件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 xml:space="preserve">31</w:t>
      </w:r>
      <w:r>
        <w:rPr>
          <w:color w:val="auto"/>
          <w:sz w:val="28"/>
          <w:szCs w:val="28"/>
          <w:highlight w:val="none"/>
        </w:rPr>
        <w:fldChar w:fldCharType="end"/>
      </w:r>
      <w:r>
        <w:rPr>
          <w:color w:val="auto"/>
          <w:sz w:val="28"/>
          <w:szCs w:val="28"/>
          <w:highlight w:val="none"/>
        </w:rPr>
        <w:fldChar w:fldCharType="end"/>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pStyle w:val="872"/>
        <w:spacing w:line="360" w:lineRule="auto"/>
        <w:rPr>
          <w:rFonts w:ascii="宋体" w:hAnsi="宋体" w:cs="宋体"/>
          <w:color w:val="auto"/>
          <w:sz w:val="36"/>
          <w:szCs w:val="36"/>
          <w:highlight w:val="none"/>
          <w:lang w:val="zh-CN"/>
        </w:rPr>
        <w:sectPr>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12683"/>
      <w:r/>
      <w:bookmarkStart w:id="2" w:name="_Toc8984"/>
      <w:r/>
      <w:bookmarkStart w:id="3" w:name="_Toc12800"/>
      <w:r/>
      <w:r/>
    </w:p>
    <w:p>
      <w:pPr>
        <w:pStyle w:val="675"/>
        <w:rPr>
          <w:color w:val="auto"/>
          <w:highlight w:val="none"/>
        </w:rPr>
      </w:pPr>
      <w:r>
        <w:rPr>
          <w:rFonts w:hint="eastAsia"/>
          <w:color w:val="auto"/>
          <w:highlight w:val="none"/>
          <w:lang w:val="zh-CN"/>
        </w:rPr>
        <w:t xml:space="preserve">第一章 </w:t>
      </w:r>
      <w:bookmarkEnd w:id="1"/>
      <w:r/>
      <w:bookmarkEnd w:id="2"/>
      <w:r/>
      <w:bookmarkEnd w:id="3"/>
      <w:r>
        <w:rPr>
          <w:rFonts w:hint="eastAsia"/>
          <w:color w:val="auto"/>
          <w:highlight w:val="none"/>
        </w:rPr>
        <w:t xml:space="preserve">招标公告</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2026年度警用装备更新专项-搜排爆装备项目的潜在供应商应在江苏政府采购网“苏采云”系统获取采购文件，并于2026年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日9时30分（北京时间）前提交投标文件。</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pStyle w:val="90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JSZC-320100-NJYP-G2026-0026</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2.项目名称：2026年度警用装备更新专项-搜排爆装备项目</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4.预算金额：180.7万元</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5.最高限价：180.7万元 （投标报价不得超过采购项目最高限价金额，否则按无效投标处理）。</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6.采购需求：为南京市公安局巡特警支队提供搜排爆装备的供货及配套服务，具体详见招标文件。</w:t>
      </w:r>
      <w:r/>
    </w:p>
    <w:p>
      <w:pPr>
        <w:ind w:firstLine="40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color w:val="auto"/>
          <w:szCs w:val="21"/>
          <w:highlight w:val="none"/>
        </w:rPr>
        <w:t xml:space="preserve">项目供货</w:t>
      </w:r>
      <w:r>
        <w:rPr>
          <w:rFonts w:hint="eastAsia" w:ascii="宋体" w:hAnsi="宋体" w:cs="宋体"/>
          <w:color w:val="auto"/>
          <w:szCs w:val="21"/>
          <w:highlight w:val="none"/>
          <w:lang w:val="zh-CN"/>
        </w:rPr>
        <w:t xml:space="preserve">期限：合同签订之日起</w:t>
      </w:r>
      <w:r>
        <w:rPr>
          <w:rFonts w:hint="eastAsia" w:ascii="宋体" w:hAnsi="宋体" w:cs="宋体"/>
          <w:color w:val="auto"/>
          <w:szCs w:val="21"/>
          <w:highlight w:val="none"/>
        </w:rPr>
        <w:t xml:space="preserve">90个工作日</w:t>
      </w:r>
      <w:r>
        <w:rPr>
          <w:rFonts w:hint="eastAsia" w:ascii="宋体" w:hAnsi="宋体" w:cs="宋体"/>
          <w:color w:val="auto"/>
          <w:szCs w:val="21"/>
          <w:highlight w:val="none"/>
          <w:lang w:val="zh-CN"/>
        </w:rPr>
        <w:t xml:space="preserve">，全部设备、材料运抵采购人指定地点并安装调试至验收完成（具体以采购人通知为准）。</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8.质量：</w:t>
      </w:r>
      <w:r>
        <w:rPr>
          <w:rFonts w:hint="eastAsia" w:ascii="宋体" w:hAnsi="宋体" w:cs="宋体"/>
          <w:color w:val="auto"/>
          <w:szCs w:val="21"/>
          <w:highlight w:val="none"/>
          <w:lang w:val="zh-CN"/>
        </w:rPr>
        <w:t xml:space="preserve">符合国家相关验收规范，</w:t>
      </w:r>
      <w:r>
        <w:rPr>
          <w:rFonts w:hint="eastAsia" w:ascii="宋体" w:hAnsi="宋体" w:cs="宋体"/>
          <w:color w:val="auto"/>
          <w:szCs w:val="21"/>
          <w:highlight w:val="none"/>
        </w:rPr>
        <w:t xml:space="preserve">具体详见招标文件。</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9.本项目采购标的对应的中小企业划分标准所属行业为：工业。</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本项目不接受联合体投标</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二、投标申请人资格要求</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1.具有独立承担民事责任的能力(请提供法人或者其他组织的营业执照等证明文件，自然人的身份证明)</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2.符合《中华人民共和国政府采购法》第二十二条的相关规定，提供《</w:t>
      </w:r>
      <w:r>
        <w:rPr>
          <w:rFonts w:hint="eastAsia" w:ascii="宋体" w:hAnsi="宋体" w:cs="宋体"/>
          <w:color w:val="auto"/>
          <w:szCs w:val="21"/>
          <w:highlight w:val="none"/>
          <w:lang w:val="zh-CN"/>
        </w:rPr>
        <w:t xml:space="preserve">信用承诺函》（格式见第六章）。</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落实政府采购政策需满足的资格要求：（如属于专门面向中小企业采购的项目，供应商应为中小微企业、监狱企业、残疾人福利性单位）</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本项目所有分包按照以下第（4）种方式落实政府采购促进中小企业发展的要求：</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（4）本项目为非预留份额的采购项目或采购包，执行价格扣除优惠政策，具体详见招标文件第三章评标标准。</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 本项目的特定资格条件：无</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 拒绝下述供应商参加本次采购活动：</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（3）供应商被“信用中国”网站、“中国政府采购网”网站列入失信执行人、重大税收违法案件当事人名单、政府采购严重违法失信行为记录名单。</w:t>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（4）供应商未按要求提供《信用承诺函》。</w:t>
      </w:r>
      <w:r/>
    </w:p>
    <w:p>
      <w:pPr>
        <w:pStyle w:val="906"/>
        <w:ind w:left="42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pStyle w:val="906"/>
        <w:ind w:firstLine="420"/>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时间：自招标公告发布之日起5个工作日</w:t>
      </w:r>
      <w:r/>
    </w:p>
    <w:p>
      <w:pPr>
        <w:pStyle w:val="90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地点：江苏省政府采购交易系统“苏采云系统”</w:t>
      </w:r>
      <w:r/>
    </w:p>
    <w:p>
      <w:pPr>
        <w:ind w:firstLine="400"/>
        <w:spacing w:line="360" w:lineRule="auto"/>
        <w:rPr>
          <w:rFonts w:ascii="宋体" w:hAnsi="宋体" w:cs="宋体"/>
          <w:color w:val="auto"/>
          <w:szCs w:val="21"/>
          <w:highlight w:val="none"/>
        </w:rPr>
      </w:pPr>
      <w:r/>
      <w:bookmarkStart w:id="4" w:name="_Hlk62814426"/>
      <w:r>
        <w:rPr>
          <w:rFonts w:hint="eastAsia" w:ascii="宋体" w:hAnsi="宋体" w:cs="宋体"/>
          <w:color w:val="auto"/>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p>
    <w:p>
      <w:pPr>
        <w:pStyle w:val="906"/>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四、提交电子投标文件截止时间、开标时间和地点</w:t>
      </w:r>
      <w:r/>
    </w:p>
    <w:p>
      <w:pPr>
        <w:pStyle w:val="906"/>
        <w:ind w:firstLine="42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日9时30分（北京时间） </w:t>
      </w:r>
      <w:r/>
    </w:p>
    <w:p>
      <w:pPr>
        <w:pStyle w:val="906"/>
        <w:ind w:firstLine="400"/>
        <w:spacing w:line="460" w:lineRule="exact"/>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地点：江苏省政府采购交易系统（以下简称“苏采云系统”）网上开标大厅</w:t>
      </w:r>
      <w:r/>
    </w:p>
    <w:p>
      <w:pPr>
        <w:numPr>
          <w:ilvl w:val="0"/>
          <w:numId w:val="1"/>
        </w:num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开启</w:t>
      </w:r>
      <w:r/>
    </w:p>
    <w:p>
      <w:pPr>
        <w:pStyle w:val="906"/>
        <w:ind w:firstLine="409"/>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日9时30分（北京时间）</w:t>
      </w:r>
      <w:r/>
    </w:p>
    <w:p>
      <w:pPr>
        <w:ind w:firstLine="409"/>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地点：江苏省政府采购交易系统（以下简称“苏采云系统”）网上开标大厅</w:t>
      </w:r>
      <w:r/>
    </w:p>
    <w:p>
      <w:pPr>
        <w:numPr>
          <w:ilvl w:val="0"/>
          <w:numId w:val="1"/>
        </w:num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公告期限</w:t>
      </w:r>
      <w:r/>
    </w:p>
    <w:p>
      <w:pPr>
        <w:ind w:firstLine="400"/>
        <w:spacing w:line="360" w:lineRule="auto"/>
        <w:tabs>
          <w:tab w:val="left" w:pos="0" w:leader="none"/>
          <w:tab w:val="left" w:pos="510" w:leader="none"/>
          <w:tab w:val="left" w:pos="1134" w:leader="none"/>
        </w:tabs>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七、其他补充事宜</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18"/>
          <w:rFonts w:hint="eastAsia" w:ascii="宋体" w:hAnsi="宋体" w:cs="宋体"/>
          <w:color w:val="auto"/>
          <w:szCs w:val="21"/>
          <w:highlight w:val="none"/>
        </w:rPr>
        <w:t xml:space="preserve">http://www.ccgp-jiangsu.gov.cn/jiangsu/zlxz/ee/ee3a4bc5a3454aa2b0d9312230633ce9.html</w:t>
      </w:r>
      <w:r>
        <w:rPr>
          <w:rStyle w:val="918"/>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（“苏采云”南京地区客服热线025-83633744、025-83633743）。</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2.潜在供应商访问政府采购管理交易系统（苏采云）的网络地址和方法：</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（3）“CA数字证书”的办理材料以及供应商操作手册详见：http://jsxcmm.com/help/gys.html。</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（4）潜在供应商访问“苏采云系统”的网络地址和方法：“苏采云系统”的网址：http://jszfcg.jsczt.cn/jszc/login。</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（5）采购文件（后缀名为“.kedt”）、供应商操作手册及政府采购客户端工具也可通过“苏采云系统” --已报名项目--报名详情页面内相应链接进行下载。</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（6）招标代理机构机构将数据电文形式的采购文件加载至“苏采云系统”，供潜在供应商下载或者查阅。    </w:t>
      </w:r>
      <w:r/>
    </w:p>
    <w:p>
      <w:pPr>
        <w:ind w:firstLine="420"/>
        <w:spacing w:line="460" w:lineRule="exact"/>
        <w:rPr>
          <w:rFonts w:ascii="宋体" w:hAnsi="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本项目的招标代理服务费由中标人支付，具体详见采购文件。</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4.招标人不组织现场踏勘，供应商如需踏勘现场可自行前往。</w:t>
      </w:r>
      <w:r/>
    </w:p>
    <w:p>
      <w:pPr>
        <w:pStyle w:val="906"/>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八、对本次采购提出询问，请按以下方式联系</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1.招标人信息</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名称：南京市公安局巡特警支队（南京市公安局留置看护支队）</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地址：南京市建邺区中和路109号</w:t>
      </w:r>
      <w:r/>
    </w:p>
    <w:p>
      <w:pPr>
        <w:pStyle w:val="906"/>
        <w:ind w:firstLine="480"/>
        <w:spacing w:line="360" w:lineRule="auto"/>
        <w:shd w:val="clear" w:color="auto" w:fill="ffff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联系人：孟警官 </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联系电话：025-88443800 </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2.招标代理机构机构信息</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名称：南京永平建设项目管理有限公司</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地址：南京市江宁区万泰路39号宸泰科技大厦泰楼(杭州银行)7层</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联系人：冯工 </w:t>
      </w:r>
      <w:r/>
    </w:p>
    <w:p>
      <w:pPr>
        <w:pStyle w:val="906"/>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联系电话：025-52166105-8029</w:t>
      </w:r>
      <w:r/>
    </w:p>
    <w:p>
      <w:pPr>
        <w:pStyle w:val="675"/>
        <w:spacing w:before="0" w:after="0"/>
        <w:rPr>
          <w:rFonts w:ascii="宋体" w:hAnsi="宋体" w:cs="宋体"/>
          <w:color w:val="auto"/>
          <w:szCs w:val="36"/>
          <w:highlight w:val="none"/>
          <w:lang w:val="zh-CN"/>
        </w:rPr>
      </w:pPr>
      <w:r>
        <w:rPr>
          <w:rFonts w:hint="eastAsia" w:ascii="宋体" w:hAnsi="宋体" w:cs="宋体"/>
          <w:color w:val="auto"/>
          <w:szCs w:val="21"/>
          <w:highlight w:val="none"/>
          <w:lang w:val="zh-CN"/>
        </w:rPr>
        <w:br w:type="page" w:clear="all"/>
      </w:r>
      <w:bookmarkStart w:id="5" w:name="_Toc18696"/>
      <w:r/>
      <w:bookmarkStart w:id="6" w:name="_Toc25854"/>
      <w:r/>
      <w:bookmarkStart w:id="7" w:name="_Toc19899"/>
      <w:r>
        <w:rPr>
          <w:rFonts w:hint="eastAsia" w:ascii="宋体" w:hAnsi="宋体" w:cs="宋体"/>
          <w:color w:val="auto"/>
          <w:szCs w:val="36"/>
          <w:highlight w:val="none"/>
          <w:lang w:val="zh-CN"/>
        </w:rPr>
        <w:t xml:space="preserve">第二章 </w:t>
      </w:r>
      <w:r>
        <w:rPr>
          <w:rFonts w:hint="eastAsia" w:ascii="宋体" w:hAnsi="宋体" w:cs="宋体"/>
          <w:color w:val="auto"/>
          <w:szCs w:val="36"/>
          <w:highlight w:val="none"/>
        </w:rPr>
        <w:t xml:space="preserve">投标人</w:t>
      </w:r>
      <w:r>
        <w:rPr>
          <w:rFonts w:hint="eastAsia" w:ascii="宋体" w:hAnsi="宋体" w:cs="宋体"/>
          <w:color w:val="auto"/>
          <w:szCs w:val="36"/>
          <w:highlight w:val="none"/>
          <w:lang w:val="zh-CN"/>
        </w:rPr>
        <w:t xml:space="preserve">须知</w:t>
      </w:r>
      <w:bookmarkEnd w:id="5"/>
      <w:r/>
      <w:bookmarkEnd w:id="6"/>
      <w:r/>
      <w:bookmarkEnd w:id="7"/>
      <w:r/>
      <w:r/>
    </w:p>
    <w:p>
      <w:pPr>
        <w:jc w:val="center"/>
        <w:spacing w:line="360" w:lineRule="auto"/>
        <w:rPr>
          <w:b/>
          <w:color w:val="auto"/>
          <w:sz w:val="28"/>
          <w:highlight w:val="none"/>
          <w:lang w:val="zh-CN"/>
        </w:rPr>
      </w:pPr>
      <w:r>
        <w:rPr>
          <w:rFonts w:hint="eastAsia"/>
          <w:b/>
          <w:color w:val="auto"/>
          <w:sz w:val="28"/>
          <w:highlight w:val="none"/>
          <w:lang w:val="zh-CN"/>
        </w:rPr>
        <w:t xml:space="preserve">前附表</w:t>
      </w:r>
      <w:r/>
    </w:p>
    <w:tbl>
      <w:tblPr>
        <w:tblStyle w:val="685"/>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937"/>
        <w:gridCol w:w="1124"/>
        <w:gridCol w:w="1686"/>
        <w:gridCol w:w="5300"/>
      </w:tblGrid>
      <w:tr>
        <w:trPr>
          <w:trHeight w:val="305"/>
        </w:trPr>
        <w:tc>
          <w:tcPr>
            <w:tcBorders>
              <w:top w:val="single" w:color="000000" w:sz="4" w:space="0"/>
              <w:left w:val="single" w:color="000000" w:sz="4" w:space="0"/>
              <w:bottom w:val="single" w:color="000000" w:sz="4" w:space="0"/>
              <w:right w:val="single" w:color="000000" w:sz="4" w:space="0"/>
            </w:tcBorders>
            <w:tcW w:w="749" w:type="dxa"/>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内        容</w:t>
            </w:r>
            <w:r/>
          </w:p>
        </w:tc>
      </w:tr>
      <w:tr>
        <w:trPr>
          <w:trHeight w:val="32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s="Arial"/>
                <w:color w:val="auto"/>
                <w:szCs w:val="21"/>
                <w:highlight w:val="none"/>
                <w:lang w:eastAsia="zh-CN"/>
              </w:rPr>
              <w:t xml:space="preserve">JSZC-320100-NJYP-G2026-0026</w:t>
            </w:r>
            <w:r/>
          </w:p>
        </w:tc>
      </w:tr>
      <w:tr>
        <w:trPr>
          <w:trHeight w:val="30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color w:val="auto"/>
                <w:szCs w:val="21"/>
                <w:highlight w:val="none"/>
              </w:rPr>
            </w:pPr>
            <w:r>
              <w:rPr>
                <w:rFonts w:hint="eastAsia" w:ascii="宋体" w:hAnsi="宋体" w:cs="Arial"/>
                <w:color w:val="auto"/>
                <w:szCs w:val="21"/>
                <w:highlight w:val="none"/>
              </w:rPr>
              <w:t xml:space="preserve">2026年度警用装备更新专项-搜排爆装备项目</w:t>
            </w:r>
            <w:r/>
          </w:p>
        </w:tc>
      </w:tr>
      <w:tr>
        <w:trPr>
          <w:trHeight w:val="444"/>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招标代理机构</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南京永平建设项目管理有限公司</w:t>
            </w:r>
            <w:r/>
          </w:p>
        </w:tc>
      </w:tr>
      <w:tr>
        <w:trPr>
          <w:trHeight w:val="43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招标代理机构地址</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南京市江宁区万泰路39号宸泰科技大厦泰楼(杭州银行)7层</w:t>
            </w:r>
            <w:r/>
          </w:p>
        </w:tc>
      </w:tr>
      <w:tr>
        <w:trPr>
          <w:trHeight w:val="39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采购文件获取方法</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highlight w:val="none"/>
              </w:rPr>
            </w:pPr>
            <w:r>
              <w:rPr>
                <w:rFonts w:hint="eastAsia" w:ascii="宋体" w:hAnsi="宋体" w:cs="Trebuchet MS"/>
                <w:color w:val="auto"/>
                <w:szCs w:val="21"/>
                <w:highlight w:val="none"/>
              </w:rPr>
              <w:t xml:space="preserve">在“江苏政府采购网”免费下载。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5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踏勘</w:t>
            </w:r>
            <w:r>
              <w:rPr>
                <w:rFonts w:hint="eastAsia" w:ascii="宋体" w:hAnsi="宋体"/>
                <w:color w:val="auto"/>
                <w:szCs w:val="21"/>
                <w:highlight w:val="none"/>
              </w:rPr>
              <w:t xml:space="preserve">现场</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lang w:val="zh-CN"/>
              </w:rPr>
              <w:t xml:space="preserve">不组织现场踏勘，</w:t>
            </w:r>
            <w:r>
              <w:rPr>
                <w:rFonts w:hint="eastAsia" w:ascii="宋体" w:hAnsi="宋体"/>
                <w:color w:val="auto"/>
                <w:szCs w:val="21"/>
                <w:highlight w:val="none"/>
              </w:rPr>
              <w:t xml:space="preserve">投标人</w:t>
            </w:r>
            <w:r>
              <w:rPr>
                <w:rFonts w:hint="eastAsia" w:ascii="宋体" w:hAnsi="宋体"/>
                <w:color w:val="auto"/>
                <w:szCs w:val="21"/>
                <w:highlight w:val="none"/>
                <w:lang w:val="zh-CN"/>
              </w:rPr>
              <w:t xml:space="preserve">如需踏勘现场可自行前往。</w:t>
            </w:r>
            <w:r/>
          </w:p>
        </w:tc>
      </w:tr>
      <w:tr>
        <w:trPr>
          <w:trHeight w:val="379"/>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投标有效期</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投标后九十（90）天</w:t>
            </w:r>
            <w:r/>
          </w:p>
        </w:tc>
      </w:tr>
      <w:tr>
        <w:trPr>
          <w:cantSplit/>
          <w:trHeight w:val="356"/>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银行账户</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户名</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highlight w:val="none"/>
              </w:rPr>
            </w:pPr>
            <w:r>
              <w:rPr>
                <w:rFonts w:hint="eastAsia"/>
                <w:color w:val="auto"/>
                <w:szCs w:val="21"/>
                <w:highlight w:val="none"/>
              </w:rPr>
              <w:t xml:space="preserve">南京永平建设项目管理有限公司</w:t>
            </w:r>
            <w:r/>
          </w:p>
        </w:tc>
      </w:tr>
      <w:tr>
        <w:trPr>
          <w:cantSplit/>
          <w:trHeight w:val="334"/>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firstLine="105"/>
              <w:jc w:val="cente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开户行</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highlight w:val="none"/>
                <w:lang w:val="zh-CN"/>
              </w:rPr>
            </w:pPr>
            <w:r>
              <w:rPr>
                <w:rFonts w:hint="eastAsia" w:ascii="宋体" w:hAnsi="宋体"/>
                <w:color w:val="auto"/>
                <w:szCs w:val="21"/>
                <w:highlight w:val="none"/>
              </w:rPr>
              <w:t xml:space="preserve">江苏紫金农商行东山支行</w:t>
            </w:r>
            <w:r/>
          </w:p>
        </w:tc>
      </w:tr>
      <w:tr>
        <w:trPr>
          <w:cantSplit/>
          <w:trHeight w:val="385"/>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账号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Cs w:val="21"/>
                <w:highlight w:val="none"/>
                <w:lang w:val="zh-CN"/>
              </w:rPr>
            </w:pPr>
            <w:r>
              <w:rPr>
                <w:rFonts w:ascii="宋体" w:hAnsi="宋体"/>
                <w:color w:val="auto"/>
                <w:szCs w:val="21"/>
                <w:highlight w:val="none"/>
              </w:rPr>
              <w:t xml:space="preserve">3201212401201000044142</w:t>
            </w:r>
            <w:r/>
          </w:p>
        </w:tc>
      </w:tr>
      <w:tr>
        <w:trPr>
          <w:cantSplit/>
          <w:trHeight w:val="374"/>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9</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 信息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Cs w:val="21"/>
                <w:highlight w:val="none"/>
                <w:lang w:val="zh-CN"/>
              </w:rPr>
            </w:pPr>
            <w:r>
              <w:rPr>
                <w:rFonts w:hint="eastAsia" w:ascii="宋体" w:hAnsi="宋体" w:cs="宋体"/>
                <w:color w:val="auto"/>
                <w:szCs w:val="21"/>
                <w:highlight w:val="none"/>
              </w:rPr>
              <w:t xml:space="preserve">2026年</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w:t>
            </w:r>
            <w:r>
              <w:rPr>
                <w:rFonts w:hint="eastAsia" w:ascii="宋体" w:hAnsi="宋体" w:cs="宋体"/>
                <w:color w:val="auto"/>
                <w:szCs w:val="21"/>
                <w:highlight w:val="none"/>
              </w:rPr>
              <w:t xml:space="preserve">9时30分</w:t>
            </w:r>
            <w:r/>
          </w:p>
        </w:tc>
      </w:tr>
      <w:tr>
        <w:trPr>
          <w:cantSplit/>
          <w:trHeight w:val="449"/>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Cs w:val="21"/>
                <w:highlight w:val="none"/>
                <w:lang w:val="zh-CN"/>
              </w:rPr>
            </w:pPr>
            <w:r>
              <w:rPr>
                <w:rFonts w:hint="eastAsia" w:ascii="宋体" w:hAnsi="宋体" w:cs="Trebuchet MS"/>
                <w:color w:val="auto"/>
                <w:szCs w:val="21"/>
                <w:highlight w:val="none"/>
              </w:rPr>
              <w:t xml:space="preserve">江苏省政府采购交易系统（以下简称“苏采云系统”）网上开标大厅</w:t>
            </w:r>
            <w:r/>
          </w:p>
        </w:tc>
      </w:tr>
      <w:tr>
        <w:trPr>
          <w:cantSplit/>
          <w:trHeight w:val="485"/>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0</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联系 事项</w:t>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招标人</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rPr>
            </w:pPr>
            <w:r>
              <w:rPr>
                <w:rFonts w:hint="eastAsia" w:ascii="宋体"/>
                <w:color w:val="auto"/>
                <w:szCs w:val="21"/>
                <w:highlight w:val="none"/>
              </w:rPr>
              <w:t xml:space="preserve">孟警官</w:t>
            </w:r>
            <w:r/>
          </w:p>
        </w:tc>
      </w:tr>
      <w:tr>
        <w:trPr>
          <w:cantSplit/>
          <w:trHeight w:val="621"/>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left w:val="single" w:color="000000" w:sz="4" w:space="0"/>
              <w:bottom w:val="single" w:color="000000" w:sz="4" w:space="0"/>
              <w:right w:val="single" w:color="000000" w:sz="4" w:space="0"/>
            </w:tcBorders>
            <w:tcW w:w="1124" w:type="dxa"/>
            <w:vAlign w:val="center"/>
            <w:vMerge w:val="continue"/>
            <w:textDirection w:val="lrTb"/>
            <w:noWrap w:val="false"/>
          </w:tcPr>
          <w:p>
            <w:pPr>
              <w:jc w:val="center"/>
              <w:spacing w:line="360" w:lineRule="auto"/>
              <w:rPr>
                <w:rFonts w:ascii="宋体"/>
                <w:color w:val="auto"/>
                <w:szCs w:val="21"/>
                <w:highlight w:val="none"/>
                <w:lang w:val="zh-CN"/>
              </w:rPr>
            </w:pPr>
            <w:r>
              <w:rPr>
                <w:rFonts w:asci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rPr>
            </w:pPr>
            <w:r>
              <w:rPr>
                <w:rFonts w:hint="eastAsia" w:ascii="宋体" w:hAnsi="宋体" w:eastAsia="宋体" w:cs="宋体"/>
                <w:color w:val="auto"/>
                <w:sz w:val="21"/>
                <w:szCs w:val="21"/>
                <w:highlight w:val="none"/>
                <w:lang w:val="zh-CN"/>
              </w:rPr>
              <w:t xml:space="preserve">025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88443800</w:t>
            </w:r>
            <w:r>
              <w:rPr>
                <w:rFonts w:hint="eastAsia" w:ascii="宋体" w:hAnsi="宋体" w:eastAsia="宋体" w:cs="宋体"/>
                <w:color w:val="auto"/>
                <w:sz w:val="21"/>
                <w:szCs w:val="21"/>
                <w:highlight w:val="none"/>
              </w:rPr>
              <w:t xml:space="preserve"> </w:t>
            </w:r>
            <w:r/>
          </w:p>
        </w:tc>
      </w:tr>
      <w:tr>
        <w:trPr>
          <w:cantSplit/>
          <w:trHeight w:val="503"/>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招标代理机构机构</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rPr>
              <w:t xml:space="preserve">冯</w:t>
            </w:r>
            <w:r>
              <w:rPr>
                <w:rFonts w:hint="eastAsia" w:ascii="宋体"/>
                <w:color w:val="auto"/>
                <w:szCs w:val="21"/>
                <w:highlight w:val="none"/>
                <w:lang w:val="zh-CN"/>
              </w:rPr>
              <w:t xml:space="preserve">工</w:t>
            </w:r>
            <w:r/>
          </w:p>
        </w:tc>
      </w:tr>
      <w:tr>
        <w:trPr>
          <w:cantSplit/>
          <w:trHeight w:val="550"/>
        </w:trPr>
        <w:tc>
          <w:tcPr>
            <w:tcBorders>
              <w:left w:val="single" w:color="000000" w:sz="4" w:space="0"/>
              <w:right w:val="single" w:color="000000" w:sz="4" w:space="0"/>
            </w:tcBorders>
            <w:tcW w:w="74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left w:val="single" w:color="000000" w:sz="4" w:space="0"/>
              <w:right w:val="single" w:color="000000" w:sz="4" w:space="0"/>
            </w:tcBorders>
            <w:tcW w:w="1124" w:type="dxa"/>
            <w:vAlign w:val="center"/>
            <w:vMerge w:val="continue"/>
            <w:textDirection w:val="lrTb"/>
            <w:noWrap w:val="false"/>
          </w:tcPr>
          <w:p>
            <w:pPr>
              <w:spacing w:line="360" w:lineRule="auto"/>
              <w:rPr>
                <w:rFonts w:ascii="宋体"/>
                <w:color w:val="auto"/>
                <w:szCs w:val="21"/>
                <w:highlight w:val="none"/>
                <w:lang w:val="zh-CN"/>
              </w:rPr>
            </w:pPr>
            <w:r>
              <w:rPr>
                <w:rFonts w:ascii="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ascii="宋体"/>
                <w:color w:val="auto"/>
                <w:szCs w:val="21"/>
                <w:highlight w:val="none"/>
                <w:lang w:val="zh-CN"/>
              </w:rPr>
            </w:pPr>
            <w:r>
              <w:rPr>
                <w:rFonts w:hint="eastAsia" w:ascii="宋体"/>
                <w:color w:val="auto"/>
                <w:szCs w:val="21"/>
                <w:highlight w:val="none"/>
                <w:lang w:val="zh-CN"/>
              </w:rPr>
              <w:t xml:space="preserve">025-52166105-8029</w:t>
            </w:r>
            <w:r/>
          </w:p>
        </w:tc>
      </w:tr>
    </w:tbl>
    <w:p>
      <w:pPr>
        <w:ind w:firstLine="420"/>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13"/>
        <w:spacing w:line="360" w:lineRule="auto"/>
        <w:rPr>
          <w:rFonts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一、总则</w:t>
      </w:r>
      <w:r/>
    </w:p>
    <w:p>
      <w:pPr>
        <w:pStyle w:val="889"/>
        <w:ind w:firstLine="413"/>
        <w:spacing w:line="360" w:lineRule="auto"/>
        <w:rPr>
          <w:b/>
          <w:color w:val="auto"/>
          <w:highlight w:val="none"/>
          <w:lang w:val="zh-CN"/>
        </w:rPr>
      </w:pPr>
      <w:r/>
      <w:bookmarkStart w:id="8" w:name="_Toc3875"/>
      <w:r/>
      <w:bookmarkStart w:id="9" w:name="_Toc31812"/>
      <w:r>
        <w:rPr>
          <w:rFonts w:hint="eastAsia"/>
          <w:b/>
          <w:color w:val="auto"/>
          <w:highlight w:val="none"/>
          <w:lang w:val="zh-CN"/>
        </w:rPr>
        <w:t xml:space="preserve">1、适用法律</w:t>
      </w:r>
      <w:bookmarkEnd w:id="8"/>
      <w:r/>
      <w:bookmarkEnd w:id="9"/>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889"/>
        <w:ind w:firstLine="420"/>
        <w:spacing w:line="360" w:lineRule="auto"/>
        <w:rPr>
          <w:b/>
          <w:color w:val="auto"/>
          <w:highlight w:val="none"/>
          <w:lang w:val="zh-CN"/>
        </w:rPr>
      </w:pPr>
      <w:r/>
      <w:bookmarkStart w:id="10" w:name="_Toc25938"/>
      <w:r/>
      <w:bookmarkStart w:id="11" w:name="_Toc23139"/>
      <w:r>
        <w:rPr>
          <w:rFonts w:hint="eastAsia"/>
          <w:b/>
          <w:color w:val="auto"/>
          <w:highlight w:val="none"/>
          <w:lang w:val="zh-CN"/>
        </w:rPr>
        <w:t xml:space="preserve">2、定义</w:t>
      </w:r>
      <w:bookmarkEnd w:id="10"/>
      <w:r/>
      <w:bookmarkEnd w:id="11"/>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 “供应商”、“投标人”是指参加投标竞争，并符合</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文件规定资格条件的法人、其他组织或者自然人。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 “产品”指本采购文件中所述产品及相关服务。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“用户或使用单位”是指使用货物、服务的单位。</w:t>
      </w:r>
      <w:r/>
    </w:p>
    <w:p>
      <w:pPr>
        <w:pStyle w:val="889"/>
        <w:ind w:firstLine="420"/>
        <w:spacing w:line="360" w:lineRule="auto"/>
        <w:rPr>
          <w:b/>
          <w:color w:val="auto"/>
          <w:highlight w:val="none"/>
          <w:lang w:val="zh-CN"/>
        </w:rPr>
      </w:pPr>
      <w:r>
        <w:rPr>
          <w:rFonts w:hint="eastAsia"/>
          <w:b/>
          <w:color w:val="auto"/>
          <w:highlight w:val="none"/>
          <w:lang w:val="zh-CN"/>
        </w:rPr>
        <w:t xml:space="preserve">3、政策功能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 评标标准”</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二、采购文件</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4.1 采购文件组成：招标公告、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4.2 采购的最小单位是包。采购服务数量及技术要求中未分包的，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对要求提供的服务不得部分投标；采购服务数量及技术要求中已经分包的，应当以</w:t>
      </w:r>
      <w:r>
        <w:rPr>
          <w:rFonts w:hint="eastAsia" w:ascii="宋体" w:hAnsi="宋体" w:cs="宋体"/>
          <w:color w:val="auto"/>
          <w:szCs w:val="21"/>
          <w:highlight w:val="none"/>
        </w:rPr>
        <w:t xml:space="preserve">包</w:t>
      </w:r>
      <w:r>
        <w:rPr>
          <w:rFonts w:hint="eastAsia" w:ascii="宋体" w:hAnsi="宋体" w:cs="宋体"/>
          <w:color w:val="auto"/>
          <w:szCs w:val="21"/>
          <w:highlight w:val="none"/>
          <w:lang w:val="zh-CN"/>
        </w:rPr>
        <w:t xml:space="preserve">为单位投标。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4.3 采购文件如果要求供应商提交备选投标方案的，供应商可以提交备选方案；否则，备选方案将被拒绝。</w:t>
      </w:r>
      <w:r/>
    </w:p>
    <w:p>
      <w:pPr>
        <w:pStyle w:val="889"/>
        <w:ind w:firstLine="422"/>
        <w:spacing w:line="360" w:lineRule="auto"/>
        <w:rPr>
          <w:b/>
          <w:color w:val="auto"/>
          <w:highlight w:val="none"/>
          <w:lang w:val="zh-CN"/>
        </w:rPr>
      </w:pPr>
      <w:r/>
      <w:bookmarkStart w:id="12" w:name="_Toc27071"/>
      <w:r/>
      <w:bookmarkStart w:id="13" w:name="_Toc19198"/>
      <w:r>
        <w:rPr>
          <w:rFonts w:hint="eastAsia"/>
          <w:b/>
          <w:color w:val="auto"/>
          <w:highlight w:val="none"/>
          <w:lang w:val="zh-CN"/>
        </w:rPr>
        <w:t xml:space="preserve">5、采购文件的澄清、修改</w:t>
      </w:r>
      <w:bookmarkEnd w:id="12"/>
      <w:r/>
      <w:bookmarkEnd w:id="13"/>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5.1招标代理机构对已发出的采购文件进行必要澄清或者修改的，将在采购文件要求提交投标文件截止时间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前，在原采购公告媒体发布更正公告，该澄清或者修改的内容为采购文件的组成部分。</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5.2 招标代理机构在采购文件要求提交投标文件截止时间前，有权决定延长投标截止时间和开标时间，并</w:t>
      </w:r>
      <w:r>
        <w:rPr>
          <w:rFonts w:hint="eastAsia" w:ascii="宋体" w:hAnsi="宋体" w:cs="宋体"/>
          <w:color w:val="auto"/>
          <w:highlight w:val="none"/>
        </w:rPr>
        <w:t xml:space="preserve">在原采购信息发布媒体上发布变更公告。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应在投标截止时间前关注</w:t>
      </w:r>
      <w:r>
        <w:rPr>
          <w:rFonts w:hint="eastAsia" w:ascii="宋体" w:hAnsi="宋体" w:cs="宋体"/>
          <w:color w:val="auto"/>
          <w:highlight w:val="none"/>
        </w:rPr>
        <w:t xml:space="preserve">原采购信息发布媒体上</w:t>
      </w:r>
      <w:r>
        <w:rPr>
          <w:rFonts w:hint="eastAsia" w:ascii="宋体" w:hAnsi="宋体" w:cs="宋体"/>
          <w:color w:val="auto"/>
          <w:szCs w:val="21"/>
          <w:highlight w:val="none"/>
          <w:lang w:val="zh-CN"/>
        </w:rPr>
        <w:t xml:space="preserve">有关本采购项目有无变更公告。</w:t>
      </w:r>
      <w:r/>
    </w:p>
    <w:p>
      <w:pPr>
        <w:ind w:firstLine="413"/>
        <w:spacing w:line="360" w:lineRule="auto"/>
        <w:rPr>
          <w:rFonts w:ascii="宋体" w:hAnsi="宋体" w:cs="宋体"/>
          <w:b/>
          <w:color w:val="auto"/>
          <w:highlight w:val="none"/>
        </w:rPr>
      </w:pPr>
      <w:r/>
      <w:bookmarkStart w:id="14" w:name="_Toc31483"/>
      <w:r/>
      <w:bookmarkStart w:id="15" w:name="_Toc19187"/>
      <w:r>
        <w:rPr>
          <w:rFonts w:hint="eastAsia" w:ascii="宋体" w:hAnsi="宋体" w:cs="宋体"/>
          <w:b/>
          <w:color w:val="auto"/>
          <w:highlight w:val="none"/>
        </w:rPr>
        <w:t xml:space="preserve">三、投标</w:t>
      </w:r>
      <w:bookmarkEnd w:id="14"/>
      <w:r/>
      <w:bookmarkEnd w:id="15"/>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提交的投标文件、技术文件和资料，以及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与</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代理机构机构就有关投标的所有来往函电均应使用中文。投标文件中若有英文或其他语言文字的资料，应提供相应的中文翻译资料。对不同文本投标文件的解释发生异议的，以中文文本为准。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6.4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应在投标文件中写清相应的项目编号、项目名称、</w:t>
      </w:r>
      <w:r>
        <w:rPr>
          <w:rFonts w:hint="eastAsia" w:ascii="宋体" w:hAnsi="宋体" w:cs="宋体"/>
          <w:color w:val="auto"/>
          <w:szCs w:val="21"/>
          <w:highlight w:val="none"/>
        </w:rPr>
        <w:t xml:space="preserve">分包号、投标人</w:t>
      </w:r>
      <w:r>
        <w:rPr>
          <w:rFonts w:hint="eastAsia" w:ascii="宋体" w:hAnsi="宋体" w:cs="宋体"/>
          <w:color w:val="auto"/>
          <w:szCs w:val="21"/>
          <w:highlight w:val="none"/>
          <w:lang w:val="zh-CN"/>
        </w:rPr>
        <w:t xml:space="preserve">全称、地址、电话、传真等。</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、联合体投标</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7.1本项目</w:t>
      </w:r>
      <w:r>
        <w:rPr>
          <w:rFonts w:hint="eastAsia" w:ascii="宋体" w:hAnsi="宋体" w:cs="宋体"/>
          <w:b/>
          <w:color w:val="auto"/>
          <w:szCs w:val="21"/>
          <w:highlight w:val="none"/>
        </w:rPr>
        <w:t xml:space="preserve">不接受联合体投标。</w:t>
      </w:r>
      <w:r/>
    </w:p>
    <w:p>
      <w:pPr>
        <w:pStyle w:val="889"/>
        <w:ind w:firstLine="420"/>
        <w:spacing w:line="360" w:lineRule="auto"/>
        <w:rPr>
          <w:b/>
          <w:color w:val="auto"/>
          <w:highlight w:val="none"/>
          <w:lang w:val="zh-CN"/>
        </w:rPr>
      </w:pPr>
      <w:r/>
      <w:bookmarkStart w:id="16" w:name="_Toc15094"/>
      <w:r/>
      <w:bookmarkStart w:id="17" w:name="_Toc5169"/>
      <w:r>
        <w:rPr>
          <w:rFonts w:hint="eastAsia"/>
          <w:b/>
          <w:color w:val="auto"/>
          <w:highlight w:val="none"/>
          <w:lang w:val="zh-CN"/>
        </w:rPr>
        <w:t xml:space="preserve">8、投标费用</w:t>
      </w:r>
      <w:bookmarkEnd w:id="16"/>
      <w:r/>
      <w:bookmarkEnd w:id="1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应自行承担所有与准备和参加投标有关的费用。</w:t>
      </w:r>
      <w:r/>
    </w:p>
    <w:p>
      <w:pPr>
        <w:ind w:firstLine="420"/>
        <w:spacing w:line="460" w:lineRule="exact"/>
        <w:rPr>
          <w:rFonts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 xml:space="preserve">招标代理费以中标金额为基数，招标代理费用按照《招标代理服务收费管理暂行办法》【计价格（2002）1980号】文件收费标准的24%由中标人支付。采购人的采购预算(限价)中已包含本项目的招标代理服务费。招标代理服务费由中标(成交)供应商予以支付，供应商的投标报价中应当包含招标代理服务费。招标代理费由中标单位在领取中标通知书前一次性支付。代理机构开具正规发票。</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9.1</w:t>
      </w:r>
      <w:r>
        <w:rPr>
          <w:rFonts w:hint="eastAsia" w:ascii="宋体" w:hAnsi="宋体" w:cs="宋体"/>
          <w:color w:val="auto"/>
          <w:szCs w:val="21"/>
          <w:highlight w:val="none"/>
        </w:rPr>
        <w:t xml:space="preserve">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《商务条款偏离表》、《技术条款偏离表》等处</w:t>
      </w:r>
      <w:r>
        <w:rPr>
          <w:rFonts w:hint="eastAsia" w:ascii="宋体" w:hAnsi="宋体" w:cs="宋体"/>
          <w:color w:val="auto"/>
          <w:szCs w:val="21"/>
          <w:highlight w:val="none"/>
        </w:rPr>
        <w:t xml:space="preserve">逐条标明满足与否。</w:t>
      </w:r>
      <w:r>
        <w:rPr>
          <w:rFonts w:hint="eastAsia" w:ascii="宋体" w:hAnsi="宋体" w:cs="宋体"/>
          <w:b/>
          <w:color w:val="auto"/>
          <w:szCs w:val="21"/>
          <w:highlight w:val="none"/>
          <w:u w:val="single"/>
          <w:lang w:val="zh-CN"/>
        </w:rPr>
        <w:t xml:space="preserve">对带星号（“★”）的技术条款必须在电子投标文件中提供技术支持资料（如白皮书、彩页、手册、检测报告等），未提供技术支持资料的，评审时不予认可</w:t>
      </w:r>
      <w:r>
        <w:rPr>
          <w:rFonts w:hint="eastAsia" w:ascii="宋体" w:hAnsi="宋体" w:cs="宋体"/>
          <w:color w:val="auto"/>
          <w:szCs w:val="21"/>
          <w:highlight w:val="none"/>
          <w:lang w:val="zh-CN"/>
        </w:rPr>
        <w:t xml:space="preserve">。</w:t>
      </w:r>
      <w:r/>
    </w:p>
    <w:p>
      <w:pPr>
        <w:ind w:firstLine="412"/>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根据采购文件载明的标的采购项目实际情况，拟在中标后将中标项目的非主体、非关键性工作交由他人完成的，应当在电子投标文件中载明。</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上传的电子投标文件由商务部分、技术部分、价格部分，以及其他部分组成。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投标申请及声明；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p>
    <w:p>
      <w:pPr>
        <w:ind w:firstLine="420"/>
        <w:jc w:val="left"/>
        <w:spacing w:line="360" w:lineRule="auto"/>
        <w:widowControl/>
        <w:rPr>
          <w:color w:val="auto"/>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分项报价表</w:t>
      </w:r>
      <w:r>
        <w:rPr>
          <w:rFonts w:hint="eastAsia" w:ascii="宋体" w:hAnsi="宋体" w:cs="宋体"/>
          <w:bCs/>
          <w:color w:val="auto"/>
          <w:szCs w:val="21"/>
          <w:highlight w:val="none"/>
          <w:lang w:val="zh-CN"/>
        </w:rPr>
        <w:t xml:space="preserve">；</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第一章招标公告中《中华人民共和国政府采购法》规定的资格条件证明文件；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第一章招标公告中招标人根据采购项目的特殊要求规定的特定条件证明文件；（如有）</w:t>
      </w:r>
      <w:r/>
    </w:p>
    <w:p>
      <w:pPr>
        <w:ind w:firstLine="420"/>
        <w:jc w:val="left"/>
        <w:spacing w:line="360" w:lineRule="auto"/>
        <w:widowControl/>
        <w:rPr>
          <w:rFonts w:ascii="宋体" w:hAnsi="宋体" w:cs="宋体"/>
          <w:b/>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《信用承诺函》</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）承担过类似业绩情况（格式自拟）；</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）中小企业声明函（如有）；</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）残疾人福利性单位声明函（如有）；</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）属于监狱企业的证明文件（如有）；</w:t>
      </w:r>
      <w:r/>
    </w:p>
    <w:p>
      <w:pPr>
        <w:ind w:firstLine="420"/>
        <w:jc w:val="left"/>
        <w:spacing w:line="46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w:t>
      </w:r>
      <w:r>
        <w:rPr>
          <w:rFonts w:hint="eastAsia"/>
          <w:color w:val="auto"/>
          <w:highlight w:val="none"/>
        </w:rPr>
        <w:t xml:space="preserve">《关于符合本国产品标准的声明函》</w:t>
      </w:r>
      <w:r>
        <w:rPr>
          <w:rFonts w:hint="eastAsia" w:ascii="宋体" w:hAnsi="宋体" w:cs="宋体"/>
          <w:color w:val="auto"/>
          <w:szCs w:val="21"/>
          <w:highlight w:val="none"/>
          <w:lang w:val="zh-CN"/>
        </w:rPr>
        <w:t xml:space="preserve">（如有）；</w:t>
      </w:r>
      <w:r/>
    </w:p>
    <w:p>
      <w:pPr>
        <w:ind w:firstLine="420"/>
        <w:jc w:val="left"/>
        <w:spacing w:line="46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承诺书</w:t>
      </w:r>
      <w:r/>
    </w:p>
    <w:p>
      <w:pPr>
        <w:ind w:firstLine="420"/>
        <w:jc w:val="left"/>
        <w:spacing w:line="460" w:lineRule="exact"/>
        <w:widowControl/>
        <w:rPr>
          <w:rFonts w:ascii="宋体" w:hAnsi="宋体" w:cs="Trebuchet MS"/>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16</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认为需提供的其他资料；</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投标人提供的产品和服务是合格的、并符合采购文件要求的证明文件，以及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（1）货物品牌、型号、材质、主要技术（服务）指标和性能、制造商、生产企业名称等详细说明，并且附样品实物照片；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（2）★《供货一览表》；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（3）★技术条款偏离表；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（4）货物安装、验收标准、货物技术资料；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）实施方案；</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highlight w:val="none"/>
        </w:rPr>
        <w:t xml:space="preserve">（</w:t>
      </w:r>
      <w:r>
        <w:rPr>
          <w:rFonts w:ascii="宋体" w:hAnsi="宋体" w:cs="宋体"/>
          <w:color w:val="auto"/>
          <w:highlight w:val="none"/>
        </w:rPr>
        <w:t xml:space="preserve">6</w:t>
      </w:r>
      <w:r>
        <w:rPr>
          <w:rFonts w:hint="eastAsia" w:ascii="宋体" w:hAnsi="宋体" w:cs="宋体"/>
          <w:color w:val="auto"/>
          <w:highlight w:val="none"/>
        </w:rPr>
        <w:t xml:space="preserve">）</w:t>
      </w:r>
      <w:r>
        <w:rPr>
          <w:rFonts w:hint="eastAsia" w:ascii="宋体" w:hAnsi="宋体" w:cs="宋体"/>
          <w:color w:val="auto"/>
          <w:szCs w:val="21"/>
          <w:highlight w:val="none"/>
          <w:lang w:val="zh-CN"/>
        </w:rPr>
        <w:t xml:space="preserve">服务承诺书；</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7</w:t>
      </w:r>
      <w:r>
        <w:rPr>
          <w:rFonts w:hint="eastAsia" w:ascii="宋体" w:hAnsi="宋体" w:cs="宋体"/>
          <w:color w:val="auto"/>
          <w:szCs w:val="21"/>
          <w:highlight w:val="none"/>
        </w:rPr>
        <w:t xml:space="preserve">）投标人认为需要</w:t>
      </w:r>
      <w:r>
        <w:rPr>
          <w:rFonts w:hint="eastAsia" w:ascii="宋体" w:hAnsi="宋体" w:cs="宋体"/>
          <w:color w:val="auto"/>
          <w:szCs w:val="21"/>
          <w:highlight w:val="none"/>
          <w:lang w:val="zh-CN"/>
        </w:rPr>
        <w:t xml:space="preserve">提供的其他技术资料。</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价格部分是对投标货物和服务价格构成的说明，仅接受一个</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w:t>
      </w:r>
      <w:r/>
    </w:p>
    <w:p>
      <w:pPr>
        <w:ind w:firstLine="420"/>
        <w:jc w:val="left"/>
        <w:spacing w:line="360" w:lineRule="auto"/>
        <w:widowControl/>
        <w:rPr>
          <w:color w:val="auto"/>
          <w:highlight w:val="none"/>
        </w:rPr>
      </w:pPr>
      <w:r>
        <w:rPr>
          <w:rFonts w:hint="eastAsia" w:ascii="宋体" w:hAnsi="宋体" w:cs="宋体"/>
          <w:color w:val="auto"/>
          <w:szCs w:val="21"/>
          <w:highlight w:val="none"/>
          <w:lang w:val="zh-CN"/>
        </w:rPr>
        <w:t xml:space="preserve">12.2价格部分</w:t>
      </w:r>
      <w:r>
        <w:rPr>
          <w:rFonts w:hint="eastAsia" w:ascii="宋体" w:hAnsi="宋体" w:cs="宋体"/>
          <w:color w:val="auto"/>
          <w:szCs w:val="21"/>
          <w:highlight w:val="none"/>
        </w:rPr>
        <w:t xml:space="preserve">包括但不限于货物成本、利润、税金、运输费、保险费等相关服务费用</w:t>
      </w:r>
      <w:r>
        <w:rPr>
          <w:rFonts w:hint="eastAsia" w:ascii="宋体" w:hAnsi="宋体" w:cs="宋体"/>
          <w:color w:val="auto"/>
          <w:highlight w:val="none"/>
          <w:lang w:val="zh-CN"/>
        </w:rPr>
        <w:t xml:space="preserve">及</w:t>
      </w:r>
      <w:r>
        <w:rPr>
          <w:rFonts w:hint="eastAsia" w:ascii="宋体" w:hAnsi="宋体" w:cs="宋体"/>
          <w:color w:val="auto"/>
          <w:highlight w:val="none"/>
        </w:rPr>
        <w:t xml:space="preserve">投标人</w:t>
      </w:r>
      <w:r>
        <w:rPr>
          <w:rFonts w:hint="eastAsia" w:ascii="宋体" w:hAnsi="宋体" w:cs="宋体"/>
          <w:color w:val="auto"/>
          <w:highlight w:val="none"/>
          <w:lang w:val="zh-CN"/>
        </w:rPr>
        <w:t xml:space="preserve">认为需要的其他费用等</w:t>
      </w:r>
      <w:r>
        <w:rPr>
          <w:rFonts w:hint="eastAsia" w:ascii="宋体" w:hAnsi="宋体" w:cs="宋体"/>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 xml:space="preserve">投标人的任何错漏、优惠、竞争性报价不得作为减轻责任、减少服务、增加收费、降低质量的理由。</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应在《开标一览表》、《投标分项报价》等标明提供货物的投标</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系小企业（含小型、微型企业），并提供本企业制造的货物、承担的工程或者服务，或者提供其他小企业制造的货物，须在《开标一览表》、《</w:t>
      </w:r>
      <w:r>
        <w:rPr>
          <w:rFonts w:hint="eastAsia" w:ascii="宋体" w:hAnsi="宋体" w:cs="宋体"/>
          <w:color w:val="auto"/>
          <w:szCs w:val="21"/>
          <w:highlight w:val="none"/>
        </w:rPr>
        <w:t xml:space="preserve">分项</w:t>
      </w:r>
      <w:r>
        <w:rPr>
          <w:rFonts w:hint="eastAsia" w:ascii="宋体" w:hAnsi="宋体" w:cs="宋体"/>
          <w:color w:val="auto"/>
          <w:szCs w:val="21"/>
          <w:highlight w:val="none"/>
          <w:lang w:val="zh-CN"/>
        </w:rPr>
        <w:t xml:space="preserve">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》中注明。</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根据编制投标文件需要提供的其他相关文件。</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无须提交投标保证金。</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代理机构可要求</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同意延长投标有效期，这种要求与答复均以书面形式提交。</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可拒绝这种要求，接受延长投标有效期的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将不会要求和允许修正其投标。</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jc w:val="left"/>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投标人应严格按照采购文件要求制作电子投标文件并加盖电子公章。</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17.1 投标人应当按照《操作手册》规定，在采购公告规定的提交投标文件截止时间前制作并上传投标文件。</w:t>
      </w:r>
      <w:r/>
    </w:p>
    <w:p>
      <w:pPr>
        <w:ind w:firstLine="420"/>
        <w:jc w:val="left"/>
        <w:spacing w:line="460" w:lineRule="exact"/>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7.2 投标人应充分考虑网络环境、网络带宽等因素可能对投标产生的影响，如因投标人自身原因造成的投标文件上传不成功的，按照本采购文件第二章第</w:t>
      </w:r>
      <w:r>
        <w:rPr>
          <w:rFonts w:ascii="宋体" w:hAnsi="宋体" w:cs="宋体"/>
          <w:bCs/>
          <w:color w:val="auto"/>
          <w:szCs w:val="21"/>
          <w:highlight w:val="none"/>
        </w:rPr>
        <w:t xml:space="preserve">21.2.</w:t>
      </w:r>
      <w:r>
        <w:rPr>
          <w:rFonts w:hint="eastAsia" w:ascii="宋体" w:hAnsi="宋体" w:cs="宋体"/>
          <w:bCs/>
          <w:color w:val="auto"/>
          <w:szCs w:val="21"/>
          <w:highlight w:val="none"/>
        </w:rPr>
        <w:t xml:space="preserve">3条规定做无效投标处理。</w:t>
      </w:r>
      <w:r/>
    </w:p>
    <w:p>
      <w:pPr>
        <w:ind w:firstLine="420"/>
        <w:spacing w:line="460" w:lineRule="exact"/>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7.3 招标代理机构机构可以按照规定，通过修改采购文件酌情延长提交投标文件截止日期，在此情况下，投标人的所有权利和义务均以延长后新的截止日期为准。</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460" w:lineRule="exact"/>
        <w:rPr>
          <w:rFonts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Cs w:val="21"/>
          <w:highlight w:val="none"/>
        </w:rPr>
        <w:t xml:space="preserve">后上传的任何投标文件。</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360" w:lineRule="auto"/>
        <w:rPr>
          <w:rFonts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在投标截止时间前，可以对所提交的投标文件进行补充、修改或撤回</w:t>
      </w:r>
      <w:r>
        <w:rPr>
          <w:rFonts w:hint="eastAsia" w:ascii="宋体" w:hAnsi="宋体" w:cs="宋体"/>
          <w:bCs/>
          <w:color w:val="auto"/>
          <w:sz w:val="20"/>
          <w:szCs w:val="20"/>
          <w:highlight w:val="none"/>
        </w:rPr>
        <w:t xml:space="preserve">，具体操作方法</w:t>
      </w:r>
      <w:r>
        <w:rPr>
          <w:rFonts w:hint="eastAsia" w:ascii="宋体" w:hAnsi="宋体" w:cs="宋体"/>
          <w:color w:val="auto"/>
          <w:szCs w:val="21"/>
          <w:highlight w:val="none"/>
          <w:lang w:val="zh-CN"/>
        </w:rPr>
        <w:t xml:space="preserve">见《操作手册》。提交投标文件截止时间之后，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不得对其投标文件作任何修改。</w:t>
      </w:r>
      <w:r/>
    </w:p>
    <w:p>
      <w:pPr>
        <w:ind w:firstLine="420"/>
        <w:spacing w:line="460" w:lineRule="exact"/>
        <w:rPr>
          <w:rFonts w:ascii="宋体" w:hAnsi="宋体" w:cs="宋体"/>
          <w:bCs/>
          <w:color w:val="auto"/>
          <w:szCs w:val="21"/>
          <w:highlight w:val="none"/>
        </w:rPr>
      </w:pPr>
      <w:r/>
      <w:bookmarkStart w:id="18" w:name="_Toc29284"/>
      <w:r/>
      <w:bookmarkStart w:id="19" w:name="_Toc25047"/>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在提交投标文件截止时间至采购文件中规定的投标有效期满之间的这段时间内，投标人不得撤回其投标文件。</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四、开标、评标与确定</w:t>
      </w:r>
      <w:bookmarkEnd w:id="18"/>
      <w:r/>
      <w:bookmarkEnd w:id="19"/>
      <w:r>
        <w:rPr>
          <w:rFonts w:hint="eastAsia" w:ascii="宋体" w:hAnsi="宋体" w:cs="宋体"/>
          <w:b/>
          <w:color w:val="auto"/>
          <w:highlight w:val="none"/>
        </w:rPr>
        <w:t xml:space="preserve">中标人</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.1招标代理机构将在招标公告中规定的时间和地点组织开标。投标人应当按照《操作手册》规定，参加开标活动和在苏采云系统规定的时间内对投标文件进行解密。</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.2开标由招标代理机构组织。苏采云系统将自动对项目进行开标，并宣布各投标人名称和投标价格。</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.3投标人在开标过程中涉及到的投标文件解密、开标结果确认等工作，应按照《操作手册》规定执行。</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.4投标人如果对开标过程和开标记录有疑义，应当根据《操作手册》规定提出，如苏采云系统中《开标记录表》宣布后规定时间内未提出的，视同认可开标结果。</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 投标人不足3家的，不予开标。</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lang w:val="zh-CN"/>
        </w:rPr>
        <w:t xml:space="preserve">公开招标数额标准以上的采购项目，投标截止后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不足3家或者通过资格审查或符合性审查的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不足3家的，除采购任务取消情形外，按照以下方式处理：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（1）采购文件存在不合理条款或者采购程序不符合规定的，招标人、招标代理机构机构改正后依法重新招标；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（2）采购文件没有不合理条款、招标程序符合规定，需要采用其他采购方式采购的，招标人依法报财政部门批准，经批准后，可变更为其他采购方式采购。本次采购文件中对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资格条件要求、技术要求和商务等要求，将作为其他采购方式采购的基本要求和谈判依据。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21.1.1评标工作由招标代理机构负责组织，具体评标事务由依法组建的评标委员会负责，并独立履行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（1）审查、评价投标文件是否符合采购文件的商务、技术等实质性要求；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（2）要求投标人对电子投标文件有关事项作出澄清或者说明；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（3）对电子投标文件进行比较和评价；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（3）根据招标人委托协议直接确定中标人；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（4）向招标人、财政部门报告评标中发现的违法行为。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评标委员会由招标人代表和有关技术、经济等方面的专家组成，独立开展评审工作。</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21.2.1.1</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的资格进行审查。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21.2.1.2资格性审查：依据法律法规和采购文件的规定，对投标文件中的资格证明文件等进行审查，以确定投标</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是否具备投标资格。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是否被列入失信被执行人、重大税收违法案件当事人名单、政府采购严重违法失信行为记录名单的情况进行查询，以确定</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是否具备投标资格。查询结果将以网页打印</w:t>
      </w:r>
      <w:r>
        <w:rPr>
          <w:rFonts w:hint="eastAsia" w:ascii="宋体" w:hAnsi="宋体" w:cs="宋体"/>
          <w:bCs/>
          <w:color w:val="auto"/>
          <w:sz w:val="20"/>
          <w:szCs w:val="20"/>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21.2.1.4 投标文件有下列情况之一的，在资格性审查时按照无效投标处理：</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被“信用中国”网站、“中国政府采购网"列入失信被执行人、重大税收违法案件当事人名单、政府采购严重违法失信行为记录名单的。接受联合体的项目，两个以上的自然人、法人或者其他组织组成一个联合体，以一个</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的身份共同参加政府采购活动的，联合体成员存在不良信用记录的，视同联合体存在不良应用记录。</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21.2.2.1</w:t>
      </w:r>
      <w:r>
        <w:rPr>
          <w:rFonts w:hint="eastAsia" w:ascii="宋体" w:hAnsi="宋体" w:cs="宋体"/>
          <w:color w:val="auto"/>
          <w:szCs w:val="21"/>
          <w:highlight w:val="none"/>
          <w:lang w:val="zh-CN"/>
        </w:rPr>
        <w:t xml:space="preserve">评标委员会将依据法律法规和采购文件的规定，对</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投标文件的有效性、完整性和对采购文件的响应程度进行审查，以确定是否对采购文件的实质性要求作出响应。</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lang w:val="zh-CN"/>
        </w:rPr>
        <w:t xml:space="preserve">21.2.2.3 如果</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投标文件实质上没有响应采购文件的要求，评标委员会将予以拒绝，</w:t>
      </w:r>
      <w:r>
        <w:rPr>
          <w:rFonts w:hint="eastAsia" w:ascii="宋体" w:hAnsi="宋体" w:cs="宋体"/>
          <w:bCs/>
          <w:color w:val="auto"/>
          <w:highlight w:val="none"/>
        </w:rPr>
        <w:t xml:space="preserve">投标人不得通过修改或撤销不合要求的偏离或保留而使其投标成为实质性响应的投标。</w:t>
      </w:r>
      <w:r/>
    </w:p>
    <w:p>
      <w:pPr>
        <w:ind w:firstLine="420"/>
        <w:spacing w:line="360" w:lineRule="auto"/>
        <w:rPr>
          <w:rFonts w:ascii="宋体" w:hAnsi="宋体" w:cs="宋体"/>
          <w:color w:val="auto"/>
          <w:szCs w:val="21"/>
          <w:highlight w:val="none"/>
          <w:lang w:val="zh-CN"/>
        </w:rPr>
      </w:pPr>
      <w:r>
        <w:rPr>
          <w:rFonts w:ascii="宋体" w:hAnsi="宋体" w:cs="宋体"/>
          <w:bCs/>
          <w:color w:val="auto"/>
          <w:highlight w:val="none"/>
        </w:rPr>
        <w:t xml:space="preserve">21</w:t>
      </w:r>
      <w:r>
        <w:rPr>
          <w:rFonts w:hint="eastAsia" w:ascii="宋体" w:hAnsi="宋体" w:cs="宋体"/>
          <w:bCs/>
          <w:color w:val="auto"/>
          <w:highlight w:val="none"/>
        </w:rPr>
        <w:t xml:space="preserve">.</w:t>
      </w:r>
      <w:r>
        <w:rPr>
          <w:rFonts w:ascii="宋体" w:hAnsi="宋体" w:cs="宋体"/>
          <w:bCs/>
          <w:color w:val="auto"/>
          <w:highlight w:val="none"/>
        </w:rPr>
        <w:t xml:space="preserve">2</w:t>
      </w:r>
      <w:r>
        <w:rPr>
          <w:rFonts w:hint="eastAsia" w:ascii="宋体" w:hAnsi="宋体" w:cs="宋体"/>
          <w:bCs/>
          <w:color w:val="auto"/>
          <w:highlight w:val="none"/>
        </w:rPr>
        <w:t xml:space="preserve">.</w:t>
      </w:r>
      <w:r>
        <w:rPr>
          <w:rFonts w:ascii="宋体" w:hAnsi="宋体" w:cs="宋体"/>
          <w:bCs/>
          <w:color w:val="auto"/>
          <w:highlight w:val="none"/>
        </w:rPr>
        <w:t xml:space="preserve">3 </w:t>
      </w:r>
      <w:r>
        <w:rPr>
          <w:rFonts w:hint="eastAsia" w:ascii="宋体" w:hAnsi="宋体" w:cs="宋体"/>
          <w:color w:val="auto"/>
          <w:szCs w:val="21"/>
          <w:highlight w:val="none"/>
          <w:lang w:val="zh-CN"/>
        </w:rPr>
        <w:t xml:space="preserve">投标文件有下列情况之一的，投标无效：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在苏采云系统规定的时间内未成功解密投标文件；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）投标文件未按采购文件要求签署、盖章或加盖电子公章的；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）投标文件含有招标人不能接受的附加条件的；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的报价明显低于其他通过符合性审查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有下列情形之一的，视为</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串通投标，其投标无效：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的投标文件由同一单位或者个人编制；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委托同一单位或者个人办理投标事宜；</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的投标文件载明的项目管理成员或者联系人员为同一人；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的投标文件异常一致或者投标报价呈规律性差异；</w:t>
      </w:r>
      <w:r/>
    </w:p>
    <w:p>
      <w:pPr>
        <w:ind w:firstLine="420"/>
        <w:spacing w:line="360" w:lineRule="auto"/>
        <w:widowControl/>
        <w:rPr>
          <w:rFonts w:ascii="宋体" w:hAnsi="宋体" w:cs="宋体"/>
          <w:color w:val="auto"/>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highlight w:val="none"/>
          <w:lang w:val="zh-CN"/>
        </w:rPr>
        <w:t xml:space="preserve">在评标期间，出现符合专业条件的</w:t>
      </w:r>
      <w:r>
        <w:rPr>
          <w:rFonts w:hint="eastAsia" w:ascii="宋体" w:hAnsi="宋体" w:cs="宋体"/>
          <w:color w:val="auto"/>
          <w:szCs w:val="21"/>
          <w:highlight w:val="none"/>
        </w:rPr>
        <w:t xml:space="preserve">投标人</w:t>
      </w:r>
      <w:r>
        <w:rPr>
          <w:rFonts w:hint="eastAsia" w:ascii="宋体" w:hAnsi="宋体" w:cs="宋体"/>
          <w:color w:val="auto"/>
          <w:highlight w:val="none"/>
          <w:lang w:val="zh-CN"/>
        </w:rPr>
        <w:t xml:space="preserve">或者对</w:t>
      </w: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文件作出实质性响应的供应商不足三家情形的，比照20.</w:t>
      </w:r>
      <w:r>
        <w:rPr>
          <w:rFonts w:ascii="宋体" w:hAnsi="宋体" w:cs="宋体"/>
          <w:color w:val="auto"/>
          <w:highlight w:val="none"/>
        </w:rPr>
        <w:t xml:space="preserve">5</w:t>
      </w:r>
      <w:r>
        <w:rPr>
          <w:rFonts w:hint="eastAsia" w:ascii="宋体" w:hAnsi="宋体" w:cs="宋体"/>
          <w:color w:val="auto"/>
          <w:highlight w:val="none"/>
        </w:rPr>
        <w:t xml:space="preserve">-20.</w:t>
      </w:r>
      <w:r>
        <w:rPr>
          <w:rFonts w:ascii="宋体" w:hAnsi="宋体" w:cs="宋体"/>
          <w:color w:val="auto"/>
          <w:highlight w:val="none"/>
        </w:rPr>
        <w:t xml:space="preserve">6</w:t>
      </w:r>
      <w:r>
        <w:rPr>
          <w:rFonts w:hint="eastAsia" w:ascii="宋体" w:hAnsi="宋体" w:cs="宋体"/>
          <w:color w:val="auto"/>
          <w:highlight w:val="none"/>
          <w:lang w:val="zh-CN"/>
        </w:rPr>
        <w:t xml:space="preserve">款执行。</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highlight w:val="none"/>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 投标文件中《开标一览表》（报价表）内容与投标文件中相应内容不一致的，以《开标一览表》（报价表）为准；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（2）大写金额与小写金额不一致的，以大写金额为准。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3</w:t>
      </w:r>
      <w:r>
        <w:rPr>
          <w:rFonts w:hint="eastAsia" w:ascii="宋体" w:hAnsi="宋体" w:cs="宋体"/>
          <w:bCs/>
          <w:color w:val="auto"/>
          <w:highlight w:val="none"/>
        </w:rPr>
        <w:t xml:space="preserve">）单价金额小数点或者百分比有明显错位的，以《开标一览表》（报价表）的总价为准，并修改单价；</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）总价金额与按单价汇总金额不一致的，以单价金额计算结果为准；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5</w:t>
      </w:r>
      <w:r>
        <w:rPr>
          <w:rFonts w:hint="eastAsia" w:ascii="宋体" w:hAnsi="宋体" w:cs="宋体"/>
          <w:bCs/>
          <w:color w:val="auto"/>
          <w:highlight w:val="none"/>
        </w:rPr>
        <w:t xml:space="preserve">）同时出现两种以上不一致的，按照前款规定的顺序修正。修正后的报价由法定代表人或其授权的代表签字确认，确认后产生约束力，</w:t>
      </w:r>
      <w:r>
        <w:rPr>
          <w:rFonts w:hint="eastAsia" w:ascii="宋体" w:hAnsi="宋体" w:cs="宋体"/>
          <w:color w:val="auto"/>
          <w:szCs w:val="21"/>
          <w:highlight w:val="none"/>
        </w:rPr>
        <w:t xml:space="preserve">投标人</w:t>
      </w:r>
      <w:r>
        <w:rPr>
          <w:rFonts w:hint="eastAsia" w:ascii="宋体" w:hAnsi="宋体" w:cs="宋体"/>
          <w:bCs/>
          <w:color w:val="auto"/>
          <w:highlight w:val="none"/>
        </w:rPr>
        <w:t xml:space="preserve">不确认的，投标无效。</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（5） 对不同文字文本投标文件的解释发生异议的，以中文文本为准。</w:t>
      </w:r>
      <w:r/>
    </w:p>
    <w:p>
      <w:pPr>
        <w:ind w:firstLine="420"/>
        <w:spacing w:line="360" w:lineRule="auto"/>
        <w:rPr>
          <w:rFonts w:ascii="宋体" w:hAnsi="宋体" w:cs="宋体"/>
          <w:bCs/>
          <w:color w:val="auto"/>
          <w:highlight w:val="none"/>
        </w:rPr>
      </w:pPr>
      <w:r>
        <w:rPr>
          <w:rFonts w:hint="eastAsia" w:ascii="宋体" w:hAnsi="宋体" w:cs="宋体"/>
          <w:color w:val="auto"/>
          <w:highlight w:val="none"/>
        </w:rPr>
        <w:t xml:space="preserve">21.2.</w:t>
      </w:r>
      <w:r>
        <w:rPr>
          <w:rFonts w:ascii="宋体" w:hAnsi="宋体" w:cs="宋体"/>
          <w:color w:val="auto"/>
          <w:highlight w:val="none"/>
        </w:rPr>
        <w:t xml:space="preserve">6</w:t>
      </w: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bCs/>
          <w:color w:val="auto"/>
          <w:highlight w:val="none"/>
        </w:rPr>
        <w:t xml:space="preserve">评标委员会将允许修正投标文件中不构成重大偏离的、微小的、非正规的、不一致的或不规则的地方，但这些修改不能影响任何</w:t>
      </w:r>
      <w:r>
        <w:rPr>
          <w:rFonts w:hint="eastAsia" w:ascii="宋体" w:hAnsi="宋体" w:cs="宋体"/>
          <w:color w:val="auto"/>
          <w:szCs w:val="21"/>
          <w:highlight w:val="none"/>
        </w:rPr>
        <w:t xml:space="preserve">投标人</w:t>
      </w:r>
      <w:r>
        <w:rPr>
          <w:rFonts w:hint="eastAsia" w:ascii="宋体" w:hAnsi="宋体" w:cs="宋体"/>
          <w:bCs/>
          <w:color w:val="auto"/>
          <w:highlight w:val="none"/>
        </w:rPr>
        <w:t xml:space="preserve">相应的名次排列。</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b/>
          <w:color w:val="auto"/>
          <w:szCs w:val="21"/>
          <w:highlight w:val="none"/>
          <w:lang w:val="zh-CN"/>
        </w:rPr>
        <w:t xml:space="preserve">澄清有关问题</w:t>
      </w:r>
      <w:r>
        <w:rPr>
          <w:rFonts w:hint="eastAsia" w:ascii="宋体" w:hAnsi="宋体" w:cs="宋体"/>
          <w:color w:val="auto"/>
          <w:szCs w:val="21"/>
          <w:highlight w:val="none"/>
          <w:lang w:val="zh-CN"/>
        </w:rPr>
        <w:t xml:space="preserve">。</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评标期间，评标委员会对电子投标文件中含义不明确、同类问题表述不一致或者有明显文字和计算错误的内容，有权要求投标人作出必要的澄清、说明或者补正。投标人的澄清、说明或者补正不得超出投电子标文件的范围或者改变电子投标文件的实质性内容。评标委员会并非对全部投标人都做澄清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（3）接到评标委员会澄清、说明和补正要求的投标人如未按规定做出澄清、说明和补正，其风险由投标人自行承担。</w:t>
      </w:r>
      <w:r/>
    </w:p>
    <w:p>
      <w:pPr>
        <w:ind w:firstLine="420"/>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（4）评审过程中出现下列情形之一的，评审委员会应当启动异常低价投标（响应）审查程序：</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③投标(响应)报价低于采购项目最高限价45%的，即投标(响 应)报价&lt;采购项目最高限价×45%；</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④评审委员会认定的供应商响应报价过低、有可能影响产品质量或者不能诚信履约的其他情形。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4</w:t>
      </w:r>
      <w:r>
        <w:rPr>
          <w:rFonts w:hint="eastAsia" w:ascii="宋体" w:hAnsi="宋体" w:cs="宋体"/>
          <w:b/>
          <w:color w:val="auto"/>
          <w:szCs w:val="21"/>
          <w:highlight w:val="none"/>
          <w:lang w:val="zh-CN"/>
        </w:rPr>
        <w:t xml:space="preserve">比较与评价。</w:t>
      </w: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 在招标采购中，出现下列情形之一的，应予废标:</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出现影响采购公正的违法、违规行为的;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)投标人的报价均超过了采购预算，采购人不能支付的;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)因重大变故，采购任务取消的。</w:t>
      </w:r>
      <w:r/>
    </w:p>
    <w:p>
      <w:pPr>
        <w:ind w:firstLine="420"/>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 xml:space="preserve">得分最高</w:t>
      </w:r>
      <w:bookmarkEnd w:id="20"/>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为中标候选人或中标人的评标方法。具体评分标准详见第</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章。</w:t>
      </w:r>
      <w:r/>
    </w:p>
    <w:p>
      <w:pPr>
        <w:pStyle w:val="719"/>
        <w:rPr>
          <w:rFonts w:cs="宋体"/>
          <w:color w:val="auto"/>
          <w:szCs w:val="21"/>
          <w:highlight w:val="none"/>
        </w:rPr>
      </w:pPr>
      <w:r>
        <w:rPr>
          <w:rFonts w:hint="eastAsia" w:cs="宋体"/>
          <w:color w:val="auto"/>
          <w:szCs w:val="21"/>
          <w:highlight w:val="none"/>
        </w:rPr>
        <w:t xml:space="preserve">21.3.2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规定的方式确定1个投标人获得中标人推荐资格，招标文件未规定的采取随机抽取方式确定，其他同品牌投标人不作为中标候选人。</w:t>
      </w:r>
      <w:r/>
    </w:p>
    <w:p>
      <w:pPr>
        <w:pStyle w:val="719"/>
        <w:rPr>
          <w:color w:val="auto"/>
          <w:highlight w:val="none"/>
        </w:rPr>
      </w:pPr>
      <w:r>
        <w:rPr>
          <w:rFonts w:hint="eastAsia" w:cs="宋体"/>
          <w:color w:val="auto"/>
          <w:szCs w:val="21"/>
          <w:highlight w:val="none"/>
        </w:rPr>
        <w:t xml:space="preserve">非单一产品采购项目，采购人应当根据采购项目技术构成、产品价格比重等合理确定核心产品，并在招标文件中载明。</w:t>
      </w:r>
      <w:r/>
    </w:p>
    <w:p>
      <w:pPr>
        <w:ind w:firstLine="420"/>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22、确定中标</w:t>
      </w:r>
      <w:r>
        <w:rPr>
          <w:rFonts w:hint="eastAsia" w:ascii="宋体" w:hAnsi="宋体" w:cs="宋体"/>
          <w:b/>
          <w:bCs/>
          <w:color w:val="auto"/>
          <w:highlight w:val="none"/>
        </w:rPr>
        <w:t xml:space="preserve">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 xml:space="preserve">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确定为</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 </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确定之日起2个工作日内，将在财政部门指定的政府采购信息发布媒体上公告，中标供应商及时到招标代理机构领取《中标通知书》。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中标通知书对招标人和中标供应商具有同等法律效力。</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 xml:space="preserve">中标通知书发出后，中标人无正当理由不与招标人签订合同的，情节严重的，由财政部门将其列入不良行为记录名单，在一至三年内禁止参加南京市政府采购活动，并予以通报。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cs="宋体"/>
          <w:color w:val="auto"/>
          <w:highlight w:val="none"/>
        </w:rPr>
      </w:pPr>
      <w:r>
        <w:rPr>
          <w:rFonts w:hint="eastAsia" w:ascii="宋体" w:hAnsi="宋体" w:cs="宋体"/>
          <w:color w:val="auto"/>
          <w:highlight w:val="none"/>
        </w:rPr>
        <w:t xml:space="preserve">22.5</w:t>
      </w:r>
      <w:r>
        <w:rPr>
          <w:rFonts w:hint="eastAsia" w:ascii="宋体" w:hAnsi="宋体" w:cs="宋体"/>
          <w:color w:val="auto"/>
          <w:szCs w:val="21"/>
          <w:highlight w:val="none"/>
          <w:lang w:val="zh-CN"/>
        </w:rPr>
        <w:t xml:space="preserve">招标代理机构和评标委员会</w:t>
      </w:r>
      <w:r>
        <w:rPr>
          <w:rFonts w:hint="eastAsia" w:ascii="宋体" w:hAnsi="宋体" w:cs="宋体"/>
          <w:color w:val="auto"/>
          <w:highlight w:val="none"/>
        </w:rPr>
        <w:t xml:space="preserve">对未中标的投标人不作未中标原因的解释。</w:t>
      </w:r>
      <w:r/>
    </w:p>
    <w:p>
      <w:pPr>
        <w:ind w:firstLine="413"/>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360" w:lineRule="auto"/>
        <w:tabs>
          <w:tab w:val="left" w:pos="1260" w:leader="none"/>
        </w:tabs>
        <w:rPr>
          <w:rFonts w:ascii="宋体" w:hAnsi="宋体" w:cs="宋体"/>
          <w:color w:val="auto"/>
          <w:highlight w:val="none"/>
        </w:rPr>
      </w:pPr>
      <w:r>
        <w:rPr>
          <w:rFonts w:hint="eastAsia" w:ascii="宋体" w:hAnsi="宋体" w:cs="宋体"/>
          <w:color w:val="auto"/>
          <w:highlight w:val="none"/>
        </w:rPr>
        <w:t xml:space="preserve">23.1 本项目评标活动在江苏政府采购网“苏采云”系统进行。</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 招标代理机构将采取必要措施，保证评标在严格保密的情况下进行。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及与评标无关的其他人员透露。</w:t>
      </w:r>
      <w:r/>
    </w:p>
    <w:p>
      <w:pPr>
        <w:ind w:firstLine="413"/>
        <w:spacing w:line="360" w:lineRule="auto"/>
        <w:rPr>
          <w:rFonts w:ascii="宋体" w:hAnsi="宋体" w:cs="宋体"/>
          <w:b/>
          <w:color w:val="auto"/>
          <w:highlight w:val="none"/>
        </w:rPr>
      </w:pPr>
      <w:r/>
      <w:bookmarkStart w:id="21" w:name="_Toc28778"/>
      <w:r/>
      <w:bookmarkStart w:id="22" w:name="_Toc27897"/>
      <w:r>
        <w:rPr>
          <w:rFonts w:hint="eastAsia" w:ascii="宋体" w:hAnsi="宋体" w:cs="宋体"/>
          <w:b/>
          <w:color w:val="auto"/>
          <w:highlight w:val="none"/>
        </w:rPr>
        <w:t xml:space="preserve">五、签订合同</w:t>
      </w:r>
      <w:bookmarkEnd w:id="21"/>
      <w:r/>
      <w:bookmarkEnd w:id="22"/>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25.1 招标人应当自中标通知书发出之日起30日内，按照采购文件和中标人投标文件的规定与中标人签订书面合同。所签订的合同不得对采购文件确定事项和中标人投标文件作实质性修改。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招标人不得向中标人提出任何不合理的要求作为签订合同的条件，不得与中标人私下订立背离合同实质性内容的协议。</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25.3中标人拒绝与招标人签订合同，或因不可抗力或者自身原因不能履行政府采购合同的，招标人可以按照评审报告中的得分高低顺序，确定下一顺序</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为中标人，也可以重新开展政府采购活动。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采购合同履行中，招标人需追加与合同标的相同货物的，在不改变合同其他条款的前提下，可以与</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协商签订补充合同，但所有补充合同的采购金额不得超过原合同采购金额的百分之十。</w:t>
      </w:r>
      <w:r/>
    </w:p>
    <w:p>
      <w:pPr>
        <w:ind w:firstLine="413"/>
        <w:spacing w:line="360" w:lineRule="auto"/>
        <w:rPr>
          <w:rFonts w:ascii="宋体" w:hAnsi="宋体" w:cs="宋体"/>
          <w:b/>
          <w:color w:val="auto"/>
          <w:highlight w:val="none"/>
        </w:rPr>
      </w:pPr>
      <w:r/>
      <w:bookmarkStart w:id="23" w:name="_Toc10775"/>
      <w:r/>
      <w:bookmarkStart w:id="24" w:name="_Toc24260"/>
      <w:r>
        <w:rPr>
          <w:rFonts w:hint="eastAsia" w:ascii="宋体" w:hAnsi="宋体" w:cs="宋体"/>
          <w:b/>
          <w:color w:val="auto"/>
          <w:highlight w:val="none"/>
        </w:rPr>
        <w:t xml:space="preserve">六、询问、质疑、投诉和诚实信用</w:t>
      </w:r>
      <w:bookmarkEnd w:id="23"/>
      <w:r/>
      <w:bookmarkEnd w:id="24"/>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26.1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对采购活动事项有疑问的，可以向招标代理机构或招标人提出询问，招标代理机构或招标人将在两个工作日内作出答复，但答复的内容不涉及商业秘密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对招标活动事项有疑问的，可以向代理机构提出询问，代理机构将依法作出答复，但答复的内容不涉及商业秘密。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.3质疑文件应包括以下主要内容，并</w:t>
      </w:r>
      <w:r>
        <w:rPr>
          <w:rFonts w:hint="eastAsia" w:ascii="宋体" w:hAnsi="宋体" w:cs="宋体"/>
          <w:color w:val="auto"/>
          <w:szCs w:val="21"/>
          <w:highlight w:val="none"/>
        </w:rPr>
        <w:t xml:space="preserve">按照“谁主张、谁举证”的原则，附上相关证明材料。否则，代理机构不予受理：</w:t>
      </w:r>
      <w:r/>
    </w:p>
    <w:p>
      <w:pPr>
        <w:ind w:left="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（3）质疑相关证明文件或证明材料，如果涉及到产品功能或技术指标的，应出具相关制造商的证明文件（友情提示：</w:t>
      </w:r>
      <w:r>
        <w:rPr>
          <w:rFonts w:hint="eastAsia" w:ascii="宋体" w:hAnsi="宋体" w:cs="宋体"/>
          <w:color w:val="auto"/>
          <w:szCs w:val="21"/>
          <w:highlight w:val="none"/>
        </w:rPr>
        <w:t xml:space="preserve">投标人全部产品线中没有满足技术需求要求的产品才可以对采购产品提出质疑，并提出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（4）质疑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Trebuchet MS"/>
          <w:bCs/>
          <w:color w:val="auto"/>
          <w:szCs w:val="21"/>
          <w:highlight w:val="none"/>
          <w:shd w:val="clear" w:color="auto" w:fill="ffffff"/>
        </w:rPr>
        <w:t xml:space="preserve">法定代表人授权委托代理人加盖单位公章，并</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w:t>
      </w:r>
      <w:r>
        <w:rPr>
          <w:rFonts w:hint="eastAsia" w:ascii="宋体" w:hAnsi="宋体" w:cs="宋体"/>
          <w:color w:val="auto"/>
          <w:szCs w:val="21"/>
          <w:highlight w:val="none"/>
          <w:lang w:val="zh-CN"/>
        </w:rPr>
        <w:t xml:space="preserve">等。</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不得虚假质疑和恶意质疑，并对质疑内容的真实性承担责任。</w:t>
      </w:r>
      <w:r>
        <w:rPr>
          <w:rFonts w:hint="eastAsia" w:ascii="宋体" w:hAnsi="宋体" w:cs="宋体"/>
          <w:color w:val="auto"/>
          <w:szCs w:val="21"/>
          <w:highlight w:val="none"/>
        </w:rPr>
        <w:t xml:space="preserve">投标人或者其他利害关系人通过捏造事实、伪造证明材料等方式提出异议或投诉，阻碍政府采购活动正常进行的，属于严重不良行为，招标代理机构机构将提请财政部门将其列入不良行为记录名单，并依法予以处罚。</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27.5招标代理机构机构在收到投标人的书面质疑后将及时组织调查核实，在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和其他有关</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，答复的内容不涉及商业秘密。招标代理机构</w:t>
      </w:r>
      <w:r>
        <w:rPr>
          <w:rFonts w:hint="eastAsia" w:ascii="宋体" w:hAnsi="宋体" w:cs="宋体"/>
          <w:color w:val="auto"/>
          <w:szCs w:val="21"/>
          <w:highlight w:val="none"/>
        </w:rPr>
        <w:t xml:space="preserve">机构遵循“谁过错谁负担”的原则，有过错的一方承担调查论证费用。</w:t>
      </w:r>
      <w:r/>
    </w:p>
    <w:p>
      <w:pPr>
        <w:ind w:firstLine="420"/>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 质疑</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对招标人</w:t>
      </w:r>
      <w:r>
        <w:rPr>
          <w:rFonts w:hint="eastAsia" w:ascii="宋体" w:hAnsi="宋体" w:cs="Trebuchet MS"/>
          <w:bCs/>
          <w:color w:val="auto"/>
          <w:szCs w:val="21"/>
          <w:highlight w:val="none"/>
          <w:shd w:val="clear" w:color="auto" w:fill="ffffff"/>
        </w:rPr>
        <w:t xml:space="preserve">或招标代理机构机构</w:t>
      </w:r>
      <w:r>
        <w:rPr>
          <w:rFonts w:hint="eastAsia" w:ascii="宋体" w:hAnsi="宋体" w:cs="宋体"/>
          <w:color w:val="auto"/>
          <w:szCs w:val="21"/>
          <w:highlight w:val="none"/>
          <w:lang w:val="zh-CN"/>
        </w:rPr>
        <w:t xml:space="preserve">的答复不满意，或招标人</w:t>
      </w:r>
      <w:r>
        <w:rPr>
          <w:rFonts w:hint="eastAsia" w:ascii="宋体" w:hAnsi="宋体" w:cs="Trebuchet MS"/>
          <w:bCs/>
          <w:color w:val="auto"/>
          <w:szCs w:val="21"/>
          <w:highlight w:val="none"/>
          <w:shd w:val="clear" w:color="auto" w:fill="ffffff"/>
        </w:rPr>
        <w:t xml:space="preserve">或招标代理机构机构</w:t>
      </w:r>
      <w:r>
        <w:rPr>
          <w:rFonts w:hint="eastAsia" w:ascii="宋体" w:hAnsi="宋体" w:cs="宋体"/>
          <w:color w:val="auto"/>
          <w:szCs w:val="21"/>
          <w:highlight w:val="none"/>
          <w:lang w:val="zh-CN"/>
        </w:rPr>
        <w:t xml:space="preserve">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向采购项目同级政府采购监督管理部门投诉。</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之间不得相互串通投标报价，不得妨碍其他</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的公平竞争，不得损害招标人和其他</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的合法权益。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不得以向招标代理机构工作人员、评标委员会成员行贿或者采取其他不正当手段谋取中标。经查实</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有此行为的，</w:t>
      </w:r>
      <w:r>
        <w:rPr>
          <w:rFonts w:hint="eastAsia" w:ascii="宋体" w:hAnsi="宋体" w:cs="宋体"/>
          <w:color w:val="auto"/>
          <w:highlight w:val="none"/>
        </w:rPr>
        <w:t xml:space="preserve">政府采购管理部门将投标人列入不良行为记录名单，按照《政府采购法》有关规定处理。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提出书面质疑必须有理、有据，不得捏造事实、提供虚假材料进行恶意质疑。否则,一经查实，交易中心或招标人有权依据政府采购的有关规定，报请政府采购监管部门对该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进行相应的行政处罚和记录该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29.4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不得虚假承诺，否则，按照提供虚假材料谋取中标成交处理。</w:t>
      </w:r>
      <w:r/>
    </w:p>
    <w:p>
      <w:pPr>
        <w:ind w:firstLine="420"/>
        <w:spacing w:line="360" w:lineRule="auto"/>
        <w:rPr>
          <w:rFonts w:ascii="宋体" w:hAnsi="宋体" w:cs="宋体"/>
          <w:b/>
          <w:bCs/>
          <w:color w:val="auto"/>
          <w:sz w:val="36"/>
          <w:szCs w:val="36"/>
          <w:highlight w:val="none"/>
          <w:lang w:val="zh-CN"/>
        </w:rPr>
      </w:pPr>
      <w:r>
        <w:rPr>
          <w:rFonts w:ascii="宋体" w:hAnsi="宋体" w:cs="宋体"/>
          <w:color w:val="auto"/>
          <w:sz w:val="36"/>
          <w:szCs w:val="36"/>
          <w:highlight w:val="none"/>
          <w:lang w:val="zh-CN"/>
        </w:rPr>
        <w:br w:type="page" w:clear="all"/>
      </w:r>
      <w:bookmarkStart w:id="25" w:name="_Toc16769"/>
      <w:r/>
      <w:bookmarkStart w:id="26" w:name="_Toc16325"/>
      <w:r/>
      <w:bookmarkStart w:id="27" w:name="_Toc6717"/>
      <w:r/>
      <w:r/>
    </w:p>
    <w:p>
      <w:pPr>
        <w:pStyle w:val="675"/>
        <w:rPr>
          <w:color w:val="auto"/>
          <w:highlight w:val="none"/>
          <w:lang w:val="zh-CN"/>
        </w:rPr>
      </w:pPr>
      <w:r>
        <w:rPr>
          <w:rFonts w:hint="eastAsia"/>
          <w:color w:val="auto"/>
          <w:highlight w:val="none"/>
          <w:lang w:val="zh-CN"/>
        </w:rPr>
        <w:t xml:space="preserve">第三章 评标标准</w:t>
      </w:r>
      <w:bookmarkEnd w:id="25"/>
      <w:r/>
      <w:bookmarkEnd w:id="26"/>
      <w:r/>
      <w:bookmarkEnd w:id="27"/>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一、采用综合评分法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采用综合评分法。综合评分法是指电子投标文件满足采购文件全部实质性要求，且按照采购文件中规定评审因素量化指标评审得分最高的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为中标候选人的评标方法。</w:t>
      </w:r>
      <w:bookmarkStart w:id="28" w:name="_Toc479586164"/>
      <w:r/>
      <w:bookmarkEnd w:id="28"/>
      <w:r/>
      <w:bookmarkStart w:id="29" w:name="_Toc25530"/>
      <w:r/>
      <w:bookmarkStart w:id="30" w:name="_Toc8691"/>
      <w:r/>
      <w:bookmarkStart w:id="31" w:name="_Toc8160"/>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w:t>
      </w:r>
      <w:r>
        <w:rPr>
          <w:rFonts w:ascii="宋体" w:hAnsi="宋体" w:cs="宋体"/>
          <w:b/>
          <w:bCs/>
          <w:color w:val="auto"/>
          <w:szCs w:val="21"/>
          <w:highlight w:val="none"/>
        </w:rPr>
        <w:t xml:space="preserve">综合评分法评审细则</w:t>
      </w:r>
      <w:r/>
    </w:p>
    <w:tbl>
      <w:tblPr>
        <w:tblStyle w:val="685"/>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7354"/>
        <w:gridCol w:w="850"/>
      </w:tblGrid>
      <w:tr>
        <w:trPr>
          <w:jc w:val="center"/>
          <w:trHeight w:val="790"/>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 xml:space="preserve">评分项目</w:t>
            </w:r>
            <w:r/>
          </w:p>
        </w:tc>
        <w:tc>
          <w:tcPr>
            <w:tcW w:w="7354"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评分内容</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最高</w:t>
            </w:r>
            <w:r/>
          </w:p>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得分</w:t>
            </w:r>
            <w:r/>
          </w:p>
        </w:tc>
      </w:tr>
      <w:tr>
        <w:trPr>
          <w:jc w:val="center"/>
          <w:trHeight w:val="851"/>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 xml:space="preserve">价格部分</w:t>
            </w:r>
            <w:r/>
          </w:p>
          <w:p>
            <w:pPr>
              <w:jc w:val="center"/>
              <w:spacing w:line="360" w:lineRule="exact"/>
              <w:rPr>
                <w:rFonts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 xml:space="preserve">（30分）</w:t>
            </w:r>
            <w:r/>
          </w:p>
        </w:tc>
        <w:tc>
          <w:tcPr>
            <w:tcW w:w="7354" w:type="dxa"/>
            <w:vAlign w:val="center"/>
            <w:textDirection w:val="lrTb"/>
            <w:noWrap/>
          </w:tcPr>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采用低价优先法计算，即满足招标文件要求且投标价格低的投标报价为评标基准价，其价格分为满分。其他投标供应商的价格分按照下列公式计算：投标报价得分=(评标基准价／投标报价)×30，计算分数时四舍五入取小数点后两位。</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30</w:t>
            </w:r>
            <w:r/>
          </w:p>
        </w:tc>
      </w:tr>
      <w:tr>
        <w:trPr>
          <w:jc w:val="center"/>
          <w:trHeight w:val="942"/>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技术参数</w:t>
            </w:r>
            <w:r/>
          </w:p>
          <w:p>
            <w:pPr>
              <w:jc w:val="center"/>
              <w:spacing w:line="360" w:lineRule="exact"/>
              <w:rPr>
                <w:rFonts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rPr>
              <w:t xml:space="preserve">（32分）</w:t>
            </w:r>
            <w:r/>
          </w:p>
        </w:tc>
        <w:tc>
          <w:tcPr>
            <w:tcW w:w="7354" w:type="dxa"/>
            <w:vAlign w:val="center"/>
            <w:textDirection w:val="lrTb"/>
            <w:noWrap/>
          </w:tcPr>
          <w:p>
            <w:pPr>
              <w:spacing w:line="36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eastAsia="zh-CN"/>
              </w:rPr>
              <w:t xml:space="preserve">设备技术参数、性能及要求：根据提供的投标产品性能情况进行综合评审：</w:t>
            </w:r>
            <w:r/>
          </w:p>
          <w:p>
            <w:pPr>
              <w:spacing w:line="36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lang w:eastAsia="zh-CN"/>
              </w:rPr>
              <w:t xml:space="preserve">、产品的技术指标全部满足采购需求的得3</w:t>
            </w: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lang w:eastAsia="zh-CN"/>
              </w:rPr>
              <w:t xml:space="preserve">分。</w:t>
            </w:r>
            <w:r/>
          </w:p>
          <w:p>
            <w:pPr>
              <w:spacing w:line="36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lang w:eastAsia="zh-CN"/>
              </w:rPr>
              <w:t xml:space="preserve">、带“★”条款为实质性要求，不接受负偏离。</w:t>
            </w:r>
            <w:r/>
          </w:p>
          <w:p>
            <w:pPr>
              <w:spacing w:line="36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lang w:eastAsia="zh-CN"/>
              </w:rPr>
              <w:t xml:space="preserve">、带“▲”条款为重要条款每有1个负偏离扣3分，</w:t>
            </w:r>
            <w:r>
              <w:rPr>
                <w:rFonts w:hint="eastAsia" w:ascii="方正仿宋_GBK" w:hAnsi="方正仿宋_GBK" w:eastAsia="方正仿宋_GBK" w:cs="方正仿宋_GBK"/>
                <w:color w:val="auto"/>
                <w:sz w:val="24"/>
                <w:szCs w:val="24"/>
                <w:highlight w:val="none"/>
                <w:lang w:eastAsia="zh-CN"/>
              </w:rPr>
              <w:t xml:space="preserve">扣完为止</w:t>
            </w:r>
            <w:r>
              <w:rPr>
                <w:rFonts w:hint="eastAsia" w:ascii="方正仿宋_GBK" w:hAnsi="方正仿宋_GBK" w:eastAsia="方正仿宋_GBK" w:cs="方正仿宋_GBK"/>
                <w:color w:val="auto"/>
                <w:sz w:val="24"/>
                <w:szCs w:val="24"/>
                <w:highlight w:val="none"/>
                <w:lang w:eastAsia="zh-CN"/>
              </w:rPr>
              <w:t xml:space="preserve">。</w:t>
            </w:r>
            <w:r/>
          </w:p>
          <w:p>
            <w:pPr>
              <w:spacing w:line="36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4</w:t>
            </w:r>
            <w:r>
              <w:rPr>
                <w:rFonts w:hint="eastAsia" w:ascii="方正仿宋_GBK" w:hAnsi="方正仿宋_GBK" w:eastAsia="方正仿宋_GBK" w:cs="方正仿宋_GBK"/>
                <w:color w:val="auto"/>
                <w:sz w:val="24"/>
                <w:szCs w:val="24"/>
                <w:highlight w:val="none"/>
                <w:lang w:eastAsia="zh-CN"/>
              </w:rPr>
              <w:t xml:space="preserve">、其他条款每有1项负偏离扣1分，扣完为止。</w:t>
            </w:r>
            <w:r/>
          </w:p>
          <w:p>
            <w:pPr>
              <w:spacing w:line="360" w:lineRule="exact"/>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rPr>
              <w:t xml:space="preserve">5</w:t>
            </w:r>
            <w:r>
              <w:rPr>
                <w:rFonts w:hint="eastAsia" w:ascii="方正仿宋_GBK" w:hAnsi="方正仿宋_GBK" w:eastAsia="方正仿宋_GBK" w:cs="方正仿宋_GBK"/>
                <w:color w:val="auto"/>
                <w:sz w:val="24"/>
                <w:szCs w:val="24"/>
                <w:highlight w:val="none"/>
                <w:lang w:eastAsia="zh-CN"/>
              </w:rPr>
              <w:t xml:space="preserve">、“技术要求”中佐证材料需</w:t>
            </w:r>
            <w:r>
              <w:rPr>
                <w:rFonts w:hint="eastAsia" w:ascii="方正仿宋_GBK" w:hAnsi="方正仿宋_GBK" w:eastAsia="方正仿宋_GBK" w:cs="方正仿宋_GBK"/>
                <w:color w:val="auto"/>
                <w:sz w:val="24"/>
                <w:szCs w:val="24"/>
                <w:highlight w:val="none"/>
                <w:lang w:val="en-US" w:eastAsia="zh-CN"/>
              </w:rPr>
              <w:t xml:space="preserve">加盖</w:t>
            </w:r>
            <w:r>
              <w:rPr>
                <w:rFonts w:hint="eastAsia" w:ascii="方正仿宋_GBK" w:hAnsi="方正仿宋_GBK" w:eastAsia="方正仿宋_GBK" w:cs="方正仿宋_GBK"/>
                <w:color w:val="auto"/>
                <w:sz w:val="24"/>
                <w:szCs w:val="24"/>
                <w:highlight w:val="none"/>
                <w:lang w:eastAsia="zh-CN"/>
              </w:rPr>
              <w:t xml:space="preserve">投标人公章，图片、视频材料不接受后期剪辑和拼接。</w:t>
            </w:r>
            <w:r/>
          </w:p>
          <w:p>
            <w:pPr>
              <w:pStyle w:val="712"/>
              <w:ind w:firstLine="0"/>
              <w:jc w:val="both"/>
              <w:rPr>
                <w:color w:val="auto"/>
                <w:highlight w:val="none"/>
              </w:rPr>
            </w:pPr>
            <w:r>
              <w:rPr>
                <w:rFonts w:hint="eastAsia" w:ascii="方正仿宋_GBK" w:hAnsi="方正仿宋_GBK" w:eastAsia="方正仿宋_GBK" w:cs="方正仿宋_GBK"/>
                <w:color w:val="auto"/>
                <w:sz w:val="24"/>
                <w:szCs w:val="24"/>
                <w:highlight w:val="none"/>
                <w:lang w:val="en-US" w:eastAsia="zh-CN"/>
              </w:rPr>
              <w:t xml:space="preserve">投标人在第六章投标文件格式附件五技术条款偏离表中逐项填写进行响应。要求提供证明材料的应按照招标文件第四章招标项目需求“二、技术参数、性能及要求”中相关要求予以提供，为便于评审相关关键参数需标明页码或框选提示，未提供证明材料视为负偏离。其余未要求提供证明材料的条款，投标人在技术条款偏离表中填写即可。</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32</w:t>
            </w:r>
            <w:r/>
          </w:p>
        </w:tc>
      </w:tr>
      <w:tr>
        <w:trPr>
          <w:jc w:val="center"/>
          <w:trHeight w:val="821"/>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样品演示</w:t>
            </w:r>
            <w:r/>
          </w:p>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(15分)</w:t>
            </w:r>
            <w:r/>
          </w:p>
        </w:tc>
        <w:tc>
          <w:tcPr>
            <w:tcW w:w="7354" w:type="dxa"/>
            <w:vAlign w:val="center"/>
            <w:textDirection w:val="lrTb"/>
            <w:noWrap/>
          </w:tcPr>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企业需按“技术参数、性能及要求”提供投标产品样品，现场进行功能、操作与演示。</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1、设备操作简便、可靠得5分，设备操作较简便、</w:t>
            </w:r>
            <w:r>
              <w:rPr>
                <w:rFonts w:hint="eastAsia" w:ascii="方正仿宋_GBK" w:hAnsi="方正仿宋_GBK" w:eastAsia="方正仿宋_GBK" w:cs="方正仿宋_GBK"/>
                <w:color w:val="auto"/>
                <w:sz w:val="24"/>
                <w:szCs w:val="24"/>
                <w:highlight w:val="none"/>
                <w:lang w:val="en-US" w:eastAsia="zh-CN"/>
              </w:rPr>
              <w:t xml:space="preserve">较</w:t>
            </w:r>
            <w:r>
              <w:rPr>
                <w:rFonts w:hint="eastAsia" w:ascii="方正仿宋_GBK" w:hAnsi="方正仿宋_GBK" w:eastAsia="方正仿宋_GBK" w:cs="方正仿宋_GBK"/>
                <w:color w:val="auto"/>
                <w:sz w:val="24"/>
                <w:szCs w:val="24"/>
                <w:highlight w:val="none"/>
              </w:rPr>
              <w:t xml:space="preserve">可靠得3分，设备操作简便、可靠性一般得1分；</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2、设备软件操作简便、功能全面的得5分，设备软件操作较简便、功能较全面得3分，设备软件操作较一般、功能一般得1分；</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3、设备获取图像清晰度高的得5分，设备获取图像清晰度较好的得3分，设备获取图像清晰度一般的得1分。</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（未提供样品演示的不得分）</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15</w:t>
            </w:r>
            <w:r/>
          </w:p>
        </w:tc>
      </w:tr>
      <w:tr>
        <w:trPr>
          <w:jc w:val="center"/>
          <w:trHeight w:val="821"/>
        </w:trPr>
        <w:tc>
          <w:tcPr>
            <w:shd w:val="clear" w:color="auto" w:fill="auto"/>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项目实施方案</w:t>
            </w:r>
            <w:r/>
          </w:p>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（5分）</w:t>
            </w:r>
            <w:r/>
          </w:p>
        </w:tc>
        <w:tc>
          <w:tcPr>
            <w:shd w:val="clear" w:color="auto" w:fill="auto"/>
            <w:tcW w:w="7354" w:type="dxa"/>
            <w:vAlign w:val="center"/>
            <w:textDirection w:val="lrTb"/>
            <w:noWrap/>
          </w:tcPr>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供应商提供项目实施整体方案，包括供货时间、物流安排、培训安排和验收准备等。</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1、方案内容：全面性、科学合理性、响应时间优秀的得5分；</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2、方案内容：全面性、科学合理性、响应时间</w:t>
            </w:r>
            <w:r>
              <w:rPr>
                <w:rFonts w:hint="eastAsia" w:ascii="方正仿宋_GBK" w:hAnsi="方正仿宋_GBK" w:eastAsia="方正仿宋_GBK" w:cs="方正仿宋_GBK"/>
                <w:color w:val="auto"/>
                <w:sz w:val="24"/>
                <w:szCs w:val="24"/>
                <w:highlight w:val="none"/>
                <w:lang w:val="en-US" w:eastAsia="zh-CN"/>
              </w:rPr>
              <w:t xml:space="preserve">较好</w:t>
            </w:r>
            <w:r>
              <w:rPr>
                <w:rFonts w:hint="eastAsia" w:ascii="方正仿宋_GBK" w:hAnsi="方正仿宋_GBK" w:eastAsia="方正仿宋_GBK" w:cs="方正仿宋_GBK"/>
                <w:color w:val="auto"/>
                <w:sz w:val="24"/>
                <w:szCs w:val="24"/>
                <w:highlight w:val="none"/>
              </w:rPr>
              <w:t xml:space="preserve">的得3分；</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3、方案内容：全面性、科学合理性、响应时间</w:t>
            </w:r>
            <w:r>
              <w:rPr>
                <w:rFonts w:hint="eastAsia" w:ascii="方正仿宋_GBK" w:hAnsi="方正仿宋_GBK" w:eastAsia="方正仿宋_GBK" w:cs="方正仿宋_GBK"/>
                <w:color w:val="auto"/>
                <w:sz w:val="24"/>
                <w:szCs w:val="24"/>
                <w:highlight w:val="none"/>
                <w:lang w:val="en-US" w:eastAsia="zh-CN"/>
              </w:rPr>
              <w:t xml:space="preserve">一般</w:t>
            </w:r>
            <w:r>
              <w:rPr>
                <w:rFonts w:hint="eastAsia" w:ascii="方正仿宋_GBK" w:hAnsi="方正仿宋_GBK" w:eastAsia="方正仿宋_GBK" w:cs="方正仿宋_GBK"/>
                <w:color w:val="auto"/>
                <w:sz w:val="24"/>
                <w:szCs w:val="24"/>
                <w:highlight w:val="none"/>
              </w:rPr>
              <w:t xml:space="preserve">的得1分；</w:t>
            </w:r>
            <w:r/>
          </w:p>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未提供方案，不得分</w:t>
            </w:r>
            <w:r/>
          </w:p>
        </w:tc>
        <w:tc>
          <w:tcPr>
            <w:shd w:val="clear" w:color="auto" w:fill="auto"/>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5</w:t>
            </w:r>
            <w:r/>
          </w:p>
        </w:tc>
      </w:tr>
      <w:tr>
        <w:trPr>
          <w:jc w:val="center"/>
          <w:trHeight w:val="821"/>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售后服务</w:t>
            </w:r>
            <w:r/>
          </w:p>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（10分）</w:t>
            </w:r>
            <w:r/>
          </w:p>
        </w:tc>
        <w:tc>
          <w:tcPr>
            <w:tcW w:w="7354" w:type="dxa"/>
            <w:vAlign w:val="center"/>
            <w:textDirection w:val="lrTb"/>
            <w:noWrap/>
          </w:tcPr>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根据供应商提供的售后服务方案进行综合评分（包含服务体系、服务内容、故障解决方案、专业技术人员保障及服务电话等）。</w:t>
            </w:r>
            <w:r/>
          </w:p>
          <w:p>
            <w:pPr>
              <w:jc w:val="left"/>
              <w:spacing w:line="360" w:lineRule="exac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 xml:space="preserve">(1)</w:t>
            </w:r>
            <w:r>
              <w:rPr>
                <w:rFonts w:hint="eastAsia" w:ascii="方正仿宋_GBK" w:hAnsi="方正仿宋_GBK" w:eastAsia="方正仿宋_GBK" w:cs="方正仿宋_GBK"/>
                <w:color w:val="auto"/>
                <w:sz w:val="24"/>
                <w:szCs w:val="24"/>
                <w:highlight w:val="none"/>
              </w:rPr>
              <w:t xml:space="preserve">投标供应商具备非常完善的服务体系，全面的服务内容、可行的故障解决方案、可靠的专业技术人员保障和服务电话的，得10分；</w:t>
            </w:r>
            <w:r/>
          </w:p>
          <w:p>
            <w:pPr>
              <w:jc w:val="left"/>
              <w:spacing w:line="360" w:lineRule="exac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 xml:space="preserve">(2)</w:t>
            </w:r>
            <w:r>
              <w:rPr>
                <w:rFonts w:hint="eastAsia" w:ascii="方正仿宋_GBK" w:hAnsi="方正仿宋_GBK" w:eastAsia="方正仿宋_GBK" w:cs="方正仿宋_GBK"/>
                <w:color w:val="auto"/>
                <w:sz w:val="24"/>
                <w:szCs w:val="24"/>
                <w:highlight w:val="none"/>
              </w:rPr>
              <w:t xml:space="preserve">投标供应商具备较为完善的服务体系，较全面的服务内容、较可行的故障解决方案、</w:t>
            </w:r>
            <w:r>
              <w:rPr>
                <w:rFonts w:hint="eastAsia" w:ascii="方正仿宋_GBK" w:hAnsi="方正仿宋_GBK" w:eastAsia="方正仿宋_GBK" w:cs="方正仿宋_GBK"/>
                <w:color w:val="auto"/>
                <w:sz w:val="24"/>
                <w:szCs w:val="24"/>
                <w:highlight w:val="none"/>
                <w:lang w:val="en-US" w:eastAsia="zh-CN"/>
              </w:rPr>
              <w:t xml:space="preserve">较</w:t>
            </w:r>
            <w:r>
              <w:rPr>
                <w:rFonts w:hint="eastAsia" w:ascii="方正仿宋_GBK" w:hAnsi="方正仿宋_GBK" w:eastAsia="方正仿宋_GBK" w:cs="方正仿宋_GBK"/>
                <w:color w:val="auto"/>
                <w:sz w:val="24"/>
                <w:szCs w:val="24"/>
                <w:highlight w:val="none"/>
              </w:rPr>
              <w:t xml:space="preserve">可靠的专业技术人员保障和服务电话的，得7分；</w:t>
            </w:r>
            <w:r/>
          </w:p>
          <w:p>
            <w:pPr>
              <w:jc w:val="left"/>
              <w:spacing w:line="360" w:lineRule="exact"/>
              <w:rPr>
                <w:color w:val="auto"/>
                <w:highlight w:val="none"/>
              </w:rPr>
            </w:pPr>
            <w:r>
              <w:rPr>
                <w:rFonts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3</w:t>
            </w:r>
            <w:r>
              <w:rPr>
                <w:rFonts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投标供应商具备基本的服务体系，服务内容、可行的故障解决方案、可靠的专业技术人员保障和服务电话的，得4分；</w:t>
            </w:r>
            <w:r/>
          </w:p>
          <w:p>
            <w:pPr>
              <w:jc w:val="left"/>
              <w:spacing w:line="360" w:lineRule="exac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4</w:t>
            </w:r>
            <w:r>
              <w:rPr>
                <w:rFonts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投标供应商售后服务体系内容普通、故障解决方案一般，得1分；</w:t>
            </w:r>
            <w:r/>
          </w:p>
          <w:p>
            <w:pPr>
              <w:jc w:val="left"/>
              <w:spacing w:line="360" w:lineRule="exact"/>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5</w:t>
            </w:r>
            <w:r>
              <w:rPr>
                <w:rFonts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rPr>
              <w:t xml:space="preserve">售后服务方案差及未提供售后服务方案不得分。</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10</w:t>
            </w:r>
            <w:r/>
          </w:p>
        </w:tc>
      </w:tr>
      <w:tr>
        <w:trPr>
          <w:jc w:val="center"/>
          <w:trHeight w:val="821"/>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产品性能优越性</w:t>
            </w:r>
            <w:r/>
          </w:p>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（5分）</w:t>
            </w:r>
            <w:r/>
          </w:p>
        </w:tc>
        <w:tc>
          <w:tcPr>
            <w:tcW w:w="7354" w:type="dxa"/>
            <w:vAlign w:val="center"/>
            <w:textDirection w:val="lrTb"/>
            <w:noWrap/>
          </w:tcPr>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投标人所投产品在满足招标文件中核心和重要技术要求的基础上，根据产品的技术性能的优越性进行评审，最高得5分。</w:t>
            </w:r>
            <w:r/>
          </w:p>
          <w:p>
            <w:pPr>
              <w:pStyle w:val="686"/>
              <w:ind w:firstLine="0"/>
              <w:rPr>
                <w:rFonts w:ascii="方正仿宋_GBK" w:hAnsi="方正仿宋_GBK" w:eastAsia="方正仿宋_GBK" w:cs="方正仿宋_GBK"/>
                <w:color w:val="auto"/>
                <w:szCs w:val="24"/>
                <w:highlight w:val="none"/>
              </w:rPr>
            </w:pPr>
            <w:r>
              <w:rPr>
                <w:rFonts w:hint="eastAsia" w:ascii="方正仿宋_GBK" w:hAnsi="方正仿宋_GBK" w:eastAsia="方正仿宋_GBK" w:cs="方正仿宋_GBK"/>
                <w:color w:val="auto"/>
                <w:szCs w:val="24"/>
                <w:highlight w:val="none"/>
              </w:rPr>
              <w:t xml:space="preserve">（1）带“▲”条款的重要条款每有1个优于基础参数，加</w:t>
            </w:r>
            <w:r>
              <w:rPr>
                <w:rFonts w:hint="eastAsia" w:ascii="方正仿宋_GBK" w:hAnsi="方正仿宋_GBK" w:eastAsia="方正仿宋_GBK" w:cs="方正仿宋_GBK"/>
                <w:color w:val="auto"/>
                <w:szCs w:val="24"/>
                <w:highlight w:val="none"/>
                <w:lang w:val="en-US" w:eastAsia="zh-CN"/>
              </w:rPr>
              <w:t xml:space="preserve">1</w:t>
            </w:r>
            <w:r>
              <w:rPr>
                <w:rFonts w:hint="eastAsia" w:ascii="方正仿宋_GBK" w:hAnsi="方正仿宋_GBK" w:eastAsia="方正仿宋_GBK" w:cs="方正仿宋_GBK"/>
                <w:color w:val="auto"/>
                <w:szCs w:val="24"/>
                <w:highlight w:val="none"/>
              </w:rPr>
              <w:t xml:space="preserve">分。</w:t>
            </w:r>
            <w:r/>
          </w:p>
          <w:p>
            <w:pPr>
              <w:pStyle w:val="686"/>
              <w:ind w:firstLine="0"/>
              <w:rPr>
                <w:color w:val="auto"/>
                <w:highlight w:val="none"/>
              </w:rPr>
            </w:pPr>
            <w:r>
              <w:rPr>
                <w:rFonts w:hint="eastAsia" w:ascii="方正仿宋_GBK" w:hAnsi="方正仿宋_GBK" w:eastAsia="方正仿宋_GBK" w:cs="方正仿宋_GBK"/>
                <w:color w:val="auto"/>
                <w:szCs w:val="24"/>
                <w:highlight w:val="none"/>
              </w:rPr>
              <w:t xml:space="preserve">提供参数对比表及提供对应条款的佐证资料，未提供不得分。</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5</w:t>
            </w:r>
            <w:r/>
          </w:p>
        </w:tc>
      </w:tr>
      <w:tr>
        <w:trPr>
          <w:jc w:val="center"/>
          <w:trHeight w:val="600"/>
        </w:trPr>
        <w:tc>
          <w:tcPr>
            <w:tcW w:w="1548"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业绩</w:t>
            </w:r>
            <w:r/>
          </w:p>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（3分）</w:t>
            </w:r>
            <w:r/>
          </w:p>
        </w:tc>
        <w:tc>
          <w:tcPr>
            <w:tcW w:w="7354" w:type="dxa"/>
            <w:vAlign w:val="center"/>
            <w:textDirection w:val="lrTb"/>
            <w:noWrap/>
          </w:tcPr>
          <w:p>
            <w:pPr>
              <w:jc w:val="left"/>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投标人提供2023年1月1日以来类似项目，提供合同复印件（至少含合同首页、合同主要内容所在页和签字盖章页等）</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中标（成交）通知书</w:t>
            </w:r>
            <w:r>
              <w:rPr>
                <w:rFonts w:hint="eastAsia" w:ascii="方正仿宋_GBK" w:hAnsi="方正仿宋_GBK" w:eastAsia="方正仿宋_GBK" w:cs="方正仿宋_GBK"/>
                <w:color w:val="auto"/>
                <w:sz w:val="24"/>
                <w:szCs w:val="24"/>
                <w:highlight w:val="none"/>
              </w:rPr>
              <w:t xml:space="preserve">并加盖投标人公章。每提</w:t>
            </w:r>
            <w:bookmarkStart w:id="71" w:name="_GoBack"/>
            <w:r/>
            <w:bookmarkEnd w:id="71"/>
            <w:r>
              <w:rPr>
                <w:rFonts w:hint="eastAsia" w:ascii="方正仿宋_GBK" w:hAnsi="方正仿宋_GBK" w:eastAsia="方正仿宋_GBK" w:cs="方正仿宋_GBK"/>
                <w:color w:val="auto"/>
                <w:sz w:val="24"/>
                <w:szCs w:val="24"/>
                <w:highlight w:val="none"/>
              </w:rPr>
              <w:t xml:space="preserve">供一个符合要求的业绩</w:t>
            </w:r>
            <w:r>
              <w:rPr>
                <w:rFonts w:hint="eastAsia" w:ascii="方正仿宋_GBK" w:hAnsi="方正仿宋_GBK" w:eastAsia="方正仿宋_GBK" w:cs="方正仿宋_GBK"/>
                <w:color w:val="auto"/>
                <w:sz w:val="24"/>
                <w:szCs w:val="24"/>
                <w:highlight w:val="none"/>
                <w:lang w:val="en-US" w:eastAsia="zh-CN"/>
              </w:rPr>
              <w:t xml:space="preserve">证明材料</w:t>
            </w:r>
            <w:r>
              <w:rPr>
                <w:rFonts w:hint="eastAsia" w:ascii="方正仿宋_GBK" w:hAnsi="方正仿宋_GBK" w:eastAsia="方正仿宋_GBK" w:cs="方正仿宋_GBK"/>
                <w:color w:val="auto"/>
                <w:sz w:val="24"/>
                <w:szCs w:val="24"/>
                <w:highlight w:val="none"/>
              </w:rPr>
              <w:t xml:space="preserve">得1分，未提供或提供的不符合要求不得分，本项最高得3分。</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w:t>
            </w:r>
            <w:r/>
          </w:p>
        </w:tc>
      </w:tr>
      <w:tr>
        <w:trPr>
          <w:jc w:val="center"/>
          <w:trHeight w:val="600"/>
        </w:trPr>
        <w:tc>
          <w:tcPr>
            <w:gridSpan w:val="2"/>
            <w:tcW w:w="8902"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合计</w:t>
            </w:r>
            <w:r/>
          </w:p>
        </w:tc>
        <w:tc>
          <w:tcPr>
            <w:tcW w:w="850" w:type="dxa"/>
            <w:vAlign w:val="center"/>
            <w:textDirection w:val="lrTb"/>
            <w:noWrap/>
          </w:tcPr>
          <w:p>
            <w:pPr>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100</w:t>
            </w:r>
            <w:r/>
          </w:p>
        </w:tc>
      </w:tr>
    </w:tbl>
    <w:p>
      <w:pPr>
        <w:pStyle w:val="971"/>
        <w:ind w:firstLine="0"/>
        <w:rPr>
          <w:color w:val="auto"/>
          <w:highlight w:val="none"/>
        </w:rPr>
      </w:pPr>
      <w:r>
        <w:rPr>
          <w:color w:val="auto"/>
          <w:highlight w:val="none"/>
        </w:rPr>
      </w:r>
      <w:r/>
    </w:p>
    <w:p>
      <w:pPr>
        <w:spacing w:line="276" w:lineRule="auto"/>
        <w:rPr>
          <w:rFonts w:ascii="宋体" w:hAnsi="宋体"/>
          <w:b/>
          <w:color w:val="auto"/>
          <w:szCs w:val="21"/>
          <w:highlight w:val="none"/>
        </w:rPr>
      </w:pPr>
      <w:r>
        <w:rPr>
          <w:rFonts w:hint="eastAsia" w:ascii="宋体" w:hAnsi="宋体"/>
          <w:b/>
          <w:color w:val="auto"/>
          <w:szCs w:val="21"/>
          <w:highlight w:val="none"/>
        </w:rPr>
        <w:t xml:space="preserve">三、政策功能说明</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2、政策功能：</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（1）对国家认定的节能产品和环保产品分别给予投标价的 5%价格扣除，用扣除后的价格参与评审。</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（2）小微企业的价格扣除</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2.1对于经主管预算单位统筹后未预留份额专门面向中小企业采购的采购项目，以及预留份额项目中的非预留部分采购包，招标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2.2 大中型企业</w:t>
      </w:r>
      <w:r>
        <w:rPr>
          <w:rFonts w:hint="eastAsia" w:ascii="宋体" w:hAnsi="宋体"/>
          <w:color w:val="auto"/>
          <w:szCs w:val="21"/>
          <w:highlight w:val="none"/>
        </w:rPr>
        <w:t xml:space="preserve">与小微企业组成联合体或者大中型企业向一家或者多家小微企业分包的采购项目，对于联合协议或者分包意向协议约定小微企业的合同份额占到合同总金额30%以上的，招标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2.3中小企业（含小型、微型企业）应当同时符合以下条件：</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2.3.1供应商为中小企业，且符合中小企业划分标准；</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2.3.2提供本企业制造的货物、承担的工程或者服务，或者提供其他小企业制造的货物。如果提供的货物为大中型企业注册商标的货物，视同大中型企业。</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3、监狱和戒毒企业的价格扣除  </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3.3 监狱企业标准请参照《关于政府采购支持监狱企业发展有关问题的通知》（财库[2014]68 号）。</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4、残疾人福利性单位的价格扣除 </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r/>
    </w:p>
    <w:p>
      <w:p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4.3残疾人福利单位标准请参照《关于促进残疾人就业政府采购政策的通知》（财库〔2017〕141 号）。</w:t>
      </w:r>
      <w:r/>
    </w:p>
    <w:p>
      <w:pPr>
        <w:numPr>
          <w:ilvl w:val="0"/>
          <w:numId w:val="2"/>
        </w:numPr>
        <w:ind w:firstLine="416"/>
        <w:spacing w:line="276" w:lineRule="auto"/>
        <w:rPr>
          <w:rFonts w:ascii="宋体" w:hAnsi="宋体"/>
          <w:color w:val="auto"/>
          <w:szCs w:val="21"/>
          <w:highlight w:val="none"/>
        </w:rPr>
      </w:pPr>
      <w:r>
        <w:rPr>
          <w:rFonts w:hint="eastAsia" w:ascii="宋体" w:hAnsi="宋体"/>
          <w:color w:val="auto"/>
          <w:szCs w:val="21"/>
          <w:highlight w:val="none"/>
        </w:rPr>
        <w:t xml:space="preserve">监狱企业、残疾人福利单位属于小型、微型企业的，不重复享受政策。</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6、采购本国产品的支持政策</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6.1 本项目政府采购活动中既有本国产品又有非本国产品参与竞争的，依法对本国产品给予价格评审优惠，对本国产品的报价给予 20%的价格扣除，用扣除后的价格参与评审。</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6.3 供应商需按照招标文件的要求提供《关于符合本国产品标准的声明函》（以下简称《声明函》），如不提供将不享受本国产品价格评审优惠。</w:t>
      </w:r>
      <w:r/>
    </w:p>
    <w:p>
      <w:pPr>
        <w:ind w:firstLine="415"/>
        <w:spacing w:line="360" w:lineRule="auto"/>
        <w:rPr>
          <w:rFonts w:ascii="宋体" w:hAnsi="宋体"/>
          <w:color w:val="auto"/>
          <w:szCs w:val="21"/>
          <w:highlight w:val="none"/>
        </w:rPr>
      </w:pPr>
      <w:r>
        <w:rPr>
          <w:rFonts w:hint="eastAsia" w:ascii="宋体" w:hAnsi="宋体"/>
          <w:color w:val="auto"/>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15"/>
        <w:spacing w:line="360" w:lineRule="auto"/>
        <w:rPr>
          <w:rFonts w:ascii="宋体" w:hAnsi="宋体"/>
          <w:color w:val="auto"/>
          <w:szCs w:val="21"/>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pPr>
      <w:r>
        <w:rPr>
          <w:rFonts w:hint="eastAsia" w:ascii="宋体" w:hAnsi="宋体"/>
          <w:color w:val="auto"/>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75"/>
        <w:rPr>
          <w:color w:val="auto"/>
          <w:highlight w:val="none"/>
          <w:lang w:val="zh-CN"/>
        </w:rPr>
      </w:pPr>
      <w:r>
        <w:rPr>
          <w:rFonts w:hint="eastAsia"/>
          <w:color w:val="auto"/>
          <w:highlight w:val="none"/>
          <w:lang w:val="zh-CN"/>
        </w:rPr>
        <w:t xml:space="preserve">第四章 采购项目</w:t>
      </w:r>
      <w:bookmarkEnd w:id="29"/>
      <w:r/>
      <w:bookmarkEnd w:id="30"/>
      <w:r>
        <w:rPr>
          <w:rFonts w:hint="eastAsia"/>
          <w:color w:val="auto"/>
          <w:highlight w:val="none"/>
          <w:lang w:val="zh-CN"/>
        </w:rPr>
        <w:t xml:space="preserve">需求</w:t>
      </w:r>
      <w:bookmarkEnd w:id="31"/>
      <w:r/>
      <w:r/>
    </w:p>
    <w:p>
      <w:pPr>
        <w:pStyle w:val="676"/>
        <w:rPr>
          <w:color w:val="auto"/>
          <w:highlight w:val="none"/>
        </w:rPr>
      </w:pPr>
      <w:r>
        <w:rPr>
          <w:rFonts w:hint="eastAsia"/>
          <w:color w:val="auto"/>
          <w:highlight w:val="none"/>
        </w:rPr>
        <w:t xml:space="preserve">一、采购内容</w:t>
      </w:r>
      <w:r/>
    </w:p>
    <w:tbl>
      <w:tblPr>
        <w:tblStyle w:val="685"/>
        <w:tblW w:w="4769" w:type="pct"/>
        <w:jc w:val="center"/>
        <w:tblLayout w:type="fixed"/>
        <w:tblCellMar>
          <w:left w:w="108" w:type="dxa"/>
          <w:top w:w="0" w:type="dxa"/>
          <w:right w:w="108" w:type="dxa"/>
          <w:bottom w:w="0" w:type="dxa"/>
        </w:tblCellMar>
        <w:tblLook w:val="04A0" w:firstRow="1" w:lastRow="0" w:firstColumn="1" w:lastColumn="0" w:noHBand="0" w:noVBand="1"/>
      </w:tblPr>
      <w:tblGrid>
        <w:gridCol w:w="673"/>
        <w:gridCol w:w="2999"/>
        <w:gridCol w:w="1021"/>
        <w:gridCol w:w="944"/>
        <w:gridCol w:w="1801"/>
        <w:gridCol w:w="1799"/>
      </w:tblGrid>
      <w:tr>
        <w:trPr>
          <w:jc w:val="center"/>
          <w:trHeight w:val="455"/>
        </w:trPr>
        <w:tc>
          <w:tcPr>
            <w:tcBorders>
              <w:top w:val="single" w:color="auto" w:sz="4" w:space="0"/>
              <w:left w:val="single" w:color="auto" w:sz="4" w:space="0"/>
              <w:bottom w:val="single" w:color="auto" w:sz="4" w:space="0"/>
              <w:right w:val="single" w:color="auto" w:sz="4" w:space="0"/>
            </w:tcBorders>
            <w:tcW w:w="36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23"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52"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11"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7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单价限价</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97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合计（万元）</w:t>
            </w:r>
            <w:r/>
          </w:p>
        </w:tc>
      </w:tr>
      <w:tr>
        <w:trPr>
          <w:jc w:val="center"/>
          <w:trHeight w:val="455"/>
        </w:trPr>
        <w:tc>
          <w:tcPr>
            <w:tcBorders>
              <w:top w:val="single" w:color="auto" w:sz="4" w:space="0"/>
              <w:left w:val="single" w:color="auto" w:sz="4" w:space="0"/>
              <w:bottom w:val="single" w:color="auto" w:sz="4" w:space="0"/>
              <w:right w:val="single" w:color="auto" w:sz="4" w:space="0"/>
            </w:tcBorders>
            <w:tcW w:w="36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23" w:type="pct"/>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数字化X光机检查仪</w:t>
            </w:r>
            <w:r/>
          </w:p>
          <w:p>
            <w:pPr>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（核心产品）</w:t>
            </w:r>
            <w:r/>
          </w:p>
        </w:tc>
        <w:tc>
          <w:tcPr>
            <w:shd w:val="clear" w:color="auto" w:fill="auto"/>
            <w:tcBorders>
              <w:top w:val="single" w:color="auto" w:sz="4" w:space="0"/>
              <w:left w:val="single" w:color="auto" w:sz="4" w:space="0"/>
              <w:bottom w:val="single" w:color="auto" w:sz="4" w:space="0"/>
              <w:right w:val="single" w:color="auto" w:sz="4" w:space="0"/>
            </w:tcBorders>
            <w:tcW w:w="552"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11"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133.5</w:t>
            </w:r>
            <w:r/>
          </w:p>
        </w:tc>
        <w:tc>
          <w:tcPr>
            <w:shd w:val="clear" w:color="auto" w:fill="auto"/>
            <w:tcBorders>
              <w:top w:val="single" w:color="auto" w:sz="4" w:space="0"/>
              <w:left w:val="single" w:color="auto" w:sz="4" w:space="0"/>
              <w:bottom w:val="single" w:color="auto" w:sz="4" w:space="0"/>
              <w:right w:val="single" w:color="auto" w:sz="4" w:space="0"/>
            </w:tcBorders>
            <w:tcW w:w="1800"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133.5</w:t>
            </w:r>
            <w:r/>
          </w:p>
        </w:tc>
      </w:tr>
      <w:tr>
        <w:trPr>
          <w:jc w:val="center"/>
          <w:trHeight w:val="455"/>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23" w:type="pct"/>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车底检查机器人</w:t>
            </w:r>
            <w:r/>
          </w:p>
        </w:tc>
        <w:tc>
          <w:tcPr>
            <w:shd w:val="clear" w:color="auto" w:fill="auto"/>
            <w:tcBorders>
              <w:top w:val="single" w:color="auto" w:sz="4" w:space="0"/>
              <w:left w:val="single" w:color="auto" w:sz="4" w:space="0"/>
              <w:bottom w:val="single" w:color="auto" w:sz="4" w:space="0"/>
              <w:right w:val="single" w:color="auto" w:sz="4" w:space="0"/>
            </w:tcBorders>
            <w:tcW w:w="552"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11"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33.6</w:t>
            </w:r>
            <w:r/>
          </w:p>
        </w:tc>
        <w:tc>
          <w:tcPr>
            <w:shd w:val="clear" w:color="auto" w:fill="auto"/>
            <w:tcBorders>
              <w:top w:val="single" w:color="auto" w:sz="4" w:space="0"/>
              <w:left w:val="single" w:color="auto" w:sz="4" w:space="0"/>
              <w:bottom w:val="single" w:color="auto" w:sz="4" w:space="0"/>
              <w:right w:val="single" w:color="auto" w:sz="4" w:space="0"/>
            </w:tcBorders>
            <w:tcW w:w="1800"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33.6</w:t>
            </w:r>
            <w:r/>
          </w:p>
        </w:tc>
      </w:tr>
      <w:tr>
        <w:trPr>
          <w:jc w:val="center"/>
          <w:trHeight w:val="455"/>
        </w:trPr>
        <w:tc>
          <w:tcPr>
            <w:tcBorders>
              <w:top w:val="single" w:color="auto" w:sz="4" w:space="0"/>
              <w:left w:val="single" w:color="auto" w:sz="4" w:space="0"/>
              <w:bottom w:val="single" w:color="auto" w:sz="4" w:space="0"/>
              <w:right w:val="single" w:color="auto" w:sz="4" w:space="0"/>
            </w:tcBorders>
            <w:tcW w:w="36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23" w:type="pct"/>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排爆四足机器人升级</w:t>
            </w:r>
            <w:r/>
          </w:p>
        </w:tc>
        <w:tc>
          <w:tcPr>
            <w:shd w:val="clear" w:color="auto" w:fill="auto"/>
            <w:tcBorders>
              <w:top w:val="single" w:color="auto" w:sz="4" w:space="0"/>
              <w:left w:val="single" w:color="auto" w:sz="4" w:space="0"/>
              <w:bottom w:val="single" w:color="auto" w:sz="4" w:space="0"/>
              <w:right w:val="single" w:color="auto" w:sz="4" w:space="0"/>
            </w:tcBorders>
            <w:tcW w:w="552"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511"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13.6</w:t>
            </w:r>
            <w:r/>
          </w:p>
        </w:tc>
        <w:tc>
          <w:tcPr>
            <w:shd w:val="clear" w:color="auto" w:fill="auto"/>
            <w:tcBorders>
              <w:top w:val="single" w:color="auto" w:sz="4" w:space="0"/>
              <w:left w:val="single" w:color="auto" w:sz="4" w:space="0"/>
              <w:bottom w:val="single" w:color="auto" w:sz="4" w:space="0"/>
              <w:right w:val="single" w:color="auto" w:sz="4" w:space="0"/>
            </w:tcBorders>
            <w:tcW w:w="1800" w:type="dxa"/>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13.6</w:t>
            </w:r>
            <w:r/>
          </w:p>
        </w:tc>
      </w:tr>
      <w:tr>
        <w:trPr>
          <w:jc w:val="center"/>
          <w:trHeight w:val="455"/>
        </w:trPr>
        <w:tc>
          <w:tcPr>
            <w:gridSpan w:val="5"/>
            <w:tcBorders>
              <w:top w:val="single" w:color="auto" w:sz="4" w:space="0"/>
              <w:left w:val="single" w:color="auto" w:sz="4" w:space="0"/>
              <w:bottom w:val="single" w:color="auto" w:sz="4" w:space="0"/>
              <w:right w:val="single" w:color="auto" w:sz="4" w:space="0"/>
            </w:tcBorders>
            <w:tcW w:w="4025"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合计（含税）</w:t>
            </w:r>
            <w:r/>
          </w:p>
        </w:tc>
        <w:tc>
          <w:tcPr>
            <w:shd w:val="clear" w:color="auto" w:fill="auto"/>
            <w:tcBorders>
              <w:top w:val="single" w:color="auto" w:sz="4" w:space="0"/>
              <w:left w:val="single" w:color="auto" w:sz="4" w:space="0"/>
              <w:bottom w:val="single" w:color="auto" w:sz="4" w:space="0"/>
              <w:right w:val="single" w:color="auto" w:sz="4" w:space="0"/>
            </w:tcBorders>
            <w:tcW w:w="974" w:type="pc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180.7</w:t>
            </w:r>
            <w:r/>
          </w:p>
        </w:tc>
      </w:tr>
    </w:tbl>
    <w:p>
      <w:pPr>
        <w:pStyle w:val="722"/>
        <w:ind w:firstLine="0"/>
        <w:rPr>
          <w:color w:val="auto"/>
          <w:highlight w:val="none"/>
          <w:lang w:val="en-US"/>
        </w:rPr>
      </w:pPr>
      <w:r>
        <w:rPr>
          <w:color w:val="auto"/>
          <w:highlight w:val="none"/>
          <w:lang w:val="en-US"/>
        </w:rPr>
      </w:r>
      <w:r/>
    </w:p>
    <w:p>
      <w:pPr>
        <w:widowControl/>
        <w:rPr>
          <w:rFonts w:hint="default" w:eastAsia="宋体"/>
          <w:color w:val="auto"/>
          <w:highlight w:val="none"/>
          <w:lang w:val="en-US" w:eastAsia="zh-CN"/>
        </w:rPr>
      </w:pPr>
      <w:r>
        <w:rPr>
          <w:rFonts w:hint="eastAsia"/>
          <w:color w:val="auto"/>
          <w:highlight w:val="none"/>
          <w:lang w:val="en-US" w:eastAsia="zh-CN"/>
        </w:rPr>
        <w:t xml:space="preserve">本项目除“</w:t>
      </w:r>
      <w:r>
        <w:rPr>
          <w:rFonts w:hint="eastAsia" w:ascii="宋体" w:hAnsi="宋体" w:cs="宋体"/>
          <w:color w:val="auto"/>
          <w:sz w:val="24"/>
          <w:szCs w:val="24"/>
          <w:highlight w:val="none"/>
        </w:rPr>
        <w:t xml:space="preserve">数字化X光机检查仪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接受进口产品外，其余货物不接受进口产品。</w:t>
      </w:r>
      <w:r/>
    </w:p>
    <w:p>
      <w:pPr>
        <w:pStyle w:val="676"/>
        <w:rPr>
          <w:color w:val="auto"/>
          <w:highlight w:val="none"/>
        </w:rPr>
      </w:pPr>
      <w:r>
        <w:rPr>
          <w:rFonts w:hint="eastAsia"/>
          <w:color w:val="auto"/>
          <w:highlight w:val="none"/>
        </w:rPr>
        <w:t xml:space="preserve">二、技术参数、性能</w:t>
      </w:r>
      <w:r>
        <w:rPr>
          <w:rFonts w:hint="eastAsia"/>
          <w:color w:val="auto"/>
          <w:highlight w:val="none"/>
          <w:lang w:val="en-US" w:eastAsia="zh-CN"/>
        </w:rPr>
        <w:t xml:space="preserve">及</w:t>
      </w:r>
      <w:r>
        <w:rPr>
          <w:rFonts w:hint="eastAsia"/>
          <w:color w:val="auto"/>
          <w:highlight w:val="none"/>
        </w:rPr>
        <w:t xml:space="preserve">要求</w:t>
      </w:r>
      <w:r/>
    </w:p>
    <w:p>
      <w:pPr>
        <w:pStyle w:val="677"/>
        <w:spacing w:line="360" w:lineRule="auto"/>
        <w:rPr>
          <w:color w:val="auto"/>
          <w:highlight w:val="none"/>
          <w:shd w:val="clear" w:color="auto" w:fill="auto"/>
        </w:rPr>
      </w:pPr>
      <w:r>
        <w:rPr>
          <w:rFonts w:hint="eastAsia"/>
          <w:color w:val="auto"/>
          <w:highlight w:val="none"/>
          <w:shd w:val="clear" w:color="auto" w:fill="auto"/>
        </w:rPr>
        <w:t xml:space="preserve">（一）数字化X光机检查仪</w:t>
      </w:r>
      <w:r/>
    </w:p>
    <w:p>
      <w:pPr>
        <w:ind w:firstLine="420"/>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1.X射线光源</w:t>
      </w:r>
      <w:r/>
    </w:p>
    <w:p>
      <w:pPr>
        <w:ind w:firstLine="420"/>
        <w:jc w:val="left"/>
        <w:spacing w:line="360" w:lineRule="auto"/>
        <w:widowControl/>
        <w:rPr>
          <w:rFonts w:hint="eastAsia" w:ascii="宋体" w:hAnsi="宋体" w:cs="宋体"/>
          <w:iCs/>
          <w:color w:val="auto"/>
          <w:szCs w:val="21"/>
          <w:highlight w:val="none"/>
        </w:rPr>
      </w:pPr>
      <w:r>
        <w:rPr>
          <w:rFonts w:hint="eastAsia" w:ascii="宋体" w:hAnsi="宋体" w:cs="宋体"/>
          <w:color w:val="auto"/>
          <w:szCs w:val="21"/>
          <w:highlight w:val="none"/>
        </w:rPr>
        <w:t xml:space="preserve">▲</w:t>
      </w:r>
      <w:r>
        <w:rPr>
          <w:rFonts w:hint="eastAsia" w:ascii="宋体" w:hAnsi="宋体" w:cs="宋体"/>
          <w:iCs/>
          <w:color w:val="auto"/>
          <w:szCs w:val="21"/>
          <w:highlight w:val="none"/>
        </w:rPr>
        <w:t xml:space="preserve">1.1手提式便携脉冲X光源，焦点尺寸≤3mm，最大电压≤270kV，带三脚架接口；能由数字成像系统同步进行操作控制；配置2块充电锂电池，需带电量显示功能、充电器1个,重量≤5.5kg。（提供生产厂家技术说明书或</w:t>
      </w:r>
      <w:r>
        <w:rPr>
          <w:rFonts w:hint="eastAsia" w:ascii="宋体" w:hAnsi="宋体" w:cs="宋体"/>
          <w:iCs/>
          <w:color w:val="auto"/>
          <w:szCs w:val="21"/>
          <w:highlight w:val="none"/>
          <w:lang w:eastAsia="zh-CN"/>
        </w:rPr>
        <w:t xml:space="preserve">提供具有CMA、CNAS认证的第三方检测机构出具的检测报告</w:t>
      </w:r>
      <w:r>
        <w:rPr>
          <w:rFonts w:hint="eastAsia" w:ascii="宋体" w:hAnsi="宋体" w:cs="宋体"/>
          <w:iCs/>
          <w:color w:val="auto"/>
          <w:szCs w:val="21"/>
          <w:highlight w:val="none"/>
        </w:rPr>
        <w:t xml:space="preserve">进行佐证）</w:t>
      </w:r>
      <w:r/>
    </w:p>
    <w:p>
      <w:pPr>
        <w:ind w:firstLine="420"/>
        <w:jc w:val="left"/>
        <w:spacing w:line="360" w:lineRule="auto"/>
        <w:widowControl/>
        <w:rPr>
          <w:rFonts w:hint="eastAsia" w:ascii="宋体" w:hAnsi="宋体" w:cs="宋体"/>
          <w:iCs/>
          <w:color w:val="auto"/>
          <w:szCs w:val="21"/>
          <w:highlight w:val="none"/>
        </w:rPr>
      </w:pPr>
      <w:r>
        <w:rPr>
          <w:rFonts w:hint="eastAsia" w:ascii="宋体" w:hAnsi="宋体" w:cs="宋体"/>
          <w:color w:val="auto"/>
          <w:szCs w:val="21"/>
          <w:highlight w:val="none"/>
        </w:rPr>
        <w:t xml:space="preserve">▲1.2射线源具有1-199脉冲调节功能，实现穿透能力≥85mm（钢）。</w:t>
      </w:r>
      <w:r>
        <w:rPr>
          <w:rFonts w:hint="eastAsia" w:ascii="宋体" w:hAnsi="宋体" w:cs="宋体"/>
          <w:iCs/>
          <w:color w:val="auto"/>
          <w:szCs w:val="21"/>
          <w:highlight w:val="none"/>
        </w:rPr>
        <w:t xml:space="preserve">（提供生产厂家技术说明书或</w:t>
      </w:r>
      <w:r>
        <w:rPr>
          <w:rFonts w:hint="eastAsia" w:ascii="宋体" w:hAnsi="宋体" w:cs="宋体"/>
          <w:iCs/>
          <w:color w:val="auto"/>
          <w:szCs w:val="21"/>
          <w:highlight w:val="none"/>
          <w:lang w:eastAsia="zh-CN"/>
        </w:rPr>
        <w:t xml:space="preserve">提供具有CMA、CNAS认证的第三方检测机构出具的检测报告</w:t>
      </w:r>
      <w:r>
        <w:rPr>
          <w:rFonts w:hint="eastAsia" w:ascii="宋体" w:hAnsi="宋体" w:cs="宋体"/>
          <w:iCs/>
          <w:color w:val="auto"/>
          <w:szCs w:val="21"/>
          <w:highlight w:val="none"/>
        </w:rPr>
        <w:t xml:space="preserve">进行佐证）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 X射线光源同步控制电缆。（现场演示佐证）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1.4操作控制软件一套，须集成到系统软件里。（提供生产厂家技术说明书或</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▲1.5可实现无线连接功能。（提供生产厂家技术说明书或</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2.手提式便携平板探测器。</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★2.1探测器类型为全天候工业非晶硅平板探测器。（提供生产厂家技术说明书或</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▲2.2厚度≤1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mm，</w:t>
      </w:r>
      <w:r>
        <w:rPr>
          <w:rFonts w:hint="eastAsia" w:ascii="宋体" w:hAnsi="宋体" w:cs="宋体"/>
          <w:color w:val="auto"/>
          <w:szCs w:val="21"/>
          <w:highlight w:val="none"/>
        </w:rPr>
        <w:t xml:space="preserve">一</w:t>
      </w:r>
      <w:r>
        <w:rPr>
          <w:rFonts w:hint="eastAsia" w:ascii="宋体" w:hAnsi="宋体" w:cs="宋体"/>
          <w:color w:val="auto"/>
          <w:szCs w:val="21"/>
          <w:highlight w:val="none"/>
        </w:rPr>
        <w:t xml:space="preserve">次成像面积≥350mm×420mm，解析度≥3.5线对/mm，平板探测器重量≤3kg。（</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▲2.3像素间距≤150μm，单像素成像范围≥ 16Oum × 15Oum  。</w:t>
      </w:r>
      <w:r>
        <w:rPr>
          <w:rFonts w:hint="eastAsia" w:ascii="宋体" w:hAnsi="宋体" w:cs="宋体"/>
          <w:color w:val="auto"/>
          <w:szCs w:val="21"/>
          <w:highlight w:val="none"/>
        </w:rPr>
        <w:t xml:space="preserve">（提供生产厂家技术说明书或</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★2.4配备可拆卸电池两块，及配套电池座充一个。（提供实物照片进行佐证）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2.5控制线与成像板之间应采用双向磁性吸附连接。（现场演示佐证）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2.6最大负载≥300kg；坠落安全测试离地最大高度≥100cm。（提供生产厂家技术说明书或</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▲2.7无线模块内置，可实现平板探测器与控制器无线连接。（现场演示佐证）</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▲2.8可与我单位现有可折叠滑架适配使用（滑架型号NVFSSKA003），实现大区域检查。可对不小于800mm×700mm面积实现检测，并自动拼接为一幅完整图像（提供生产厂家技术说明书）</w:t>
      </w:r>
      <w:r>
        <w:rPr>
          <w:rFonts w:hint="eastAsia" w:ascii="宋体" w:hAnsi="宋体" w:cs="宋体"/>
          <w:color w:val="auto"/>
          <w:szCs w:val="21"/>
          <w:highlight w:val="none"/>
          <w:lang w:eastAsia="zh-CN"/>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2.9成像无失真放大倍率≥15</w:t>
      </w:r>
      <w:r>
        <w:rPr>
          <w:rFonts w:hint="eastAsia" w:ascii="宋体" w:hAnsi="宋体" w:cs="宋体"/>
          <w:color w:val="auto"/>
          <w:szCs w:val="21"/>
          <w:highlight w:val="none"/>
          <w:lang w:val="en-US" w:eastAsia="zh-CN"/>
        </w:rPr>
        <w:t xml:space="preserve">倍</w:t>
      </w:r>
      <w:r>
        <w:rPr>
          <w:rFonts w:hint="eastAsia" w:ascii="宋体" w:hAnsi="宋体" w:cs="宋体"/>
          <w:color w:val="auto"/>
          <w:szCs w:val="21"/>
          <w:highlight w:val="none"/>
        </w:rPr>
        <w:t xml:space="preserve">。（提供</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rPr>
        <w:t xml:space="preserve">进行佐证）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3.接收系统</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▲3.1采用防眩光工业级平板电脑，屏幕尺寸≥20英寸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全触屏操作</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现场演示佐证）</w:t>
      </w:r>
      <w:r>
        <w:rPr>
          <w:rFonts w:hint="eastAsia" w:ascii="宋体" w:hAnsi="宋体" w:cs="宋体"/>
          <w:color w:val="auto"/>
          <w:szCs w:val="21"/>
          <w:highlight w:val="none"/>
        </w:rPr>
        <w:t xml:space="preserve">，分辨率≥3500×2500，亮度≥1500尼特，可实现快速操作和显示分析；预装触控软件</w:t>
      </w:r>
      <w:r>
        <w:rPr>
          <w:rFonts w:hint="eastAsia" w:ascii="宋体" w:hAnsi="宋体" w:cs="宋体"/>
          <w:color w:val="auto"/>
          <w:szCs w:val="21"/>
          <w:highlight w:val="none"/>
        </w:rPr>
        <w:t xml:space="preserve">、配备移动电源</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提供生产厂家技术说明书</w:t>
      </w:r>
      <w:r>
        <w:rPr>
          <w:rFonts w:hint="eastAsia" w:ascii="宋体" w:hAnsi="宋体" w:cs="宋体"/>
          <w:b/>
          <w:bCs/>
          <w:color w:val="auto"/>
          <w:szCs w:val="21"/>
          <w:highlight w:val="none"/>
          <w:lang w:val="en-US" w:eastAsia="zh-CN"/>
        </w:rPr>
        <w:t xml:space="preserve">或</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进行佐证）</w:t>
      </w:r>
      <w:r>
        <w:rPr>
          <w:rFonts w:hint="eastAsia" w:ascii="宋体" w:hAnsi="宋体" w:cs="宋体"/>
          <w:b/>
          <w:bCs/>
          <w:color w:val="auto"/>
          <w:szCs w:val="21"/>
          <w:highlight w:val="none"/>
          <w:lang w:eastAsia="zh-CN"/>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▲3.2具有充电、控制和通讯接口。可通过线缆连接其他部件；通讯适配器与通讯线缆接口应为满足军用标准</w:t>
      </w:r>
      <w:bookmarkStart w:id="32" w:name="OLE_LINK1"/>
      <w:r/>
      <w:bookmarkStart w:id="33" w:name="OLE_LINK2"/>
      <w:r>
        <w:rPr>
          <w:rFonts w:hint="eastAsia" w:ascii="宋体" w:hAnsi="宋体" w:cs="宋体"/>
          <w:color w:val="auto"/>
          <w:szCs w:val="21"/>
          <w:highlight w:val="none"/>
        </w:rPr>
        <w:t xml:space="preserve">MIL-DTL-38999</w:t>
      </w:r>
      <w:bookmarkEnd w:id="32"/>
      <w:r/>
      <w:bookmarkEnd w:id="33"/>
      <w:r>
        <w:rPr>
          <w:rFonts w:hint="eastAsia" w:ascii="宋体" w:hAnsi="宋体" w:cs="宋体"/>
          <w:color w:val="auto"/>
          <w:szCs w:val="21"/>
          <w:highlight w:val="none"/>
        </w:rPr>
        <w:t xml:space="preserve">的耐用接口；控制器所有接口应为满足军用标准MIL-DTL-38999的耐用接口，不得采用局域网接口或LEMO接口连接。（提供生产厂家技术说明书和现场演示佐证）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3.3具有无线连接功能，无线接收器自带磁性吸附功能，可吸附于运载箱盖侧壁。（现场演示佐证）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▲3.4支持双能量模块和可折叠滑架。（提供生产厂家技术说明书）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4.系统控制软件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4.1实现X光机同步控制、图像采集、图像分析和数据管理等功能；具有中文菜单；使用一键式进行触控操作。（现场演示佐证）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4.2具有平板探测器坏像素检测、自动校正功能，自动完成探测器暗场和亮场校正。（提供生产厂家技术说明书）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4.3具有图像显示、存储、放大、测量、注释、增强处理、浮雕、滤波、自适应直方图、图像/区域统计（SNR信噪比测量、标准偏差、均值、对比度等）等功能和数据库管理功能。（现场演示佐证）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▲4.4图像灰度等级≥65000级</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具有</w:t>
      </w:r>
      <w:r>
        <w:rPr>
          <w:rFonts w:hint="eastAsia" w:ascii="宋体" w:hAnsi="宋体" w:cs="宋体"/>
          <w:b/>
          <w:bCs/>
          <w:color w:val="auto"/>
          <w:szCs w:val="21"/>
          <w:highlight w:val="none"/>
        </w:rPr>
        <w:t xml:space="preserve">CMA、CNAS认证</w:t>
      </w:r>
      <w:r>
        <w:rPr>
          <w:rFonts w:hint="eastAsia" w:ascii="宋体" w:hAnsi="宋体" w:cs="宋体"/>
          <w:b/>
          <w:bCs/>
          <w:color w:val="auto"/>
          <w:szCs w:val="21"/>
          <w:highlight w:val="none"/>
          <w:lang w:val="en-US" w:eastAsia="zh-CN"/>
        </w:rPr>
        <w:t xml:space="preserve">的第三方检测机构</w:t>
      </w:r>
      <w:r>
        <w:rPr>
          <w:rFonts w:hint="eastAsia" w:ascii="宋体" w:hAnsi="宋体" w:cs="宋体"/>
          <w:b/>
          <w:bCs/>
          <w:color w:val="auto"/>
          <w:szCs w:val="21"/>
          <w:highlight w:val="none"/>
        </w:rPr>
        <w:t xml:space="preserve">出具的检测报告进行佐证</w:t>
      </w:r>
      <w:r>
        <w:rPr>
          <w:rFonts w:hint="eastAsia" w:ascii="宋体" w:hAnsi="宋体" w:cs="宋体"/>
          <w:b/>
          <w:bCs/>
          <w:color w:val="auto"/>
          <w:szCs w:val="21"/>
          <w:highlight w:val="none"/>
          <w:lang w:eastAsia="zh-CN"/>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可通过触碰实时分辨每一点位灰阶情况</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视频佐证</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 。</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4.5具有多模式一键优化功能，可根据被检查物体的密度和厚度的原始图像选择轻度（低）、中度（中）、重度（高）优化模式用于实战判别，只需一键式操作可对被检查物体的原始图像进行灰度、锐度和滤波等的最优化处理得到最佳显示图像</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检测报告和现场演示佐证）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具备对原始图像进行独立的</w:t>
      </w:r>
      <w:r>
        <w:rPr>
          <w:rFonts w:hint="eastAsia" w:ascii="宋体" w:hAnsi="宋体" w:cs="宋体"/>
          <w:color w:val="auto"/>
          <w:szCs w:val="21"/>
          <w:highlight w:val="none"/>
        </w:rPr>
        <w:t xml:space="preserve">自动/手动灰度调节、一键锐化功能，且相关按钮处于主界面</w:t>
      </w:r>
      <w:r>
        <w:rPr>
          <w:rFonts w:hint="eastAsia" w:ascii="宋体" w:hAnsi="宋体" w:cs="宋体"/>
          <w:b/>
          <w:bCs/>
          <w:color w:val="auto"/>
          <w:szCs w:val="21"/>
          <w:highlight w:val="none"/>
        </w:rPr>
        <w:t xml:space="preserve">（现场演示佐证）</w:t>
      </w:r>
      <w:r>
        <w:rPr>
          <w:rFonts w:hint="eastAsia" w:ascii="宋体" w:hAnsi="宋体" w:cs="宋体"/>
          <w:color w:val="auto"/>
          <w:szCs w:val="21"/>
          <w:highlight w:val="none"/>
          <w:lang w:eastAsia="zh-CN"/>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4.6具有全动态叠加显示功能，应能对多材料结构拍取能量不同的两张检测图像实现动态叠加，使得两张图像的不同密度范围的物体材料在一张叠加后的图像上全部显示出来，便于准确分析材料内部结构及分布。</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▲4.7具有自动拼接功能，</w:t>
      </w:r>
      <w:r>
        <w:rPr>
          <w:rFonts w:hint="eastAsia" w:ascii="宋体" w:hAnsi="宋体" w:cs="宋体"/>
          <w:color w:val="auto"/>
          <w:szCs w:val="21"/>
          <w:highlight w:val="none"/>
        </w:rPr>
        <w:t xml:space="preserve">在不使用滑架情况下对于大型被检对象，</w:t>
      </w:r>
      <w:r>
        <w:rPr>
          <w:rFonts w:hint="eastAsia" w:ascii="宋体" w:hAnsi="宋体" w:cs="宋体"/>
          <w:color w:val="auto"/>
          <w:szCs w:val="21"/>
          <w:highlight w:val="none"/>
        </w:rPr>
        <w:t xml:space="preserve">软件应具备图像自动无缝拼接功能，将分步拍摄的几张检测图像自动拼接为大尺寸的一张完整图像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提供具有CMA、CNAS认证的第三方检测机构出具的检测报告</w:t>
      </w:r>
      <w:r>
        <w:rPr>
          <w:rFonts w:hint="eastAsia" w:ascii="宋体" w:hAnsi="宋体" w:cs="宋体"/>
          <w:color w:val="auto"/>
          <w:szCs w:val="21"/>
          <w:highlight w:val="none"/>
          <w:lang w:val="en-US" w:eastAsia="zh-CN"/>
        </w:rPr>
        <w:t xml:space="preserve">和</w:t>
      </w:r>
      <w:r>
        <w:rPr>
          <w:rFonts w:hint="eastAsia" w:ascii="宋体" w:hAnsi="宋体" w:cs="宋体"/>
          <w:color w:val="auto"/>
          <w:szCs w:val="21"/>
          <w:highlight w:val="none"/>
        </w:rPr>
        <w:t xml:space="preserve">现场演示佐证）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4.8具备多次平均积分降噪功能，用于获取更高质量和信噪比图像。（提供生产厂家技术说明书）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4.9具备图像无失真放大功能，实时显示放大倍数；最大放大倍数不低于16倍，放大到16倍时图像不出现马赛克、锯齿等失真现象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提供具有CMA、CNAS认证的第三方检测机构出具的</w:t>
      </w:r>
      <w:r>
        <w:rPr>
          <w:rFonts w:hint="eastAsia" w:ascii="宋体" w:hAnsi="宋体" w:cs="宋体"/>
          <w:color w:val="auto"/>
          <w:szCs w:val="21"/>
          <w:highlight w:val="none"/>
        </w:rPr>
        <w:t xml:space="preserve">检测报告佐证）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▲4.10具有X射线安全延迟控制功能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（现场演示佐证）。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4.11具有软件调节控制射线源脉冲个数功能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（现场演示佐证）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4.12</w:t>
      </w:r>
      <w:r>
        <w:rPr>
          <w:rFonts w:hint="eastAsia" w:ascii="宋体" w:hAnsi="宋体" w:cs="宋体"/>
          <w:color w:val="auto"/>
          <w:szCs w:val="21"/>
          <w:highlight w:val="none"/>
        </w:rPr>
        <w:t xml:space="preserve">具有备份功能，</w:t>
      </w:r>
      <w:r>
        <w:rPr>
          <w:rFonts w:hint="eastAsia" w:ascii="宋体" w:hAnsi="宋体" w:cs="宋体"/>
          <w:color w:val="auto"/>
          <w:szCs w:val="21"/>
          <w:highlight w:val="none"/>
        </w:rPr>
        <w:t xml:space="preserve">避免因电脑硬件或操作系统故障导致的软件失效。（提供生产厂家技术说明书）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4.13具有空间分辨率自动测</w:t>
      </w:r>
      <w:r>
        <w:rPr>
          <w:rFonts w:hint="eastAsia" w:ascii="宋体" w:hAnsi="宋体" w:cs="宋体"/>
          <w:color w:val="auto"/>
          <w:szCs w:val="21"/>
          <w:highlight w:val="none"/>
          <w:lang w:val="en-US" w:eastAsia="zh-CN"/>
        </w:rPr>
        <w:t xml:space="preserve">定</w:t>
      </w:r>
      <w:r>
        <w:rPr>
          <w:rFonts w:hint="eastAsia" w:ascii="宋体" w:hAnsi="宋体" w:cs="宋体"/>
          <w:color w:val="auto"/>
          <w:szCs w:val="21"/>
          <w:highlight w:val="none"/>
        </w:rPr>
        <w:t xml:space="preserve">功能，为避免人为误差或误判，对系统空间分辨率的测量应为软件自动识别、自动测量。（提供真实菜单功能图片予以佐证）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具有射线源选择模式，可根据使用环境及被检物品选择不同型号X射线光源，射线源匹配型号≥10种。（现场演示选择菜单予以佐证）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5.扩展功能</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5.1设备可在选配相应附件的前提下，支持实时观察模式</w:t>
      </w:r>
      <w:r>
        <w:rPr>
          <w:rFonts w:hint="eastAsia" w:ascii="宋体" w:hAnsi="宋体" w:cs="宋体"/>
          <w:color w:val="auto"/>
          <w:szCs w:val="21"/>
          <w:highlight w:val="none"/>
          <w:lang w:eastAsia="zh-CN"/>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5.2实时观察模式下，可获得被检物体处的实时视频和实时音频，并能够在拍摄X光图像的同时保存一张可见光图像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（提供视频或图片予以佐证）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5.3在选配相应附件的前提下，支持双能量检测模式，自动实现射线束滤波，以不同颜色区分危险等级不同的材料。（提供视频或图片予以佐证）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5.4</w:t>
      </w:r>
      <w:r>
        <w:rPr>
          <w:rFonts w:hint="eastAsia" w:ascii="宋体" w:hAnsi="宋体" w:cs="宋体"/>
          <w:color w:val="auto"/>
          <w:szCs w:val="21"/>
          <w:highlight w:val="none"/>
        </w:rPr>
        <w:t xml:space="preserve">支持快速作战一拖二模式。</w:t>
      </w:r>
      <w:r>
        <w:rPr>
          <w:rFonts w:hint="eastAsia" w:ascii="宋体" w:hAnsi="宋体" w:cs="宋体"/>
          <w:b/>
          <w:bCs/>
          <w:color w:val="auto"/>
          <w:szCs w:val="21"/>
          <w:highlight w:val="none"/>
        </w:rPr>
        <w:t xml:space="preserve">（提供视频或图片予以佐证）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6.操作模式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6.1供电：探测器、控制器自带可充电电池，数字成像系统能够直、交流电工作，全电池供电连续工作时间≥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h。</w:t>
      </w:r>
      <w:r>
        <w:rPr>
          <w:rFonts w:hint="eastAsia" w:ascii="宋体" w:hAnsi="宋体" w:cs="宋体"/>
          <w:b/>
          <w:bCs/>
          <w:color w:val="auto"/>
          <w:szCs w:val="21"/>
          <w:highlight w:val="none"/>
        </w:rPr>
        <w:t xml:space="preserve">（提供生产厂家技术说明书）</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▲6.2探测器、控制器、电脑之间能够实现完全无线通讯模式</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现场演示）</w:t>
      </w:r>
      <w:r>
        <w:rPr>
          <w:rFonts w:hint="eastAsia" w:ascii="宋体" w:hAnsi="宋体" w:cs="宋体"/>
          <w:color w:val="auto"/>
          <w:szCs w:val="21"/>
          <w:highlight w:val="none"/>
        </w:rPr>
        <w:t xml:space="preserve">，有效距离≥300m</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佐证）</w:t>
      </w:r>
      <w:r>
        <w:rPr>
          <w:rFonts w:hint="eastAsia" w:ascii="宋体" w:hAnsi="宋体" w:cs="宋体"/>
          <w:color w:val="auto"/>
          <w:szCs w:val="21"/>
          <w:highlight w:val="none"/>
          <w:lang w:eastAsia="zh-CN"/>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▲6.3有线控制通讯电缆1套，长度≥50m，带电缆盘。</w:t>
      </w:r>
      <w:r>
        <w:rPr>
          <w:rFonts w:hint="eastAsia" w:ascii="宋体" w:hAnsi="宋体" w:cs="宋体"/>
          <w:b/>
          <w:bCs/>
          <w:color w:val="auto"/>
          <w:szCs w:val="21"/>
          <w:highlight w:val="none"/>
        </w:rPr>
        <w:t xml:space="preserve">（提供生产厂家技术说明书）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7.拉杆轮式运载箱1件，设备须装载在同一轮式拉杆运载箱内，总重≤35kg，体积（长×宽×高）≤80cm×50cm×40cm。</w:t>
      </w:r>
      <w:r>
        <w:rPr>
          <w:rFonts w:hint="eastAsia" w:ascii="宋体" w:hAnsi="宋体" w:cs="宋体"/>
          <w:b/>
          <w:bCs/>
          <w:color w:val="auto"/>
          <w:szCs w:val="21"/>
          <w:highlight w:val="none"/>
        </w:rPr>
        <w:t xml:space="preserve">（提供生产厂家技术说明书）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8.使用环境温度范围：-10～+40℃；相对湿℃度：≤80%（无冷凝）。</w:t>
      </w:r>
      <w:r>
        <w:rPr>
          <w:rFonts w:hint="eastAsia" w:ascii="宋体" w:hAnsi="宋体" w:cs="宋体"/>
          <w:b/>
          <w:bCs/>
          <w:color w:val="auto"/>
          <w:szCs w:val="21"/>
          <w:highlight w:val="none"/>
        </w:rPr>
        <w:t xml:space="preserve">（提供生产厂家技术说明书或</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进行佐证）</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★9.承诺整机质保五年</w:t>
      </w:r>
      <w:r/>
    </w:p>
    <w:p>
      <w:pPr>
        <w:pStyle w:val="686"/>
        <w:ind w:firstLine="480"/>
        <w:rPr>
          <w:color w:val="auto"/>
          <w:highlight w:val="none"/>
        </w:rPr>
      </w:pPr>
      <w:r>
        <w:rPr>
          <w:color w:val="auto"/>
          <w:highlight w:val="none"/>
        </w:rPr>
      </w:r>
      <w:r/>
    </w:p>
    <w:p>
      <w:pPr>
        <w:pStyle w:val="677"/>
        <w:spacing w:line="360" w:lineRule="auto"/>
        <w:rPr>
          <w:color w:val="auto"/>
          <w:highlight w:val="none"/>
        </w:rPr>
      </w:pPr>
      <w:r>
        <w:rPr>
          <w:rFonts w:hint="eastAsia"/>
          <w:color w:val="auto"/>
          <w:highlight w:val="none"/>
        </w:rPr>
        <w:t xml:space="preserve"> （二）车底检查机器人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1、车底检查机器人本体</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▲1.1.检测类型：应可对小型车辆、中大型客车、货车进行车底清晰拍照。</w:t>
      </w:r>
      <w:r>
        <w:rPr>
          <w:rFonts w:hint="eastAsia" w:ascii="宋体" w:hAnsi="宋体" w:cs="宋体"/>
          <w:color w:val="auto"/>
          <w:szCs w:val="21"/>
          <w:highlight w:val="none"/>
        </w:rPr>
        <w:t xml:space="preserve">机器人车身尺寸≦530mm*330mm*120mm、重量≦13kg</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lang w:val="en-US" w:eastAsia="zh-CN"/>
        </w:rPr>
        <w:t xml:space="preserve">或</w:t>
      </w:r>
      <w:r>
        <w:rPr>
          <w:rFonts w:hint="eastAsia" w:ascii="宋体" w:hAnsi="宋体" w:cs="宋体"/>
          <w:b/>
          <w:bCs/>
          <w:color w:val="auto"/>
          <w:szCs w:val="21"/>
          <w:highlight w:val="none"/>
        </w:rPr>
        <w:t xml:space="preserve">厂家说明书）</w:t>
      </w:r>
      <w:r>
        <w:rPr>
          <w:rFonts w:hint="eastAsia" w:ascii="宋体" w:hAnsi="宋体" w:cs="宋体"/>
          <w:color w:val="auto"/>
          <w:szCs w:val="21"/>
          <w:highlight w:val="none"/>
          <w:lang w:eastAsia="zh-CN"/>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 视频器件：机器人本体顶部摄像头视场角度应≥180°,扫描相机分辨率应≥2048*6000像素。</w:t>
      </w:r>
      <w:r>
        <w:rPr>
          <w:rFonts w:hint="eastAsia" w:ascii="宋体" w:hAnsi="宋体" w:cs="宋体"/>
          <w:b/>
          <w:bCs/>
          <w:color w:val="auto"/>
          <w:szCs w:val="21"/>
          <w:highlight w:val="none"/>
        </w:rPr>
        <w:t xml:space="preserve">（提供厂家技术说明书）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▲1.3机器人本体顶部摄像头图像分辨率应≥2560*1440像素。</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和厂家说明书）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▲1.4机器人本体应可全向运动，机器人本体最大行进速度应≥1.5m/s。</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w:t>
      </w:r>
      <w:r/>
    </w:p>
    <w:p>
      <w:pPr>
        <w:ind w:firstLine="420"/>
        <w:jc w:val="left"/>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▲1.5操控功能：机器人本体配置麦克纳姆轮，支持通过显控终端软件远程遥控机器人本体的前进、后退、左右平移、左转、右转及原地转向</w:t>
      </w:r>
      <w:r>
        <w:rPr>
          <w:rFonts w:hint="eastAsia" w:ascii="宋体" w:hAnsi="宋体" w:cs="宋体"/>
          <w:b/>
          <w:bCs/>
          <w:color w:val="auto"/>
          <w:szCs w:val="21"/>
          <w:highlight w:val="none"/>
        </w:rPr>
        <w:t xml:space="preserve">（提供视频佐证）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可通过15度斜坡与15毫米垂直障碍</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1.6机器人本体应配备彩色LED显示面板，并支持通过LED面板实时显示电池电压、电流、电池电量、主机内部温度等。同时在操作终端上也可以显示机器人本体电池电量、温度。</w:t>
      </w:r>
      <w:r>
        <w:rPr>
          <w:rFonts w:hint="eastAsia" w:ascii="宋体" w:hAnsi="宋体" w:cs="宋体"/>
          <w:b/>
          <w:bCs/>
          <w:color w:val="auto"/>
          <w:szCs w:val="21"/>
          <w:highlight w:val="none"/>
        </w:rPr>
        <w:t xml:space="preserve">（提供视频佐证）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1.7</w:t>
      </w:r>
      <w:r>
        <w:rPr>
          <w:rFonts w:hint="eastAsia" w:ascii="宋体" w:hAnsi="宋体" w:cs="宋体"/>
          <w:color w:val="auto"/>
          <w:szCs w:val="21"/>
          <w:highlight w:val="none"/>
          <w:lang w:val="en-US" w:eastAsia="zh-CN"/>
        </w:rPr>
        <w:t xml:space="preserve">远程操控距离：≥300米（空旷区域）。</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▲1.8自动障碍急停：机器人应具备紧急情况下的自动急停功能，当机器人前进、后退、左右移动等快速撞向障碍物前，应能主动刹停。</w:t>
      </w:r>
      <w:r>
        <w:rPr>
          <w:rFonts w:hint="eastAsia" w:ascii="宋体" w:hAnsi="宋体" w:cs="宋体"/>
          <w:b/>
          <w:bCs/>
          <w:color w:val="auto"/>
          <w:szCs w:val="21"/>
          <w:highlight w:val="none"/>
        </w:rPr>
        <w:t xml:space="preserve">（提供视频佐证）</w:t>
      </w:r>
      <w:r/>
    </w:p>
    <w:p>
      <w:pPr>
        <w:ind w:firstLine="420"/>
        <w:jc w:val="left"/>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▲1.9电池更换与充电: 设备采用双电池供电设计，可支持热插拨</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提供视频佐证）</w:t>
      </w:r>
      <w:r>
        <w:rPr>
          <w:rFonts w:hint="eastAsia" w:ascii="宋体" w:hAnsi="宋体" w:cs="宋体"/>
          <w:color w:val="auto"/>
          <w:szCs w:val="21"/>
          <w:highlight w:val="none"/>
        </w:rPr>
        <w:t xml:space="preserve">。在不使用专业工具的前提下，电池应可进行快捷拆卸和更换。单块电池持续工作时间4小时以上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设备应支持通过机器人主机机身电源接口进行充电，同时也支持通过电池块的充电接口对电池进行单独充电</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eastAsia="zh-CN"/>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▲1.10配备多轴增稳夹层侦视云台模块等。配备不低于10</w:t>
      </w:r>
      <w:r>
        <w:rPr>
          <w:rFonts w:hint="eastAsia" w:ascii="宋体" w:hAnsi="宋体" w:cs="宋体"/>
          <w:color w:val="auto"/>
          <w:szCs w:val="21"/>
          <w:highlight w:val="none"/>
          <w:lang w:val="en-US" w:eastAsia="zh-CN"/>
        </w:rPr>
        <w:t xml:space="preserve">倍</w:t>
      </w:r>
      <w:r>
        <w:rPr>
          <w:rFonts w:hint="eastAsia" w:ascii="宋体" w:hAnsi="宋体" w:cs="宋体"/>
          <w:color w:val="auto"/>
          <w:szCs w:val="21"/>
          <w:highlight w:val="none"/>
        </w:rPr>
        <w:t xml:space="preserve">光学变焦并高精度3轴增稳云台、清晰度不低于400万像素（2560*1440）采用HDR高动态星光级相机</w:t>
      </w:r>
      <w:r>
        <w:rPr>
          <w:rFonts w:hint="eastAsia" w:ascii="宋体" w:hAnsi="宋体" w:cs="宋体"/>
          <w:color w:val="auto"/>
          <w:szCs w:val="21"/>
          <w:highlight w:val="none"/>
          <w:lang w:eastAsia="zh-CN"/>
        </w:rPr>
        <w:t xml:space="preserve">。</w:t>
      </w:r>
      <w:r>
        <w:rPr>
          <w:rFonts w:hint="eastAsia" w:ascii="宋体" w:hAnsi="宋体" w:cs="宋体"/>
          <w:b/>
          <w:bCs/>
          <w:color w:val="auto"/>
          <w:szCs w:val="21"/>
          <w:highlight w:val="none"/>
        </w:rPr>
        <w:t xml:space="preserve">（提供视频佐证或说明书）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1.11机器人本体支持通过操控平板终端和无线遥控终端进行操控。</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1.12路面适应性:可四级以上公路地面。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1.13工作环境温度：-10℃～＋60℃；工作环境湿度：0-90%（不结露）。</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2、机器人操控终端</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▲2.1显示屏：不低于10.1寸、户外防眩可视屏</w:t>
      </w:r>
      <w:r>
        <w:rPr>
          <w:rFonts w:hint="eastAsia" w:ascii="宋体" w:hAnsi="宋体" w:cs="宋体"/>
          <w:color w:val="auto"/>
          <w:szCs w:val="21"/>
          <w:highlight w:val="none"/>
          <w:lang w:eastAsia="zh-CN"/>
        </w:rPr>
        <w:t xml:space="preserve">，</w:t>
      </w:r>
      <w:r>
        <w:rPr>
          <w:rFonts w:hint="eastAsia" w:ascii="宋体" w:hAnsi="宋体" w:cs="宋体"/>
          <w:strike w:val="0"/>
          <w:color w:val="auto"/>
          <w:szCs w:val="21"/>
          <w:highlight w:val="none"/>
          <w:lang w:eastAsia="zh-CN"/>
        </w:rPr>
        <w:t xml:space="preserve">支持对图像进行</w:t>
      </w:r>
      <w:r>
        <w:rPr>
          <w:rFonts w:hint="eastAsia" w:ascii="宋体" w:hAnsi="宋体" w:cs="宋体"/>
          <w:strike w:val="0"/>
          <w:color w:val="auto"/>
          <w:szCs w:val="21"/>
          <w:highlight w:val="none"/>
          <w:lang w:val="en-US" w:eastAsia="zh-CN"/>
        </w:rPr>
        <w:t xml:space="preserve">处理包括</w:t>
      </w:r>
      <w:r>
        <w:rPr>
          <w:rFonts w:hint="eastAsia" w:ascii="宋体" w:hAnsi="宋体" w:cs="宋体"/>
          <w:strike w:val="0"/>
          <w:color w:val="auto"/>
          <w:szCs w:val="21"/>
          <w:highlight w:val="none"/>
          <w:lang w:eastAsia="zh-CN"/>
        </w:rPr>
        <w:t xml:space="preserve">对比度、亮度及饱和度调整 。</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厂家说明书</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2.2续航时间：≥6小时；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2.3屏幕分辨率：≥1920*1200；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2.4运行内存：≥8G；</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2.5硬盘容量：≥128GB；</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2.6外部接口：至少应配有USB-A口、SIM卡槽、TYPE-C/DP接口、RJ45网口、FC接口、PPM接口等；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▲2.7采用智能型摇杆操控器</w:t>
      </w:r>
      <w:r>
        <w:rPr>
          <w:rFonts w:hint="eastAsia" w:ascii="宋体" w:hAnsi="宋体" w:cs="宋体"/>
          <w:color w:val="auto"/>
          <w:szCs w:val="21"/>
          <w:highlight w:val="none"/>
          <w:lang w:eastAsia="zh-CN"/>
        </w:rPr>
        <w:t xml:space="preserve">。</w:t>
      </w:r>
      <w:r>
        <w:rPr>
          <w:rFonts w:hint="eastAsia" w:ascii="宋体" w:hAnsi="宋体" w:cs="宋体"/>
          <w:b/>
          <w:bCs/>
          <w:color w:val="auto"/>
          <w:szCs w:val="21"/>
          <w:highlight w:val="none"/>
        </w:rPr>
        <w:t xml:space="preserve">（提供图片或视频佐证）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3、机器人车底检查系统软件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3.1支持APP操控小车实时运动，支持不少于2路摄像模组显示监控画面。</w:t>
      </w:r>
      <w:r>
        <w:rPr>
          <w:rFonts w:hint="eastAsia" w:ascii="宋体" w:hAnsi="宋体" w:cs="宋体"/>
          <w:b/>
          <w:bCs/>
          <w:color w:val="auto"/>
          <w:szCs w:val="21"/>
          <w:highlight w:val="none"/>
        </w:rPr>
        <w:t xml:space="preserve">（提供图片或视频佐证）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3.2支持手持操控平板终端对车辆外观、驾乘人员及证件、车载物品等进行拍照，并与车牌等关联存储与查询显示。提供备案信息及白黑名单功能。</w:t>
      </w:r>
      <w:r>
        <w:rPr>
          <w:rFonts w:hint="eastAsia" w:ascii="宋体" w:hAnsi="宋体" w:cs="宋体"/>
          <w:b/>
          <w:bCs/>
          <w:color w:val="auto"/>
          <w:szCs w:val="21"/>
          <w:highlight w:val="none"/>
        </w:rPr>
        <w:t xml:space="preserve">（提供图片或视频佐证）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▲3.3设备应支持通过机器人本体前部摄像头和显控终端集成摄像头进行车牌识别。</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提供具有CMA、CNAS认证的第三方检测机构出具的检测报告</w:t>
      </w:r>
      <w:r>
        <w:rPr>
          <w:rFonts w:hint="eastAsia" w:ascii="宋体" w:hAnsi="宋体" w:cs="宋体"/>
          <w:b/>
          <w:bCs/>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3.4设备应支持通过显控终端软件查询车辆底盘安全检查记录。手持终端可观察和记录对应车辆底盘高清全图信息、车牌信息等，支持按照车牌或者日期查询相关车辆的抓拍图和录像回放。支持彩色高清车辆底盘扫描图像完整显示与放缩等处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▲3.5智能检查：机器人自动查验过程中，应支持通过显控终端软件界面的一键查验按钮控制机器人主机自动完成车辆底盘扫描并返回。</w:t>
      </w:r>
      <w:r>
        <w:rPr>
          <w:rFonts w:hint="eastAsia" w:ascii="宋体" w:hAnsi="宋体" w:cs="宋体"/>
          <w:color w:val="auto"/>
          <w:szCs w:val="21"/>
          <w:highlight w:val="none"/>
          <w:lang w:val="en-US" w:eastAsia="zh-CN"/>
        </w:rPr>
        <w:t xml:space="preserve">当发现可疑目标时，</w:t>
      </w:r>
      <w:r>
        <w:rPr>
          <w:rFonts w:hint="eastAsia" w:ascii="宋体" w:hAnsi="宋体" w:cs="宋体"/>
          <w:color w:val="auto"/>
          <w:szCs w:val="21"/>
          <w:highlight w:val="none"/>
        </w:rPr>
        <w:t xml:space="preserve">一键操控机器人自动前</w:t>
      </w:r>
      <w:r>
        <w:rPr>
          <w:rFonts w:hint="eastAsia" w:ascii="宋体" w:hAnsi="宋体" w:cs="宋体"/>
          <w:color w:val="auto"/>
          <w:szCs w:val="21"/>
          <w:highlight w:val="none"/>
          <w:lang w:val="en-US" w:eastAsia="zh-CN"/>
        </w:rPr>
        <w:t xml:space="preserve">往</w:t>
      </w:r>
      <w:r>
        <w:rPr>
          <w:rFonts w:hint="eastAsia" w:ascii="宋体" w:hAnsi="宋体" w:cs="宋体"/>
          <w:color w:val="auto"/>
          <w:szCs w:val="21"/>
          <w:highlight w:val="none"/>
        </w:rPr>
        <w:t xml:space="preserve">屏幕上标定的可疑位置，通过多轴增稳夹层侦视云台可对</w:t>
      </w:r>
      <w:r>
        <w:rPr>
          <w:rFonts w:hint="eastAsia" w:ascii="宋体" w:hAnsi="宋体" w:cs="宋体"/>
          <w:color w:val="auto"/>
          <w:szCs w:val="21"/>
          <w:highlight w:val="none"/>
          <w:lang w:val="en-US" w:eastAsia="zh-CN"/>
        </w:rPr>
        <w:t xml:space="preserve">可疑</w:t>
      </w:r>
      <w:r>
        <w:rPr>
          <w:rFonts w:hint="eastAsia" w:ascii="宋体" w:hAnsi="宋体" w:cs="宋体"/>
          <w:color w:val="auto"/>
          <w:szCs w:val="21"/>
          <w:highlight w:val="none"/>
        </w:rPr>
        <w:t xml:space="preserve">位置进行侦视，操作云台可放大可疑位置并拍照或录像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侦视</w:t>
      </w:r>
      <w:r>
        <w:rPr>
          <w:rFonts w:hint="eastAsia" w:ascii="宋体" w:hAnsi="宋体" w:cs="宋体"/>
          <w:color w:val="auto"/>
          <w:szCs w:val="21"/>
          <w:highlight w:val="none"/>
          <w:lang w:val="en-US" w:eastAsia="zh-CN"/>
        </w:rPr>
        <w:t xml:space="preserve">完成后</w:t>
      </w:r>
      <w:r>
        <w:rPr>
          <w:rFonts w:hint="eastAsia" w:ascii="宋体" w:hAnsi="宋体" w:cs="宋体"/>
          <w:color w:val="auto"/>
          <w:szCs w:val="21"/>
          <w:highlight w:val="none"/>
        </w:rPr>
        <w:t xml:space="preserve">可一键回到原始位置。</w:t>
      </w:r>
      <w:r>
        <w:rPr>
          <w:rFonts w:hint="eastAsia" w:ascii="宋体" w:hAnsi="宋体" w:cs="宋体"/>
          <w:b/>
          <w:bCs/>
          <w:color w:val="auto"/>
          <w:szCs w:val="21"/>
          <w:highlight w:val="none"/>
        </w:rPr>
        <w:t xml:space="preserve">（提供视频佐证）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3.6应配置机器人前侧、顶部及左右两侧方向的高亮LED照明灯，可自动开关补光灯设计，灯光亮度支持多级亮度可调。</w:t>
      </w:r>
      <w:r>
        <w:rPr>
          <w:rFonts w:hint="eastAsia" w:ascii="宋体" w:hAnsi="宋体" w:cs="宋体"/>
          <w:b/>
          <w:bCs/>
          <w:color w:val="auto"/>
          <w:szCs w:val="21"/>
          <w:highlight w:val="none"/>
        </w:rPr>
        <w:t xml:space="preserve">（提供厂家技术说明书）</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▲3.7应具备车底异物智能识别功能。当扫描到的车辆底盘存在异物时，应能红框选定异物。</w:t>
      </w:r>
      <w:r>
        <w:rPr>
          <w:rFonts w:hint="eastAsia" w:ascii="宋体" w:hAnsi="宋体" w:cs="宋体"/>
          <w:b/>
          <w:bCs/>
          <w:color w:val="auto"/>
          <w:szCs w:val="21"/>
          <w:highlight w:val="none"/>
        </w:rPr>
        <w:t xml:space="preserve">（提供视频佐证）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3.8在机器人装备数量较多后，支持提供机器人集中管控平台供使用方集中管理。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4、设备安全箱</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4.1材质要求：应具有防水、防尘、防腐功能；材质：高抗</w:t>
      </w:r>
      <w:r>
        <w:rPr>
          <w:rFonts w:hint="eastAsia" w:ascii="宋体" w:hAnsi="宋体" w:cs="宋体"/>
          <w:color w:val="auto"/>
          <w:szCs w:val="21"/>
          <w:highlight w:val="none"/>
          <w:lang w:val="en-US" w:eastAsia="zh-CN"/>
        </w:rPr>
        <w:t xml:space="preserve">冲击材料</w:t>
      </w:r>
      <w:r>
        <w:rPr>
          <w:rFonts w:hint="eastAsia" w:ascii="宋体" w:hAnsi="宋体" w:cs="宋体"/>
          <w:color w:val="auto"/>
          <w:szCs w:val="21"/>
          <w:highlight w:val="none"/>
        </w:rPr>
        <w:t xml:space="preserve">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★5、承诺整机质保五年</w:t>
      </w:r>
      <w:r/>
    </w:p>
    <w:p>
      <w:pPr>
        <w:pStyle w:val="677"/>
        <w:spacing w:line="360" w:lineRule="auto"/>
        <w:rPr>
          <w:color w:val="auto"/>
          <w:highlight w:val="none"/>
        </w:rPr>
      </w:pPr>
      <w:r>
        <w:rPr>
          <w:rFonts w:hint="eastAsia"/>
          <w:color w:val="auto"/>
          <w:highlight w:val="none"/>
        </w:rPr>
        <w:t xml:space="preserve">（三）排爆四足机器人升级</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1、总体技术要求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★1.1本项目应在现有排爆四足机器人、6自由度机械臂基础上实施升级，在不更换整机主体的前提下，提供完整的软硬件集成解决方案，确保新增设备与原有底盘、机械臂、遥控及安全链路兼容。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▲1.2系统应具备从任务接收、设备自检、地图加载或定位启动、自主导航、环境搜索、目标识别、视觉引导靠近、机械臂抓取、目标转移、指定位置放置到结果记录的端到端闭环作业能力。</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1.3系统应采用分层、模块化架构，感知、定位建图、导航决策、目标识别、视觉引导、机械臂执行、任务调度及安全运维模块应支持独立部署、测试、升级和维护。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▲1.4系统应具备急停、人工接管、低电量保护、通信中断保护、机械臂限位及碰撞约束等安全机制；异常发生时应停止危险动作并进入安全状态。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1.5应提供直观的人机交互界面，支持远程查看设备状态、地图、视频、告警、任务进度和运行日志，并支持必要的参数配置与人工接管。</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▲1.6系统硬件、软件及通信接口应具备扩展能力；应交付本项目源代码、接口文档、配置文件和部署脚本，支持二次开发及后续功能扩展。</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1.7大语言模型或多模态模型仅可用于语义理解、目标复核或任务编排辅助，不得直接输出底盘或机械臂电机级控制命令。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2、硬件配置及接口要求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▲2.1边缘计算单元性能应不低于NVIDIA Jetson Orin NX/AGX Orin级别或同等及以上水平；系统内存≥16 GB，配备NVMe SSD；在AI推理、点云处理、导航和机械臂规划并行运行时，算力余量≥30%。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▲2.2应配置16线、32线或固态3D激光雷达，数据更新频率≥10 Hz；水平视场应覆盖排爆四足机器人前方和侧向，并满足现场量程、近距离盲区、防护及ROS 2驱动兼容要求。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▲2.3应配置前向RGB-D相机或双目相机，用于环境搜索和目标靠近；机械臂腕部应配置RGB或RGB-D相机，用于近距离目标定位和抓取复核；视觉覆盖范围应满足搜索、靠近和抓取三个作业阶段。</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2.4应接入IMU、排爆四足机器人本体里程计及机械臂关节编码器，并向机器人中间件输出带统一时间戳的传感器数据和设备状态数据。</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▲2.5机械臂末端应具备手爪开合状态反馈、腕部相机安装结构、拖链或等效线缆保护以及末端限位保护，并能提供抓取成功或异常夹持判定所需反馈。</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2.6新增设备应配置独立DC-DC供电、电源保险、急停、状态指示及散热结构；应完成整机供电裕量、峰值功耗和热稳定性评估。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2.7系统应支持CAN、以太网、串口、UDP、MQTT等现有设备所需的通信接口或协议桥接方式，不得影响原有排爆四足机器人和机械臂控制链路。</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2.8传感器、控制器及上位任务系统应采用统一时钟，支持软件时间同步；具备条件时应支持PPS、PTP或同等硬件时间同步方式。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3、软件平台与系统集成要求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▲3.1软件平台应采用Linux操作系统和ROS 2长期支持版本，具体发行版本应根据激光雷达、相机、IMU、排爆四足机器人底盘及机械臂驱动兼容性确定。</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▲3.2应完成3D激光雷达、相机、IMU、排爆四足机器人底盘、机械臂及手爪的驱动接入或协议桥接，并统一采用ROS 2 topic、service、action或等效标准接口。</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3.3应建立统一的TF坐标系、参数管理、设备状态管理和日志管理机制，支持传感器标定参数、机器人模型参数及算法参数的加载、保存和版本追踪。</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3.4升级后必须保留原有遥控、急停和人工接管功能；自主程序退出、通信异常或任务失败时，不得阻断人工控制链路。</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3.5应提供Web端、平板端或等效监控界面，支持设备状态、地图、视频、任务进度、告警、参数配置、日志回放和模型版本管理。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3.6应提供一键或脚本化部署、启动、停止、状态检查和故障诊断功能，满足现场安装、维护及恢复运行要求。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4、自主定位建图与导航要求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4.1系统应具备基于3D激光雷达与IMU融合的SLAM能力，并可融合排爆四足机器人本体里程计；应具备点云运动畸变校正、点云配准、局部建图、回环检测、图优化和全局重定位功能。SLAM系统应输出3D点云地图、2D或2.5D导航地图及排爆四足机器人实时位姿，并支持地图保存、加载、更新和运行中地图匹配。</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▲4.2系统应能在室内、广场或半结构化环境完成自主建图、地图维护和重新定位，并生成导航所需的代价地图。</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▲4.3系统应具备全局路径规划、局部路径规划、动态障碍物感知、停车或绕行、到点判定以及规划失败后的恢复能力。</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4.4导航系统应支持虚拟墙、禁行区、限速区和任务点配置，并支持地图坐标下的目标点导航及任务区域搜索。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▲4.5导航参数应适配四足平台运动特性，可限制最大速度、角速度和转向加速度，避免因急转、急停或路径振荡影响机体稳定性。</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4.6关键作业区域重定位成功率应达到≥95%，验收时应进行多次掉电重启、地图重载或定位丢失恢复测试。在设置10～20个任务点的现场测试中，指定点自主到达成功率应达到≥90%；存在动态障碍物时，应能够停车等待或自主绕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5、目标识别与视觉引导要求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5.1系统应采用专用目标检测模型，并可结合开放词汇模型或多模态模型进行目标复核；核心目标应支持现场样本训练、模型适配或类别扩展。</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5.2目标识别模块应输出目标类别、置信度、检测框、跟踪ID和3D位姿，并将结果提供给任务调度、导航和机械臂规划模块。</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▲5.3系统应具备目标持续跟踪能力；目标短时遮挡、视角变化或排爆四足机器人运动时，应维持目标身份并抑制重复识别。</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5.4系统应具备目标3D位姿估计及相机坐标系到机器人坐标系的转换能力，并支持相机、机体和机械臂之间的标定关系管理。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▲5.5目标靠近应采用远距离自主导航与近距离低速视觉闭环相结合的方式；进入抓取准备区后，应通过视觉引导完成位置和姿态对准。</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5.6系统应设置识别置信度阈值、目标二次确认和人工接管提示；识别结果不稳定或目标位姿超出可抓取范围时，不得直接执行抓取。</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5.7核心目标识别准确率应达到≥90%；误报应能够通过二次确认机制过滤，测试样本应覆盖主要作业距离、视角和光照条件。视觉靠近后的目标相对位姿误差应满足机械臂抓取要求；系统应记录目标位姿、排爆四足机器人停靠误差、视觉调整过程及重试次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6、机械臂自主抓取与转移要求</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6.1应建立与实物一致的机械臂URDF/SRDF模型，包含关节限位、工具坐标系、自碰撞模型和末端执行器参数。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6.2机械臂规划系统应支持逆运动学、碰撞检测、无碰撞轨迹规划和轨迹执行，并对奇异位形、越限位形和不可达目标进行过滤。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▲6.3系统应根据目标尺寸、姿态、可接近面和手爪开口范围生成抓取候选，并结合碰撞、可达性和执行稳定性选择抓取姿态。</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▲6.4抓取流程应至少包含预抓取、接近、夹持、抬升、回撤、转移和放置动作，各阶段应设置执行超时、状态确认及异常恢复机制。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6.5系统应综合手爪位置、电流或力反馈、目标视觉复核或等效反馈判定抓取结果；抓取失败时应支持自动重试、恢复到安全姿态或请求人工接管。</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▲6.6标准目标单次自主抓取成功率应达到≥80%；执行第二次重试后的累计抓取成功率应达到≥90%。</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6.7抓取成功后，排爆四足机器人应能够以受限速度自主导航至指定放置点，并持续监测目标状态；到达后应完成释放或交接并复核放置结果。</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6.8目标转移过程中应具备掉落监测或等效异常判定功能；发生掉落、夹持异常或机械臂规划失败时，应停止任务并进入安全恢复流程。</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★7、承诺整机质保五年</w:t>
      </w:r>
      <w:r/>
    </w:p>
    <w:p>
      <w:pPr>
        <w:pStyle w:val="676"/>
        <w:keepLines/>
        <w:keepNext/>
        <w:pageBreakBefore w:val="0"/>
        <w:spacing w:before="0" w:after="0"/>
        <w:widowControl w:val="off"/>
        <w:rPr>
          <w:color w:val="auto"/>
          <w:highlight w:val="none"/>
        </w:rPr>
      </w:pPr>
      <w:r>
        <w:rPr>
          <w:rFonts w:hint="eastAsia"/>
          <w:color w:val="auto"/>
          <w:highlight w:val="none"/>
        </w:rPr>
        <w:t xml:space="preserve">三、商务要求</w:t>
      </w:r>
      <w:r/>
    </w:p>
    <w:p>
      <w:pPr>
        <w:ind w:firstLine="420"/>
        <w:jc w:val="left"/>
        <w:spacing w:line="360" w:lineRule="auto"/>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★1、须加装RFID高频芯片，并在适当位置印刷二维码，RFID芯片及二维码应与装备贴合牢固，使用期内不脱落掉色，符合《公安机关警用装备射频识别标签及二维码标识规范》（江苏省地方标准DB32/T 4916-2024</w:t>
      </w:r>
      <w:r>
        <w:rPr>
          <w:rFonts w:hint="eastAsia" w:ascii="宋体" w:hAnsi="宋体" w:cs="宋体"/>
          <w:b/>
          <w:bCs/>
          <w:color w:val="auto"/>
          <w:szCs w:val="21"/>
          <w:highlight w:val="none"/>
        </w:rPr>
        <w:t xml:space="preserve">）相关要求，供应商在中标后提供加装方案，经采购人确认后方可执行。（提供承诺函加盖公章）。</w:t>
      </w:r>
      <w:r/>
    </w:p>
    <w:p>
      <w:pPr>
        <w:ind w:firstLine="422"/>
        <w:jc w:val="lef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val="en-US"/>
        </w:rPr>
        <w:t xml:space="preserve">样品要求</w:t>
      </w:r>
      <w:r/>
    </w:p>
    <w:p>
      <w:pPr>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供应商提供以下样品，制作标准和要求与本次采购对应产品的参数一致：</w:t>
      </w:r>
      <w:r/>
    </w:p>
    <w:tbl>
      <w:tblPr>
        <w:tblStyle w:val="685"/>
        <w:tblW w:w="9646"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96"/>
        <w:gridCol w:w="835"/>
        <w:gridCol w:w="774"/>
        <w:gridCol w:w="5328"/>
      </w:tblGrid>
      <w:tr>
        <w:trPr>
          <w:trHeight w:val="520"/>
        </w:trPr>
        <w:tc>
          <w:tcPr>
            <w:tcW w:w="713" w:type="dxa"/>
            <w:vAlign w:val="center"/>
            <w:textDirection w:val="lrTb"/>
            <w:noWrap w:val="false"/>
          </w:tcPr>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序号</w:t>
            </w:r>
            <w:r/>
          </w:p>
        </w:tc>
        <w:tc>
          <w:tcPr>
            <w:tcW w:w="1996" w:type="dxa"/>
            <w:vAlign w:val="center"/>
            <w:textDirection w:val="lrTb"/>
            <w:noWrap w:val="false"/>
          </w:tcPr>
          <w:p>
            <w:pPr>
              <w:ind w:firstLine="48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品名</w:t>
            </w:r>
            <w:r/>
          </w:p>
        </w:tc>
        <w:tc>
          <w:tcPr>
            <w:tcW w:w="835" w:type="dxa"/>
            <w:vAlign w:val="center"/>
            <w:textDirection w:val="lrTb"/>
            <w:noWrap w:val="false"/>
          </w:tcPr>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数量</w:t>
            </w:r>
            <w:r/>
          </w:p>
        </w:tc>
        <w:tc>
          <w:tcPr>
            <w:tcW w:w="774" w:type="dxa"/>
            <w:vAlign w:val="center"/>
            <w:textDirection w:val="lrTb"/>
            <w:noWrap w:val="false"/>
          </w:tcPr>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单位</w:t>
            </w:r>
            <w:r/>
          </w:p>
        </w:tc>
        <w:tc>
          <w:tcPr>
            <w:tcW w:w="5328" w:type="dxa"/>
            <w:vAlign w:val="center"/>
            <w:textDirection w:val="lrTb"/>
            <w:noWrap w:val="false"/>
          </w:tcPr>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样品制作的标准和要求</w:t>
            </w:r>
            <w:r/>
          </w:p>
        </w:tc>
      </w:tr>
      <w:tr>
        <w:trPr>
          <w:trHeight w:val="97"/>
        </w:trPr>
        <w:tc>
          <w:tcPr>
            <w:tcW w:w="713" w:type="dxa"/>
            <w:vAlign w:val="center"/>
            <w:textDirection w:val="lrTb"/>
            <w:noWrap/>
          </w:tcPr>
          <w:p>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p>
        </w:tc>
        <w:tc>
          <w:tcPr>
            <w:tcW w:w="1996"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数字化X光机检查仪</w:t>
            </w:r>
            <w:r/>
          </w:p>
        </w:tc>
        <w:tc>
          <w:tcPr>
            <w:tcW w:w="835" w:type="dxa"/>
            <w:vAlign w:val="center"/>
            <w:textDirection w:val="lrTb"/>
            <w:noWrap w:val="false"/>
          </w:tcPr>
          <w:p>
            <w:pPr>
              <w:ind w:firstLine="48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w:t>
            </w:r>
            <w:r/>
          </w:p>
        </w:tc>
        <w:tc>
          <w:tcPr>
            <w:tcW w:w="774" w:type="dxa"/>
            <w:vAlign w:val="center"/>
            <w:textDirection w:val="lrTb"/>
            <w:noWrap w:val="false"/>
          </w:tcPr>
          <w:p>
            <w:pPr>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套</w:t>
            </w:r>
            <w:r/>
          </w:p>
        </w:tc>
        <w:tc>
          <w:tcPr>
            <w:tcW w:w="5328" w:type="dxa"/>
            <w:vAlign w:val="center"/>
            <w:textDirection w:val="lrTb"/>
            <w:noWrap/>
          </w:tcPr>
          <w:p>
            <w:pPr>
              <w:pStyle w:val="677"/>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bidi="ar-SA"/>
              </w:rPr>
              <w:t xml:space="preserve">参照二、技术参数、性能</w:t>
            </w:r>
            <w:r>
              <w:rPr>
                <w:rFonts w:hint="eastAsia" w:ascii="宋体" w:hAnsi="宋体" w:cs="宋体"/>
                <w:b w:val="0"/>
                <w:bCs/>
                <w:color w:val="auto"/>
                <w:sz w:val="21"/>
                <w:szCs w:val="21"/>
                <w:highlight w:val="none"/>
                <w:lang w:val="en-US" w:eastAsia="zh-CN" w:bidi="ar-SA"/>
              </w:rPr>
              <w:t xml:space="preserve">及</w:t>
            </w:r>
            <w:r>
              <w:rPr>
                <w:rFonts w:hint="eastAsia" w:ascii="宋体" w:hAnsi="宋体" w:eastAsia="宋体" w:cs="宋体"/>
                <w:b w:val="0"/>
                <w:bCs/>
                <w:color w:val="auto"/>
                <w:sz w:val="21"/>
                <w:szCs w:val="21"/>
                <w:highlight w:val="none"/>
                <w:lang w:val="en-US" w:eastAsia="zh-CN" w:bidi="ar-SA"/>
              </w:rPr>
              <w:t xml:space="preserve">要求-（一）数字化X光机检查仪要求</w:t>
            </w:r>
            <w:r/>
          </w:p>
          <w:p>
            <w:pPr>
              <w:ind w:firstLine="480"/>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r>
    </w:tbl>
    <w:p>
      <w:pPr>
        <w:ind w:firstLine="420"/>
        <w:jc w:val="left"/>
        <w:spacing w:line="360" w:lineRule="auto"/>
        <w:widowControl/>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eastAsia="zh-CN"/>
        </w:rPr>
        <w:t xml:space="preserve">.样品递交要求</w:t>
      </w:r>
      <w:r/>
    </w:p>
    <w:p>
      <w:pPr>
        <w:ind w:firstLine="48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（1）样品递交时间、地点：投标供应商请于开标当日投标截止时间前，将实物样品送至南京市江宁区万泰路39号宸泰科技大厦泰楼(杭州银行)7层，</w:t>
      </w:r>
      <w:r>
        <w:rPr>
          <w:rFonts w:hint="eastAsia" w:ascii="宋体" w:hAnsi="宋体" w:eastAsia="宋体" w:cs="宋体"/>
          <w:b/>
          <w:bCs/>
          <w:color w:val="auto"/>
          <w:sz w:val="21"/>
          <w:szCs w:val="21"/>
          <w:highlight w:val="none"/>
          <w:lang w:val="zh-CN" w:eastAsia="zh-CN" w:bidi="ar-SA"/>
        </w:rPr>
        <w:t xml:space="preserve">并登记送达信息（登记时间：9:</w:t>
      </w:r>
      <w:r>
        <w:rPr>
          <w:rFonts w:hint="eastAsia" w:ascii="宋体" w:hAnsi="宋体" w:eastAsia="宋体" w:cs="宋体"/>
          <w:b/>
          <w:bCs/>
          <w:color w:val="auto"/>
          <w:sz w:val="21"/>
          <w:szCs w:val="21"/>
          <w:highlight w:val="none"/>
          <w:lang w:val="en-US" w:eastAsia="zh-CN" w:bidi="ar-SA"/>
        </w:rPr>
        <w:t xml:space="preserve">00</w:t>
      </w:r>
      <w:r>
        <w:rPr>
          <w:rFonts w:hint="eastAsia" w:ascii="宋体" w:hAnsi="宋体" w:eastAsia="宋体" w:cs="宋体"/>
          <w:b/>
          <w:bCs/>
          <w:color w:val="auto"/>
          <w:sz w:val="21"/>
          <w:szCs w:val="21"/>
          <w:highlight w:val="none"/>
          <w:lang w:val="zh-CN" w:eastAsia="zh-CN" w:bidi="ar-SA"/>
        </w:rPr>
        <w:t xml:space="preserve">-9:30）在此期间样品由</w:t>
      </w:r>
      <w:r>
        <w:rPr>
          <w:rFonts w:hint="eastAsia" w:ascii="宋体" w:hAnsi="宋体" w:eastAsia="宋体" w:cs="宋体"/>
          <w:b/>
          <w:bCs/>
          <w:color w:val="auto"/>
          <w:sz w:val="21"/>
          <w:szCs w:val="21"/>
          <w:highlight w:val="none"/>
          <w:lang w:val="en-US" w:eastAsia="zh-CN" w:bidi="ar-SA"/>
        </w:rPr>
        <w:t xml:space="preserve">供应商</w:t>
      </w:r>
      <w:r>
        <w:rPr>
          <w:rFonts w:hint="eastAsia" w:ascii="宋体" w:hAnsi="宋体" w:eastAsia="宋体" w:cs="宋体"/>
          <w:b/>
          <w:bCs/>
          <w:color w:val="auto"/>
          <w:sz w:val="21"/>
          <w:szCs w:val="21"/>
          <w:highlight w:val="none"/>
          <w:lang w:val="zh-CN" w:eastAsia="zh-CN" w:bidi="ar-SA"/>
        </w:rPr>
        <w:t xml:space="preserve">自行保管。采购人及</w:t>
      </w:r>
      <w:r>
        <w:rPr>
          <w:rFonts w:hint="eastAsia" w:ascii="宋体" w:hAnsi="宋体" w:eastAsia="宋体" w:cs="宋体"/>
          <w:b/>
          <w:bCs/>
          <w:color w:val="auto"/>
          <w:sz w:val="21"/>
          <w:szCs w:val="21"/>
          <w:highlight w:val="none"/>
          <w:lang w:val="en-US" w:eastAsia="zh-CN" w:bidi="ar-SA"/>
        </w:rPr>
        <w:t xml:space="preserve">代理机构</w:t>
      </w:r>
      <w:r>
        <w:rPr>
          <w:rFonts w:hint="eastAsia" w:ascii="宋体" w:hAnsi="宋体" w:eastAsia="宋体" w:cs="宋体"/>
          <w:b/>
          <w:bCs/>
          <w:color w:val="auto"/>
          <w:sz w:val="21"/>
          <w:szCs w:val="21"/>
          <w:highlight w:val="none"/>
          <w:lang w:val="zh-CN" w:eastAsia="zh-CN" w:bidi="ar-SA"/>
        </w:rPr>
        <w:t xml:space="preserve">不接收在样品递交截止时间后递交的样品</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zh-CN" w:eastAsia="zh-CN" w:bidi="ar-SA"/>
        </w:rPr>
        <w:t xml:space="preserve">未在规定截止时间前送达样品并登记或样品不全的，样品评审分为零。</w:t>
      </w:r>
      <w:r/>
    </w:p>
    <w:p>
      <w:pPr>
        <w:ind w:firstLine="48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递交样品时应服从现场工作人员要求，按要求递交样品并签到，不得翻看他人样品及进行拍照，</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如出现违法违规行为的，视为未提交样品并按照相应法律追究责任。所提供样品上和投标供应商名称有关的信息，应提前覆盖或处理。各供应商应同时提交加盖</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公章的纸张密封在小信封中并将小信封粘贴在样品上，供应商递交的样品上及小信封外不得显示</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名称及其他明显能识别</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的标识，未按要求提交小信封、样品显示</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名称及有其他明显能识别</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的标识的，一律视为未提交样品。</w:t>
      </w:r>
      <w:r/>
    </w:p>
    <w:p>
      <w:pPr>
        <w:ind w:firstLine="480"/>
        <w:spacing w:line="360" w:lineRule="auto"/>
        <w:rPr>
          <w:color w:val="auto"/>
          <w:highlight w:val="none"/>
        </w:rPr>
      </w:pPr>
      <w:r>
        <w:rPr>
          <w:rFonts w:hint="eastAsia" w:ascii="宋体" w:hAnsi="宋体" w:eastAsia="宋体" w:cs="宋体"/>
          <w:color w:val="auto"/>
          <w:sz w:val="21"/>
          <w:szCs w:val="21"/>
          <w:highlight w:val="none"/>
          <w:lang w:val="zh-CN" w:eastAsia="zh-CN" w:bidi="ar-SA"/>
        </w:rPr>
        <w:t xml:space="preserve">（3）样品的退还。评标结束后，未中标样品由</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自行搬运离开（费用自理），供应商应最迟于次日取回样品，否则按废品处理。中标供应商的样品由中标供应商负责运送到采购人指定地点并封存。样品的所有费用由供应商承担，中标供应商的样品由采购人保管、封存，作为履约验收的参考。</w:t>
      </w:r>
      <w:r>
        <w:rPr>
          <w:rFonts w:hint="eastAsia" w:ascii="宋体" w:hAnsi="宋体" w:eastAsia="宋体" w:cs="宋体"/>
          <w:color w:val="auto"/>
          <w:sz w:val="21"/>
          <w:szCs w:val="21"/>
          <w:highlight w:val="none"/>
          <w:lang w:val="en-US" w:eastAsia="zh-CN" w:bidi="ar-SA"/>
        </w:rPr>
        <w:t xml:space="preserve">在</w:t>
      </w:r>
      <w:r>
        <w:rPr>
          <w:rFonts w:hint="eastAsia" w:ascii="宋体" w:hAnsi="宋体" w:eastAsia="宋体" w:cs="宋体"/>
          <w:color w:val="auto"/>
          <w:sz w:val="21"/>
          <w:szCs w:val="21"/>
          <w:highlight w:val="none"/>
          <w:lang w:val="zh-CN" w:eastAsia="zh-CN" w:bidi="ar-SA"/>
        </w:rPr>
        <w:t xml:space="preserve">履约验收</w:t>
      </w:r>
      <w:r>
        <w:rPr>
          <w:rFonts w:hint="eastAsia" w:ascii="宋体" w:hAnsi="宋体" w:eastAsia="宋体" w:cs="宋体"/>
          <w:color w:val="auto"/>
          <w:sz w:val="21"/>
          <w:szCs w:val="21"/>
          <w:highlight w:val="none"/>
          <w:lang w:val="en-US" w:eastAsia="zh-CN" w:bidi="ar-SA"/>
        </w:rPr>
        <w:t xml:space="preserve">完成后，</w:t>
      </w:r>
      <w:r>
        <w:rPr>
          <w:rFonts w:hint="eastAsia" w:ascii="宋体" w:hAnsi="宋体" w:eastAsia="宋体" w:cs="宋体"/>
          <w:color w:val="auto"/>
          <w:sz w:val="21"/>
          <w:szCs w:val="21"/>
          <w:highlight w:val="none"/>
          <w:lang w:val="zh-CN" w:eastAsia="zh-CN" w:bidi="ar-SA"/>
        </w:rPr>
        <w:t xml:space="preserve">中标供应商</w:t>
      </w:r>
      <w:r>
        <w:rPr>
          <w:rFonts w:hint="eastAsia" w:ascii="宋体" w:hAnsi="宋体" w:eastAsia="宋体" w:cs="宋体"/>
          <w:color w:val="auto"/>
          <w:sz w:val="21"/>
          <w:szCs w:val="21"/>
          <w:highlight w:val="none"/>
          <w:lang w:val="en-US" w:eastAsia="zh-CN" w:bidi="ar-SA"/>
        </w:rPr>
        <w:t xml:space="preserve">可向采购人申请取回样品。</w:t>
      </w:r>
      <w:r/>
    </w:p>
    <w:p>
      <w:pPr>
        <w:pStyle w:val="719"/>
        <w:rPr>
          <w:color w:val="auto"/>
          <w:highlight w:val="none"/>
          <w:lang w:val="zh-CN"/>
        </w:rPr>
      </w:pPr>
      <w:r>
        <w:rPr>
          <w:rFonts w:hint="eastAsia"/>
          <w:color w:val="auto"/>
          <w:highlight w:val="none"/>
        </w:rPr>
        <w:t xml:space="preserve">2、</w:t>
      </w:r>
      <w:r>
        <w:rPr>
          <w:rFonts w:hint="eastAsia"/>
          <w:color w:val="auto"/>
          <w:highlight w:val="none"/>
          <w:lang w:val="zh-CN"/>
        </w:rPr>
        <w:t xml:space="preserve">验收要求</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(1)</w:t>
      </w:r>
      <w:r>
        <w:rPr>
          <w:rFonts w:hint="eastAsia" w:hAnsi="宋体" w:cs="宋体"/>
          <w:color w:val="auto"/>
          <w:sz w:val="21"/>
          <w:szCs w:val="21"/>
          <w:highlight w:val="none"/>
          <w:lang w:val="zh-CN"/>
        </w:rPr>
        <w:t xml:space="preserve">本项目验收前中标方承担所有货物的保管责任。</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(2)</w:t>
      </w:r>
      <w:r>
        <w:rPr>
          <w:rFonts w:hint="eastAsia" w:hAnsi="宋体" w:cs="宋体"/>
          <w:color w:val="auto"/>
          <w:sz w:val="21"/>
          <w:szCs w:val="21"/>
          <w:highlight w:val="none"/>
          <w:lang w:val="zh-CN"/>
        </w:rPr>
        <w:t xml:space="preserve">所供货物必须是生产商12个月内生产的全新原装正品，完全符合国家规定的质量标准。因产品质量或安装不当导致验收不合格，应及时处理直至验收合格，期间产生的一切费用由供应商承担；若二次验收不合格，采购人有权退货。采购人在此期间保留对供应商的索赔权利。供应商必须满足所有功能要求，有义务保证采购人系统的功能性和完整性。</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(3)</w:t>
      </w:r>
      <w:r>
        <w:rPr>
          <w:rFonts w:hint="eastAsia" w:hAnsi="宋体" w:cs="宋体"/>
          <w:color w:val="auto"/>
          <w:sz w:val="21"/>
          <w:szCs w:val="21"/>
          <w:highlight w:val="none"/>
          <w:lang w:val="zh-CN"/>
        </w:rPr>
        <w:t xml:space="preserve">供应商须保证所提供硬件产品包括相关附件为相应硬件厂家原装正品，软件产品为相关厂家正版软件，符合国家有关规定。涉及到的知识产权是合法取得，并享有完整的知识产权，不会因为采购人的使用而被责令停止使用、追偿或要求赔偿损失，如出现此情况，一切经济和法律责任均由成交投标人承担，与采购人不涉，如由此给采购人造成损失的，投标人应承担赔偿责任。</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(4)</w:t>
      </w:r>
      <w:r>
        <w:rPr>
          <w:rFonts w:hint="eastAsia" w:hAnsi="宋体" w:cs="宋体"/>
          <w:color w:val="auto"/>
          <w:sz w:val="21"/>
          <w:szCs w:val="21"/>
          <w:highlight w:val="none"/>
          <w:lang w:val="zh-CN"/>
        </w:rPr>
        <w:t xml:space="preserve">供应商须及时和用户沟通，确认所有设备材质、款式、规格后方可供货，并确保产品质量。</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(5)</w:t>
      </w:r>
      <w:r>
        <w:rPr>
          <w:rFonts w:hint="eastAsia" w:hAnsi="宋体" w:cs="宋体"/>
          <w:color w:val="auto"/>
          <w:sz w:val="21"/>
          <w:szCs w:val="21"/>
          <w:highlight w:val="none"/>
          <w:lang w:val="zh-CN"/>
        </w:rPr>
        <w:t xml:space="preserve">供应商应采取安全措施，确保安全。因本项目产生的人员安全问题由供应商承担全部责任。</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(6)</w:t>
      </w:r>
      <w:r>
        <w:rPr>
          <w:rFonts w:hint="eastAsia" w:hAnsi="宋体" w:cs="宋体"/>
          <w:color w:val="auto"/>
          <w:sz w:val="21"/>
          <w:szCs w:val="21"/>
          <w:highlight w:val="none"/>
          <w:lang w:val="zh-CN"/>
        </w:rPr>
        <w:t xml:space="preserve">严格按照投标文件与采购文件对比验收，保留邀请第三方质检部门验收的权利。</w:t>
      </w:r>
      <w:r/>
    </w:p>
    <w:p>
      <w:pPr>
        <w:pStyle w:val="687"/>
        <w:rPr>
          <w:rFonts w:hAnsi="宋体" w:cs="宋体"/>
          <w:color w:val="auto"/>
          <w:sz w:val="21"/>
          <w:szCs w:val="21"/>
          <w:highlight w:val="none"/>
          <w:lang w:val="zh-CN"/>
        </w:rPr>
      </w:pPr>
      <w:r>
        <w:rPr>
          <w:rFonts w:hAnsi="宋体" w:cs="宋体"/>
          <w:color w:val="auto"/>
          <w:sz w:val="21"/>
          <w:szCs w:val="21"/>
          <w:highlight w:val="none"/>
          <w:lang w:val="zh-CN"/>
        </w:rPr>
        <w:t xml:space="preserve">(7)</w:t>
      </w:r>
      <w:r>
        <w:rPr>
          <w:rFonts w:hint="eastAsia" w:hAnsi="宋体" w:cs="宋体"/>
          <w:color w:val="auto"/>
          <w:sz w:val="21"/>
          <w:szCs w:val="21"/>
          <w:highlight w:val="none"/>
          <w:lang w:val="zh-CN"/>
        </w:rPr>
        <w:t xml:space="preserve">项目实施完成，供应商应完成文档整理，竣工文档是验收的必要条件。中标供应商应提供项目相关设备安装的有效验收文件，经用户认可后，作为验收标准。用户对项目验收合格后，双方共同签署验收合格证书并加盖公章。验收中发现设备达不到验收标准或合同规定的性能指标，中标方必须修改相应内容，以满足用户需求。</w:t>
      </w:r>
      <w:r/>
    </w:p>
    <w:p>
      <w:pPr>
        <w:pStyle w:val="676"/>
        <w:spacing w:before="0" w:after="0"/>
        <w:rPr>
          <w:color w:val="auto"/>
          <w:highlight w:val="none"/>
        </w:rPr>
      </w:pPr>
      <w:r/>
      <w:bookmarkStart w:id="34" w:name="_Toc14391"/>
      <w:r/>
      <w:bookmarkStart w:id="35" w:name="_Toc28215"/>
      <w:r>
        <w:rPr>
          <w:rFonts w:hint="eastAsia"/>
          <w:color w:val="auto"/>
          <w:highlight w:val="none"/>
        </w:rPr>
        <w:t xml:space="preserve">四、付款条件</w:t>
      </w:r>
      <w:r/>
    </w:p>
    <w:p>
      <w:pPr>
        <w:ind w:firstLine="420"/>
        <w:jc w:val="left"/>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项目签订合同且收到发票后，采购人向供应商支付合同金额的</w:t>
      </w:r>
      <w:r>
        <w:rPr>
          <w:rFonts w:hint="eastAsia" w:ascii="宋体" w:hAnsi="宋体" w:cs="宋体"/>
          <w:color w:val="auto"/>
          <w:sz w:val="21"/>
          <w:szCs w:val="21"/>
          <w:highlight w:val="none"/>
          <w:lang w:val="en-US" w:eastAsia="zh-CN" w:bidi="ar-SA"/>
        </w:rPr>
        <w:t xml:space="preserve">60</w:t>
      </w:r>
      <w:r>
        <w:rPr>
          <w:rFonts w:hint="eastAsia" w:ascii="宋体" w:hAnsi="宋体" w:eastAsia="宋体" w:cs="宋体"/>
          <w:color w:val="auto"/>
          <w:sz w:val="21"/>
          <w:szCs w:val="21"/>
          <w:highlight w:val="none"/>
          <w:lang w:val="en-US" w:eastAsia="zh-CN" w:bidi="ar-SA"/>
        </w:rPr>
        <w:t xml:space="preserve">%作为预付款；</w:t>
      </w:r>
      <w:r/>
    </w:p>
    <w:p>
      <w:pPr>
        <w:pStyle w:val="687"/>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项目最终验收合格并经审计后，支付至审定金额的100%</w:t>
      </w:r>
      <w:r>
        <w:rPr>
          <w:rFonts w:hint="eastAsia" w:hAnsi="宋体" w:cs="宋体"/>
          <w:color w:val="auto"/>
          <w:sz w:val="21"/>
          <w:szCs w:val="21"/>
          <w:highlight w:val="none"/>
          <w:lang w:val="en-US" w:eastAsia="zh-CN" w:bidi="ar-SA"/>
        </w:rPr>
        <w:t xml:space="preserve">。</w:t>
      </w:r>
      <w:r/>
    </w:p>
    <w:p>
      <w:pPr>
        <w:pStyle w:val="687"/>
        <w:rPr>
          <w:rFonts w:hAnsi="宋体" w:cs="宋体"/>
          <w:color w:val="auto"/>
          <w:sz w:val="21"/>
          <w:szCs w:val="21"/>
          <w:highlight w:val="none"/>
        </w:rPr>
      </w:pPr>
      <w:r>
        <w:rPr>
          <w:rFonts w:hint="eastAsia" w:hAnsi="宋体" w:cs="宋体"/>
          <w:color w:val="auto"/>
          <w:sz w:val="21"/>
          <w:szCs w:val="21"/>
          <w:highlight w:val="none"/>
        </w:rPr>
        <w:t xml:space="preserve">注：1.结算审计核减率5%以下的，审计费用由采购人承担，核减率5%（含）以上的，审计费用由供应商承担。2.本项目如需政府审计或备案，则最终结算价以审计机关结论为准，采购人将根据最终结算价调整付款基数，供应商应无条件配合。</w:t>
      </w:r>
      <w:r/>
    </w:p>
    <w:p>
      <w:pPr>
        <w:pStyle w:val="676"/>
        <w:spacing w:before="0" w:after="0"/>
        <w:rPr>
          <w:color w:val="auto"/>
          <w:highlight w:val="none"/>
        </w:rPr>
      </w:pPr>
      <w:r>
        <w:rPr>
          <w:rFonts w:hint="eastAsia"/>
          <w:color w:val="auto"/>
          <w:highlight w:val="none"/>
        </w:rPr>
        <w:t xml:space="preserve">五、其他要求</w:t>
      </w:r>
      <w:r/>
    </w:p>
    <w:p>
      <w:pPr>
        <w:pStyle w:val="687"/>
        <w:rPr>
          <w:rFonts w:hAnsi="宋体" w:cs="宋体"/>
          <w:color w:val="auto"/>
          <w:sz w:val="21"/>
          <w:szCs w:val="21"/>
          <w:highlight w:val="none"/>
        </w:rPr>
      </w:pPr>
      <w:r>
        <w:rPr>
          <w:rFonts w:hint="eastAsia" w:hAnsi="宋体" w:cs="宋体"/>
          <w:color w:val="auto"/>
          <w:sz w:val="21"/>
          <w:szCs w:val="21"/>
          <w:highlight w:val="none"/>
        </w:rPr>
        <w:t xml:space="preserve">中标供应商应按照《企事业单位参与公安机关信息化建设安全管理办法》第十至第十三条的规定，遵守安全管理相关要求，否则将承担对应的违约责任。</w:t>
      </w:r>
      <w:r/>
    </w:p>
    <w:p>
      <w:pPr>
        <w:pStyle w:val="687"/>
        <w:rPr>
          <w:rFonts w:hAnsi="宋体" w:cs="宋体"/>
          <w:color w:val="auto"/>
          <w:sz w:val="21"/>
          <w:szCs w:val="21"/>
          <w:highlight w:val="none"/>
        </w:rPr>
      </w:pPr>
      <w:r>
        <w:rPr>
          <w:rFonts w:hint="eastAsia" w:hAnsi="宋体" w:cs="宋体"/>
          <w:color w:val="auto"/>
          <w:sz w:val="21"/>
          <w:szCs w:val="21"/>
          <w:highlight w:val="none"/>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pStyle w:val="687"/>
        <w:rPr>
          <w:rFonts w:hAnsi="宋体" w:cs="宋体"/>
          <w:color w:val="auto"/>
          <w:sz w:val="21"/>
          <w:szCs w:val="21"/>
          <w:highlight w:val="none"/>
        </w:rPr>
      </w:pPr>
      <w:r>
        <w:rPr>
          <w:rFonts w:hint="eastAsia" w:hAnsi="宋体" w:cs="宋体"/>
          <w:color w:val="auto"/>
          <w:sz w:val="21"/>
          <w:szCs w:val="21"/>
          <w:highlight w:val="none"/>
        </w:rPr>
        <w:t xml:space="preserve">2、违反安全管理行为需承担的责任。包括但不限于：</w:t>
      </w:r>
      <w:r/>
    </w:p>
    <w:p>
      <w:pPr>
        <w:pStyle w:val="687"/>
        <w:rPr>
          <w:rFonts w:hAnsi="宋体" w:cs="宋体"/>
          <w:color w:val="auto"/>
          <w:sz w:val="21"/>
          <w:szCs w:val="21"/>
          <w:highlight w:val="none"/>
        </w:rPr>
      </w:pPr>
      <w:r>
        <w:rPr>
          <w:rFonts w:hint="eastAsia" w:hAnsi="宋体" w:cs="宋体"/>
          <w:color w:val="auto"/>
          <w:sz w:val="21"/>
          <w:szCs w:val="21"/>
          <w:highlight w:val="none"/>
        </w:rPr>
        <w:t xml:space="preserve">2.1支付违约金。乙方每发生一起违反安全管理的相关行为，乙方应向甲方支付合同总价5%的违约金；对违约金不足以弥补所造成的损失的，由乙方补足差额部分；对逾期支付违约金的，每逾期1天乙方应向甲方偿付违约金总额5‰的滞纳金,但累计滞纳金总额不超过违约金总额的5%；造成一定负面影响的，由违约方承担消除负面影响产生的诉讼费、取证费、律师费等费用。</w:t>
      </w:r>
      <w:r/>
    </w:p>
    <w:p>
      <w:pPr>
        <w:pStyle w:val="687"/>
        <w:rPr>
          <w:rFonts w:hAnsi="宋体" w:cs="宋体"/>
          <w:color w:val="auto"/>
          <w:sz w:val="21"/>
          <w:szCs w:val="21"/>
          <w:highlight w:val="none"/>
        </w:rPr>
      </w:pPr>
      <w:r>
        <w:rPr>
          <w:rFonts w:hint="eastAsia" w:hAnsi="宋体" w:cs="宋体"/>
          <w:color w:val="auto"/>
          <w:sz w:val="21"/>
          <w:szCs w:val="21"/>
          <w:highlight w:val="none"/>
        </w:rPr>
        <w:t xml:space="preserve">2.2采取补救措施。若产生软硬件产品损坏的，乙方应采取针对性补救措施，确保原软硬件产品运行正常，其中产生的费用由乙方承担。</w:t>
      </w:r>
      <w:r/>
    </w:p>
    <w:p>
      <w:pPr>
        <w:pStyle w:val="687"/>
        <w:rPr>
          <w:rFonts w:hAnsi="宋体" w:cs="宋体"/>
          <w:color w:val="auto"/>
          <w:sz w:val="21"/>
          <w:szCs w:val="21"/>
          <w:highlight w:val="none"/>
        </w:rPr>
      </w:pPr>
      <w:r>
        <w:rPr>
          <w:rFonts w:hint="eastAsia" w:hAnsi="宋体" w:cs="宋体"/>
          <w:color w:val="auto"/>
          <w:sz w:val="21"/>
          <w:szCs w:val="21"/>
          <w:highlight w:val="none"/>
        </w:rPr>
        <w:t xml:space="preserve">2.3提前解除合同。对违约行为不可整改且造成特别严重后果，参与单位拒不整改、整改后仍不符合安全管理要求，或者违约行为造成合同目的的无法实现的，甲方有权单方提前解除合同。</w:t>
      </w:r>
      <w:r/>
    </w:p>
    <w:p>
      <w:pPr>
        <w:pStyle w:val="687"/>
        <w:rPr>
          <w:rFonts w:hAnsi="宋体" w:cs="宋体"/>
          <w:color w:val="auto"/>
          <w:sz w:val="21"/>
          <w:szCs w:val="21"/>
          <w:highlight w:val="none"/>
        </w:rPr>
      </w:pPr>
      <w:r>
        <w:rPr>
          <w:rFonts w:hint="eastAsia" w:hAnsi="宋体" w:cs="宋体"/>
          <w:color w:val="auto"/>
          <w:sz w:val="21"/>
          <w:szCs w:val="21"/>
          <w:highlight w:val="none"/>
        </w:rPr>
        <w:t xml:space="preserve">2.4失信惩戒措施。对同时构成违法犯罪的违约行为，甲方有权提请将涉事参与单位及人员列入政府采购严重违法失信行为记录名单、市场监督管理严重失信名单。</w:t>
      </w:r>
      <w:r/>
    </w:p>
    <w:p>
      <w:pPr>
        <w:pStyle w:val="687"/>
        <w:rPr>
          <w:rFonts w:hAnsi="宋体" w:cs="宋体"/>
          <w:color w:val="auto"/>
          <w:sz w:val="21"/>
          <w:szCs w:val="21"/>
          <w:highlight w:val="none"/>
        </w:rPr>
      </w:pPr>
      <w:r/>
      <w:bookmarkStart w:id="36" w:name="_Toc7813"/>
      <w:r/>
      <w:bookmarkStart w:id="37" w:name="_Toc24263"/>
      <w:r>
        <w:rPr>
          <w:rFonts w:hint="eastAsia" w:hAnsi="宋体" w:cs="宋体"/>
          <w:color w:val="auto"/>
          <w:sz w:val="21"/>
          <w:szCs w:val="21"/>
          <w:highlight w:val="none"/>
        </w:rPr>
        <w:t xml:space="preserve">2.5后续追偿权利。鉴于有的违法行为造成的后果较长时间才能显现，或者损失数额难以一次性确认，甲方保留进一步追偿的权利。</w:t>
      </w:r>
      <w:bookmarkEnd w:id="36"/>
      <w:r/>
      <w:bookmarkEnd w:id="37"/>
      <w:r/>
      <w:r/>
    </w:p>
    <w:p>
      <w:pPr>
        <w:pStyle w:val="676"/>
        <w:rPr>
          <w:color w:val="auto"/>
          <w:highlight w:val="none"/>
        </w:rPr>
      </w:pPr>
      <w:r>
        <w:rPr>
          <w:rFonts w:hint="eastAsia"/>
          <w:color w:val="auto"/>
          <w:highlight w:val="none"/>
        </w:rPr>
        <w:t xml:space="preserve">五、政府采购中实施本国产品标准及相关政策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1.本项目对采购本国产品给予政策支持，具体内容见招标文件“第三章  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560" w:lineRule="exact"/>
        <w:shd w:val="clear" w:color="auto" w:fill="ffffff"/>
        <w:rPr>
          <w:rFonts w:ascii="宋体" w:hAnsi="宋体" w:cs="宋体"/>
          <w:b/>
          <w:bCs/>
          <w:color w:val="auto"/>
          <w:sz w:val="28"/>
          <w:szCs w:val="28"/>
          <w:highlight w:val="none"/>
        </w:rPr>
        <w:sectPr>
          <w:footerReference w:type="default" r:id="rId10"/>
          <w:footnotePr/>
          <w:endnotePr/>
          <w:type w:val="nextPage"/>
          <w:pgSz w:w="11906" w:h="16838" w:orient="portrait"/>
          <w:pgMar w:top="1304" w:right="1134" w:bottom="1247" w:left="1304" w:header="851" w:footer="992" w:gutter="0"/>
          <w:cols w:num="1" w:sep="0" w:space="720" w:equalWidth="1"/>
          <w:docGrid w:linePitch="360"/>
        </w:sectPr>
      </w:pPr>
      <w:r>
        <w:rPr>
          <w:rFonts w:hint="eastAsia" w:ascii="宋体" w:hAnsi="宋体" w:cs="宋体"/>
          <w:b/>
          <w:bCs/>
          <w:color w:val="auto"/>
          <w:sz w:val="28"/>
          <w:szCs w:val="28"/>
          <w:highlight w:val="none"/>
        </w:rPr>
        <w:t xml:space="preserve">注：如有疑问请及时与招标人、代理机构联系。</w:t>
      </w:r>
      <w:r/>
    </w:p>
    <w:p>
      <w:pPr>
        <w:pStyle w:val="712"/>
        <w:ind w:firstLine="442"/>
        <w:rPr>
          <w:color w:val="auto"/>
          <w:highlight w:val="none"/>
        </w:rPr>
      </w:pPr>
      <w:r>
        <w:rPr>
          <w:color w:val="auto"/>
          <w:highlight w:val="none"/>
        </w:rPr>
      </w:r>
      <w:r/>
    </w:p>
    <w:p>
      <w:pPr>
        <w:pStyle w:val="675"/>
        <w:rPr>
          <w:rFonts w:ascii="宋体" w:hAnsi="宋体" w:cs="宋体"/>
          <w:color w:val="auto"/>
          <w:szCs w:val="36"/>
          <w:highlight w:val="none"/>
          <w:lang w:val="zh-CN"/>
        </w:rPr>
      </w:pPr>
      <w:r/>
      <w:bookmarkStart w:id="38" w:name="_Toc7238"/>
      <w:r>
        <w:rPr>
          <w:rFonts w:hint="eastAsia"/>
          <w:color w:val="auto"/>
          <w:highlight w:val="none"/>
          <w:lang w:val="zh-CN"/>
        </w:rPr>
        <w:t xml:space="preserve">第五章合同主要条款及格式</w:t>
      </w:r>
      <w:bookmarkEnd w:id="34"/>
      <w:r/>
      <w:bookmarkEnd w:id="35"/>
      <w:r/>
      <w:bookmarkEnd w:id="38"/>
      <w:r/>
      <w:r/>
    </w:p>
    <w:p>
      <w:pPr>
        <w:jc w:val="center"/>
        <w:rPr>
          <w:rFonts w:ascii="宋体" w:hAnsi="宋体"/>
          <w:b/>
          <w:color w:val="auto"/>
          <w:sz w:val="44"/>
          <w:szCs w:val="44"/>
          <w:highlight w:val="none"/>
        </w:rPr>
      </w:pPr>
      <w:r>
        <w:rPr>
          <w:rFonts w:hint="eastAsia" w:ascii="宋体" w:hAnsi="宋体" w:cs="宋体"/>
          <w:b/>
          <w:color w:val="auto"/>
          <w:sz w:val="44"/>
          <w:szCs w:val="44"/>
          <w:highlight w:val="none"/>
        </w:rPr>
        <w:t xml:space="preserve">项目合同</w:t>
      </w:r>
      <w:r/>
    </w:p>
    <w:p>
      <w:pPr>
        <w:pStyle w:val="973"/>
        <w:ind w:firstLine="560"/>
        <w:rPr>
          <w:color w:val="auto"/>
          <w:highlight w:val="none"/>
        </w:rPr>
      </w:pPr>
      <w:r>
        <w:rPr>
          <w:color w:val="auto"/>
          <w:highlight w:val="none"/>
        </w:rPr>
      </w:r>
      <w:r/>
    </w:p>
    <w:p>
      <w:pPr>
        <w:pStyle w:val="973"/>
        <w:ind w:firstLine="560"/>
        <w:rPr>
          <w:color w:val="auto"/>
          <w:highlight w:val="none"/>
        </w:rPr>
      </w:pPr>
      <w:r>
        <w:rPr>
          <w:color w:val="auto"/>
          <w:highlight w:val="none"/>
        </w:rPr>
      </w:r>
      <w:r/>
    </w:p>
    <w:p>
      <w:pPr>
        <w:pStyle w:val="973"/>
        <w:ind w:firstLine="218"/>
        <w:rPr>
          <w:color w:val="auto"/>
          <w:highlight w:val="none"/>
        </w:rPr>
      </w:pPr>
      <w:r>
        <w:rPr>
          <w:color w:val="auto"/>
          <w:highlight w:val="none"/>
        </w:rPr>
      </w:r>
      <w:r/>
    </w:p>
    <w:p>
      <w:pPr>
        <w:pStyle w:val="973"/>
        <w:ind w:firstLine="218"/>
        <w:rPr>
          <w:color w:val="auto"/>
          <w:highlight w:val="none"/>
        </w:rPr>
      </w:pPr>
      <w:r>
        <w:rPr>
          <w:color w:val="auto"/>
          <w:highlight w:val="none"/>
        </w:rPr>
      </w:r>
      <w:r/>
    </w:p>
    <w:p>
      <w:pPr>
        <w:pStyle w:val="973"/>
        <w:ind w:firstLine="218"/>
        <w:rPr>
          <w:color w:val="auto"/>
          <w:highlight w:val="none"/>
        </w:rPr>
      </w:pPr>
      <w:r>
        <w:rPr>
          <w:color w:val="auto"/>
          <w:highlight w:val="none"/>
        </w:rPr>
      </w:r>
      <w:r/>
    </w:p>
    <w:p>
      <w:pPr>
        <w:pStyle w:val="973"/>
        <w:ind w:firstLine="218"/>
        <w:rPr>
          <w:color w:val="auto"/>
          <w:highlight w:val="none"/>
        </w:rPr>
      </w:pPr>
      <w:r>
        <w:rPr>
          <w:color w:val="auto"/>
          <w:highlight w:val="none"/>
        </w:rPr>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合同编号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项目名称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招标单位 ：</w:t>
      </w:r>
      <w:r/>
    </w:p>
    <w:p>
      <w:pPr>
        <w:ind w:firstLine="833"/>
        <w:spacing w:line="560" w:lineRule="exact"/>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中标单位 ：</w:t>
      </w:r>
      <w:r/>
    </w:p>
    <w:p>
      <w:pPr>
        <w:spacing w:line="560" w:lineRule="exact"/>
        <w:rPr>
          <w:rFonts w:ascii="宋体" w:hAnsi="宋体" w:cs="宋体"/>
          <w:color w:val="auto"/>
          <w:sz w:val="30"/>
          <w:szCs w:val="30"/>
          <w:highlight w:val="none"/>
        </w:rPr>
      </w:pPr>
      <w:r>
        <w:rPr>
          <w:rFonts w:ascii="宋体" w:hAnsi="宋体" w:cs="宋体"/>
          <w:color w:val="auto"/>
          <w:sz w:val="30"/>
          <w:szCs w:val="30"/>
          <w:highlight w:val="none"/>
        </w:rPr>
      </w:r>
      <w:r/>
    </w:p>
    <w:p>
      <w:pPr>
        <w:rPr>
          <w:rFonts w:ascii="宋体" w:hAnsi="宋体" w:cs="宋体"/>
          <w:color w:val="auto"/>
          <w:sz w:val="30"/>
          <w:szCs w:val="30"/>
          <w:highlight w:val="none"/>
        </w:rPr>
      </w:pPr>
      <w:r>
        <w:rPr>
          <w:rFonts w:ascii="宋体" w:hAnsi="宋体" w:cs="宋体"/>
          <w:color w:val="auto"/>
          <w:sz w:val="30"/>
          <w:szCs w:val="30"/>
          <w:highlight w:val="none"/>
        </w:rPr>
      </w:r>
      <w:r/>
    </w:p>
    <w:p>
      <w:pPr>
        <w:pStyle w:val="692"/>
        <w:rPr>
          <w:color w:val="auto"/>
          <w:highlight w:val="none"/>
        </w:rPr>
      </w:pPr>
      <w:r>
        <w:rPr>
          <w:color w:val="auto"/>
          <w:highlight w:val="none"/>
        </w:rPr>
      </w:r>
      <w:r/>
    </w:p>
    <w:p>
      <w:pPr>
        <w:pStyle w:val="692"/>
        <w:rPr>
          <w:color w:val="auto"/>
          <w:highlight w:val="none"/>
        </w:rPr>
      </w:pPr>
      <w:r>
        <w:rPr>
          <w:color w:val="auto"/>
          <w:highlight w:val="none"/>
        </w:rPr>
      </w:r>
      <w:r/>
    </w:p>
    <w:p>
      <w:pPr>
        <w:pStyle w:val="692"/>
        <w:rPr>
          <w:color w:val="auto"/>
          <w:highlight w:val="none"/>
        </w:rPr>
      </w:pPr>
      <w:r>
        <w:rPr>
          <w:color w:val="auto"/>
          <w:highlight w:val="none"/>
        </w:rPr>
      </w:r>
      <w:r/>
    </w:p>
    <w:p>
      <w:pPr>
        <w:pStyle w:val="692"/>
        <w:rPr>
          <w:color w:val="auto"/>
          <w:highlight w:val="none"/>
        </w:rPr>
      </w:pPr>
      <w:r>
        <w:rPr>
          <w:color w:val="auto"/>
          <w:highlight w:val="none"/>
        </w:rPr>
      </w:r>
      <w:r/>
    </w:p>
    <w:p>
      <w:pPr>
        <w:ind w:firstLine="1916"/>
        <w:rPr>
          <w:rFonts w:ascii="宋体" w:hAnsi="宋体" w:cs="宋体"/>
          <w:color w:val="auto"/>
          <w:sz w:val="30"/>
          <w:szCs w:val="30"/>
          <w:highlight w:val="none"/>
        </w:rPr>
      </w:pPr>
      <w:r>
        <w:rPr>
          <w:rFonts w:hint="eastAsia" w:ascii="宋体" w:hAnsi="宋体" w:cs="宋体"/>
          <w:color w:val="auto"/>
          <w:sz w:val="30"/>
          <w:szCs w:val="30"/>
          <w:highlight w:val="none"/>
        </w:rPr>
        <w:t xml:space="preserve">签订日期 ：年月日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s="宋体"/>
          <w:b/>
          <w:color w:val="auto"/>
          <w:sz w:val="44"/>
          <w:highlight w:val="none"/>
        </w:rPr>
      </w:pPr>
      <w:r>
        <w:rPr>
          <w:rFonts w:hint="eastAsia" w:ascii="宋体" w:hAnsi="宋体" w:cs="宋体"/>
          <w:b/>
          <w:color w:val="auto"/>
          <w:sz w:val="24"/>
          <w:highlight w:val="none"/>
        </w:rPr>
        <w:br w:type="page" w:clear="all"/>
      </w:r>
      <w:r/>
    </w:p>
    <w:p>
      <w:pPr>
        <w:rPr>
          <w:rFonts w:ascii="宋体" w:hAnsi="宋体" w:cs="仿宋"/>
          <w:color w:val="auto"/>
          <w:sz w:val="24"/>
          <w:szCs w:val="24"/>
          <w:highlight w:val="none"/>
          <w:lang w:val="zh-CN"/>
        </w:rPr>
      </w:pPr>
      <w:r/>
      <w:bookmarkStart w:id="39" w:name="_Toc29597"/>
      <w:r/>
      <w:bookmarkStart w:id="40" w:name="_Toc27946"/>
      <w:r/>
      <w:bookmarkStart w:id="41" w:name="_Toc18137"/>
      <w:r>
        <w:rPr>
          <w:rFonts w:hint="eastAsia" w:ascii="宋体" w:hAnsi="宋体" w:cs="仿宋"/>
          <w:color w:val="auto"/>
          <w:sz w:val="24"/>
          <w:szCs w:val="24"/>
          <w:highlight w:val="none"/>
          <w:lang w:val="zh-CN"/>
        </w:rPr>
        <w:t xml:space="preserve">合同编号：</w:t>
      </w:r>
      <w:r/>
    </w:p>
    <w:p>
      <w:pPr>
        <w:rPr>
          <w:rFonts w:ascii="宋体" w:hAnsi="宋体" w:cs="仿宋"/>
          <w:color w:val="auto"/>
          <w:sz w:val="24"/>
          <w:szCs w:val="24"/>
          <w:highlight w:val="none"/>
          <w:lang w:val="zh-CN"/>
        </w:rPr>
      </w:pPr>
      <w:r>
        <w:rPr>
          <w:rFonts w:hint="eastAsia" w:ascii="宋体" w:hAnsi="宋体" w:cs="仿宋"/>
          <w:color w:val="auto"/>
          <w:sz w:val="24"/>
          <w:szCs w:val="24"/>
          <w:highlight w:val="none"/>
        </w:rPr>
        <w:t xml:space="preserve">政府采购计划</w:t>
      </w:r>
      <w:r>
        <w:rPr>
          <w:rFonts w:hint="eastAsia" w:ascii="宋体" w:hAnsi="宋体" w:cs="仿宋"/>
          <w:color w:val="auto"/>
          <w:sz w:val="24"/>
          <w:szCs w:val="24"/>
          <w:highlight w:val="none"/>
          <w:lang w:val="zh-CN"/>
        </w:rPr>
        <w:t xml:space="preserve">号：</w:t>
      </w:r>
      <w:r/>
    </w:p>
    <w:tbl>
      <w:tblPr>
        <w:tblStyle w:val="685"/>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ind w:firstLine="120"/>
              <w:jc w:val="left"/>
              <w:rPr>
                <w:rFonts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采购人：（以下称甲方）</w:t>
            </w:r>
            <w:r/>
          </w:p>
        </w:tc>
        <w:tc>
          <w:tcPr>
            <w:tcW w:w="4643" w:type="dxa"/>
            <w:textDirection w:val="lrTb"/>
            <w:noWrap w:val="false"/>
          </w:tcPr>
          <w:p>
            <w:pPr>
              <w:jc w:val="left"/>
              <w:rPr>
                <w:rFonts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供应商：（以下称乙方）</w:t>
            </w:r>
            <w:r/>
          </w:p>
        </w:tc>
      </w:tr>
      <w:tr>
        <w:trPr/>
        <w:tc>
          <w:tcPr>
            <w:tcW w:w="4643" w:type="dxa"/>
            <w:textDirection w:val="lrTb"/>
            <w:noWrap w:val="false"/>
          </w:tcPr>
          <w:p>
            <w:pPr>
              <w:ind w:firstLine="120"/>
              <w:jc w:val="left"/>
              <w:rPr>
                <w:rFonts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住所地：</w:t>
            </w:r>
            <w:r/>
          </w:p>
        </w:tc>
        <w:tc>
          <w:tcPr>
            <w:tcW w:w="4643" w:type="dxa"/>
            <w:textDirection w:val="lrTb"/>
            <w:noWrap w:val="false"/>
          </w:tcPr>
          <w:p>
            <w:pPr>
              <w:jc w:val="left"/>
              <w:rPr>
                <w:rFonts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住所地：</w:t>
            </w:r>
            <w:r/>
          </w:p>
        </w:tc>
      </w:tr>
    </w:tbl>
    <w:p>
      <w:pPr>
        <w:jc w:val="left"/>
        <w:rPr>
          <w:rFonts w:ascii="宋体" w:hAnsi="宋体" w:cs="仿宋"/>
          <w:color w:val="auto"/>
          <w:sz w:val="24"/>
          <w:szCs w:val="24"/>
          <w:highlight w:val="none"/>
          <w:lang w:val="zh-CN"/>
        </w:rPr>
      </w:pPr>
      <w:r>
        <w:rPr>
          <w:rFonts w:ascii="宋体" w:hAnsi="宋体" w:cs="仿宋"/>
          <w:color w:val="auto"/>
          <w:sz w:val="24"/>
          <w:szCs w:val="24"/>
          <w:highlight w:val="none"/>
          <w:lang w:val="zh-CN"/>
        </w:rPr>
      </w:r>
      <w:r/>
    </w:p>
    <w:p>
      <w:pPr>
        <w:ind w:firstLine="420"/>
        <w:jc w:val="left"/>
        <w:spacing w:line="360" w:lineRule="auto"/>
        <w:rPr>
          <w:rFonts w:ascii="宋体" w:hAnsi="宋体" w:cs="仿宋"/>
          <w:color w:val="auto"/>
          <w:sz w:val="24"/>
          <w:szCs w:val="24"/>
          <w:highlight w:val="none"/>
          <w:lang w:val="zh-CN"/>
        </w:rPr>
      </w:pPr>
      <w:r>
        <w:rPr>
          <w:rFonts w:hint="eastAsia" w:ascii="宋体" w:hAnsi="宋体" w:cs="仿宋"/>
          <w:color w:val="auto"/>
          <w:sz w:val="24"/>
          <w:szCs w:val="24"/>
          <w:highlight w:val="none"/>
          <w:lang w:val="zh-CN"/>
        </w:rPr>
        <w:t xml:space="preserve">根据《中华人民共和国政府采购法》《中华人民共和国民法典》等法律法规规定，甲乙双方经协商签订本合同。</w:t>
      </w:r>
      <w:r/>
    </w:p>
    <w:p>
      <w:pPr>
        <w:keepLines/>
        <w:keepNext/>
        <w:spacing w:line="360" w:lineRule="auto"/>
        <w:rPr>
          <w:rFonts w:ascii="宋体" w:hAnsi="宋体" w:cs="宋体"/>
          <w:b/>
          <w:bCs/>
          <w:color w:val="auto"/>
          <w:szCs w:val="21"/>
          <w:highlight w:val="none"/>
        </w:rPr>
        <w:outlineLvl w:val="2"/>
      </w:pPr>
      <w:r/>
      <w:bookmarkStart w:id="42" w:name="_Toc138662919"/>
      <w:r>
        <w:rPr>
          <w:rFonts w:hint="eastAsia" w:ascii="宋体" w:hAnsi="宋体" w:cs="宋体"/>
          <w:b/>
          <w:bCs/>
          <w:color w:val="auto"/>
          <w:szCs w:val="21"/>
          <w:highlight w:val="none"/>
        </w:rPr>
        <w:t xml:space="preserve">第一条 合同标的</w:t>
      </w:r>
      <w:bookmarkEnd w:id="42"/>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乙方提供下列货物：，货物名称、规格及数量详见乙方投标（响应）文件。</w:t>
      </w:r>
      <w:r/>
    </w:p>
    <w:p>
      <w:pPr>
        <w:keepLines/>
        <w:keepNext/>
        <w:spacing w:line="360" w:lineRule="auto"/>
        <w:rPr>
          <w:rFonts w:ascii="宋体" w:hAnsi="宋体" w:cs="宋体"/>
          <w:b/>
          <w:bCs/>
          <w:color w:val="auto"/>
          <w:szCs w:val="21"/>
          <w:highlight w:val="none"/>
        </w:rPr>
        <w:outlineLvl w:val="2"/>
      </w:pPr>
      <w:r/>
      <w:bookmarkStart w:id="43" w:name="_Toc138662920"/>
      <w:r>
        <w:rPr>
          <w:rFonts w:hint="eastAsia" w:ascii="宋体" w:hAnsi="宋体" w:cs="宋体"/>
          <w:b/>
          <w:bCs/>
          <w:color w:val="auto"/>
          <w:szCs w:val="21"/>
          <w:highlight w:val="none"/>
        </w:rPr>
        <w:t xml:space="preserve">第二条 合同总价款</w:t>
      </w:r>
      <w:bookmarkEnd w:id="43"/>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本合同项下货物总价款为___________（大写）人民币，分项价款详见 《报价表》。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本合同总价款包含以下内容：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（1）货物设计、制造、包装、仓储、运输、装缷、保险、安装、调试及其材料；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（2）验收合格之前保管及保修期内备品备件、专用工具、伴随服务、技术图纸资料、人员培训发生的所有含税费用；</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（3）支付给员工的工资和国家强制缴纳的各种社会保障资金</w:t>
      </w:r>
      <w:r>
        <w:rPr>
          <w:rFonts w:hint="eastAsia" w:ascii="宋体" w:hAnsi="宋体" w:cs="宋体"/>
          <w:bCs/>
          <w:color w:val="auto"/>
          <w:szCs w:val="21"/>
          <w:highlight w:val="none"/>
          <w:lang w:val="zh-CN"/>
        </w:rPr>
        <w:t xml:space="preserve">；</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（4）乙方应当提供的伴随服务/售后服务费用；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（5）乙方认为需要的其他费用。</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本合同执行期间合同</w:t>
      </w:r>
      <w:r>
        <w:rPr>
          <w:rFonts w:hint="eastAsia" w:ascii="宋体" w:hAnsi="宋体" w:cs="宋体"/>
          <w:color w:val="auto"/>
          <w:szCs w:val="21"/>
          <w:highlight w:val="none"/>
        </w:rPr>
        <w:t xml:space="preserve">总价</w:t>
      </w:r>
      <w:r>
        <w:rPr>
          <w:rFonts w:hint="eastAsia" w:ascii="宋体" w:hAnsi="宋体" w:cs="宋体"/>
          <w:color w:val="auto"/>
          <w:szCs w:val="21"/>
          <w:highlight w:val="none"/>
          <w:lang w:val="zh-CN"/>
        </w:rPr>
        <w:t xml:space="preserve">不变。</w:t>
      </w:r>
      <w:r/>
    </w:p>
    <w:p>
      <w:pPr>
        <w:keepLines/>
        <w:keepNext/>
        <w:spacing w:line="360" w:lineRule="auto"/>
        <w:rPr>
          <w:rFonts w:ascii="宋体" w:hAnsi="宋体" w:cs="宋体"/>
          <w:b/>
          <w:bCs/>
          <w:color w:val="auto"/>
          <w:szCs w:val="21"/>
          <w:highlight w:val="none"/>
        </w:rPr>
        <w:outlineLvl w:val="2"/>
      </w:pPr>
      <w:r/>
      <w:bookmarkStart w:id="44" w:name="_Toc138662921"/>
      <w:r>
        <w:rPr>
          <w:rFonts w:hint="eastAsia" w:ascii="宋体" w:hAnsi="宋体" w:cs="宋体"/>
          <w:b/>
          <w:bCs/>
          <w:color w:val="auto"/>
          <w:szCs w:val="21"/>
          <w:highlight w:val="none"/>
        </w:rPr>
        <w:t xml:space="preserve">第三条 组成本合同的有关文件</w:t>
      </w:r>
      <w:bookmarkEnd w:id="44"/>
      <w:r/>
      <w:r/>
    </w:p>
    <w:p>
      <w:pPr>
        <w:ind w:firstLine="411"/>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下列关于南京市政府采购号的招标（采购）文件、投标（响应）文件，以及与本次采购活动相关的文件及有关附件是本合同不可分割的组成部分，与本合同具有同等法律效力，这些文件包括但不限于：</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（1）投标（响应）文件和报价表；                （2）供货一览表；</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（3）交货一览表；                              （4）技术规格响应表；</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（5）投标（响应）承诺；                        （6）服务承诺；</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（7）中标（成交）通知书；                      （8）甲乙双方商定的其它文件。</w:t>
      </w:r>
      <w:r/>
    </w:p>
    <w:p>
      <w:pPr>
        <w:keepLines/>
        <w:keepNext/>
        <w:spacing w:line="360" w:lineRule="auto"/>
        <w:rPr>
          <w:rFonts w:ascii="宋体" w:hAnsi="宋体" w:cs="宋体"/>
          <w:b/>
          <w:bCs/>
          <w:color w:val="auto"/>
          <w:szCs w:val="21"/>
          <w:highlight w:val="none"/>
        </w:rPr>
        <w:outlineLvl w:val="2"/>
      </w:pPr>
      <w:r/>
      <w:bookmarkStart w:id="45" w:name="_Toc138662922"/>
      <w:r>
        <w:rPr>
          <w:rFonts w:hint="eastAsia" w:ascii="宋体" w:hAnsi="宋体" w:cs="宋体"/>
          <w:b/>
          <w:bCs/>
          <w:color w:val="auto"/>
          <w:szCs w:val="21"/>
          <w:highlight w:val="none"/>
        </w:rPr>
        <w:t xml:space="preserve">第四条 权利保证</w:t>
      </w:r>
      <w:bookmarkEnd w:id="45"/>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keepLines/>
        <w:keepNext/>
        <w:spacing w:line="360" w:lineRule="auto"/>
        <w:rPr>
          <w:rFonts w:ascii="宋体" w:hAnsi="宋体" w:cs="宋体"/>
          <w:b/>
          <w:bCs/>
          <w:color w:val="auto"/>
          <w:szCs w:val="21"/>
          <w:highlight w:val="none"/>
        </w:rPr>
        <w:outlineLvl w:val="2"/>
      </w:pPr>
      <w:r/>
      <w:bookmarkStart w:id="46" w:name="_Toc138662923"/>
      <w:r>
        <w:rPr>
          <w:rFonts w:hint="eastAsia" w:ascii="宋体" w:hAnsi="宋体" w:cs="宋体"/>
          <w:b/>
          <w:bCs/>
          <w:color w:val="auto"/>
          <w:szCs w:val="21"/>
          <w:highlight w:val="none"/>
        </w:rPr>
        <w:t xml:space="preserve">第五条 质量保证</w:t>
      </w:r>
      <w:bookmarkEnd w:id="46"/>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1.乙方所提供的货物的技术规格应与招标（采购）文件规定的技术规格及所附的“技术规格响应表”相一致；若技术性能无特殊说明，则按国家有关部门最新颁布的标准及规范为准。</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3.乙方应保证货物质保期为。</w:t>
      </w:r>
      <w:r/>
    </w:p>
    <w:p>
      <w:pPr>
        <w:keepLines/>
        <w:keepNext/>
        <w:spacing w:line="360" w:lineRule="auto"/>
        <w:rPr>
          <w:rFonts w:ascii="宋体" w:hAnsi="宋体" w:cs="宋体"/>
          <w:b/>
          <w:bCs/>
          <w:color w:val="auto"/>
          <w:szCs w:val="21"/>
          <w:highlight w:val="none"/>
        </w:rPr>
        <w:outlineLvl w:val="2"/>
      </w:pPr>
      <w:r/>
      <w:bookmarkStart w:id="47" w:name="_Toc138662924"/>
      <w:r>
        <w:rPr>
          <w:rFonts w:hint="eastAsia" w:ascii="宋体" w:hAnsi="宋体" w:cs="宋体"/>
          <w:b/>
          <w:bCs/>
          <w:color w:val="auto"/>
          <w:szCs w:val="21"/>
          <w:highlight w:val="none"/>
        </w:rPr>
        <w:t xml:space="preserve">第六条 包装要求</w:t>
      </w:r>
      <w:bookmarkEnd w:id="47"/>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2.每一包装单元内应附详细的装箱单和质量合格凭证。</w:t>
      </w:r>
      <w:r/>
    </w:p>
    <w:p>
      <w:pPr>
        <w:keepLines/>
        <w:keepNext/>
        <w:spacing w:line="360" w:lineRule="auto"/>
        <w:rPr>
          <w:rFonts w:ascii="宋体" w:hAnsi="宋体" w:cs="宋体"/>
          <w:b/>
          <w:bCs/>
          <w:color w:val="auto"/>
          <w:szCs w:val="21"/>
          <w:highlight w:val="none"/>
        </w:rPr>
        <w:outlineLvl w:val="2"/>
      </w:pPr>
      <w:r/>
      <w:bookmarkStart w:id="48" w:name="_Toc138662925"/>
      <w:r>
        <w:rPr>
          <w:rFonts w:hint="eastAsia" w:ascii="宋体" w:hAnsi="宋体" w:cs="宋体"/>
          <w:b/>
          <w:bCs/>
          <w:color w:val="auto"/>
          <w:szCs w:val="21"/>
          <w:highlight w:val="none"/>
        </w:rPr>
        <w:t xml:space="preserve">第七条 交货和验收</w:t>
      </w:r>
      <w:bookmarkEnd w:id="48"/>
      <w:r/>
      <w:r/>
    </w:p>
    <w:p>
      <w:pPr>
        <w:pStyle w:val="719"/>
        <w:rPr>
          <w:color w:val="auto"/>
          <w:highlight w:val="none"/>
        </w:rPr>
      </w:pPr>
      <w:r>
        <w:rPr>
          <w:rFonts w:hint="eastAsia"/>
          <w:color w:val="auto"/>
          <w:highlight w:val="none"/>
        </w:rPr>
        <w:t xml:space="preserve">1.乙方应当在合同签订后   天内将货物安装调试完毕交付甲方正常使用，地点由甲方指定。招标（采购）文件有约定的，从其约定。 </w:t>
      </w:r>
      <w:r/>
    </w:p>
    <w:p>
      <w:pPr>
        <w:pStyle w:val="719"/>
        <w:rPr>
          <w:color w:val="auto"/>
          <w:highlight w:val="none"/>
        </w:rPr>
      </w:pPr>
      <w:r>
        <w:rPr>
          <w:rFonts w:hint="eastAsia"/>
          <w:color w:val="auto"/>
          <w:highlight w:val="none"/>
        </w:rPr>
        <w:t xml:space="preserve">2.乙方交付的货物应当完全符合本合同或者招标（采购）文件规定、投标（响应）文件所承诺的数量和规格要求。乙方提供的货物不符合 招标（采购）文件、投标（响应）文件和合同规定的，甲方有权拒收货物，由此引起的风险，由乙方承担。</w:t>
      </w:r>
      <w:r/>
    </w:p>
    <w:p>
      <w:pPr>
        <w:pStyle w:val="719"/>
        <w:rPr>
          <w:color w:val="auto"/>
          <w:highlight w:val="none"/>
        </w:rPr>
      </w:pPr>
      <w:r>
        <w:rPr>
          <w:rFonts w:hint="eastAsia"/>
          <w:color w:val="auto"/>
          <w:highlight w:val="none"/>
        </w:rPr>
        <w:t xml:space="preserve"> 3.货物的到货验收包括：型号、规格、数量、外观质量及货物包装是否完好。 </w:t>
      </w:r>
      <w:r/>
    </w:p>
    <w:p>
      <w:pPr>
        <w:pStyle w:val="719"/>
        <w:rPr>
          <w:color w:val="auto"/>
          <w:highlight w:val="none"/>
        </w:rPr>
      </w:pPr>
      <w:r>
        <w:rPr>
          <w:rFonts w:hint="eastAsia"/>
          <w:color w:val="auto"/>
          <w:highlight w:val="none"/>
        </w:rPr>
        <w:t xml:space="preserve">4.乙方应将所提供货物的装箱清单及配件等交付给甲方；乙方不能完整交付货物及本款规定的单证和工具的，视为未按合同约定交货，乙方负责补齐，因此导致逾期交付的，由乙方承担相关的违约责任。</w:t>
      </w:r>
      <w:r/>
    </w:p>
    <w:p>
      <w:pPr>
        <w:keepLines/>
        <w:keepNext/>
        <w:spacing w:line="360" w:lineRule="auto"/>
        <w:rPr>
          <w:rFonts w:ascii="宋体" w:hAnsi="宋体" w:cs="宋体"/>
          <w:b/>
          <w:bCs/>
          <w:color w:val="auto"/>
          <w:szCs w:val="21"/>
          <w:highlight w:val="none"/>
        </w:rPr>
        <w:outlineLvl w:val="2"/>
      </w:pPr>
      <w:r/>
      <w:bookmarkStart w:id="49" w:name="_Toc138662926"/>
      <w:r>
        <w:rPr>
          <w:rFonts w:hint="eastAsia" w:ascii="宋体" w:hAnsi="宋体" w:cs="宋体"/>
          <w:b/>
          <w:bCs/>
          <w:color w:val="auto"/>
          <w:szCs w:val="21"/>
          <w:highlight w:val="none"/>
        </w:rPr>
        <w:t xml:space="preserve">第八条 伴随服务／售后服务</w:t>
      </w:r>
      <w:bookmarkEnd w:id="49"/>
      <w:r/>
      <w:r/>
    </w:p>
    <w:p>
      <w:pPr>
        <w:ind w:firstLine="420"/>
        <w:jc w:val="left"/>
        <w:spacing w:line="360" w:lineRule="auto"/>
        <w:tabs>
          <w:tab w:val="left" w:pos="162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2.除前款规定外，乙方还应提供下列服务：</w:t>
      </w:r>
      <w:r/>
    </w:p>
    <w:p>
      <w:pPr>
        <w:ind w:firstLine="420"/>
        <w:jc w:val="left"/>
        <w:spacing w:line="360" w:lineRule="auto"/>
        <w:rPr>
          <w:rFonts w:ascii="宋体" w:hAnsi="宋体" w:cs="宋体"/>
          <w:color w:val="auto"/>
          <w:szCs w:val="21"/>
          <w:highlight w:val="none"/>
          <w:lang w:val="zh-CN"/>
        </w:rPr>
        <w:outlineLvl w:val="3"/>
      </w:pPr>
      <w:r>
        <w:rPr>
          <w:rFonts w:hint="eastAsia" w:ascii="宋体" w:hAnsi="宋体" w:cs="宋体"/>
          <w:color w:val="auto"/>
          <w:szCs w:val="21"/>
          <w:highlight w:val="none"/>
          <w:lang w:val="zh-CN"/>
        </w:rPr>
        <w:t xml:space="preserve">（1）货物的现场安装、调试和/或启动监督；</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（2）就货物的安装、启动、运行及维护等对甲方人员进行免费培训。</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3.若招标（采购）文件中不包含有关伴随服务或售后服务的承诺，双方作如下约定：</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（2）所购货物按乙方投标（响应）承诺提供免费维护和质量保证，保修费用计入总价；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cs="宋体"/>
          <w:color w:val="auto"/>
          <w:szCs w:val="21"/>
          <w:highlight w:val="none"/>
          <w:lang w:val="zh-CN"/>
        </w:rPr>
        <w:outlineLvl w:val="3"/>
      </w:pPr>
      <w:r>
        <w:rPr>
          <w:rFonts w:hint="eastAsia" w:ascii="宋体" w:hAnsi="宋体" w:cs="宋体"/>
          <w:color w:val="auto"/>
          <w:szCs w:val="21"/>
          <w:highlight w:val="none"/>
          <w:lang w:val="zh-CN"/>
        </w:rPr>
        <w:t xml:space="preserve">（4）货物故障报修的响应时间按乙方投标（响应）承诺执行；</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（5）若货物故障在检修</w:t>
      </w:r>
      <w:r>
        <w:rPr>
          <w:rFonts w:hint="eastAsia" w:ascii="宋体" w:hAnsi="宋体" w:cs="宋体"/>
          <w:color w:val="auto"/>
          <w:szCs w:val="21"/>
          <w:highlight w:val="none"/>
        </w:rPr>
        <w:t xml:space="preserve">24</w:t>
      </w:r>
      <w:r>
        <w:rPr>
          <w:rFonts w:hint="eastAsia" w:ascii="宋体" w:hAnsi="宋体" w:cs="宋体"/>
          <w:color w:val="auto"/>
          <w:szCs w:val="21"/>
          <w:highlight w:val="none"/>
          <w:lang w:val="zh-CN"/>
        </w:rPr>
        <w:t xml:space="preserve">小时后仍无法排除，乙方应在48小时内免费提供不低于故障货物规格型号档次的备用货物供甲方使用，直至故障修复；</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（6）所有货物保修服务方式均为乙方上门保修，即由乙方派员到货物使用现场维修，由此产生的一切费用均由乙方承担；</w:t>
      </w:r>
      <w:r/>
    </w:p>
    <w:p>
      <w:pPr>
        <w:ind w:firstLine="420"/>
        <w:jc w:val="left"/>
        <w:spacing w:line="360" w:lineRule="auto"/>
        <w:rPr>
          <w:rFonts w:ascii="宋体" w:hAnsi="宋体" w:cs="宋体"/>
          <w:color w:val="auto"/>
          <w:szCs w:val="21"/>
          <w:highlight w:val="none"/>
          <w:lang w:val="zh-CN"/>
        </w:rPr>
        <w:outlineLvl w:val="3"/>
      </w:pPr>
      <w:r>
        <w:rPr>
          <w:rFonts w:hint="eastAsia" w:ascii="宋体" w:hAnsi="宋体" w:cs="宋体"/>
          <w:color w:val="auto"/>
          <w:szCs w:val="21"/>
          <w:highlight w:val="none"/>
          <w:lang w:val="zh-CN"/>
        </w:rPr>
        <w:t xml:space="preserve">（7）保修期后的货物维护由双方商定。</w:t>
      </w:r>
      <w:r/>
    </w:p>
    <w:p>
      <w:pPr>
        <w:keepLines/>
        <w:keepNext/>
        <w:spacing w:line="360" w:lineRule="auto"/>
        <w:rPr>
          <w:rFonts w:ascii="宋体" w:hAnsi="宋体" w:cs="宋体"/>
          <w:b/>
          <w:bCs/>
          <w:color w:val="auto"/>
          <w:szCs w:val="21"/>
          <w:highlight w:val="none"/>
        </w:rPr>
        <w:outlineLvl w:val="2"/>
      </w:pPr>
      <w:r/>
      <w:bookmarkStart w:id="50" w:name="_Toc138662927"/>
      <w:r>
        <w:rPr>
          <w:rFonts w:hint="eastAsia" w:ascii="宋体" w:hAnsi="宋体" w:cs="宋体"/>
          <w:b/>
          <w:bCs/>
          <w:color w:val="auto"/>
          <w:szCs w:val="21"/>
          <w:highlight w:val="none"/>
        </w:rPr>
        <w:t xml:space="preserve">第九条 合同款支付</w:t>
      </w:r>
      <w:bookmarkEnd w:id="50"/>
      <w:r/>
      <w:r/>
    </w:p>
    <w:p>
      <w:pPr>
        <w:ind w:firstLine="420"/>
        <w:jc w:val="left"/>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1.本合同项下所有款项均以人民币支付。</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2.本合同项下的采购资金由乙方开具发票，甲方按照本条第3款的约定支付。</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3.付款条件：</w:t>
      </w:r>
      <w:bookmarkStart w:id="51" w:name="_Toc138662928"/>
      <w:r/>
      <w:r/>
    </w:p>
    <w:p>
      <w:pPr>
        <w:ind w:firstLine="420"/>
        <w:jc w:val="lef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项目签订合同且收到发票后，</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向</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支付合同金额的</w:t>
      </w:r>
      <w:r>
        <w:rPr>
          <w:rFonts w:hint="eastAsia" w:ascii="宋体" w:hAnsi="宋体" w:cs="宋体"/>
          <w:color w:val="auto"/>
          <w:sz w:val="21"/>
          <w:szCs w:val="21"/>
          <w:highlight w:val="none"/>
          <w:lang w:val="en-US" w:eastAsia="zh-CN" w:bidi="ar-SA"/>
        </w:rPr>
        <w:t xml:space="preserve">60</w:t>
      </w:r>
      <w:r>
        <w:rPr>
          <w:rFonts w:hint="eastAsia" w:ascii="宋体" w:hAnsi="宋体" w:eastAsia="宋体" w:cs="宋体"/>
          <w:color w:val="auto"/>
          <w:sz w:val="21"/>
          <w:szCs w:val="21"/>
          <w:highlight w:val="none"/>
          <w:lang w:val="en-US" w:eastAsia="zh-CN" w:bidi="ar-SA"/>
        </w:rPr>
        <w:t xml:space="preserve">%作为预付款；</w:t>
      </w:r>
      <w:r/>
    </w:p>
    <w:p>
      <w:pPr>
        <w:pStyle w:val="687"/>
        <w:rPr>
          <w:rFonts w:hint="eastAsia" w:ascii="宋体" w:hAnsi="宋体" w:eastAsia="宋体" w:cs="宋体"/>
          <w:color w:val="auto"/>
          <w:sz w:val="21"/>
          <w:szCs w:val="21"/>
          <w:highlight w:val="none"/>
          <w:lang w:val="en-US" w:eastAsia="zh-CN" w:bidi="ar-SA"/>
        </w:rPr>
      </w:pPr>
      <w:r>
        <w:rPr>
          <w:rFonts w:hint="eastAsia"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项目最终验收合格并经审计后，支付至审定金额的100%；</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1.结算审计核减率5%以下的，审计费用由甲方承担，核减率5%（含）以上的，审计费用由乙方承担，在审定价中扣除。</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2.本项目如需政府审计或备案，则最终结算价以审计机关结论为准，甲方将根据最终结算价调整付款基数，乙方应无条件配合。</w:t>
      </w:r>
      <w:r/>
    </w:p>
    <w:p>
      <w:pPr>
        <w:keepLines/>
        <w:keepNext/>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第十条 违约责任</w:t>
      </w:r>
      <w:bookmarkEnd w:id="51"/>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1.甲方无正当理由拒收货物、拒付货物款的，由甲方向乙方偿付合同总价的</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%违约金。</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2.甲方未按合同规定的期限向乙方支付货款的，每逾期1天甲方向乙方偿付欠款总额的</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 ‰滞纳金，但累计滞纳金总额不超过欠款总额的</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 % 。</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3.如乙方不能交付货物、完成安装调试的，甲方有权扣留全部履约保证金（</w:t>
      </w:r>
      <w:r>
        <w:rPr>
          <w:rFonts w:hint="eastAsia" w:ascii="宋体" w:hAnsi="宋体" w:cs="宋体"/>
          <w:bCs/>
          <w:color w:val="auto"/>
          <w:szCs w:val="21"/>
          <w:highlight w:val="none"/>
        </w:rPr>
        <w:t xml:space="preserve">如有</w:t>
      </w:r>
      <w:r>
        <w:rPr>
          <w:rFonts w:hint="eastAsia" w:ascii="宋体" w:hAnsi="宋体" w:cs="宋体"/>
          <w:bCs/>
          <w:color w:val="auto"/>
          <w:szCs w:val="21"/>
          <w:highlight w:val="none"/>
          <w:lang w:val="zh-CN"/>
        </w:rPr>
        <w:t xml:space="preserve">）；同时乙方应向甲方支付合同总价5 %的违约金。</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4.乙方逾期交付的，每逾期1天，乙方向甲方偿付合同总额的  </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  ‰的滞纳金。如乙方逾期交付达  </w:t>
      </w: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zh-CN"/>
        </w:rPr>
        <w:t xml:space="preserve"> 天，甲方有权解除合同，解除合同的通知自到达乙方时生效。乙方</w:t>
      </w:r>
      <w:r>
        <w:rPr>
          <w:rFonts w:hint="eastAsia" w:ascii="宋体" w:hAnsi="宋体" w:cs="宋体"/>
          <w:bCs/>
          <w:color w:val="auto"/>
          <w:szCs w:val="21"/>
          <w:highlight w:val="none"/>
        </w:rPr>
        <w:t xml:space="preserve">应向甲方支付合同总价5%的违约金</w:t>
      </w:r>
      <w:r>
        <w:rPr>
          <w:rFonts w:hint="eastAsia" w:ascii="宋体" w:hAnsi="宋体" w:cs="宋体"/>
          <w:bCs/>
          <w:color w:val="auto"/>
          <w:szCs w:val="21"/>
          <w:highlight w:val="none"/>
          <w:lang w:val="zh-CN"/>
        </w:rPr>
        <w:t xml:space="preserve">。</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5.乙方所交付的货物品种、型号、规格不符合合同规定的，甲方有权拒收。甲方拒收的，乙方应向甲方支付货款总额</w:t>
      </w: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zh-CN"/>
        </w:rPr>
        <w:t xml:space="preserve">%的违约金。</w:t>
      </w:r>
      <w:r/>
    </w:p>
    <w:p>
      <w:pPr>
        <w:ind w:firstLine="420"/>
        <w:jc w:val="left"/>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420"/>
        <w:jc w:val="left"/>
        <w:spacing w:line="360" w:lineRule="auto"/>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7.乙方未按本合同的规定和“服务承诺”提供伴随服务/售后服务的，应按合同总</w:t>
      </w:r>
      <w:r>
        <w:rPr>
          <w:rFonts w:hint="eastAsia" w:ascii="宋体" w:hAnsi="宋体" w:cs="宋体"/>
          <w:color w:val="auto"/>
          <w:szCs w:val="21"/>
          <w:highlight w:val="none"/>
          <w:lang w:val="zh-CN"/>
        </w:rPr>
        <w:t xml:space="preserve">价款的</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lang w:val="zh-CN"/>
        </w:rPr>
        <w:t xml:space="preserve">%向甲方承担违约责任。</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9.乙方投标（响应）属虚假承诺，或经权威部门检测提供的货物不能满足投标（响应）文件要求，或是由于乙方的过错造成合同无法继续履行的，乙方履约保证金不予退还外（</w:t>
      </w:r>
      <w:r>
        <w:rPr>
          <w:rFonts w:hint="eastAsia" w:ascii="宋体" w:hAnsi="宋体" w:cs="宋体"/>
          <w:color w:val="auto"/>
          <w:szCs w:val="21"/>
          <w:highlight w:val="none"/>
        </w:rPr>
        <w:t xml:space="preserve">如有</w:t>
      </w:r>
      <w:r>
        <w:rPr>
          <w:rFonts w:hint="eastAsia" w:ascii="宋体" w:hAnsi="宋体" w:cs="宋体"/>
          <w:color w:val="auto"/>
          <w:szCs w:val="21"/>
          <w:highlight w:val="none"/>
          <w:lang w:val="zh-CN"/>
        </w:rPr>
        <w:t xml:space="preserve">），还应向甲方支付</w:t>
      </w:r>
      <w:r>
        <w:rPr>
          <w:rFonts w:hint="eastAsia" w:ascii="宋体" w:hAnsi="宋体" w:cs="宋体"/>
          <w:color w:val="auto"/>
          <w:szCs w:val="21"/>
          <w:highlight w:val="none"/>
          <w:u w:val="single"/>
          <w:lang w:val="zh-CN"/>
        </w:rPr>
        <w:t xml:space="preserve"> 30 </w:t>
      </w:r>
      <w:r>
        <w:rPr>
          <w:rFonts w:hint="eastAsia" w:ascii="宋体" w:hAnsi="宋体" w:cs="宋体"/>
          <w:color w:val="auto"/>
          <w:szCs w:val="21"/>
          <w:highlight w:val="none"/>
          <w:lang w:val="zh-CN"/>
        </w:rPr>
        <w:t xml:space="preserve">%赔偿金。</w:t>
      </w:r>
      <w:r/>
    </w:p>
    <w:p>
      <w:pPr>
        <w:keepLines/>
        <w:keepNext/>
        <w:spacing w:line="360" w:lineRule="auto"/>
        <w:rPr>
          <w:rFonts w:ascii="宋体" w:hAnsi="宋体" w:cs="宋体"/>
          <w:b/>
          <w:bCs/>
          <w:color w:val="auto"/>
          <w:szCs w:val="21"/>
          <w:highlight w:val="none"/>
        </w:rPr>
        <w:outlineLvl w:val="2"/>
      </w:pPr>
      <w:r/>
      <w:bookmarkStart w:id="52" w:name="_Toc138662929"/>
      <w:r>
        <w:rPr>
          <w:rFonts w:hint="eastAsia" w:ascii="宋体" w:hAnsi="宋体" w:cs="宋体"/>
          <w:b/>
          <w:bCs/>
          <w:color w:val="auto"/>
          <w:szCs w:val="21"/>
          <w:highlight w:val="none"/>
        </w:rPr>
        <w:t xml:space="preserve">第十一条 合同的变更和终止</w:t>
      </w:r>
      <w:bookmarkEnd w:id="52"/>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1.除《政府采购法》第50条规定的情形外，本合同一经签订，甲乙双方不得擅自变更、中止或终止。</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2.除发生法律规定的不能预见、不能避免并不能克服的客观情况外，甲乙双方不得放弃或拒绝履行合同。乙方放弃或拒绝履行合同，履约保证金不予退还，并按规定接受相关部门的处罚。</w:t>
      </w:r>
      <w:r/>
    </w:p>
    <w:p>
      <w:pPr>
        <w:keepLines/>
        <w:keepNext/>
        <w:spacing w:line="360" w:lineRule="auto"/>
        <w:rPr>
          <w:rFonts w:ascii="宋体" w:hAnsi="宋体" w:cs="宋体"/>
          <w:b/>
          <w:bCs/>
          <w:color w:val="auto"/>
          <w:szCs w:val="21"/>
          <w:highlight w:val="none"/>
        </w:rPr>
        <w:outlineLvl w:val="2"/>
      </w:pPr>
      <w:r/>
      <w:bookmarkStart w:id="53" w:name="_Toc138662930"/>
      <w:r>
        <w:rPr>
          <w:rFonts w:hint="eastAsia" w:ascii="宋体" w:hAnsi="宋体" w:cs="宋体"/>
          <w:b/>
          <w:bCs/>
          <w:color w:val="auto"/>
          <w:szCs w:val="21"/>
          <w:highlight w:val="none"/>
        </w:rPr>
        <w:t xml:space="preserve">第十二条 合同的转让</w:t>
      </w:r>
      <w:bookmarkEnd w:id="53"/>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乙方不得擅自部分或全部转让其应履行的合同义务。</w:t>
      </w:r>
      <w:r/>
    </w:p>
    <w:p>
      <w:pPr>
        <w:keepLines/>
        <w:keepNext/>
        <w:spacing w:line="360" w:lineRule="auto"/>
        <w:rPr>
          <w:rFonts w:ascii="宋体" w:hAnsi="宋体" w:cs="宋体"/>
          <w:b/>
          <w:bCs/>
          <w:color w:val="auto"/>
          <w:szCs w:val="21"/>
          <w:highlight w:val="none"/>
        </w:rPr>
        <w:outlineLvl w:val="2"/>
      </w:pPr>
      <w:r/>
      <w:bookmarkStart w:id="54" w:name="_Toc138662931"/>
      <w:r>
        <w:rPr>
          <w:rFonts w:hint="eastAsia" w:ascii="宋体" w:hAnsi="宋体" w:cs="宋体"/>
          <w:b/>
          <w:bCs/>
          <w:color w:val="auto"/>
          <w:szCs w:val="21"/>
          <w:highlight w:val="none"/>
        </w:rPr>
        <w:t xml:space="preserve">第十三条 争议的解决</w:t>
      </w:r>
      <w:bookmarkEnd w:id="54"/>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1.因货物的质量问题发生争议的，应当邀请国家认可的质量检测机构对货物质量进行鉴定。货物符合质量标准的，鉴定费由甲方承担；货物不符合质量标准的，鉴定费由乙方承担。</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2.因履行本合同引起的或与本合同有关的争议，甲、乙双方应首先通过友好协商解决，如果协商不能解决争议，则采取以下第（</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）种方式解决争议：</w:t>
      </w:r>
      <w:r/>
    </w:p>
    <w:p>
      <w:pPr>
        <w:ind w:firstLine="56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（1）向甲方所在地有管辖权的人民法院提起诉讼；</w:t>
      </w:r>
      <w:r/>
    </w:p>
    <w:p>
      <w:pPr>
        <w:ind w:firstLine="56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（2）向南京仲裁委员会按其仲裁规则申请仲裁。</w:t>
      </w:r>
      <w:r/>
    </w:p>
    <w:p>
      <w:pPr>
        <w:ind w:firstLine="56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如没有约定，默认采取第2种方式解决争议。</w:t>
      </w:r>
      <w:r/>
    </w:p>
    <w:p>
      <w:pPr>
        <w:ind w:firstLine="420"/>
        <w:jc w:val="left"/>
        <w:spacing w:line="360" w:lineRule="auto"/>
        <w:widowControl/>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3.诉讼</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仲裁期间本合同应继续履行。</w:t>
      </w:r>
      <w:r/>
    </w:p>
    <w:p>
      <w:pPr>
        <w:keepLines/>
        <w:keepNext/>
        <w:spacing w:line="360" w:lineRule="auto"/>
        <w:rPr>
          <w:rFonts w:ascii="宋体" w:hAnsi="宋体" w:cs="宋体"/>
          <w:b/>
          <w:bCs/>
          <w:color w:val="auto"/>
          <w:szCs w:val="21"/>
          <w:highlight w:val="none"/>
          <w:lang w:val="zh-CN"/>
        </w:rPr>
        <w:outlineLvl w:val="2"/>
      </w:pPr>
      <w:r/>
      <w:bookmarkStart w:id="55" w:name="_Toc138662932"/>
      <w:r>
        <w:rPr>
          <w:rFonts w:hint="eastAsia" w:ascii="宋体" w:hAnsi="宋体" w:cs="宋体"/>
          <w:b/>
          <w:bCs/>
          <w:color w:val="auto"/>
          <w:szCs w:val="21"/>
          <w:highlight w:val="none"/>
        </w:rPr>
        <w:t xml:space="preserve">第十四条 诚实信用</w:t>
      </w:r>
      <w:bookmarkEnd w:id="55"/>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乙方应诚实信用，严格按照招标（采购）文件要求和投标（响应）承诺履行合同，不向甲方进行商业贿赂或者提供不正当利益。</w:t>
      </w:r>
      <w:r/>
    </w:p>
    <w:p>
      <w:pPr>
        <w:keepLines/>
        <w:keepNext/>
        <w:spacing w:line="360" w:lineRule="auto"/>
        <w:rPr>
          <w:rFonts w:ascii="宋体" w:hAnsi="宋体" w:cs="宋体"/>
          <w:b/>
          <w:bCs/>
          <w:color w:val="auto"/>
          <w:szCs w:val="21"/>
          <w:highlight w:val="none"/>
        </w:rPr>
        <w:outlineLvl w:val="2"/>
      </w:pPr>
      <w:r/>
      <w:bookmarkStart w:id="56" w:name="_Toc138662933"/>
      <w:r>
        <w:rPr>
          <w:rFonts w:hint="eastAsia" w:ascii="宋体" w:hAnsi="宋体" w:cs="宋体"/>
          <w:b/>
          <w:bCs/>
          <w:color w:val="auto"/>
          <w:szCs w:val="21"/>
          <w:highlight w:val="none"/>
        </w:rPr>
        <w:t xml:space="preserve">第十五条 合同生效及其他</w:t>
      </w:r>
      <w:bookmarkEnd w:id="56"/>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1.本合同自签订之日起生效。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2.本合同一式四份，甲乙双方各执</w:t>
      </w:r>
      <w:r>
        <w:rPr>
          <w:rFonts w:hint="eastAsia" w:ascii="宋体" w:hAnsi="宋体" w:cs="宋体"/>
          <w:color w:val="auto"/>
          <w:szCs w:val="21"/>
          <w:highlight w:val="none"/>
        </w:rPr>
        <w:t xml:space="preserve">两</w:t>
      </w:r>
      <w:r>
        <w:rPr>
          <w:rFonts w:hint="eastAsia" w:ascii="宋体" w:hAnsi="宋体" w:cs="宋体"/>
          <w:color w:val="auto"/>
          <w:szCs w:val="21"/>
          <w:highlight w:val="none"/>
          <w:lang w:val="zh-CN"/>
        </w:rPr>
        <w:t xml:space="preserve">份。</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3.本合同按照中华人民共和国的现行法律进行解释。</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4.其他：。</w:t>
      </w:r>
      <w:r/>
    </w:p>
    <w:p>
      <w:pPr>
        <w:spacing w:line="360" w:lineRule="auto"/>
        <w:rPr>
          <w:rFonts w:ascii="仿宋" w:hAnsi="仿宋" w:eastAsia="仿宋" w:cs="仿宋"/>
          <w:color w:val="auto"/>
          <w:sz w:val="24"/>
          <w:szCs w:val="24"/>
          <w:highlight w:val="none"/>
          <w:lang w:val="zh-CN"/>
        </w:rPr>
      </w:pPr>
      <w:r>
        <w:rPr>
          <w:rFonts w:ascii="仿宋" w:hAnsi="仿宋" w:eastAsia="仿宋" w:cs="仿宋"/>
          <w:color w:val="auto"/>
          <w:sz w:val="24"/>
          <w:szCs w:val="24"/>
          <w:highlight w:val="none"/>
          <w:lang w:val="zh-CN"/>
        </w:rPr>
      </w:r>
      <w:r/>
    </w:p>
    <w:tbl>
      <w:tblPr>
        <w:tblStyle w:val="685"/>
        <w:tblpPr w:horzAnchor="page" w:tblpX="1679" w:vertAnchor="text" w:tblpY="464" w:leftFromText="180" w:topFromText="0" w:rightFromText="180" w:bottomFromText="0"/>
        <w:tblW w:w="9286" w:type="dxa"/>
        <w:tblInd w:w="0"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甲  方（采购人）：（盖章）</w:t>
            </w:r>
            <w:r/>
          </w:p>
        </w:tc>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乙  方（供应商）：（盖章）</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代表人：</w:t>
            </w:r>
            <w:r/>
          </w:p>
        </w:tc>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代表人：</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电  话：</w:t>
            </w:r>
            <w:r/>
          </w:p>
        </w:tc>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电  话：</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开户银行：</w:t>
            </w:r>
            <w:r/>
          </w:p>
        </w:tc>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开户银行：</w:t>
            </w:r>
            <w:r/>
          </w:p>
        </w:tc>
      </w:tr>
      <w:tr>
        <w:trPr/>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帐  号：     </w:t>
            </w:r>
            <w:r/>
          </w:p>
        </w:tc>
        <w:tc>
          <w:tcPr>
            <w:tcW w:w="4643" w:type="dxa"/>
            <w:textDirection w:val="lrTb"/>
            <w:noWrap w:val="false"/>
          </w:tcPr>
          <w:p>
            <w:pPr>
              <w:jc w:val="left"/>
              <w:widowControl/>
              <w:rPr>
                <w:rFonts w:cs="仿宋" w:asciiTheme="minorEastAsia" w:hAnsiTheme="minorEastAsia" w:eastAsiaTheme="minorEastAsia"/>
                <w:color w:val="auto"/>
                <w:sz w:val="24"/>
                <w:szCs w:val="24"/>
                <w:highlight w:val="none"/>
                <w:lang w:val="zh-CN"/>
              </w:rPr>
            </w:pPr>
            <w:r>
              <w:rPr>
                <w:rFonts w:hint="eastAsia" w:cs="仿宋" w:asciiTheme="minorEastAsia" w:hAnsiTheme="minorEastAsia" w:eastAsiaTheme="minorEastAsia"/>
                <w:color w:val="auto"/>
                <w:sz w:val="24"/>
                <w:szCs w:val="24"/>
                <w:highlight w:val="none"/>
                <w:lang w:val="zh-CN"/>
              </w:rPr>
              <w:t xml:space="preserve">帐  号：</w:t>
            </w:r>
            <w:r/>
          </w:p>
        </w:tc>
      </w:tr>
    </w:tbl>
    <w:p>
      <w:pPr>
        <w:pStyle w:val="675"/>
        <w:rPr>
          <w:rFonts w:ascii="宋体" w:hAnsi="宋体" w:cs="宋体"/>
          <w:color w:val="auto"/>
          <w:szCs w:val="36"/>
          <w:highlight w:val="none"/>
          <w:lang w:val="zh-CN"/>
        </w:rPr>
      </w:pPr>
      <w:r>
        <w:rPr>
          <w:rFonts w:ascii="宋体" w:hAnsi="宋体" w:cs="宋体"/>
          <w:color w:val="auto"/>
          <w:szCs w:val="36"/>
          <w:highlight w:val="none"/>
          <w:lang w:val="zh-CN"/>
        </w:rPr>
        <w:br w:type="page" w:clear="all"/>
      </w:r>
      <w:r>
        <w:rPr>
          <w:rFonts w:hint="eastAsia"/>
          <w:color w:val="auto"/>
          <w:highlight w:val="none"/>
          <w:lang w:val="zh-CN"/>
        </w:rPr>
        <w:t xml:space="preserve">第六章投标文件格式</w:t>
      </w:r>
      <w:bookmarkEnd w:id="39"/>
      <w:r/>
      <w:bookmarkEnd w:id="40"/>
      <w:r/>
      <w:bookmarkEnd w:id="41"/>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Arial"/>
          <w:color w:val="auto"/>
          <w:sz w:val="44"/>
          <w:szCs w:val="44"/>
          <w:highlight w:val="none"/>
        </w:rPr>
      </w:pPr>
      <w:r>
        <w:rPr>
          <w:rFonts w:ascii="宋体" w:hAnsi="宋体" w:cs="Arial"/>
          <w:color w:val="auto"/>
          <w:sz w:val="44"/>
          <w:szCs w:val="44"/>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供应商名称 ：</w:t>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r/>
    </w:p>
    <w:p>
      <w:pP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676"/>
        <w:rPr>
          <w:color w:val="auto"/>
          <w:highlight w:val="none"/>
          <w:lang w:val="zh-CN"/>
        </w:rPr>
      </w:pPr>
      <w:r>
        <w:rPr>
          <w:rFonts w:hint="eastAsia"/>
          <w:color w:val="auto"/>
          <w:highlight w:val="none"/>
          <w:lang w:val="zh-CN"/>
        </w:rPr>
        <w:t xml:space="preserve">附件一、投标申请及声明格式</w:t>
      </w:r>
      <w:r/>
    </w:p>
    <w:p>
      <w:pPr>
        <w:jc w:val="center"/>
        <w:spacing w:line="360" w:lineRule="auto"/>
        <w:rPr>
          <w:color w:val="auto"/>
          <w:sz w:val="32"/>
          <w:szCs w:val="32"/>
          <w:highlight w:val="none"/>
          <w:lang w:val="zh-CN"/>
        </w:rPr>
      </w:pPr>
      <w:r/>
      <w:bookmarkStart w:id="57" w:name="_Toc4379"/>
      <w:r/>
      <w:bookmarkStart w:id="58" w:name="_Toc32604"/>
      <w:r>
        <w:rPr>
          <w:rFonts w:hint="eastAsia"/>
          <w:color w:val="auto"/>
          <w:sz w:val="32"/>
          <w:szCs w:val="32"/>
          <w:highlight w:val="none"/>
          <w:lang w:val="zh-CN"/>
        </w:rPr>
        <w:t xml:space="preserve">投标申请及声明</w:t>
      </w:r>
      <w:bookmarkEnd w:id="57"/>
      <w:r/>
      <w:bookmarkEnd w:id="58"/>
      <w:r/>
      <w:r/>
    </w:p>
    <w:p>
      <w:pPr>
        <w:pStyle w:val="889"/>
        <w:spacing w:line="360" w:lineRule="auto"/>
        <w:rPr>
          <w:color w:val="auto"/>
          <w:highlight w:val="none"/>
          <w:lang w:val="zh-CN"/>
        </w:rPr>
      </w:pPr>
      <w:r/>
      <w:bookmarkStart w:id="59" w:name="_Toc18647"/>
      <w:r/>
      <w:bookmarkStart w:id="60" w:name="_Toc27899"/>
      <w:r>
        <w:rPr>
          <w:rFonts w:hint="eastAsia"/>
          <w:color w:val="auto"/>
          <w:highlight w:val="none"/>
          <w:lang w:val="zh-CN"/>
        </w:rPr>
        <w:t xml:space="preserve">致：</w:t>
      </w:r>
      <w:bookmarkEnd w:id="59"/>
      <w:r/>
      <w:bookmarkEnd w:id="60"/>
      <w:r>
        <w:rPr>
          <w:rFonts w:hint="eastAsia"/>
          <w:color w:val="auto"/>
          <w:highlight w:val="none"/>
          <w:lang w:val="zh-CN"/>
        </w:rPr>
        <w:t xml:space="preserve">南京市公安局巡特警支队（南京市公安局留置看护支队）</w:t>
      </w:r>
      <w:r/>
    </w:p>
    <w:p>
      <w:pPr>
        <w:pStyle w:val="889"/>
        <w:ind w:firstLine="420"/>
        <w:spacing w:line="360" w:lineRule="auto"/>
        <w:rPr>
          <w:color w:val="auto"/>
          <w:highlight w:val="none"/>
          <w:lang w:val="zh-CN"/>
        </w:rPr>
      </w:pPr>
      <w:r/>
      <w:bookmarkStart w:id="61" w:name="_Toc9373"/>
      <w:r/>
      <w:bookmarkStart w:id="62" w:name="_Toc4607"/>
      <w:r>
        <w:rPr>
          <w:rFonts w:hint="eastAsia"/>
          <w:color w:val="auto"/>
          <w:highlight w:val="none"/>
          <w:lang w:val="zh-CN"/>
        </w:rPr>
        <w:t xml:space="preserve">根据贵方</w:t>
      </w:r>
      <w:r>
        <w:rPr>
          <w:rFonts w:hint="eastAsia"/>
          <w:color w:val="auto"/>
          <w:highlight w:val="none"/>
          <w:u w:val="single"/>
          <w:lang w:val="en-US" w:eastAsia="zh-CN"/>
        </w:rPr>
        <w:t xml:space="preserve">    </w:t>
      </w:r>
      <w:r>
        <w:rPr>
          <w:rFonts w:hint="eastAsia"/>
          <w:color w:val="auto"/>
          <w:highlight w:val="none"/>
          <w:u w:val="single"/>
          <w:lang w:val="zh-CN"/>
        </w:rPr>
        <w:t xml:space="preserve">（项目名称）（项目编号）</w:t>
      </w:r>
      <w:r>
        <w:rPr>
          <w:rFonts w:hint="eastAsia"/>
          <w:color w:val="auto"/>
          <w:highlight w:val="none"/>
          <w:lang w:val="zh-CN"/>
        </w:rPr>
        <w:t xml:space="preserve">招标公告，正式授权下述签字人</w:t>
      </w:r>
      <w:r>
        <w:rPr>
          <w:rFonts w:hint="eastAsia"/>
          <w:color w:val="auto"/>
          <w:highlight w:val="none"/>
          <w:u w:val="single"/>
          <w:lang w:val="en-US" w:eastAsia="zh-CN"/>
        </w:rPr>
        <w:t xml:space="preserve">      </w:t>
      </w:r>
      <w:r>
        <w:rPr>
          <w:rFonts w:hint="eastAsia"/>
          <w:color w:val="auto"/>
          <w:highlight w:val="none"/>
          <w:u w:val="single"/>
          <w:lang w:val="zh-CN"/>
        </w:rPr>
        <w:t xml:space="preserve">(姓名和职务)</w:t>
      </w:r>
      <w:r>
        <w:rPr>
          <w:rFonts w:hint="eastAsia"/>
          <w:color w:val="auto"/>
          <w:highlight w:val="none"/>
          <w:lang w:val="zh-CN"/>
        </w:rPr>
        <w:t xml:space="preserve">代表供应商</w:t>
      </w:r>
      <w:r>
        <w:rPr>
          <w:rFonts w:hint="eastAsia"/>
          <w:color w:val="auto"/>
          <w:highlight w:val="none"/>
          <w:u w:val="single"/>
          <w:lang w:val="en-US" w:eastAsia="zh-CN"/>
        </w:rPr>
        <w:t xml:space="preserve">     </w:t>
      </w:r>
      <w:r>
        <w:rPr>
          <w:rFonts w:hint="eastAsia"/>
          <w:color w:val="auto"/>
          <w:highlight w:val="none"/>
          <w:u w:val="single"/>
          <w:lang w:val="zh-CN"/>
        </w:rPr>
        <w:t xml:space="preserve">（供应商名称）</w:t>
      </w:r>
      <w:r>
        <w:rPr>
          <w:rFonts w:hint="eastAsia"/>
          <w:color w:val="auto"/>
          <w:highlight w:val="none"/>
          <w:lang w:val="zh-CN"/>
        </w:rPr>
        <w:t xml:space="preserve">，提交电子投标文件。</w:t>
      </w:r>
      <w:bookmarkEnd w:id="61"/>
      <w:r/>
      <w:bookmarkEnd w:id="62"/>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color w:val="auto"/>
          <w:szCs w:val="21"/>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：我方愿</w:t>
      </w:r>
      <w:r>
        <w:rPr>
          <w:rFonts w:hint="eastAsia" w:ascii="宋体"/>
          <w:color w:val="auto"/>
          <w:szCs w:val="21"/>
          <w:highlight w:val="none"/>
        </w:rPr>
        <w:t xml:space="preserve">以</w:t>
      </w:r>
      <w:r>
        <w:rPr>
          <w:rFonts w:hint="eastAsia" w:ascii="宋体"/>
          <w:color w:val="auto"/>
          <w:szCs w:val="21"/>
          <w:highlight w:val="none"/>
          <w:u w:val="single"/>
        </w:rPr>
        <w:t xml:space="preserve">       元（大写：）</w:t>
      </w:r>
      <w:r>
        <w:rPr>
          <w:rFonts w:hint="eastAsia" w:ascii="宋体"/>
          <w:color w:val="auto"/>
          <w:szCs w:val="21"/>
          <w:highlight w:val="none"/>
        </w:rPr>
        <w:t xml:space="preserve">作为投标报价，承接上述项目的供货及服务，并承担任何质量缺陷保修责任。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5、一旦我方中标，我方将根据采购文件的规定严格履行合同，并保证于承诺的时间完成服务的启动/集成、调试等服务，交付招标人验收、使用。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招标人、其它供应商或者招标代理机构恶意串通、决不向招标人、招标代理机构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8、与本投标有关的正式联系方式为：</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pStyle w:val="719"/>
        <w:rPr>
          <w:rFonts w:cs="宋体"/>
          <w:color w:val="auto"/>
          <w:szCs w:val="21"/>
          <w:highlight w:val="none"/>
          <w:lang w:val="zh-CN"/>
        </w:rPr>
      </w:pPr>
      <w:r>
        <w:rPr>
          <w:rFonts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pStyle w:val="719"/>
        <w:rPr>
          <w:rFonts w:cs="宋体"/>
          <w:color w:val="auto"/>
          <w:szCs w:val="21"/>
          <w:highlight w:val="none"/>
          <w:lang w:val="zh-CN"/>
        </w:rPr>
      </w:pPr>
      <w:r>
        <w:rPr>
          <w:rFonts w:cs="宋体"/>
          <w:color w:val="auto"/>
          <w:szCs w:val="21"/>
          <w:highlight w:val="none"/>
          <w:lang w:val="zh-CN"/>
        </w:rPr>
      </w:r>
      <w:r/>
    </w:p>
    <w:p>
      <w:pPr>
        <w:rPr>
          <w:color w:val="auto"/>
          <w:highlight w:val="none"/>
          <w:lang w:val="zh-CN"/>
        </w:rPr>
      </w:pPr>
      <w:r>
        <w:rPr>
          <w:color w:val="auto"/>
          <w:highlight w:val="none"/>
          <w:lang w:val="zh-CN"/>
        </w:rPr>
      </w:r>
      <w:r/>
    </w:p>
    <w:p>
      <w:pPr>
        <w:pStyle w:val="676"/>
        <w:rPr>
          <w:color w:val="auto"/>
          <w:highlight w:val="none"/>
          <w:lang w:val="zh-CN"/>
        </w:rPr>
      </w:pPr>
      <w:r>
        <w:rPr>
          <w:rFonts w:hint="eastAsia"/>
          <w:color w:val="auto"/>
          <w:highlight w:val="none"/>
          <w:lang w:val="zh-CN"/>
        </w:rPr>
        <w:t xml:space="preserve">附件二、法定代表人授权书格式</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南京市公安局巡特警支队（南京市公安局留置看护支队）：</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 xml:space="preserve">投标，以本公司名义处理一切与之有关的事务。</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    年  月  日签字生效，特此声明。</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shd w:val="clear" w:color="auto" w:fill="ffffff"/>
        <w:widowControl/>
        <w:rPr>
          <w:rFonts w:ascii="宋体" w:hAnsi="宋体" w:cs="宋体"/>
          <w:b/>
          <w:color w:val="auto"/>
          <w:szCs w:val="21"/>
          <w:highlight w:val="none"/>
          <w:lang w:val="zh-CN"/>
        </w:rPr>
      </w:pPr>
      <w:r>
        <w:rPr>
          <w:rFonts w:hint="eastAsia" w:ascii="宋体" w:hAnsi="宋体" w:cs="Arial"/>
          <w:color w:val="auto"/>
          <w:sz w:val="24"/>
          <w:highlight w:val="none"/>
        </w:rPr>
        <w:t xml:space="preserve">法定代表的身份证的复印件</w:t>
      </w:r>
      <w:r>
        <w:rPr>
          <w:rFonts w:ascii="宋体" w:hAnsi="宋体" w:cs="Arial"/>
          <w:color w:val="auto"/>
          <w:sz w:val="24"/>
          <w:highlight w:val="none"/>
        </w:rPr>
        <w:t xml:space="preserve">:</w:t>
      </w:r>
      <w:r/>
    </w:p>
    <w:p>
      <w:pPr>
        <w:jc w:val="left"/>
        <w:spacing w:line="360" w:lineRule="auto"/>
        <w:shd w:val="clear" w:color="auto" w:fill="ffffff"/>
        <w:widowControl/>
        <w:rPr>
          <w:rFonts w:ascii="宋体" w:hAnsi="宋体" w:cs="Arial"/>
          <w:color w:val="auto"/>
          <w:sz w:val="24"/>
          <w:highlight w:val="none"/>
        </w:rPr>
      </w:pPr>
      <w:r>
        <w:rPr>
          <w:rFonts w:hint="eastAsia" w:ascii="宋体" w:hAnsi="宋体" w:cs="Arial"/>
          <w:color w:val="auto"/>
          <w:sz w:val="24"/>
          <w:highlight w:val="none"/>
        </w:rPr>
        <w:t xml:space="preserve">委托代理人的身份证的复印件</w:t>
      </w:r>
      <w:r>
        <w:rPr>
          <w:rFonts w:ascii="宋体" w:hAnsi="宋体" w:cs="Arial"/>
          <w:color w:val="auto"/>
          <w:sz w:val="24"/>
          <w:highlight w:val="none"/>
        </w:rPr>
        <w:t xml:space="preserve">:</w:t>
      </w:r>
      <w:r/>
    </w:p>
    <w:p>
      <w:pPr>
        <w:pStyle w:val="676"/>
        <w:rPr>
          <w:rFonts w:hint="eastAsia"/>
          <w:color w:val="auto"/>
          <w:highlight w:val="none"/>
          <w:lang w:val="zh-CN"/>
        </w:rPr>
      </w:pPr>
      <w:r>
        <w:rPr>
          <w:rFonts w:hint="eastAsia" w:ascii="宋体" w:hAnsi="宋体" w:cs="宋体"/>
          <w:color w:val="auto"/>
          <w:szCs w:val="21"/>
          <w:highlight w:val="none"/>
          <w:lang w:val="zh-CN"/>
        </w:rPr>
        <w:br w:type="page" w:clear="all"/>
      </w:r>
      <w:r>
        <w:rPr>
          <w:rFonts w:hint="eastAsia"/>
          <w:color w:val="auto"/>
          <w:highlight w:val="none"/>
          <w:lang w:val="zh-CN"/>
        </w:rPr>
        <w:t xml:space="preserve">附件三、开标一览表</w:t>
      </w:r>
      <w:r>
        <w:rPr>
          <w:rFonts w:hint="eastAsia"/>
          <w:color w:val="auto"/>
          <w:highlight w:val="none"/>
        </w:rPr>
        <w:t xml:space="preserve">及分项报价表</w:t>
      </w:r>
      <w:r>
        <w:rPr>
          <w:rFonts w:hint="eastAsia"/>
          <w:color w:val="auto"/>
          <w:highlight w:val="none"/>
          <w:lang w:val="zh-CN"/>
        </w:rPr>
        <w:t xml:space="preserve">格式</w:t>
      </w:r>
      <w:r/>
    </w:p>
    <w:p>
      <w:pPr>
        <w:jc w:val="center"/>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p>
    <w:p>
      <w:pPr>
        <w:rPr>
          <w:color w:val="auto"/>
          <w:highlight w:val="none"/>
          <w:lang w:val="zh-CN"/>
        </w:rPr>
      </w:pPr>
      <w:r>
        <w:rPr>
          <w:color w:val="auto"/>
          <w:highlight w:val="none"/>
          <w:lang w:val="zh-CN"/>
        </w:rPr>
      </w:r>
      <w:r/>
    </w:p>
    <w:tbl>
      <w:tblPr>
        <w:tblStyle w:val="685"/>
        <w:tblpPr w:horzAnchor="page" w:tblpX="1262" w:vertAnchor="text" w:tblpY="700"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W w:w="352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元</w:t>
            </w:r>
            <w:r>
              <w:rPr>
                <w:rFonts w:hint="eastAsia" w:ascii="宋体" w:hAnsi="宋体" w:cs="宋体"/>
                <w:color w:val="auto"/>
                <w:szCs w:val="21"/>
                <w:highlight w:val="none"/>
                <w:lang w:val="zh-CN"/>
              </w:rPr>
              <w:t xml:space="preserve">）</w:t>
            </w:r>
            <w:r/>
          </w:p>
        </w:tc>
        <w:tc>
          <w:tcPr>
            <w:tcW w:w="283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b/>
                <w:color w:val="auto"/>
                <w:szCs w:val="21"/>
                <w:highlight w:val="none"/>
                <w:lang w:val="zh-CN"/>
              </w:rPr>
            </w:pPr>
            <w:r>
              <w:rPr>
                <w:rFonts w:ascii="宋体" w:hAnsi="宋体" w:cs="宋体"/>
                <w:b/>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10：X</w:t>
            </w:r>
            <w:r/>
          </w:p>
        </w:tc>
      </w:tr>
      <w:tr>
        <w:trPr>
          <w:trHeight w:val="284"/>
        </w:trPr>
        <w:tc>
          <w:tcPr>
            <w:gridSpan w:val="2"/>
            <w:shd w:val="clear" w:color="auto" w:fill="auto"/>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核心</w:t>
            </w:r>
            <w:r>
              <w:rPr>
                <w:rFonts w:hint="eastAsia" w:ascii="宋体" w:hAnsi="宋体" w:cs="宋体"/>
                <w:color w:val="auto"/>
                <w:szCs w:val="21"/>
                <w:highlight w:val="none"/>
                <w:lang w:val="zh-CN"/>
              </w:rPr>
              <w:t xml:space="preserve">产品品牌</w:t>
            </w:r>
            <w:r/>
          </w:p>
        </w:tc>
        <w:tc>
          <w:tcPr>
            <w:gridSpan w:val="5"/>
            <w:shd w:val="clear" w:color="auto" w:fill="auto"/>
            <w:tcW w:w="61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1、在“投标货物中有无进口产品”栏后“有”或“无”上打“√”。</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、在“供应商是否属于小和微型企业”栏后“是”或“否”上打“√”。</w:t>
      </w:r>
      <w:r/>
    </w:p>
    <w:p>
      <w:pPr>
        <w:ind w:firstLine="420"/>
        <w:jc w:val="left"/>
        <w:spacing w:line="360" w:lineRule="auto"/>
        <w:widowControl/>
        <w:rPr>
          <w:color w:val="auto"/>
          <w:highlight w:val="none"/>
          <w:lang w:val="zh-CN"/>
        </w:rPr>
        <w:sectPr>
          <w:footnotePr/>
          <w:endnotePr/>
          <w:type w:val="nextPage"/>
          <w:pgSz w:w="11906" w:h="16838" w:orient="portrait"/>
          <w:pgMar w:top="1304" w:right="1134" w:bottom="1247" w:left="1304" w:header="851" w:footer="992" w:gutter="0"/>
          <w:cols w:num="1" w:sep="0" w:space="720" w:equalWidth="1"/>
          <w:docGrid w:linePitch="360"/>
        </w:sectPr>
      </w:pPr>
      <w:r>
        <w:rPr>
          <w:rFonts w:hint="eastAsia" w:ascii="宋体" w:hAnsi="宋体" w:cs="宋体"/>
          <w:color w:val="auto"/>
          <w:szCs w:val="21"/>
          <w:highlight w:val="none"/>
          <w:lang w:val="zh-CN"/>
        </w:rPr>
        <w:t xml:space="preserve">3、供应商须按照表格要求明确填写所投</w:t>
      </w:r>
      <w:r>
        <w:rPr>
          <w:rFonts w:hint="eastAsia" w:ascii="宋体" w:hAnsi="宋体" w:cs="宋体"/>
          <w:color w:val="auto"/>
          <w:szCs w:val="21"/>
          <w:highlight w:val="none"/>
        </w:rPr>
        <w:t xml:space="preserve">核心</w:t>
      </w:r>
      <w:r>
        <w:rPr>
          <w:rFonts w:hint="eastAsia" w:ascii="宋体" w:hAnsi="宋体" w:cs="宋体"/>
          <w:color w:val="auto"/>
          <w:szCs w:val="21"/>
          <w:highlight w:val="none"/>
          <w:lang w:val="zh-CN"/>
        </w:rPr>
        <w:t xml:space="preserve">产品的品牌，不得填报“/”“无”等内容，否则视为无效投标。</w:t>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分项报价表格式</w:t>
      </w:r>
      <w:r/>
    </w:p>
    <w:p>
      <w:pPr>
        <w:ind w:firstLine="3600"/>
        <w:jc w:val="left"/>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分项报价表</w:t>
      </w:r>
      <w:r/>
    </w:p>
    <w:tbl>
      <w:tblPr>
        <w:tblStyle w:val="685"/>
        <w:tblW w:w="10110" w:type="dxa"/>
        <w:tblInd w:w="-147" w:type="dxa"/>
        <w:tblLayout w:type="autofit"/>
        <w:tblCellMar>
          <w:left w:w="108" w:type="dxa"/>
          <w:top w:w="0" w:type="dxa"/>
          <w:right w:w="108" w:type="dxa"/>
          <w:bottom w:w="0" w:type="dxa"/>
        </w:tblCellMar>
        <w:tblLook w:val="04A0" w:firstRow="1" w:lastRow="0" w:firstColumn="1" w:lastColumn="0" w:noHBand="0" w:noVBand="1"/>
      </w:tblPr>
      <w:tblGrid>
        <w:gridCol w:w="585"/>
        <w:gridCol w:w="2670"/>
        <w:gridCol w:w="866"/>
        <w:gridCol w:w="733"/>
        <w:gridCol w:w="1551"/>
        <w:gridCol w:w="1137"/>
        <w:gridCol w:w="1188"/>
        <w:gridCol w:w="690"/>
        <w:gridCol w:w="690"/>
      </w:tblGrid>
      <w:tr>
        <w:trPr>
          <w:trHeight w:val="589"/>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67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86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3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5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单价限价</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（万元）</w:t>
            </w:r>
            <w:r/>
          </w:p>
        </w:tc>
        <w:tc>
          <w:tcPr>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投标单价（万元）</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合计</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（万元）</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54"/>
        </w:trPr>
        <w:tc>
          <w:tcPr>
            <w:tcBorders>
              <w:top w:val="none" w:color="000000" w:sz="4" w:space="0"/>
              <w:left w:val="single" w:color="auto" w:sz="4" w:space="0"/>
              <w:bottom w:val="single" w:color="auto" w:sz="4" w:space="0"/>
              <w:right w:val="single" w:color="auto" w:sz="4" w:space="0"/>
            </w:tcBorders>
            <w:tcW w:w="585"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670" w:type="dxa"/>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数字化X光机检查仪</w:t>
            </w:r>
            <w:r/>
          </w:p>
          <w:p>
            <w:pPr>
              <w:widowControl/>
              <w:rPr>
                <w:rFonts w:ascii="宋体" w:hAnsi="宋体" w:cs="宋体"/>
                <w:color w:val="auto"/>
                <w:szCs w:val="21"/>
                <w:highlight w:val="none"/>
              </w:rPr>
            </w:pPr>
            <w:r>
              <w:rPr>
                <w:rFonts w:hint="eastAsia" w:ascii="宋体" w:hAnsi="宋体" w:cs="宋体"/>
                <w:b/>
                <w:bCs/>
                <w:color w:val="auto"/>
                <w:sz w:val="24"/>
                <w:szCs w:val="24"/>
                <w:highlight w:val="none"/>
              </w:rPr>
              <w:t xml:space="preserve">（核心产品）</w:t>
            </w:r>
            <w:r/>
          </w:p>
        </w:tc>
        <w:tc>
          <w:tcPr>
            <w:tcBorders>
              <w:top w:val="none" w:color="000000" w:sz="4" w:space="0"/>
              <w:left w:val="none" w:color="000000" w:sz="4" w:space="0"/>
              <w:bottom w:val="single" w:color="auto" w:sz="4" w:space="0"/>
              <w:right w:val="single" w:color="auto" w:sz="4" w:space="0"/>
            </w:tcBorders>
            <w:tcW w:w="866"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733"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1551"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133.5</w:t>
            </w:r>
            <w:r/>
          </w:p>
        </w:tc>
        <w:tc>
          <w:tcPr>
            <w:shd w:val="clear" w:color="auto" w:fill="auto"/>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1"/>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670" w:type="dxa"/>
            <w:textDirection w:val="lrTb"/>
            <w:noWrap w:val="false"/>
          </w:tcPr>
          <w:p>
            <w:pPr>
              <w:widowControl/>
              <w:rPr>
                <w:rFonts w:ascii="宋体" w:hAnsi="宋体" w:cs="宋体"/>
                <w:color w:val="auto"/>
                <w:szCs w:val="21"/>
                <w:highlight w:val="none"/>
              </w:rPr>
            </w:pPr>
            <w:r>
              <w:rPr>
                <w:rFonts w:hint="eastAsia" w:ascii="宋体" w:hAnsi="宋体" w:cs="宋体"/>
                <w:color w:val="auto"/>
                <w:sz w:val="24"/>
                <w:szCs w:val="24"/>
                <w:highlight w:val="none"/>
              </w:rPr>
              <w:t xml:space="preserve">车底检查机器人</w:t>
            </w:r>
            <w:r/>
          </w:p>
        </w:tc>
        <w:tc>
          <w:tcPr>
            <w:tcBorders>
              <w:top w:val="none" w:color="000000" w:sz="4" w:space="0"/>
              <w:left w:val="none" w:color="000000" w:sz="4" w:space="0"/>
              <w:bottom w:val="single" w:color="auto" w:sz="4" w:space="0"/>
              <w:right w:val="single" w:color="auto" w:sz="4" w:space="0"/>
            </w:tcBorders>
            <w:tcW w:w="866"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733"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1551"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53"/>
        </w:trPr>
        <w:tc>
          <w:tcPr>
            <w:tcBorders>
              <w:top w:val="none" w:color="000000" w:sz="4" w:space="0"/>
              <w:left w:val="single" w:color="auto" w:sz="4" w:space="0"/>
              <w:bottom w:val="single" w:color="auto" w:sz="4" w:space="0"/>
              <w:right w:val="single" w:color="auto" w:sz="4" w:space="0"/>
            </w:tcBorders>
            <w:tcW w:w="585"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670" w:type="dxa"/>
            <w:textDirection w:val="lrTb"/>
            <w:noWrap w:val="false"/>
          </w:tcPr>
          <w:p>
            <w:pPr>
              <w:widowControl/>
              <w:rPr>
                <w:rFonts w:ascii="宋体" w:hAnsi="宋体" w:cs="宋体"/>
                <w:color w:val="auto"/>
                <w:szCs w:val="21"/>
                <w:highlight w:val="none"/>
              </w:rPr>
            </w:pPr>
            <w:r>
              <w:rPr>
                <w:rFonts w:hint="eastAsia" w:ascii="宋体" w:hAnsi="宋体" w:cs="宋体"/>
                <w:color w:val="auto"/>
                <w:sz w:val="24"/>
                <w:szCs w:val="24"/>
                <w:highlight w:val="none"/>
              </w:rPr>
              <w:t xml:space="preserve">排爆四足机器人升级</w:t>
            </w:r>
            <w:r/>
          </w:p>
        </w:tc>
        <w:tc>
          <w:tcPr>
            <w:tcBorders>
              <w:top w:val="none" w:color="000000" w:sz="4" w:space="0"/>
              <w:left w:val="none" w:color="000000" w:sz="4" w:space="0"/>
              <w:bottom w:val="single" w:color="auto" w:sz="4" w:space="0"/>
              <w:right w:val="single" w:color="auto" w:sz="4" w:space="0"/>
            </w:tcBorders>
            <w:tcW w:w="866"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733"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套</w:t>
            </w:r>
            <w:r/>
          </w:p>
        </w:tc>
        <w:tc>
          <w:tcPr>
            <w:tcBorders>
              <w:top w:val="none" w:color="000000" w:sz="4" w:space="0"/>
              <w:left w:val="none" w:color="000000" w:sz="4" w:space="0"/>
              <w:bottom w:val="single" w:color="auto" w:sz="4" w:space="0"/>
              <w:right w:val="single" w:color="auto" w:sz="4" w:space="0"/>
            </w:tcBorders>
            <w:tcW w:w="1551" w:type="dxa"/>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szCs w:val="24"/>
                <w:highlight w:val="none"/>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4"/>
        </w:trPr>
        <w:tc>
          <w:tcPr>
            <w:gridSpan w:val="5"/>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合计（含税）</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万元</w:t>
            </w:r>
            <w:r/>
          </w:p>
        </w:tc>
        <w:tc>
          <w:tcPr>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564"/>
        </w:trPr>
        <w:tc>
          <w:tcPr>
            <w:gridSpan w:val="8"/>
            <w:tcBorders>
              <w:top w:val="single" w:color="auto" w:sz="4" w:space="0"/>
              <w:left w:val="single" w:color="auto" w:sz="4" w:space="0"/>
              <w:bottom w:val="single" w:color="auto" w:sz="4" w:space="0"/>
              <w:right w:val="single" w:color="auto" w:sz="4" w:space="0"/>
            </w:tcBorders>
            <w:tcW w:w="9420" w:type="dxa"/>
            <w:vAlign w:val="center"/>
            <w:textDirection w:val="lrTb"/>
            <w:noWrap w:val="false"/>
          </w:tcPr>
          <w:p>
            <w:pPr>
              <w:jc w:val="center"/>
              <w:widowControl/>
              <w:rPr>
                <w:rFonts w:ascii="宋体" w:hAnsi="宋体" w:cs="宋体"/>
                <w:color w:val="auto"/>
                <w:szCs w:val="21"/>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lang w:val="en-US" w:eastAsia="zh-CN"/>
              </w:rPr>
              <w:t xml:space="preserve">   </w:t>
            </w:r>
            <w:r>
              <w:rPr>
                <w:rFonts w:hint="eastAsia" w:ascii="方正魏碑_GBK" w:hAnsi="方正魏碑_GBK" w:eastAsia="方正魏碑_GBK" w:cs="方正魏碑_GBK"/>
                <w:color w:val="auto"/>
                <w:sz w:val="28"/>
                <w:szCs w:val="28"/>
                <w:highlight w:val="none"/>
                <w:u w:val="single"/>
              </w:rPr>
              <w:t xml:space="preserve">%</w:t>
            </w:r>
            <w:r>
              <w:rPr>
                <w:rFonts w:hint="eastAsia" w:ascii="方正魏碑_GBK" w:hAnsi="方正魏碑_GBK" w:eastAsia="方正魏碑_GBK" w:cs="方正魏碑_GBK"/>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widowControl/>
              <w:rPr>
                <w:rFonts w:ascii="方正魏碑_GBK" w:hAnsi="方正魏碑_GBK" w:eastAsia="方正魏碑_GBK" w:cs="方正魏碑_GBK"/>
                <w:color w:val="auto"/>
                <w:sz w:val="28"/>
                <w:szCs w:val="28"/>
                <w:highlight w:val="none"/>
              </w:rPr>
            </w:pPr>
            <w:r>
              <w:rPr>
                <w:rFonts w:ascii="方正魏碑_GBK" w:hAnsi="方正魏碑_GBK" w:eastAsia="方正魏碑_GBK" w:cs="方正魏碑_GBK"/>
                <w:color w:val="auto"/>
                <w:sz w:val="28"/>
                <w:szCs w:val="28"/>
                <w:highlight w:val="none"/>
              </w:rPr>
            </w:r>
            <w:r/>
          </w:p>
        </w:tc>
      </w:tr>
    </w:tbl>
    <w:p>
      <w:pPr>
        <w:jc w:val="left"/>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注：投标单价</w:t>
      </w:r>
      <w:r>
        <w:rPr>
          <w:rFonts w:hint="eastAsia" w:ascii="宋体" w:hAnsi="宋体" w:cs="宋体"/>
          <w:b/>
          <w:bCs/>
          <w:color w:val="auto"/>
          <w:sz w:val="28"/>
          <w:szCs w:val="28"/>
          <w:highlight w:val="none"/>
        </w:rPr>
        <w:t xml:space="preserve">超过最高投标单价限价的将被作为无效标处理。</w:t>
      </w:r>
      <w:r/>
    </w:p>
    <w:p>
      <w:pPr>
        <w:jc w:val="center"/>
        <w:spacing w:line="360" w:lineRule="auto"/>
        <w:widowControl/>
        <w:rPr>
          <w:rFonts w:ascii="宋体" w:hAnsi="宋体" w:cs="宋体"/>
          <w:color w:val="auto"/>
          <w:sz w:val="22"/>
          <w:highlight w:val="none"/>
          <w:lang w:val="zh-CN"/>
        </w:rPr>
      </w:pPr>
      <w:r>
        <w:rPr>
          <w:rFonts w:ascii="宋体" w:hAnsi="宋体" w:cs="宋体"/>
          <w:color w:val="auto"/>
          <w:sz w:val="22"/>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pStyle w:val="676"/>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宋体" w:hAnsi="宋体" w:cs="宋体"/>
          <w:color w:val="auto"/>
          <w:szCs w:val="21"/>
          <w:highlight w:val="none"/>
          <w:lang w:val="zh-CN"/>
        </w:rPr>
        <w:t xml:space="preserve">附件四、投标项目</w:t>
      </w:r>
      <w:r>
        <w:rPr>
          <w:rFonts w:hint="eastAsia" w:ascii="宋体" w:hAnsi="宋体" w:cs="宋体"/>
          <w:color w:val="auto"/>
          <w:szCs w:val="21"/>
          <w:highlight w:val="none"/>
        </w:rPr>
        <w:t xml:space="preserve">拟</w:t>
      </w:r>
      <w:r>
        <w:rPr>
          <w:rFonts w:hint="eastAsia" w:ascii="宋体" w:hAnsi="宋体" w:cs="宋体"/>
          <w:color w:val="auto"/>
          <w:szCs w:val="21"/>
          <w:highlight w:val="none"/>
          <w:lang w:val="zh-CN"/>
        </w:rPr>
        <w:t xml:space="preserve">供货一览表格式</w:t>
      </w:r>
      <w:r/>
    </w:p>
    <w:tbl>
      <w:tblPr>
        <w:tblStyle w:val="68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69"/>
        <w:gridCol w:w="1269"/>
        <w:gridCol w:w="1525"/>
        <w:gridCol w:w="1013"/>
        <w:gridCol w:w="1269"/>
        <w:gridCol w:w="1269"/>
        <w:gridCol w:w="1269"/>
      </w:tblGrid>
      <w:tr>
        <w:trPr>
          <w:cantSplit/>
          <w:trHeight w:val="603"/>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52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01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2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1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2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1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2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1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2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1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52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013"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6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bl>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1、如果行数不够，请自行增加。</w:t>
      </w:r>
      <w:r/>
    </w:p>
    <w:p>
      <w:pPr>
        <w:jc w:val="left"/>
        <w:spacing w:line="360" w:lineRule="auto"/>
        <w:widowControl/>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2、供应商应根据上表要求逐一说明投标货物名称、品牌、规格型号、</w:t>
      </w:r>
      <w:r>
        <w:rPr>
          <w:rFonts w:hint="eastAsia" w:ascii="宋体" w:hAnsi="宋体" w:cs="宋体"/>
          <w:b/>
          <w:color w:val="auto"/>
          <w:szCs w:val="21"/>
          <w:highlight w:val="none"/>
        </w:rPr>
        <w:t xml:space="preserve">单价</w:t>
      </w:r>
      <w:r>
        <w:rPr>
          <w:rFonts w:hint="eastAsia" w:ascii="宋体" w:hAnsi="宋体" w:cs="宋体"/>
          <w:b/>
          <w:color w:val="auto"/>
          <w:szCs w:val="21"/>
          <w:highlight w:val="none"/>
          <w:lang w:val="zh-CN"/>
        </w:rPr>
        <w:t xml:space="preserve">等；</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676"/>
        <w:rPr>
          <w:rFonts w:ascii="宋体" w:hAnsi="宋体" w:cs="宋体"/>
          <w:color w:val="auto"/>
          <w:szCs w:val="21"/>
          <w:highlight w:val="none"/>
          <w:lang w:val="zh-CN"/>
        </w:rPr>
      </w:pPr>
      <w:r>
        <w:rPr>
          <w:rFonts w:ascii="宋体" w:hAnsi="宋体" w:cs="宋体"/>
          <w:color w:val="auto"/>
          <w:szCs w:val="21"/>
          <w:highlight w:val="none"/>
          <w:lang w:val="zh-CN"/>
        </w:rPr>
        <w:br w:type="page" w:clear="all"/>
      </w:r>
      <w:r>
        <w:rPr>
          <w:rFonts w:hint="eastAsia" w:ascii="宋体" w:hAnsi="宋体" w:cs="宋体"/>
          <w:color w:val="auto"/>
          <w:szCs w:val="21"/>
          <w:highlight w:val="none"/>
          <w:lang w:val="zh-CN"/>
        </w:rPr>
        <w:t xml:space="preserve">附件五、技术条款偏离表格式</w:t>
      </w:r>
      <w:r/>
    </w:p>
    <w:p>
      <w:pPr>
        <w:jc w:val="center"/>
        <w:rPr>
          <w:color w:val="auto"/>
          <w:sz w:val="32"/>
          <w:szCs w:val="32"/>
          <w:highlight w:val="none"/>
          <w:lang w:val="zh-CN"/>
        </w:rPr>
      </w:pPr>
      <w:r/>
      <w:bookmarkStart w:id="63" w:name="_Toc14329"/>
      <w:r/>
      <w:bookmarkStart w:id="64" w:name="_Toc32603"/>
      <w:r>
        <w:rPr>
          <w:rFonts w:hint="eastAsia"/>
          <w:color w:val="auto"/>
          <w:sz w:val="32"/>
          <w:szCs w:val="32"/>
          <w:highlight w:val="none"/>
          <w:lang w:val="zh-CN"/>
        </w:rPr>
        <w:t xml:space="preserve">技术条款偏离表</w:t>
      </w:r>
      <w:bookmarkEnd w:id="63"/>
      <w:r/>
      <w:bookmarkEnd w:id="64"/>
      <w:r/>
      <w:r/>
    </w:p>
    <w:tbl>
      <w:tblPr>
        <w:tblStyle w:val="685"/>
        <w:tblW w:w="10688" w:type="dxa"/>
        <w:jc w:val="center"/>
        <w:tblLayout w:type="fixed"/>
        <w:tblCellMar>
          <w:left w:w="0" w:type="dxa"/>
          <w:top w:w="0" w:type="dxa"/>
          <w:right w:w="0" w:type="dxa"/>
          <w:bottom w:w="0" w:type="dxa"/>
        </w:tblCellMar>
        <w:tblLook w:val="04A0" w:firstRow="1" w:lastRow="0" w:firstColumn="1" w:lastColumn="0" w:noHBand="0" w:noVBand="1"/>
      </w:tblPr>
      <w:tblGrid>
        <w:gridCol w:w="707"/>
        <w:gridCol w:w="1141"/>
        <w:gridCol w:w="3950"/>
        <w:gridCol w:w="203"/>
        <w:gridCol w:w="987"/>
        <w:gridCol w:w="640"/>
        <w:gridCol w:w="1530"/>
        <w:gridCol w:w="1530"/>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1627"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530"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none" w:color="000000" w:sz="4" w:space="0"/>
              <w:left w:val="none" w:color="000000" w:sz="4" w:space="0"/>
              <w:bottom w:val="single" w:color="000000" w:sz="6" w:space="0"/>
              <w:right w:val="none" w:color="000000" w:sz="4" w:space="0"/>
            </w:tcBorders>
            <w:tcW w:w="1530"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公开招标文件要求的</w:t>
            </w:r>
            <w:r>
              <w:rPr>
                <w:rFonts w:hint="eastAsia" w:ascii="宋体" w:hAnsi="宋体" w:cs="宋体"/>
                <w:color w:val="auto"/>
                <w:szCs w:val="21"/>
                <w:highlight w:val="none"/>
              </w:rPr>
              <w:t xml:space="preserve">技术条款</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53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c>
          <w:tcPr>
            <w:tcBorders>
              <w:top w:val="single" w:color="000000" w:sz="6" w:space="0"/>
              <w:left w:val="single" w:color="000000" w:sz="6" w:space="0"/>
              <w:bottom w:val="single" w:color="000000" w:sz="6" w:space="0"/>
              <w:right w:val="single" w:color="000000" w:sz="6" w:space="0"/>
            </w:tcBorders>
            <w:tcW w:w="153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02"/>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 </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676"/>
              <w:rPr>
                <w:rFonts w:ascii="宋体" w:hAnsi="宋体" w:cs="宋体"/>
                <w:b w:val="0"/>
                <w:bCs/>
                <w:color w:val="auto"/>
                <w:sz w:val="18"/>
                <w:szCs w:val="18"/>
                <w:highlight w:val="none"/>
              </w:rPr>
            </w:pPr>
            <w:r>
              <w:rPr>
                <w:rFonts w:ascii="宋体" w:hAnsi="宋体" w:cs="宋体"/>
                <w:b w:val="0"/>
                <w:bCs/>
                <w:color w:val="auto"/>
                <w:sz w:val="18"/>
                <w:szCs w:val="18"/>
                <w:highlight w:val="none"/>
              </w:rPr>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ascii="宋体" w:hAnsi="宋体" w:cs="宋体"/>
                <w:bCs/>
                <w:color w:val="auto"/>
                <w:sz w:val="18"/>
                <w:szCs w:val="18"/>
                <w:highlight w:val="none"/>
              </w:rPr>
            </w:pPr>
            <w:r>
              <w:rPr>
                <w:rFonts w:ascii="宋体" w:hAnsi="宋体" w:cs="宋体"/>
                <w:bCs/>
                <w:color w:val="auto"/>
                <w:sz w:val="18"/>
                <w:szCs w:val="18"/>
                <w:highlight w:val="none"/>
              </w:rPr>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 w:val="18"/>
                <w:szCs w:val="18"/>
                <w:highlight w:val="none"/>
              </w:rPr>
            </w:pPr>
            <w:r>
              <w:rPr>
                <w:rFonts w:ascii="宋体" w:hAnsi="宋体" w:cs="宋体"/>
                <w:color w:val="auto"/>
                <w:sz w:val="18"/>
                <w:szCs w:val="18"/>
                <w:highlight w:val="none"/>
              </w:rPr>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790"/>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pStyle w:val="676"/>
              <w:rPr>
                <w:rFonts w:ascii="宋体" w:hAnsi="宋体" w:cs="宋体"/>
                <w:b w:val="0"/>
                <w:color w:val="auto"/>
                <w:sz w:val="21"/>
                <w:szCs w:val="21"/>
                <w:highlight w:val="none"/>
              </w:rPr>
            </w:pPr>
            <w:r>
              <w:rPr>
                <w:rFonts w:ascii="宋体" w:hAnsi="宋体" w:cs="宋体"/>
                <w:b w:val="0"/>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14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gridSpan w:val="2"/>
            <w:tcBorders>
              <w:top w:val="single" w:color="000000" w:sz="6" w:space="0"/>
              <w:left w:val="single" w:color="000000" w:sz="6" w:space="0"/>
              <w:bottom w:val="single" w:color="000000" w:sz="6" w:space="0"/>
              <w:right w:val="single" w:color="000000" w:sz="6" w:space="0"/>
            </w:tcBorders>
            <w:tcW w:w="119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64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530"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、如果行数不够，请自行增加。</w:t>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722"/>
        <w:ind w:firstLine="420"/>
        <w:rPr>
          <w:rFonts w:ascii="宋体" w:hAnsi="宋体" w:cs="宋体"/>
          <w:color w:val="auto"/>
          <w:szCs w:val="21"/>
          <w:highlight w:val="none"/>
        </w:rPr>
      </w:pPr>
      <w:r>
        <w:rPr>
          <w:rFonts w:ascii="宋体" w:hAnsi="宋体" w:cs="宋体"/>
          <w:color w:val="auto"/>
          <w:szCs w:val="21"/>
          <w:highlight w:val="none"/>
        </w:rPr>
      </w:r>
      <w:r/>
    </w:p>
    <w:p>
      <w:pPr>
        <w:pStyle w:val="676"/>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附件六、商务条款偏离表格式</w:t>
      </w:r>
      <w:r/>
    </w:p>
    <w:p>
      <w:pPr>
        <w:jc w:val="center"/>
        <w:rPr>
          <w:color w:val="auto"/>
          <w:sz w:val="36"/>
          <w:szCs w:val="36"/>
          <w:highlight w:val="none"/>
          <w:lang w:val="zh-CN"/>
        </w:rPr>
      </w:pPr>
      <w:r/>
      <w:bookmarkStart w:id="65" w:name="_Toc2600"/>
      <w:r/>
      <w:bookmarkStart w:id="66" w:name="_Toc8421"/>
      <w:r>
        <w:rPr>
          <w:rFonts w:hint="eastAsia"/>
          <w:color w:val="auto"/>
          <w:sz w:val="36"/>
          <w:szCs w:val="36"/>
          <w:highlight w:val="none"/>
          <w:lang w:val="zh-CN"/>
        </w:rPr>
        <w:t xml:space="preserve">商务条款偏离表</w:t>
      </w:r>
      <w:bookmarkEnd w:id="65"/>
      <w:r/>
      <w:bookmarkEnd w:id="66"/>
      <w:r/>
      <w:r/>
    </w:p>
    <w:tbl>
      <w:tblPr>
        <w:tblStyle w:val="68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pStyle w:val="676"/>
        <w:rPr>
          <w:color w:val="auto"/>
          <w:highlight w:val="none"/>
        </w:rPr>
      </w:pPr>
      <w:r>
        <w:rPr>
          <w:rFonts w:hint="eastAsia"/>
          <w:color w:val="auto"/>
          <w:highlight w:val="none"/>
        </w:rPr>
        <w:t xml:space="preserve">附件七、实施方案（格式自拟）</w:t>
      </w:r>
      <w:r/>
    </w:p>
    <w:p>
      <w:pPr>
        <w:spacing w:line="360" w:lineRule="auto"/>
        <w:rPr>
          <w:rFonts w:ascii="宋体" w:hAnsi="宋体" w:cs="宋体"/>
          <w:b/>
          <w:color w:val="auto"/>
          <w:highlight w:val="none"/>
        </w:rPr>
      </w:pPr>
      <w:r>
        <w:rPr>
          <w:rFonts w:ascii="宋体" w:hAnsi="宋体" w:cs="宋体"/>
          <w:b/>
          <w:color w:val="auto"/>
          <w:highlight w:val="none"/>
        </w:rPr>
      </w:r>
      <w:r/>
    </w:p>
    <w:p>
      <w:pPr>
        <w:pStyle w:val="676"/>
        <w:rPr>
          <w:rFonts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附件八、中小企业声明函格式</w:t>
      </w:r>
      <w:r/>
    </w:p>
    <w:p>
      <w:pPr>
        <w:jc w:val="center"/>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中小企业声明函</w:t>
      </w:r>
      <w:r/>
    </w:p>
    <w:p>
      <w:pPr>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pacing w:val="15"/>
          <w:szCs w:val="21"/>
          <w:highlight w:val="none"/>
          <w:u w:val="single"/>
          <w:lang w:val="en-US" w:eastAsia="zh-CN"/>
        </w:rPr>
        <w:t xml:space="preserve">     </w:t>
      </w:r>
      <w:r>
        <w:rPr>
          <w:rFonts w:ascii="宋体" w:hAnsi="宋体" w:cs="宋体"/>
          <w:color w:val="auto"/>
          <w:spacing w:val="15"/>
          <w:szCs w:val="21"/>
          <w:highlight w:val="none"/>
          <w:u w:val="single"/>
        </w:rPr>
        <w:t xml:space="preserve">（单位名称）</w:t>
      </w:r>
      <w:r>
        <w:rPr>
          <w:rFonts w:ascii="宋体" w:hAnsi="宋体" w:cs="宋体"/>
          <w:color w:val="auto"/>
          <w:spacing w:val="15"/>
          <w:szCs w:val="21"/>
          <w:highlight w:val="none"/>
        </w:rPr>
        <w:t xml:space="preserve">的</w:t>
      </w:r>
      <w:r>
        <w:rPr>
          <w:rFonts w:hint="eastAsia" w:ascii="宋体" w:hAnsi="宋体" w:cs="宋体"/>
          <w:color w:val="auto"/>
          <w:spacing w:val="15"/>
          <w:szCs w:val="21"/>
          <w:highlight w:val="none"/>
          <w:u w:val="single"/>
          <w:lang w:val="en-US" w:eastAsia="zh-CN"/>
        </w:rPr>
        <w:t xml:space="preserve">         </w:t>
      </w:r>
      <w:r>
        <w:rPr>
          <w:rFonts w:ascii="宋体" w:hAnsi="宋体" w:cs="宋体"/>
          <w:color w:val="auto"/>
          <w:spacing w:val="15"/>
          <w:szCs w:val="21"/>
          <w:highlight w:val="none"/>
          <w:u w:val="single"/>
        </w:rPr>
        <w:t xml:space="preserve">（项目名称）</w:t>
      </w:r>
      <w:r>
        <w:rPr>
          <w:rFonts w:ascii="宋体" w:hAnsi="宋体" w:cs="宋体"/>
          <w:color w:val="auto"/>
          <w:spacing w:val="15"/>
          <w:szCs w:val="21"/>
          <w:highlight w:val="none"/>
        </w:rPr>
        <w:t xml:space="preserve">采购活动，</w:t>
      </w:r>
      <w:r>
        <w:rPr>
          <w:rFonts w:hint="eastAsia" w:ascii="宋体" w:hAnsi="宋体" w:cs="宋体"/>
          <w:color w:val="auto"/>
          <w:spacing w:val="15"/>
          <w:szCs w:val="21"/>
          <w:highlight w:val="none"/>
        </w:rPr>
        <w:t xml:space="preserve">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 xml:space="preserve">，属于</w:t>
      </w:r>
      <w:r>
        <w:rPr>
          <w:rFonts w:ascii="宋体" w:hAnsi="宋体" w:cs="宋体"/>
          <w:color w:val="auto"/>
          <w:spacing w:val="15"/>
          <w:szCs w:val="21"/>
          <w:highlight w:val="none"/>
          <w:u w:val="single"/>
        </w:rPr>
        <w:t xml:space="preserve">（采购文件中明确的所属行业）</w:t>
      </w:r>
      <w:r>
        <w:rPr>
          <w:rFonts w:ascii="宋体" w:hAnsi="宋体" w:cs="宋体"/>
          <w:color w:val="auto"/>
          <w:spacing w:val="15"/>
          <w:szCs w:val="21"/>
          <w:highlight w:val="none"/>
        </w:rPr>
        <w:t xml:space="preserve">；</w:t>
      </w:r>
      <w:r>
        <w:rPr>
          <w:rFonts w:hint="eastAsia" w:ascii="宋体" w:hAnsi="宋体" w:cs="宋体"/>
          <w:color w:val="auto"/>
          <w:spacing w:val="15"/>
          <w:szCs w:val="21"/>
          <w:highlight w:val="none"/>
        </w:rPr>
        <w:t xml:space="preserve">制造商为</w:t>
      </w:r>
      <w:r>
        <w:rPr>
          <w:rFonts w:ascii="宋体" w:hAnsi="宋体" w:cs="宋体"/>
          <w:color w:val="auto"/>
          <w:spacing w:val="15"/>
          <w:szCs w:val="21"/>
          <w:highlight w:val="none"/>
          <w:u w:val="single"/>
        </w:rPr>
        <w:t xml:space="preserve">（企业名称）</w:t>
      </w:r>
      <w:r>
        <w:rPr>
          <w:rFonts w:ascii="宋体" w:hAnsi="宋体" w:cs="宋体"/>
          <w:color w:val="auto"/>
          <w:spacing w:val="15"/>
          <w:szCs w:val="21"/>
          <w:highlight w:val="none"/>
        </w:rPr>
        <w:t xml:space="preserve">，从业人员人，营业收入为万元，资产总额为万元，属于</w:t>
      </w:r>
      <w:r>
        <w:rPr>
          <w:rFonts w:ascii="宋体" w:hAnsi="宋体" w:cs="宋体"/>
          <w:color w:val="auto"/>
          <w:spacing w:val="15"/>
          <w:szCs w:val="21"/>
          <w:highlight w:val="none"/>
          <w:u w:val="single"/>
        </w:rPr>
        <w:t xml:space="preserve">（中型企业、小型企业、微型企业）</w:t>
      </w:r>
      <w:r>
        <w:rPr>
          <w:rFonts w:ascii="宋体" w:hAnsi="宋体" w:cs="宋体"/>
          <w:color w:val="auto"/>
          <w:spacing w:val="15"/>
          <w:szCs w:val="21"/>
          <w:highlight w:val="none"/>
        </w:rPr>
        <w:t xml:space="preserve">；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 xml:space="preserve">，属于</w:t>
      </w:r>
      <w:r>
        <w:rPr>
          <w:rFonts w:ascii="宋体" w:hAnsi="宋体" w:cs="宋体"/>
          <w:color w:val="auto"/>
          <w:spacing w:val="15"/>
          <w:szCs w:val="21"/>
          <w:highlight w:val="none"/>
          <w:u w:val="single"/>
        </w:rPr>
        <w:t xml:space="preserve">（采购文件中明确的所属行业）</w:t>
      </w:r>
      <w:r>
        <w:rPr>
          <w:rFonts w:ascii="宋体" w:hAnsi="宋体" w:cs="宋体"/>
          <w:color w:val="auto"/>
          <w:spacing w:val="15"/>
          <w:szCs w:val="21"/>
          <w:highlight w:val="none"/>
        </w:rPr>
        <w:t xml:space="preserve">；</w:t>
      </w:r>
      <w:r>
        <w:rPr>
          <w:rFonts w:hint="eastAsia" w:ascii="宋体" w:hAnsi="宋体" w:cs="宋体"/>
          <w:color w:val="auto"/>
          <w:spacing w:val="15"/>
          <w:szCs w:val="21"/>
          <w:highlight w:val="none"/>
        </w:rPr>
        <w:t xml:space="preserve">制造商为</w:t>
      </w:r>
      <w:r>
        <w:rPr>
          <w:rFonts w:ascii="宋体" w:hAnsi="宋体" w:cs="宋体"/>
          <w:color w:val="auto"/>
          <w:spacing w:val="15"/>
          <w:szCs w:val="21"/>
          <w:highlight w:val="none"/>
          <w:u w:val="single"/>
        </w:rPr>
        <w:t xml:space="preserve">（企业名称）</w:t>
      </w:r>
      <w:r>
        <w:rPr>
          <w:rFonts w:ascii="宋体" w:hAnsi="宋体" w:cs="宋体"/>
          <w:color w:val="auto"/>
          <w:spacing w:val="15"/>
          <w:szCs w:val="21"/>
          <w:highlight w:val="none"/>
        </w:rPr>
        <w:t xml:space="preserve">，从业人员人，营业收入为万元，资产总额为万元，属于</w:t>
      </w:r>
      <w:r>
        <w:rPr>
          <w:rFonts w:ascii="宋体" w:hAnsi="宋体" w:cs="宋体"/>
          <w:color w:val="auto"/>
          <w:spacing w:val="15"/>
          <w:szCs w:val="21"/>
          <w:highlight w:val="none"/>
          <w:u w:val="single"/>
        </w:rPr>
        <w:t xml:space="preserve">（中型企业、小型企业、微型企业）</w:t>
      </w:r>
      <w:r>
        <w:rPr>
          <w:rFonts w:ascii="宋体" w:hAnsi="宋体" w:cs="宋体"/>
          <w:color w:val="auto"/>
          <w:spacing w:val="15"/>
          <w:szCs w:val="21"/>
          <w:highlight w:val="none"/>
        </w:rPr>
        <w:t xml:space="preserve">；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本企业对上述声明内容的真实性负责。如有虚假，将依 法承担相应责任。</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ind w:firstLine="456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企业名称（加盖电子公章）：</w:t>
      </w:r>
      <w:r/>
    </w:p>
    <w:p>
      <w:pPr>
        <w:ind w:firstLine="456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日 期：</w:t>
      </w:r>
      <w:r/>
    </w:p>
    <w:p>
      <w:pPr>
        <w:ind w:firstLine="420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200"/>
        <w:spacing w:line="360" w:lineRule="auto"/>
        <w:rPr>
          <w:rFonts w:ascii="宋体" w:hAnsi="宋体" w:cs="宋体"/>
          <w:color w:val="auto"/>
          <w:highlight w:val="none"/>
        </w:rPr>
      </w:pPr>
      <w:r>
        <w:rPr>
          <w:rFonts w:ascii="宋体" w:hAnsi="宋体" w:cs="宋体"/>
          <w:color w:val="auto"/>
          <w:highlight w:val="none"/>
        </w:rPr>
      </w:r>
      <w:r/>
    </w:p>
    <w:p>
      <w:pPr>
        <w:pStyle w:val="676"/>
        <w:rPr>
          <w:rFonts w:ascii="宋体" w:hAnsi="宋体" w:cs="宋体"/>
          <w:color w:val="auto"/>
          <w:highlight w:val="none"/>
        </w:rPr>
      </w:pPr>
      <w:r>
        <w:rPr>
          <w:rFonts w:ascii="宋体" w:hAnsi="宋体" w:cs="宋体"/>
          <w:color w:val="auto"/>
          <w:highlight w:val="none"/>
        </w:rPr>
        <w:br w:type="page" w:clear="all"/>
      </w:r>
      <w:r>
        <w:rPr>
          <w:rFonts w:hint="eastAsia" w:ascii="宋体" w:hAnsi="宋体" w:cs="宋体"/>
          <w:color w:val="auto"/>
          <w:highlight w:val="none"/>
        </w:rPr>
        <w:t xml:space="preserve">附件九、无重大违法记录声明格式</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南京市公安局巡特警支队（南京市公安局留置看护支队）</w:t>
      </w:r>
      <w:r>
        <w:rPr>
          <w:rFonts w:hint="eastAsia" w:ascii="宋体" w:hAnsi="宋体" w:cs="宋体"/>
          <w:color w:val="auto"/>
          <w:highlight w:val="none"/>
        </w:rPr>
        <w:t xml:space="preserve">：</w:t>
      </w:r>
      <w:r/>
    </w:p>
    <w:p>
      <w:pPr>
        <w:spacing w:line="360" w:lineRule="auto"/>
        <w:rPr>
          <w:rFonts w:ascii="宋体" w:hAnsi="宋体" w:cs="宋体"/>
          <w:color w:val="auto"/>
          <w:highlight w:val="none"/>
        </w:rPr>
      </w:pPr>
      <w:r>
        <w:rPr>
          <w:rFonts w:hint="eastAsia" w:ascii="宋体" w:hAnsi="宋体" w:cs="宋体"/>
          <w:color w:val="auto"/>
          <w:highlight w:val="none"/>
        </w:rPr>
        <w:t xml:space="preserve">    我单位 （供应商名称）郑重声明：</w:t>
      </w:r>
      <w:r/>
    </w:p>
    <w:p>
      <w:pPr>
        <w:spacing w:line="360" w:lineRule="auto"/>
        <w:rPr>
          <w:rFonts w:ascii="宋体" w:hAnsi="宋体" w:cs="宋体"/>
          <w:color w:val="auto"/>
          <w:highlight w:val="none"/>
        </w:rPr>
      </w:pPr>
      <w:r>
        <w:rPr>
          <w:rFonts w:hint="eastAsia" w:ascii="宋体" w:hAnsi="宋体" w:cs="宋体"/>
          <w:color w:val="auto"/>
          <w:highlight w:val="none"/>
        </w:rPr>
        <w:t xml:space="preserve">    参加政府采购活动前3年内在经营活动中（在下划线上如实填写：有或没有）重大违法记录。</w:t>
      </w:r>
      <w:r/>
    </w:p>
    <w:p>
      <w:pPr>
        <w:spacing w:line="360" w:lineRule="auto"/>
        <w:rPr>
          <w:rFonts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jc w:val="righ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ascii="宋体" w:hAnsi="宋体" w:cs="宋体"/>
          <w:b/>
          <w:color w:val="auto"/>
          <w:highlight w:val="none"/>
        </w:rPr>
      </w:pPr>
      <w:r>
        <w:rPr>
          <w:rFonts w:ascii="宋体" w:hAnsi="宋体" w:cs="宋体"/>
          <w:b/>
          <w:color w:val="auto"/>
          <w:highlight w:val="none"/>
        </w:rPr>
      </w:r>
      <w:r/>
    </w:p>
    <w:p>
      <w:pPr>
        <w:pStyle w:val="676"/>
        <w:rPr>
          <w:color w:val="auto"/>
          <w:highlight w:val="none"/>
        </w:rPr>
      </w:pPr>
      <w:r>
        <w:rPr>
          <w:rFonts w:hint="eastAsia"/>
          <w:color w:val="auto"/>
          <w:highlight w:val="none"/>
        </w:rPr>
        <w:t xml:space="preserve">附件十、具备履行合同所必需的设备和专业技术能力的声明格式及证明材料</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r/>
    </w:p>
    <w:p>
      <w:pP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南京市公安局巡特警支队（南京市公安局留置看护支队）</w:t>
      </w:r>
      <w:r>
        <w:rPr>
          <w:rFonts w:hint="eastAsia" w:ascii="宋体" w:hAnsi="宋体" w:cs="宋体"/>
          <w:color w:val="auto"/>
          <w:highlight w:val="none"/>
        </w:rPr>
        <w:t xml:space="preserve">：</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主要设备有：。( 若有 )</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主要专业技术能力有： 。( 若有 )</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righ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pStyle w:val="676"/>
        <w:rPr>
          <w:rFonts w:ascii="宋体" w:hAnsi="宋体" w:cs="宋体"/>
          <w:color w:val="auto"/>
          <w:szCs w:val="21"/>
          <w:highlight w:val="none"/>
        </w:rPr>
      </w:pPr>
      <w:r/>
      <w:bookmarkStart w:id="67" w:name="_Hlk40203486"/>
      <w:r>
        <w:rPr>
          <w:rFonts w:ascii="宋体" w:hAnsi="宋体" w:cs="宋体"/>
          <w:color w:val="auto"/>
          <w:highlight w:val="none"/>
        </w:rPr>
        <w:br w:type="page" w:clear="all"/>
      </w:r>
      <w:r>
        <w:rPr>
          <w:rFonts w:hint="eastAsia" w:ascii="宋体" w:hAnsi="宋体" w:cs="宋体"/>
          <w:color w:val="auto"/>
          <w:highlight w:val="none"/>
        </w:rPr>
        <w:t xml:space="preserve">附件十一、</w:t>
      </w:r>
      <w:r>
        <w:rPr>
          <w:rFonts w:hint="eastAsia" w:ascii="宋体" w:hAnsi="宋体" w:cs="宋体"/>
          <w:color w:val="auto"/>
          <w:szCs w:val="21"/>
          <w:highlight w:val="none"/>
        </w:rPr>
        <w:t xml:space="preserve">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2"/>
      </w:pPr>
      <w:r>
        <w:rPr>
          <w:rFonts w:hint="eastAsia" w:ascii="方正小标宋简体" w:hAnsi="方正小标宋简体" w:eastAsia="方正小标宋简体" w:cs="方正小标宋简体"/>
          <w:color w:val="auto"/>
          <w:sz w:val="32"/>
          <w:szCs w:val="32"/>
          <w:highlight w:val="none"/>
        </w:rPr>
        <w:t xml:space="preserve">信用承诺函</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我公司（单位）（投标人名称）郑重承诺，我公司（单位）符合下列要求：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4.参加本次政府采购活动前半年内至少一个月缴纳增值税，或营业税，或企业所得税的凭据；并提供缴纳社会保险的凭据（专用收据或社会保险缴纳清单）。</w:t>
      </w:r>
      <w:r/>
    </w:p>
    <w:p>
      <w:pPr>
        <w:ind w:firstLine="492"/>
        <w:spacing w:line="460" w:lineRule="exact"/>
        <w:rPr>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78"/>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rFonts w:ascii="宋体" w:hAnsi="宋体" w:cs="宋体"/>
          <w:b/>
          <w:color w:val="auto"/>
          <w:szCs w:val="21"/>
          <w:highlight w:val="none"/>
        </w:rPr>
      </w:pPr>
      <w:r>
        <w:rPr>
          <w:rFonts w:ascii="宋体" w:hAnsi="宋体" w:cs="宋体"/>
          <w:b/>
          <w:color w:val="auto"/>
          <w:szCs w:val="21"/>
          <w:highlight w:val="none"/>
        </w:rPr>
      </w:r>
      <w:r/>
    </w:p>
    <w:p>
      <w:pPr>
        <w:ind w:right="480" w:firstLine="4457"/>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676"/>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附件十二、</w:t>
      </w:r>
      <w:r>
        <w:rPr>
          <w:rFonts w:hint="eastAsia" w:ascii="宋体" w:hAnsi="宋体" w:cs="宋体"/>
          <w:bCs/>
          <w:color w:val="auto"/>
          <w:spacing w:val="15"/>
          <w:szCs w:val="21"/>
          <w:highlight w:val="none"/>
        </w:rPr>
        <w:t xml:space="preserve">安全生产责任承诺书</w:t>
      </w:r>
      <w:r/>
    </w:p>
    <w:p>
      <w:pPr>
        <w:jc w:val="center"/>
        <w:spacing w:line="360" w:lineRule="auto"/>
        <w:rPr>
          <w:rFonts w:ascii="宋体" w:hAnsi="宋体" w:cs="宋体"/>
          <w:b/>
          <w:bCs/>
          <w:color w:val="auto"/>
          <w:spacing w:val="15"/>
          <w:szCs w:val="21"/>
          <w:highlight w:val="none"/>
        </w:rPr>
      </w:pPr>
      <w:r>
        <w:rPr>
          <w:rFonts w:hint="eastAsia" w:ascii="宋体" w:hAnsi="宋体" w:cs="宋体"/>
          <w:b/>
          <w:bCs/>
          <w:color w:val="auto"/>
          <w:spacing w:val="15"/>
          <w:szCs w:val="21"/>
          <w:highlight w:val="none"/>
        </w:rPr>
        <w:t xml:space="preserve">安全生产责任承诺书</w:t>
      </w:r>
      <w:r/>
    </w:p>
    <w:p>
      <w:pPr>
        <w:jc w:val="center"/>
        <w:spacing w:line="360" w:lineRule="auto"/>
        <w:rPr>
          <w:rFonts w:ascii="宋体" w:hAnsi="宋体" w:cs="宋体"/>
          <w:b/>
          <w:bCs/>
          <w:color w:val="auto"/>
          <w:spacing w:val="15"/>
          <w:szCs w:val="21"/>
          <w:highlight w:val="none"/>
        </w:rPr>
      </w:pPr>
      <w:r>
        <w:rPr>
          <w:rFonts w:ascii="宋体" w:hAnsi="宋体" w:cs="宋体"/>
          <w:b/>
          <w:bCs/>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ascii="宋体" w:hAnsi="宋体" w:cs="宋体"/>
          <w:color w:val="auto"/>
          <w:spacing w:val="15"/>
          <w:szCs w:val="21"/>
          <w:highlight w:val="none"/>
          <w:u w:val="single"/>
        </w:rPr>
      </w:r>
      <w:r/>
    </w:p>
    <w:p>
      <w:pPr>
        <w:ind w:firstLine="480"/>
        <w:jc w:val="left"/>
        <w:spacing w:line="360" w:lineRule="auto"/>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我公司现向贵单位承诺，我公司在</w:t>
      </w:r>
      <w:r>
        <w:rPr>
          <w:rFonts w:hint="eastAsia" w:ascii="宋体" w:hAnsi="宋体" w:cs="宋体"/>
          <w:b/>
          <w:color w:val="auto"/>
          <w:szCs w:val="21"/>
          <w:highlight w:val="none"/>
        </w:rPr>
        <w:t xml:space="preserve">项目名称：</w:t>
      </w:r>
      <w:r>
        <w:rPr>
          <w:rFonts w:hint="eastAsia" w:ascii="宋体" w:hAnsi="宋体" w:cs="宋体"/>
          <w:color w:val="auto"/>
          <w:szCs w:val="21"/>
          <w:highlight w:val="none"/>
        </w:rPr>
        <w:t xml:space="preserve">实施</w:t>
      </w:r>
      <w:r>
        <w:rPr>
          <w:rFonts w:hint="eastAsia" w:ascii="宋体" w:hAnsi="宋体" w:cs="宋体"/>
          <w:color w:val="auto"/>
          <w:spacing w:val="15"/>
          <w:szCs w:val="21"/>
          <w:highlight w:val="none"/>
        </w:rPr>
        <w:t xml:space="preserve">过程中，保证不发生重大人员伤亡事故，在此服务过程中所发生的一切工伤事故，或安全事故，均由我公司承担一切责任。</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法定代表人（签字或盖章）：</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日期：</w:t>
      </w:r>
      <w:bookmarkEnd w:id="67"/>
      <w:r/>
    </w:p>
    <w:p>
      <w:pPr>
        <w:spacing w:line="360" w:lineRule="auto"/>
        <w:rPr>
          <w:rFonts w:ascii="宋体" w:hAnsi="宋体" w:cs="宋体"/>
          <w:b/>
          <w:color w:val="auto"/>
          <w:spacing w:val="15"/>
          <w:szCs w:val="21"/>
          <w:highlight w:val="none"/>
        </w:rPr>
      </w:pPr>
      <w:r>
        <w:rPr>
          <w:rFonts w:ascii="宋体" w:hAnsi="宋体" w:cs="宋体"/>
          <w:b/>
          <w:color w:val="auto"/>
          <w:spacing w:val="15"/>
          <w:szCs w:val="21"/>
          <w:highlight w:val="none"/>
        </w:rPr>
      </w:r>
      <w:r/>
    </w:p>
    <w:p>
      <w:pPr>
        <w:pStyle w:val="676"/>
        <w:rPr>
          <w:rFonts w:ascii="宋体" w:hAnsi="宋体" w:cs="Trebuchet MS"/>
          <w:color w:val="auto"/>
          <w:szCs w:val="21"/>
          <w:highlight w:val="none"/>
          <w:lang w:val="zh-CN"/>
        </w:rPr>
      </w:pPr>
      <w:r/>
      <w:bookmarkStart w:id="68" w:name="_Toc190329549"/>
      <w:r>
        <w:rPr>
          <w:rFonts w:hint="eastAsia" w:ascii="宋体" w:hAnsi="宋体"/>
          <w:bCs/>
          <w:color w:val="auto"/>
          <w:szCs w:val="21"/>
          <w:highlight w:val="none"/>
        </w:rPr>
        <w:t xml:space="preserve">附件十三、供应商项目业绩及人员情况</w:t>
      </w:r>
      <w:r>
        <w:rPr>
          <w:rFonts w:hint="eastAsia" w:ascii="宋体" w:hAnsi="宋体" w:cs="ˎ̥"/>
          <w:bCs/>
          <w:color w:val="auto"/>
          <w:szCs w:val="21"/>
          <w:highlight w:val="none"/>
          <w:lang w:val="zh-CN"/>
        </w:rPr>
        <w:t xml:space="preserve">表</w:t>
      </w:r>
      <w:bookmarkEnd w:id="68"/>
      <w:r/>
      <w:r/>
    </w:p>
    <w:p>
      <w:pPr>
        <w:jc w:val="center"/>
        <w:spacing w:line="360" w:lineRule="auto"/>
        <w:rPr>
          <w:rFonts w:ascii="宋体" w:hAnsi="宋体" w:cs="ˎ̥"/>
          <w:b/>
          <w:bCs/>
          <w:color w:val="auto"/>
          <w:szCs w:val="21"/>
          <w:highlight w:val="none"/>
          <w:lang w:val="zh-CN"/>
        </w:rPr>
      </w:pPr>
      <w:r>
        <w:rPr>
          <w:rFonts w:hint="eastAsia" w:ascii="宋体" w:hAnsi="宋体"/>
          <w:b/>
          <w:bCs/>
          <w:color w:val="auto"/>
          <w:szCs w:val="21"/>
          <w:highlight w:val="none"/>
        </w:rPr>
        <w:t xml:space="preserve">供应商项目业绩情况</w:t>
      </w:r>
      <w:r>
        <w:rPr>
          <w:rFonts w:hint="eastAsia" w:ascii="宋体" w:hAnsi="宋体" w:cs="ˎ̥"/>
          <w:b/>
          <w:bCs/>
          <w:color w:val="auto"/>
          <w:szCs w:val="21"/>
          <w:highlight w:val="none"/>
          <w:lang w:val="zh-CN"/>
        </w:rPr>
        <w:t xml:space="preserve">表（合同）</w:t>
      </w:r>
      <w:r/>
    </w:p>
    <w:tbl>
      <w:tblPr>
        <w:tblStyle w:val="68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序号</w:t>
            </w:r>
            <w:r/>
          </w:p>
        </w:tc>
        <w:tc>
          <w:tcPr>
            <w:tcW w:w="1677"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项目名称</w:t>
            </w:r>
            <w:r/>
          </w:p>
        </w:tc>
        <w:tc>
          <w:tcPr>
            <w:tcW w:w="1985"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委托人</w:t>
            </w:r>
            <w:r/>
          </w:p>
        </w:tc>
        <w:tc>
          <w:tcPr>
            <w:tcW w:w="1984"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合同约定主要工作内容</w:t>
            </w:r>
            <w:r/>
          </w:p>
        </w:tc>
        <w:tc>
          <w:tcPr>
            <w:tcW w:w="1276"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备注</w:t>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bl>
    <w:p>
      <w:pPr>
        <w:ind w:firstLine="105"/>
        <w:jc w:val="left"/>
        <w:spacing w:line="360" w:lineRule="auto"/>
        <w:widowControl/>
        <w:rPr>
          <w:rFonts w:ascii="宋体" w:hAnsi="宋体" w:cs="Trebuchet MS"/>
          <w:color w:val="auto"/>
          <w:szCs w:val="21"/>
          <w:highlight w:val="none"/>
          <w:lang w:val="zh-CN"/>
        </w:rPr>
      </w:pPr>
      <w:r>
        <w:rPr>
          <w:rFonts w:ascii="宋体" w:hAnsi="宋体" w:cs="Trebuchet MS"/>
          <w:color w:val="auto"/>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105"/>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说明：</w:t>
      </w:r>
      <w:r/>
    </w:p>
    <w:p>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 xml:space="preserve">1、如果行、列数不够，请自行增加。</w:t>
      </w:r>
      <w:r/>
    </w:p>
    <w:p>
      <w:pPr>
        <w:jc w:val="left"/>
        <w:spacing w:line="360" w:lineRule="auto"/>
        <w:rPr>
          <w:rFonts w:ascii="宋体" w:hAnsi="宋体" w:cs="Trebuchet MS"/>
          <w:b/>
          <w:bCs/>
          <w:color w:val="auto"/>
          <w:spacing w:val="15"/>
          <w:szCs w:val="21"/>
          <w:highlight w:val="none"/>
        </w:rPr>
      </w:pPr>
      <w:r>
        <w:rPr>
          <w:rFonts w:hint="eastAsia" w:ascii="宋体" w:hAnsi="宋体" w:cs="Trebuchet MS"/>
          <w:b/>
          <w:bCs/>
          <w:color w:val="auto"/>
          <w:szCs w:val="21"/>
          <w:highlight w:val="none"/>
          <w:lang w:val="zh-CN"/>
        </w:rPr>
        <w:t xml:space="preserve">2、请同时提供以上业绩的合同等文件证明材料复印件并加盖公章扫描上传。</w:t>
      </w:r>
      <w:r/>
    </w:p>
    <w:p>
      <w:pPr>
        <w:jc w:val="center"/>
        <w:spacing w:line="360" w:lineRule="auto"/>
        <w:rPr>
          <w:rFonts w:ascii="宋体" w:hAnsi="宋体"/>
          <w:b/>
          <w:bCs/>
          <w:color w:val="auto"/>
          <w:szCs w:val="21"/>
          <w:highlight w:val="none"/>
        </w:rPr>
      </w:pPr>
      <w:r/>
      <w:bookmarkStart w:id="69" w:name="_Toc341184788"/>
      <w:r>
        <w:rPr>
          <w:rFonts w:ascii="宋体" w:hAnsi="宋体"/>
          <w:b/>
          <w:bCs/>
          <w:color w:val="auto"/>
          <w:szCs w:val="21"/>
          <w:highlight w:val="none"/>
        </w:rPr>
        <w:br w:type="page" w:clear="all"/>
      </w:r>
      <w:r>
        <w:rPr>
          <w:rFonts w:hint="eastAsia" w:ascii="宋体" w:hAnsi="宋体"/>
          <w:b/>
          <w:bCs/>
          <w:color w:val="auto"/>
          <w:szCs w:val="21"/>
          <w:highlight w:val="none"/>
        </w:rPr>
        <w:t xml:space="preserve">拟投入项目的人员汇总表</w:t>
      </w:r>
      <w:r/>
    </w:p>
    <w:tbl>
      <w:tblPr>
        <w:tblStyle w:val="685"/>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姓 名</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年 龄</w:t>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证书名称及证书号</w:t>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在本项目拟任职务</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bl>
    <w:p>
      <w:pPr>
        <w:rPr>
          <w:rFonts w:ascii="宋体" w:hAnsi="宋体" w:cs="Trebuchet MS"/>
          <w:b/>
          <w:bCs/>
          <w:color w:val="auto"/>
          <w:szCs w:val="21"/>
          <w:highlight w:val="none"/>
        </w:rPr>
      </w:pPr>
      <w:r>
        <w:rPr>
          <w:rFonts w:hint="eastAsia" w:ascii="宋体" w:hAnsi="宋体" w:cs="Trebuchet MS"/>
          <w:b/>
          <w:bCs/>
          <w:color w:val="auto"/>
          <w:szCs w:val="21"/>
          <w:highlight w:val="none"/>
        </w:rPr>
        <w:t xml:space="preserve">注：本表后附相关证明材料复印件扫描上传，按表中人员顺序进行排列。</w:t>
      </w:r>
      <w:bookmarkEnd w:id="69"/>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105"/>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说明：</w:t>
      </w:r>
      <w:r/>
    </w:p>
    <w:p>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 xml:space="preserve">1、如果行、列数不够，请自行增加。</w:t>
      </w:r>
      <w:r/>
    </w:p>
    <w:p>
      <w:pPr>
        <w:pStyle w:val="676"/>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附件十四、供应商认为需提供的其他资料</w:t>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pStyle w:val="676"/>
        <w:rPr>
          <w:color w:val="auto"/>
          <w:highlight w:val="none"/>
        </w:rPr>
      </w:pPr>
      <w:r>
        <w:rPr>
          <w:rFonts w:hint="eastAsia"/>
          <w:color w:val="auto"/>
          <w:highlight w:val="none"/>
        </w:rPr>
        <w:t xml:space="preserve">附件十五：《关于符合本国产品标准的声明函》</w:t>
      </w:r>
      <w:r/>
    </w:p>
    <w:p>
      <w:pPr>
        <w:jc w:val="left"/>
        <w:rPr>
          <w:rFonts w:ascii="宋体" w:hAnsi="宋体" w:cs="宋体"/>
          <w:b/>
          <w:color w:val="auto"/>
          <w:spacing w:val="15"/>
          <w:szCs w:val="21"/>
          <w:highlight w:val="none"/>
        </w:rPr>
      </w:pPr>
      <w:r>
        <w:rPr>
          <w:rFonts w:ascii="宋体" w:hAnsi="宋体" w:cs="宋体"/>
          <w:b/>
          <w:color w:val="auto"/>
          <w:spacing w:val="15"/>
          <w:szCs w:val="21"/>
          <w:highlight w:val="none"/>
        </w:rPr>
      </w:r>
      <w:r/>
    </w:p>
    <w:p>
      <w:pPr>
        <w:rPr>
          <w:color w:val="auto"/>
          <w:highlight w:val="none"/>
        </w:rPr>
      </w:pPr>
      <w:r>
        <w:rPr>
          <w:color w:val="auto"/>
          <w:highlight w:val="none"/>
        </w:rPr>
      </w:r>
      <w:r/>
    </w:p>
    <w:p>
      <w:pPr>
        <w:jc w:val="center"/>
        <w:spacing w:line="360" w:lineRule="auto"/>
        <w:rPr>
          <w:rFonts w:ascii="宋体" w:hAnsi="宋体" w:cs="方正魏碑_GBK"/>
          <w:color w:val="auto"/>
          <w:sz w:val="24"/>
          <w:szCs w:val="24"/>
          <w:highlight w:val="none"/>
        </w:rPr>
      </w:pPr>
      <w:r>
        <w:rPr>
          <w:rFonts w:hint="eastAsia" w:ascii="宋体" w:hAnsi="宋体"/>
          <w:color w:val="auto"/>
          <w:sz w:val="24"/>
          <w:szCs w:val="24"/>
          <w:highlight w:val="none"/>
        </w:rPr>
        <w:tab/>
      </w:r>
      <w:r>
        <w:rPr>
          <w:rFonts w:hint="eastAsia" w:ascii="宋体" w:hAnsi="宋体" w:cs="方正魏碑_GBK"/>
          <w:b/>
          <w:color w:val="auto"/>
          <w:sz w:val="24"/>
          <w:szCs w:val="24"/>
          <w:highlight w:val="none"/>
        </w:rPr>
        <w:t xml:space="preserve">关于符合本国产品标准的声明函 </w:t>
      </w:r>
      <w:r/>
    </w:p>
    <w:p>
      <w:pPr>
        <w:pStyle w:val="709"/>
        <w:ind w:firstLine="420"/>
        <w:spacing w:line="360" w:lineRule="auto"/>
        <w:rPr>
          <w:rFonts w:ascii="宋体" w:hAnsi="宋体" w:eastAsia="宋体" w:cs="方正魏碑_GBK"/>
          <w:color w:val="auto"/>
          <w:szCs w:val="24"/>
          <w:highlight w:val="none"/>
        </w:rPr>
      </w:pPr>
      <w:r>
        <w:rPr>
          <w:rFonts w:ascii="宋体" w:hAnsi="宋体" w:eastAsia="宋体" w:cs="方正魏碑_GBK"/>
          <w:color w:val="auto"/>
          <w:szCs w:val="24"/>
          <w:highlight w:val="none"/>
        </w:rPr>
      </w:r>
      <w:r/>
    </w:p>
    <w:p>
      <w:pPr>
        <w:pStyle w:val="709"/>
        <w:ind w:firstLine="420"/>
        <w:spacing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9"/>
        <w:ind w:firstLine="420"/>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1.</w:t>
      </w:r>
      <w:r>
        <w:rPr>
          <w:rStyle w:val="715"/>
          <w:rFonts w:hint="eastAsia" w:ascii="宋体" w:hAnsi="宋体" w:eastAsia="宋体" w:cs="方正魏碑_GBK"/>
          <w:i w:val="0"/>
          <w:color w:val="auto"/>
          <w:szCs w:val="24"/>
          <w:highlight w:val="none"/>
          <w:u w:val="single"/>
          <w:shd w:val="clear" w:color="auto" w:fill="ffffff"/>
        </w:rPr>
        <w:t xml:space="preserve">（产品名称1）</w:t>
      </w:r>
      <w:r>
        <w:rPr>
          <w:rStyle w:val="715"/>
          <w:rFonts w:hint="eastAsia" w:ascii="宋体" w:hAnsi="宋体" w:eastAsia="宋体" w:cs="方正魏碑_GBK"/>
          <w:i w:val="0"/>
          <w:color w:val="auto"/>
          <w:szCs w:val="24"/>
          <w:highlight w:val="none"/>
          <w:shd w:val="clear" w:color="auto" w:fill="ffffff"/>
          <w:vertAlign w:val="superscript"/>
        </w:rPr>
        <w:t xml:space="preserve">1</w:t>
      </w:r>
      <w:r>
        <w:rPr>
          <w:rFonts w:hint="eastAsia" w:ascii="宋体" w:hAnsi="宋体" w:eastAsia="宋体" w:cs="方正魏碑_GBK"/>
          <w:color w:val="auto"/>
          <w:szCs w:val="24"/>
          <w:highlight w:val="none"/>
          <w:shd w:val="clear" w:color="auto" w:fill="ffffff"/>
        </w:rPr>
        <w:t xml:space="preserve">，生产厂为</w:t>
      </w:r>
      <w:r>
        <w:rPr>
          <w:rStyle w:val="715"/>
          <w:rFonts w:hint="eastAsia" w:ascii="宋体" w:hAnsi="宋体" w:eastAsia="宋体" w:cs="方正魏碑_GBK"/>
          <w:i w:val="0"/>
          <w:color w:val="auto"/>
          <w:szCs w:val="24"/>
          <w:highlight w:val="none"/>
          <w:u w:val="single"/>
          <w:shd w:val="clear" w:color="auto" w:fill="ffffff"/>
        </w:rPr>
        <w:t xml:space="preserve">（厂名）</w:t>
      </w:r>
      <w:r>
        <w:rPr>
          <w:rStyle w:val="715"/>
          <w:rFonts w:hint="eastAsia" w:ascii="宋体" w:hAnsi="宋体" w:eastAsia="宋体" w:cs="方正魏碑_GBK"/>
          <w:i w:val="0"/>
          <w:color w:val="auto"/>
          <w:szCs w:val="24"/>
          <w:highlight w:val="none"/>
          <w:shd w:val="clear" w:color="auto" w:fill="ffffff"/>
          <w:vertAlign w:val="superscript"/>
        </w:rPr>
        <w:t xml:space="preserve">2</w:t>
      </w:r>
      <w:r>
        <w:rPr>
          <w:rFonts w:hint="eastAsia" w:ascii="宋体" w:hAnsi="宋体" w:eastAsia="宋体" w:cs="方正魏碑_GBK"/>
          <w:color w:val="auto"/>
          <w:szCs w:val="24"/>
          <w:highlight w:val="none"/>
          <w:shd w:val="clear" w:color="auto" w:fill="ffffff"/>
        </w:rPr>
        <w:t xml:space="preserve">，厂址为</w:t>
      </w:r>
      <w:r>
        <w:rPr>
          <w:rStyle w:val="715"/>
          <w:rFonts w:hint="eastAsia" w:ascii="宋体" w:hAnsi="宋体" w:eastAsia="宋体" w:cs="方正魏碑_GBK"/>
          <w:i w:val="0"/>
          <w:color w:val="auto"/>
          <w:szCs w:val="24"/>
          <w:highlight w:val="none"/>
          <w:u w:val="single"/>
          <w:shd w:val="clear" w:color="auto" w:fill="ffffff"/>
        </w:rPr>
        <w:t xml:space="preserve">（生产厂址）</w:t>
      </w:r>
      <w:r>
        <w:rPr>
          <w:rFonts w:hint="eastAsia" w:ascii="宋体" w:hAnsi="宋体" w:eastAsia="宋体" w:cs="方正魏碑_GBK"/>
          <w:color w:val="auto"/>
          <w:szCs w:val="24"/>
          <w:highlight w:val="none"/>
          <w:shd w:val="clear" w:color="auto" w:fill="ffffff"/>
        </w:rPr>
        <w:t xml:space="preserve">。</w:t>
      </w:r>
      <w:r>
        <w:rPr>
          <w:rStyle w:val="715"/>
          <w:rFonts w:hint="eastAsia" w:ascii="宋体" w:hAnsi="宋体" w:eastAsia="宋体" w:cs="方正魏碑_GBK"/>
          <w:i w:val="0"/>
          <w:color w:val="auto"/>
          <w:szCs w:val="24"/>
          <w:highlight w:val="none"/>
          <w:u w:val="single"/>
          <w:shd w:val="clear" w:color="auto" w:fill="ffffff"/>
        </w:rPr>
        <w:t xml:space="preserve">（产品名称1） </w:t>
      </w:r>
      <w:r>
        <w:rPr>
          <w:rFonts w:hint="eastAsia" w:ascii="宋体" w:hAnsi="宋体" w:eastAsia="宋体" w:cs="方正魏碑_GBK"/>
          <w:color w:val="auto"/>
          <w:szCs w:val="24"/>
          <w:highlight w:val="none"/>
          <w:shd w:val="clear" w:color="auto" w:fill="ffffff"/>
        </w:rPr>
        <w:t xml:space="preserve">的中国境内生产的组件成本占比≥</w:t>
      </w:r>
      <w:r>
        <w:rPr>
          <w:rStyle w:val="715"/>
          <w:rFonts w:hint="eastAsia" w:ascii="宋体" w:hAnsi="宋体" w:eastAsia="宋体" w:cs="方正魏碑_GBK"/>
          <w:i w:val="0"/>
          <w:color w:val="auto"/>
          <w:szCs w:val="24"/>
          <w:highlight w:val="none"/>
          <w:u w:val="single"/>
          <w:shd w:val="clear" w:color="auto" w:fill="ffffff"/>
        </w:rPr>
        <w:t xml:space="preserve">（规定</w:t>
      </w:r>
      <w:r>
        <w:rPr>
          <w:rStyle w:val="715"/>
          <w:rFonts w:ascii="宋体" w:hAnsi="宋体" w:eastAsia="宋体" w:cs="方正魏碑_GBK"/>
          <w:i w:val="0"/>
          <w:color w:val="auto"/>
          <w:szCs w:val="24"/>
          <w:highlight w:val="none"/>
          <w:u w:val="single"/>
          <w:shd w:val="clear" w:color="auto" w:fill="ffffff"/>
        </w:rPr>
        <w:t xml:space="preserve">比例</w:t>
      </w:r>
      <w:r>
        <w:rPr>
          <w:rStyle w:val="715"/>
          <w:rFonts w:hint="eastAsia" w:ascii="宋体" w:hAnsi="宋体" w:eastAsia="宋体" w:cs="方正魏碑_GBK"/>
          <w:i w:val="0"/>
          <w:color w:val="auto"/>
          <w:szCs w:val="24"/>
          <w:highlight w:val="none"/>
          <w:u w:val="single"/>
          <w:shd w:val="clear" w:color="auto" w:fill="ffffff"/>
        </w:rPr>
        <w:t xml:space="preserve">）</w:t>
      </w:r>
      <w:r>
        <w:rPr>
          <w:rStyle w:val="715"/>
          <w:rFonts w:hint="eastAsia" w:ascii="宋体" w:hAnsi="宋体" w:eastAsia="宋体" w:cs="方正魏碑_GBK"/>
          <w:i w:val="0"/>
          <w:color w:val="auto"/>
          <w:szCs w:val="24"/>
          <w:highlight w:val="none"/>
          <w:shd w:val="clear" w:color="auto" w:fill="ffffff"/>
          <w:vertAlign w:val="superscript"/>
        </w:rPr>
        <w:t xml:space="preserve">3</w:t>
      </w:r>
      <w:r>
        <w:rPr>
          <w:rFonts w:hint="eastAsia" w:ascii="宋体" w:hAnsi="宋体" w:eastAsia="宋体" w:cs="方正魏碑_GBK"/>
          <w:color w:val="auto"/>
          <w:szCs w:val="24"/>
          <w:highlight w:val="none"/>
          <w:shd w:val="clear" w:color="auto" w:fill="ffffff"/>
        </w:rPr>
        <w:t xml:space="preserve">。</w:t>
      </w:r>
      <w:r>
        <w:rPr>
          <w:rStyle w:val="715"/>
          <w:rFonts w:hint="eastAsia" w:ascii="宋体" w:hAnsi="宋体" w:eastAsia="宋体" w:cs="方正魏碑_GBK"/>
          <w:i w:val="0"/>
          <w:color w:val="auto"/>
          <w:szCs w:val="24"/>
          <w:highlight w:val="none"/>
          <w:u w:val="single"/>
          <w:shd w:val="clear" w:color="auto" w:fill="ffffff"/>
        </w:rPr>
        <w:t xml:space="preserve">（产品名称1）</w:t>
      </w:r>
      <w:r>
        <w:rPr>
          <w:rFonts w:hint="eastAsia" w:ascii="宋体" w:hAnsi="宋体" w:eastAsia="宋体" w:cs="方正魏碑_GBK"/>
          <w:color w:val="auto"/>
          <w:szCs w:val="24"/>
          <w:highlight w:val="none"/>
          <w:shd w:val="clear" w:color="auto" w:fill="ffffff"/>
        </w:rPr>
        <w:t xml:space="preserve">的</w:t>
      </w:r>
      <w:r>
        <w:rPr>
          <w:rStyle w:val="715"/>
          <w:rFonts w:hint="eastAsia" w:ascii="宋体" w:hAnsi="宋体" w:eastAsia="宋体" w:cs="方正魏碑_GBK"/>
          <w:i w:val="0"/>
          <w:color w:val="auto"/>
          <w:szCs w:val="24"/>
          <w:highlight w:val="none"/>
          <w:u w:val="single"/>
          <w:shd w:val="clear" w:color="auto" w:fill="ffffff"/>
        </w:rPr>
        <w:t xml:space="preserve">（关键</w:t>
      </w:r>
      <w:r>
        <w:rPr>
          <w:rStyle w:val="715"/>
          <w:rFonts w:ascii="宋体" w:hAnsi="宋体" w:eastAsia="宋体" w:cs="方正魏碑_GBK"/>
          <w:i w:val="0"/>
          <w:color w:val="auto"/>
          <w:szCs w:val="24"/>
          <w:highlight w:val="none"/>
          <w:u w:val="single"/>
          <w:shd w:val="clear" w:color="auto" w:fill="ffffff"/>
        </w:rPr>
        <w:t xml:space="preserve">组件</w:t>
      </w:r>
      <w:r>
        <w:rPr>
          <w:rStyle w:val="715"/>
          <w:rFonts w:hint="eastAsia" w:ascii="宋体" w:hAnsi="宋体" w:eastAsia="宋体" w:cs="方正魏碑_GBK"/>
          <w:i w:val="0"/>
          <w:color w:val="auto"/>
          <w:szCs w:val="24"/>
          <w:highlight w:val="none"/>
          <w:u w:val="single"/>
          <w:shd w:val="clear" w:color="auto" w:fill="ffffff"/>
        </w:rPr>
        <w:t xml:space="preserve">）</w:t>
      </w:r>
      <w:r>
        <w:rPr>
          <w:rStyle w:val="715"/>
          <w:rFonts w:hint="eastAsia" w:ascii="宋体" w:hAnsi="宋体" w:eastAsia="宋体" w:cs="方正魏碑_GBK"/>
          <w:i w:val="0"/>
          <w:color w:val="auto"/>
          <w:szCs w:val="24"/>
          <w:highlight w:val="none"/>
          <w:shd w:val="clear" w:color="auto" w:fill="ffffff"/>
          <w:vertAlign w:val="superscript"/>
        </w:rPr>
        <w:t xml:space="preserve">4</w:t>
      </w:r>
      <w:r>
        <w:rPr>
          <w:rFonts w:hint="eastAsia" w:ascii="宋体" w:hAnsi="宋体" w:eastAsia="宋体" w:cs="方正魏碑_GBK"/>
          <w:color w:val="auto"/>
          <w:szCs w:val="24"/>
          <w:highlight w:val="none"/>
          <w:shd w:val="clear" w:color="auto" w:fill="ffffff"/>
        </w:rPr>
        <w:t xml:space="preserve">在中国境内生产。</w:t>
      </w:r>
      <w:r>
        <w:rPr>
          <w:rStyle w:val="715"/>
          <w:rFonts w:hint="eastAsia" w:ascii="宋体" w:hAnsi="宋体" w:eastAsia="宋体" w:cs="方正魏碑_GBK"/>
          <w:i w:val="0"/>
          <w:color w:val="auto"/>
          <w:szCs w:val="24"/>
          <w:highlight w:val="none"/>
          <w:u w:val="single"/>
          <w:shd w:val="clear" w:color="auto" w:fill="ffffff"/>
        </w:rPr>
        <w:t xml:space="preserve">（产品名称1）</w:t>
      </w:r>
      <w:r>
        <w:rPr>
          <w:rFonts w:hint="eastAsia" w:ascii="宋体" w:hAnsi="宋体" w:eastAsia="宋体" w:cs="方正魏碑_GBK"/>
          <w:color w:val="auto"/>
          <w:szCs w:val="24"/>
          <w:highlight w:val="none"/>
          <w:shd w:val="clear" w:color="auto" w:fill="ffffff"/>
        </w:rPr>
        <w:t xml:space="preserve">的</w:t>
      </w:r>
      <w:r>
        <w:rPr>
          <w:rStyle w:val="715"/>
          <w:rFonts w:hint="eastAsia" w:ascii="宋体" w:hAnsi="宋体" w:eastAsia="宋体" w:cs="方正魏碑_GBK"/>
          <w:i w:val="0"/>
          <w:color w:val="auto"/>
          <w:szCs w:val="24"/>
          <w:highlight w:val="none"/>
          <w:u w:val="single"/>
          <w:shd w:val="clear" w:color="auto" w:fill="ffffff"/>
        </w:rPr>
        <w:t xml:space="preserve">（关键工序）</w:t>
      </w:r>
      <w:r>
        <w:rPr>
          <w:rStyle w:val="715"/>
          <w:rFonts w:hint="eastAsia" w:ascii="宋体" w:hAnsi="宋体" w:eastAsia="宋体" w:cs="方正魏碑_GBK"/>
          <w:i w:val="0"/>
          <w:color w:val="auto"/>
          <w:szCs w:val="24"/>
          <w:highlight w:val="none"/>
          <w:shd w:val="clear" w:color="auto" w:fill="ffffff"/>
          <w:vertAlign w:val="superscript"/>
        </w:rPr>
        <w:t xml:space="preserve">5</w:t>
      </w:r>
      <w:r>
        <w:rPr>
          <w:rFonts w:hint="eastAsia" w:ascii="宋体" w:hAnsi="宋体" w:eastAsia="宋体" w:cs="方正魏碑_GBK"/>
          <w:color w:val="auto"/>
          <w:szCs w:val="24"/>
          <w:highlight w:val="none"/>
          <w:shd w:val="clear" w:color="auto" w:fill="ffffff"/>
        </w:rPr>
        <w:t xml:space="preserve">在中国境内完成。</w:t>
      </w:r>
      <w:r/>
    </w:p>
    <w:p>
      <w:pPr>
        <w:pStyle w:val="709"/>
        <w:ind w:firstLine="420"/>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2.</w:t>
      </w:r>
      <w:r>
        <w:rPr>
          <w:rStyle w:val="715"/>
          <w:rFonts w:hint="eastAsia" w:ascii="宋体" w:hAnsi="宋体" w:eastAsia="宋体" w:cs="方正魏碑_GBK"/>
          <w:i w:val="0"/>
          <w:color w:val="auto"/>
          <w:szCs w:val="24"/>
          <w:highlight w:val="none"/>
          <w:u w:val="single"/>
          <w:shd w:val="clear" w:color="auto" w:fill="ffffff"/>
        </w:rPr>
        <w:t xml:space="preserve">（产品名称2）</w:t>
      </w:r>
      <w:r>
        <w:rPr>
          <w:rFonts w:hint="eastAsia" w:ascii="宋体" w:hAnsi="宋体" w:eastAsia="宋体" w:cs="方正魏碑_GBK"/>
          <w:color w:val="auto"/>
          <w:szCs w:val="24"/>
          <w:highlight w:val="none"/>
          <w:shd w:val="clear" w:color="auto" w:fill="ffffff"/>
        </w:rPr>
        <w:t xml:space="preserve">，生产厂为</w:t>
      </w:r>
      <w:r>
        <w:rPr>
          <w:rStyle w:val="715"/>
          <w:rFonts w:hint="eastAsia" w:ascii="宋体" w:hAnsi="宋体" w:eastAsia="宋体" w:cs="方正魏碑_GBK"/>
          <w:i w:val="0"/>
          <w:color w:val="auto"/>
          <w:szCs w:val="24"/>
          <w:highlight w:val="none"/>
          <w:u w:val="single"/>
          <w:shd w:val="clear" w:color="auto" w:fill="ffffff"/>
        </w:rPr>
        <w:t xml:space="preserve">（厂名）</w:t>
      </w:r>
      <w:r>
        <w:rPr>
          <w:rFonts w:hint="eastAsia" w:ascii="宋体" w:hAnsi="宋体" w:eastAsia="宋体" w:cs="方正魏碑_GBK"/>
          <w:color w:val="auto"/>
          <w:szCs w:val="24"/>
          <w:highlight w:val="none"/>
          <w:shd w:val="clear" w:color="auto" w:fill="ffffff"/>
        </w:rPr>
        <w:t xml:space="preserve">，厂址为</w:t>
      </w:r>
      <w:r>
        <w:rPr>
          <w:rStyle w:val="715"/>
          <w:rFonts w:hint="eastAsia" w:ascii="宋体" w:hAnsi="宋体" w:eastAsia="宋体" w:cs="方正魏碑_GBK"/>
          <w:i w:val="0"/>
          <w:color w:val="auto"/>
          <w:szCs w:val="24"/>
          <w:highlight w:val="none"/>
          <w:u w:val="single"/>
          <w:shd w:val="clear" w:color="auto" w:fill="ffffff"/>
        </w:rPr>
        <w:t xml:space="preserve">（生产厂址）</w:t>
      </w:r>
      <w:r>
        <w:rPr>
          <w:rFonts w:hint="eastAsia" w:ascii="宋体" w:hAnsi="宋体" w:eastAsia="宋体" w:cs="方正魏碑_GBK"/>
          <w:color w:val="auto"/>
          <w:szCs w:val="24"/>
          <w:highlight w:val="none"/>
          <w:shd w:val="clear" w:color="auto" w:fill="ffffff"/>
        </w:rPr>
        <w:t xml:space="preserve">。</w:t>
      </w:r>
      <w:r>
        <w:rPr>
          <w:rStyle w:val="715"/>
          <w:rFonts w:hint="eastAsia" w:ascii="宋体" w:hAnsi="宋体" w:eastAsia="宋体" w:cs="方正魏碑_GBK"/>
          <w:i w:val="0"/>
          <w:color w:val="auto"/>
          <w:szCs w:val="24"/>
          <w:highlight w:val="none"/>
          <w:u w:val="single"/>
          <w:shd w:val="clear" w:color="auto" w:fill="ffffff"/>
        </w:rPr>
        <w:t xml:space="preserve">（产品名称2）</w:t>
      </w:r>
      <w:r>
        <w:rPr>
          <w:rFonts w:hint="eastAsia" w:ascii="宋体" w:hAnsi="宋体" w:eastAsia="宋体" w:cs="方正魏碑_GBK"/>
          <w:color w:val="auto"/>
          <w:szCs w:val="24"/>
          <w:highlight w:val="none"/>
          <w:shd w:val="clear" w:color="auto" w:fill="ffffff"/>
        </w:rPr>
        <w:t xml:space="preserve">的中国境内生产的组件成本占比≥</w:t>
      </w:r>
      <w:r>
        <w:rPr>
          <w:rStyle w:val="715"/>
          <w:rFonts w:hint="eastAsia" w:ascii="宋体" w:hAnsi="宋体" w:eastAsia="宋体" w:cs="方正魏碑_GBK"/>
          <w:i w:val="0"/>
          <w:color w:val="auto"/>
          <w:szCs w:val="24"/>
          <w:highlight w:val="none"/>
          <w:u w:val="single"/>
          <w:shd w:val="clear" w:color="auto" w:fill="ffffff"/>
        </w:rPr>
        <w:t xml:space="preserve">（规定</w:t>
      </w:r>
      <w:r>
        <w:rPr>
          <w:rStyle w:val="715"/>
          <w:rFonts w:ascii="宋体" w:hAnsi="宋体" w:eastAsia="宋体" w:cs="方正魏碑_GBK"/>
          <w:i w:val="0"/>
          <w:color w:val="auto"/>
          <w:szCs w:val="24"/>
          <w:highlight w:val="none"/>
          <w:u w:val="single"/>
          <w:shd w:val="clear" w:color="auto" w:fill="ffffff"/>
        </w:rPr>
        <w:t xml:space="preserve">比例</w:t>
      </w:r>
      <w:r>
        <w:rPr>
          <w:rStyle w:val="715"/>
          <w:rFonts w:hint="eastAsia" w:ascii="宋体" w:hAnsi="宋体" w:eastAsia="宋体" w:cs="方正魏碑_GBK"/>
          <w:i w:val="0"/>
          <w:color w:val="auto"/>
          <w:szCs w:val="24"/>
          <w:highlight w:val="none"/>
          <w:u w:val="single"/>
          <w:shd w:val="clear" w:color="auto" w:fill="ffffff"/>
        </w:rPr>
        <w:t xml:space="preserve">）</w:t>
      </w:r>
      <w:r>
        <w:rPr>
          <w:rFonts w:hint="eastAsia" w:ascii="宋体" w:hAnsi="宋体" w:eastAsia="宋体" w:cs="方正魏碑_GBK"/>
          <w:color w:val="auto"/>
          <w:szCs w:val="24"/>
          <w:highlight w:val="none"/>
          <w:shd w:val="clear" w:color="auto" w:fill="ffffff"/>
        </w:rPr>
        <w:t xml:space="preserve">。</w:t>
      </w:r>
      <w:r>
        <w:rPr>
          <w:rStyle w:val="715"/>
          <w:rFonts w:hint="eastAsia" w:ascii="宋体" w:hAnsi="宋体" w:eastAsia="宋体" w:cs="方正魏碑_GBK"/>
          <w:i w:val="0"/>
          <w:color w:val="auto"/>
          <w:szCs w:val="24"/>
          <w:highlight w:val="none"/>
          <w:u w:val="single"/>
          <w:shd w:val="clear" w:color="auto" w:fill="ffffff"/>
        </w:rPr>
        <w:t xml:space="preserve">（产品名称2）</w:t>
      </w:r>
      <w:r>
        <w:rPr>
          <w:rFonts w:hint="eastAsia" w:ascii="宋体" w:hAnsi="宋体" w:eastAsia="宋体" w:cs="方正魏碑_GBK"/>
          <w:color w:val="auto"/>
          <w:szCs w:val="24"/>
          <w:highlight w:val="none"/>
          <w:shd w:val="clear" w:color="auto" w:fill="ffffff"/>
        </w:rPr>
        <w:t xml:space="preserve">的</w:t>
      </w:r>
      <w:r>
        <w:rPr>
          <w:rStyle w:val="715"/>
          <w:rFonts w:hint="eastAsia" w:ascii="宋体" w:hAnsi="宋体" w:eastAsia="宋体" w:cs="方正魏碑_GBK"/>
          <w:i w:val="0"/>
          <w:color w:val="auto"/>
          <w:szCs w:val="24"/>
          <w:highlight w:val="none"/>
          <w:u w:val="single"/>
          <w:shd w:val="clear" w:color="auto" w:fill="ffffff"/>
        </w:rPr>
        <w:t xml:space="preserve">（关键</w:t>
      </w:r>
      <w:r>
        <w:rPr>
          <w:rStyle w:val="715"/>
          <w:rFonts w:ascii="宋体" w:hAnsi="宋体" w:eastAsia="宋体" w:cs="方正魏碑_GBK"/>
          <w:i w:val="0"/>
          <w:color w:val="auto"/>
          <w:szCs w:val="24"/>
          <w:highlight w:val="none"/>
          <w:u w:val="single"/>
          <w:shd w:val="clear" w:color="auto" w:fill="ffffff"/>
        </w:rPr>
        <w:t xml:space="preserve">组件</w:t>
      </w:r>
      <w:r>
        <w:rPr>
          <w:rStyle w:val="715"/>
          <w:rFonts w:hint="eastAsia" w:ascii="宋体" w:hAnsi="宋体" w:eastAsia="宋体" w:cs="方正魏碑_GBK"/>
          <w:i w:val="0"/>
          <w:color w:val="auto"/>
          <w:szCs w:val="24"/>
          <w:highlight w:val="none"/>
          <w:u w:val="single"/>
          <w:shd w:val="clear" w:color="auto" w:fill="ffffff"/>
        </w:rPr>
        <w:t xml:space="preserve">）</w:t>
      </w:r>
      <w:r>
        <w:rPr>
          <w:rFonts w:hint="eastAsia" w:ascii="宋体" w:hAnsi="宋体" w:eastAsia="宋体" w:cs="方正魏碑_GBK"/>
          <w:color w:val="auto"/>
          <w:szCs w:val="24"/>
          <w:highlight w:val="none"/>
          <w:shd w:val="clear" w:color="auto" w:fill="ffffff"/>
        </w:rPr>
        <w:t xml:space="preserve">在中国境内生产。</w:t>
      </w:r>
      <w:r>
        <w:rPr>
          <w:rStyle w:val="715"/>
          <w:rFonts w:hint="eastAsia" w:ascii="宋体" w:hAnsi="宋体" w:eastAsia="宋体" w:cs="方正魏碑_GBK"/>
          <w:i w:val="0"/>
          <w:color w:val="auto"/>
          <w:szCs w:val="24"/>
          <w:highlight w:val="none"/>
          <w:u w:val="single"/>
          <w:shd w:val="clear" w:color="auto" w:fill="ffffff"/>
        </w:rPr>
        <w:t xml:space="preserve">（产品名称1）</w:t>
      </w:r>
      <w:r>
        <w:rPr>
          <w:rFonts w:hint="eastAsia" w:ascii="宋体" w:hAnsi="宋体" w:eastAsia="宋体" w:cs="方正魏碑_GBK"/>
          <w:color w:val="auto"/>
          <w:szCs w:val="24"/>
          <w:highlight w:val="none"/>
          <w:shd w:val="clear" w:color="auto" w:fill="ffffff"/>
        </w:rPr>
        <w:t xml:space="preserve">的</w:t>
      </w:r>
      <w:r>
        <w:rPr>
          <w:rStyle w:val="715"/>
          <w:rFonts w:hint="eastAsia" w:ascii="宋体" w:hAnsi="宋体" w:eastAsia="宋体" w:cs="方正魏碑_GBK"/>
          <w:i w:val="0"/>
          <w:color w:val="auto"/>
          <w:szCs w:val="24"/>
          <w:highlight w:val="none"/>
          <w:u w:val="single"/>
          <w:shd w:val="clear" w:color="auto" w:fill="ffffff"/>
        </w:rPr>
        <w:t xml:space="preserve">（关键工序）</w:t>
      </w:r>
      <w:r>
        <w:rPr>
          <w:rFonts w:hint="eastAsia" w:ascii="宋体" w:hAnsi="宋体" w:eastAsia="宋体" w:cs="方正魏碑_GBK"/>
          <w:color w:val="auto"/>
          <w:szCs w:val="24"/>
          <w:highlight w:val="none"/>
          <w:shd w:val="clear" w:color="auto" w:fill="ffffff"/>
        </w:rPr>
        <w:t xml:space="preserve">在中国境内完成。</w:t>
      </w:r>
      <w:r/>
    </w:p>
    <w:p>
      <w:pPr>
        <w:pStyle w:val="709"/>
        <w:ind w:firstLine="420"/>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w:t>
      </w:r>
      <w:r/>
    </w:p>
    <w:p>
      <w:pPr>
        <w:pStyle w:val="709"/>
        <w:ind w:firstLine="420"/>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本公司（单位）对上述声明内容的真实性负责。如有虚假，愿承担相应法律责任。</w:t>
      </w:r>
      <w:r/>
    </w:p>
    <w:p>
      <w:pPr>
        <w:pStyle w:val="709"/>
        <w:spacing w:before="30" w:after="30" w:line="360" w:lineRule="auto"/>
        <w:rPr>
          <w:rFonts w:ascii="宋体" w:hAnsi="宋体" w:eastAsia="宋体" w:cs="方正魏碑_GBK"/>
          <w:color w:val="auto"/>
          <w:szCs w:val="24"/>
          <w:highlight w:val="none"/>
        </w:rPr>
      </w:pPr>
      <w:r>
        <w:rPr>
          <w:rFonts w:ascii="宋体" w:hAnsi="宋体" w:eastAsia="宋体" w:cs="方正魏碑_GBK"/>
          <w:color w:val="auto"/>
          <w:szCs w:val="24"/>
          <w:highlight w:val="none"/>
        </w:rPr>
      </w:r>
      <w:r/>
    </w:p>
    <w:p>
      <w:pPr>
        <w:pStyle w:val="709"/>
        <w:ind w:right="480" w:firstLine="3720"/>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公司（单位）名称（盖章）：　        </w:t>
      </w:r>
      <w:r/>
    </w:p>
    <w:p>
      <w:pPr>
        <w:pStyle w:val="709"/>
        <w:jc w:val="center"/>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日期：　   </w:t>
      </w:r>
      <w:r>
        <w:rPr>
          <w:rFonts w:hint="eastAsia" w:ascii="宋体" w:hAnsi="宋体" w:eastAsia="宋体" w:cs="宋体"/>
          <w:color w:val="auto"/>
          <w:szCs w:val="24"/>
          <w:highlight w:val="none"/>
          <w:shd w:val="clear" w:color="auto" w:fill="ffffff"/>
        </w:rPr>
        <w:t xml:space="preserve">年　</w:t>
      </w:r>
      <w:r>
        <w:rPr>
          <w:rFonts w:hint="eastAsia" w:ascii="宋体" w:hAnsi="宋体" w:eastAsia="宋体" w:cs="方正魏碑_GBK"/>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rPr>
        <w:t xml:space="preserve">月　</w:t>
      </w:r>
      <w:r>
        <w:rPr>
          <w:rFonts w:hint="eastAsia" w:ascii="宋体" w:hAnsi="宋体" w:eastAsia="宋体" w:cs="方正魏碑_GBK"/>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rPr>
        <w:t xml:space="preserve">日</w:t>
      </w:r>
      <w:r>
        <w:rPr>
          <w:rFonts w:hint="eastAsia" w:ascii="宋体" w:hAnsi="宋体" w:eastAsia="宋体" w:cs="方正魏碑_GBK"/>
          <w:color w:val="auto"/>
          <w:szCs w:val="24"/>
          <w:highlight w:val="none"/>
          <w:shd w:val="clear" w:color="auto" w:fill="ffffff"/>
        </w:rPr>
        <w:t xml:space="preserve">         </w:t>
      </w:r>
      <w:r/>
    </w:p>
    <w:p>
      <w:pPr>
        <w:pStyle w:val="709"/>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__________________</w:t>
      </w:r>
      <w:r/>
    </w:p>
    <w:p>
      <w:pPr>
        <w:pStyle w:val="709"/>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1.产品如有型号，请在“产品名称”栏一并填写。</w:t>
      </w:r>
      <w:r/>
    </w:p>
    <w:p>
      <w:pPr>
        <w:pStyle w:val="709"/>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2.生产厂名与厂址应与生产厂营业执照载明的相关信息保持一致。</w:t>
      </w:r>
      <w:r/>
    </w:p>
    <w:p>
      <w:pPr>
        <w:pStyle w:val="709"/>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3.该产品的中国境内生产的组件成本占比相关要求实施前，“规定比例”栏可不填，下同。</w:t>
      </w:r>
      <w:r/>
    </w:p>
    <w:p>
      <w:pPr>
        <w:pStyle w:val="709"/>
        <w:spacing w:before="30" w:after="30" w:line="360" w:lineRule="auto"/>
        <w:rPr>
          <w:rFonts w:ascii="宋体" w:hAnsi="宋体" w:eastAsia="宋体" w:cs="方正魏碑_GBK"/>
          <w:color w:val="auto"/>
          <w:szCs w:val="24"/>
          <w:highlight w:val="none"/>
        </w:rPr>
      </w:pPr>
      <w:r>
        <w:rPr>
          <w:rFonts w:hint="eastAsia" w:ascii="宋体" w:hAnsi="宋体" w:eastAsia="宋体" w:cs="方正魏碑_GBK"/>
          <w:color w:val="auto"/>
          <w:szCs w:val="24"/>
          <w:highlight w:val="none"/>
          <w:shd w:val="clear" w:color="auto" w:fill="ffffff"/>
        </w:rPr>
        <w:t xml:space="preserve">4.该产品的关键组件要求实施前，“关键组件”栏可不填，下同。</w:t>
      </w:r>
      <w:r/>
    </w:p>
    <w:p>
      <w:pPr>
        <w:pStyle w:val="709"/>
        <w:spacing w:before="30" w:after="30" w:line="360" w:lineRule="auto"/>
        <w:rPr>
          <w:rFonts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 xml:space="preserve">5.该产品的关键工序要求实施前，“关键工序”栏可不填，下同。</w:t>
      </w:r>
      <w:r/>
    </w:p>
    <w:p>
      <w:pPr>
        <w:pStyle w:val="709"/>
        <w:spacing w:before="30" w:after="30" w:line="360" w:lineRule="auto"/>
        <w:rPr>
          <w:rFonts w:ascii="宋体" w:hAnsi="宋体" w:eastAsia="宋体" w:cs="方正魏碑_GBK"/>
          <w:color w:val="auto"/>
          <w:szCs w:val="24"/>
          <w:highlight w:val="none"/>
          <w:shd w:val="clear" w:color="auto" w:fill="ffffff"/>
        </w:rPr>
      </w:pPr>
      <w:r>
        <w:rPr>
          <w:rFonts w:hint="eastAsia" w:ascii="宋体" w:hAnsi="宋体" w:eastAsia="宋体" w:cs="方正魏碑_GBK"/>
          <w:color w:val="auto"/>
          <w:szCs w:val="24"/>
          <w:highlight w:val="none"/>
          <w:shd w:val="clear" w:color="auto" w:fill="ffffff"/>
        </w:rPr>
        <w:t xml:space="preserve">6.用斜线划除的地方无需填写。</w:t>
      </w:r>
      <w:r/>
    </w:p>
    <w:p>
      <w:pPr>
        <w:rPr>
          <w:color w:val="auto"/>
          <w:highlight w:val="none"/>
        </w:rPr>
      </w:pPr>
      <w:r>
        <w:rPr>
          <w:color w:val="auto"/>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pStyle w:val="719"/>
        <w:rPr>
          <w:rFonts w:cs="宋体"/>
          <w:b/>
          <w:color w:val="auto"/>
          <w:spacing w:val="15"/>
          <w:szCs w:val="21"/>
          <w:highlight w:val="none"/>
        </w:rPr>
      </w:pPr>
      <w:r>
        <w:rPr>
          <w:rFonts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pStyle w:val="719"/>
        <w:rPr>
          <w:rFonts w:cs="宋体"/>
          <w:b/>
          <w:color w:val="auto"/>
          <w:spacing w:val="15"/>
          <w:szCs w:val="21"/>
          <w:highlight w:val="none"/>
        </w:rPr>
      </w:pPr>
      <w:r>
        <w:rPr>
          <w:rFonts w:cs="宋体"/>
          <w:b/>
          <w:color w:val="auto"/>
          <w:spacing w:val="15"/>
          <w:szCs w:val="21"/>
          <w:highlight w:val="none"/>
        </w:rPr>
      </w:r>
      <w:r/>
    </w:p>
    <w:p>
      <w:pPr>
        <w:rPr>
          <w:rFonts w:ascii="宋体" w:hAnsi="宋体" w:cs="宋体"/>
          <w:b/>
          <w:color w:val="auto"/>
          <w:spacing w:val="15"/>
          <w:szCs w:val="21"/>
          <w:highlight w:val="none"/>
        </w:rPr>
      </w:pPr>
      <w:r>
        <w:rPr>
          <w:rFonts w:ascii="宋体" w:hAnsi="宋体" w:cs="宋体"/>
          <w:b/>
          <w:color w:val="auto"/>
          <w:spacing w:val="15"/>
          <w:szCs w:val="21"/>
          <w:highlight w:val="none"/>
        </w:rPr>
      </w:r>
      <w:r/>
    </w:p>
    <w:p>
      <w:pPr>
        <w:pStyle w:val="675"/>
        <w:rPr>
          <w:rFonts w:ascii="宋体" w:hAnsi="宋体" w:cs="宋体"/>
          <w:color w:val="auto"/>
          <w:szCs w:val="36"/>
          <w:highlight w:val="none"/>
          <w:lang w:val="zh-CN"/>
        </w:rPr>
      </w:pPr>
      <w:r/>
      <w:bookmarkStart w:id="70" w:name="_Toc31028"/>
      <w:r>
        <w:rPr>
          <w:rFonts w:ascii="宋体" w:hAnsi="宋体" w:cs="宋体"/>
          <w:color w:val="auto"/>
          <w:szCs w:val="36"/>
          <w:highlight w:val="none"/>
          <w:lang w:val="zh-CN"/>
        </w:rPr>
        <w:t xml:space="preserve">第七章 供应商中标后需要提交核验的资料</w:t>
      </w:r>
      <w:bookmarkEnd w:id="70"/>
      <w:r/>
      <w:r/>
    </w:p>
    <w:p>
      <w:pPr>
        <w:pStyle w:val="967"/>
        <w:ind w:left="-178" w:firstLine="0"/>
        <w:spacing w:before="78"/>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w:t>
      </w:r>
      <w:r>
        <w:rPr>
          <w:rFonts w:ascii="宋体" w:hAnsi="宋体" w:eastAsia="宋体"/>
          <w:color w:val="auto"/>
          <w:sz w:val="24"/>
          <w:szCs w:val="24"/>
          <w:highlight w:val="none"/>
        </w:rPr>
        <w:t xml:space="preserve">具有独立承担民事责任的能力（营业执照副本或事业单位法人登记证书或其他证明材料）；</w:t>
      </w:r>
      <w:r/>
    </w:p>
    <w:p>
      <w:pPr>
        <w:pStyle w:val="967"/>
        <w:ind w:left="-178" w:firstLine="0"/>
        <w:spacing w:before="78"/>
        <w:rPr>
          <w:rFonts w:ascii="宋体" w:hAnsi="宋体" w:eastAsia="宋体"/>
          <w:color w:val="auto"/>
          <w:sz w:val="24"/>
          <w:szCs w:val="24"/>
          <w:highlight w:val="none"/>
        </w:rPr>
      </w:pPr>
      <w:r>
        <w:rPr>
          <w:rFonts w:ascii="宋体" w:hAnsi="宋体" w:eastAsia="宋体"/>
          <w:color w:val="auto"/>
          <w:sz w:val="24"/>
          <w:szCs w:val="24"/>
          <w:highlight w:val="none"/>
        </w:rPr>
        <w:t xml:space="preserve">二、具有良好的商业信誉和健全的财务会计制度（参加本次政府采购活动前一年的经审计的财务报告（包括“四表一注”，法人成立满一年的提供）或参加本次政府采购活动前一年内的银行资信证明（法人或其他组织提供）或其他证明材料）；</w:t>
      </w:r>
      <w:r>
        <w:rPr>
          <w:rFonts w:ascii="宋体" w:hAnsi="宋体" w:eastAsia="宋体"/>
          <w:color w:val="auto"/>
          <w:sz w:val="24"/>
          <w:szCs w:val="24"/>
          <w:highlight w:val="none"/>
        </w:rPr>
        <w:br/>
      </w:r>
      <w:r>
        <w:rPr>
          <w:rFonts w:ascii="宋体" w:hAnsi="宋体" w:eastAsia="宋体"/>
          <w:color w:val="auto"/>
          <w:sz w:val="24"/>
          <w:szCs w:val="24"/>
          <w:highlight w:val="none"/>
        </w:rPr>
        <w:t xml:space="preserve">三、具有履行合同所必需的设备和专业技术能力（供应商根据履行采购项目合同需要，提供履行合同所必需的设备和专业技术能力的证明材料）；</w:t>
      </w:r>
      <w:r>
        <w:rPr>
          <w:rFonts w:ascii="宋体" w:hAnsi="宋体" w:eastAsia="宋体"/>
          <w:color w:val="auto"/>
          <w:sz w:val="24"/>
          <w:szCs w:val="24"/>
          <w:highlight w:val="none"/>
        </w:rPr>
        <w:br/>
      </w:r>
      <w:r>
        <w:rPr>
          <w:rFonts w:ascii="宋体" w:hAnsi="宋体" w:eastAsia="宋体"/>
          <w:color w:val="auto"/>
          <w:sz w:val="24"/>
          <w:szCs w:val="24"/>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sz w:val="24"/>
          <w:szCs w:val="24"/>
          <w:highlight w:val="none"/>
        </w:rPr>
        <w:br/>
      </w:r>
      <w:r>
        <w:rPr>
          <w:rFonts w:ascii="宋体" w:hAnsi="宋体" w:eastAsia="宋体"/>
          <w:color w:val="auto"/>
          <w:sz w:val="24"/>
          <w:szCs w:val="24"/>
          <w:highlight w:val="none"/>
        </w:rPr>
        <w:t xml:space="preserve">五、参加政府采购活动前三年内，在经营活动中没有重大违法记录（提供书面声明或承诺书）；</w:t>
      </w:r>
      <w:r>
        <w:rPr>
          <w:rFonts w:ascii="宋体" w:hAnsi="宋体" w:eastAsia="宋体"/>
          <w:color w:val="auto"/>
          <w:sz w:val="24"/>
          <w:szCs w:val="24"/>
          <w:highlight w:val="none"/>
        </w:rPr>
        <w:br/>
      </w:r>
      <w:r/>
    </w:p>
    <w:p>
      <w:pPr>
        <w:pStyle w:val="967"/>
        <w:ind w:left="-178" w:firstLine="0"/>
        <w:spacing w:before="78"/>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.以上资料如</w:t>
      </w:r>
      <w:r>
        <w:rPr>
          <w:rFonts w:hint="eastAsia" w:ascii="宋体" w:hAnsi="宋体" w:eastAsia="宋体"/>
          <w:color w:val="auto"/>
          <w:sz w:val="24"/>
          <w:szCs w:val="24"/>
          <w:highlight w:val="none"/>
        </w:rPr>
        <w:t xml:space="preserve">电子投标</w:t>
      </w:r>
      <w:r>
        <w:rPr>
          <w:rFonts w:ascii="宋体" w:hAnsi="宋体" w:eastAsia="宋体"/>
          <w:color w:val="auto"/>
          <w:sz w:val="24"/>
          <w:szCs w:val="24"/>
          <w:highlight w:val="none"/>
        </w:rPr>
        <w:t xml:space="preserve">文件中已提供的无需再提供</w:t>
      </w:r>
      <w:r>
        <w:rPr>
          <w:rFonts w:hint="eastAsia" w:ascii="宋体" w:hAnsi="宋体" w:eastAsia="宋体"/>
          <w:color w:val="auto"/>
          <w:sz w:val="24"/>
          <w:szCs w:val="24"/>
          <w:highlight w:val="none"/>
        </w:rPr>
        <w:t xml:space="preserve">。</w:t>
      </w:r>
      <w:r/>
    </w:p>
    <w:p>
      <w:pPr>
        <w:pStyle w:val="967"/>
        <w:ind w:left="-178" w:firstLine="0"/>
        <w:spacing w:before="78"/>
        <w:rPr>
          <w:color w:val="auto"/>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文件（纸质份数）：中标人须在领取中标通知书前提供肆份通过专用投标工具软件打印的纸质投标文件并逐页加盖单位公章。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ˎ̥">
    <w:panose1 w:val="020B0503020202020204"/>
  </w:font>
  <w:font w:name="Tahoma">
    <w:panose1 w:val="020B0604030504040204"/>
  </w:font>
  <w:font w:name="方正小标宋简体">
    <w:panose1 w:val="020B0503020202020204"/>
  </w:font>
  <w:font w:name="Trebuchet MS">
    <w:panose1 w:val="020B0603020202020204"/>
  </w:font>
  <w:font w:name="Arial Unicode MS">
    <w:panose1 w:val="020B0604020202020204"/>
  </w:font>
  <w:font w:name="Wingdings">
    <w:panose1 w:val="05000000000000000000"/>
  </w:font>
  <w:font w:name="Symbol">
    <w:panose1 w:val="05050102010706020507"/>
  </w:font>
  <w:font w:name="Cambria">
    <w:panose1 w:val="02040503050406030204"/>
  </w:font>
  <w:font w:name="Courier New">
    <w:panose1 w:val="02070309020205020404"/>
  </w:font>
  <w:font w:name="方正魏碑_GBK">
    <w:panose1 w:val="020B0503020202020204"/>
  </w:font>
  <w:font w:name="Plotter">
    <w:panose1 w:val="020B0503020202020204"/>
  </w:font>
  <w:font w:name="等线">
    <w:panose1 w:val="02010600030101010101"/>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9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986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49860" cy="139700"/>
                      </a:xfrm>
                      <a:prstGeom prst="rect">
                        <a:avLst/>
                      </a:prstGeom>
                      <a:noFill/>
                      <a:ln>
                        <a:noFill/>
                        <a:miter/>
                      </a:ln>
                    </wps:spPr>
                    <wps:txbx>
                      <w:txbxContent>
                        <w:p>
                          <w:pPr>
                            <w:pStyle w:val="896"/>
                          </w:pPr>
                          <w:r>
                            <w:fldChar w:fldCharType="begin"/>
                          </w:r>
                          <w:r>
                            <w:instrText xml:space="preserve"> PAGE  \* MERGEFORMAT </w:instrText>
                          </w:r>
                          <w:r>
                            <w:fldChar w:fldCharType="separate"/>
                          </w:r>
                          <w:r>
                            <w:t xml:space="preserve">20</w:t>
                          </w:r>
                          <w:r>
                            <w:fldChar w:fldCharType="end"/>
                          </w:r>
                          <w:r/>
                        </w:p>
                        <w:p>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1.8pt;height:11.0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5"/>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19">
    <w:name w:val="Heading 4 Char"/>
    <w:basedOn w:val="684"/>
    <w:link w:val="678"/>
    <w:uiPriority w:val="9"/>
    <w:rPr>
      <w:rFonts w:ascii="Arial" w:hAnsi="Arial" w:eastAsia="Arial" w:cs="Arial"/>
      <w:b/>
      <w:bCs/>
      <w:sz w:val="26"/>
      <w:szCs w:val="26"/>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10"/>
    <w:uiPriority w:val="10"/>
    <w:rPr>
      <w:sz w:val="48"/>
      <w:szCs w:val="48"/>
    </w:rPr>
  </w:style>
  <w:style w:type="character" w:styleId="36">
    <w:name w:val="Subtitle Char"/>
    <w:basedOn w:val="684"/>
    <w:link w:val="703"/>
    <w:uiPriority w:val="11"/>
    <w:rPr>
      <w:sz w:val="24"/>
      <w:szCs w:val="24"/>
    </w:rPr>
  </w:style>
  <w:style w:type="character" w:styleId="38">
    <w:name w:val="Quote Char"/>
    <w:link w:val="737"/>
    <w:uiPriority w:val="29"/>
    <w:rPr>
      <w:i/>
    </w:rPr>
  </w:style>
  <w:style w:type="character" w:styleId="40">
    <w:name w:val="Intense Quote Char"/>
    <w:link w:val="739"/>
    <w:uiPriority w:val="30"/>
    <w:rPr>
      <w:i/>
    </w:rPr>
  </w:style>
  <w:style w:type="character" w:styleId="42">
    <w:name w:val="Header Char"/>
    <w:basedOn w:val="684"/>
    <w:link w:val="700"/>
    <w:uiPriority w:val="99"/>
  </w:style>
  <w:style w:type="character" w:styleId="46">
    <w:name w:val="Caption Char"/>
    <w:basedOn w:val="690"/>
    <w:link w:val="699"/>
    <w:uiPriority w:val="99"/>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4"/>
    <w:uiPriority w:val="99"/>
    <w:rPr>
      <w:sz w:val="18"/>
    </w:rPr>
  </w:style>
  <w:style w:type="character" w:styleId="178">
    <w:name w:val="Endnote Text Char"/>
    <w:link w:val="698"/>
    <w:uiPriority w:val="99"/>
    <w:rPr>
      <w:sz w:val="20"/>
    </w:rPr>
  </w:style>
  <w:style w:type="paragraph" w:styleId="189">
    <w:name w:val="TOC Heading"/>
    <w:uiPriority w:val="39"/>
    <w:unhideWhenUsed/>
  </w:style>
  <w:style w:type="paragraph" w:styleId="674" w:default="1">
    <w:name w:val="Normal"/>
    <w:next w:val="686"/>
    <w:uiPriority w:val="0"/>
    <w:qFormat/>
    <w:pPr>
      <w:jc w:val="both"/>
      <w:widowControl w:val="off"/>
    </w:pPr>
    <w:rPr>
      <w:rFonts w:ascii="Calibri" w:hAnsi="Calibri" w:eastAsia="宋体" w:cs="Times New Roman"/>
      <w:sz w:val="21"/>
      <w:szCs w:val="22"/>
      <w:lang w:val="en-US" w:eastAsia="zh-CN" w:bidi="ar-SA"/>
    </w:rPr>
  </w:style>
  <w:style w:type="paragraph" w:styleId="675">
    <w:name w:val="Heading 1"/>
    <w:basedOn w:val="674"/>
    <w:next w:val="674"/>
    <w:link w:val="724"/>
    <w:uiPriority w:val="9"/>
    <w:qFormat/>
    <w:pPr>
      <w:jc w:val="center"/>
      <w:keepLines/>
      <w:keepNext/>
      <w:spacing w:before="480" w:after="200"/>
      <w:outlineLvl w:val="0"/>
    </w:pPr>
    <w:rPr>
      <w:rFonts w:ascii="Arial" w:hAnsi="Arial" w:cs="Arial"/>
      <w:b/>
      <w:sz w:val="36"/>
      <w:szCs w:val="40"/>
    </w:rPr>
  </w:style>
  <w:style w:type="paragraph" w:styleId="676">
    <w:name w:val="Heading 2"/>
    <w:basedOn w:val="674"/>
    <w:next w:val="674"/>
    <w:link w:val="725"/>
    <w:uiPriority w:val="9"/>
    <w:unhideWhenUsed/>
    <w:qFormat/>
    <w:pPr>
      <w:jc w:val="left"/>
      <w:keepLines/>
      <w:keepNext/>
      <w:spacing w:before="360" w:after="200"/>
      <w:outlineLvl w:val="1"/>
    </w:pPr>
    <w:rPr>
      <w:rFonts w:ascii="Arial" w:hAnsi="Arial" w:cs="Arial"/>
      <w:b/>
      <w:sz w:val="28"/>
    </w:rPr>
  </w:style>
  <w:style w:type="paragraph" w:styleId="677">
    <w:name w:val="Heading 3"/>
    <w:basedOn w:val="674"/>
    <w:next w:val="674"/>
    <w:link w:val="726"/>
    <w:uiPriority w:val="9"/>
    <w:unhideWhenUsed/>
    <w:qFormat/>
    <w:pPr>
      <w:keepLines/>
      <w:keepNext/>
      <w:spacing w:before="320" w:after="200"/>
      <w:outlineLvl w:val="2"/>
    </w:pPr>
    <w:rPr>
      <w:rFonts w:ascii="Arial" w:hAnsi="Arial" w:cs="Arial"/>
      <w:b/>
      <w:sz w:val="24"/>
      <w:szCs w:val="30"/>
    </w:rPr>
  </w:style>
  <w:style w:type="paragraph" w:styleId="678">
    <w:name w:val="Heading 4"/>
    <w:basedOn w:val="674"/>
    <w:next w:val="674"/>
    <w:link w:val="727"/>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8"/>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9"/>
    <w:uiPriority w:val="9"/>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30"/>
    <w:uiPriority w:val="9"/>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31"/>
    <w:uiPriority w:val="9"/>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32"/>
    <w:uiPriority w:val="9"/>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Body Text First Indent 2"/>
    <w:basedOn w:val="687"/>
    <w:next w:val="674"/>
    <w:uiPriority w:val="0"/>
    <w:qFormat/>
    <w:pPr>
      <w:ind w:firstLine="200"/>
    </w:pPr>
    <w:rPr>
      <w:rFonts w:hAnsi="宋体"/>
    </w:rPr>
  </w:style>
  <w:style w:type="paragraph" w:styleId="687">
    <w:name w:val="Body Text Indent"/>
    <w:basedOn w:val="674"/>
    <w:next w:val="688"/>
    <w:uiPriority w:val="0"/>
    <w:unhideWhenUsed/>
    <w:qFormat/>
    <w:pPr>
      <w:ind w:firstLine="420"/>
      <w:spacing w:line="360" w:lineRule="auto"/>
    </w:pPr>
    <w:rPr>
      <w:rFonts w:ascii="宋体" w:hAnsi="Times New Roman"/>
      <w:sz w:val="24"/>
      <w:szCs w:val="20"/>
    </w:rPr>
  </w:style>
  <w:style w:type="paragraph" w:styleId="688">
    <w:name w:val="envelope return"/>
    <w:basedOn w:val="674"/>
    <w:uiPriority w:val="0"/>
    <w:qFormat/>
    <w:rPr>
      <w:rFonts w:ascii="Arial" w:hAnsi="Arial" w:cs="宋体"/>
    </w:rPr>
  </w:style>
  <w:style w:type="paragraph" w:styleId="689">
    <w:name w:val="toc 7"/>
    <w:basedOn w:val="674"/>
    <w:next w:val="674"/>
    <w:uiPriority w:val="39"/>
    <w:unhideWhenUsed/>
    <w:qFormat/>
    <w:pPr>
      <w:ind w:left="1701"/>
      <w:spacing w:after="57"/>
    </w:pPr>
  </w:style>
  <w:style w:type="paragraph" w:styleId="690">
    <w:name w:val="Caption"/>
    <w:basedOn w:val="674"/>
    <w:next w:val="674"/>
    <w:uiPriority w:val="35"/>
    <w:semiHidden/>
    <w:unhideWhenUsed/>
    <w:qFormat/>
    <w:pPr>
      <w:spacing w:line="276" w:lineRule="auto"/>
    </w:pPr>
    <w:rPr>
      <w:b/>
      <w:bCs/>
      <w:color w:val="4f81bd" w:themeColor="accent1"/>
      <w:sz w:val="18"/>
      <w:szCs w:val="18"/>
    </w:rPr>
  </w:style>
  <w:style w:type="paragraph" w:styleId="691">
    <w:name w:val="annotation text"/>
    <w:basedOn w:val="674"/>
    <w:link w:val="975"/>
    <w:uiPriority w:val="99"/>
    <w:semiHidden/>
    <w:unhideWhenUsed/>
    <w:qFormat/>
    <w:pPr>
      <w:jc w:val="left"/>
    </w:pPr>
  </w:style>
  <w:style w:type="paragraph" w:styleId="692">
    <w:name w:val="Body Text"/>
    <w:basedOn w:val="674"/>
    <w:uiPriority w:val="99"/>
    <w:unhideWhenUsed/>
    <w:qFormat/>
    <w:pPr>
      <w:jc w:val="center"/>
    </w:pPr>
    <w:rPr>
      <w:rFonts w:eastAsia="幼圆"/>
      <w:b/>
      <w:bCs/>
      <w:sz w:val="44"/>
    </w:rPr>
  </w:style>
  <w:style w:type="paragraph" w:styleId="693">
    <w:name w:val="index 4"/>
    <w:basedOn w:val="674"/>
    <w:next w:val="674"/>
    <w:uiPriority w:val="0"/>
    <w:semiHidden/>
    <w:qFormat/>
    <w:pPr>
      <w:ind w:left="1260"/>
    </w:pPr>
  </w:style>
  <w:style w:type="paragraph" w:styleId="694">
    <w:name w:val="toc 5"/>
    <w:basedOn w:val="674"/>
    <w:next w:val="674"/>
    <w:uiPriority w:val="39"/>
    <w:unhideWhenUsed/>
    <w:qFormat/>
    <w:pPr>
      <w:ind w:left="1134"/>
      <w:spacing w:after="57"/>
    </w:pPr>
  </w:style>
  <w:style w:type="paragraph" w:styleId="695">
    <w:name w:val="toc 3"/>
    <w:basedOn w:val="674"/>
    <w:next w:val="674"/>
    <w:uiPriority w:val="39"/>
    <w:unhideWhenUsed/>
    <w:qFormat/>
    <w:pPr>
      <w:ind w:left="420"/>
      <w:jc w:val="left"/>
    </w:pPr>
    <w:rPr>
      <w:rFonts w:ascii="等线" w:hAnsi="Plotter" w:eastAsia="等线"/>
      <w:i/>
      <w:iCs/>
      <w:sz w:val="20"/>
      <w:szCs w:val="20"/>
    </w:rPr>
  </w:style>
  <w:style w:type="paragraph" w:styleId="696">
    <w:name w:val="Plain Text"/>
    <w:basedOn w:val="674"/>
    <w:uiPriority w:val="0"/>
    <w:qFormat/>
    <w:rPr>
      <w:rFonts w:ascii="宋体" w:hAnsi="Courier New"/>
    </w:rPr>
  </w:style>
  <w:style w:type="paragraph" w:styleId="697">
    <w:name w:val="toc 8"/>
    <w:basedOn w:val="674"/>
    <w:next w:val="674"/>
    <w:uiPriority w:val="39"/>
    <w:unhideWhenUsed/>
    <w:qFormat/>
    <w:pPr>
      <w:ind w:left="1984"/>
      <w:spacing w:after="57"/>
    </w:pPr>
  </w:style>
  <w:style w:type="paragraph" w:styleId="698">
    <w:name w:val="endnote text"/>
    <w:basedOn w:val="674"/>
    <w:link w:val="870"/>
    <w:uiPriority w:val="99"/>
    <w:semiHidden/>
    <w:unhideWhenUsed/>
    <w:qFormat/>
    <w:rPr>
      <w:sz w:val="20"/>
    </w:rPr>
  </w:style>
  <w:style w:type="paragraph" w:styleId="699">
    <w:name w:val="Footer"/>
    <w:basedOn w:val="674"/>
    <w:link w:val="743"/>
    <w:uiPriority w:val="99"/>
    <w:unhideWhenUsed/>
    <w:qFormat/>
    <w:pPr>
      <w:tabs>
        <w:tab w:val="center" w:pos="7143" w:leader="none"/>
        <w:tab w:val="right" w:pos="14287" w:leader="none"/>
      </w:tabs>
    </w:pPr>
  </w:style>
  <w:style w:type="paragraph" w:styleId="700">
    <w:name w:val="Header"/>
    <w:basedOn w:val="674"/>
    <w:link w:val="741"/>
    <w:uiPriority w:val="99"/>
    <w:unhideWhenUsed/>
    <w:qFormat/>
    <w:pPr>
      <w:tabs>
        <w:tab w:val="center" w:pos="7143" w:leader="none"/>
        <w:tab w:val="right" w:pos="14287" w:leader="none"/>
      </w:tabs>
    </w:pPr>
  </w:style>
  <w:style w:type="paragraph" w:styleId="701">
    <w:name w:val="toc 1"/>
    <w:basedOn w:val="674"/>
    <w:next w:val="674"/>
    <w:uiPriority w:val="39"/>
    <w:qFormat/>
    <w:pPr>
      <w:tabs>
        <w:tab w:val="right" w:pos="8456" w:leader="dot"/>
      </w:tabs>
    </w:pPr>
    <w:rPr>
      <w:rFonts w:ascii="宋体" w:hAnsi="宋体"/>
    </w:rPr>
  </w:style>
  <w:style w:type="paragraph" w:styleId="702">
    <w:name w:val="toc 4"/>
    <w:basedOn w:val="674"/>
    <w:next w:val="674"/>
    <w:uiPriority w:val="39"/>
    <w:unhideWhenUsed/>
    <w:qFormat/>
    <w:pPr>
      <w:ind w:left="850"/>
      <w:spacing w:after="57"/>
    </w:pPr>
  </w:style>
  <w:style w:type="paragraph" w:styleId="703">
    <w:name w:val="Subtitle"/>
    <w:basedOn w:val="674"/>
    <w:next w:val="674"/>
    <w:link w:val="736"/>
    <w:uiPriority w:val="11"/>
    <w:qFormat/>
    <w:pPr>
      <w:spacing w:before="200" w:after="200"/>
    </w:pPr>
    <w:rPr>
      <w:sz w:val="24"/>
      <w:szCs w:val="24"/>
    </w:rPr>
  </w:style>
  <w:style w:type="paragraph" w:styleId="704">
    <w:name w:val="footnote text"/>
    <w:basedOn w:val="674"/>
    <w:link w:val="869"/>
    <w:uiPriority w:val="99"/>
    <w:semiHidden/>
    <w:unhideWhenUsed/>
    <w:qFormat/>
    <w:pPr>
      <w:spacing w:after="40"/>
    </w:pPr>
    <w:rPr>
      <w:sz w:val="18"/>
    </w:rPr>
  </w:style>
  <w:style w:type="paragraph" w:styleId="705">
    <w:name w:val="toc 6"/>
    <w:basedOn w:val="674"/>
    <w:next w:val="674"/>
    <w:uiPriority w:val="39"/>
    <w:unhideWhenUsed/>
    <w:qFormat/>
    <w:pPr>
      <w:ind w:left="1417"/>
      <w:spacing w:after="57"/>
    </w:pPr>
  </w:style>
  <w:style w:type="paragraph" w:styleId="706">
    <w:name w:val="table of figures"/>
    <w:basedOn w:val="674"/>
    <w:next w:val="674"/>
    <w:uiPriority w:val="99"/>
    <w:unhideWhenUsed/>
    <w:qFormat/>
  </w:style>
  <w:style w:type="paragraph" w:styleId="707">
    <w:name w:val="toc 2"/>
    <w:basedOn w:val="674"/>
    <w:next w:val="674"/>
    <w:uiPriority w:val="39"/>
    <w:qFormat/>
    <w:pPr>
      <w:ind w:left="420"/>
    </w:pPr>
    <w:rPr>
      <w:rFonts w:ascii="Plotter" w:hAnsi="Plotter" w:eastAsia="微软雅黑"/>
    </w:rPr>
  </w:style>
  <w:style w:type="paragraph" w:styleId="708">
    <w:name w:val="toc 9"/>
    <w:basedOn w:val="674"/>
    <w:next w:val="674"/>
    <w:uiPriority w:val="39"/>
    <w:unhideWhenUsed/>
    <w:qFormat/>
    <w:pPr>
      <w:ind w:left="2268"/>
      <w:spacing w:after="57"/>
    </w:pPr>
  </w:style>
  <w:style w:type="paragraph" w:styleId="709">
    <w:name w:val="Normal (Web)"/>
    <w:basedOn w:val="674"/>
    <w:uiPriority w:val="99"/>
    <w:qFormat/>
    <w:pPr>
      <w:jc w:val="left"/>
    </w:pPr>
    <w:rPr>
      <w:rFonts w:ascii="Plotter" w:hAnsi="Plotter" w:eastAsia="微软雅黑"/>
      <w:sz w:val="24"/>
    </w:rPr>
  </w:style>
  <w:style w:type="paragraph" w:styleId="710">
    <w:name w:val="Title"/>
    <w:basedOn w:val="674"/>
    <w:next w:val="674"/>
    <w:link w:val="735"/>
    <w:uiPriority w:val="10"/>
    <w:qFormat/>
    <w:pPr>
      <w:contextualSpacing/>
      <w:spacing w:before="300" w:after="200"/>
    </w:pPr>
    <w:rPr>
      <w:sz w:val="48"/>
      <w:szCs w:val="48"/>
    </w:rPr>
  </w:style>
  <w:style w:type="paragraph" w:styleId="711">
    <w:name w:val="annotation subject"/>
    <w:basedOn w:val="691"/>
    <w:next w:val="691"/>
    <w:link w:val="976"/>
    <w:uiPriority w:val="99"/>
    <w:semiHidden/>
    <w:unhideWhenUsed/>
    <w:qFormat/>
    <w:rPr>
      <w:b/>
      <w:bCs/>
    </w:rPr>
  </w:style>
  <w:style w:type="paragraph" w:styleId="712">
    <w:name w:val="Body Text First Indent"/>
    <w:basedOn w:val="692"/>
    <w:uiPriority w:val="99"/>
    <w:qFormat/>
    <w:pPr>
      <w:ind w:firstLine="420"/>
    </w:p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Emphasis"/>
    <w:uiPriority w:val="20"/>
    <w:qFormat/>
    <w:rPr>
      <w:i/>
      <w:iCs/>
    </w:rPr>
  </w:style>
  <w:style w:type="character" w:styleId="716">
    <w:name w:val="Hyperlink"/>
    <w:uiPriority w:val="99"/>
    <w:unhideWhenUsed/>
    <w:qFormat/>
    <w:rPr>
      <w:color w:val="0000ff" w:themeColor="hyperlink"/>
      <w:u w:val="single"/>
    </w:rPr>
  </w:style>
  <w:style w:type="character" w:styleId="717">
    <w:name w:val="annotation reference"/>
    <w:basedOn w:val="684"/>
    <w:uiPriority w:val="99"/>
    <w:semiHidden/>
    <w:unhideWhenUsed/>
    <w:qFormat/>
    <w:rPr>
      <w:sz w:val="21"/>
      <w:szCs w:val="21"/>
    </w:rPr>
  </w:style>
  <w:style w:type="character" w:styleId="718">
    <w:name w:val="footnote reference"/>
    <w:uiPriority w:val="99"/>
    <w:unhideWhenUsed/>
    <w:qFormat/>
    <w:rPr>
      <w:vertAlign w:val="superscript"/>
    </w:rPr>
  </w:style>
  <w:style w:type="paragraph" w:styleId="719" w:customStyle="1">
    <w:name w:val="正文首行缩进 21"/>
    <w:basedOn w:val="720"/>
    <w:next w:val="674"/>
    <w:uiPriority w:val="0"/>
    <w:qFormat/>
    <w:pPr>
      <w:ind w:left="0" w:firstLine="420"/>
      <w:spacing w:after="0" w:line="360" w:lineRule="auto"/>
    </w:pPr>
    <w:rPr>
      <w:rFonts w:ascii="宋体" w:hAnsi="宋体"/>
      <w:szCs w:val="20"/>
    </w:rPr>
  </w:style>
  <w:style w:type="paragraph" w:styleId="720" w:customStyle="1">
    <w:name w:val="正文文本缩进11"/>
    <w:basedOn w:val="674"/>
    <w:next w:val="721"/>
    <w:uiPriority w:val="0"/>
    <w:unhideWhenUsed/>
    <w:qFormat/>
    <w:pPr>
      <w:ind w:left="420"/>
      <w:spacing w:after="120"/>
    </w:pPr>
  </w:style>
  <w:style w:type="paragraph" w:styleId="721" w:customStyle="1">
    <w:name w:val="寄信人地址1"/>
    <w:basedOn w:val="674"/>
    <w:uiPriority w:val="0"/>
    <w:qFormat/>
    <w:rPr>
      <w:rFonts w:ascii="Arial" w:hAnsi="Arial" w:cs="宋体"/>
    </w:rPr>
  </w:style>
  <w:style w:type="paragraph" w:styleId="722" w:customStyle="1">
    <w:name w:val="首行缩进"/>
    <w:basedOn w:val="674"/>
    <w:uiPriority w:val="0"/>
    <w:qFormat/>
    <w:pPr>
      <w:ind w:firstLine="480"/>
    </w:pPr>
    <w:rPr>
      <w:lang w:val="zh-CN"/>
    </w:rPr>
  </w:style>
  <w:style w:type="paragraph" w:styleId="723" w:customStyle="1">
    <w:name w:val="标题 21"/>
    <w:basedOn w:val="674"/>
    <w:next w:val="674"/>
    <w:link w:val="879"/>
    <w:uiPriority w:val="0"/>
    <w:qFormat/>
    <w:pPr>
      <w:keepLines/>
      <w:keepNext/>
      <w:spacing w:before="260" w:after="260" w:line="416" w:lineRule="auto"/>
      <w:outlineLvl w:val="1"/>
    </w:pPr>
    <w:rPr>
      <w:rFonts w:ascii="等线 Light" w:hAnsi="等线 Light" w:eastAsia="等线 Light"/>
      <w:b/>
      <w:bCs/>
      <w:sz w:val="32"/>
      <w:szCs w:val="32"/>
    </w:rPr>
  </w:style>
  <w:style w:type="character" w:styleId="724" w:customStyle="1">
    <w:name w:val="标题 1 Char"/>
    <w:link w:val="675"/>
    <w:uiPriority w:val="9"/>
    <w:qFormat/>
    <w:rPr>
      <w:rFonts w:ascii="Arial" w:hAnsi="Arial" w:eastAsia="宋体" w:cs="Arial"/>
      <w:b/>
      <w:sz w:val="36"/>
      <w:szCs w:val="40"/>
    </w:rPr>
  </w:style>
  <w:style w:type="character" w:styleId="725" w:customStyle="1">
    <w:name w:val="标题 2 Char"/>
    <w:link w:val="676"/>
    <w:uiPriority w:val="9"/>
    <w:qFormat/>
    <w:rPr>
      <w:rFonts w:ascii="Arial" w:hAnsi="Arial" w:eastAsia="宋体" w:cs="Arial"/>
      <w:b/>
      <w:sz w:val="28"/>
    </w:rPr>
  </w:style>
  <w:style w:type="character" w:styleId="726" w:customStyle="1">
    <w:name w:val="标题 3 Char"/>
    <w:link w:val="677"/>
    <w:uiPriority w:val="9"/>
    <w:qFormat/>
    <w:rPr>
      <w:rFonts w:ascii="Arial" w:hAnsi="Arial" w:eastAsia="宋体" w:cs="Arial"/>
      <w:b/>
      <w:sz w:val="24"/>
      <w:szCs w:val="30"/>
    </w:rPr>
  </w:style>
  <w:style w:type="character" w:styleId="727" w:customStyle="1">
    <w:name w:val="标题 4 Char"/>
    <w:link w:val="678"/>
    <w:uiPriority w:val="9"/>
    <w:qFormat/>
    <w:rPr>
      <w:rFonts w:ascii="Arial" w:hAnsi="Arial" w:eastAsia="Arial" w:cs="Arial"/>
      <w:b/>
      <w:bCs/>
      <w:sz w:val="26"/>
      <w:szCs w:val="26"/>
    </w:rPr>
  </w:style>
  <w:style w:type="character" w:styleId="728" w:customStyle="1">
    <w:name w:val="标题 5 Char"/>
    <w:link w:val="679"/>
    <w:uiPriority w:val="9"/>
    <w:qFormat/>
    <w:rPr>
      <w:rFonts w:ascii="Arial" w:hAnsi="Arial" w:eastAsia="Arial" w:cs="Arial"/>
      <w:b/>
      <w:bCs/>
      <w:sz w:val="24"/>
      <w:szCs w:val="24"/>
    </w:rPr>
  </w:style>
  <w:style w:type="character" w:styleId="729" w:customStyle="1">
    <w:name w:val="标题 6 Char"/>
    <w:link w:val="680"/>
    <w:uiPriority w:val="9"/>
    <w:qFormat/>
    <w:rPr>
      <w:rFonts w:ascii="Arial" w:hAnsi="Arial" w:eastAsia="Arial" w:cs="Arial"/>
      <w:b/>
      <w:bCs/>
      <w:sz w:val="22"/>
      <w:szCs w:val="22"/>
    </w:rPr>
  </w:style>
  <w:style w:type="character" w:styleId="730" w:customStyle="1">
    <w:name w:val="标题 7 Char"/>
    <w:link w:val="681"/>
    <w:uiPriority w:val="9"/>
    <w:qFormat/>
    <w:rPr>
      <w:rFonts w:ascii="Arial" w:hAnsi="Arial" w:eastAsia="Arial" w:cs="Arial"/>
      <w:b/>
      <w:bCs/>
      <w:i/>
      <w:iCs/>
      <w:sz w:val="22"/>
      <w:szCs w:val="22"/>
    </w:rPr>
  </w:style>
  <w:style w:type="character" w:styleId="731" w:customStyle="1">
    <w:name w:val="标题 8 Char"/>
    <w:link w:val="682"/>
    <w:uiPriority w:val="9"/>
    <w:qFormat/>
    <w:rPr>
      <w:rFonts w:ascii="Arial" w:hAnsi="Arial" w:eastAsia="Arial" w:cs="Arial"/>
      <w:i/>
      <w:iCs/>
      <w:sz w:val="22"/>
      <w:szCs w:val="22"/>
    </w:rPr>
  </w:style>
  <w:style w:type="character" w:styleId="732" w:customStyle="1">
    <w:name w:val="标题 9 Char"/>
    <w:link w:val="683"/>
    <w:uiPriority w:val="9"/>
    <w:qFormat/>
    <w:rPr>
      <w:rFonts w:ascii="Arial" w:hAnsi="Arial" w:eastAsia="Arial" w:cs="Arial"/>
      <w:i/>
      <w:iCs/>
      <w:sz w:val="21"/>
      <w:szCs w:val="21"/>
    </w:rPr>
  </w:style>
  <w:style w:type="paragraph" w:styleId="733">
    <w:name w:val="List Paragraph"/>
    <w:basedOn w:val="674"/>
    <w:uiPriority w:val="34"/>
    <w:qFormat/>
    <w:pPr>
      <w:contextualSpacing/>
      <w:ind w:left="720"/>
    </w:pPr>
  </w:style>
  <w:style w:type="paragraph" w:styleId="734">
    <w:name w:val="No Spacing"/>
    <w:uiPriority w:val="1"/>
    <w:qFormat/>
    <w:rPr>
      <w:rFonts w:ascii="Times New Roman" w:hAnsi="Times New Roman" w:eastAsia="宋体" w:cs="Times New Roman"/>
      <w:lang w:val="en-US" w:eastAsia="zh-CN" w:bidi="ar-SA"/>
    </w:rPr>
  </w:style>
  <w:style w:type="character" w:styleId="735" w:customStyle="1">
    <w:name w:val="标题 Char"/>
    <w:link w:val="710"/>
    <w:uiPriority w:val="10"/>
    <w:qFormat/>
    <w:rPr>
      <w:sz w:val="48"/>
      <w:szCs w:val="48"/>
    </w:rPr>
  </w:style>
  <w:style w:type="character" w:styleId="736" w:customStyle="1">
    <w:name w:val="副标题 Char"/>
    <w:link w:val="703"/>
    <w:uiPriority w:val="11"/>
    <w:qFormat/>
    <w:rPr>
      <w:sz w:val="24"/>
      <w:szCs w:val="24"/>
    </w:rPr>
  </w:style>
  <w:style w:type="paragraph" w:styleId="737">
    <w:name w:val="Quote"/>
    <w:basedOn w:val="674"/>
    <w:next w:val="674"/>
    <w:link w:val="738"/>
    <w:uiPriority w:val="29"/>
    <w:qFormat/>
    <w:pPr>
      <w:ind w:left="720" w:right="720"/>
    </w:pPr>
    <w:rPr>
      <w:i/>
    </w:rPr>
  </w:style>
  <w:style w:type="character" w:styleId="738" w:customStyle="1">
    <w:name w:val="引用 Char"/>
    <w:link w:val="737"/>
    <w:uiPriority w:val="29"/>
    <w:qFormat/>
    <w:rPr>
      <w:i/>
    </w:rPr>
  </w:style>
  <w:style w:type="paragraph" w:styleId="739">
    <w:name w:val="Intense Quote"/>
    <w:basedOn w:val="674"/>
    <w:next w:val="674"/>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页眉 Char"/>
    <w:link w:val="700"/>
    <w:uiPriority w:val="99"/>
    <w:qFormat/>
  </w:style>
  <w:style w:type="character" w:styleId="742" w:customStyle="1">
    <w:name w:val="Footer Char"/>
    <w:uiPriority w:val="99"/>
    <w:qFormat/>
  </w:style>
  <w:style w:type="character" w:styleId="743" w:customStyle="1">
    <w:name w:val="页脚 Char"/>
    <w:link w:val="699"/>
    <w:uiPriority w:val="99"/>
    <w:qFormat/>
  </w:style>
  <w:style w:type="table" w:styleId="7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Char"/>
    <w:link w:val="704"/>
    <w:uiPriority w:val="99"/>
    <w:qFormat/>
    <w:rPr>
      <w:sz w:val="18"/>
    </w:rPr>
  </w:style>
  <w:style w:type="character" w:styleId="870" w:customStyle="1">
    <w:name w:val="尾注文本 Char"/>
    <w:link w:val="698"/>
    <w:uiPriority w:val="99"/>
    <w:qFormat/>
    <w:rPr>
      <w:sz w:val="20"/>
    </w:rPr>
  </w:style>
  <w:style w:type="paragraph" w:styleId="871" w:customStyle="1">
    <w:name w:val="TOC 标题1"/>
    <w:uiPriority w:val="39"/>
    <w:unhideWhenUsed/>
    <w:qFormat/>
    <w:rPr>
      <w:rFonts w:ascii="Times New Roman" w:hAnsi="Times New Roman" w:eastAsia="宋体" w:cs="Times New Roman"/>
      <w:lang w:val="en-US" w:eastAsia="zh-CN" w:bidi="ar-SA"/>
    </w:rPr>
  </w:style>
  <w:style w:type="paragraph" w:styleId="872" w:customStyle="1">
    <w:name w:val="标题 11"/>
    <w:basedOn w:val="674"/>
    <w:next w:val="674"/>
    <w:link w:val="878"/>
    <w:uiPriority w:val="0"/>
    <w:qFormat/>
    <w:pPr>
      <w:jc w:val="center"/>
      <w:keepLines/>
      <w:keepNext/>
      <w:spacing w:before="340" w:after="330" w:line="578" w:lineRule="auto"/>
      <w:outlineLvl w:val="0"/>
    </w:pPr>
    <w:rPr>
      <w:b/>
      <w:bCs/>
      <w:sz w:val="44"/>
      <w:szCs w:val="44"/>
    </w:rPr>
  </w:style>
  <w:style w:type="paragraph" w:styleId="873" w:customStyle="1">
    <w:name w:val="标题 31"/>
    <w:basedOn w:val="872"/>
    <w:next w:val="874"/>
    <w:link w:val="880"/>
    <w:uiPriority w:val="0"/>
    <w:qFormat/>
    <w:pPr>
      <w:ind w:left="720" w:hanging="720"/>
      <w:spacing w:before="240" w:after="240" w:line="360" w:lineRule="auto"/>
      <w:outlineLvl w:val="2"/>
    </w:pPr>
    <w:rPr>
      <w:rFonts w:eastAsia="仿宋"/>
      <w:sz w:val="24"/>
    </w:rPr>
  </w:style>
  <w:style w:type="paragraph" w:styleId="874" w:customStyle="1">
    <w:name w:val="正文缩进1"/>
    <w:basedOn w:val="674"/>
    <w:link w:val="881"/>
    <w:uiPriority w:val="0"/>
    <w:qFormat/>
    <w:pPr>
      <w:ind w:firstLine="420"/>
    </w:pPr>
    <w:rPr>
      <w:szCs w:val="20"/>
    </w:rPr>
  </w:style>
  <w:style w:type="paragraph" w:styleId="875" w:customStyle="1">
    <w:name w:val="标题 41"/>
    <w:basedOn w:val="674"/>
    <w:next w:val="674"/>
    <w:uiPriority w:val="0"/>
    <w:qFormat/>
    <w:pPr>
      <w:keepLines/>
      <w:keepNext/>
      <w:spacing w:before="120" w:after="120"/>
      <w:outlineLvl w:val="3"/>
    </w:pPr>
    <w:rPr>
      <w:rFonts w:ascii="Arial" w:hAnsi="Arial" w:eastAsia="黑体"/>
      <w:b/>
      <w:sz w:val="20"/>
      <w:szCs w:val="20"/>
    </w:rPr>
  </w:style>
  <w:style w:type="character" w:styleId="876" w:customStyle="1">
    <w:name w:val="默认段落字体1"/>
    <w:uiPriority w:val="1"/>
    <w:unhideWhenUsed/>
    <w:qFormat/>
  </w:style>
  <w:style w:type="table" w:styleId="877" w:customStyle="1">
    <w:name w:val="普通表格1"/>
    <w:uiPriority w:val="99"/>
    <w:unhideWhenUsed/>
    <w:qFormat/>
    <w:tblPr>
      <w:tblCellMar>
        <w:left w:w="0" w:type="dxa"/>
        <w:top w:w="0" w:type="dxa"/>
        <w:right w:w="0" w:type="dxa"/>
        <w:bottom w:w="0" w:type="dxa"/>
      </w:tblCellMar>
    </w:tblPr>
  </w:style>
  <w:style w:type="character" w:styleId="878" w:customStyle="1">
    <w:name w:val="标题 1 字符"/>
    <w:link w:val="872"/>
    <w:uiPriority w:val="0"/>
    <w:qFormat/>
    <w:rPr>
      <w:rFonts w:ascii="Calibri" w:hAnsi="Calibri" w:eastAsia="宋体"/>
      <w:b/>
      <w:bCs/>
      <w:sz w:val="44"/>
      <w:szCs w:val="44"/>
    </w:rPr>
  </w:style>
  <w:style w:type="character" w:styleId="879" w:customStyle="1">
    <w:name w:val="标题 2 字符"/>
    <w:link w:val="723"/>
    <w:uiPriority w:val="0"/>
    <w:qFormat/>
    <w:rPr>
      <w:rFonts w:ascii="等线 Light" w:hAnsi="等线 Light" w:eastAsia="等线 Light"/>
      <w:b/>
      <w:bCs/>
      <w:sz w:val="32"/>
      <w:szCs w:val="32"/>
    </w:rPr>
  </w:style>
  <w:style w:type="character" w:styleId="880" w:customStyle="1">
    <w:name w:val="标题 3 字符"/>
    <w:link w:val="873"/>
    <w:uiPriority w:val="0"/>
    <w:qFormat/>
    <w:rPr>
      <w:rFonts w:ascii="Calibri" w:hAnsi="Calibri" w:eastAsia="仿宋"/>
      <w:b/>
      <w:bCs/>
      <w:sz w:val="24"/>
      <w:szCs w:val="44"/>
    </w:rPr>
  </w:style>
  <w:style w:type="character" w:styleId="881" w:customStyle="1">
    <w:name w:val="正文缩进 字符"/>
    <w:link w:val="874"/>
    <w:uiPriority w:val="0"/>
    <w:qFormat/>
    <w:rPr>
      <w:rFonts w:ascii="Calibri" w:hAnsi="Calibri"/>
      <w:sz w:val="21"/>
    </w:rPr>
  </w:style>
  <w:style w:type="paragraph" w:styleId="882" w:customStyle="1">
    <w:name w:val="引文目录标题1"/>
    <w:basedOn w:val="674"/>
    <w:next w:val="674"/>
    <w:uiPriority w:val="99"/>
    <w:unhideWhenUsed/>
    <w:qFormat/>
    <w:pPr>
      <w:spacing w:before="120"/>
    </w:pPr>
    <w:rPr>
      <w:rFonts w:ascii="Cambria" w:hAnsi="Cambria"/>
      <w:sz w:val="24"/>
      <w:szCs w:val="24"/>
    </w:rPr>
  </w:style>
  <w:style w:type="paragraph" w:styleId="883" w:customStyle="1">
    <w:name w:val="批注文字1"/>
    <w:basedOn w:val="674"/>
    <w:link w:val="884"/>
    <w:uiPriority w:val="0"/>
    <w:qFormat/>
    <w:pPr>
      <w:jc w:val="left"/>
    </w:pPr>
    <w:rPr>
      <w:szCs w:val="20"/>
    </w:rPr>
  </w:style>
  <w:style w:type="character" w:styleId="884" w:customStyle="1">
    <w:name w:val="批注文字 字符"/>
    <w:link w:val="883"/>
    <w:uiPriority w:val="0"/>
    <w:qFormat/>
    <w:rPr>
      <w:rFonts w:ascii="Calibri" w:hAnsi="Calibri"/>
      <w:sz w:val="21"/>
    </w:rPr>
  </w:style>
  <w:style w:type="paragraph" w:styleId="885" w:customStyle="1">
    <w:name w:val="正文文本1"/>
    <w:basedOn w:val="674"/>
    <w:next w:val="875"/>
    <w:link w:val="886"/>
    <w:uiPriority w:val="0"/>
    <w:qFormat/>
    <w:pPr>
      <w:spacing w:after="120"/>
    </w:pPr>
  </w:style>
  <w:style w:type="character" w:styleId="886" w:customStyle="1">
    <w:name w:val="正文文本 字符"/>
    <w:link w:val="885"/>
    <w:uiPriority w:val="0"/>
    <w:qFormat/>
    <w:rPr>
      <w:rFonts w:ascii="Calibri" w:hAnsi="Calibri"/>
      <w:sz w:val="21"/>
      <w:szCs w:val="22"/>
    </w:rPr>
  </w:style>
  <w:style w:type="paragraph" w:styleId="887" w:customStyle="1">
    <w:name w:val="正文文本缩进1"/>
    <w:basedOn w:val="674"/>
    <w:link w:val="888"/>
    <w:uiPriority w:val="0"/>
    <w:unhideWhenUsed/>
    <w:qFormat/>
    <w:pPr>
      <w:ind w:firstLine="420"/>
      <w:spacing w:line="360" w:lineRule="auto"/>
    </w:pPr>
    <w:rPr>
      <w:rFonts w:ascii="宋体" w:hAnsi="Times New Roman"/>
      <w:sz w:val="24"/>
      <w:szCs w:val="20"/>
    </w:rPr>
  </w:style>
  <w:style w:type="character" w:styleId="888" w:customStyle="1">
    <w:name w:val="正文文本缩进 字符"/>
    <w:link w:val="887"/>
    <w:uiPriority w:val="0"/>
    <w:qFormat/>
    <w:rPr>
      <w:rFonts w:ascii="宋体"/>
      <w:sz w:val="24"/>
    </w:rPr>
  </w:style>
  <w:style w:type="paragraph" w:styleId="889" w:customStyle="1">
    <w:name w:val="纯文本11"/>
    <w:basedOn w:val="674"/>
    <w:link w:val="890"/>
    <w:uiPriority w:val="0"/>
    <w:qFormat/>
    <w:rPr>
      <w:rFonts w:ascii="宋体" w:hAnsi="Courier New"/>
    </w:rPr>
  </w:style>
  <w:style w:type="character" w:styleId="890" w:customStyle="1">
    <w:name w:val="纯文本 字符"/>
    <w:link w:val="889"/>
    <w:uiPriority w:val="0"/>
    <w:qFormat/>
    <w:rPr>
      <w:rFonts w:ascii="宋体" w:hAnsi="Courier New"/>
      <w:sz w:val="21"/>
      <w:szCs w:val="22"/>
    </w:rPr>
  </w:style>
  <w:style w:type="paragraph" w:styleId="891" w:customStyle="1">
    <w:name w:val="日期1"/>
    <w:basedOn w:val="674"/>
    <w:next w:val="674"/>
    <w:link w:val="892"/>
    <w:uiPriority w:val="0"/>
    <w:qFormat/>
    <w:rPr>
      <w:rFonts w:ascii="宋体" w:hAnsi="Times New Roman"/>
      <w:sz w:val="28"/>
      <w:szCs w:val="20"/>
    </w:rPr>
  </w:style>
  <w:style w:type="character" w:styleId="892" w:customStyle="1">
    <w:name w:val="日期 字符1"/>
    <w:link w:val="891"/>
    <w:uiPriority w:val="0"/>
    <w:qFormat/>
    <w:rPr>
      <w:rFonts w:ascii="宋体"/>
      <w:sz w:val="28"/>
    </w:rPr>
  </w:style>
  <w:style w:type="paragraph" w:styleId="893" w:customStyle="1">
    <w:name w:val="正文文本缩进 21"/>
    <w:basedOn w:val="674"/>
    <w:next w:val="674"/>
    <w:uiPriority w:val="0"/>
    <w:qFormat/>
    <w:pPr>
      <w:ind w:left="630" w:firstLine="645"/>
    </w:pPr>
    <w:rPr>
      <w:rFonts w:ascii="Arial" w:hAnsi="Arial" w:eastAsia="仿宋_GB2312"/>
      <w:sz w:val="32"/>
      <w:szCs w:val="20"/>
    </w:rPr>
  </w:style>
  <w:style w:type="paragraph" w:styleId="894" w:customStyle="1">
    <w:name w:val="批注框文本1"/>
    <w:basedOn w:val="674"/>
    <w:link w:val="895"/>
    <w:uiPriority w:val="0"/>
    <w:qFormat/>
    <w:rPr>
      <w:sz w:val="16"/>
      <w:szCs w:val="16"/>
    </w:rPr>
  </w:style>
  <w:style w:type="character" w:styleId="895" w:customStyle="1">
    <w:name w:val="批注框文本 字符1"/>
    <w:link w:val="894"/>
    <w:uiPriority w:val="0"/>
    <w:qFormat/>
    <w:rPr>
      <w:rFonts w:ascii="Calibri" w:hAnsi="Calibri" w:eastAsia="宋体" w:cs="Times New Roman"/>
      <w:sz w:val="16"/>
      <w:szCs w:val="16"/>
    </w:rPr>
  </w:style>
  <w:style w:type="paragraph" w:styleId="896" w:customStyle="1">
    <w:name w:val="页脚1"/>
    <w:basedOn w:val="674"/>
    <w:link w:val="897"/>
    <w:uiPriority w:val="0"/>
    <w:qFormat/>
    <w:pPr>
      <w:jc w:val="left"/>
      <w:tabs>
        <w:tab w:val="center" w:pos="4153" w:leader="none"/>
        <w:tab w:val="right" w:pos="8306" w:leader="none"/>
      </w:tabs>
    </w:pPr>
    <w:rPr>
      <w:sz w:val="18"/>
      <w:szCs w:val="18"/>
    </w:rPr>
  </w:style>
  <w:style w:type="character" w:styleId="897" w:customStyle="1">
    <w:name w:val="页脚 字符"/>
    <w:link w:val="896"/>
    <w:uiPriority w:val="0"/>
    <w:qFormat/>
    <w:rPr>
      <w:rFonts w:ascii="Calibri" w:hAnsi="Calibri"/>
      <w:sz w:val="18"/>
      <w:szCs w:val="18"/>
    </w:rPr>
  </w:style>
  <w:style w:type="paragraph" w:styleId="898" w:customStyle="1">
    <w:name w:val="页眉1"/>
    <w:basedOn w:val="674"/>
    <w:link w:val="899"/>
    <w:uiPriority w:val="0"/>
    <w:qFormat/>
    <w:pPr>
      <w:jc w:val="center"/>
      <w:tabs>
        <w:tab w:val="center" w:pos="4153" w:leader="none"/>
        <w:tab w:val="right" w:pos="8306" w:leader="none"/>
      </w:tabs>
      <w:pBdr>
        <w:bottom w:val="single" w:color="000000" w:sz="6" w:space="1"/>
      </w:pBdr>
    </w:pPr>
    <w:rPr>
      <w:sz w:val="18"/>
      <w:szCs w:val="18"/>
    </w:rPr>
  </w:style>
  <w:style w:type="character" w:styleId="899" w:customStyle="1">
    <w:name w:val="页眉 字符"/>
    <w:link w:val="898"/>
    <w:uiPriority w:val="0"/>
    <w:qFormat/>
    <w:rPr>
      <w:rFonts w:ascii="Calibri" w:hAnsi="Calibri"/>
      <w:sz w:val="18"/>
      <w:szCs w:val="18"/>
    </w:rPr>
  </w:style>
  <w:style w:type="paragraph" w:styleId="900" w:customStyle="1">
    <w:name w:val="索引标题1"/>
    <w:basedOn w:val="674"/>
    <w:next w:val="901"/>
    <w:uiPriority w:val="0"/>
    <w:qFormat/>
    <w:rPr>
      <w:szCs w:val="20"/>
    </w:rPr>
  </w:style>
  <w:style w:type="paragraph" w:styleId="901" w:customStyle="1">
    <w:name w:val="索引 11"/>
    <w:basedOn w:val="674"/>
    <w:next w:val="674"/>
    <w:uiPriority w:val="0"/>
    <w:qFormat/>
    <w:pPr>
      <w:jc w:val="center"/>
    </w:pPr>
    <w:rPr>
      <w:bCs/>
      <w:szCs w:val="20"/>
    </w:rPr>
  </w:style>
  <w:style w:type="paragraph" w:styleId="902" w:customStyle="1">
    <w:name w:val="副标题1"/>
    <w:basedOn w:val="674"/>
    <w:next w:val="674"/>
    <w:link w:val="903"/>
    <w:uiPriority w:val="0"/>
    <w:qFormat/>
    <w:pPr>
      <w:jc w:val="left"/>
      <w:spacing w:line="360" w:lineRule="auto"/>
      <w:outlineLvl w:val="1"/>
    </w:pPr>
    <w:rPr>
      <w:rFonts w:ascii="等线 Light" w:hAnsi="等线 Light" w:eastAsia="仿宋"/>
      <w:b/>
      <w:bCs/>
      <w:sz w:val="28"/>
      <w:szCs w:val="32"/>
    </w:rPr>
  </w:style>
  <w:style w:type="character" w:styleId="903" w:customStyle="1">
    <w:name w:val="副标题 字符"/>
    <w:link w:val="902"/>
    <w:uiPriority w:val="0"/>
    <w:qFormat/>
    <w:rPr>
      <w:rFonts w:ascii="等线 Light" w:hAnsi="等线 Light" w:eastAsia="仿宋"/>
      <w:b/>
      <w:bCs/>
      <w:sz w:val="28"/>
      <w:szCs w:val="32"/>
    </w:rPr>
  </w:style>
  <w:style w:type="paragraph" w:styleId="904" w:customStyle="1">
    <w:name w:val="正文文本缩进 31"/>
    <w:basedOn w:val="674"/>
    <w:link w:val="905"/>
    <w:uiPriority w:val="0"/>
    <w:qFormat/>
    <w:pPr>
      <w:ind w:left="420"/>
      <w:spacing w:after="120"/>
    </w:pPr>
    <w:rPr>
      <w:rFonts w:ascii="Plotter" w:hAnsi="Plotter"/>
      <w:sz w:val="16"/>
      <w:szCs w:val="16"/>
    </w:rPr>
  </w:style>
  <w:style w:type="character" w:styleId="905" w:customStyle="1">
    <w:name w:val="正文文本缩进 3 字符"/>
    <w:link w:val="904"/>
    <w:uiPriority w:val="0"/>
    <w:qFormat/>
    <w:rPr>
      <w:rFonts w:ascii="Plotter" w:hAnsi="Plotter"/>
      <w:sz w:val="16"/>
      <w:szCs w:val="16"/>
    </w:rPr>
  </w:style>
  <w:style w:type="paragraph" w:styleId="906" w:customStyle="1">
    <w:name w:val="普通(网站)1"/>
    <w:basedOn w:val="674"/>
    <w:uiPriority w:val="99"/>
    <w:qFormat/>
    <w:pPr>
      <w:jc w:val="left"/>
    </w:pPr>
    <w:rPr>
      <w:rFonts w:ascii="Plotter" w:hAnsi="Plotter" w:eastAsia="微软雅黑"/>
      <w:sz w:val="24"/>
    </w:rPr>
  </w:style>
  <w:style w:type="paragraph" w:styleId="907" w:customStyle="1">
    <w:name w:val="标题1"/>
    <w:basedOn w:val="674"/>
    <w:next w:val="674"/>
    <w:link w:val="908"/>
    <w:uiPriority w:val="0"/>
    <w:qFormat/>
    <w:pPr>
      <w:jc w:val="center"/>
      <w:spacing w:before="240" w:after="60"/>
      <w:outlineLvl w:val="0"/>
    </w:pPr>
    <w:rPr>
      <w:rFonts w:ascii="等线 Light" w:hAnsi="等线 Light"/>
      <w:b/>
      <w:bCs/>
      <w:sz w:val="32"/>
      <w:szCs w:val="32"/>
    </w:rPr>
  </w:style>
  <w:style w:type="character" w:styleId="908" w:customStyle="1">
    <w:name w:val="标题 字符"/>
    <w:link w:val="907"/>
    <w:uiPriority w:val="0"/>
    <w:qFormat/>
    <w:rPr>
      <w:rFonts w:ascii="等线 Light" w:hAnsi="等线 Light"/>
      <w:b/>
      <w:bCs/>
      <w:sz w:val="32"/>
      <w:szCs w:val="32"/>
    </w:rPr>
  </w:style>
  <w:style w:type="paragraph" w:styleId="909" w:customStyle="1">
    <w:name w:val="批注主题1"/>
    <w:basedOn w:val="883"/>
    <w:next w:val="883"/>
    <w:link w:val="910"/>
    <w:uiPriority w:val="0"/>
    <w:qFormat/>
    <w:rPr>
      <w:rFonts w:ascii="Plotter" w:hAnsi="Plotter"/>
      <w:b/>
      <w:bCs/>
      <w:szCs w:val="22"/>
    </w:rPr>
  </w:style>
  <w:style w:type="character" w:styleId="910" w:customStyle="1">
    <w:name w:val="批注主题 字符"/>
    <w:link w:val="909"/>
    <w:uiPriority w:val="0"/>
    <w:qFormat/>
    <w:rPr>
      <w:rFonts w:ascii="Plotter" w:hAnsi="Plotter"/>
      <w:b/>
      <w:bCs/>
      <w:sz w:val="21"/>
      <w:szCs w:val="22"/>
    </w:rPr>
  </w:style>
  <w:style w:type="paragraph" w:styleId="911" w:customStyle="1">
    <w:name w:val="正文文本首行缩进1"/>
    <w:basedOn w:val="885"/>
    <w:link w:val="912"/>
    <w:uiPriority w:val="0"/>
    <w:qFormat/>
    <w:pPr>
      <w:ind w:firstLine="420"/>
    </w:pPr>
    <w:rPr>
      <w:rFonts w:ascii="Times New Roman" w:hAnsi="Times New Roman" w:eastAsia="微软雅黑"/>
      <w:sz w:val="30"/>
    </w:rPr>
  </w:style>
  <w:style w:type="character" w:styleId="912" w:customStyle="1">
    <w:name w:val="正文文本首行缩进 字符"/>
    <w:link w:val="911"/>
    <w:uiPriority w:val="0"/>
    <w:qFormat/>
  </w:style>
  <w:style w:type="table" w:styleId="913" w:customStyle="1">
    <w:name w:val="网格型1"/>
    <w:basedOn w:val="877"/>
    <w:uiPriority w:val="0"/>
    <w:qFormat/>
    <w:rPr>
      <w:rFonts w:ascii="Calibri" w:hAnsi="Calibri"/>
      <w:sz w:val="21"/>
      <w:szCs w:val="22"/>
    </w:rPr>
    <w:tblPr>
      <w:tblCellMar>
        <w:left w:w="0" w:type="dxa"/>
        <w:top w:w="0" w:type="dxa"/>
        <w:right w:w="0" w:type="dxa"/>
        <w:bottom w:w="0" w:type="dxa"/>
      </w:tblCellMar>
    </w:tblPr>
  </w:style>
  <w:style w:type="character" w:styleId="914" w:customStyle="1">
    <w:name w:val="要点1"/>
    <w:uiPriority w:val="0"/>
    <w:qFormat/>
    <w:rPr>
      <w:b/>
      <w:bCs/>
      <w:sz w:val="24"/>
      <w:szCs w:val="24"/>
    </w:rPr>
  </w:style>
  <w:style w:type="character" w:styleId="915" w:customStyle="1">
    <w:name w:val="页码11"/>
    <w:uiPriority w:val="0"/>
    <w:qFormat/>
  </w:style>
  <w:style w:type="character" w:styleId="916" w:customStyle="1">
    <w:name w:val="访问过的超链接1"/>
    <w:uiPriority w:val="0"/>
    <w:qFormat/>
    <w:rPr>
      <w:color w:val="000000"/>
      <w:u w:val="none"/>
    </w:rPr>
  </w:style>
  <w:style w:type="character" w:styleId="917" w:customStyle="1">
    <w:name w:val="强调1"/>
    <w:uiPriority w:val="20"/>
    <w:qFormat/>
    <w:rPr>
      <w:i/>
      <w:iCs/>
    </w:rPr>
  </w:style>
  <w:style w:type="character" w:styleId="918" w:customStyle="1">
    <w:name w:val="超链接1"/>
    <w:uiPriority w:val="99"/>
    <w:unhideWhenUsed/>
    <w:qFormat/>
    <w:rPr>
      <w:color w:val="0563c1"/>
      <w:u w:val="single"/>
    </w:rPr>
  </w:style>
  <w:style w:type="character" w:styleId="919" w:customStyle="1">
    <w:name w:val="HTML 代码1"/>
    <w:uiPriority w:val="0"/>
    <w:qFormat/>
    <w:rPr>
      <w:rFonts w:ascii="Courier New" w:hAnsi="Courier New"/>
      <w:sz w:val="20"/>
    </w:rPr>
  </w:style>
  <w:style w:type="character" w:styleId="920" w:customStyle="1">
    <w:name w:val="批注引用1"/>
    <w:uiPriority w:val="0"/>
    <w:qFormat/>
    <w:rPr>
      <w:sz w:val="21"/>
      <w:szCs w:val="21"/>
    </w:rPr>
  </w:style>
  <w:style w:type="character" w:styleId="921" w:customStyle="1">
    <w:name w:val="样式 标题 3标题 3 Char + 黑体 小四 非加粗 Char"/>
    <w:link w:val="922"/>
    <w:uiPriority w:val="0"/>
    <w:qFormat/>
    <w:rPr>
      <w:rFonts w:ascii="黑体" w:hAnsi="黑体" w:eastAsia="黑体"/>
      <w:b/>
      <w:sz w:val="24"/>
    </w:rPr>
  </w:style>
  <w:style w:type="paragraph" w:styleId="922" w:customStyle="1">
    <w:name w:val="样式 标题 3标题 3 Char + 黑体 小四 非加粗"/>
    <w:basedOn w:val="875"/>
    <w:link w:val="921"/>
    <w:uiPriority w:val="0"/>
    <w:qFormat/>
    <w:pPr>
      <w:ind w:left="360"/>
      <w:spacing w:before="280" w:after="290" w:line="376" w:lineRule="auto"/>
    </w:pPr>
    <w:rPr>
      <w:rFonts w:ascii="黑体" w:hAnsi="黑体"/>
      <w:sz w:val="24"/>
    </w:rPr>
  </w:style>
  <w:style w:type="character" w:styleId="923" w:customStyle="1">
    <w:name w:val="font01"/>
    <w:uiPriority w:val="0"/>
    <w:qFormat/>
    <w:rPr>
      <w:rFonts w:ascii="Times New Roman" w:hAnsi="Times New Roman" w:cs="Times New Roman"/>
      <w:color w:val="000000"/>
      <w:sz w:val="24"/>
      <w:szCs w:val="24"/>
      <w:u w:val="none"/>
    </w:rPr>
  </w:style>
  <w:style w:type="character" w:styleId="924" w:customStyle="1">
    <w:name w:val="正文文本缩进 3 Char1"/>
    <w:uiPriority w:val="0"/>
    <w:qFormat/>
    <w:rPr>
      <w:rFonts w:ascii="Calibri" w:hAnsi="Calibri"/>
      <w:sz w:val="16"/>
      <w:szCs w:val="16"/>
    </w:rPr>
  </w:style>
  <w:style w:type="character" w:styleId="925" w:customStyle="1">
    <w:name w:val="font51"/>
    <w:uiPriority w:val="0"/>
    <w:qFormat/>
    <w:rPr>
      <w:rFonts w:hint="eastAsia" w:ascii="宋体" w:hAnsi="宋体" w:eastAsia="宋体" w:cs="宋体"/>
      <w:b/>
      <w:color w:val="000000"/>
      <w:sz w:val="24"/>
      <w:szCs w:val="24"/>
      <w:u w:val="none"/>
    </w:rPr>
  </w:style>
  <w:style w:type="character" w:styleId="926" w:customStyle="1">
    <w:name w:val="日期 Char1"/>
    <w:uiPriority w:val="0"/>
    <w:qFormat/>
    <w:rPr>
      <w:rFonts w:ascii="Calibri" w:hAnsi="Calibri"/>
      <w:sz w:val="21"/>
      <w:szCs w:val="22"/>
    </w:rPr>
  </w:style>
  <w:style w:type="character" w:styleId="927" w:customStyle="1">
    <w:name w:val="grame"/>
    <w:uiPriority w:val="0"/>
    <w:qFormat/>
  </w:style>
  <w:style w:type="character" w:styleId="928" w:customStyle="1">
    <w:name w:val="批注文字 Char2"/>
    <w:uiPriority w:val="0"/>
    <w:qFormat/>
    <w:rPr>
      <w:rFonts w:ascii="Symbol" w:hAnsi="Symbol" w:eastAsia="宋体" w:cs="Symbol"/>
      <w:sz w:val="21"/>
      <w:szCs w:val="24"/>
      <w:lang w:val="en-US" w:eastAsia="zh-CN" w:bidi="ar-SA"/>
    </w:rPr>
  </w:style>
  <w:style w:type="character" w:styleId="929" w:customStyle="1">
    <w:name w:val="标题 Char1"/>
    <w:uiPriority w:val="0"/>
    <w:qFormat/>
    <w:rPr>
      <w:rFonts w:ascii="Cambria" w:hAnsi="Cambria" w:cs="Times New Roman"/>
      <w:b/>
      <w:bCs/>
      <w:sz w:val="32"/>
      <w:szCs w:val="32"/>
    </w:rPr>
  </w:style>
  <w:style w:type="character" w:styleId="930" w:customStyle="1">
    <w:name w:val="font11"/>
    <w:basedOn w:val="684"/>
    <w:uiPriority w:val="0"/>
    <w:qFormat/>
    <w:rPr>
      <w:rFonts w:hint="eastAsia" w:ascii="宋体" w:hAnsi="宋体" w:eastAsia="宋体" w:cs="宋体"/>
      <w:color w:val="ff0000"/>
      <w:sz w:val="24"/>
      <w:szCs w:val="24"/>
      <w:u w:val="none"/>
    </w:rPr>
  </w:style>
  <w:style w:type="character" w:styleId="931" w:customStyle="1">
    <w:name w:val="font31"/>
    <w:uiPriority w:val="0"/>
    <w:qFormat/>
    <w:rPr>
      <w:rFonts w:hint="eastAsia" w:ascii="宋体" w:hAnsi="宋体" w:eastAsia="宋体" w:cs="宋体"/>
      <w:b/>
      <w:color w:val="000000"/>
      <w:sz w:val="18"/>
      <w:szCs w:val="18"/>
      <w:u w:val="none"/>
    </w:rPr>
  </w:style>
  <w:style w:type="character" w:styleId="932" w:customStyle="1">
    <w:name w:val="正文文本 (2)_"/>
    <w:link w:val="933"/>
    <w:uiPriority w:val="99"/>
    <w:qFormat/>
    <w:rPr>
      <w:rFonts w:ascii="Wingdings" w:hAnsi="Wingdings"/>
      <w:sz w:val="18"/>
      <w:szCs w:val="22"/>
      <w:lang w:val="zh-TW"/>
    </w:rPr>
  </w:style>
  <w:style w:type="paragraph" w:styleId="933" w:customStyle="1">
    <w:name w:val="正文文本 (2)"/>
    <w:basedOn w:val="674"/>
    <w:link w:val="932"/>
    <w:uiPriority w:val="99"/>
    <w:qFormat/>
    <w:pPr>
      <w:ind w:left="900" w:hanging="420"/>
      <w:spacing w:line="480" w:lineRule="exact"/>
      <w:outlineLvl w:val="1"/>
    </w:pPr>
    <w:rPr>
      <w:rFonts w:ascii="Wingdings" w:hAnsi="Wingdings"/>
      <w:sz w:val="18"/>
      <w:lang w:val="zh-TW"/>
    </w:rPr>
  </w:style>
  <w:style w:type="character" w:styleId="934" w:customStyle="1">
    <w:name w:val="批注文字 Char"/>
    <w:uiPriority w:val="0"/>
    <w:qFormat/>
    <w:rPr>
      <w:rFonts w:ascii="Plotter" w:hAnsi="Plotter"/>
      <w:sz w:val="21"/>
      <w:szCs w:val="22"/>
    </w:rPr>
  </w:style>
  <w:style w:type="character" w:styleId="935" w:customStyle="1">
    <w:name w:val="time"/>
    <w:uiPriority w:val="0"/>
    <w:qFormat/>
    <w:rPr>
      <w:color w:val="939393"/>
      <w:sz w:val="18"/>
      <w:szCs w:val="18"/>
    </w:rPr>
  </w:style>
  <w:style w:type="character" w:styleId="936" w:customStyle="1">
    <w:name w:val="font21"/>
    <w:uiPriority w:val="0"/>
    <w:qFormat/>
    <w:rPr>
      <w:rFonts w:hint="eastAsia" w:ascii="宋体" w:hAnsi="宋体" w:eastAsia="宋体" w:cs="宋体"/>
      <w:color w:val="000000"/>
      <w:sz w:val="24"/>
      <w:szCs w:val="24"/>
      <w:u w:val="none"/>
    </w:rPr>
  </w:style>
  <w:style w:type="character" w:styleId="937" w:customStyle="1">
    <w:name w:val="channel"/>
    <w:uiPriority w:val="0"/>
    <w:qFormat/>
    <w:rPr>
      <w:color w:val="666666"/>
      <w:sz w:val="18"/>
      <w:szCs w:val="18"/>
    </w:rPr>
  </w:style>
  <w:style w:type="character" w:styleId="938" w:customStyle="1">
    <w:name w:val="日期 字符"/>
    <w:uiPriority w:val="0"/>
    <w:qFormat/>
    <w:rPr>
      <w:rFonts w:ascii="Plotter" w:hAnsi="Plotter"/>
      <w:sz w:val="21"/>
      <w:szCs w:val="22"/>
    </w:rPr>
  </w:style>
  <w:style w:type="character" w:styleId="939" w:customStyle="1">
    <w:name w:val="批注主题 Char1"/>
    <w:uiPriority w:val="0"/>
    <w:qFormat/>
  </w:style>
  <w:style w:type="character" w:styleId="940" w:customStyle="1">
    <w:name w:val="副标题 Char1"/>
    <w:uiPriority w:val="0"/>
    <w:qFormat/>
    <w:rPr>
      <w:rFonts w:ascii="Cambria" w:hAnsi="Cambria" w:cs="Times New Roman"/>
      <w:b/>
      <w:bCs/>
      <w:sz w:val="32"/>
      <w:szCs w:val="32"/>
    </w:rPr>
  </w:style>
  <w:style w:type="character" w:styleId="941" w:customStyle="1">
    <w:name w:val="批注框文本 字符"/>
    <w:uiPriority w:val="99"/>
    <w:qFormat/>
    <w:rPr>
      <w:sz w:val="18"/>
      <w:szCs w:val="18"/>
    </w:rPr>
  </w:style>
  <w:style w:type="character" w:styleId="942" w:customStyle="1">
    <w:name w:val="页码1"/>
    <w:uiPriority w:val="0"/>
    <w:qFormat/>
  </w:style>
  <w:style w:type="paragraph" w:styleId="943" w:customStyle="1">
    <w:name w:val="列出段落11"/>
    <w:basedOn w:val="674"/>
    <w:uiPriority w:val="0"/>
    <w:qFormat/>
    <w:pPr>
      <w:ind w:firstLine="420"/>
      <w:jc w:val="left"/>
    </w:pPr>
    <w:rPr>
      <w:rFonts w:cs="宋体"/>
      <w:sz w:val="22"/>
      <w:lang w:val="zh-CN" w:bidi="zh-CN"/>
    </w:rPr>
  </w:style>
  <w:style w:type="paragraph" w:styleId="944" w:customStyle="1">
    <w:name w:val="列表段落1"/>
    <w:basedOn w:val="674"/>
    <w:uiPriority w:val="1"/>
    <w:qFormat/>
    <w:pPr>
      <w:ind w:firstLine="420"/>
    </w:pPr>
  </w:style>
  <w:style w:type="paragraph" w:styleId="945" w:customStyle="1">
    <w:name w:val="样式 样式 样式 左侧:  2 字符1 + 首行缩进:  2 字符1 + 首行缩进:  2 字符"/>
    <w:basedOn w:val="674"/>
    <w:uiPriority w:val="0"/>
    <w:qFormat/>
    <w:pPr>
      <w:ind w:firstLine="480"/>
      <w:spacing w:before="60" w:after="120" w:line="440" w:lineRule="atLeast"/>
      <w:widowControl/>
    </w:pPr>
    <w:rPr>
      <w:rFonts w:ascii="Times New Roman" w:hAnsi="Times New Roman" w:eastAsia="微软雅黑"/>
      <w:sz w:val="24"/>
    </w:rPr>
  </w:style>
  <w:style w:type="paragraph" w:styleId="946" w:customStyle="1">
    <w:name w:val="浅色网格 - 强调文字颜色 31"/>
    <w:basedOn w:val="674"/>
    <w:uiPriority w:val="34"/>
    <w:qFormat/>
    <w:pPr>
      <w:ind w:firstLine="420"/>
      <w:jc w:val="left"/>
      <w:widowControl/>
    </w:pPr>
    <w:rPr>
      <w:sz w:val="22"/>
      <w:lang w:eastAsia="en-US" w:bidi="en-US"/>
    </w:rPr>
  </w:style>
  <w:style w:type="paragraph" w:styleId="947" w:customStyle="1">
    <w:name w:val="GEDI正文样式"/>
    <w:basedOn w:val="674"/>
    <w:uiPriority w:val="0"/>
    <w:qFormat/>
    <w:pPr>
      <w:ind w:firstLine="480"/>
      <w:spacing w:line="480" w:lineRule="atLeast"/>
    </w:pPr>
    <w:rPr>
      <w:rFonts w:eastAsia="微软雅黑"/>
      <w:szCs w:val="24"/>
    </w:rPr>
  </w:style>
  <w:style w:type="paragraph" w:styleId="948" w:customStyle="1">
    <w:name w:val="正文1"/>
    <w:basedOn w:val="674"/>
    <w:next w:val="674"/>
    <w:uiPriority w:val="0"/>
    <w:qFormat/>
    <w:pPr>
      <w:ind w:firstLine="510"/>
      <w:spacing w:before="156" w:line="360" w:lineRule="auto"/>
    </w:pPr>
    <w:rPr>
      <w:rFonts w:ascii="Times New Roman" w:hAnsi="Times New Roman"/>
      <w:sz w:val="24"/>
      <w:szCs w:val="20"/>
    </w:rPr>
  </w:style>
  <w:style w:type="paragraph" w:styleId="949" w:customStyle="1">
    <w:name w:val="[基本段落]"/>
    <w:basedOn w:val="674"/>
    <w:uiPriority w:val="99"/>
    <w:qFormat/>
    <w:pPr>
      <w:spacing w:line="288" w:lineRule="auto"/>
    </w:pPr>
    <w:rPr>
      <w:rFonts w:ascii="宋体" w:hAnsi="Times New Roman" w:cs="宋体"/>
      <w:color w:val="000000"/>
      <w:sz w:val="24"/>
      <w:szCs w:val="24"/>
      <w:lang w:val="zh-CN"/>
    </w:rPr>
  </w:style>
  <w:style w:type="paragraph" w:styleId="950" w:customStyle="1">
    <w:name w:val="_Style 1"/>
    <w:basedOn w:val="674"/>
    <w:uiPriority w:val="99"/>
    <w:unhideWhenUsed/>
    <w:qFormat/>
    <w:pPr>
      <w:ind w:firstLine="420"/>
    </w:pPr>
  </w:style>
  <w:style w:type="paragraph" w:styleId="951" w:customStyle="1">
    <w:name w:val="Table Paragraph"/>
    <w:basedOn w:val="674"/>
    <w:uiPriority w:val="1"/>
    <w:qFormat/>
    <w:pPr>
      <w:jc w:val="left"/>
    </w:pPr>
    <w:rPr>
      <w:rFonts w:ascii="仿宋" w:eastAsia="仿宋" w:cs="黑体"/>
      <w:sz w:val="24"/>
      <w:lang w:eastAsia="en-US"/>
    </w:rPr>
  </w:style>
  <w:style w:type="paragraph" w:styleId="952" w:customStyle="1">
    <w:name w:val="纯文本1"/>
    <w:basedOn w:val="674"/>
    <w:uiPriority w:val="0"/>
    <w:qFormat/>
    <w:rPr>
      <w:rFonts w:ascii="宋体" w:hAnsi="Courier New" w:eastAsia="微软雅黑"/>
    </w:rPr>
  </w:style>
  <w:style w:type="paragraph" w:styleId="953" w:customStyle="1">
    <w:name w:val="列出段落3"/>
    <w:basedOn w:val="674"/>
    <w:uiPriority w:val="34"/>
    <w:qFormat/>
    <w:pPr>
      <w:ind w:firstLine="420"/>
    </w:pPr>
    <w:rPr>
      <w:rFonts w:ascii="Plotter" w:hAnsi="Plotter" w:eastAsia="微软雅黑"/>
    </w:rPr>
  </w:style>
  <w:style w:type="paragraph" w:styleId="954" w:customStyle="1">
    <w:name w:val="样式1"/>
    <w:basedOn w:val="674"/>
    <w:uiPriority w:val="0"/>
    <w:qFormat/>
    <w:pPr>
      <w:jc w:val="left"/>
      <w:widowControl/>
    </w:pPr>
    <w:rPr>
      <w:rFonts w:ascii="Times New Roman" w:hAnsi="Times New Roman"/>
      <w:sz w:val="20"/>
      <w:szCs w:val="20"/>
    </w:rPr>
  </w:style>
  <w:style w:type="paragraph" w:styleId="955"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56" w:customStyle="1">
    <w:name w:val="p15"/>
    <w:basedOn w:val="674"/>
    <w:uiPriority w:val="0"/>
    <w:qFormat/>
    <w:pPr>
      <w:ind w:firstLine="420"/>
    </w:pPr>
    <w:rPr>
      <w:rFonts w:eastAsia="微软雅黑" w:cs="Calibri"/>
    </w:rPr>
  </w:style>
  <w:style w:type="paragraph" w:styleId="957" w:customStyle="1">
    <w:name w:val="列出段落2"/>
    <w:basedOn w:val="674"/>
    <w:uiPriority w:val="99"/>
    <w:qFormat/>
    <w:pPr>
      <w:ind w:firstLine="420"/>
      <w:jc w:val="left"/>
      <w:widowControl/>
    </w:pPr>
    <w:rPr>
      <w:rFonts w:ascii="宋体" w:hAnsi="宋体" w:eastAsia="仿宋" w:cs="宋体"/>
      <w:sz w:val="28"/>
      <w:szCs w:val="24"/>
    </w:rPr>
  </w:style>
  <w:style w:type="paragraph" w:styleId="958" w:customStyle="1">
    <w:name w:val="正文段落"/>
    <w:basedOn w:val="674"/>
    <w:uiPriority w:val="0"/>
    <w:qFormat/>
    <w:pPr>
      <w:ind w:firstLine="200"/>
      <w:spacing w:before="100" w:beforeAutospacing="1" w:after="100" w:afterAutospacing="1"/>
    </w:pPr>
  </w:style>
  <w:style w:type="paragraph" w:styleId="959" w:customStyle="1">
    <w:name w:val="列出段落1"/>
    <w:basedOn w:val="674"/>
    <w:uiPriority w:val="0"/>
    <w:qFormat/>
    <w:pPr>
      <w:ind w:firstLine="420"/>
    </w:pPr>
    <w:rPr>
      <w:rFonts w:ascii="Times New Roman" w:hAnsi="Times New Roman"/>
      <w:szCs w:val="21"/>
    </w:rPr>
  </w:style>
  <w:style w:type="paragraph" w:styleId="960" w:customStyle="1">
    <w:name w:val="TOC 标题2"/>
    <w:basedOn w:val="872"/>
    <w:next w:val="67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1" w:customStyle="1">
    <w:name w:val="四级目录"/>
    <w:basedOn w:val="674"/>
    <w:next w:val="674"/>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96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63" w:customStyle="1">
    <w:name w:val="彩色列表 - 强调文字颜色 11"/>
    <w:basedOn w:val="674"/>
    <w:uiPriority w:val="99"/>
    <w:qFormat/>
    <w:pPr>
      <w:ind w:firstLine="420"/>
    </w:pPr>
  </w:style>
  <w:style w:type="character" w:styleId="964" w:customStyle="1">
    <w:name w:val="NormalCharacter1"/>
    <w:uiPriority w:val="0"/>
    <w:qFormat/>
  </w:style>
  <w:style w:type="paragraph" w:styleId="965" w:customStyle="1">
    <w:name w:val="索引 411"/>
    <w:basedOn w:val="674"/>
    <w:next w:val="674"/>
    <w:uiPriority w:val="99"/>
    <w:unhideWhenUsed/>
    <w:qFormat/>
    <w:pPr>
      <w:ind w:left="600"/>
    </w:pPr>
  </w:style>
  <w:style w:type="paragraph" w:styleId="966" w:customStyle="1">
    <w:name w:val="索引 41"/>
    <w:basedOn w:val="674"/>
    <w:next w:val="674"/>
    <w:uiPriority w:val="0"/>
    <w:semiHidden/>
    <w:qFormat/>
    <w:pPr>
      <w:ind w:left="1260"/>
    </w:pPr>
    <w:rPr>
      <w:rFonts w:eastAsia="Calibri" w:cs="宋体"/>
      <w:sz w:val="20"/>
      <w:lang w:val="zh-CN"/>
    </w:rPr>
  </w:style>
  <w:style w:type="paragraph" w:styleId="967" w:customStyle="1">
    <w:name w:val="正文格式"/>
    <w:basedOn w:val="674"/>
    <w:uiPriority w:val="0"/>
    <w:qFormat/>
    <w:pPr>
      <w:ind w:left="178" w:right="44" w:hanging="178"/>
      <w:jc w:val="left"/>
      <w:spacing w:line="360" w:lineRule="auto"/>
      <w:widowControl/>
    </w:pPr>
    <w:rPr>
      <w:rFonts w:ascii="Trebuchet MS" w:hAnsi="Trebuchet MS" w:eastAsia="等线" w:cs="Tahoma"/>
      <w:bCs/>
      <w:szCs w:val="21"/>
    </w:rPr>
  </w:style>
  <w:style w:type="paragraph" w:styleId="968" w:customStyle="1">
    <w:name w:val="标题1，章节第一层"/>
    <w:basedOn w:val="967"/>
    <w:next w:val="967"/>
    <w:uiPriority w:val="0"/>
    <w:qFormat/>
    <w:pPr>
      <w:ind w:left="272" w:hanging="272"/>
      <w:jc w:val="center"/>
      <w:tabs>
        <w:tab w:val="left" w:pos="693" w:leader="none"/>
      </w:tabs>
      <w:outlineLvl w:val="0"/>
    </w:pPr>
    <w:rPr>
      <w:rFonts w:eastAsia="ˎ̥"/>
      <w:color w:val="000000"/>
      <w:sz w:val="32"/>
      <w:szCs w:val="24"/>
      <w:lang w:val="zh-CN"/>
    </w:rPr>
  </w:style>
  <w:style w:type="paragraph" w:styleId="969" w:customStyle="1">
    <w:name w:val="default-defaultmode"/>
    <w:basedOn w:val="674"/>
    <w:uiPriority w:val="0"/>
    <w:qFormat/>
    <w:pPr>
      <w:jc w:val="left"/>
      <w:spacing w:before="100" w:beforeAutospacing="1" w:after="100" w:afterAutospacing="1"/>
      <w:widowControl/>
    </w:pPr>
    <w:rPr>
      <w:rFonts w:ascii="宋体" w:hAnsi="宋体" w:cs="宋体"/>
      <w:sz w:val="24"/>
      <w:szCs w:val="24"/>
    </w:rPr>
  </w:style>
  <w:style w:type="character" w:styleId="970" w:customStyle="1">
    <w:name w:val="default-defaultmode1"/>
    <w:basedOn w:val="876"/>
    <w:uiPriority w:val="0"/>
    <w:qFormat/>
  </w:style>
  <w:style w:type="paragraph" w:styleId="971" w:customStyle="1">
    <w:name w:val="段"/>
    <w:next w:val="674"/>
    <w:uiPriority w:val="0"/>
    <w:qFormat/>
    <w:pPr>
      <w:ind w:firstLine="200"/>
      <w:jc w:val="both"/>
    </w:pPr>
    <w:rPr>
      <w:rFonts w:ascii="宋体" w:hAnsi="Times New Roman" w:eastAsia="宋体" w:cs="Times New Roman"/>
      <w:sz w:val="21"/>
      <w:lang w:val="en-US" w:eastAsia="zh-CN" w:bidi="ar-SA"/>
    </w:rPr>
  </w:style>
  <w:style w:type="paragraph" w:styleId="972"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973"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974" w:customStyle="1">
    <w:name w:val="样式 标题 3 + (中文) 黑体 小四 非加粗 段前: 7.8 磅 段后: 0 磅 行距: 固定值 20 磅_0"/>
    <w:basedOn w:val="674"/>
    <w:uiPriority w:val="0"/>
    <w:qFormat/>
    <w:pPr>
      <w:keepLines/>
      <w:keepNext/>
      <w:spacing w:line="400" w:lineRule="exact"/>
      <w:outlineLvl w:val="2"/>
    </w:pPr>
    <w:rPr>
      <w:rFonts w:eastAsia="黑体" w:cs="宋体"/>
      <w:szCs w:val="21"/>
    </w:rPr>
  </w:style>
  <w:style w:type="character" w:styleId="975" w:customStyle="1">
    <w:name w:val="批注文字 Char1"/>
    <w:basedOn w:val="684"/>
    <w:link w:val="691"/>
    <w:uiPriority w:val="99"/>
    <w:semiHidden/>
    <w:qFormat/>
    <w:rPr>
      <w:rFonts w:ascii="Calibri" w:hAnsi="Calibri"/>
      <w:sz w:val="21"/>
      <w:szCs w:val="22"/>
    </w:rPr>
  </w:style>
  <w:style w:type="character" w:styleId="976" w:customStyle="1">
    <w:name w:val="批注主题 Char"/>
    <w:basedOn w:val="975"/>
    <w:link w:val="711"/>
    <w:uiPriority w:val="99"/>
    <w:semiHidden/>
    <w:qFormat/>
    <w:rPr>
      <w:rFonts w:ascii="Calibri" w:hAnsi="Calibri"/>
      <w:b/>
      <w:bCs/>
      <w:sz w:val="21"/>
      <w:szCs w:val="22"/>
    </w:rPr>
  </w:style>
  <w:style w:type="table" w:styleId="977" w:customStyle="1">
    <w:name w:val="Table Normal"/>
    <w:uiPriority w:val="0"/>
    <w:unhideWhenUsed/>
    <w:qFormat/>
    <w:tblPr>
      <w:tblCellMar>
        <w:left w:w="0" w:type="dxa"/>
        <w:top w:w="0" w:type="dxa"/>
        <w:right w:w="0" w:type="dxa"/>
        <w:bottom w:w="0" w:type="dxa"/>
      </w:tblCellMar>
    </w:tblPr>
  </w:style>
  <w:style w:type="paragraph" w:styleId="978" w:customStyle="1">
    <w:name w:val="正文文本 211"/>
    <w:basedOn w:val="674"/>
    <w:uiPriority w:val="99"/>
    <w:qFormat/>
    <w:pPr>
      <w:jc w:val="center"/>
    </w:pPr>
    <w:rPr>
      <w:b/>
      <w:bCs/>
      <w:sz w:val="20"/>
      <w:szCs w:val="20"/>
    </w:rPr>
  </w:style>
  <w:style w:type="numbering" w:styleId="10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220</cp:revision>
  <dcterms:created xsi:type="dcterms:W3CDTF">2024-08-06T09:43:00Z</dcterms:created>
  <dcterms:modified xsi:type="dcterms:W3CDTF">2026-09-29T07:42:34Z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EC75C52C337F4AC6AE0B261946721A68_13</vt:lpwstr>
  </property>
  <property fmtid="{D5CDD505-2E9C-101B-9397-08002B2CF9AE}" pid="4" name="KSOTemplateDocerSaveRecord">
    <vt:lpwstr>eyJoZGlkIjoiOGZkMjJmZDk4YjU3YzhjNjk0OGU2ZGMxODZmMmFmNGYiLCJ1c2VySWQiOiIxNjI2Mjc3Nzk5In0=</vt:lpwstr>
  </property>
</Properties>
</file>