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22"/>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30"/>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b/>
          <w:color w:val="000000"/>
          <w:sz w:val="32"/>
          <w:szCs w:val="32"/>
        </w:rPr>
        <w:t xml:space="preserve">南京市第一医院临床医学工程处调配中心系统</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930"/>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JSZC-320100-JZCG-C2026-0407</w:t>
      </w:r>
      <w:r>
        <w:rPr>
          <w:color w:val="000000"/>
          <w:highlight w:val="none"/>
        </w:rPr>
      </w:r>
      <w:r/>
    </w:p>
    <w:p>
      <w:pPr>
        <w:pStyle w:val="930"/>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2"/>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930"/>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930"/>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30"/>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30"/>
        <w:jc w:val="both"/>
        <w:spacing w:line="480" w:lineRule="exact"/>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r>
      <w:r/>
    </w:p>
    <w:p>
      <w:pPr>
        <w:pStyle w:val="930"/>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30"/>
        <w:spacing w:line="480" w:lineRule="auto"/>
        <w:rPr>
          <w:rFonts w:hint="eastAsia" w:ascii="仿宋_GB2312" w:hAnsi="Arial" w:eastAsia="仿宋_GB2312"/>
          <w:b/>
          <w:color w:val="000000"/>
          <w:sz w:val="28"/>
          <w:szCs w:val="21"/>
          <w:highlight w:val="none"/>
        </w:rPr>
      </w:pPr>
      <w:r/>
      <w:bookmarkStart w:id="0" w:name="_Toc523127445"/>
      <w:r/>
      <w:bookmarkStart w:id="1" w:name="_Toc479757206"/>
      <w:r/>
      <w:bookmarkStart w:id="2" w:name="_Toc20823272"/>
      <w:r/>
      <w:bookmarkStart w:id="3" w:name="_Toc16938516"/>
      <w:r/>
      <w:bookmarkStart w:id="4" w:name="_Toc513029200"/>
      <w:r/>
      <w:bookmarkStart w:id="5" w:name="_Toc120614210"/>
      <w:r>
        <w:rPr>
          <w:rFonts w:hint="eastAsia" w:ascii="仿宋_GB2312" w:hAnsi="Arial" w:eastAsia="仿宋_GB2312"/>
          <w:b/>
          <w:color w:val="000000"/>
          <w:sz w:val="28"/>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930"/>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29</w:t>
      </w:r>
      <w:r>
        <w:rPr>
          <w:rFonts w:hint="eastAsia" w:ascii="黑体" w:hAnsi="宋体" w:eastAsia="黑体" w:cs="Times New Roman"/>
          <w:color w:val="000000"/>
          <w:sz w:val="36"/>
          <w:szCs w:val="21"/>
          <w:highlight w:val="none"/>
        </w:rPr>
      </w:r>
      <w:r/>
    </w:p>
    <w:p>
      <w:pPr>
        <w:pStyle w:val="93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64"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JSZC-320100-JZCG-C2026-0407</w:t>
      </w:r>
      <w:r>
        <w:rPr>
          <w:rFonts w:ascii="宋体" w:hAnsi="宋体"/>
          <w:color w:val="000000"/>
          <w:sz w:val="24"/>
          <w:szCs w:val="24"/>
          <w:highlight w:val="none"/>
        </w:rPr>
      </w:r>
      <w:r/>
    </w:p>
    <w:p>
      <w:pPr>
        <w:pStyle w:val="930"/>
        <w:ind w:firstLine="480"/>
        <w:pageBreakBefore w:val="0"/>
        <w:spacing w:line="264"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南京市第一医院临床医学工程处调配中心系统</w:t>
      </w:r>
      <w:r>
        <w:rPr>
          <w:rFonts w:hint="eastAsia" w:ascii="宋体" w:hAnsi="宋体" w:eastAsia="宋体"/>
          <w:color w:val="000000"/>
          <w:sz w:val="24"/>
          <w:szCs w:val="24"/>
          <w:highlight w:val="none"/>
          <w:lang w:val="en-US" w:eastAsia="zh-CN"/>
        </w:rPr>
      </w:r>
      <w:r/>
    </w:p>
    <w:p>
      <w:pPr>
        <w:pStyle w:val="930"/>
        <w:ind w:firstLine="480"/>
        <w:spacing w:line="264"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20万元</w:t>
      </w:r>
      <w:r>
        <w:rPr>
          <w:rFonts w:hint="eastAsia" w:ascii="宋体" w:hAnsi="宋体" w:eastAsia="宋体" w:cs="宋体"/>
          <w:color w:val="000000"/>
          <w:sz w:val="24"/>
          <w:szCs w:val="24"/>
          <w:highlight w:val="none"/>
        </w:rPr>
      </w:r>
      <w:r/>
    </w:p>
    <w:p>
      <w:pPr>
        <w:pStyle w:val="930"/>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20万元</w:t>
      </w:r>
      <w:r>
        <w:rPr>
          <w:rFonts w:hint="eastAsia" w:ascii="宋体" w:hAnsi="宋体" w:eastAsia="宋体" w:cs="Times New Roman"/>
          <w:color w:val="000000"/>
          <w:sz w:val="24"/>
          <w:szCs w:val="24"/>
          <w:highlight w:val="none"/>
          <w:lang w:eastAsia="zh-CN"/>
        </w:rPr>
      </w:r>
      <w:r/>
    </w:p>
    <w:p>
      <w:pPr>
        <w:pStyle w:val="930"/>
        <w:ind w:firstLine="480"/>
        <w:pageBreakBefore w:val="0"/>
        <w:spacing w:line="264"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南京市第一医院临床医学工程处调配中心系统</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930"/>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宋体"/>
          <w:color w:val="000000"/>
          <w:sz w:val="24"/>
          <w:szCs w:val="24"/>
          <w:highlight w:val="none"/>
          <w:u w:val="none"/>
          <w:lang w:val="en-US" w:eastAsia="zh-CN"/>
        </w:rPr>
        <w:t xml:space="preserve">90天</w:t>
      </w:r>
      <w:r>
        <w:rPr>
          <w:rFonts w:hint="eastAsia" w:ascii="宋体" w:hAnsi="宋体" w:cs="宋体"/>
          <w:color w:val="000000"/>
          <w:sz w:val="24"/>
          <w:szCs w:val="24"/>
          <w:highlight w:val="none"/>
          <w:lang w:eastAsia="zh-CN"/>
        </w:rPr>
      </w:r>
      <w:r/>
    </w:p>
    <w:p>
      <w:pPr>
        <w:pStyle w:val="93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93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30"/>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3"/>
        <w:ind w:firstLine="465"/>
        <w:spacing w:before="145" w:after="14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30"/>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30"/>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930"/>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本项目专门面向中小微企业采购，</w:t>
      </w:r>
      <w:r>
        <w:rPr>
          <w:rFonts w:hint="eastAsia" w:ascii="宋体" w:hAnsi="宋体" w:eastAsia="宋体" w:cs="Times New Roman"/>
          <w:b w:val="0"/>
          <w:bCs w:val="0"/>
          <w:color w:val="000000"/>
          <w:sz w:val="24"/>
          <w:szCs w:val="24"/>
          <w:highlight w:val="none"/>
          <w:lang w:val="en-US" w:eastAsia="zh-CN"/>
        </w:rPr>
        <w:t xml:space="preserve">全部服务承接商</w:t>
      </w:r>
      <w:r>
        <w:rPr>
          <w:rFonts w:hint="eastAsia" w:ascii="宋体" w:hAnsi="宋体" w:eastAsia="宋体" w:cs="Times New Roman"/>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00"/>
          <w:sz w:val="24"/>
          <w:szCs w:val="24"/>
          <w:highlight w:val="none"/>
          <w:lang w:val="zh-CN" w:eastAsia="zh-CN"/>
        </w:rPr>
      </w:r>
      <w:r/>
    </w:p>
    <w:p>
      <w:pPr>
        <w:pStyle w:val="930"/>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930"/>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30"/>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Times New Roman" w:hAnsi="Times New Roman" w:eastAsia="宋体" w:cs="Times New Roman"/>
          <w:b/>
          <w:bCs/>
          <w:color w:val="000000"/>
          <w:sz w:val="24"/>
          <w:szCs w:val="24"/>
          <w:highlight w:val="none"/>
          <w:u w:val="none"/>
          <w:lang w:val="en-US" w:eastAsia="zh-CN"/>
        </w:rPr>
        <w:t xml:space="preserve">20</w:t>
      </w:r>
      <w:r>
        <w:rPr>
          <w:rFonts w:hint="eastAsia" w:ascii="Times New Roman" w:hAnsi="Times New Roman" w:eastAsia="宋体"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highlight w:val="none"/>
          <w:u w:val="none"/>
        </w:rPr>
        <w:t xml:space="preserve">年</w:t>
      </w:r>
      <w:r>
        <w:rPr>
          <w:rFonts w:hint="eastAsia" w:ascii="Times New Roman" w:hAnsi="Times New Roman" w:eastAsia="宋体" w:cs="Times New Roman"/>
          <w:b/>
          <w:bCs/>
          <w:color w:val="000000"/>
          <w:sz w:val="24"/>
          <w:szCs w:val="24"/>
          <w:highlight w:val="none"/>
          <w:u w:val="none"/>
          <w:lang w:val="en-US" w:eastAsia="zh-CN"/>
        </w:rPr>
        <w:t xml:space="preserve">11</w:t>
      </w:r>
      <w:r>
        <w:rPr>
          <w:rFonts w:hint="eastAsia" w:ascii="Times New Roman" w:hAnsi="Times New Roman" w:eastAsia="Times New Roman" w:cs="Times New Roman"/>
          <w:b/>
          <w:bCs/>
          <w:color w:val="000000"/>
          <w:sz w:val="24"/>
          <w:szCs w:val="24"/>
          <w:highlight w:val="none"/>
          <w:u w:val="none"/>
        </w:rPr>
        <w:t xml:space="preserve">月9</w:t>
      </w:r>
      <w:r>
        <w:rPr>
          <w:rFonts w:hint="eastAsia" w:ascii="Times New Roman" w:hAnsi="Times New Roman" w:eastAsia="Times New Roman" w:cs="Times New Roman"/>
          <w:b/>
          <w:bCs/>
          <w:color w:val="000000"/>
          <w:sz w:val="24"/>
          <w:szCs w:val="24"/>
          <w:highlight w:val="none"/>
          <w:u w:val="none"/>
        </w:rPr>
        <w:t xml:space="preserve">日14</w:t>
      </w:r>
      <w:r>
        <w:rPr>
          <w:rFonts w:hint="eastAsia" w:ascii="Times New Roman" w:hAnsi="Times New Roman" w:eastAsia="Times New Roman" w:cs="Times New Roman"/>
          <w:b/>
          <w:bCs/>
          <w:color w:val="000000"/>
          <w:sz w:val="24"/>
          <w:szCs w:val="24"/>
          <w:highlight w:val="none"/>
          <w:u w:val="none"/>
          <w:lang w:val="en-US" w:eastAsia="zh-CN"/>
        </w:rPr>
        <w:t xml:space="preserve">时00</w:t>
      </w:r>
      <w:r>
        <w:rPr>
          <w:rFonts w:hint="eastAsia" w:ascii="Times New Roman" w:hAnsi="Times New Roman" w:eastAsia="Times New Roman" w:cs="Times New Roman"/>
          <w:b/>
          <w:bCs/>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64"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30"/>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30"/>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，供应商如对采购需求有疑问，请咨询采购人。 </w:t>
      </w:r>
      <w:r>
        <w:rPr>
          <w:rFonts w:hint="eastAsia" w:ascii="宋体" w:hAnsi="宋体" w:eastAsia="宋体" w:cs="宋体"/>
          <w:color w:val="000000"/>
          <w:sz w:val="24"/>
          <w:szCs w:val="24"/>
          <w:highlight w:val="none"/>
        </w:rPr>
      </w:r>
      <w:r/>
    </w:p>
    <w:p>
      <w:pPr>
        <w:pStyle w:val="930"/>
        <w:ind w:firstLine="480"/>
        <w:pageBreakBefore w:val="0"/>
        <w:spacing w:line="264"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30"/>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0"/>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30"/>
        <w:ind w:firstLine="480"/>
        <w:spacing w:line="252"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采购人《质疑函》收件人：郭老师，收件地址：南京市秦淮区长乐路68号，联系电话：025-52271107。</w:t>
      </w:r>
      <w:r>
        <w:rPr>
          <w:rFonts w:hint="eastAsia" w:ascii="宋体" w:hAnsi="宋体" w:eastAsia="宋体" w:cs="Times New Roman"/>
          <w:b w:val="0"/>
          <w:bCs w:val="0"/>
          <w:color w:val="000000"/>
          <w:sz w:val="24"/>
          <w:highlight w:val="none"/>
          <w:lang w:val="zh-CN"/>
        </w:rPr>
      </w:r>
      <w:r/>
    </w:p>
    <w:p>
      <w:pPr>
        <w:pStyle w:val="930"/>
        <w:ind w:firstLine="480"/>
        <w:spacing w:line="252" w:lineRule="auto"/>
        <w:widowControl/>
        <w:rPr>
          <w:rFonts w:hint="eastAsia"/>
          <w:color w:val="000000"/>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color w:val="000000"/>
          <w:highlight w:val="none"/>
          <w:lang w:val="en-US" w:eastAsia="zh-CN"/>
        </w:rPr>
      </w:r>
      <w:r/>
    </w:p>
    <w:p>
      <w:pPr>
        <w:pStyle w:val="93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rPr>
        <w:t xml:space="preserve">南京市第一医院  </w:t>
      </w:r>
      <w:r>
        <w:rPr>
          <w:rFonts w:hint="eastAsia" w:ascii="宋体" w:hAnsi="宋体"/>
          <w:color w:val="000000"/>
          <w:sz w:val="24"/>
          <w:szCs w:val="24"/>
        </w:rPr>
        <w:t xml:space="preserve">        </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rPr>
        <w:t xml:space="preserve">南京市秦淮区长乐路68号   </w:t>
      </w:r>
      <w:r>
        <w:rPr>
          <w:rFonts w:hint="eastAsia" w:ascii="宋体" w:hAnsi="宋体"/>
          <w:color w:val="000000"/>
          <w:sz w:val="24"/>
          <w:szCs w:val="24"/>
        </w:rPr>
        <w:t xml:space="preserve"> </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郭老师</w:t>
      </w:r>
      <w:r>
        <w:rPr>
          <w:rFonts w:ascii="宋体" w:hAnsi="宋体" w:eastAsia="宋体"/>
          <w:color w:val="000000"/>
          <w:sz w:val="24"/>
          <w:szCs w:val="24"/>
          <w:lang w:val="en-US" w:eastAsia="zh-CN"/>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52271107</w:t>
      </w:r>
      <w:r>
        <w:rPr>
          <w:rFonts w:hint="eastAsia" w:ascii="宋体" w:hAnsi="宋体"/>
          <w:color w:val="000000"/>
          <w:sz w:val="24"/>
          <w:szCs w:val="24"/>
        </w:rPr>
        <w:t xml:space="preserve"> </w:t>
      </w:r>
      <w:bookmarkStart w:id="6" w:name="_Toc28359009"/>
      <w:r/>
      <w:bookmarkStart w:id="7" w:name="_Toc28359086"/>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南京市建邺区江东中路265号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孙先生</w:t>
      </w:r>
      <w:r>
        <w:rPr>
          <w:rFonts w:hint="eastAsia" w:ascii="宋体" w:hAnsi="宋体"/>
          <w:color w:val="000000"/>
          <w:sz w:val="24"/>
          <w:szCs w:val="24"/>
        </w:rPr>
        <w:t xml:space="preserve"> </w:t>
      </w:r>
      <w:r>
        <w:rPr>
          <w:rFonts w:hint="eastAsia" w:ascii="宋体" w:hAnsi="宋体"/>
          <w:color w:val="000000"/>
          <w:sz w:val="24"/>
          <w:szCs w:val="24"/>
        </w:rPr>
      </w:r>
      <w:r/>
    </w:p>
    <w:p>
      <w:pPr>
        <w:pStyle w:val="930"/>
        <w:ind w:firstLine="482"/>
        <w:keepLines w:val="0"/>
        <w:keepNext w:val="0"/>
        <w:pageBreakBefore w:val="0"/>
        <w:spacing w:line="264"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68505990</w:t>
      </w:r>
      <w:r>
        <w:rPr>
          <w:rFonts w:ascii="宋体" w:hAnsi="宋体" w:eastAsia="宋体"/>
          <w:color w:val="000000"/>
          <w:sz w:val="24"/>
          <w:szCs w:val="24"/>
          <w:lang w:val="en-US" w:eastAsia="zh-CN"/>
        </w:rPr>
      </w:r>
      <w:r/>
    </w:p>
    <w:p>
      <w:pPr>
        <w:pStyle w:val="930"/>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 w:name="_Toc120614214"/>
      <w:r/>
      <w:bookmarkStart w:id="9" w:name="_Toc513029203"/>
      <w:r/>
      <w:bookmarkStart w:id="10" w:name="_Toc16938519"/>
      <w:r/>
      <w:bookmarkStart w:id="11" w:name="_Toc20823275"/>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 w:name="_Hlt16619475"/>
      <w:r/>
      <w:bookmarkEnd w:id="12"/>
      <w:r/>
      <w:bookmarkStart w:id="13" w:name="_Toc458694821"/>
      <w:r/>
      <w:bookmarkStart w:id="14" w:name="_Toc16938520"/>
      <w:r/>
      <w:bookmarkStart w:id="15" w:name="_Toc513029204"/>
      <w:r/>
      <w:bookmarkStart w:id="16" w:name="_Toc20823276"/>
      <w:r>
        <w:rPr>
          <w:rFonts w:hint="eastAsia" w:ascii="方正楷体_GBK" w:hAnsi="方正楷体_GBK" w:eastAsia="方正楷体_GBK" w:cs="方正楷体_GBK"/>
          <w:b/>
          <w:bCs/>
          <w:color w:val="000000"/>
          <w:sz w:val="28"/>
          <w:szCs w:val="28"/>
          <w:highlight w:val="none"/>
          <w:lang w:val="en-US" w:eastAsia="zh-CN"/>
        </w:rPr>
        <w:t xml:space="preserve">1</w:t>
      </w:r>
      <w:bookmarkEnd w:id="13"/>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4"/>
      <w:r/>
      <w:bookmarkEnd w:id="15"/>
      <w:r/>
      <w:bookmarkEnd w:id="16"/>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7" w:name="_Toc513029205"/>
      <w:r/>
      <w:bookmarkStart w:id="18" w:name="_Toc16938521"/>
      <w:r/>
      <w:bookmarkStart w:id="19" w:name="_Toc20823277"/>
      <w:r>
        <w:rPr>
          <w:rFonts w:hint="eastAsia" w:ascii="方正楷体_GBK" w:hAnsi="方正楷体_GBK" w:eastAsia="方正楷体_GBK" w:cs="方正楷体_GBK"/>
          <w:b/>
          <w:bCs/>
          <w:color w:val="000000"/>
          <w:sz w:val="28"/>
          <w:szCs w:val="28"/>
          <w:highlight w:val="none"/>
          <w:lang w:val="en-US" w:eastAsia="zh-CN"/>
        </w:rPr>
        <w:t xml:space="preserve">2.合格的</w:t>
      </w:r>
      <w:bookmarkEnd w:id="17"/>
      <w:r/>
      <w:bookmarkEnd w:id="18"/>
      <w:r/>
      <w:bookmarkEnd w:id="19"/>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0" w:name="_Toc513029206"/>
      <w:r/>
      <w:bookmarkStart w:id="21" w:name="_Toc16938522"/>
      <w:r/>
      <w:bookmarkStart w:id="22" w:name="_Toc20823278"/>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20"/>
      <w:r/>
      <w:bookmarkEnd w:id="21"/>
      <w:r/>
      <w:bookmarkEnd w:id="22"/>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3" w:name="_Toc16938523"/>
      <w:r/>
      <w:bookmarkStart w:id="24" w:name="_Toc513029207"/>
      <w:r/>
      <w:bookmarkStart w:id="25" w:name="_Toc20823279"/>
      <w:r/>
      <w:bookmarkStart w:id="26" w:name="_Toc462564067"/>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20823281"/>
      <w:r/>
      <w:bookmarkStart w:id="28" w:name="_Toc513029209"/>
      <w:r/>
      <w:bookmarkStart w:id="29" w:name="_Toc16938525"/>
      <w:r/>
      <w:bookmarkStart w:id="30" w:name="_Toc120614215"/>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1" w:name="_Toc513029210"/>
      <w:r/>
      <w:bookmarkStart w:id="32" w:name="_Toc16938526"/>
      <w:r/>
      <w:bookmarkStart w:id="33" w:name="_Toc20823282"/>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31"/>
      <w:r/>
      <w:bookmarkEnd w:id="32"/>
      <w:r/>
      <w:bookmarkEnd w:id="33"/>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4" w:name="_Toc16938527"/>
      <w:r/>
      <w:bookmarkStart w:id="35" w:name="_Toc513029211"/>
      <w:r/>
      <w:bookmarkStart w:id="36" w:name="_Toc462564070"/>
      <w:r/>
      <w:bookmarkStart w:id="37" w:name="_Toc20823283"/>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color w:val="000000"/>
          <w:sz w:val="28"/>
          <w:szCs w:val="28"/>
          <w:highlight w:val="none"/>
          <w:lang w:val="en-US" w:eastAsia="zh-CN"/>
        </w:rPr>
        <w:t xml:space="preserve">或修改</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38" w:name="_Toc120614216"/>
      <w:r/>
      <w:bookmarkStart w:id="39" w:name="_Toc16938529"/>
      <w:r/>
      <w:bookmarkStart w:id="40" w:name="_Toc462564072"/>
      <w:r/>
      <w:bookmarkStart w:id="41" w:name="_Toc20823285"/>
      <w:r/>
      <w:bookmarkStart w:id="42" w:name="_Toc513029213"/>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38"/>
      <w:r/>
      <w:bookmarkEnd w:id="39"/>
      <w:r/>
      <w:bookmarkEnd w:id="40"/>
      <w:r/>
      <w:bookmarkEnd w:id="41"/>
      <w:r/>
      <w:bookmarkEnd w:id="42"/>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3" w:name="_Toc16938530"/>
      <w:r/>
      <w:bookmarkStart w:id="44" w:name="_Toc513029214"/>
      <w:r/>
      <w:bookmarkStart w:id="45" w:name="_Toc462564073"/>
      <w:r/>
      <w:bookmarkStart w:id="46" w:name="_Toc20823286"/>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bookmarkEnd w:id="43"/>
      <w:r/>
      <w:bookmarkEnd w:id="44"/>
      <w:r/>
      <w:bookmarkEnd w:id="45"/>
      <w:r/>
      <w:bookmarkEnd w:id="46"/>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7" w:name="_Toc513029215"/>
      <w:r/>
      <w:bookmarkStart w:id="48" w:name="_Toc16938531"/>
      <w:r/>
      <w:bookmarkStart w:id="49" w:name="_Toc20823287"/>
      <w:r/>
      <w:bookmarkStart w:id="50" w:name="_Toc462564074"/>
      <w:r>
        <w:rPr>
          <w:rFonts w:hint="eastAsia" w:ascii="方正楷体_GBK" w:hAnsi="方正楷体_GBK" w:eastAsia="方正楷体_GBK" w:cs="方正楷体_GBK"/>
          <w:b/>
          <w:bCs/>
          <w:color w:val="000000"/>
          <w:sz w:val="28"/>
          <w:szCs w:val="28"/>
          <w:highlight w:val="none"/>
          <w:lang w:val="en-US" w:eastAsia="zh-CN"/>
        </w:rPr>
        <w:t xml:space="preserve">9.响应文件构成</w:t>
      </w:r>
      <w:bookmarkEnd w:id="47"/>
      <w:r/>
      <w:bookmarkEnd w:id="48"/>
      <w:r/>
      <w:bookmarkEnd w:id="49"/>
      <w:r/>
      <w:bookmarkEnd w:id="50"/>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1" w:name="_Hlt26954838"/>
      <w:r/>
      <w:bookmarkEnd w:id="51"/>
      <w:r/>
      <w:bookmarkStart w:id="52" w:name="_Hlt26668975"/>
      <w:r/>
      <w:bookmarkEnd w:id="52"/>
      <w:r/>
      <w:bookmarkStart w:id="53" w:name="_Hlt26670360"/>
      <w:r/>
      <w:bookmarkEnd w:id="53"/>
      <w:r/>
      <w:bookmarkStart w:id="54" w:name="_Toc14577357"/>
      <w:r/>
      <w:bookmarkStart w:id="55" w:name="_Toc513029219"/>
      <w:r/>
      <w:bookmarkStart w:id="56" w:name="_Toc14577355"/>
      <w:r/>
      <w:bookmarkStart w:id="57" w:name="_Toc513029216"/>
      <w:r/>
      <w:bookmarkStart w:id="58" w:name="_Toc49090509"/>
      <w:r/>
      <w:bookmarkStart w:id="59" w:name="_Toc14577354"/>
      <w:r/>
      <w:bookmarkStart w:id="60" w:name="_Toc49090507"/>
      <w:r/>
      <w:bookmarkStart w:id="61" w:name="_Toc49090508"/>
      <w:r>
        <w:rPr>
          <w:rFonts w:hint="eastAsia" w:ascii="方正楷体_GBK" w:hAnsi="方正楷体_GBK" w:eastAsia="方正楷体_GBK" w:cs="方正楷体_GBK"/>
          <w:b/>
          <w:bCs/>
          <w:color w:val="000000"/>
          <w:sz w:val="28"/>
          <w:szCs w:val="28"/>
          <w:highlight w:val="none"/>
          <w:lang w:val="en-US" w:eastAsia="zh-CN"/>
        </w:rPr>
        <w:t xml:space="preserve">10.磋商报价</w:t>
      </w:r>
      <w:bookmarkEnd w:id="54"/>
      <w:r/>
      <w:bookmarkEnd w:id="55"/>
      <w:r/>
      <w:bookmarkEnd w:id="56"/>
      <w:r/>
      <w:bookmarkEnd w:id="57"/>
      <w:r/>
      <w:bookmarkEnd w:id="58"/>
      <w:r/>
      <w:bookmarkEnd w:id="59"/>
      <w:r/>
      <w:bookmarkEnd w:id="60"/>
      <w:r/>
      <w:bookmarkEnd w:id="61"/>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30"/>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2" w:name="_Hlt26670482"/>
      <w:r/>
      <w:bookmarkEnd w:id="62"/>
      <w:r/>
      <w:bookmarkStart w:id="63" w:name="_Hlt26954846"/>
      <w:r/>
      <w:bookmarkEnd w:id="63"/>
      <w:r/>
      <w:bookmarkStart w:id="64" w:name="_Hlt26670486"/>
      <w:r/>
      <w:bookmarkEnd w:id="64"/>
      <w:r/>
      <w:bookmarkStart w:id="65" w:name="_Hlt26954731"/>
      <w:r/>
      <w:bookmarkEnd w:id="65"/>
      <w:r/>
      <w:bookmarkStart w:id="66" w:name="_Hlt26954848"/>
      <w:r/>
      <w:bookmarkEnd w:id="66"/>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34"/>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67" w:name="_Toc14577359"/>
      <w:r/>
      <w:bookmarkStart w:id="68" w:name="_Toc49090510"/>
      <w:r>
        <w:rPr>
          <w:rFonts w:hint="eastAsia" w:ascii="方正楷体_GBK" w:hAnsi="方正楷体_GBK" w:eastAsia="方正楷体_GBK" w:cs="方正楷体_GBK"/>
          <w:b/>
          <w:bCs/>
          <w:color w:val="000000"/>
          <w:sz w:val="28"/>
          <w:szCs w:val="28"/>
          <w:highlight w:val="none"/>
          <w:lang w:val="en-US" w:eastAsia="zh-CN"/>
        </w:rPr>
        <w:t xml:space="preserve">12.磋商响应函和授权委托书</w:t>
      </w:r>
      <w:r>
        <w:rPr>
          <w:rFonts w:ascii="方正楷体_GBK" w:hAnsi="方正楷体_GBK" w:eastAsia="方正楷体_GBK" w:cs="方正楷体_GBK"/>
          <w:b/>
          <w:bCs/>
          <w:color w:val="000000"/>
          <w:sz w:val="28"/>
          <w:szCs w:val="28"/>
          <w:highlight w:val="none"/>
          <w:lang w:val="en-US" w:eastAsia="zh-CN"/>
        </w:rPr>
      </w:r>
      <w:r/>
    </w:p>
    <w:p>
      <w:pPr>
        <w:pStyle w:val="930"/>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67"/>
      <w:r/>
      <w:bookmarkEnd w:id="68"/>
      <w:r/>
      <w:bookmarkStart w:id="69" w:name="_Toc49090511"/>
      <w:r/>
      <w:bookmarkStart w:id="70" w:name="_Toc14577360"/>
      <w:r>
        <w:rPr>
          <w:rFonts w:hint="eastAsia" w:ascii="方正楷体_GBK" w:hAnsi="方正楷体_GBK" w:eastAsia="方正楷体_GBK" w:cs="方正楷体_GBK"/>
          <w:b/>
          <w:bCs/>
          <w:color w:val="000000"/>
          <w:sz w:val="28"/>
          <w:szCs w:val="28"/>
          <w:highlight w:val="none"/>
          <w:lang w:val="en-US" w:eastAsia="zh-CN"/>
        </w:rPr>
        <w:t xml:space="preserve">13.磋商有效期</w:t>
      </w:r>
      <w:bookmarkEnd w:id="69"/>
      <w:r/>
      <w:bookmarkEnd w:id="70"/>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1" w:name="_Toc120614217"/>
      <w:r/>
      <w:bookmarkStart w:id="72" w:name="_Toc513029224"/>
      <w:r/>
      <w:bookmarkStart w:id="73" w:name="_Toc20823296"/>
      <w:r/>
      <w:bookmarkStart w:id="74" w:name="_Toc16938540"/>
      <w:r/>
      <w:bookmarkStart w:id="75" w:name="_Hlt26954852"/>
      <w:r/>
      <w:bookmarkEnd w:id="75"/>
      <w:r/>
      <w:bookmarkStart w:id="76" w:name="_Hlt26954739"/>
      <w:r/>
      <w:bookmarkEnd w:id="76"/>
      <w:r>
        <w:rPr>
          <w:rFonts w:hint="eastAsia" w:ascii="方正黑体_GBK" w:hAnsi="方正黑体_GBK" w:eastAsia="方正黑体_GBK" w:cs="方正黑体_GBK"/>
          <w:b w:val="0"/>
          <w:bCs w:val="0"/>
          <w:color w:val="000000"/>
          <w:sz w:val="30"/>
          <w:szCs w:val="30"/>
          <w:highlight w:val="none"/>
        </w:rPr>
        <w:t xml:space="preserve">四、响应文件的递交</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7" w:name="_Toc462564084"/>
      <w:r/>
      <w:bookmarkStart w:id="78" w:name="_Toc513029225"/>
      <w:r/>
      <w:bookmarkStart w:id="79" w:name="_Toc16938541"/>
      <w:r/>
      <w:bookmarkStart w:id="80" w:name="_Toc20823297"/>
      <w:r>
        <w:rPr>
          <w:rFonts w:hint="eastAsia" w:ascii="方正楷体_GBK" w:hAnsi="方正楷体_GBK" w:eastAsia="方正楷体_GBK" w:cs="方正楷体_GBK"/>
          <w:b/>
          <w:bCs/>
          <w:color w:val="000000"/>
          <w:sz w:val="28"/>
          <w:szCs w:val="28"/>
          <w:highlight w:val="none"/>
          <w:lang w:val="en-US" w:eastAsia="zh-CN"/>
        </w:rPr>
        <w:t xml:space="preserve">15.</w:t>
      </w:r>
      <w:bookmarkEnd w:id="77"/>
      <w:r/>
      <w:bookmarkEnd w:id="78"/>
      <w:r/>
      <w:bookmarkEnd w:id="79"/>
      <w:r/>
      <w:bookmarkEnd w:id="80"/>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1" w:name="_Toc20823298"/>
      <w:r/>
      <w:bookmarkStart w:id="82" w:name="_Toc513029226"/>
      <w:r/>
      <w:bookmarkStart w:id="83" w:name="_Toc16938542"/>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1"/>
      <w:r/>
      <w:bookmarkEnd w:id="82"/>
      <w:r/>
      <w:bookmarkEnd w:id="83"/>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4" w:name="_Toc16938544"/>
      <w:r/>
      <w:bookmarkStart w:id="85" w:name="_Toc513029228"/>
      <w:r/>
      <w:bookmarkStart w:id="86" w:name="_Toc20823300"/>
      <w:r>
        <w:rPr>
          <w:rFonts w:hint="eastAsia" w:ascii="方正楷体_GBK" w:hAnsi="方正楷体_GBK" w:eastAsia="方正楷体_GBK" w:cs="方正楷体_GBK"/>
          <w:b/>
          <w:bCs/>
          <w:color w:val="000000"/>
          <w:sz w:val="28"/>
          <w:szCs w:val="28"/>
          <w:highlight w:val="none"/>
          <w:lang w:val="en-US" w:eastAsia="zh-CN"/>
        </w:rPr>
        <w:t xml:space="preserve">16.响应文件的撤回和修改</w:t>
      </w:r>
      <w:bookmarkEnd w:id="84"/>
      <w:r/>
      <w:bookmarkEnd w:id="85"/>
      <w:r/>
      <w:bookmarkEnd w:id="86"/>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7" w:name="_Toc16938545"/>
      <w:r/>
      <w:bookmarkStart w:id="88" w:name="_Toc20823301"/>
      <w:r/>
      <w:bookmarkStart w:id="89" w:name="_Toc120614218"/>
      <w:r/>
      <w:bookmarkStart w:id="90"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1" w:name="_Toc513029231"/>
      <w:r/>
      <w:bookmarkStart w:id="92" w:name="_Toc20823303"/>
      <w:r/>
      <w:bookmarkStart w:id="93" w:name="_Toc16938547"/>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91"/>
      <w:r/>
      <w:bookmarkEnd w:id="92"/>
      <w:r/>
      <w:bookmarkEnd w:id="93"/>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4" w:name="_Toc513029232"/>
      <w:r/>
      <w:bookmarkStart w:id="95" w:name="_Toc16938548"/>
      <w:r/>
      <w:bookmarkStart w:id="96" w:name="_Toc20823304"/>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94"/>
      <w:r/>
      <w:bookmarkEnd w:id="95"/>
      <w:r/>
      <w:bookmarkEnd w:id="96"/>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7" w:name="_Toc20823305"/>
      <w:r/>
      <w:bookmarkStart w:id="98" w:name="_Toc513029233"/>
      <w:r/>
      <w:bookmarkStart w:id="99" w:name="_Toc16938549"/>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97"/>
      <w:r/>
      <w:bookmarkEnd w:id="98"/>
      <w:r/>
      <w:bookmarkEnd w:id="99"/>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30"/>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30"/>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3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0"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0"/>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30"/>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30"/>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930"/>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磋商文件另有约定的除外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本磋商</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30"/>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930"/>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930"/>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30"/>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101" w:name="_Toc20823306"/>
      <w:r/>
      <w:bookmarkStart w:id="102" w:name="_Toc16938550"/>
      <w:r/>
      <w:bookmarkStart w:id="103" w:name="_Toc513029234"/>
      <w:r>
        <w:rPr>
          <w:rFonts w:hint="eastAsia" w:ascii="方正楷体_GBK" w:hAnsi="方正楷体_GBK" w:eastAsia="方正楷体_GBK" w:cs="方正楷体_GBK"/>
          <w:b/>
          <w:bCs/>
          <w:color w:val="000000"/>
          <w:sz w:val="28"/>
          <w:szCs w:val="28"/>
          <w:highlight w:val="none"/>
          <w:lang w:val="en-US" w:eastAsia="zh-CN"/>
        </w:rPr>
        <w:t xml:space="preserve">2</w:t>
      </w:r>
      <w:bookmarkEnd w:id="101"/>
      <w:r/>
      <w:bookmarkEnd w:id="102"/>
      <w:r/>
      <w:bookmarkEnd w:id="103"/>
      <w:r>
        <w:rPr>
          <w:rFonts w:hint="eastAsia" w:ascii="方正楷体_GBK" w:hAnsi="方正楷体_GBK" w:eastAsia="方正楷体_GBK" w:cs="方正楷体_GBK"/>
          <w:b/>
          <w:bCs/>
          <w:color w:val="000000"/>
          <w:sz w:val="28"/>
          <w:szCs w:val="28"/>
          <w:highlight w:val="none"/>
          <w:lang w:val="en-US" w:eastAsia="zh-CN"/>
        </w:rPr>
        <w:t xml:space="preserve">3.磋商程序及采购活动终止</w:t>
      </w:r>
      <w:r>
        <w:rPr>
          <w:rFonts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4" w:name="_Toc16938551"/>
      <w:r/>
      <w:bookmarkStart w:id="105" w:name="_Toc120614219"/>
      <w:r/>
      <w:bookmarkStart w:id="106" w:name="_Toc20823307"/>
      <w:r/>
      <w:bookmarkStart w:id="107"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30"/>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除本磋商文件第二章第23.1.2条第三款规定的情形外，磋商过程中符合要求的供应商或者提交最后报价且未超过采购预算或最高限价的供应商不足三家。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04"/>
      <w:r/>
      <w:bookmarkEnd w:id="105"/>
      <w:r/>
      <w:bookmarkEnd w:id="106"/>
      <w:r/>
      <w:bookmarkEnd w:id="107"/>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8" w:name="_Toc20823310"/>
      <w:r/>
      <w:bookmarkStart w:id="109" w:name="_Toc513029238"/>
      <w:r/>
      <w:bookmarkStart w:id="110"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109"/>
      <w:r>
        <w:rPr>
          <w:rFonts w:hint="eastAsia" w:ascii="方正楷体_GBK" w:hAnsi="方正楷体_GBK" w:eastAsia="方正楷体_GBK" w:cs="方正楷体_GBK"/>
          <w:b/>
          <w:bCs/>
          <w:color w:val="000000"/>
          <w:sz w:val="28"/>
          <w:szCs w:val="28"/>
          <w:highlight w:val="none"/>
          <w:lang w:val="en-US" w:eastAsia="zh-CN"/>
        </w:rPr>
        <w:t xml:space="preserve">4.确定</w:t>
      </w:r>
      <w:bookmarkEnd w:id="108"/>
      <w:r/>
      <w:bookmarkEnd w:id="110"/>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1" w:name="_Toc200451960"/>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30"/>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3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11"/>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对磋商文件提出质疑的，为收到磋商文件之日或者磋商文件公告期限届满之日。</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30"/>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质疑答复主体提出质疑，具体详见磋商文件第一章。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930"/>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3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4"/>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30"/>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30"/>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30"/>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30"/>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34"/>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4"/>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文件执行。磋商文件对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绿色数据中心政府采购需求标准（试行）&gt;的通知》（财办库〔2023〕7号）、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30"/>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934"/>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930"/>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934"/>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930"/>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930"/>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934"/>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930"/>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930"/>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930"/>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930"/>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30"/>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930"/>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10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1020"/>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30"/>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1003"/>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30"/>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30"/>
        <w:rPr>
          <w:rFonts w:hint="eastAsia"/>
          <w:color w:val="000000"/>
          <w:highlight w:val="none"/>
          <w:lang w:val="en-US" w:eastAsia="zh-CN"/>
        </w:rPr>
      </w:pPr>
      <w:r>
        <w:rPr>
          <w:rFonts w:hint="eastAsia"/>
          <w:color w:val="000000"/>
          <w:highlight w:val="none"/>
          <w:lang w:val="en-US" w:eastAsia="zh-CN"/>
        </w:rPr>
      </w:r>
      <w:r/>
    </w:p>
    <w:p>
      <w:pPr>
        <w:pStyle w:val="1003"/>
        <w:rPr>
          <w:rFonts w:hint="eastAsia"/>
          <w:color w:val="000000"/>
          <w:highlight w:val="none"/>
          <w:lang w:val="en-US" w:eastAsia="zh-CN"/>
        </w:rPr>
      </w:pPr>
      <w:r>
        <w:rPr>
          <w:rFonts w:hint="eastAsia"/>
          <w:color w:val="000000"/>
          <w:highlight w:val="none"/>
          <w:lang w:val="en-US" w:eastAsia="zh-CN"/>
        </w:rPr>
      </w:r>
      <w:r/>
    </w:p>
    <w:p>
      <w:pPr>
        <w:pStyle w:val="930"/>
        <w:rPr>
          <w:rFonts w:hint="eastAsia"/>
          <w:color w:val="000000"/>
          <w:highlight w:val="none"/>
          <w:lang w:val="en-US" w:eastAsia="zh-CN"/>
        </w:rPr>
      </w:pPr>
      <w:r>
        <w:rPr>
          <w:rFonts w:hint="eastAsia"/>
          <w:color w:val="000000"/>
          <w:highlight w:val="none"/>
          <w:lang w:val="en-US" w:eastAsia="zh-CN"/>
        </w:rPr>
      </w:r>
      <w:r/>
    </w:p>
    <w:p>
      <w:pPr>
        <w:pStyle w:val="930"/>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930"/>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20"/>
        <w:ind w:left="0" w:firstLine="0"/>
        <w:keepLines w:val="0"/>
        <w:keepNext w:val="0"/>
        <w:pageBreakBefore w:val="0"/>
        <w:spacing w:line="240" w:lineRule="auto"/>
        <w:widowControl w:val="off"/>
        <w:rPr>
          <w:rFonts w:hint="eastAsia"/>
          <w:color w:val="000000"/>
          <w:highlight w:val="none"/>
          <w:lang w:eastAsia="zh-CN"/>
        </w:rPr>
        <w:outlineLvl w:val="9"/>
      </w:pPr>
      <w:r>
        <w:rPr>
          <w:rFonts w:hint="eastAsia"/>
          <w:color w:val="000000"/>
          <w:highlight w:val="none"/>
          <w:lang w:eastAsia="zh-CN"/>
        </w:rPr>
      </w:r>
      <w:r/>
    </w:p>
    <w:p>
      <w:pPr>
        <w:pStyle w:val="930"/>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30"/>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30"/>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30"/>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930"/>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color w:val="000000"/>
          <w:sz w:val="24"/>
          <w:szCs w:val="24"/>
          <w:highlight w:val="none"/>
        </w:rPr>
        <w:t xml:space="preserve">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73"/>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合同签订且服务团队人员到位后，甲方支付系统开发费用的30%作为预付款。</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软件完全交付并正式运行且经甲方验收合格后，甲方结清剩余系统开发费用。</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8.1.3 系统验收合格后进入维保期，维保期满经考核合格后甲方支付全部系统运维费。</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以上款项均为无息支付。</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满足合同约定支付条件且预算资金下达后，甲方收到乙方发票10个工作日内，将资金支付到合同约定的乙方账户。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30"/>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明确验收的时间、方式、程序等内容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eastAsia="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930"/>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10.7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lang w:val="zh-CN" w:eastAsia="zh-CN"/>
        </w:rPr>
        <w:t xml:space="preserve">应严格遵守《中华人民共和国网络安全法》、《中华人民共和国数据安全法》、《中华人民共和国个人信息保护法》等相关法律法规要求，保障项目开发运维服务过程中所涉及网络安全、数据安全和数据保密，并承诺如因</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lang w:val="zh-CN" w:eastAsia="zh-CN"/>
        </w:rPr>
        <w:t xml:space="preserve">所提供服务或产品造成</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val="zh-CN" w:eastAsia="zh-CN"/>
        </w:rPr>
        <w:t xml:space="preserve">数据信息丢失、泄露或数据被非法利用，由此所产生的一切后果概由</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lang w:val="zh-CN" w:eastAsia="zh-CN"/>
        </w:rPr>
        <w:t xml:space="preserve">承担。</w:t>
      </w:r>
      <w:r>
        <w:rPr>
          <w:rFonts w:eastAsia="宋体"/>
          <w:color w:val="000000"/>
          <w:highlight w:val="none"/>
          <w:lang w:val="en-US" w:eastAsia="zh-CN"/>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lang w:val="en-US" w:eastAsia="zh-CN"/>
        </w:rPr>
        <w:t xml:space="preserve">20%</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宋体"/>
          <w:color w:val="000000"/>
          <w:sz w:val="24"/>
          <w:szCs w:val="24"/>
          <w:u w:val="single"/>
          <w:lang w:val="en-US" w:eastAsia="zh-CN"/>
        </w:rPr>
        <w:t xml:space="preserve">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宋体"/>
          <w:color w:val="000000"/>
          <w:sz w:val="24"/>
          <w:szCs w:val="24"/>
          <w:u w:val="single"/>
          <w:lang w:val="en-US" w:eastAsia="zh-CN"/>
        </w:rPr>
        <w:t xml:space="preserve">5‱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由甲方从待付合同款中扣除。超过约定日期10个工作日不能提供服务的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甲方可解除本合同。乙方因逾期提供服务或因其他违约行为导致甲方解除合同的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20%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乙方所提供服务的标准不符合合同规定及招标文件规定标准的；经验收不合格需由乙方整改再验收的，期间按逾期标准向甲方支付逾期违约金。同时甲方也可选择拒绝接受服务，并可单方面解除合同。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确定是否继续履行合同。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3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73"/>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3"/>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3"/>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73"/>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w:t>
      </w:r>
      <w:r>
        <w:rPr>
          <w:rFonts w:hint="eastAsia" w:hAnsi="宋体" w:eastAsia="宋体" w:cs="Courier New"/>
          <w:color w:val="000000"/>
          <w:sz w:val="24"/>
          <w:szCs w:val="24"/>
          <w:highlight w:val="none"/>
        </w:rPr>
      </w:r>
      <w:r/>
    </w:p>
    <w:p>
      <w:pPr>
        <w:pStyle w:val="973"/>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73"/>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3"/>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73"/>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930"/>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73"/>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973"/>
        <w:jc w:val="center"/>
        <w:spacing w:line="240" w:lineRule="auto"/>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hAnsi="宋体"/>
          <w:color w:val="000000"/>
          <w:sz w:val="24"/>
          <w:szCs w:val="24"/>
          <w:highlight w:val="none"/>
        </w:rPr>
        <w:br w:type="page" w:clear="all"/>
      </w:r>
      <w:bookmarkEnd w:id="0"/>
      <w:r/>
      <w:bookmarkEnd w:id="1"/>
      <w:r/>
      <w:bookmarkEnd w:id="2"/>
      <w:r/>
      <w:bookmarkEnd w:id="3"/>
      <w:r/>
      <w:bookmarkEnd w:id="4"/>
      <w:r/>
      <w:bookmarkEnd w:id="5"/>
      <w:r/>
      <w:bookmarkStart w:id="112" w:name="_Toc26554093"/>
      <w:r/>
      <w:bookmarkStart w:id="113" w:name="_Toc49090575"/>
      <w:r/>
      <w:bookmarkStart w:id="114" w:name="_Toc462564139"/>
      <w:r/>
      <w:bookmarkStart w:id="115" w:name="_Toc479757211"/>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0"/>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930"/>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30"/>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进一步提升医院资产管理的精细化、智能化水平，优化资产调配、维修、维保等业务流程，解决当前多系统割裂、数据孤岛及审批流程不统一等问题，医院拟建设一套集“调配、维修、维保、尾款请款、数据展示与报表”于一体的资产管理平台。</w:t>
      </w:r>
      <w:r>
        <w:rPr>
          <w:rFonts w:hint="eastAsia" w:ascii="宋体" w:hAnsi="宋体" w:eastAsia="宋体" w:cs="Times New Roman"/>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旨在通过统一的技术架构与数据规范，实现与医院现有OA系统、合同系统及资产核心系统的无缝对接，构建“业务协同、数据共享、流程闭环”的资产管理体系。最终达成提升资产周转效率、降低运维成本、保障临床服务质量和强化全流程追溯的总体目标。</w:t>
      </w:r>
      <w:r>
        <w:rPr>
          <w:rFonts w:hint="eastAsia" w:ascii="宋体" w:hAnsi="宋体" w:eastAsia="宋体" w:cs="Times New Roman"/>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59"/>
        <w:tblW w:w="0" w:type="auto"/>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5"/>
        <w:gridCol w:w="2393"/>
        <w:gridCol w:w="918"/>
        <w:gridCol w:w="890"/>
        <w:gridCol w:w="1329"/>
        <w:gridCol w:w="1329"/>
        <w:gridCol w:w="1609"/>
        <w:gridCol w:w="998"/>
      </w:tblGrid>
      <w:tr>
        <w:trPr>
          <w:trHeight w:val="1379"/>
        </w:trPr>
        <w:tc>
          <w:tcPr>
            <w:tcW w:w="68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239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918"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8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32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930"/>
              <w:jc w:val="center"/>
              <w:rPr>
                <w:rFonts w:hint="eastAsia"/>
                <w:color w:val="000000"/>
                <w:highlight w:val="none"/>
                <w:lang w:val="en-US"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color w:val="000000"/>
                <w:highlight w:val="none"/>
                <w:lang w:val="en-US" w:eastAsia="zh-CN"/>
              </w:rPr>
            </w:r>
            <w:r/>
          </w:p>
        </w:tc>
        <w:tc>
          <w:tcPr>
            <w:tcW w:w="132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160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998"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r>
      <w:tr>
        <w:trPr>
          <w:trHeight w:val="687"/>
        </w:trPr>
        <w:tc>
          <w:tcPr>
            <w:tcW w:w="68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239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调配中心系统</w:t>
            </w:r>
            <w:r>
              <w:rPr>
                <w:rFonts w:hint="eastAsia" w:ascii="宋体" w:hAnsi="宋体" w:eastAsia="宋体" w:cs="Times New Roman"/>
                <w:bCs/>
                <w:color w:val="000000"/>
                <w:sz w:val="24"/>
                <w:szCs w:val="24"/>
                <w:highlight w:val="none"/>
              </w:rPr>
            </w:r>
            <w:r/>
          </w:p>
        </w:tc>
        <w:tc>
          <w:tcPr>
            <w:tcW w:w="918"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8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132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180000</w:t>
            </w:r>
            <w:r>
              <w:rPr>
                <w:rFonts w:hint="eastAsia" w:ascii="宋体" w:hAnsi="宋体" w:eastAsia="宋体" w:cs="Times New Roman"/>
                <w:bCs/>
                <w:color w:val="000000"/>
                <w:sz w:val="24"/>
                <w:szCs w:val="24"/>
                <w:highlight w:val="none"/>
                <w:lang w:val="en-US" w:eastAsia="zh-CN"/>
              </w:rPr>
            </w:r>
            <w:r/>
          </w:p>
        </w:tc>
        <w:tc>
          <w:tcPr>
            <w:tcW w:w="132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rPr>
            </w:r>
            <w:r/>
          </w:p>
        </w:tc>
        <w:tc>
          <w:tcPr>
            <w:tcW w:w="160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软件和信息技术服务业</w:t>
            </w:r>
            <w:r>
              <w:rPr>
                <w:rFonts w:hint="eastAsia" w:ascii="宋体" w:hAnsi="宋体" w:eastAsia="宋体" w:cs="Times New Roman"/>
                <w:bCs/>
                <w:color w:val="000000"/>
                <w:sz w:val="24"/>
                <w:szCs w:val="24"/>
                <w:highlight w:val="none"/>
                <w:lang w:val="en-US" w:eastAsia="zh-CN"/>
              </w:rPr>
            </w:r>
            <w:r/>
          </w:p>
        </w:tc>
        <w:tc>
          <w:tcPr>
            <w:tcW w:w="998"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服务</w:t>
            </w:r>
            <w:r>
              <w:rPr>
                <w:rFonts w:hint="eastAsia" w:ascii="宋体" w:hAnsi="宋体" w:eastAsia="宋体" w:cs="Times New Roman"/>
                <w:bCs/>
                <w:color w:val="000000"/>
                <w:sz w:val="24"/>
                <w:szCs w:val="24"/>
                <w:highlight w:val="none"/>
                <w:lang w:val="en-US" w:eastAsia="zh-CN"/>
              </w:rPr>
            </w:r>
            <w:r/>
          </w:p>
        </w:tc>
      </w:tr>
      <w:tr>
        <w:trPr>
          <w:trHeight w:val="692"/>
        </w:trPr>
        <w:tc>
          <w:tcPr>
            <w:tcW w:w="685"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2393"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系统运维</w:t>
            </w:r>
            <w:r>
              <w:rPr>
                <w:rFonts w:hint="eastAsia" w:ascii="宋体" w:hAnsi="宋体" w:eastAsia="宋体" w:cs="Times New Roman"/>
                <w:bCs/>
                <w:color w:val="000000"/>
                <w:sz w:val="24"/>
                <w:szCs w:val="24"/>
                <w:highlight w:val="none"/>
                <w:lang w:val="en-US" w:eastAsia="zh-CN"/>
              </w:rPr>
            </w:r>
            <w:r/>
          </w:p>
        </w:tc>
        <w:tc>
          <w:tcPr>
            <w:tcW w:w="918"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r>
            <w:r/>
          </w:p>
        </w:tc>
        <w:tc>
          <w:tcPr>
            <w:tcW w:w="890"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rPr>
            </w:r>
            <w:r/>
          </w:p>
        </w:tc>
        <w:tc>
          <w:tcPr>
            <w:tcW w:w="132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20000</w:t>
            </w:r>
            <w:r>
              <w:rPr>
                <w:rFonts w:hint="eastAsia" w:ascii="宋体" w:hAnsi="宋体" w:eastAsia="宋体" w:cs="Times New Roman"/>
                <w:bCs/>
                <w:color w:val="000000"/>
                <w:sz w:val="24"/>
                <w:szCs w:val="24"/>
                <w:highlight w:val="none"/>
                <w:lang w:val="en-US" w:eastAsia="zh-CN"/>
              </w:rPr>
            </w:r>
            <w:r/>
          </w:p>
        </w:tc>
        <w:tc>
          <w:tcPr>
            <w:tcW w:w="132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1609"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软件和信息技术服务业</w:t>
            </w:r>
            <w:r>
              <w:rPr>
                <w:rFonts w:hint="eastAsia" w:ascii="宋体" w:hAnsi="宋体" w:eastAsia="宋体" w:cs="Times New Roman"/>
                <w:bCs/>
                <w:color w:val="000000"/>
                <w:sz w:val="24"/>
                <w:szCs w:val="24"/>
                <w:highlight w:val="none"/>
                <w:lang w:val="en-US" w:eastAsia="zh-CN"/>
              </w:rPr>
            </w:r>
            <w:r/>
          </w:p>
        </w:tc>
        <w:tc>
          <w:tcPr>
            <w:tcW w:w="998" w:type="dxa"/>
            <w:vAlign w:val="center"/>
            <w:textDirection w:val="lrTb"/>
            <w:noWrap w:val="false"/>
          </w:tcPr>
          <w:p>
            <w:pPr>
              <w:pStyle w:val="930"/>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服务</w:t>
            </w:r>
            <w:r>
              <w:rPr>
                <w:rFonts w:hint="eastAsia" w:ascii="宋体" w:hAnsi="宋体" w:eastAsia="宋体" w:cs="Times New Roman"/>
                <w:bCs/>
                <w:color w:val="000000"/>
                <w:sz w:val="24"/>
                <w:szCs w:val="24"/>
                <w:highlight w:val="none"/>
                <w:lang w:val="en-US" w:eastAsia="zh-CN"/>
              </w:rPr>
            </w:r>
            <w:r/>
          </w:p>
        </w:tc>
      </w:tr>
    </w:tbl>
    <w:p>
      <w:pPr>
        <w:pStyle w:val="930"/>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（1）功能要求</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 调配中心管理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 调配资产管理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1.1.1 支持创建与编辑借用资产分类，可针对不同分类独立设定借用每小时费用及费用减免时长，系统自动计算超出减免时长的借用费用。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1.1.2 支持维护调配中心的资源池。用户可将新增资产引入资源池，或从现有资产系统中选取资产加入资源池；同时支持将资源池中处于“可借用”状态的资产删除。</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1.1.3 支持查看资源池中每一资产的当前借用情况，展示内容包括但不限于：资产名称、资产编号、借用次数、累计借用费用、当前借用状态（可借用/已借用），并支持按条件筛选。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 资产借用归还列表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1.2.1 支持用户通过PC端或手机端提交借用资产申请，填写借用部门、借用资产明细、预计归还日期、备注等信息。提交后可在列表中实时查看审批进度及当前审批节点。</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1.2.2 支持用户查看本部门已借用的资产情况，包括资产信息、借用时间、预计归还日期、剩余归还天数等。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1.2.3 系统支持在首页提醒用户借用待归还的资产，对于已经超期的借用资产会标红提示，并支持穿透查询借用待归还的资产明细。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1.2.4 支持用户通过PC端或手机端提交归还资产申请，填写信息。提交后可在列表中查看审批情况。</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1.2.5 支持审批人通过PC端或手机端对借用资产申请和归还资产申请进行审批操作，审批流程应与院方现有资产系统审批流统一，审批意见及操作记录留痕。</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1.3 全部借用归还列表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1.3.1 支持查看全院所有借用资产申请的审批情况，包括申请人、部门、资产信息、申请时间、当前审批状态等，支持多条件组合查询。</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1.3.2 支持查看当前所有正在被借用的资产情况，包括借用部门、借用人、借用时间、预计归还日期、剩余归还天数等，并支持实时刷新。</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1.3.3 支持查看所有归还资产申请的审批情况，包括申请单号、归还资产、归还部门、申请状态、审批意见等。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1.3.4 支持查看所有历史借用情况记录，包括使用部门、借用资产、借用起止时间、借用时长（小时）、借用总金额等。同时支持将历史借用数据导出为Excel格式文件。</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 资产维修管理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2.1 资产维修列表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2.1.1 支持用户通过PC端或手机端提交资产维修申请，填写故障资产信息、维修原因等。提交后可在列表中查看审批状态及流程节点。</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2.1.2 支持使用部门工程师通过PC端或手机端对资产维修申请进行审批操作，并填写维修分类、维修情况说明和维修费用等数据。审批流程应与院方现有资产系统审批流统一，审批意见及操作记录留痕。</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2.1.3 支持资产维修申请推送给多位使用部门工程师，其中任何一个使用部门工程师可以通过PC端或手机端对资产维修申请进行审批操作。</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2.1.4 支持用户通过PC端或手机端对维修完成的资产进行确认处理，确认后关闭维修申请。</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2.1.5 支持根据维修申请信息自动生成标准格式的维修单，并提供打印功能。维修单内容应包含单据号、资产信息、维修原因、维修分类、维修情况说明、维修费用、维修验收情况等。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2.2 全部维修列表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支持查看全院所有资产维修申请的审批情况，包括申请部门、资产信息、维修状态（维修中、已维修）、审批进度等，并支持按申请单号、申请日期、状态等查询条件筛选。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 尾款请款管理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3.1 尾款请款列表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3.1.1 支持用户通过PC端或手机端提交尾款请款申请，填写资产信息、合同情况、临床设备应用、设备维修培训信息等。提交后可在列表中查看审批状态及流程进度。</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3.1.2 支持使用部门负责人及相关审批人员通过PC端或手机端对尾款请款申请进行逐级审批操作，审批流程应与院方现有资产系统审批流统一，审批意见及操作记录留痕。</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3.1.3 支持根据尾款请款申请信息自动生成医疗设备尾款结算验收申请单，并提供打印功能。申请单内容应包含资产信息、合同情况、临床设备应用、设备维修培训信息等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3.2 全部请款列表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支持查看所有尾款请款申请的审批情况，包括申请单号、当前审批状态、处理时间等。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 资产维保管理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4.1 资产维保列表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4.1.1 支持用户通过PC端或手机端提交资产维保申请，填写维保资产、保养日期等。提交后可在列表中查看审批情况。</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4.1.2 支持使用部门工程师通过PC端或手机端对资产维保申请进行审批操作，填写检查维护保养内容、更换主要配件记录等信息。</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4.1.3 支持资产维保申请推送给多位使用部门工程师，其中任何一个使用部门工程师可以通过PC端或手机端对资产维保申请进行审批操作。</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4.1.4 支持用户通过PC端或手机端对维保完成的资产进行确认处理，确认内容包括临床满意度等。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4.1.5 支持根据维保申请及执行情况自动生成重点医疗设备维护保养记录表，并提供打印功能。记录表应包含保养日期、检查维护保养内容、更换主要配件记录、临床满意度等。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4.2 全部维保列表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支持查看全部资产维保申请的审批情况，包括维保申请单号、资产信息、维保完成日期等，并支持按申请单号、申请日期、状态等查询条件筛选。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4.3 维保提醒配置</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支持归属部门资产管理员配置维保提醒规则，例如按维保周期设置提醒，系统根据配置自动向相关人员发送维保待办通知。</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4.4 历史维保情况</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4.4.1 支持用户查看自己所管理资产的历史维保记录，包括历史维保情况和是否维保超期。</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4.4.2 支持用户在查看历史维保情况时，直接发起新的维保申请，系统可自动带入资产基础信息，减少重复录入。</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 资产汇总展示</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根据登录人员的角色及权限，动态展示本部门或分管部门的资产汇总信息，具体包括：各类状态资产（在用、闲置、维修中、待报废等）的数量及所占比例（柱状图展示）；资产总价值及当年新增资产总额；待审批的工作流提醒（借用申请、归还申请、维修申请、维保申请、尾款请款等），支持点击直接跳转至审批页面；资产预警信息，如到期可报废 、借用待归还、待维保、闲置资产 、待盘点等，以红色标记突出显示已超期数据，并支持数据穿透。</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6. 资产报表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6.1 资产维修报表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支持对资产维修数据进行汇总与统计展示。用户可选择使用部门及统计月度，生成维修情况报表，内容包括：申请维修总次数、完成维修总次数、总费用；按维修原因（如正常磨损老化、电子部件故障、电源/供电系统故障等）分类统计；按维修分类（如自修、外修、计划报废等）统计；按工程师维修情况统计；按科室设备维修情况统计；支持图表展示及报表导出。</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6.2 资产维保报表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支持对资产维保数据进行汇总与展示。用户可选择使用部门及统计月度，生成维保情况报表，内容包括：申请维保资产数量、完成维保资产数量；按维保内容（如医疗设备的日常保养、医疗设备的一级保养、医疗设备的二级保养等）分类统计；临床满意度评分统计（如非常满意、满意、不满意等）；按工程师维保情况统计；按科室设备维保情况统计；支持图表展示及报表导出。</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6.3 尾款请款报表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支持对资产尾款请款数据进行汇总与展示。用户可选择使用部门及统计月度，生成尾款请款情况报表，内容包括：尾款请款情况、工程师尾款请款情况、科室设备尾款请款情况</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黑体" w:hAnsi="黑体" w:eastAsia="黑体" w:cs="黑体"/>
          <w:color w:val="000000"/>
          <w:sz w:val="24"/>
          <w:szCs w:val="24"/>
        </w:rPr>
        <w:t xml:space="preserve">★</w:t>
      </w:r>
      <w:r>
        <w:rPr>
          <w:rFonts w:hint="eastAsia" w:ascii="宋体" w:hAnsi="宋体"/>
          <w:color w:val="000000"/>
          <w:sz w:val="24"/>
          <w:szCs w:val="24"/>
        </w:rPr>
        <w:t xml:space="preserve">（2）系统对接要求</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1.对接系统及接口费用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系统须实现与医院现有</w:t>
      </w:r>
      <w:r>
        <w:rPr>
          <w:rFonts w:ascii="宋体" w:hAnsi="宋体"/>
          <w:color w:val="000000"/>
          <w:sz w:val="24"/>
          <w:szCs w:val="24"/>
        </w:rPr>
        <w:t xml:space="preserve">资产管理系统</w:t>
      </w:r>
      <w:r>
        <w:rPr>
          <w:rFonts w:hint="eastAsia" w:ascii="宋体" w:hAnsi="宋体"/>
          <w:color w:val="000000"/>
          <w:sz w:val="24"/>
          <w:szCs w:val="24"/>
        </w:rPr>
        <w:t xml:space="preserve">、OA系统、合同系统的全面对接，对接内容包括但不限于：</w:t>
      </w:r>
      <w:r>
        <w:rPr>
          <w:rFonts w:ascii="宋体" w:hAnsi="宋体"/>
          <w:color w:val="000000"/>
          <w:sz w:val="24"/>
          <w:szCs w:val="24"/>
        </w:rPr>
        <w:t xml:space="preserve">资产管理系统获取资产信息</w:t>
      </w:r>
      <w:r>
        <w:rPr>
          <w:rFonts w:hint="eastAsia" w:ascii="宋体" w:hAnsi="宋体"/>
          <w:color w:val="000000"/>
          <w:sz w:val="24"/>
          <w:szCs w:val="24"/>
        </w:rPr>
        <w:t xml:space="preserve">、</w:t>
      </w:r>
      <w:r>
        <w:rPr>
          <w:rFonts w:ascii="宋体" w:hAnsi="宋体"/>
          <w:color w:val="000000"/>
          <w:sz w:val="24"/>
          <w:szCs w:val="24"/>
        </w:rPr>
        <w:t xml:space="preserve">修改资产状态</w:t>
      </w:r>
      <w:r>
        <w:rPr>
          <w:rFonts w:hint="eastAsia" w:ascii="宋体" w:hAnsi="宋体"/>
          <w:color w:val="000000"/>
          <w:sz w:val="24"/>
          <w:szCs w:val="24"/>
        </w:rPr>
        <w:t xml:space="preserve">、</w:t>
      </w:r>
      <w:r>
        <w:rPr>
          <w:rFonts w:ascii="宋体" w:hAnsi="宋体"/>
          <w:color w:val="000000"/>
          <w:sz w:val="24"/>
          <w:szCs w:val="24"/>
        </w:rPr>
        <w:t xml:space="preserve">资产汇总相关接口</w:t>
      </w:r>
      <w:r>
        <w:rPr>
          <w:rFonts w:hint="eastAsia" w:ascii="宋体" w:hAnsi="宋体"/>
          <w:color w:val="000000"/>
          <w:sz w:val="24"/>
          <w:szCs w:val="24"/>
        </w:rPr>
        <w:t xml:space="preserve">、OA</w:t>
      </w:r>
      <w:r>
        <w:rPr>
          <w:rFonts w:ascii="宋体" w:hAnsi="宋体"/>
          <w:color w:val="000000"/>
          <w:sz w:val="24"/>
          <w:szCs w:val="24"/>
        </w:rPr>
        <w:t xml:space="preserve">单点登录</w:t>
      </w:r>
      <w:r>
        <w:rPr>
          <w:rFonts w:hint="eastAsia" w:ascii="宋体" w:hAnsi="宋体"/>
          <w:color w:val="000000"/>
          <w:sz w:val="24"/>
          <w:szCs w:val="24"/>
        </w:rPr>
        <w:t xml:space="preserve">、合同维保信息等。相关接口费用由供应商承担。</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2.无感数据获取能力</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系统须能够无感（即无需二次开发或手动导入）地从院方现有资产系统中已建模块获取必要信息，包括：资产卡片信息（资产编号、名称、规格、购置日期、原值、使用部门等）；角色权限信息（部门管理员、工程师、普通用户等角色定义及权限范围）；人员与部门对应关系。</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上述信息获取过程应自动、稳定、不影响现有系统运行。</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3.审批流统一要求</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各项业务审批（包括资产借用、归还、维修、维保、尾款请款等）须能够接入资产系统前期已建设的审批流引擎，统一审批路径、审批节点、审批人员配置，不得另行建设独立的审批流程。系统应确保审批操作入口统一、流程状态实时同步、历史审批记录可追溯，不改变现有审批逻辑和业务含义。</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（3）技术需求</w:t>
      </w:r>
      <w:r>
        <w:rPr>
          <w:rFonts w:hint="eastAsia" w:ascii="宋体" w:hAnsi="宋体"/>
          <w:color w:val="000000"/>
          <w:sz w:val="24"/>
          <w:szCs w:val="24"/>
        </w:rPr>
      </w:r>
      <w:r/>
    </w:p>
    <w:p>
      <w:pPr>
        <w:pStyle w:val="930"/>
        <w:ind w:firstLine="420"/>
        <w:keepLines w:val="0"/>
        <w:keepNext w:val="0"/>
        <w:pageBreakBefore w:val="0"/>
        <w:spacing w:line="264" w:lineRule="auto"/>
        <w:widowControl w:val="off"/>
        <w:rPr>
          <w:rFonts w:hint="eastAsia" w:ascii="宋体" w:hAnsi="宋体"/>
          <w:color w:val="000000"/>
          <w:sz w:val="24"/>
          <w:szCs w:val="24"/>
        </w:rPr>
      </w:pPr>
      <w:r>
        <w:rPr>
          <w:rFonts w:ascii="宋体" w:hAnsi="宋体" w:cs="宋体"/>
          <w:color w:val="000000"/>
        </w:rPr>
        <w:t xml:space="preserve">▲</w:t>
      </w:r>
      <w:r>
        <w:rPr>
          <w:rFonts w:hint="eastAsia" w:ascii="宋体" w:hAnsi="宋体"/>
          <w:color w:val="000000"/>
          <w:sz w:val="24"/>
          <w:szCs w:val="24"/>
        </w:rPr>
        <w:t xml:space="preserve">1.系统架构要求</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 技术架构</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1.1.1采用微服务架构，支持分布式部署与弹性扩展，核心服务模块可独立升级，不影响整体系统运行；</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1.1.2支持B/S部署模式，兼容主流浏览器（Chrome 90+、Edge 90+、Firefox 88+），无需安装客户端；</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1.1.3移动端支持iOS 13+、Android 9.0+系统，支持微信小程序，实现移动盘点、审批、预警推送功能。</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1.2开发技术</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1.2.1后端：支持Java/Spring Boot或.NET Core框架，支持容器化（Docker）部署</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1.2.2前端：采用Vue 3.0+/React等主流框架，支持个性化表单与流程；</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1.2.3数据库：支持国产信创，兼容MySQL 8.0+、Oracle 19c+，支持数据分片与读写分离，提供数据备份与恢复机制。</w:t>
      </w:r>
      <w:r>
        <w:rPr>
          <w:rFonts w:hint="eastAsia" w:ascii="宋体" w:hAnsi="宋体"/>
          <w:color w:val="000000"/>
          <w:sz w:val="24"/>
          <w:szCs w:val="24"/>
        </w:rPr>
      </w:r>
      <w:r/>
    </w:p>
    <w:p>
      <w:pPr>
        <w:pStyle w:val="930"/>
        <w:ind w:firstLine="420"/>
        <w:keepLines w:val="0"/>
        <w:keepNext w:val="0"/>
        <w:pageBreakBefore w:val="0"/>
        <w:spacing w:line="264" w:lineRule="auto"/>
        <w:widowControl w:val="off"/>
        <w:rPr>
          <w:rFonts w:hint="eastAsia" w:ascii="宋体" w:hAnsi="宋体"/>
          <w:color w:val="000000"/>
          <w:sz w:val="24"/>
          <w:szCs w:val="24"/>
        </w:rPr>
      </w:pPr>
      <w:r>
        <w:rPr>
          <w:rFonts w:ascii="宋体" w:hAnsi="宋体" w:cs="宋体"/>
          <w:color w:val="000000"/>
        </w:rPr>
        <w:t xml:space="preserve">▲</w:t>
      </w:r>
      <w:r>
        <w:rPr>
          <w:rFonts w:hint="eastAsia" w:ascii="宋体" w:hAnsi="宋体"/>
          <w:color w:val="000000"/>
          <w:sz w:val="24"/>
          <w:szCs w:val="24"/>
        </w:rPr>
        <w:t xml:space="preserve">2.协同与集成功能</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2.1多系统互联互通：通过 RESTful API 等协议对接合同系统、OA系统，实现数据共享；</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2.2工作协同平台：支持流程审批，提供自定义审批流配置功能，适配医院组织架构。</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3.数据规范要求</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3.1数据录入支持校验规则配置，确保数据完整性与准确性；</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3.2数据同步延迟≤5分钟，历史数据留存期限≥10年，支持数据溯源查询。</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4.性能指标要求</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4.1并发用户数：支持≥500用户同时在线，核心业务并发处理≥100笔/秒；</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4.2响应时间：单笔操作响应≤2秒，复杂查询（如跨年度资产统计）响应≤5秒，报表生成≤10秒；</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4.3系统可用性：全年平均无故障运行时间（MTBF）≥99%，故障恢复时间（MTTR）≤2小时；</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4.4数据存储：支持≥10万条资产记录存储。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5.安全体系要求</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5.1 网络安全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5.1.1符合等保2.0三级要求，支持网络访问控制与异常行为监测；</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5.1.2传输层采用TLS 1.2 +加密，防止数据传输泄露。</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5.2 数据安全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5.2.1敏感数据采用加密存储；</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5.2.2实现数据脱敏处理；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5.2.3操作日志留存周期≥6个月，记录所有数据新增、修改、删除操作，支持日志审计与追溯。</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5.3 权限管理</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5.3.1基于RBAC模型设计权限体系，支持细粒度权限控制；</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5.3.2支持多因素认证（账号密码/验证码），防止非法登录。</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6.兼容性</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服务器支持国产信创操作系统、Windows Server 2019+、Linux（CentOS 7.0+/Ubuntu 18.04+）操作系统；</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930"/>
        <w:numPr>
          <w:ilvl w:val="0"/>
          <w:numId w:val="5"/>
        </w:numPr>
        <w:ind w:firstLine="480"/>
        <w:keepLines w:val="0"/>
        <w:keepNext w:val="0"/>
        <w:pageBreakBefore w:val="0"/>
        <w:spacing w:line="264" w:lineRule="auto"/>
        <w:widowControl w:val="off"/>
        <w:tabs>
          <w:tab w:val="left" w:pos="312" w:leader="none"/>
        </w:tabs>
        <w:rPr>
          <w:rFonts w:ascii="宋体" w:hAnsi="宋体"/>
          <w:color w:val="000000"/>
          <w:sz w:val="24"/>
          <w:szCs w:val="24"/>
        </w:rPr>
      </w:pPr>
      <w:r>
        <w:rPr>
          <w:rFonts w:ascii="宋体" w:hAnsi="宋体"/>
          <w:color w:val="000000"/>
          <w:sz w:val="24"/>
          <w:szCs w:val="24"/>
        </w:rPr>
        <w:t xml:space="preserve">报价要求</w:t>
      </w:r>
      <w:r>
        <w:rPr>
          <w:rFonts w:ascii="宋体" w:hAnsi="宋体"/>
          <w:color w:val="000000"/>
          <w:sz w:val="24"/>
          <w:szCs w:val="24"/>
        </w:rPr>
      </w:r>
      <w:r/>
    </w:p>
    <w:p>
      <w:pPr>
        <w:pStyle w:val="930"/>
        <w:ind w:firstLine="480"/>
        <w:keepLines w:val="0"/>
        <w:keepNext w:val="0"/>
        <w:pageBreakBefore w:val="0"/>
        <w:spacing w:line="264" w:lineRule="auto"/>
        <w:widowControl w:val="off"/>
        <w:rPr>
          <w:rFonts w:ascii="宋体" w:hAnsi="宋体"/>
          <w:color w:val="000000"/>
          <w:sz w:val="24"/>
          <w:szCs w:val="24"/>
        </w:rPr>
      </w:pPr>
      <w:r>
        <w:rPr>
          <w:rFonts w:hint="eastAsia" w:ascii="宋体" w:hAnsi="宋体" w:cs="宋体"/>
          <w:color w:val="000000"/>
          <w:sz w:val="24"/>
          <w:szCs w:val="24"/>
        </w:rPr>
        <w:t xml:space="preserve">（1）本项目报价分为系统开发费用和系统运维费用，其中运维费用不超过总报价的10%。</w:t>
      </w:r>
      <w:r>
        <w:rPr>
          <w:rFonts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930"/>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（3）供应商的任何错漏、优惠、竞争性报价不得作为减轻责任、减少服务、增加收费、降低服务质量的理由。</w:t>
      </w:r>
      <w:r>
        <w:rPr>
          <w:rFonts w:hint="eastAsia" w:ascii="宋体" w:hAnsi="宋体" w:cs="宋体"/>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color w:val="000000"/>
          <w:sz w:val="24"/>
          <w:szCs w:val="24"/>
        </w:rPr>
        <w:t xml:space="preserve">（4）供应商报价除包含磋商文件中列明的项目外，还应包括保障服务正常运行应当具有的物资和服务，对服务正常运行应当具有的物资和服务理解不一致的以采购单位理解为准。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ascii="宋体" w:hAnsi="宋体" w:cs="宋体"/>
          <w:bCs/>
          <w:color w:val="000000"/>
          <w:sz w:val="24"/>
          <w:szCs w:val="24"/>
        </w:rPr>
      </w:pPr>
      <w:r>
        <w:rPr>
          <w:rFonts w:ascii="宋体" w:hAnsi="宋体" w:cs="宋体"/>
          <w:bCs/>
          <w:color w:val="000000"/>
          <w:sz w:val="24"/>
          <w:szCs w:val="24"/>
        </w:rPr>
        <w:t xml:space="preserve">（1）总体要求</w:t>
      </w:r>
      <w:r>
        <w:rPr>
          <w:rFonts w:ascii="宋体" w:hAnsi="宋体" w:cs="宋体"/>
          <w:bCs/>
          <w:color w:val="000000"/>
          <w:sz w:val="24"/>
          <w:szCs w:val="24"/>
        </w:rPr>
      </w:r>
      <w:r/>
    </w:p>
    <w:p>
      <w:pPr>
        <w:pStyle w:val="930"/>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供应商应根据采购人要求制定总体实施方案和分阶段实施计划，覆盖需求调研、系统设计、部署安装、接口联调、试运行、风险应对等环节。</w:t>
      </w:r>
      <w:r>
        <w:rPr>
          <w:rFonts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ascii="宋体" w:hAnsi="宋体" w:cs="宋体"/>
          <w:bCs/>
          <w:color w:val="000000"/>
          <w:sz w:val="24"/>
          <w:szCs w:val="24"/>
        </w:rPr>
        <w:t xml:space="preserve">（2）</w:t>
      </w:r>
      <w:r>
        <w:rPr>
          <w:rFonts w:hint="eastAsia" w:ascii="宋体" w:hAnsi="宋体" w:cs="宋体"/>
          <w:bCs/>
          <w:color w:val="000000"/>
          <w:sz w:val="24"/>
          <w:szCs w:val="24"/>
        </w:rPr>
        <w:t xml:space="preserve">服务要求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①技术支持服务：供应商应提供7×24小时电话、远程技术支持与监控服务；建立快速响应机制，其中一般问题应及时受理并处理，重大故障应在1小时内响应、2小时内提供解决路径，必要时在12小时内提供备用方案。</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②技术咨询服务：提供终身技术咨询服务，解答用户在使用中遇到的问题，及时为采购人提出解决问题的建议。</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③运维服务和技术升级：在服务期内（含维保期）供应商除须对所投产品提供运维服务（系统版本补丁，检查有无安全漏洞、升级组件等）。如果供应商的产品技术升级（包含软件所有版本），供应商应及时通知使用方，如使用方有相应要求，供应商应为使用方提供免费升级。</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④维保期满后服务要求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供应商应在免费维保期满后提供维保服务，服务标准不低于维保期内服务标准，免费维保期满后每年维保服务具体费用以后期使用方及成交供应商另行协商并签订协议。</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①软件完成部署和调试后，采购人将组织履约验收，以采购人的验收报告为最终验收结果。验收时发现未完成安装部署的、未进行调试的，采购人有权要求供应商立即进行补充。</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②软件安装、调试达到招标要求的指标后，可进行验收测试。采购人可根据合同及招标要求和采购人的有关规定进行修改和补充。经双方确认后形成验收文件作为验收依据。验收测试合格后，双方签署验收协议，系统试运行。</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③系统所有性能指标达到招标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（4）维保要求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对本项目的系统提供5年的维保服务，费用包含在总价中。维护期自系统验收合格之日起开始计算，运维服务范围包括：错误修改、轻量级需求变更、性能优化、运行环境诊断及保障。</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（5）人员要求</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bookmarkStart w:id="116" w:name="OLE_LINK4"/>
      <w:r>
        <w:rPr>
          <w:rFonts w:hint="eastAsia" w:ascii="宋体" w:hAnsi="宋体" w:eastAsia="宋体" w:cs="宋体"/>
          <w:bCs/>
          <w:color w:val="000000"/>
          <w:sz w:val="24"/>
          <w:szCs w:val="24"/>
        </w:rPr>
        <w:t xml:space="preserve">①</w:t>
      </w:r>
      <w:bookmarkEnd w:id="116"/>
      <w:r>
        <w:rPr>
          <w:rFonts w:hint="eastAsia" w:ascii="宋体" w:hAnsi="宋体" w:eastAsia="宋体" w:cs="宋体"/>
          <w:bCs/>
          <w:color w:val="000000"/>
          <w:sz w:val="24"/>
          <w:szCs w:val="24"/>
        </w:rPr>
        <w:t xml:space="preserve">项目经理：1人，本科及以上，具有</w:t>
      </w:r>
      <w:r>
        <w:rPr>
          <w:rFonts w:hint="eastAsia" w:ascii="宋体" w:hAnsi="宋体" w:eastAsia="宋体" w:cs="宋体"/>
          <w:bCs/>
          <w:color w:val="000000"/>
          <w:sz w:val="24"/>
          <w:szCs w:val="24"/>
          <w:lang w:eastAsia="zh-CN"/>
        </w:rPr>
        <w:t xml:space="preserve">至少3年</w:t>
      </w:r>
      <w:r>
        <w:rPr>
          <w:rFonts w:hint="eastAsia" w:ascii="宋体" w:hAnsi="宋体" w:eastAsia="宋体" w:cs="宋体"/>
          <w:bCs/>
          <w:color w:val="000000"/>
          <w:sz w:val="24"/>
          <w:szCs w:val="24"/>
        </w:rPr>
        <w:t xml:space="preserve">信息化项目管理工作经验，不得兼任其他岗位。 </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bookmarkStart w:id="117" w:name="OLE_LINK5"/>
      <w:r>
        <w:rPr>
          <w:rFonts w:hint="eastAsia" w:ascii="宋体" w:hAnsi="宋体" w:eastAsia="宋体" w:cs="宋体"/>
          <w:bCs/>
          <w:color w:val="000000"/>
          <w:sz w:val="24"/>
          <w:szCs w:val="24"/>
        </w:rPr>
        <w:t xml:space="preserve">②</w:t>
      </w:r>
      <w:bookmarkEnd w:id="117"/>
      <w:r>
        <w:rPr>
          <w:rFonts w:hint="eastAsia" w:ascii="宋体" w:hAnsi="宋体" w:eastAsia="宋体" w:cs="宋体"/>
          <w:bCs/>
          <w:color w:val="000000"/>
          <w:sz w:val="24"/>
          <w:szCs w:val="24"/>
        </w:rPr>
        <w:t xml:space="preserve">技术负责人1人，本科及以上，具有</w:t>
      </w:r>
      <w:r>
        <w:rPr>
          <w:rFonts w:hint="eastAsia" w:ascii="宋体" w:hAnsi="宋体" w:eastAsia="宋体" w:cs="宋体"/>
          <w:bCs/>
          <w:color w:val="000000"/>
          <w:sz w:val="24"/>
          <w:szCs w:val="24"/>
          <w:lang w:eastAsia="zh-CN"/>
        </w:rPr>
        <w:t xml:space="preserve">至少3年</w:t>
      </w:r>
      <w:r>
        <w:rPr>
          <w:rFonts w:hint="eastAsia" w:ascii="宋体" w:hAnsi="宋体" w:eastAsia="宋体" w:cs="宋体"/>
          <w:bCs/>
          <w:color w:val="000000"/>
          <w:sz w:val="24"/>
          <w:szCs w:val="24"/>
        </w:rPr>
        <w:t xml:space="preserve">信息化项目技术管理工作经验，不得兼任其他岗位。  </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③开发实施人员：不少于2人，本科及以上，具有信息化工作经验，项目开发期间须1人驻场服务。 </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④运维服务人员：不少于2人，本科及以上，具有信息化工作经验。 </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⑤项目组所有人员必须为供应商正式工作人员，不得兼任其他项目工作，未经采购人同意，人员不得更换。</w:t>
      </w:r>
      <w:r>
        <w:rPr>
          <w:rFonts w:hint="eastAsia" w:ascii="宋体" w:hAnsi="宋体" w:eastAsia="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①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 </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②采购人享有本项目实施过程中产生的知识成果及知识产权。 </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③供应商如欲在项目实施过程中采用自有知识成果，需在响应文件中声明，并提供相关知识产权证明文件。使用该知识成果后，供应商需提供开发接口和开发手册等技术文档，并承诺提供无限期技术支持，采购人享有永久使用权（含采购人委托第三方在该项目后续开发的使用权）。 </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④如采用供应商所不拥有的知识产权，则在报价中需包括合法获取该知识产权的相关费用。</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（7）建设成果要求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①项目启动阶段：项目实施方案。 </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②业务需求分析阶段：需求调研方案、需求分析说明书。</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③系统设计、开发阶段：需求规格说明书、概要设计说明书、详细设计说明书、数据库设计说明书、系统接口说明书。 </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④系统实施阶段：系统上线部署方案、软件安装说明书、系统培训方案、系统培训手册。 </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⑤项目验收阶段：测试报告、项目验收方案、系统运行报告、项目验收报告。 </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⑥运行维护阶段：系统维护方案、系统维护手册、系统运行维护记录。</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（8）培训要求</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成交供应商应向采购人免费提供现场技术培训，应针对系统管理人员、其他人员等准备多种培训方案。</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培训方案包括但不限于：培训人员与人数、培训的详细课程、培训方式、培训教材安排等。</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培训内容应包括相关系统软件、应用软件的操作等培训课程。</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培训方式包括：集中培训、特定人员培训、线上交流群等。</w:t>
      </w:r>
      <w:r>
        <w:rPr>
          <w:rFonts w:hint="eastAsia" w:ascii="宋体" w:hAnsi="宋体" w:cs="宋体"/>
          <w:bCs/>
          <w:color w:val="000000"/>
          <w:sz w:val="24"/>
          <w:szCs w:val="24"/>
        </w:rPr>
      </w:r>
      <w:r/>
    </w:p>
    <w:p>
      <w:pPr>
        <w:pStyle w:val="930"/>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930"/>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要求</w:t>
      </w:r>
      <w:r>
        <w:rPr>
          <w:rFonts w:ascii="宋体" w:hAnsi="宋体" w:cs="宋体"/>
          <w:color w:val="000000"/>
          <w:sz w:val="24"/>
          <w:szCs w:val="24"/>
        </w:rPr>
        <w:t xml:space="preserve">为准。</w:t>
      </w:r>
      <w:r>
        <w:rPr>
          <w:rFonts w:ascii="宋体" w:hAnsi="宋体" w:cs="宋体"/>
          <w:color w:val="000000"/>
          <w:sz w:val="24"/>
          <w:szCs w:val="24"/>
        </w:rPr>
      </w:r>
      <w:r/>
    </w:p>
    <w:p>
      <w:pPr>
        <w:pStyle w:val="930"/>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930"/>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olor w:val="000000"/>
          <w:sz w:val="24"/>
          <w:szCs w:val="24"/>
        </w:rPr>
        <w:t xml:space="preserve">90</w:t>
      </w:r>
      <w:r>
        <w:rPr>
          <w:rFonts w:ascii="宋体" w:hAnsi="宋体" w:cs="宋体"/>
          <w:color w:val="000000"/>
          <w:sz w:val="24"/>
          <w:szCs w:val="24"/>
        </w:rPr>
        <w:t xml:space="preserve">天内交付</w:t>
      </w:r>
      <w:r>
        <w:rPr>
          <w:rFonts w:hint="eastAsia" w:ascii="宋体" w:hAnsi="宋体" w:cs="宋体"/>
          <w:color w:val="000000"/>
          <w:sz w:val="24"/>
          <w:szCs w:val="24"/>
        </w:rPr>
        <w:t xml:space="preserve">。</w:t>
      </w:r>
      <w:r>
        <w:rPr>
          <w:rFonts w:ascii="宋体" w:hAnsi="宋体" w:cs="宋体"/>
          <w:color w:val="000000"/>
          <w:sz w:val="24"/>
          <w:szCs w:val="24"/>
        </w:rPr>
      </w:r>
      <w:r/>
    </w:p>
    <w:p>
      <w:pPr>
        <w:pStyle w:val="930"/>
        <w:ind w:firstLine="480"/>
        <w:keepLines w:val="0"/>
        <w:keepNext w:val="0"/>
        <w:pageBreakBefore w:val="0"/>
        <w:spacing w:line="264" w:lineRule="auto"/>
        <w:widowControl w:val="off"/>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30"/>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930"/>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eastAsia="宋体" w:cs="宋体"/>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18"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18"/>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磋商文件中要求提供证明材料的，签订合同时供应商应按磋商文件要求和响应文件响应内容提供相应证明材料原件供采购人核验，否则采购人将取消其成交资格。</w:t>
      </w:r>
      <w:r>
        <w:rPr>
          <w:rFonts w:hint="eastAsia" w:ascii="宋体" w:hAnsi="宋体" w:eastAsia="宋体" w:cs="宋体"/>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ascii="宋体" w:hAnsi="宋体" w:eastAsia="宋体" w:cs="宋体"/>
          <w:bCs w:val="0"/>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30"/>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宋体"/>
          <w:color w:val="000000"/>
          <w:sz w:val="24"/>
          <w:szCs w:val="24"/>
          <w:highlight w:val="none"/>
          <w:lang w:val="en-US" w:eastAsia="zh-CN"/>
        </w:rPr>
        <w:t xml:space="preserve">详见“第五章 评审方法与评审标准”。</w:t>
      </w:r>
      <w:bookmarkStart w:id="119" w:name="_Toc120614281"/>
      <w:r>
        <w:rPr>
          <w:rFonts w:hint="eastAsia" w:ascii="宋体" w:hAnsi="宋体" w:eastAsia="宋体" w:cs="宋体"/>
          <w:color w:val="000000"/>
          <w:sz w:val="24"/>
          <w:szCs w:val="24"/>
          <w:highlight w:val="none"/>
          <w:lang w:val="en-US" w:eastAsia="zh-CN"/>
        </w:rPr>
      </w:r>
      <w:r/>
    </w:p>
    <w:p>
      <w:pPr>
        <w:pStyle w:val="930"/>
        <w:ind w:firstLine="880"/>
        <w:jc w:val="center"/>
        <w:keepLines w:val="0"/>
        <w:keepNext w:val="0"/>
        <w:pageBreakBefore w:val="0"/>
        <w:spacing w:line="264" w:lineRule="auto"/>
        <w:widowControl w:val="off"/>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br w:type="page" w:clear="all"/>
      </w:r>
      <w:r>
        <w:rPr>
          <w:rFonts w:hint="eastAsia" w:ascii="黑体" w:hAnsi="Times New Roman" w:eastAsia="黑体" w:cs="Times New Roman"/>
          <w:color w:val="000000"/>
          <w:sz w:val="44"/>
          <w:szCs w:val="44"/>
          <w:highlight w:val="none"/>
        </w:rPr>
        <w:t xml:space="preserve">第五章  评审方法与评审标准</w:t>
      </w:r>
      <w:r>
        <w:rPr>
          <w:rFonts w:hint="eastAsia" w:ascii="黑体" w:hAnsi="Times New Roman" w:eastAsia="黑体"/>
          <w:bCs/>
          <w:color w:val="000000"/>
          <w:sz w:val="44"/>
          <w:szCs w:val="28"/>
          <w:highlight w:val="none"/>
        </w:rPr>
      </w:r>
      <w:r/>
    </w:p>
    <w:p>
      <w:pPr>
        <w:pStyle w:val="930"/>
        <w:ind w:firstLine="420"/>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3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30"/>
        <w:ind w:firstLine="480"/>
        <w:keepLines w:val="0"/>
        <w:keepNext w:val="0"/>
        <w:pageBreakBefore w:val="0"/>
        <w:spacing w:line="264" w:lineRule="auto"/>
        <w:widowControl w:val="off"/>
        <w:rPr>
          <w:rFonts w:hint="eastAsia"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color w:val="000000"/>
          <w:sz w:val="24"/>
          <w:szCs w:val="24"/>
          <w:highlight w:val="none"/>
        </w:rPr>
      </w:r>
      <w:r/>
    </w:p>
    <w:p>
      <w:pPr>
        <w:pStyle w:val="930"/>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00"/>
          <w:sz w:val="24"/>
          <w:szCs w:val="24"/>
          <w:highlight w:val="none"/>
          <w:lang w:eastAsia="zh-CN"/>
        </w:rPr>
      </w:r>
      <w:r/>
    </w:p>
    <w:tbl>
      <w:tblPr>
        <w:tblStyle w:val="1059"/>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序号</w:t>
            </w:r>
            <w:r>
              <w:rPr>
                <w:rFonts w:hint="eastAsia" w:ascii="宋体" w:hAnsi="宋体" w:eastAsia="宋体" w:cs="宋体"/>
                <w:b/>
                <w:bCs/>
                <w:color w:val="000000"/>
                <w:spacing w:val="-3"/>
                <w:szCs w:val="22"/>
                <w:highlight w:val="none"/>
              </w:rPr>
            </w:r>
            <w:r/>
          </w:p>
        </w:tc>
        <w:tc>
          <w:tcPr>
            <w:tcW w:w="1179"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评审因素</w:t>
            </w:r>
            <w:r>
              <w:rPr>
                <w:rFonts w:hint="eastAsia" w:ascii="宋体" w:hAnsi="宋体" w:eastAsia="宋体" w:cs="宋体"/>
                <w:b/>
                <w:bCs/>
                <w:color w:val="000000"/>
                <w:spacing w:val="-3"/>
                <w:szCs w:val="22"/>
                <w:highlight w:val="none"/>
              </w:rPr>
            </w:r>
            <w:r/>
          </w:p>
        </w:tc>
        <w:tc>
          <w:tcPr>
            <w:tcW w:w="6425"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评审细则</w:t>
            </w:r>
            <w:r>
              <w:rPr>
                <w:rFonts w:hint="eastAsia" w:ascii="宋体" w:hAnsi="宋体" w:eastAsia="宋体" w:cs="宋体"/>
                <w:b/>
                <w:bCs/>
                <w:color w:val="000000"/>
                <w:spacing w:val="-3"/>
                <w:szCs w:val="22"/>
                <w:highlight w:val="none"/>
              </w:rPr>
            </w:r>
            <w:r/>
          </w:p>
        </w:tc>
        <w:tc>
          <w:tcPr>
            <w:tcW w:w="637"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分值</w:t>
            </w:r>
            <w:r>
              <w:rPr>
                <w:rFonts w:hint="eastAsia" w:ascii="宋体" w:hAnsi="宋体" w:eastAsia="宋体" w:cs="宋体"/>
                <w:b/>
                <w:bCs/>
                <w:color w:val="000000"/>
                <w:spacing w:val="-3"/>
                <w:szCs w:val="22"/>
                <w:highlight w:val="none"/>
              </w:rPr>
            </w:r>
            <w:r/>
          </w:p>
        </w:tc>
        <w:tc>
          <w:tcPr>
            <w:tcW w:w="852"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b/>
                <w:bCs/>
                <w:color w:val="000000"/>
                <w:spacing w:val="-3"/>
                <w:szCs w:val="22"/>
                <w:highlight w:val="none"/>
              </w:rPr>
            </w:pPr>
            <w:r>
              <w:rPr>
                <w:rFonts w:hint="eastAsia" w:ascii="宋体" w:hAnsi="宋体" w:eastAsia="宋体" w:cs="宋体"/>
                <w:b/>
                <w:bCs/>
                <w:color w:val="000000"/>
                <w:spacing w:val="-3"/>
                <w:szCs w:val="22"/>
                <w:highlight w:val="none"/>
              </w:rPr>
              <w:t xml:space="preserve">类型</w:t>
            </w:r>
            <w:r>
              <w:rPr>
                <w:rFonts w:hint="eastAsia" w:ascii="宋体" w:hAnsi="宋体" w:eastAsia="宋体" w:cs="宋体"/>
                <w:b/>
                <w:bCs/>
                <w:color w:val="000000"/>
                <w:spacing w:val="-3"/>
                <w:szCs w:val="22"/>
                <w:highlight w:val="none"/>
              </w:rPr>
            </w:r>
            <w:r/>
          </w:p>
        </w:tc>
      </w:tr>
      <w:tr>
        <w:trPr>
          <w:trHeight w:val="460"/>
        </w:trPr>
        <w:tc>
          <w:tcPr>
            <w:gridSpan w:val="5"/>
            <w:tcW w:w="9612" w:type="dxa"/>
            <w:vAlign w:val="top"/>
            <w:textDirection w:val="lrTb"/>
            <w:noWrap w:val="false"/>
          </w:tcPr>
          <w:p>
            <w:pPr>
              <w:pStyle w:val="930"/>
              <w:ind w:left="114"/>
              <w:keepLines w:val="0"/>
              <w:keepNext w:val="0"/>
              <w:pageBreakBefore w:val="0"/>
              <w:spacing w:before="122"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ascii="宋体" w:hAnsi="宋体" w:eastAsia="宋体" w:cs="宋体"/>
                <w:b/>
                <w:bCs/>
                <w:color w:val="000000"/>
                <w:spacing w:val="-3"/>
                <w:szCs w:val="21"/>
                <w:highlight w:val="none"/>
              </w:rPr>
              <w:t xml:space="preserve">价</w:t>
            </w:r>
            <w:r>
              <w:rPr>
                <w:rFonts w:ascii="宋体" w:hAnsi="宋体" w:eastAsia="宋体" w:cs="宋体"/>
                <w:b/>
                <w:bCs/>
                <w:color w:val="000000"/>
                <w:spacing w:val="-2"/>
                <w:szCs w:val="21"/>
                <w:highlight w:val="none"/>
              </w:rPr>
              <w:t xml:space="preserve">格</w:t>
            </w:r>
            <w:r>
              <w:rPr>
                <w:rFonts w:ascii="宋体" w:hAnsi="宋体" w:eastAsia="宋体" w:cs="宋体"/>
                <w:color w:val="000000"/>
                <w:szCs w:val="21"/>
                <w:highlight w:val="none"/>
              </w:rPr>
            </w:r>
            <w:r/>
          </w:p>
        </w:tc>
      </w:tr>
      <w:tr>
        <w:trPr>
          <w:trHeight w:val="1030"/>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Cs w:val="21"/>
                <w:highlight w:val="none"/>
              </w:rPr>
            </w:pPr>
            <w:r>
              <w:rPr>
                <w:rFonts w:ascii="宋体" w:hAnsi="宋体" w:eastAsia="宋体" w:cs="宋体"/>
                <w:color w:val="000000"/>
                <w:spacing w:val="-6"/>
                <w:szCs w:val="21"/>
                <w:highlight w:val="none"/>
              </w:rPr>
              <w:t xml:space="preserve">1</w:t>
            </w:r>
            <w:r>
              <w:rPr>
                <w:rFonts w:ascii="宋体" w:hAnsi="宋体" w:eastAsia="宋体" w:cs="宋体"/>
                <w:color w:val="000000"/>
                <w:spacing w:val="-5"/>
                <w:szCs w:val="21"/>
                <w:highlight w:val="none"/>
              </w:rPr>
              <w:t xml:space="preserve">.1</w:t>
            </w:r>
            <w:r>
              <w:rPr>
                <w:rFonts w:ascii="宋体" w:hAnsi="宋体" w:eastAsia="宋体" w:cs="宋体"/>
                <w:color w:val="000000"/>
                <w:szCs w:val="21"/>
                <w:highlight w:val="none"/>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ascii="宋体" w:hAnsi="宋体" w:eastAsia="宋体" w:cs="宋体"/>
                <w:color w:val="000000"/>
                <w:szCs w:val="21"/>
                <w:highlight w:val="none"/>
              </w:rPr>
            </w:pPr>
            <w:r>
              <w:rPr>
                <w:rFonts w:ascii="宋体" w:hAnsi="宋体" w:eastAsia="宋体" w:cs="宋体"/>
                <w:color w:val="000000"/>
                <w:spacing w:val="-2"/>
                <w:szCs w:val="21"/>
                <w:highlight w:val="none"/>
              </w:rPr>
              <w:t xml:space="preserve">价格分</w:t>
            </w:r>
            <w:r>
              <w:rPr>
                <w:rFonts w:ascii="宋体" w:hAnsi="宋体" w:eastAsia="宋体" w:cs="宋体"/>
                <w:color w:val="000000"/>
                <w:szCs w:val="21"/>
                <w:highlight w:val="none"/>
              </w:rPr>
            </w:r>
            <w:r/>
          </w:p>
        </w:tc>
        <w:tc>
          <w:tcPr>
            <w:tcW w:w="6425" w:type="dxa"/>
            <w:vAlign w:val="center"/>
            <w:textDirection w:val="lrTb"/>
            <w:noWrap w:val="false"/>
          </w:tcPr>
          <w:p>
            <w:pPr>
              <w:pStyle w:val="930"/>
              <w:jc w:val="left"/>
              <w:keepLines w:val="0"/>
              <w:keepNext w:val="0"/>
              <w:pageBreakBefore w:val="0"/>
              <w:spacing w:line="264" w:lineRule="auto"/>
              <w:widowControl w:val="off"/>
              <w:rPr>
                <w:rFonts w:hint="eastAsia"/>
                <w:color w:val="000000"/>
                <w:highlight w:val="none"/>
                <w:lang w:val="en-US" w:eastAsia="zh-CN"/>
              </w:rPr>
            </w:pPr>
            <w:r>
              <w:rPr>
                <w:color w:val="000000"/>
                <w:highlight w:val="none"/>
              </w:rPr>
              <w:t xml:space="preserve">采用低价优先法计算</w:t>
            </w:r>
            <w:r>
              <w:rPr>
                <w:rFonts w:hint="eastAsia"/>
                <w:color w:val="000000"/>
                <w:highlight w:val="none"/>
                <w:lang w:eastAsia="zh-CN"/>
              </w:rPr>
              <w:t xml:space="preserve">，</w:t>
            </w:r>
            <w:r>
              <w:rPr>
                <w:color w:val="000000"/>
                <w:highlight w:val="none"/>
              </w:rPr>
              <w:t xml:space="preserve">即满足</w:t>
            </w:r>
            <w:r>
              <w:rPr>
                <w:rFonts w:hint="eastAsia"/>
                <w:color w:val="000000"/>
                <w:highlight w:val="none"/>
                <w:lang w:eastAsia="zh-CN"/>
              </w:rPr>
              <w:t xml:space="preserve">磋商文件</w:t>
            </w:r>
            <w:r>
              <w:rPr>
                <w:color w:val="000000"/>
                <w:highlight w:val="none"/>
              </w:rPr>
              <w:t xml:space="preserve">要求且</w:t>
            </w:r>
            <w:r>
              <w:rPr>
                <w:rFonts w:hint="eastAsia"/>
                <w:color w:val="000000"/>
                <w:highlight w:val="none"/>
                <w:lang w:eastAsia="zh-CN"/>
              </w:rPr>
              <w:t xml:space="preserve">最终报价</w:t>
            </w:r>
            <w:r>
              <w:rPr>
                <w:color w:val="000000"/>
                <w:highlight w:val="none"/>
              </w:rPr>
              <w:t xml:space="preserve">最低的</w:t>
            </w:r>
            <w:r>
              <w:rPr>
                <w:rFonts w:hint="eastAsia"/>
                <w:color w:val="000000"/>
                <w:highlight w:val="none"/>
                <w:lang w:eastAsia="zh-CN"/>
              </w:rPr>
              <w:t xml:space="preserve">供应商</w:t>
            </w:r>
            <w:r>
              <w:rPr>
                <w:color w:val="000000"/>
                <w:highlight w:val="none"/>
              </w:rPr>
              <w:t xml:space="preserve">报价为评</w:t>
            </w:r>
            <w:r>
              <w:rPr>
                <w:rFonts w:hint="eastAsia"/>
                <w:color w:val="000000"/>
                <w:highlight w:val="none"/>
                <w:lang w:val="en-US" w:eastAsia="zh-CN"/>
              </w:rPr>
              <w:t xml:space="preserve">审</w:t>
            </w:r>
            <w:r>
              <w:rPr>
                <w:color w:val="000000"/>
                <w:highlight w:val="none"/>
              </w:rPr>
              <w:t xml:space="preserve">基准价</w:t>
            </w:r>
            <w:r>
              <w:rPr>
                <w:rFonts w:hint="eastAsia"/>
                <w:color w:val="000000"/>
                <w:highlight w:val="none"/>
                <w:lang w:eastAsia="zh-CN"/>
              </w:rPr>
              <w:t xml:space="preserve">，</w:t>
            </w:r>
            <w:r>
              <w:rPr>
                <w:color w:val="000000"/>
                <w:highlight w:val="none"/>
              </w:rPr>
              <w:t xml:space="preserve">其价格分为满分。其他</w:t>
            </w:r>
            <w:r>
              <w:rPr>
                <w:rFonts w:hint="eastAsia"/>
                <w:color w:val="000000"/>
                <w:highlight w:val="none"/>
                <w:lang w:eastAsia="zh-CN"/>
              </w:rPr>
              <w:t xml:space="preserve">供应商</w:t>
            </w:r>
            <w:r>
              <w:rPr>
                <w:color w:val="000000"/>
                <w:highlight w:val="none"/>
              </w:rPr>
              <w:t xml:space="preserve">的价格分统一按照下列公式计算：报价得分=</w:t>
            </w:r>
            <w:r>
              <w:rPr>
                <w:rFonts w:hint="eastAsia"/>
                <w:color w:val="000000"/>
                <w:highlight w:val="none"/>
                <w:lang w:eastAsia="zh-CN"/>
              </w:rPr>
              <w:t xml:space="preserve">（</w:t>
            </w:r>
            <w:r>
              <w:rPr>
                <w:color w:val="000000"/>
                <w:highlight w:val="none"/>
              </w:rPr>
              <w:t xml:space="preserve">评</w:t>
            </w:r>
            <w:r>
              <w:rPr>
                <w:rFonts w:hint="eastAsia"/>
                <w:color w:val="000000"/>
                <w:highlight w:val="none"/>
                <w:lang w:val="en-US" w:eastAsia="zh-CN"/>
              </w:rPr>
              <w:t xml:space="preserve">审</w:t>
            </w:r>
            <w:r>
              <w:rPr>
                <w:color w:val="000000"/>
                <w:highlight w:val="none"/>
              </w:rPr>
              <w:t xml:space="preserve">基准价/</w:t>
            </w:r>
            <w:r>
              <w:rPr>
                <w:rFonts w:hint="eastAsia"/>
                <w:color w:val="000000"/>
                <w:highlight w:val="none"/>
                <w:lang w:eastAsia="zh-CN"/>
              </w:rPr>
              <w:t xml:space="preserve">最终</w:t>
            </w:r>
            <w:r>
              <w:rPr>
                <w:color w:val="000000"/>
                <w:highlight w:val="none"/>
              </w:rPr>
              <w:t xml:space="preserve">报价</w:t>
            </w:r>
            <w:r>
              <w:rPr>
                <w:rFonts w:hint="eastAsia"/>
                <w:color w:val="000000"/>
                <w:highlight w:val="none"/>
                <w:lang w:eastAsia="zh-CN"/>
              </w:rPr>
              <w:t xml:space="preserve">）</w:t>
            </w:r>
            <w:r>
              <w:rPr>
                <w:color w:val="000000"/>
                <w:highlight w:val="none"/>
              </w:rPr>
              <w:t xml:space="preserve">×</w:t>
            </w:r>
            <w:r>
              <w:rPr>
                <w:rFonts w:hint="eastAsia"/>
                <w:color w:val="000000"/>
                <w:highlight w:val="none"/>
                <w:lang w:val="en-US" w:eastAsia="zh-CN"/>
              </w:rPr>
              <w:t xml:space="preserve">价格分值（小数点保留两位）</w:t>
            </w:r>
            <w:r>
              <w:rPr>
                <w:rFonts w:hint="eastAsia"/>
                <w:color w:val="000000"/>
                <w:highlight w:val="none"/>
                <w:lang w:val="en-US" w:eastAsia="zh-CN"/>
              </w:rPr>
            </w:r>
            <w:r/>
          </w:p>
          <w:p>
            <w:pPr>
              <w:pStyle w:val="1058"/>
              <w:ind w:left="0"/>
              <w:rPr>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color w:val="000000"/>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基准价和最终报价。</w:t>
            </w:r>
            <w:r>
              <w:rPr>
                <w:color w:val="000000"/>
                <w:highlight w:val="none"/>
                <w:lang w:val="en-US" w:eastAsia="zh-CN"/>
              </w:rPr>
            </w:r>
            <w:r/>
          </w:p>
        </w:tc>
        <w:tc>
          <w:tcPr>
            <w:tcW w:w="63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价格分</w:t>
            </w:r>
            <w:r>
              <w:rPr>
                <w:rFonts w:hint="eastAsia" w:ascii="宋体" w:hAnsi="宋体" w:eastAsia="宋体" w:cs="宋体"/>
                <w:color w:val="000000"/>
                <w:szCs w:val="21"/>
                <w:highlight w:val="none"/>
                <w:lang w:eastAsia="zh-CN"/>
              </w:rPr>
            </w:r>
            <w:r/>
          </w:p>
        </w:tc>
      </w:tr>
      <w:tr>
        <w:trPr>
          <w:trHeight w:val="460"/>
        </w:trPr>
        <w:tc>
          <w:tcPr>
            <w:gridSpan w:val="5"/>
            <w:tcW w:w="9612" w:type="dxa"/>
            <w:vAlign w:val="top"/>
            <w:textDirection w:val="lrTb"/>
            <w:noWrap w:val="false"/>
          </w:tcPr>
          <w:p>
            <w:pPr>
              <w:pStyle w:val="930"/>
              <w:ind w:left="114"/>
              <w:keepLines w:val="0"/>
              <w:keepNext w:val="0"/>
              <w:pageBreakBefore w:val="0"/>
              <w:spacing w:before="123"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2.服务</w:t>
            </w:r>
            <w:r>
              <w:rPr>
                <w:rFonts w:ascii="宋体" w:hAnsi="宋体" w:eastAsia="宋体" w:cs="宋体"/>
                <w:color w:val="000000"/>
                <w:szCs w:val="21"/>
                <w:highlight w:val="none"/>
              </w:rPr>
            </w:r>
            <w:r/>
          </w:p>
        </w:tc>
      </w:tr>
      <w:tr>
        <w:trPr>
          <w:trHeight w:val="891"/>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ascii="宋体" w:hAnsi="宋体" w:eastAsia="宋体" w:cs="宋体"/>
                <w:color w:val="000000"/>
                <w:spacing w:val="-2"/>
                <w:szCs w:val="21"/>
                <w:highlight w:val="none"/>
              </w:rPr>
            </w:r>
            <w:r/>
          </w:p>
        </w:tc>
        <w:tc>
          <w:tcPr>
            <w:tcW w:w="1179" w:type="dxa"/>
            <w:vAlign w:val="center"/>
            <w:textDirection w:val="lrTb"/>
            <w:noWrap w:val="false"/>
          </w:tcPr>
          <w:p>
            <w:pPr>
              <w:pStyle w:val="930"/>
              <w:jc w:val="left"/>
              <w:keepLines w:val="0"/>
              <w:keepNext w:val="0"/>
              <w:pageBreakBefore w:val="0"/>
              <w:spacing w:before="68"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产品技术参数</w:t>
            </w:r>
            <w:r>
              <w:rPr>
                <w:rFonts w:ascii="宋体" w:hAnsi="宋体" w:eastAsia="宋体" w:cs="宋体"/>
                <w:color w:val="000000"/>
                <w:spacing w:val="-2"/>
                <w:szCs w:val="21"/>
                <w:highlight w:val="none"/>
              </w:rPr>
            </w:r>
            <w:r/>
          </w:p>
        </w:tc>
        <w:tc>
          <w:tcPr>
            <w:tcW w:w="6425" w:type="dxa"/>
            <w:vAlign w:val="center"/>
            <w:textDirection w:val="lrTb"/>
            <w:noWrap w:val="false"/>
          </w:tcPr>
          <w:p>
            <w:pPr>
              <w:pStyle w:val="930"/>
              <w:jc w:val="both"/>
              <w:keepLines w:val="0"/>
              <w:keepNext w:val="0"/>
              <w:pageBreakBefore w:val="0"/>
              <w:spacing w:line="264" w:lineRule="auto"/>
              <w:widowControl w:val="off"/>
              <w:rPr>
                <w:rFonts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产品技术参数全部满足磋商文件要求的得满分，打★指标为必须满足项，如有负偏离将作为无效响应，打▲指标为重要指标，</w:t>
            </w:r>
            <w:r>
              <w:rPr>
                <w:rFonts w:hint="eastAsia" w:ascii="宋体" w:hAnsi="宋体" w:eastAsia="宋体" w:cs="宋体"/>
                <w:color w:val="000000"/>
                <w:sz w:val="21"/>
                <w:szCs w:val="21"/>
                <w:highlight w:val="none"/>
                <w:lang w:val="en-US" w:eastAsia="zh-CN"/>
              </w:rPr>
              <w:t xml:space="preserve">有1项负偏离扣1分，其余指标有1项负偏离扣0.5分。</w:t>
            </w:r>
            <w:r>
              <w:rPr>
                <w:rFonts w:ascii="宋体" w:hAnsi="宋体" w:eastAsia="宋体" w:cs="宋体"/>
                <w:color w:val="000000"/>
                <w:spacing w:val="1"/>
                <w:szCs w:val="21"/>
                <w:highlight w:val="none"/>
              </w:rPr>
            </w:r>
            <w:r/>
          </w:p>
        </w:tc>
        <w:tc>
          <w:tcPr>
            <w:tcW w:w="637"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rPr>
            </w:r>
            <w:r/>
          </w:p>
        </w:tc>
        <w:tc>
          <w:tcPr>
            <w:tcW w:w="852"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930"/>
              <w:jc w:val="center"/>
              <w:spacing w:before="68" w:line="264" w:lineRule="auto"/>
              <w:rPr>
                <w:rFonts w:ascii="宋体" w:hAnsi="宋体" w:eastAsia="宋体" w:cs="宋体"/>
                <w:color w:val="000000"/>
                <w:spacing w:val="-2"/>
                <w:szCs w:val="21"/>
                <w:highlight w:val="none"/>
              </w:rPr>
            </w:pPr>
            <w:r>
              <w:rPr>
                <w:rFonts w:hint="eastAsia" w:ascii="宋体" w:hAnsi="宋体" w:cs="宋体"/>
                <w:color w:val="000000"/>
                <w:spacing w:val="-2"/>
                <w:szCs w:val="21"/>
              </w:rPr>
              <w:t xml:space="preserve">2</w:t>
            </w:r>
            <w:r>
              <w:rPr>
                <w:rFonts w:ascii="宋体" w:hAnsi="宋体" w:cs="宋体"/>
                <w:color w:val="000000"/>
                <w:spacing w:val="-2"/>
                <w:szCs w:val="21"/>
              </w:rPr>
              <w:t xml:space="preserve">.2</w:t>
            </w:r>
            <w:r>
              <w:rPr>
                <w:rFonts w:ascii="宋体" w:hAnsi="宋体" w:eastAsia="宋体" w:cs="宋体"/>
                <w:color w:val="000000"/>
                <w:spacing w:val="-2"/>
                <w:szCs w:val="21"/>
                <w:highlight w:val="none"/>
              </w:rPr>
            </w:r>
            <w:r/>
          </w:p>
        </w:tc>
        <w:tc>
          <w:tcPr>
            <w:tcW w:w="1179" w:type="dxa"/>
            <w:vAlign w:val="center"/>
            <w:textDirection w:val="lrTb"/>
            <w:noWrap w:val="false"/>
          </w:tcPr>
          <w:p>
            <w:pPr>
              <w:pStyle w:val="930"/>
              <w:jc w:val="left"/>
              <w:spacing w:before="260"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rPr>
              <w:t xml:space="preserve">需求理解</w:t>
            </w:r>
            <w:r>
              <w:rPr>
                <w:rFonts w:ascii="宋体" w:hAnsi="宋体" w:eastAsia="宋体" w:cs="宋体"/>
                <w:color w:val="000000"/>
                <w:spacing w:val="-2"/>
                <w:szCs w:val="21"/>
                <w:highlight w:val="none"/>
                <w:lang w:val="en-US" w:eastAsia="zh-CN"/>
              </w:rPr>
            </w:r>
            <w:r/>
          </w:p>
        </w:tc>
        <w:tc>
          <w:tcPr>
            <w:tcW w:w="6425" w:type="dxa"/>
            <w:vAlign w:val="center"/>
            <w:textDirection w:val="lrTb"/>
            <w:noWrap w:val="false"/>
          </w:tcPr>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根据供应商提供的需求理解材料综合评分，包括：1.业务需求分析；2.建设目标分析；3.建设依据、必要性分析；4.重点难点分析。以上每项内容逐条阐述。</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方案内容对需求理解内容完整深刻且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ascii="宋体" w:hAnsi="宋体" w:cs="宋体"/>
                <w:color w:val="000000"/>
                <w:spacing w:val="1"/>
                <w:szCs w:val="21"/>
              </w:rPr>
            </w:r>
            <w:r/>
          </w:p>
          <w:p>
            <w:pPr>
              <w:pStyle w:val="930"/>
              <w:spacing w:line="264" w:lineRule="auto"/>
              <w:rPr>
                <w:rFonts w:ascii="宋体" w:hAnsi="宋体" w:eastAsia="宋体" w:cs="宋体"/>
                <w:color w:val="000000"/>
                <w:spacing w:val="1"/>
                <w:szCs w:val="21"/>
                <w:highlight w:val="none"/>
              </w:rPr>
            </w:pPr>
            <w:r>
              <w:rPr>
                <w:rFonts w:hint="eastAsia" w:ascii="宋体" w:hAnsi="宋体" w:cs="宋体"/>
                <w:color w:val="000000"/>
                <w:spacing w:val="1"/>
                <w:szCs w:val="21"/>
              </w:rPr>
              <w:t xml:space="preserve">上述每项内容符合得2分；部分符合得1分；不符合或不提供不得分。</w:t>
            </w:r>
            <w:r>
              <w:rPr>
                <w:rFonts w:ascii="宋体" w:hAnsi="宋体" w:eastAsia="宋体" w:cs="宋体"/>
                <w:color w:val="000000"/>
                <w:spacing w:val="1"/>
                <w:szCs w:val="21"/>
                <w:highlight w:val="none"/>
              </w:rPr>
            </w:r>
            <w:r/>
          </w:p>
        </w:tc>
        <w:tc>
          <w:tcPr>
            <w:tcW w:w="637" w:type="dxa"/>
            <w:vAlign w:val="center"/>
            <w:textDirection w:val="lrTb"/>
            <w:noWrap w:val="false"/>
          </w:tcPr>
          <w:p>
            <w:pPr>
              <w:pStyle w:val="930"/>
              <w:jc w:val="center"/>
              <w:spacing w:line="264" w:lineRule="auto"/>
              <w:rPr>
                <w:rFonts w:ascii="宋体" w:hAnsi="宋体" w:eastAsia="宋体" w:cs="宋体"/>
                <w:color w:val="000000"/>
                <w:szCs w:val="21"/>
                <w:highlight w:val="none"/>
              </w:rPr>
            </w:pPr>
            <w:r>
              <w:rPr>
                <w:rFonts w:hint="eastAsia" w:ascii="宋体" w:hAnsi="宋体" w:cs="宋体"/>
                <w:color w:val="000000"/>
                <w:spacing w:val="1"/>
                <w:szCs w:val="21"/>
              </w:rPr>
              <w:t xml:space="preserve">8</w:t>
            </w:r>
            <w:r>
              <w:rPr>
                <w:rFonts w:ascii="宋体" w:hAnsi="宋体" w:eastAsia="宋体" w:cs="宋体"/>
                <w:color w:val="000000"/>
                <w:szCs w:val="21"/>
                <w:highlight w:val="none"/>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zCs w:val="21"/>
                <w:highlight w:val="none"/>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ascii="宋体" w:hAnsi="宋体" w:eastAsia="宋体" w:cs="宋体"/>
                <w:color w:val="000000"/>
                <w:szCs w:val="21"/>
                <w:highlight w:val="none"/>
              </w:rPr>
            </w:r>
            <w:r/>
          </w:p>
        </w:tc>
      </w:tr>
      <w:tr>
        <w:trPr>
          <w:trHeight w:val="889"/>
        </w:trPr>
        <w:tc>
          <w:tcPr>
            <w:tcW w:w="519" w:type="dxa"/>
            <w:vAlign w:val="center"/>
            <w:textDirection w:val="lrTb"/>
            <w:noWrap w:val="false"/>
          </w:tcPr>
          <w:p>
            <w:pPr>
              <w:pStyle w:val="930"/>
              <w:jc w:val="center"/>
              <w:spacing w:before="68" w:line="264" w:lineRule="auto"/>
              <w:rPr>
                <w:rFonts w:hint="eastAsia" w:ascii="宋体" w:hAnsi="宋体" w:eastAsia="宋体" w:cs="宋体"/>
                <w:color w:val="000000"/>
                <w:spacing w:val="-2"/>
                <w:szCs w:val="21"/>
                <w:highlight w:val="none"/>
              </w:rPr>
            </w:pPr>
            <w:r>
              <w:rPr>
                <w:rFonts w:hint="eastAsia" w:ascii="宋体" w:hAnsi="宋体" w:cs="宋体"/>
                <w:color w:val="000000"/>
                <w:spacing w:val="-2"/>
                <w:szCs w:val="21"/>
              </w:rPr>
              <w:t xml:space="preserve">2</w:t>
            </w:r>
            <w:r>
              <w:rPr>
                <w:rFonts w:ascii="宋体" w:hAnsi="宋体" w:cs="宋体"/>
                <w:color w:val="000000"/>
                <w:spacing w:val="-2"/>
                <w:szCs w:val="21"/>
              </w:rPr>
              <w:t xml:space="preserve">.3</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30"/>
              <w:jc w:val="left"/>
              <w:spacing w:before="260" w:line="264" w:lineRule="auto"/>
              <w:rPr>
                <w:rFonts w:hint="eastAsia" w:ascii="宋体" w:hAnsi="宋体" w:cs="宋体"/>
                <w:color w:val="000000"/>
                <w:spacing w:val="-2"/>
                <w:highlight w:val="none"/>
              </w:rPr>
            </w:pPr>
            <w:r>
              <w:rPr>
                <w:rFonts w:hint="eastAsia" w:ascii="宋体" w:hAnsi="宋体" w:cs="宋体"/>
                <w:color w:val="000000"/>
                <w:spacing w:val="-2"/>
                <w:szCs w:val="21"/>
              </w:rPr>
              <w:t xml:space="preserve">总体技术方案</w:t>
            </w:r>
            <w:r>
              <w:rPr>
                <w:rFonts w:hint="eastAsia" w:ascii="宋体" w:hAnsi="宋体" w:cs="宋体"/>
                <w:color w:val="000000"/>
                <w:spacing w:val="-2"/>
                <w:highlight w:val="none"/>
              </w:rPr>
            </w:r>
            <w:r/>
          </w:p>
        </w:tc>
        <w:tc>
          <w:tcPr>
            <w:tcW w:w="6425" w:type="dxa"/>
            <w:vAlign w:val="center"/>
            <w:textDirection w:val="lrTb"/>
            <w:noWrap w:val="false"/>
          </w:tcPr>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根据本项目采购需求中“技术要求”编制总体技术方案，包括：1.总体架构和性能设计；2.技术路线和业务逻辑流程设计；3.用户界面和应用功能设计；4.系统部署和安全防护设计。以上每项内容逐条阐述。</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ascii="宋体" w:hAnsi="宋体" w:cs="宋体"/>
                <w:color w:val="000000"/>
                <w:spacing w:val="1"/>
                <w:szCs w:val="21"/>
              </w:rPr>
            </w:r>
            <w:r/>
          </w:p>
          <w:p>
            <w:pPr>
              <w:pStyle w:val="930"/>
              <w:spacing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pacing w:val="1"/>
                <w:szCs w:val="21"/>
              </w:rPr>
              <w:t xml:space="preserve">上述每项内容符合的得2分；每项内容部分符合的得1分；每项内容不符合或未提供内容的不得分。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30"/>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rPr>
              <w:t xml:space="preserve">8</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pacing w:val="-6"/>
                <w:szCs w:val="21"/>
                <w:highlight w:val="none"/>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930"/>
              <w:jc w:val="center"/>
              <w:spacing w:before="68" w:line="264" w:lineRule="auto"/>
              <w:rPr>
                <w:rFonts w:hint="eastAsia" w:ascii="宋体" w:hAnsi="宋体" w:eastAsia="宋体" w:cs="宋体"/>
                <w:color w:val="000000"/>
                <w:spacing w:val="-2"/>
                <w:szCs w:val="21"/>
                <w:highlight w:val="none"/>
              </w:rPr>
            </w:pPr>
            <w:r>
              <w:rPr>
                <w:rFonts w:hint="eastAsia" w:ascii="宋体" w:hAnsi="宋体" w:cs="宋体"/>
                <w:color w:val="000000"/>
                <w:spacing w:val="-2"/>
                <w:szCs w:val="21"/>
              </w:rPr>
              <w:t xml:space="preserve">2</w:t>
            </w:r>
            <w:r>
              <w:rPr>
                <w:rFonts w:ascii="宋体" w:hAnsi="宋体" w:cs="宋体"/>
                <w:color w:val="000000"/>
                <w:spacing w:val="-2"/>
                <w:szCs w:val="21"/>
              </w:rPr>
              <w:t xml:space="preserve">.4</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30"/>
              <w:contextualSpacing/>
              <w:jc w:val="left"/>
              <w:spacing w:line="264" w:lineRule="auto"/>
              <w:rPr>
                <w:rFonts w:hint="eastAsia" w:ascii="宋体" w:hAnsi="宋体" w:cs="宋体"/>
                <w:color w:val="000000"/>
                <w:spacing w:val="-2"/>
                <w:highlight w:val="none"/>
              </w:rPr>
            </w:pPr>
            <w:r>
              <w:rPr>
                <w:rFonts w:hint="eastAsia" w:ascii="宋体" w:hAnsi="宋体" w:cs="宋体"/>
                <w:color w:val="000000"/>
                <w:szCs w:val="21"/>
              </w:rPr>
              <w:t xml:space="preserve">项目实施方案</w:t>
            </w:r>
            <w:r>
              <w:rPr>
                <w:rFonts w:hint="eastAsia" w:ascii="宋体" w:hAnsi="宋体" w:cs="宋体"/>
                <w:color w:val="000000"/>
                <w:spacing w:val="-2"/>
                <w:highlight w:val="none"/>
              </w:rPr>
            </w:r>
            <w:r/>
          </w:p>
        </w:tc>
        <w:tc>
          <w:tcPr>
            <w:tcW w:w="6425" w:type="dxa"/>
            <w:vAlign w:val="center"/>
            <w:textDirection w:val="lrTb"/>
            <w:noWrap w:val="false"/>
          </w:tcPr>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根据本项目采购需求中“实施要求”编制项目实施方案，包括：1.实施流程及进度安排；2.实施保障措施；3.验收措施。以上每项内容逐条阐述。 </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ascii="宋体" w:hAnsi="宋体" w:cs="宋体"/>
                <w:color w:val="000000"/>
                <w:spacing w:val="1"/>
                <w:szCs w:val="21"/>
              </w:rPr>
            </w:r>
            <w:r/>
          </w:p>
          <w:p>
            <w:pPr>
              <w:pStyle w:val="930"/>
              <w:spacing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pacing w:val="1"/>
                <w:szCs w:val="21"/>
              </w:rPr>
              <w:t xml:space="preserve">上述每项内容符合的得2分；每项内容部分符合的得1分；每项内容不符合或未提供内容的不得分。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30"/>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rPr>
              <w:t xml:space="preserve">6</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pacing w:val="-6"/>
                <w:szCs w:val="21"/>
                <w:highlight w:val="none"/>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930"/>
              <w:jc w:val="center"/>
              <w:spacing w:before="68" w:line="264" w:lineRule="auto"/>
              <w:rPr>
                <w:rFonts w:hint="eastAsia" w:ascii="宋体" w:hAnsi="宋体" w:eastAsia="宋体" w:cs="宋体"/>
                <w:color w:val="000000"/>
                <w:spacing w:val="-2"/>
                <w:szCs w:val="21"/>
                <w:highlight w:val="none"/>
              </w:rPr>
            </w:pPr>
            <w:r>
              <w:rPr>
                <w:rFonts w:hint="eastAsia" w:ascii="宋体" w:hAnsi="宋体" w:cs="宋体"/>
                <w:color w:val="000000"/>
                <w:spacing w:val="-2"/>
                <w:szCs w:val="21"/>
              </w:rPr>
              <w:t xml:space="preserve">2</w:t>
            </w:r>
            <w:r>
              <w:rPr>
                <w:rFonts w:ascii="宋体" w:hAnsi="宋体" w:cs="宋体"/>
                <w:color w:val="000000"/>
                <w:spacing w:val="-2"/>
                <w:szCs w:val="21"/>
              </w:rPr>
              <w:t xml:space="preserve">.5</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30"/>
              <w:jc w:val="left"/>
              <w:spacing w:before="69" w:line="264" w:lineRule="auto"/>
              <w:rPr>
                <w:rFonts w:hint="eastAsia" w:ascii="宋体" w:hAnsi="宋体" w:cs="宋体"/>
                <w:color w:val="000000"/>
                <w:spacing w:val="-2"/>
                <w:highlight w:val="none"/>
              </w:rPr>
            </w:pPr>
            <w:r>
              <w:rPr>
                <w:rFonts w:hint="eastAsia"/>
                <w:color w:val="000000"/>
              </w:rPr>
              <w:t xml:space="preserve">系统对接方案</w:t>
            </w:r>
            <w:r>
              <w:rPr>
                <w:rFonts w:hint="eastAsia" w:ascii="宋体" w:hAnsi="宋体" w:cs="宋体"/>
                <w:color w:val="000000"/>
                <w:spacing w:val="-2"/>
                <w:highlight w:val="none"/>
              </w:rPr>
            </w:r>
            <w:r/>
          </w:p>
        </w:tc>
        <w:tc>
          <w:tcPr>
            <w:tcW w:w="6425" w:type="dxa"/>
            <w:vAlign w:val="center"/>
            <w:textDirection w:val="lrTb"/>
            <w:noWrap w:val="false"/>
          </w:tcPr>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根据本项目采购需求中“系统对接要求”编制系统对接方案，包括</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rPr>
              <w:t xml:space="preserve">1.接口技术标准与规范；2.对接安全保障措施；3.联调测试方案及接口运维与监控机制。以上每项内容逐条阐述。 </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ascii="宋体" w:hAnsi="宋体" w:cs="宋体"/>
                <w:color w:val="000000"/>
                <w:spacing w:val="1"/>
                <w:szCs w:val="21"/>
              </w:rPr>
            </w:r>
            <w:r/>
          </w:p>
          <w:p>
            <w:pPr>
              <w:pStyle w:val="930"/>
              <w:spacing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pacing w:val="1"/>
                <w:szCs w:val="21"/>
              </w:rPr>
              <w:t xml:space="preserve">上述每项内容符合的得2分；每项内容部分符合的得1分；每项内容不符合或未提供内容的不得分。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30"/>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rPr>
              <w:t xml:space="preserve">6</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pacing w:val="-6"/>
                <w:szCs w:val="21"/>
                <w:highlight w:val="none"/>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930"/>
              <w:jc w:val="center"/>
              <w:spacing w:before="68" w:line="264" w:lineRule="auto"/>
              <w:rPr>
                <w:rFonts w:hint="eastAsia" w:ascii="宋体" w:hAnsi="宋体" w:eastAsia="宋体" w:cs="宋体"/>
                <w:color w:val="000000"/>
                <w:spacing w:val="-2"/>
                <w:szCs w:val="21"/>
                <w:highlight w:val="none"/>
              </w:rPr>
            </w:pPr>
            <w:r>
              <w:rPr>
                <w:rFonts w:hint="eastAsia" w:ascii="宋体" w:hAnsi="宋体" w:cs="宋体"/>
                <w:color w:val="000000"/>
                <w:spacing w:val="-2"/>
                <w:szCs w:val="21"/>
              </w:rPr>
              <w:t xml:space="preserve">2.6</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30"/>
              <w:jc w:val="left"/>
              <w:spacing w:before="69" w:line="264" w:lineRule="auto"/>
              <w:rPr>
                <w:rFonts w:hint="eastAsia" w:ascii="宋体" w:hAnsi="宋体" w:cs="宋体"/>
                <w:color w:val="000000"/>
                <w:spacing w:val="-2"/>
                <w:highlight w:val="none"/>
              </w:rPr>
            </w:pPr>
            <w:r>
              <w:rPr>
                <w:rFonts w:hint="eastAsia"/>
                <w:color w:val="000000"/>
              </w:rPr>
              <w:t xml:space="preserve">视频演示</w:t>
            </w:r>
            <w:r>
              <w:rPr>
                <w:rFonts w:hint="eastAsia" w:ascii="宋体" w:hAnsi="宋体" w:cs="宋体"/>
                <w:color w:val="000000"/>
                <w:spacing w:val="-2"/>
                <w:highlight w:val="none"/>
              </w:rPr>
            </w:r>
            <w:r/>
          </w:p>
        </w:tc>
        <w:tc>
          <w:tcPr>
            <w:tcW w:w="6425" w:type="dxa"/>
            <w:vAlign w:val="center"/>
            <w:textDirection w:val="lrTb"/>
            <w:noWrap w:val="false"/>
          </w:tcPr>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评委根据供应商提供的演示视频（总演示时间不超过15分钟）综合评分。演示视频包括以下内容： </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（1）支持维护调配中心的资源池。用户可将新增资产到资源池，或从现有资产系统中选取资产加入资源池；同时支持将资源池中处于“可借用”状态的资产删除。</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（2）支持用户提交调配借用申请，填写借用部门、借用资产需求、预计归还日期、备注等信息。提交后可在列表中实时查看审批进度及当前审批节点。</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（3）支持用户查看本部门已借用的资产情况，包括资产信息、借用时间、预计归还日期、剩余归还天数等。</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（4）系统支持在首页提醒用户借用待归还的资产，对于已经超期的借用资产会标红提示，并支持穿透查询借用待归还的资产明细。</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（5）支持审批人对调配借用申请和调配归还申请进行审批操作，审批流程应与院方现有资产系统审批流统一，审批意见及操作记录留痕。</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（6）支持使用部门工程师对资产维修申请进行审批操作，并填写维修分类、维修情况说明和维修费用等数据。审批流程应与院方现有资产系统审批流统一，审批意见及操作记录留痕。</w:t>
            </w:r>
            <w:r>
              <w:rPr>
                <w:rFonts w:hint="eastAsia" w:ascii="宋体" w:hAnsi="宋体" w:cs="宋体"/>
                <w:color w:val="000000"/>
                <w:spacing w:val="1"/>
                <w:szCs w:val="21"/>
              </w:rPr>
            </w:r>
            <w:r/>
          </w:p>
          <w:p>
            <w:pPr>
              <w:pStyle w:val="930"/>
              <w:spacing w:line="264" w:lineRule="auto"/>
              <w:rPr>
                <w:rFonts w:ascii="宋体" w:hAnsi="宋体" w:eastAsia="宋体" w:cs="宋体"/>
                <w:color w:val="000000"/>
                <w:spacing w:val="1"/>
                <w:szCs w:val="21"/>
                <w:lang w:val="en-US" w:eastAsia="zh-CN"/>
              </w:rPr>
            </w:pPr>
            <w:r>
              <w:rPr>
                <w:rFonts w:hint="eastAsia" w:ascii="宋体" w:hAnsi="宋体" w:cs="宋体"/>
                <w:color w:val="000000"/>
                <w:spacing w:val="1"/>
                <w:szCs w:val="21"/>
              </w:rPr>
              <w:t xml:space="preserve">（7）</w:t>
            </w:r>
            <w:r>
              <w:rPr>
                <w:rFonts w:hint="eastAsia" w:ascii="宋体" w:hAnsi="宋体" w:cs="宋体"/>
                <w:color w:val="000000"/>
                <w:spacing w:val="1"/>
                <w:szCs w:val="21"/>
                <w:lang w:val="en-US" w:eastAsia="zh-CN"/>
              </w:rPr>
              <w:t xml:space="preserve">资产汇总信息</w:t>
            </w:r>
            <w:r>
              <w:rPr>
                <w:rFonts w:ascii="宋体" w:hAnsi="宋体" w:eastAsia="宋体" w:cs="宋体"/>
                <w:color w:val="000000"/>
                <w:spacing w:val="1"/>
                <w:szCs w:val="21"/>
                <w:lang w:val="en-US" w:eastAsia="zh-CN"/>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lang w:val="en-US" w:eastAsia="zh-CN"/>
              </w:rPr>
              <w:t xml:space="preserve">①</w:t>
            </w:r>
            <w:r>
              <w:rPr>
                <w:rFonts w:hint="eastAsia" w:ascii="宋体" w:hAnsi="宋体" w:cs="宋体"/>
                <w:color w:val="000000"/>
                <w:spacing w:val="1"/>
                <w:szCs w:val="21"/>
              </w:rPr>
              <w:t xml:space="preserve">支持资产归属部门管理员查看归属部门管理的资产汇总信息。</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lang w:val="en-US" w:eastAsia="zh-CN"/>
              </w:rPr>
              <w:t xml:space="preserve">②支持查看汇总信息，包含</w:t>
            </w:r>
            <w:r>
              <w:rPr>
                <w:rFonts w:hint="eastAsia" w:ascii="宋体" w:hAnsi="宋体" w:cs="宋体"/>
                <w:color w:val="000000"/>
                <w:spacing w:val="1"/>
                <w:szCs w:val="21"/>
              </w:rPr>
              <w:t xml:space="preserve">各类状态资产（在用、闲置、维修中、待报废等）的数量及所占比例（柱状图展示）；</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lang w:val="en-US" w:eastAsia="zh-CN"/>
              </w:rPr>
              <w:t xml:space="preserve">③支持查看汇总信息，包含</w:t>
            </w:r>
            <w:r>
              <w:rPr>
                <w:rFonts w:hint="eastAsia" w:ascii="宋体" w:hAnsi="宋体" w:cs="宋体"/>
                <w:color w:val="000000"/>
                <w:spacing w:val="1"/>
                <w:szCs w:val="21"/>
              </w:rPr>
              <w:t xml:space="preserve">资产总价值及当年新增资产总额；待审批的工作流提醒（借用申请、归还申请、维修申请、维保申请、尾款请款等），支持点击直接跳转至审批页面；</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lang w:val="en-US" w:eastAsia="zh-CN"/>
              </w:rPr>
              <w:t xml:space="preserve">④支持查看汇总信息，包含</w:t>
            </w:r>
            <w:r>
              <w:rPr>
                <w:rFonts w:hint="eastAsia" w:ascii="宋体" w:hAnsi="宋体" w:cs="宋体"/>
                <w:color w:val="000000"/>
                <w:spacing w:val="1"/>
                <w:szCs w:val="21"/>
              </w:rPr>
              <w:t xml:space="preserve">资产预警信息，如到期可报废 、借用待归还、待维保、闲置资产 、待盘点等，以红色标记突出显示已超期数据，并支持数据穿透。</w:t>
            </w:r>
            <w:r>
              <w:rPr>
                <w:rFonts w:hint="eastAsia" w:ascii="宋体" w:hAnsi="宋体" w:cs="宋体"/>
                <w:color w:val="000000"/>
                <w:spacing w:val="1"/>
                <w:szCs w:val="21"/>
              </w:rPr>
            </w:r>
            <w:r/>
          </w:p>
          <w:p>
            <w:pPr>
              <w:pStyle w:val="930"/>
              <w:spacing w:line="264" w:lineRule="auto"/>
              <w:rPr>
                <w:rFonts w:hint="eastAsia" w:ascii="宋体" w:hAnsi="宋体" w:eastAsia="宋体" w:cs="宋体"/>
                <w:color w:val="000000"/>
                <w:spacing w:val="1"/>
                <w:szCs w:val="21"/>
                <w:lang w:eastAsia="zh-CN"/>
              </w:rPr>
            </w:pPr>
            <w:r>
              <w:rPr>
                <w:rFonts w:hint="eastAsia" w:ascii="宋体" w:hAnsi="宋体" w:cs="宋体"/>
                <w:color w:val="000000"/>
                <w:spacing w:val="1"/>
                <w:szCs w:val="21"/>
              </w:rPr>
              <w:t xml:space="preserve">采用类似真实系统演示</w:t>
            </w:r>
            <w:r>
              <w:rPr>
                <w:rFonts w:hint="eastAsia" w:ascii="宋体" w:hAnsi="宋体" w:cs="宋体"/>
                <w:color w:val="000000"/>
                <w:spacing w:val="1"/>
                <w:szCs w:val="21"/>
                <w:lang w:val="en-US" w:eastAsia="zh-CN"/>
              </w:rPr>
              <w:t xml:space="preserve">上述</w:t>
            </w:r>
            <w:r>
              <w:rPr>
                <w:rFonts w:hint="eastAsia" w:ascii="宋体" w:hAnsi="宋体" w:cs="宋体"/>
                <w:color w:val="000000"/>
                <w:spacing w:val="1"/>
                <w:szCs w:val="21"/>
              </w:rPr>
              <w:t xml:space="preserve">第</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lang w:val="en-US" w:eastAsia="zh-CN"/>
              </w:rPr>
              <w:t xml:space="preserve">1</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rPr>
              <w:t xml:space="preserve">-</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lang w:val="en-US" w:eastAsia="zh-CN"/>
              </w:rPr>
              <w:t xml:space="preserve">6</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rPr>
              <w:t xml:space="preserve">项</w:t>
            </w:r>
            <w:r>
              <w:rPr>
                <w:rFonts w:hint="eastAsia" w:ascii="宋体" w:hAnsi="宋体" w:cs="宋体"/>
                <w:color w:val="000000"/>
                <w:spacing w:val="1"/>
                <w:szCs w:val="21"/>
                <w:lang w:val="en-US" w:eastAsia="zh-CN"/>
              </w:rPr>
              <w:t xml:space="preserve">内容</w:t>
            </w:r>
            <w:r>
              <w:rPr>
                <w:rFonts w:hint="eastAsia" w:ascii="宋体" w:hAnsi="宋体" w:cs="宋体"/>
                <w:color w:val="000000"/>
                <w:spacing w:val="1"/>
                <w:szCs w:val="21"/>
              </w:rPr>
              <w:t xml:space="preserve">，每项功能完整准确演示得2分</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rPr>
              <w:t xml:space="preserve">第</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lang w:val="en-US" w:eastAsia="zh-CN"/>
              </w:rPr>
              <w:t xml:space="preserve">7</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rPr>
              <w:t xml:space="preserve">项</w:t>
            </w:r>
            <w:r>
              <w:rPr>
                <w:rFonts w:hint="eastAsia" w:ascii="宋体" w:hAnsi="宋体" w:cs="宋体"/>
                <w:color w:val="000000"/>
                <w:spacing w:val="1"/>
                <w:szCs w:val="21"/>
                <w:lang w:val="en-US" w:eastAsia="zh-CN"/>
              </w:rPr>
              <w:t xml:space="preserve">内容，每小项</w:t>
            </w:r>
            <w:r>
              <w:rPr>
                <w:rFonts w:hint="eastAsia" w:ascii="宋体" w:hAnsi="宋体" w:cs="宋体"/>
                <w:color w:val="000000"/>
                <w:spacing w:val="1"/>
                <w:szCs w:val="21"/>
              </w:rPr>
              <w:t xml:space="preserve">功能完整准确演示得</w:t>
            </w:r>
            <w:r>
              <w:rPr>
                <w:rFonts w:hint="eastAsia" w:ascii="宋体" w:hAnsi="宋体" w:cs="宋体"/>
                <w:color w:val="000000"/>
                <w:spacing w:val="1"/>
                <w:szCs w:val="21"/>
                <w:lang w:val="en-US" w:eastAsia="zh-CN"/>
              </w:rPr>
              <w:t xml:space="preserve">2</w:t>
            </w:r>
            <w:r>
              <w:rPr>
                <w:rFonts w:hint="eastAsia" w:ascii="宋体" w:hAnsi="宋体" w:cs="宋体"/>
                <w:color w:val="000000"/>
                <w:spacing w:val="1"/>
                <w:szCs w:val="21"/>
              </w:rPr>
              <w:t xml:space="preserve">分，</w:t>
            </w:r>
            <w:r>
              <w:rPr>
                <w:rFonts w:hint="eastAsia" w:ascii="宋体" w:hAnsi="宋体" w:cs="宋体"/>
                <w:color w:val="000000"/>
                <w:spacing w:val="1"/>
                <w:szCs w:val="21"/>
                <w:lang w:val="en-US" w:eastAsia="zh-CN"/>
              </w:rPr>
              <w:t xml:space="preserve">最多8分。合计</w:t>
            </w:r>
            <w:r>
              <w:rPr>
                <w:rFonts w:hint="eastAsia" w:ascii="宋体" w:hAnsi="宋体" w:cs="宋体"/>
                <w:color w:val="000000"/>
                <w:spacing w:val="1"/>
                <w:szCs w:val="21"/>
              </w:rPr>
              <w:t xml:space="preserve">最多得20分</w:t>
            </w:r>
            <w:r>
              <w:rPr>
                <w:rFonts w:hint="eastAsia" w:ascii="宋体" w:hAnsi="宋体" w:cs="宋体"/>
                <w:color w:val="000000"/>
                <w:spacing w:val="1"/>
                <w:szCs w:val="21"/>
                <w:lang w:eastAsia="zh-CN"/>
              </w:rPr>
              <w:t xml:space="preserve">。</w:t>
            </w:r>
            <w:r>
              <w:rPr>
                <w:rFonts w:hint="eastAsia" w:ascii="宋体" w:hAnsi="宋体" w:eastAsia="宋体" w:cs="宋体"/>
                <w:color w:val="000000"/>
                <w:spacing w:val="1"/>
                <w:szCs w:val="21"/>
                <w:lang w:eastAsia="zh-CN"/>
              </w:rPr>
            </w:r>
            <w:r/>
          </w:p>
          <w:p>
            <w:pPr>
              <w:pStyle w:val="930"/>
              <w:spacing w:line="264" w:lineRule="auto"/>
              <w:rPr>
                <w:rFonts w:hint="eastAsia" w:ascii="宋体" w:hAnsi="宋体" w:eastAsia="宋体" w:cs="宋体"/>
                <w:color w:val="000000"/>
                <w:spacing w:val="1"/>
                <w:szCs w:val="21"/>
                <w:lang w:eastAsia="zh-CN"/>
              </w:rPr>
            </w:pPr>
            <w:r>
              <w:rPr>
                <w:rFonts w:hint="eastAsia" w:ascii="宋体" w:hAnsi="宋体" w:cs="宋体"/>
                <w:color w:val="000000"/>
                <w:spacing w:val="1"/>
                <w:szCs w:val="21"/>
              </w:rPr>
              <w:t xml:space="preserve">采用</w:t>
            </w:r>
            <w:r>
              <w:rPr>
                <w:rFonts w:hint="eastAsia" w:ascii="宋体" w:hAnsi="宋体" w:cs="宋体"/>
                <w:color w:val="000000"/>
                <w:spacing w:val="1"/>
                <w:szCs w:val="21"/>
                <w:lang w:val="en-US" w:eastAsia="zh-CN"/>
              </w:rPr>
              <w:t xml:space="preserve">DEMO方式</w:t>
            </w:r>
            <w:r>
              <w:rPr>
                <w:rFonts w:hint="eastAsia" w:ascii="宋体" w:hAnsi="宋体" w:cs="宋体"/>
                <w:color w:val="000000"/>
                <w:spacing w:val="1"/>
                <w:szCs w:val="21"/>
              </w:rPr>
              <w:t xml:space="preserve">完整准确演示</w:t>
            </w:r>
            <w:r>
              <w:rPr>
                <w:rFonts w:hint="eastAsia" w:ascii="宋体" w:hAnsi="宋体" w:cs="宋体"/>
                <w:color w:val="000000"/>
                <w:spacing w:val="1"/>
                <w:szCs w:val="21"/>
                <w:lang w:val="en-US" w:eastAsia="zh-CN"/>
              </w:rPr>
              <w:t xml:space="preserve">的，每项按上述对应二分之一分值得分</w:t>
            </w:r>
            <w:r>
              <w:rPr>
                <w:rFonts w:hint="eastAsia" w:ascii="宋体" w:hAnsi="宋体" w:cs="宋体"/>
                <w:color w:val="000000"/>
                <w:spacing w:val="1"/>
                <w:szCs w:val="21"/>
                <w:lang w:eastAsia="zh-CN"/>
              </w:rPr>
              <w:t xml:space="preserve">；</w:t>
            </w:r>
            <w:r>
              <w:rPr>
                <w:rFonts w:hint="eastAsia" w:ascii="宋体" w:hAnsi="宋体" w:eastAsia="宋体" w:cs="宋体"/>
                <w:color w:val="000000"/>
                <w:spacing w:val="1"/>
                <w:szCs w:val="21"/>
                <w:lang w:eastAsia="zh-CN"/>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采用PPT等</w:t>
            </w:r>
            <w:r>
              <w:rPr>
                <w:rFonts w:hint="eastAsia" w:ascii="宋体" w:hAnsi="宋体" w:cs="宋体"/>
                <w:color w:val="000000"/>
                <w:spacing w:val="1"/>
                <w:szCs w:val="21"/>
                <w:lang w:val="en-US" w:eastAsia="zh-CN"/>
              </w:rPr>
              <w:t xml:space="preserve">其他</w:t>
            </w:r>
            <w:r>
              <w:rPr>
                <w:rFonts w:hint="eastAsia" w:ascii="宋体" w:hAnsi="宋体" w:cs="宋体"/>
                <w:color w:val="000000"/>
                <w:spacing w:val="1"/>
                <w:szCs w:val="21"/>
              </w:rPr>
              <w:t xml:space="preserve">方式完整准确演示</w:t>
            </w:r>
            <w:r>
              <w:rPr>
                <w:rFonts w:hint="eastAsia" w:ascii="宋体" w:hAnsi="宋体" w:cs="宋体"/>
                <w:color w:val="000000"/>
                <w:spacing w:val="1"/>
                <w:szCs w:val="21"/>
                <w:lang w:val="en-US" w:eastAsia="zh-CN"/>
              </w:rPr>
              <w:t xml:space="preserve">的，每项按上述对应四分之一分值得分</w:t>
            </w:r>
            <w:r>
              <w:rPr>
                <w:rFonts w:hint="eastAsia" w:ascii="宋体" w:hAnsi="宋体" w:cs="宋体"/>
                <w:color w:val="000000"/>
                <w:spacing w:val="1"/>
                <w:szCs w:val="21"/>
              </w:rPr>
              <w:t xml:space="preserve">。 </w:t>
            </w:r>
            <w:r>
              <w:rPr>
                <w:rFonts w:hint="eastAsia" w:ascii="宋体" w:hAnsi="宋体" w:cs="宋体"/>
                <w:color w:val="000000"/>
                <w:spacing w:val="1"/>
                <w:szCs w:val="21"/>
              </w:rPr>
            </w:r>
            <w:r/>
          </w:p>
          <w:p>
            <w:pPr>
              <w:pStyle w:val="930"/>
              <w:spacing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pacing w:val="1"/>
                <w:szCs w:val="21"/>
              </w:rPr>
              <w:t xml:space="preserve">（未提供视频文件或因供应商自身原因视频文件无法打开或视频画面不清晰无法辨认的不得分。）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30"/>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rPr>
              <w:t xml:space="preserve">20</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pacing w:val="-6"/>
                <w:szCs w:val="21"/>
                <w:highlight w:val="none"/>
              </w:rPr>
            </w:pPr>
            <w:r>
              <w:rPr>
                <w:rFonts w:hint="eastAsia" w:ascii="宋体" w:hAnsi="宋体" w:cs="宋体"/>
                <w:color w:val="000000"/>
                <w:spacing w:val="-6"/>
                <w:szCs w:val="21"/>
              </w:rPr>
              <w:t xml:space="preserve">客观分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930"/>
              <w:jc w:val="center"/>
              <w:spacing w:before="68" w:line="264" w:lineRule="auto"/>
              <w:rPr>
                <w:rFonts w:hint="eastAsia" w:ascii="宋体" w:hAnsi="宋体" w:eastAsia="宋体" w:cs="宋体"/>
                <w:color w:val="000000"/>
                <w:spacing w:val="-2"/>
                <w:szCs w:val="21"/>
                <w:highlight w:val="none"/>
              </w:rPr>
            </w:pPr>
            <w:r>
              <w:rPr>
                <w:rFonts w:hint="eastAsia" w:ascii="宋体" w:hAnsi="宋体" w:cs="宋体"/>
                <w:color w:val="000000"/>
                <w:spacing w:val="-2"/>
                <w:szCs w:val="21"/>
              </w:rPr>
              <w:t xml:space="preserve">2.7</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30"/>
              <w:jc w:val="left"/>
              <w:spacing w:before="69" w:line="264" w:lineRule="auto"/>
              <w:rPr>
                <w:rFonts w:hint="eastAsia" w:ascii="宋体" w:hAnsi="宋体" w:cs="宋体"/>
                <w:color w:val="000000"/>
                <w:spacing w:val="-2"/>
                <w:highlight w:val="none"/>
              </w:rPr>
            </w:pPr>
            <w:r>
              <w:rPr>
                <w:rFonts w:hint="eastAsia"/>
                <w:color w:val="000000"/>
              </w:rPr>
              <w:t xml:space="preserve">维保服务方案</w:t>
            </w:r>
            <w:r>
              <w:rPr>
                <w:rFonts w:hint="eastAsia" w:ascii="宋体" w:hAnsi="宋体" w:cs="宋体"/>
                <w:color w:val="000000"/>
                <w:spacing w:val="-2"/>
                <w:highlight w:val="none"/>
              </w:rPr>
            </w:r>
            <w:r/>
          </w:p>
        </w:tc>
        <w:tc>
          <w:tcPr>
            <w:tcW w:w="6425" w:type="dxa"/>
            <w:vAlign w:val="center"/>
            <w:textDirection w:val="lrTb"/>
            <w:noWrap w:val="false"/>
          </w:tcPr>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根据本项目采购需求中“维保要求”编制维保服务方案，包括：1.服务措施及应急举措；2.服务流程及服务保障体系。以上每项内容逐条阐述。 </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ascii="宋体" w:hAnsi="宋体" w:cs="宋体"/>
                <w:color w:val="000000"/>
                <w:spacing w:val="1"/>
                <w:szCs w:val="21"/>
              </w:rPr>
            </w:r>
            <w:r/>
          </w:p>
          <w:p>
            <w:pPr>
              <w:pStyle w:val="930"/>
              <w:spacing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pacing w:val="1"/>
                <w:szCs w:val="21"/>
              </w:rPr>
              <w:t xml:space="preserve">上述每项内容符合的得</w:t>
            </w:r>
            <w:r>
              <w:rPr>
                <w:rFonts w:hint="eastAsia" w:ascii="宋体" w:hAnsi="宋体" w:cs="宋体"/>
                <w:color w:val="000000"/>
                <w:spacing w:val="1"/>
                <w:szCs w:val="21"/>
                <w:lang w:val="en-US" w:eastAsia="zh-CN"/>
              </w:rPr>
              <w:t xml:space="preserve">2</w:t>
            </w:r>
            <w:r>
              <w:rPr>
                <w:rFonts w:hint="eastAsia" w:ascii="宋体" w:hAnsi="宋体" w:cs="宋体"/>
                <w:color w:val="000000"/>
                <w:spacing w:val="1"/>
                <w:szCs w:val="21"/>
              </w:rPr>
              <w:t xml:space="preserve">分；每项内容部分符合的得</w:t>
            </w:r>
            <w:r>
              <w:rPr>
                <w:rFonts w:hint="eastAsia" w:ascii="宋体" w:hAnsi="宋体" w:cs="宋体"/>
                <w:color w:val="000000"/>
                <w:spacing w:val="1"/>
                <w:szCs w:val="21"/>
                <w:lang w:val="en-US" w:eastAsia="zh-CN"/>
              </w:rPr>
              <w:t xml:space="preserve">1</w:t>
            </w:r>
            <w:r>
              <w:rPr>
                <w:rFonts w:hint="eastAsia" w:ascii="宋体" w:hAnsi="宋体" w:cs="宋体"/>
                <w:color w:val="000000"/>
                <w:spacing w:val="1"/>
                <w:szCs w:val="21"/>
              </w:rPr>
              <w:t xml:space="preserve">分；每项内容不符合或未提供内容的不得分。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30"/>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pacing w:val="-6"/>
                <w:szCs w:val="21"/>
                <w:highlight w:val="none"/>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930"/>
              <w:jc w:val="center"/>
              <w:spacing w:before="68" w:line="264" w:lineRule="auto"/>
              <w:rPr>
                <w:rFonts w:hint="eastAsia" w:ascii="宋体" w:hAnsi="宋体" w:eastAsia="宋体" w:cs="宋体"/>
                <w:color w:val="000000"/>
                <w:spacing w:val="-2"/>
                <w:szCs w:val="21"/>
                <w:highlight w:val="none"/>
              </w:rPr>
            </w:pPr>
            <w:r>
              <w:rPr>
                <w:rFonts w:hint="eastAsia" w:ascii="宋体" w:hAnsi="宋体" w:cs="宋体"/>
                <w:color w:val="000000"/>
                <w:spacing w:val="-2"/>
                <w:szCs w:val="21"/>
              </w:rPr>
              <w:t xml:space="preserve">2.8</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30"/>
              <w:jc w:val="left"/>
              <w:spacing w:before="69" w:line="264" w:lineRule="auto"/>
              <w:rPr>
                <w:rFonts w:hint="eastAsia" w:ascii="宋体" w:hAnsi="宋体" w:cs="宋体"/>
                <w:color w:val="000000"/>
                <w:spacing w:val="-2"/>
                <w:highlight w:val="none"/>
              </w:rPr>
            </w:pPr>
            <w:r>
              <w:rPr>
                <w:rFonts w:hint="eastAsia"/>
                <w:color w:val="000000"/>
              </w:rPr>
              <w:t xml:space="preserve">培训方案</w:t>
            </w:r>
            <w:r>
              <w:rPr>
                <w:rFonts w:hint="eastAsia" w:ascii="宋体" w:hAnsi="宋体" w:cs="宋体"/>
                <w:color w:val="000000"/>
                <w:spacing w:val="-2"/>
                <w:highlight w:val="none"/>
              </w:rPr>
            </w:r>
            <w:r/>
          </w:p>
        </w:tc>
        <w:tc>
          <w:tcPr>
            <w:tcW w:w="6425" w:type="dxa"/>
            <w:vAlign w:val="center"/>
            <w:textDirection w:val="lrTb"/>
            <w:noWrap w:val="false"/>
          </w:tcPr>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根据本项目采购需求中“培训要求”编制培训方案，包括1.培训计划及培训内容；2.师资力量及培训材料。以上每项内容逐条阐述。 </w:t>
            </w:r>
            <w:r>
              <w:rPr>
                <w:rFonts w:hint="eastAsia" w:ascii="宋体" w:hAnsi="宋体" w:cs="宋体"/>
                <w:color w:val="000000"/>
                <w:spacing w:val="1"/>
                <w:szCs w:val="21"/>
              </w:rPr>
            </w:r>
            <w:r/>
          </w:p>
          <w:p>
            <w:pPr>
              <w:pStyle w:val="930"/>
              <w:spacing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rPr>
                <w:rFonts w:hint="eastAsia" w:ascii="宋体" w:hAnsi="宋体" w:cs="宋体"/>
                <w:color w:val="000000"/>
                <w:spacing w:val="1"/>
                <w:szCs w:val="21"/>
              </w:rPr>
            </w:r>
            <w:r/>
          </w:p>
          <w:p>
            <w:pPr>
              <w:pStyle w:val="930"/>
              <w:spacing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pacing w:val="1"/>
                <w:szCs w:val="21"/>
              </w:rPr>
              <w:t xml:space="preserve">上述每项内容符合的，得1分；每项内容部分符合的，得0.5分；每项内容不符合或未提供内容的，不得分。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30"/>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rPr>
              <w:t xml:space="preserve">2</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pacing w:val="-6"/>
                <w:szCs w:val="21"/>
                <w:highlight w:val="none"/>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ascii="宋体" w:hAnsi="宋体" w:eastAsia="宋体" w:cs="宋体"/>
                <w:color w:val="000000"/>
                <w:spacing w:val="-6"/>
                <w:szCs w:val="21"/>
                <w:highlight w:val="none"/>
              </w:rPr>
            </w:r>
            <w:r/>
          </w:p>
        </w:tc>
      </w:tr>
      <w:tr>
        <w:trPr>
          <w:trHeight w:val="889"/>
        </w:trPr>
        <w:tc>
          <w:tcPr>
            <w:tcW w:w="519" w:type="dxa"/>
            <w:vAlign w:val="center"/>
            <w:textDirection w:val="lrTb"/>
            <w:noWrap w:val="false"/>
          </w:tcPr>
          <w:p>
            <w:pPr>
              <w:pStyle w:val="930"/>
              <w:jc w:val="center"/>
              <w:spacing w:before="68" w:line="264" w:lineRule="auto"/>
              <w:rPr>
                <w:rFonts w:hint="eastAsia" w:ascii="宋体" w:hAnsi="宋体" w:eastAsia="宋体" w:cs="宋体"/>
                <w:color w:val="000000"/>
                <w:spacing w:val="-2"/>
                <w:szCs w:val="21"/>
                <w:highlight w:val="none"/>
              </w:rPr>
            </w:pPr>
            <w:r>
              <w:rPr>
                <w:rFonts w:hint="eastAsia" w:ascii="宋体" w:hAnsi="宋体" w:cs="宋体"/>
                <w:color w:val="000000"/>
                <w:spacing w:val="-2"/>
                <w:szCs w:val="21"/>
              </w:rPr>
              <w:t xml:space="preserve">2.9</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930"/>
              <w:jc w:val="left"/>
              <w:spacing w:before="69" w:line="264" w:lineRule="auto"/>
              <w:rPr>
                <w:rFonts w:hint="eastAsia" w:ascii="宋体" w:hAnsi="宋体" w:cs="宋体"/>
                <w:color w:val="000000"/>
                <w:spacing w:val="-2"/>
                <w:highlight w:val="none"/>
              </w:rPr>
            </w:pPr>
            <w:r>
              <w:rPr>
                <w:rFonts w:hint="eastAsia"/>
                <w:color w:val="000000"/>
              </w:rPr>
              <w:t xml:space="preserve">本地化服务</w:t>
            </w:r>
            <w:r>
              <w:rPr>
                <w:rFonts w:hint="eastAsia" w:ascii="宋体" w:hAnsi="宋体" w:cs="宋体"/>
                <w:color w:val="000000"/>
                <w:spacing w:val="-2"/>
                <w:highlight w:val="none"/>
              </w:rPr>
            </w:r>
            <w:r/>
          </w:p>
        </w:tc>
        <w:tc>
          <w:tcPr>
            <w:tcW w:w="6425" w:type="dxa"/>
            <w:vAlign w:val="center"/>
            <w:textDirection w:val="lrTb"/>
            <w:noWrap w:val="false"/>
          </w:tcPr>
          <w:p>
            <w:pPr>
              <w:pStyle w:val="930"/>
              <w:spacing w:line="264"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pacing w:val="1"/>
                <w:szCs w:val="21"/>
              </w:rPr>
              <w:t xml:space="preserve">供应商</w:t>
            </w:r>
            <w:r>
              <w:rPr>
                <w:rFonts w:hint="eastAsia" w:ascii="宋体" w:hAnsi="宋体" w:cs="宋体"/>
                <w:color w:val="000000"/>
                <w:spacing w:val="1"/>
                <w:szCs w:val="21"/>
                <w:lang w:val="en-US" w:eastAsia="zh-CN"/>
              </w:rPr>
              <w:t xml:space="preserve">成交后提供</w:t>
            </w:r>
            <w:r>
              <w:rPr>
                <w:rFonts w:hint="eastAsia" w:ascii="宋体" w:hAnsi="宋体" w:cs="宋体"/>
                <w:color w:val="000000"/>
                <w:spacing w:val="1"/>
                <w:szCs w:val="21"/>
              </w:rPr>
              <w:t xml:space="preserve">本地化服务的</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rPr>
              <w:t xml:space="preserve">得</w:t>
            </w:r>
            <w:r>
              <w:rPr>
                <w:rFonts w:hint="eastAsia" w:ascii="宋体" w:hAnsi="宋体" w:cs="宋体"/>
                <w:color w:val="000000"/>
                <w:spacing w:val="1"/>
                <w:szCs w:val="21"/>
                <w:lang w:val="en-US" w:eastAsia="zh-CN"/>
              </w:rPr>
              <w:t xml:space="preserve">3</w:t>
            </w:r>
            <w:r>
              <w:rPr>
                <w:rFonts w:hint="eastAsia" w:ascii="宋体" w:hAnsi="宋体" w:cs="宋体"/>
                <w:color w:val="000000"/>
                <w:spacing w:val="1"/>
                <w:szCs w:val="21"/>
              </w:rPr>
              <w:t xml:space="preserve">分。（提供承诺书或有效证明材料）</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30"/>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ascii="宋体" w:hAnsi="宋体" w:eastAsia="宋体" w:cs="宋体"/>
                <w:color w:val="000000"/>
                <w:spacing w:val="-6"/>
                <w:szCs w:val="21"/>
                <w:highlight w:val="none"/>
              </w:rPr>
            </w:pPr>
            <w:r>
              <w:rPr>
                <w:rFonts w:hint="eastAsia" w:ascii="宋体" w:hAnsi="宋体" w:cs="宋体"/>
                <w:color w:val="000000"/>
                <w:spacing w:val="-6"/>
                <w:szCs w:val="21"/>
              </w:rPr>
              <w:t xml:space="preserve">客观分</w:t>
            </w:r>
            <w:r>
              <w:rPr>
                <w:rFonts w:ascii="宋体" w:hAnsi="宋体" w:eastAsia="宋体" w:cs="宋体"/>
                <w:color w:val="000000"/>
                <w:spacing w:val="-6"/>
                <w:szCs w:val="21"/>
                <w:highlight w:val="none"/>
              </w:rPr>
            </w:r>
            <w:r/>
          </w:p>
        </w:tc>
      </w:tr>
      <w:tr>
        <w:trPr>
          <w:trHeight w:val="455"/>
        </w:trPr>
        <w:tc>
          <w:tcPr>
            <w:gridSpan w:val="5"/>
            <w:tcW w:w="9612" w:type="dxa"/>
            <w:vAlign w:val="center"/>
            <w:textDirection w:val="lrTb"/>
            <w:noWrap w:val="false"/>
          </w:tcPr>
          <w:p>
            <w:pPr>
              <w:pStyle w:val="930"/>
              <w:keepLines w:val="0"/>
              <w:keepNext w:val="0"/>
              <w:pageBreakBefore w:val="0"/>
              <w:spacing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3.业绩</w:t>
            </w:r>
            <w:r>
              <w:rPr>
                <w:rFonts w:ascii="宋体" w:hAnsi="宋体" w:eastAsia="宋体" w:cs="宋体"/>
                <w:color w:val="000000"/>
                <w:szCs w:val="21"/>
                <w:highlight w:val="none"/>
              </w:rPr>
            </w:r>
            <w:r/>
          </w:p>
        </w:tc>
      </w:tr>
      <w:tr>
        <w:trPr>
          <w:trHeight w:val="1015"/>
        </w:trPr>
        <w:tc>
          <w:tcPr>
            <w:tcW w:w="519" w:type="dxa"/>
            <w:vAlign w:val="center"/>
            <w:textDirection w:val="lrTb"/>
            <w:noWrap w:val="false"/>
          </w:tcPr>
          <w:p>
            <w:pPr>
              <w:pStyle w:val="930"/>
              <w:jc w:val="center"/>
              <w:keepLines w:val="0"/>
              <w:keepNext w:val="0"/>
              <w:pageBreakBefore w:val="0"/>
              <w:spacing w:before="68" w:line="264" w:lineRule="auto"/>
              <w:widowControl w:val="off"/>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t xml:space="preserve">3.1</w:t>
            </w:r>
            <w:r>
              <w:rPr>
                <w:rFonts w:ascii="宋体" w:hAnsi="宋体" w:eastAsia="宋体" w:cs="宋体"/>
                <w:color w:val="000000"/>
                <w:spacing w:val="-2"/>
                <w:szCs w:val="21"/>
                <w:highlight w:val="none"/>
              </w:rPr>
            </w:r>
            <w:r/>
          </w:p>
        </w:tc>
        <w:tc>
          <w:tcPr>
            <w:tcW w:w="1179" w:type="dxa"/>
            <w:vAlign w:val="center"/>
            <w:textDirection w:val="lrTb"/>
            <w:noWrap w:val="false"/>
          </w:tcPr>
          <w:p>
            <w:pPr>
              <w:pStyle w:val="930"/>
              <w:jc w:val="both"/>
              <w:keepLines w:val="0"/>
              <w:keepNext w:val="0"/>
              <w:pageBreakBefore w:val="0"/>
              <w:spacing w:before="69" w:line="264" w:lineRule="auto"/>
              <w:widowControl w:val="off"/>
              <w:rPr>
                <w:rFonts w:ascii="宋体" w:hAnsi="宋体" w:eastAsia="宋体" w:cs="宋体"/>
                <w:color w:val="000000"/>
                <w:spacing w:val="-2"/>
                <w:szCs w:val="21"/>
                <w:highlight w:val="none"/>
              </w:rPr>
            </w:pPr>
            <w:r>
              <w:rPr>
                <w:rFonts w:hint="eastAsia" w:ascii="宋体" w:hAnsi="宋体" w:eastAsia="宋体" w:cs="宋体"/>
                <w:color w:val="000000"/>
                <w:spacing w:val="-1"/>
                <w:szCs w:val="21"/>
                <w:highlight w:val="none"/>
                <w:lang w:eastAsia="zh-CN"/>
              </w:rPr>
              <w:t xml:space="preserve">供应商</w:t>
            </w:r>
            <w:r>
              <w:rPr>
                <w:rFonts w:ascii="宋体" w:hAnsi="宋体" w:eastAsia="宋体" w:cs="宋体"/>
                <w:color w:val="000000"/>
                <w:spacing w:val="-1"/>
                <w:szCs w:val="21"/>
                <w:highlight w:val="none"/>
              </w:rPr>
              <w:t xml:space="preserve">业绩</w:t>
            </w:r>
            <w:r>
              <w:rPr>
                <w:rFonts w:ascii="宋体" w:hAnsi="宋体" w:eastAsia="宋体" w:cs="宋体"/>
                <w:color w:val="000000"/>
                <w:spacing w:val="-2"/>
                <w:szCs w:val="21"/>
                <w:highlight w:val="none"/>
              </w:rPr>
            </w:r>
            <w:r/>
          </w:p>
        </w:tc>
        <w:tc>
          <w:tcPr>
            <w:tcW w:w="6425" w:type="dxa"/>
            <w:vAlign w:val="center"/>
            <w:textDirection w:val="lrTb"/>
            <w:noWrap w:val="false"/>
          </w:tcPr>
          <w:p>
            <w:pPr>
              <w:pStyle w:val="930"/>
              <w:spacing w:line="264"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w:t>
            </w:r>
            <w:r>
              <w:rPr>
                <w:rFonts w:ascii="宋体" w:hAnsi="宋体" w:cs="宋体"/>
                <w:color w:val="000000"/>
                <w:szCs w:val="21"/>
              </w:rPr>
              <w:t xml:space="preserve">20</w:t>
            </w:r>
            <w:r>
              <w:rPr>
                <w:rFonts w:hint="eastAsia" w:ascii="宋体" w:hAnsi="宋体" w:cs="宋体"/>
                <w:color w:val="000000"/>
                <w:szCs w:val="21"/>
              </w:rPr>
              <w:t xml:space="preserve">23</w:t>
            </w:r>
            <w:r>
              <w:rPr>
                <w:rFonts w:ascii="宋体" w:hAnsi="宋体" w:cs="宋体"/>
                <w:color w:val="000000"/>
                <w:szCs w:val="21"/>
              </w:rPr>
              <w:t xml:space="preserve">年</w:t>
            </w:r>
            <w:r>
              <w:rPr>
                <w:rFonts w:hint="eastAsia" w:ascii="宋体" w:hAnsi="宋体" w:cs="宋体"/>
                <w:color w:val="000000"/>
                <w:szCs w:val="21"/>
              </w:rPr>
              <w:t xml:space="preserve">1</w:t>
            </w:r>
            <w:r>
              <w:rPr>
                <w:rFonts w:ascii="宋体" w:hAnsi="宋体" w:cs="宋体"/>
                <w:color w:val="000000"/>
                <w:szCs w:val="21"/>
              </w:rPr>
              <w:t xml:space="preserve">月</w:t>
            </w:r>
            <w:r>
              <w:rPr>
                <w:rFonts w:hint="eastAsia" w:ascii="宋体" w:hAnsi="宋体" w:cs="宋体"/>
                <w:color w:val="000000"/>
                <w:szCs w:val="21"/>
              </w:rPr>
              <w:t xml:space="preserve">1</w:t>
            </w:r>
            <w:r>
              <w:rPr>
                <w:rFonts w:ascii="宋体" w:hAnsi="宋体" w:cs="宋体"/>
                <w:color w:val="000000"/>
                <w:szCs w:val="21"/>
              </w:rPr>
              <w:t xml:space="preserve">日（含）以来类似项目业绩</w:t>
            </w:r>
            <w:r>
              <w:rPr>
                <w:rFonts w:hint="eastAsia" w:ascii="宋体" w:hAnsi="宋体" w:cs="宋体"/>
                <w:color w:val="000000"/>
                <w:szCs w:val="21"/>
              </w:rPr>
              <w:t xml:space="preserve">（至少包含资产调配或资产软件或资产管理或财务核算或报销审批等</w:t>
            </w:r>
            <w:r>
              <w:rPr>
                <w:rFonts w:hint="eastAsia" w:ascii="宋体" w:hAnsi="宋体" w:cs="宋体"/>
                <w:color w:val="000000"/>
                <w:szCs w:val="21"/>
                <w:lang w:val="en-US" w:eastAsia="zh-CN"/>
              </w:rPr>
              <w:t xml:space="preserve">系统</w:t>
            </w:r>
            <w:r>
              <w:rPr>
                <w:rFonts w:hint="eastAsia" w:ascii="宋体" w:hAnsi="宋体" w:cs="宋体"/>
                <w:color w:val="000000"/>
                <w:szCs w:val="21"/>
              </w:rPr>
              <w:t xml:space="preserve">建设内容），</w:t>
            </w:r>
            <w:r>
              <w:rPr>
                <w:rFonts w:ascii="宋体" w:hAnsi="宋体" w:cs="宋体"/>
                <w:color w:val="000000"/>
                <w:szCs w:val="21"/>
              </w:rPr>
              <w:t xml:space="preserve">每提供</w:t>
            </w:r>
            <w:r>
              <w:rPr>
                <w:rFonts w:hint="eastAsia" w:ascii="宋体" w:hAnsi="宋体" w:cs="宋体"/>
                <w:color w:val="000000"/>
                <w:szCs w:val="21"/>
              </w:rPr>
              <w:t xml:space="preserve">1</w:t>
            </w:r>
            <w:r>
              <w:rPr>
                <w:rFonts w:ascii="宋体" w:hAnsi="宋体" w:cs="宋体"/>
                <w:color w:val="000000"/>
                <w:szCs w:val="21"/>
              </w:rPr>
              <w:t xml:space="preserve">个得</w:t>
            </w:r>
            <w:r>
              <w:rPr>
                <w:rFonts w:hint="eastAsia" w:ascii="宋体" w:hAnsi="宋体" w:cs="宋体"/>
                <w:color w:val="000000"/>
                <w:szCs w:val="21"/>
              </w:rPr>
              <w:t xml:space="preserve">2</w:t>
            </w:r>
            <w:r>
              <w:rPr>
                <w:rFonts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最多得</w:t>
            </w:r>
            <w:r>
              <w:rPr>
                <w:rFonts w:hint="eastAsia" w:ascii="宋体" w:hAnsi="宋体" w:cs="宋体"/>
                <w:color w:val="000000"/>
                <w:szCs w:val="21"/>
              </w:rPr>
              <w:t xml:space="preserve">4</w:t>
            </w:r>
            <w:r>
              <w:rPr>
                <w:rFonts w:ascii="宋体" w:hAnsi="宋体" w:cs="宋体"/>
                <w:color w:val="000000"/>
                <w:szCs w:val="21"/>
              </w:rPr>
              <w:t xml:space="preserve">分。</w:t>
            </w:r>
            <w:r>
              <w:rPr>
                <w:rFonts w:ascii="宋体" w:hAnsi="宋体" w:eastAsia="宋体" w:cs="宋体"/>
                <w:color w:val="000000"/>
                <w:sz w:val="21"/>
                <w:szCs w:val="21"/>
                <w:highlight w:val="none"/>
                <w:lang w:val="en-US" w:eastAsia="zh-CN" w:bidi="ar-SA"/>
              </w:rPr>
            </w:r>
            <w:r/>
          </w:p>
          <w:p>
            <w:pPr>
              <w:pStyle w:val="930"/>
              <w:jc w:val="both"/>
              <w:spacing w:line="264" w:lineRule="auto"/>
              <w:widowControl w:val="off"/>
              <w:rPr>
                <w:rFonts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时间以合同签订时间为准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提供有效合同</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合同</w:t>
            </w:r>
            <w:r>
              <w:rPr>
                <w:rFonts w:hint="eastAsia" w:ascii="宋体" w:hAnsi="宋体" w:eastAsia="宋体" w:cs="宋体"/>
                <w:color w:val="000000"/>
                <w:sz w:val="21"/>
                <w:szCs w:val="21"/>
                <w:highlight w:val="none"/>
                <w:lang w:val="en-US" w:eastAsia="zh-CN" w:bidi="ar-SA"/>
              </w:rPr>
              <w:t xml:space="preserve">页</w:t>
            </w:r>
            <w:r>
              <w:rPr>
                <w:rFonts w:ascii="宋体" w:hAnsi="宋体" w:eastAsia="宋体" w:cs="宋体"/>
                <w:color w:val="000000"/>
                <w:sz w:val="21"/>
                <w:szCs w:val="21"/>
                <w:highlight w:val="none"/>
                <w:lang w:val="en-US" w:eastAsia="zh-CN" w:bidi="ar-SA"/>
              </w:rPr>
              <w:t xml:space="preserve">须清晰可见相应内容</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Cs w:val="21"/>
                <w:highlight w:val="none"/>
              </w:rPr>
            </w:r>
            <w:r/>
          </w:p>
        </w:tc>
        <w:tc>
          <w:tcPr>
            <w:tcW w:w="637" w:type="dxa"/>
            <w:vAlign w:val="center"/>
            <w:textDirection w:val="lrTb"/>
            <w:noWrap w:val="false"/>
          </w:tcPr>
          <w:p>
            <w:pPr>
              <w:pStyle w:val="930"/>
              <w:jc w:val="center"/>
              <w:spacing w:line="264"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rPr>
            </w:r>
            <w:r/>
          </w:p>
        </w:tc>
        <w:tc>
          <w:tcPr>
            <w:tcW w:w="852" w:type="dxa"/>
            <w:vAlign w:val="center"/>
            <w:textDirection w:val="lrTb"/>
            <w:noWrap w:val="false"/>
          </w:tcPr>
          <w:p>
            <w:pPr>
              <w:pStyle w:val="930"/>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612" w:type="dxa"/>
            <w:vAlign w:val="top"/>
            <w:textDirection w:val="lrTb"/>
            <w:noWrap w:val="false"/>
          </w:tcPr>
          <w:p>
            <w:pPr>
              <w:pStyle w:val="930"/>
              <w:keepLines w:val="0"/>
              <w:keepNext w:val="0"/>
              <w:pageBreakBefore w:val="0"/>
              <w:spacing w:before="123" w:line="264" w:lineRule="auto"/>
              <w:widowControl w:val="off"/>
              <w:rPr>
                <w:rFonts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4.履约能力</w:t>
            </w:r>
            <w:r>
              <w:rPr>
                <w:rFonts w:ascii="宋体" w:hAnsi="宋体" w:eastAsia="宋体" w:cs="宋体"/>
                <w:color w:val="000000"/>
                <w:szCs w:val="21"/>
                <w:highlight w:val="none"/>
              </w:rPr>
            </w:r>
            <w:r/>
          </w:p>
        </w:tc>
      </w:tr>
      <w:tr>
        <w:trPr>
          <w:trHeight w:val="792"/>
        </w:trPr>
        <w:tc>
          <w:tcPr>
            <w:tcW w:w="519" w:type="dxa"/>
            <w:vAlign w:val="center"/>
            <w:textDirection w:val="lrTb"/>
            <w:noWrap w:val="false"/>
          </w:tcPr>
          <w:p>
            <w:pPr>
              <w:pStyle w:val="930"/>
              <w:jc w:val="center"/>
              <w:spacing w:before="68" w:line="264" w:lineRule="auto"/>
              <w:rPr>
                <w:rFonts w:ascii="宋体" w:hAnsi="宋体" w:eastAsia="宋体" w:cs="宋体"/>
                <w:color w:val="000000"/>
                <w:spacing w:val="-2"/>
                <w:szCs w:val="21"/>
                <w:highlight w:val="none"/>
              </w:rPr>
            </w:pPr>
            <w:r>
              <w:rPr>
                <w:rFonts w:ascii="宋体" w:hAnsi="宋体" w:cs="宋体"/>
                <w:color w:val="000000"/>
                <w:spacing w:val="-2"/>
                <w:szCs w:val="21"/>
              </w:rPr>
              <w:t xml:space="preserve">4.1</w:t>
            </w:r>
            <w:r>
              <w:rPr>
                <w:rFonts w:ascii="宋体" w:hAnsi="宋体" w:eastAsia="宋体" w:cs="宋体"/>
                <w:color w:val="000000"/>
                <w:spacing w:val="-2"/>
                <w:szCs w:val="21"/>
                <w:highlight w:val="none"/>
              </w:rPr>
            </w:r>
            <w:r/>
          </w:p>
        </w:tc>
        <w:tc>
          <w:tcPr>
            <w:tcW w:w="1179" w:type="dxa"/>
            <w:vAlign w:val="center"/>
            <w:textDirection w:val="lrTb"/>
            <w:noWrap w:val="false"/>
          </w:tcPr>
          <w:p>
            <w:pPr>
              <w:pStyle w:val="930"/>
              <w:spacing w:before="69" w:line="264" w:lineRule="auto"/>
              <w:rPr>
                <w:rFonts w:hint="eastAsia" w:ascii="宋体" w:hAnsi="宋体" w:eastAsia="宋体" w:cs="宋体"/>
                <w:color w:val="000000"/>
                <w:spacing w:val="-1"/>
                <w:szCs w:val="21"/>
                <w:highlight w:val="none"/>
                <w:lang w:eastAsia="zh-CN"/>
              </w:rPr>
            </w:pPr>
            <w:r>
              <w:rPr>
                <w:rFonts w:hint="eastAsia" w:ascii="宋体" w:hAnsi="宋体" w:cs="宋体"/>
                <w:color w:val="000000"/>
                <w:spacing w:val="-1"/>
                <w:szCs w:val="21"/>
              </w:rPr>
              <w:t xml:space="preserve">履约能力1</w:t>
            </w:r>
            <w:r>
              <w:rPr>
                <w:rFonts w:hint="eastAsia" w:ascii="宋体" w:hAnsi="宋体" w:eastAsia="宋体" w:cs="宋体"/>
                <w:color w:val="000000"/>
                <w:spacing w:val="-1"/>
                <w:szCs w:val="21"/>
                <w:highlight w:val="none"/>
                <w:lang w:eastAsia="zh-CN"/>
              </w:rPr>
            </w:r>
            <w:r/>
          </w:p>
        </w:tc>
        <w:tc>
          <w:tcPr>
            <w:tcW w:w="6425" w:type="dxa"/>
            <w:vAlign w:val="center"/>
            <w:textDirection w:val="lrTb"/>
            <w:noWrap w:val="false"/>
          </w:tcPr>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（1）项目经理能力：</w:t>
            </w:r>
            <w:r>
              <w:rPr>
                <w:rFonts w:hint="eastAsia" w:ascii="宋体" w:hAnsi="宋体" w:cs="宋体"/>
                <w:color w:val="000000"/>
                <w:szCs w:val="21"/>
              </w:rPr>
            </w:r>
            <w:r/>
          </w:p>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①具有高级信息系统项目管理师计算机技术与软件专业技术资格证书，得2分。（提供有效证书）</w:t>
            </w:r>
            <w:r>
              <w:rPr>
                <w:rFonts w:hint="eastAsia" w:ascii="宋体" w:hAnsi="宋体" w:cs="宋体"/>
                <w:color w:val="000000"/>
                <w:szCs w:val="21"/>
              </w:rPr>
            </w:r>
            <w:r/>
          </w:p>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②具有3年及以上医疗单位或高校信息化项目管理经验，得2分。（提供工作履历和承诺书，格式自拟）</w:t>
            </w:r>
            <w:r>
              <w:rPr>
                <w:rFonts w:hint="eastAsia" w:ascii="宋体" w:hAnsi="宋体" w:cs="宋体"/>
                <w:color w:val="000000"/>
                <w:szCs w:val="21"/>
              </w:rPr>
            </w:r>
            <w:r/>
          </w:p>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（2）技术负责人能力：</w:t>
            </w:r>
            <w:r>
              <w:rPr>
                <w:rFonts w:hint="eastAsia" w:ascii="宋体" w:hAnsi="宋体" w:cs="宋体"/>
                <w:color w:val="000000"/>
                <w:szCs w:val="21"/>
              </w:rPr>
            </w:r>
            <w:r/>
          </w:p>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①具有中级及以上计算机技术与软件专业技术资格证书，得2分。（提供有效证书）</w:t>
            </w:r>
            <w:r>
              <w:rPr>
                <w:rFonts w:hint="eastAsia" w:ascii="宋体" w:hAnsi="宋体" w:cs="宋体"/>
                <w:color w:val="000000"/>
                <w:szCs w:val="21"/>
              </w:rPr>
            </w:r>
            <w:r/>
          </w:p>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②具有3年及以上医疗单位或高校信息化项目经验，得2分。（提供工作履历和承诺书，格式自拟）</w:t>
            </w:r>
            <w:r>
              <w:rPr>
                <w:rFonts w:hint="eastAsia" w:ascii="宋体" w:hAnsi="宋体" w:cs="宋体"/>
                <w:color w:val="000000"/>
                <w:szCs w:val="21"/>
              </w:rPr>
            </w:r>
            <w:r/>
          </w:p>
          <w:p>
            <w:pPr>
              <w:pStyle w:val="930"/>
              <w:spacing w:line="264" w:lineRule="auto"/>
              <w:rPr>
                <w:rFonts w:ascii="宋体" w:hAnsi="宋体" w:eastAsia="宋体" w:cs="宋体"/>
                <w:color w:val="000000"/>
                <w:spacing w:val="12"/>
                <w:szCs w:val="21"/>
                <w:highlight w:val="none"/>
              </w:rPr>
            </w:pPr>
            <w:r>
              <w:rPr>
                <w:rFonts w:hint="eastAsia" w:ascii="宋体" w:hAnsi="宋体" w:cs="宋体"/>
                <w:color w:val="000000"/>
                <w:szCs w:val="21"/>
              </w:rPr>
              <w:t xml:space="preserve">（以上需同时提供供应商为上述人员缴纳的2026年1月以来任意一个月的社保证明材料，否则不得分）</w:t>
            </w:r>
            <w:r>
              <w:rPr>
                <w:rFonts w:ascii="宋体" w:hAnsi="宋体" w:eastAsia="宋体" w:cs="宋体"/>
                <w:color w:val="000000"/>
                <w:spacing w:val="12"/>
                <w:szCs w:val="21"/>
                <w:highlight w:val="none"/>
              </w:rPr>
            </w:r>
            <w:r/>
          </w:p>
        </w:tc>
        <w:tc>
          <w:tcPr>
            <w:tcW w:w="637" w:type="dxa"/>
            <w:vAlign w:val="center"/>
            <w:textDirection w:val="lrTb"/>
            <w:noWrap w:val="false"/>
          </w:tcPr>
          <w:p>
            <w:pPr>
              <w:pStyle w:val="930"/>
              <w:jc w:val="center"/>
              <w:spacing w:line="264" w:lineRule="auto"/>
              <w:rPr>
                <w:rFonts w:hint="eastAsia" w:ascii="宋体" w:hAnsi="宋体" w:eastAsia="宋体" w:cs="宋体"/>
                <w:color w:val="000000"/>
                <w:szCs w:val="21"/>
                <w:highlight w:val="none"/>
              </w:rPr>
            </w:pPr>
            <w:r>
              <w:rPr>
                <w:rFonts w:hint="eastAsia" w:ascii="宋体" w:hAnsi="宋体" w:cs="宋体"/>
                <w:color w:val="000000"/>
                <w:szCs w:val="21"/>
              </w:rPr>
              <w:t xml:space="preserve">8</w:t>
            </w:r>
            <w:r>
              <w:rPr>
                <w:rFonts w:hint="eastAsia" w:ascii="宋体" w:hAnsi="宋体" w:eastAsia="宋体" w:cs="宋体"/>
                <w:color w:val="000000"/>
                <w:szCs w:val="21"/>
                <w:highlight w:val="none"/>
              </w:rPr>
            </w:r>
            <w:r/>
          </w:p>
        </w:tc>
        <w:tc>
          <w:tcPr>
            <w:tcW w:w="852" w:type="dxa"/>
            <w:vAlign w:val="center"/>
            <w:textDirection w:val="lrTb"/>
            <w:noWrap w:val="false"/>
          </w:tcPr>
          <w:p>
            <w:pPr>
              <w:pStyle w:val="930"/>
              <w:jc w:val="center"/>
              <w:spacing w:before="68" w:line="264" w:lineRule="auto"/>
              <w:rPr>
                <w:rFonts w:hint="eastAsia" w:ascii="宋体" w:hAnsi="宋体" w:eastAsia="宋体" w:cs="宋体"/>
                <w:color w:val="000000"/>
                <w:spacing w:val="-6"/>
                <w:szCs w:val="21"/>
                <w:highlight w:val="none"/>
              </w:rPr>
            </w:pPr>
            <w:r>
              <w:rPr>
                <w:rFonts w:hint="eastAsia" w:ascii="宋体" w:hAnsi="宋体" w:cs="宋体"/>
                <w:color w:val="000000"/>
                <w:spacing w:val="-6"/>
                <w:szCs w:val="21"/>
              </w:rPr>
              <w:t xml:space="preserve">客</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hint="eastAsia" w:ascii="宋体" w:hAnsi="宋体" w:eastAsia="宋体" w:cs="宋体"/>
                <w:color w:val="000000"/>
                <w:spacing w:val="-6"/>
                <w:szCs w:val="21"/>
                <w:highlight w:val="none"/>
              </w:rPr>
            </w:r>
            <w:r/>
          </w:p>
        </w:tc>
      </w:tr>
      <w:tr>
        <w:trPr>
          <w:trHeight w:val="792"/>
        </w:trPr>
        <w:tc>
          <w:tcPr>
            <w:tcW w:w="519" w:type="dxa"/>
            <w:vAlign w:val="center"/>
            <w:textDirection w:val="lrTb"/>
            <w:noWrap w:val="false"/>
          </w:tcPr>
          <w:p>
            <w:pPr>
              <w:pStyle w:val="930"/>
              <w:jc w:val="center"/>
              <w:spacing w:before="68" w:line="264" w:lineRule="auto"/>
              <w:rPr>
                <w:rFonts w:ascii="宋体" w:hAnsi="宋体" w:eastAsia="宋体" w:cs="宋体"/>
                <w:color w:val="000000"/>
                <w:spacing w:val="-2"/>
                <w:szCs w:val="21"/>
                <w:highlight w:val="none"/>
              </w:rPr>
            </w:pPr>
            <w:r>
              <w:rPr>
                <w:rFonts w:hint="eastAsia" w:ascii="宋体" w:hAnsi="宋体" w:cs="宋体"/>
                <w:color w:val="000000"/>
                <w:spacing w:val="-2"/>
                <w:szCs w:val="21"/>
              </w:rPr>
              <w:t xml:space="preserve">4</w:t>
            </w:r>
            <w:r>
              <w:rPr>
                <w:rFonts w:ascii="宋体" w:hAnsi="宋体" w:cs="宋体"/>
                <w:color w:val="000000"/>
                <w:spacing w:val="-2"/>
                <w:szCs w:val="21"/>
              </w:rPr>
              <w:t xml:space="preserve">.2</w:t>
            </w:r>
            <w:r>
              <w:rPr>
                <w:rFonts w:ascii="宋体" w:hAnsi="宋体" w:eastAsia="宋体" w:cs="宋体"/>
                <w:color w:val="000000"/>
                <w:spacing w:val="-2"/>
                <w:szCs w:val="21"/>
                <w:highlight w:val="none"/>
              </w:rPr>
            </w:r>
            <w:r/>
          </w:p>
        </w:tc>
        <w:tc>
          <w:tcPr>
            <w:tcW w:w="1179" w:type="dxa"/>
            <w:vAlign w:val="center"/>
            <w:textDirection w:val="lrTb"/>
            <w:noWrap w:val="false"/>
          </w:tcPr>
          <w:p>
            <w:pPr>
              <w:pStyle w:val="930"/>
              <w:spacing w:before="69" w:line="264" w:lineRule="auto"/>
              <w:rPr>
                <w:rFonts w:hint="eastAsia" w:ascii="宋体" w:hAnsi="宋体" w:eastAsia="宋体" w:cs="宋体"/>
                <w:color w:val="000000"/>
                <w:spacing w:val="-1"/>
                <w:szCs w:val="21"/>
                <w:highlight w:val="none"/>
                <w:lang w:eastAsia="zh-CN"/>
              </w:rPr>
            </w:pPr>
            <w:r>
              <w:rPr>
                <w:rFonts w:hint="eastAsia" w:ascii="宋体" w:hAnsi="宋体" w:cs="宋体"/>
                <w:color w:val="000000"/>
                <w:spacing w:val="-1"/>
                <w:szCs w:val="21"/>
              </w:rPr>
              <w:t xml:space="preserve">履约能力2</w:t>
            </w:r>
            <w:r>
              <w:rPr>
                <w:rFonts w:hint="eastAsia" w:ascii="宋体" w:hAnsi="宋体" w:eastAsia="宋体" w:cs="宋体"/>
                <w:color w:val="000000"/>
                <w:spacing w:val="-1"/>
                <w:szCs w:val="21"/>
                <w:highlight w:val="none"/>
                <w:lang w:eastAsia="zh-CN"/>
              </w:rPr>
            </w:r>
            <w:r/>
          </w:p>
        </w:tc>
        <w:tc>
          <w:tcPr>
            <w:tcW w:w="6425" w:type="dxa"/>
            <w:vAlign w:val="center"/>
            <w:textDirection w:val="lrTb"/>
            <w:noWrap w:val="false"/>
          </w:tcPr>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项目实施团队能力（不含项目经理和技术负责人）：</w:t>
            </w:r>
            <w:r>
              <w:rPr>
                <w:rFonts w:hint="eastAsia" w:ascii="宋体" w:hAnsi="宋体" w:cs="宋体"/>
                <w:color w:val="000000"/>
                <w:szCs w:val="21"/>
              </w:rPr>
            </w:r>
            <w:r/>
          </w:p>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①团队成员具有中级及以上计算机技术与软件专业技术资格证书，每提供1人得2分，最高得4分。（提供有效证书）</w:t>
            </w:r>
            <w:r>
              <w:rPr>
                <w:rFonts w:hint="eastAsia" w:ascii="宋体" w:hAnsi="宋体" w:cs="宋体"/>
                <w:color w:val="000000"/>
                <w:szCs w:val="21"/>
              </w:rPr>
            </w:r>
            <w:r/>
          </w:p>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②团队成员具有2年及以上医疗单位或高校信息化项目经验，每提供一人得1分，最多得3分。（提供工作履历和承诺书，格式自拟）</w:t>
            </w:r>
            <w:r>
              <w:rPr>
                <w:rFonts w:hint="eastAsia" w:ascii="宋体" w:hAnsi="宋体" w:cs="宋体"/>
                <w:color w:val="000000"/>
                <w:szCs w:val="21"/>
              </w:rPr>
            </w:r>
            <w:r/>
          </w:p>
          <w:p>
            <w:pPr>
              <w:pStyle w:val="930"/>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rPr>
              <w:t xml:space="preserve">（以上需同时提供供应商为上述人员缴纳的2026年1月以来任意一个月的社保证明材料，否则不得分）</w:t>
            </w:r>
            <w:r>
              <w:rPr>
                <w:rFonts w:hint="eastAsia" w:ascii="宋体" w:hAnsi="宋体" w:eastAsia="宋体" w:cs="宋体"/>
                <w:color w:val="000000"/>
                <w:sz w:val="21"/>
                <w:szCs w:val="21"/>
                <w:highlight w:val="none"/>
                <w:lang w:val="en-US" w:eastAsia="zh-CN" w:bidi="ar-SA"/>
              </w:rPr>
            </w:r>
            <w:r/>
          </w:p>
        </w:tc>
        <w:tc>
          <w:tcPr>
            <w:tcW w:w="637" w:type="dxa"/>
            <w:vAlign w:val="center"/>
            <w:textDirection w:val="lrTb"/>
            <w:noWrap w:val="false"/>
          </w:tcPr>
          <w:p>
            <w:pPr>
              <w:pStyle w:val="930"/>
              <w:jc w:val="center"/>
              <w:spacing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rPr>
              <w:t xml:space="preserve">7</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hint="eastAsia" w:ascii="宋体" w:hAnsi="宋体" w:eastAsia="宋体" w:cs="宋体"/>
                <w:color w:val="000000"/>
                <w:spacing w:val="-6"/>
                <w:szCs w:val="21"/>
                <w:highlight w:val="none"/>
              </w:rPr>
            </w:pPr>
            <w:r>
              <w:rPr>
                <w:rFonts w:hint="eastAsia" w:ascii="宋体" w:hAnsi="宋体" w:cs="宋体"/>
                <w:color w:val="000000"/>
                <w:spacing w:val="-6"/>
                <w:szCs w:val="21"/>
              </w:rPr>
              <w:t xml:space="preserve">客</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hint="eastAsia" w:ascii="宋体" w:hAnsi="宋体" w:eastAsia="宋体" w:cs="宋体"/>
                <w:color w:val="000000"/>
                <w:spacing w:val="-6"/>
                <w:szCs w:val="21"/>
                <w:highlight w:val="none"/>
              </w:rPr>
            </w:r>
            <w:r/>
          </w:p>
        </w:tc>
      </w:tr>
      <w:tr>
        <w:trPr>
          <w:trHeight w:val="792"/>
        </w:trPr>
        <w:tc>
          <w:tcPr>
            <w:tcW w:w="519" w:type="dxa"/>
            <w:vAlign w:val="center"/>
            <w:textDirection w:val="lrTb"/>
            <w:noWrap w:val="false"/>
          </w:tcPr>
          <w:p>
            <w:pPr>
              <w:pStyle w:val="930"/>
              <w:jc w:val="center"/>
              <w:spacing w:before="68" w:line="264" w:lineRule="auto"/>
              <w:rPr>
                <w:rFonts w:ascii="宋体" w:hAnsi="宋体" w:eastAsia="宋体" w:cs="宋体"/>
                <w:color w:val="000000"/>
                <w:spacing w:val="-2"/>
                <w:szCs w:val="21"/>
                <w:highlight w:val="none"/>
              </w:rPr>
            </w:pPr>
            <w:r>
              <w:rPr>
                <w:rFonts w:hint="eastAsia" w:ascii="宋体" w:hAnsi="宋体" w:cs="宋体"/>
                <w:color w:val="000000"/>
                <w:spacing w:val="-2"/>
                <w:szCs w:val="21"/>
              </w:rPr>
              <w:t xml:space="preserve">4.3</w:t>
            </w:r>
            <w:r>
              <w:rPr>
                <w:rFonts w:ascii="宋体" w:hAnsi="宋体" w:eastAsia="宋体" w:cs="宋体"/>
                <w:color w:val="000000"/>
                <w:spacing w:val="-2"/>
                <w:szCs w:val="21"/>
                <w:highlight w:val="none"/>
              </w:rPr>
            </w:r>
            <w:r/>
          </w:p>
        </w:tc>
        <w:tc>
          <w:tcPr>
            <w:tcW w:w="1179" w:type="dxa"/>
            <w:vAlign w:val="center"/>
            <w:textDirection w:val="lrTb"/>
            <w:noWrap w:val="false"/>
          </w:tcPr>
          <w:p>
            <w:pPr>
              <w:pStyle w:val="930"/>
              <w:spacing w:before="69" w:line="264" w:lineRule="auto"/>
              <w:rPr>
                <w:rFonts w:hint="eastAsia" w:ascii="宋体" w:hAnsi="宋体" w:eastAsia="宋体" w:cs="宋体"/>
                <w:color w:val="000000"/>
                <w:spacing w:val="-1"/>
                <w:szCs w:val="21"/>
                <w:highlight w:val="none"/>
                <w:lang w:eastAsia="zh-CN"/>
              </w:rPr>
            </w:pPr>
            <w:r>
              <w:rPr>
                <w:rFonts w:hint="eastAsia" w:ascii="宋体" w:hAnsi="宋体" w:cs="宋体"/>
                <w:color w:val="000000"/>
                <w:spacing w:val="-1"/>
                <w:szCs w:val="21"/>
              </w:rPr>
              <w:t xml:space="preserve">履约能力3</w:t>
            </w:r>
            <w:r>
              <w:rPr>
                <w:rFonts w:hint="eastAsia" w:ascii="宋体" w:hAnsi="宋体" w:eastAsia="宋体" w:cs="宋体"/>
                <w:color w:val="000000"/>
                <w:spacing w:val="-1"/>
                <w:szCs w:val="21"/>
                <w:highlight w:val="none"/>
                <w:lang w:eastAsia="zh-CN"/>
              </w:rPr>
            </w:r>
            <w:r/>
          </w:p>
        </w:tc>
        <w:tc>
          <w:tcPr>
            <w:tcW w:w="6425" w:type="dxa"/>
            <w:vAlign w:val="center"/>
            <w:textDirection w:val="lrTb"/>
            <w:noWrap w:val="false"/>
          </w:tcPr>
          <w:p>
            <w:pPr>
              <w:pStyle w:val="930"/>
              <w:spacing w:line="264" w:lineRule="auto"/>
              <w:rPr>
                <w:rFonts w:hint="eastAsia" w:ascii="宋体" w:hAnsi="宋体" w:cs="宋体"/>
                <w:color w:val="000000"/>
                <w:szCs w:val="21"/>
              </w:rPr>
            </w:pPr>
            <w:r>
              <w:rPr>
                <w:rFonts w:hint="eastAsia" w:ascii="宋体" w:hAnsi="宋体" w:cs="宋体"/>
                <w:color w:val="000000"/>
                <w:szCs w:val="21"/>
              </w:rPr>
              <w:t xml:space="preserve">供应商具有本项目相关的软件著作权证书，包括“资产管理、自动调度、数据中台、交办跟踪、物流管理”等，每提供1个证书得2分，最多得4分。 </w:t>
            </w:r>
            <w:r>
              <w:rPr>
                <w:rFonts w:hint="eastAsia" w:ascii="宋体" w:hAnsi="宋体" w:cs="宋体"/>
                <w:color w:val="000000"/>
                <w:szCs w:val="21"/>
              </w:rPr>
            </w:r>
            <w:r/>
          </w:p>
          <w:p>
            <w:pPr>
              <w:pStyle w:val="930"/>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rPr>
              <w:t xml:space="preserve">（所提供证书“软件名称”与评分细则规定不同时，应提供符合上述要求的内容（功能）说明及关键信息，否则不予认可。）</w:t>
            </w:r>
            <w:r>
              <w:rPr>
                <w:rFonts w:hint="eastAsia" w:ascii="宋体" w:hAnsi="宋体" w:eastAsia="宋体" w:cs="宋体"/>
                <w:color w:val="000000"/>
                <w:sz w:val="21"/>
                <w:szCs w:val="21"/>
                <w:highlight w:val="none"/>
                <w:lang w:val="en-US" w:eastAsia="zh-CN" w:bidi="ar-SA"/>
              </w:rPr>
            </w:r>
            <w:r/>
          </w:p>
        </w:tc>
        <w:tc>
          <w:tcPr>
            <w:tcW w:w="637" w:type="dxa"/>
            <w:vAlign w:val="center"/>
            <w:textDirection w:val="lrTb"/>
            <w:noWrap w:val="false"/>
          </w:tcPr>
          <w:p>
            <w:pPr>
              <w:pStyle w:val="930"/>
              <w:jc w:val="center"/>
              <w:spacing w:line="264"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highlight w:val="none"/>
                <w:lang w:val="en-US" w:eastAsia="zh-CN"/>
              </w:rPr>
            </w:r>
            <w:r/>
          </w:p>
        </w:tc>
        <w:tc>
          <w:tcPr>
            <w:tcW w:w="852" w:type="dxa"/>
            <w:vAlign w:val="center"/>
            <w:textDirection w:val="lrTb"/>
            <w:noWrap w:val="false"/>
          </w:tcPr>
          <w:p>
            <w:pPr>
              <w:pStyle w:val="930"/>
              <w:jc w:val="center"/>
              <w:spacing w:before="68" w:line="264" w:lineRule="auto"/>
              <w:rPr>
                <w:rFonts w:hint="eastAsia" w:ascii="宋体" w:hAnsi="宋体" w:eastAsia="宋体" w:cs="宋体"/>
                <w:color w:val="000000"/>
                <w:spacing w:val="-6"/>
                <w:szCs w:val="21"/>
                <w:highlight w:val="none"/>
              </w:rPr>
            </w:pPr>
            <w:r>
              <w:rPr>
                <w:rFonts w:hint="eastAsia" w:ascii="宋体" w:hAnsi="宋体" w:cs="宋体"/>
                <w:color w:val="000000"/>
                <w:spacing w:val="-6"/>
                <w:szCs w:val="21"/>
              </w:rPr>
              <w:t xml:space="preserve">客</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hint="eastAsia" w:ascii="宋体" w:hAnsi="宋体" w:eastAsia="宋体" w:cs="宋体"/>
                <w:color w:val="000000"/>
                <w:spacing w:val="-6"/>
                <w:szCs w:val="21"/>
                <w:highlight w:val="none"/>
              </w:rPr>
            </w:r>
            <w:r/>
          </w:p>
        </w:tc>
      </w:tr>
      <w:tr>
        <w:trPr>
          <w:trHeight w:val="464"/>
        </w:trPr>
        <w:tc>
          <w:tcPr>
            <w:tcW w:w="519" w:type="dxa"/>
            <w:vAlign w:val="center"/>
            <w:textDirection w:val="lrTb"/>
            <w:noWrap w:val="false"/>
          </w:tcPr>
          <w:p>
            <w:pPr>
              <w:pStyle w:val="930"/>
              <w:jc w:val="center"/>
              <w:keepLines w:val="0"/>
              <w:keepNext w:val="0"/>
              <w:pageBreakBefore w:val="0"/>
              <w:spacing w:line="264" w:lineRule="auto"/>
              <w:widowControl w:val="off"/>
              <w:rPr>
                <w:color w:val="000000"/>
                <w:szCs w:val="21"/>
                <w:highlight w:val="none"/>
              </w:rPr>
            </w:pPr>
            <w:r>
              <w:rPr>
                <w:rFonts w:ascii="宋体" w:hAnsi="宋体" w:eastAsia="宋体" w:cs="宋体"/>
                <w:color w:val="000000"/>
                <w:spacing w:val="-3"/>
                <w:szCs w:val="21"/>
                <w:highlight w:val="none"/>
              </w:rPr>
              <w:t xml:space="preserve">合</w:t>
            </w:r>
            <w:r>
              <w:rPr>
                <w:rFonts w:ascii="宋体" w:hAnsi="宋体" w:eastAsia="宋体" w:cs="宋体"/>
                <w:color w:val="000000"/>
                <w:spacing w:val="-2"/>
                <w:szCs w:val="21"/>
                <w:highlight w:val="none"/>
              </w:rPr>
              <w:t xml:space="preserve">计</w:t>
            </w:r>
            <w:r>
              <w:rPr>
                <w:color w:val="000000"/>
                <w:szCs w:val="21"/>
                <w:highlight w:val="none"/>
              </w:rPr>
            </w:r>
            <w:r/>
          </w:p>
        </w:tc>
        <w:tc>
          <w:tcPr>
            <w:gridSpan w:val="2"/>
            <w:tcW w:w="7604" w:type="dxa"/>
            <w:vAlign w:val="center"/>
            <w:textDirection w:val="lrTb"/>
            <w:noWrap w:val="false"/>
          </w:tcPr>
          <w:p>
            <w:pPr>
              <w:pStyle w:val="930"/>
              <w:ind w:left="172"/>
              <w:jc w:val="center"/>
              <w:keepLines w:val="0"/>
              <w:keepNext w:val="0"/>
              <w:pageBreakBefore w:val="0"/>
              <w:spacing w:before="123" w:line="264" w:lineRule="auto"/>
              <w:widowControl w:val="off"/>
              <w:rPr>
                <w:rFonts w:ascii="宋体" w:hAnsi="宋体" w:eastAsia="宋体" w:cs="宋体"/>
                <w:color w:val="000000"/>
                <w:spacing w:val="-2"/>
                <w:szCs w:val="21"/>
                <w:highlight w:val="none"/>
              </w:rPr>
            </w:pPr>
            <w:r>
              <w:rPr>
                <w:rFonts w:ascii="宋体" w:hAnsi="宋体" w:eastAsia="宋体" w:cs="宋体"/>
                <w:color w:val="000000"/>
                <w:spacing w:val="-2"/>
                <w:szCs w:val="21"/>
                <w:highlight w:val="none"/>
              </w:rPr>
            </w:r>
            <w:r/>
          </w:p>
        </w:tc>
        <w:tc>
          <w:tcPr>
            <w:gridSpan w:val="2"/>
            <w:tcW w:w="1489" w:type="dxa"/>
            <w:vAlign w:val="center"/>
            <w:textDirection w:val="lrTb"/>
            <w:noWrap w:val="false"/>
          </w:tcPr>
          <w:p>
            <w:pPr>
              <w:pStyle w:val="930"/>
              <w:jc w:val="center"/>
              <w:keepLines w:val="0"/>
              <w:keepNext w:val="0"/>
              <w:pageBreakBefore w:val="0"/>
              <w:spacing w:line="264" w:lineRule="auto"/>
              <w:widowControl w:val="off"/>
              <w:rPr>
                <w:color w:val="000000"/>
                <w:szCs w:val="21"/>
                <w:highlight w:val="none"/>
              </w:rPr>
            </w:pPr>
            <w:r>
              <w:rPr>
                <w:rFonts w:ascii="宋体" w:hAnsi="宋体" w:eastAsia="宋体" w:cs="宋体"/>
                <w:color w:val="000000"/>
                <w:spacing w:val="-11"/>
                <w:szCs w:val="21"/>
                <w:highlight w:val="none"/>
              </w:rPr>
              <w:t xml:space="preserve">100分</w:t>
            </w:r>
            <w:r>
              <w:rPr>
                <w:color w:val="000000"/>
                <w:szCs w:val="21"/>
                <w:highlight w:val="none"/>
              </w:rPr>
            </w:r>
            <w:r/>
          </w:p>
        </w:tc>
      </w:tr>
    </w:tbl>
    <w:p>
      <w:pPr>
        <w:pStyle w:val="930"/>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0"/>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0"/>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0"/>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cs="Times New Roman"/>
          <w:color w:val="000000"/>
          <w:sz w:val="44"/>
          <w:szCs w:val="44"/>
          <w:highlight w:val="none"/>
        </w:rPr>
        <w:t xml:space="preserve">第六章  </w:t>
      </w:r>
      <w:bookmarkEnd w:id="112"/>
      <w:r/>
      <w:bookmarkEnd w:id="113"/>
      <w:r/>
      <w:bookmarkEnd w:id="119"/>
      <w:r>
        <w:rPr>
          <w:rFonts w:hint="eastAsia" w:ascii="黑体" w:hAnsi="Times New Roman" w:eastAsia="黑体" w:cs="Times New Roman"/>
          <w:color w:val="000000"/>
          <w:sz w:val="44"/>
          <w:szCs w:val="44"/>
          <w:highlight w:val="none"/>
        </w:rPr>
        <w:t xml:space="preserve">响应文件格式 </w:t>
      </w:r>
      <w:r>
        <w:rPr>
          <w:rFonts w:hint="eastAsia" w:ascii="黑体" w:hAnsi="Times New Roman" w:eastAsia="黑体"/>
          <w:bCs/>
          <w:color w:val="000000"/>
          <w:sz w:val="44"/>
          <w:szCs w:val="28"/>
          <w:highlight w:val="none"/>
        </w:rPr>
      </w:r>
      <w:r/>
    </w:p>
    <w:p>
      <w:pPr>
        <w:pStyle w:val="930"/>
        <w:jc w:val="center"/>
        <w:rPr>
          <w:rFonts w:hint="eastAsia" w:ascii="宋体" w:hAnsi="宋体"/>
          <w:b/>
          <w:color w:val="000000"/>
          <w:sz w:val="72"/>
          <w:szCs w:val="21"/>
          <w:highlight w:val="none"/>
        </w:rPr>
      </w:pPr>
      <w:r/>
      <w:bookmarkStart w:id="120" w:name="_Hlt26955039"/>
      <w:r/>
      <w:bookmarkEnd w:id="120"/>
      <w:r/>
      <w:bookmarkStart w:id="121" w:name="_Hlt26671244"/>
      <w:r/>
      <w:bookmarkEnd w:id="121"/>
      <w:r/>
      <w:bookmarkStart w:id="122" w:name="_Toc26554094"/>
      <w:r/>
      <w:bookmarkStart w:id="123" w:name="_Toc49090576"/>
      <w:r/>
      <w:bookmarkStart w:id="124" w:name="_Toc120614282"/>
      <w:r>
        <w:rPr>
          <w:rFonts w:hint="eastAsia" w:ascii="宋体" w:hAnsi="宋体"/>
          <w:b/>
          <w:color w:val="000000"/>
          <w:sz w:val="72"/>
          <w:szCs w:val="21"/>
          <w:highlight w:val="none"/>
        </w:rPr>
      </w:r>
      <w:r/>
    </w:p>
    <w:p>
      <w:pPr>
        <w:pStyle w:val="930"/>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3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0"/>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3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0"/>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30"/>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30"/>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0"/>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0"/>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3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30"/>
        <w:spacing w:line="440" w:lineRule="exact"/>
        <w:rPr>
          <w:rFonts w:ascii="宋体" w:hAnsi="宋体"/>
          <w:color w:val="000000"/>
          <w:szCs w:val="21"/>
          <w:highlight w:val="none"/>
        </w:rPr>
      </w:pPr>
      <w:r>
        <w:rPr>
          <w:rFonts w:ascii="宋体" w:hAnsi="宋体"/>
          <w:color w:val="000000"/>
          <w:szCs w:val="21"/>
          <w:highlight w:val="none"/>
        </w:rPr>
      </w:r>
      <w:r/>
    </w:p>
    <w:p>
      <w:pPr>
        <w:pStyle w:val="930"/>
        <w:jc w:val="center"/>
        <w:spacing w:line="240" w:lineRule="auto"/>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r>
      <w:r/>
    </w:p>
    <w:p>
      <w:pPr>
        <w:pStyle w:val="930"/>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hint="eastAsia" w:ascii="宋体" w:hAnsi="宋体" w:eastAsia="宋体" w:cs="宋体"/>
          <w:b w:val="0"/>
          <w:bCs w:val="0"/>
          <w:i w:val="0"/>
          <w:color w:val="000000"/>
          <w:sz w:val="28"/>
          <w:szCs w:val="28"/>
          <w:highlight w:val="none"/>
          <w:u w:val="none"/>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930"/>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930"/>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930"/>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Cs w:val="0"/>
          <w:color w:val="000000"/>
          <w:sz w:val="28"/>
          <w:szCs w:val="28"/>
          <w:highlight w:val="none"/>
        </w:rPr>
      </w:r>
      <w:r/>
    </w:p>
    <w:p>
      <w:pPr>
        <w:pStyle w:val="930"/>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30"/>
        <w:ind w:firstLine="560"/>
        <w:spacing w:line="6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93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0"/>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30"/>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30"/>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30"/>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30"/>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30"/>
        <w:ind w:firstLine="492"/>
        <w:spacing w:line="460" w:lineRule="exact"/>
        <w:rPr>
          <w:color w:val="000000"/>
          <w:sz w:val="24"/>
          <w:szCs w:val="24"/>
          <w:highlight w:val="none"/>
        </w:rPr>
      </w:pPr>
      <w:r>
        <w:rPr>
          <w:color w:val="000000"/>
          <w:sz w:val="24"/>
          <w:szCs w:val="24"/>
          <w:highlight w:val="none"/>
        </w:rPr>
      </w:r>
      <w:r/>
    </w:p>
    <w:p>
      <w:pPr>
        <w:pStyle w:val="1053"/>
        <w:rPr>
          <w:color w:val="000000"/>
          <w:sz w:val="24"/>
          <w:szCs w:val="24"/>
          <w:highlight w:val="none"/>
        </w:rPr>
      </w:pPr>
      <w:r>
        <w:rPr>
          <w:color w:val="000000"/>
          <w:sz w:val="24"/>
          <w:szCs w:val="24"/>
          <w:highlight w:val="none"/>
        </w:rPr>
      </w:r>
      <w:r/>
    </w:p>
    <w:p>
      <w:pPr>
        <w:pStyle w:val="930"/>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0"/>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30"/>
        <w:rPr>
          <w:color w:val="000000"/>
          <w:sz w:val="24"/>
          <w:szCs w:val="24"/>
          <w:highlight w:val="none"/>
        </w:rPr>
      </w:pPr>
      <w:r>
        <w:rPr>
          <w:color w:val="000000"/>
          <w:sz w:val="24"/>
          <w:szCs w:val="24"/>
          <w:highlight w:val="none"/>
        </w:rPr>
      </w:r>
      <w:r/>
    </w:p>
    <w:p>
      <w:pPr>
        <w:pStyle w:val="930"/>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30"/>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29"/>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2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的政府采购活动，由其代表我方办理上述项目在响应、磋商、澄清确认过程中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29"/>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有效期届满之日止。</w:t>
      </w:r>
      <w:r>
        <w:rPr>
          <w:rFonts w:hint="eastAsia"/>
          <w:color w:val="000000"/>
          <w:sz w:val="24"/>
          <w:szCs w:val="24"/>
          <w:highlight w:val="none"/>
        </w:rPr>
      </w:r>
      <w:r/>
    </w:p>
    <w:p>
      <w:pPr>
        <w:pStyle w:val="1029"/>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2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102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2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29"/>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lang w:val="en-US" w:eastAsia="zh-CN"/>
        </w:rPr>
        <w:t xml:space="preserve">代理人联系方式（手机号码）：</w:t>
      </w:r>
      <w:r>
        <w:rPr>
          <w:rFonts w:hint="eastAsia" w:ascii="Times New Roman" w:hAnsi="Times New Roman" w:eastAsia="宋体" w:cs="Times New Roman"/>
          <w:i w:val="0"/>
          <w:color w:val="000000"/>
          <w:sz w:val="24"/>
          <w:szCs w:val="24"/>
          <w:highlight w:val="none"/>
          <w:u w:val="none"/>
        </w:rPr>
        <w:t xml:space="preserve">________________ </w:t>
      </w:r>
      <w:r>
        <w:rPr>
          <w:rFonts w:ascii="Times New Roman" w:hAnsi="Times New Roman" w:eastAsia="宋体" w:cs="Times New Roman"/>
          <w:i w:val="0"/>
          <w:color w:val="000000"/>
          <w:sz w:val="24"/>
          <w:szCs w:val="24"/>
          <w:highlight w:val="none"/>
          <w:u w:val="none"/>
          <w:lang w:val="en-US" w:eastAsia="zh-CN"/>
        </w:rPr>
      </w:r>
      <w:r/>
    </w:p>
    <w:p>
      <w:pPr>
        <w:pStyle w:val="1029"/>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29"/>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7"/>
        <w:ind w:firstLine="0"/>
        <w:rPr>
          <w:rFonts w:hint="eastAsia"/>
          <w:color w:val="000000"/>
          <w:highlight w:val="none"/>
        </w:rPr>
      </w:pPr>
      <w:r>
        <w:rPr>
          <w:rFonts w:hint="eastAsia"/>
          <w:color w:val="000000"/>
          <w:highlight w:val="none"/>
        </w:rPr>
      </w:r>
      <w:r/>
    </w:p>
    <w:p>
      <w:pPr>
        <w:pStyle w:val="102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2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2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2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2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29"/>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29"/>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5.未按磋商文件要求和格式提供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930"/>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End w:id="122"/>
      <w:r/>
      <w:bookmarkEnd w:id="123"/>
      <w:r/>
      <w:bookmarkEnd w:id="124"/>
      <w:r/>
      <w:bookmarkStart w:id="125"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1022"/>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rPr>
          <w:rFonts w:hint="eastAsia" w:ascii="宋体" w:hAnsi="宋体"/>
          <w:color w:val="000000"/>
          <w:szCs w:val="21"/>
          <w:highlight w:val="none"/>
        </w:rPr>
      </w:r>
      <w:r/>
    </w:p>
    <w:p>
      <w:pPr>
        <w:pStyle w:val="1022"/>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w:t>
      </w:r>
      <w:r>
        <w:rPr>
          <w:rFonts w:hint="eastAsia" w:ascii="宋体" w:hAnsi="宋体" w:eastAsia="宋体" w:cs="Times New Roman"/>
          <w:color w:val="000000"/>
          <w:sz w:val="24"/>
          <w:szCs w:val="21"/>
          <w:highlight w:val="none"/>
        </w:rPr>
        <w:t xml:space="preserve">贵</w:t>
      </w:r>
      <w:r>
        <w:rPr>
          <w:rFonts w:hint="eastAsia" w:ascii="宋体" w:hAnsi="宋体"/>
          <w:color w:val="000000"/>
          <w:sz w:val="24"/>
          <w:szCs w:val="21"/>
          <w:highlight w:val="none"/>
        </w:rPr>
        <w:t xml:space="preserve">方提供所需服务（包含与服务相关的货物）。</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w:t>
      </w:r>
      <w:r>
        <w:rPr>
          <w:rFonts w:hint="eastAsia" w:ascii="宋体" w:hAnsi="宋体" w:eastAsia="宋体" w:cs="Times New Roman"/>
          <w:color w:val="000000"/>
          <w:sz w:val="24"/>
          <w:szCs w:val="21"/>
          <w:highlight w:val="none"/>
        </w:rPr>
        <w:t xml:space="preserve">贵</w:t>
      </w:r>
      <w:r>
        <w:rPr>
          <w:rFonts w:hint="eastAsia" w:ascii="宋体" w:hAnsi="宋体" w:eastAsia="宋体" w:cs="Times New Roman"/>
          <w:color w:val="000000"/>
          <w:sz w:val="24"/>
          <w:szCs w:val="21"/>
          <w:highlight w:val="none"/>
        </w:rPr>
        <w:t xml:space="preserve">方验收、使用。</w:t>
      </w:r>
      <w:r>
        <w:rPr>
          <w:rFonts w:hint="eastAsia" w:ascii="宋体" w:hAnsi="宋体" w:eastAsia="宋体" w:cs="Times New Roman"/>
          <w:color w:val="000000"/>
          <w:sz w:val="24"/>
          <w:szCs w:val="21"/>
          <w:highlight w:val="none"/>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1003"/>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30"/>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30"/>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2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30"/>
        <w:rPr>
          <w:rFonts w:hint="eastAsia" w:ascii="宋体" w:hAnsi="宋体"/>
          <w:color w:val="000000"/>
          <w:szCs w:val="21"/>
          <w:highlight w:val="none"/>
        </w:rPr>
      </w:pPr>
      <w:r>
        <w:rPr>
          <w:rFonts w:hint="eastAsia" w:ascii="宋体" w:hAnsi="宋体"/>
          <w:color w:val="000000"/>
          <w:szCs w:val="21"/>
          <w:highlight w:val="none"/>
        </w:rPr>
      </w:r>
      <w:r/>
    </w:p>
    <w:p>
      <w:pPr>
        <w:pStyle w:val="930"/>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color w:val="000000"/>
          <w:szCs w:val="21"/>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四、磋商报价表</w:t>
      </w:r>
      <w:r>
        <w:rPr>
          <w:rFonts w:hint="eastAsia" w:ascii="黑体" w:hAnsi="黑体" w:eastAsia="黑体" w:cs="Times New Roman"/>
          <w:i w:val="0"/>
          <w:color w:val="000000"/>
          <w:sz w:val="32"/>
          <w:szCs w:val="32"/>
          <w:highlight w:val="none"/>
          <w:u w:val="none"/>
          <w:lang w:val="en-US" w:eastAsia="zh-CN"/>
        </w:rPr>
      </w:r>
      <w:r/>
    </w:p>
    <w:p>
      <w:pPr>
        <w:pStyle w:val="93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30"/>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930"/>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930"/>
        <w:ind w:firstLine="0"/>
        <w:keepLines w:val="0"/>
        <w:keepNext w:val="0"/>
        <w:pageBreakBefore w:val="0"/>
        <w:spacing w:line="240" w:lineRule="auto"/>
        <w:widowControl/>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lang w:eastAsia="zh-CN"/>
        </w:rPr>
        <w:t xml:space="preserve">采购包</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0"/>
              <w:jc w:val="center"/>
              <w:keepLines w:val="0"/>
              <w:keepNext w:val="0"/>
              <w:pageBreakBefore w:val="0"/>
              <w:spacing w:line="48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22"/>
              <w:ind w:firstLine="0"/>
              <w:keepLines w:val="0"/>
              <w:keepNext w:val="0"/>
              <w:pageBreakBefore w:val="0"/>
              <w:spacing w:before="0" w:after="0" w:line="480" w:lineRule="auto"/>
              <w:widowControl w:val="off"/>
              <w:rPr>
                <w:rFonts w:hint="eastAsia" w:ascii="宋体" w:hAnsi="宋体"/>
                <w:color w:val="000000"/>
                <w:szCs w:val="21"/>
                <w:highlight w:val="none"/>
              </w:rPr>
              <w:outlineLvl w:val="9"/>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30"/>
        <w:keepLines w:val="0"/>
        <w:keepNext w:val="0"/>
        <w:pageBreakBefore w:val="0"/>
        <w:spacing w:line="480" w:lineRule="auto"/>
        <w:widowControl w:val="off"/>
        <w:rPr>
          <w:rFonts w:ascii="宋体" w:hAnsi="宋体"/>
          <w:color w:val="000000"/>
          <w:sz w:val="24"/>
          <w:szCs w:val="24"/>
          <w:highlight w:val="none"/>
        </w:rPr>
        <w:outlineLvl w:val="9"/>
      </w:pPr>
      <w:r>
        <w:rPr>
          <w:rFonts w:ascii="宋体" w:hAnsi="宋体"/>
          <w:color w:val="000000"/>
          <w:sz w:val="24"/>
          <w:szCs w:val="24"/>
          <w:highlight w:val="none"/>
        </w:rPr>
      </w:r>
      <w:r/>
    </w:p>
    <w:p>
      <w:pPr>
        <w:pStyle w:val="930"/>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outlineLvl w:val="9"/>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30"/>
        <w:ind w:firstLine="480"/>
        <w:rPr>
          <w:rFonts w:hint="eastAsia" w:ascii="黑体" w:hAnsi="黑体" w:eastAsia="黑体"/>
          <w:b/>
          <w:i/>
          <w:color w:val="000000"/>
          <w:sz w:val="32"/>
          <w:szCs w:val="32"/>
          <w:highlight w:val="none"/>
          <w:u w:val="single"/>
        </w:rPr>
        <w:outlineLvl w:val="9"/>
      </w:pPr>
      <w:r>
        <w:rPr>
          <w:rFonts w:hint="eastAsia" w:ascii="黑体" w:hAnsi="黑体" w:eastAsia="黑体"/>
          <w:b/>
          <w:i/>
          <w:color w:val="000000"/>
          <w:sz w:val="32"/>
          <w:szCs w:val="32"/>
          <w:highlight w:val="none"/>
          <w:u w:val="single"/>
        </w:rPr>
      </w:r>
      <w:r/>
    </w:p>
    <w:p>
      <w:pPr>
        <w:pStyle w:val="930"/>
        <w:rPr>
          <w:rFonts w:hint="eastAsia"/>
          <w:color w:val="000000"/>
          <w:highlight w:val="none"/>
        </w:rPr>
        <w:outlineLvl w:val="9"/>
      </w:pPr>
      <w:r>
        <w:rPr>
          <w:rFonts w:hint="eastAsia"/>
          <w:color w:val="000000"/>
          <w:highlight w:val="none"/>
        </w:rPr>
      </w:r>
      <w:r/>
    </w:p>
    <w:p>
      <w:pPr>
        <w:pStyle w:val="1003"/>
        <w:rPr>
          <w:rFonts w:hint="eastAsia"/>
          <w:color w:val="000000"/>
          <w:highlight w:val="none"/>
        </w:rPr>
      </w:pPr>
      <w:r>
        <w:rPr>
          <w:rFonts w:hint="eastAsia"/>
          <w:color w:val="000000"/>
          <w:highlight w:val="none"/>
        </w:rPr>
      </w:r>
      <w:r/>
    </w:p>
    <w:p>
      <w:pPr>
        <w:pStyle w:val="930"/>
        <w:rPr>
          <w:rFonts w:hint="eastAsia"/>
          <w:color w:val="000000"/>
          <w:highlight w:val="none"/>
        </w:rPr>
      </w:pPr>
      <w:r>
        <w:rPr>
          <w:rFonts w:hint="eastAsia"/>
          <w:color w:val="000000"/>
          <w:highlight w:val="none"/>
        </w:rPr>
      </w:r>
      <w:r/>
    </w:p>
    <w:p>
      <w:pPr>
        <w:pStyle w:val="1003"/>
        <w:rPr>
          <w:rFonts w:hint="eastAsia"/>
          <w:color w:val="000000"/>
          <w:highlight w:val="none"/>
        </w:rPr>
      </w:pPr>
      <w:r>
        <w:rPr>
          <w:rFonts w:hint="eastAsia"/>
          <w:color w:val="000000"/>
          <w:highlight w:val="none"/>
        </w:rPr>
      </w:r>
      <w:r/>
    </w:p>
    <w:p>
      <w:pPr>
        <w:pStyle w:val="930"/>
        <w:rPr>
          <w:rFonts w:hint="eastAsia"/>
          <w:color w:val="000000"/>
          <w:highlight w:val="none"/>
        </w:rPr>
      </w:pPr>
      <w:r>
        <w:rPr>
          <w:rFonts w:hint="eastAsia"/>
          <w:color w:val="000000"/>
          <w:highlight w:val="none"/>
        </w:rPr>
      </w:r>
      <w:r/>
    </w:p>
    <w:p>
      <w:pPr>
        <w:pStyle w:val="1003"/>
        <w:rPr>
          <w:rFonts w:hint="eastAsia"/>
          <w:color w:val="000000"/>
          <w:highlight w:val="none"/>
        </w:rPr>
      </w:pPr>
      <w:r>
        <w:rPr>
          <w:rFonts w:hint="eastAsia"/>
          <w:color w:val="000000"/>
          <w:highlight w:val="none"/>
        </w:rPr>
      </w:r>
      <w:r/>
    </w:p>
    <w:p>
      <w:pPr>
        <w:pStyle w:val="930"/>
        <w:rPr>
          <w:rFonts w:hint="eastAsia"/>
          <w:color w:val="000000"/>
          <w:highlight w:val="none"/>
        </w:rPr>
      </w:pPr>
      <w:r>
        <w:rPr>
          <w:rFonts w:hint="eastAsia"/>
          <w:color w:val="000000"/>
          <w:highlight w:val="none"/>
        </w:rPr>
      </w:r>
      <w:r/>
    </w:p>
    <w:p>
      <w:pPr>
        <w:pStyle w:val="1003"/>
        <w:rPr>
          <w:rFonts w:hint="eastAsia"/>
          <w:color w:val="000000"/>
          <w:highlight w:val="none"/>
        </w:rPr>
      </w:pPr>
      <w:r>
        <w:rPr>
          <w:rFonts w:hint="eastAsia"/>
          <w:color w:val="000000"/>
          <w:highlight w:val="none"/>
        </w:rPr>
      </w:r>
      <w:r/>
    </w:p>
    <w:p>
      <w:pPr>
        <w:pStyle w:val="93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93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93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930"/>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r>
      <w:r/>
    </w:p>
    <w:p>
      <w:pPr>
        <w:pStyle w:val="930"/>
        <w:jc w:val="left"/>
        <w:spacing w:line="360" w:lineRule="auto"/>
        <w:rPr>
          <w:rFonts w:ascii="黑体" w:hAnsi="黑体" w:eastAsia="黑体" w:cs="Times New Roman"/>
          <w:i w:val="0"/>
          <w:color w:val="000000"/>
          <w:sz w:val="32"/>
          <w:szCs w:val="32"/>
          <w:highlight w:val="none"/>
          <w:u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ascii="黑体" w:hAnsi="黑体" w:eastAsia="黑体" w:cs="Times New Roman"/>
          <w:i w:val="0"/>
          <w:color w:val="000000"/>
          <w:sz w:val="32"/>
          <w:szCs w:val="32"/>
          <w:highlight w:val="none"/>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3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3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0"/>
        <w:ind w:right="180"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ascii="宋体" w:hAnsi="宋体" w:eastAsia="宋体" w:cs="Times New Roman"/>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195"/>
        <w:gridCol w:w="970"/>
        <w:gridCol w:w="1790"/>
        <w:gridCol w:w="1470"/>
        <w:gridCol w:w="830"/>
        <w:gridCol w:w="820"/>
        <w:gridCol w:w="826"/>
        <w:gridCol w:w="1434"/>
      </w:tblGrid>
      <w:tr>
        <w:trPr>
          <w:cantSplit/>
          <w:trHeight w:val="544"/>
        </w:trPr>
        <w:tc>
          <w:tcPr>
            <w:tcW w:w="626" w:type="dxa"/>
            <w:vAlign w:val="center"/>
            <w:vMerge w:val="restart"/>
            <w:textDirection w:val="lrTb"/>
            <w:noWrap w:val="false"/>
          </w:tcPr>
          <w:p>
            <w:pPr>
              <w:pStyle w:val="930"/>
              <w:ind w:right="1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195" w:type="dxa"/>
            <w:vAlign w:val="center"/>
            <w:textDirection w:val="lrTb"/>
            <w:noWrap w:val="false"/>
          </w:tcPr>
          <w:p>
            <w:pPr>
              <w:pStyle w:val="930"/>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30"/>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30"/>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30"/>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626" w:type="dxa"/>
            <w:vAlign w:val="center"/>
            <w:vMerge w:val="continue"/>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5"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30"/>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3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30"/>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6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195"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95"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195"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26" w:type="dxa"/>
            <w:vAlign w:val="center"/>
            <w:textDirection w:val="lrTb"/>
            <w:noWrap w:val="false"/>
          </w:tcPr>
          <w:p>
            <w:pPr>
              <w:pStyle w:val="930"/>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35" w:type="dxa"/>
            <w:vAlign w:val="center"/>
            <w:textDirection w:val="lrTb"/>
            <w:noWrap w:val="false"/>
          </w:tcPr>
          <w:p>
            <w:pPr>
              <w:pStyle w:val="930"/>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930"/>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9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1.“总报价”应包括为完成整个项目所产生的所有费用，磋商文件另有规定的除外。</w:t>
      </w:r>
      <w:r>
        <w:rPr>
          <w:rFonts w:hint="eastAsia" w:ascii="宋体" w:hAnsi="宋体" w:eastAsia="宋体" w:cs="宋体"/>
          <w:color w:val="000000"/>
          <w:sz w:val="24"/>
          <w:szCs w:val="24"/>
          <w:highlight w:val="none"/>
          <w:lang w:val="en-US" w:eastAsia="zh-CN"/>
        </w:rPr>
      </w:r>
      <w:r/>
    </w:p>
    <w:p>
      <w:pPr>
        <w:pStyle w:val="99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2.《分项报价表》中“总报价”应当与《磋商报价表》中“总报价”一致。</w:t>
      </w:r>
      <w:r>
        <w:rPr>
          <w:rFonts w:hint="eastAsia" w:ascii="宋体" w:hAnsi="宋体" w:eastAsia="宋体" w:cs="宋体"/>
          <w:color w:val="000000"/>
          <w:sz w:val="24"/>
          <w:szCs w:val="24"/>
          <w:highlight w:val="none"/>
          <w:lang w:val="en-US" w:eastAsia="zh-CN"/>
        </w:rPr>
      </w:r>
      <w:r/>
    </w:p>
    <w:p>
      <w:pPr>
        <w:pStyle w:val="99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《分项报价表》中的分项名称须与“第四章采购需求-项目清单”中的分项名称一一对应，如有缺项、漏项，视为无效响应。</w:t>
      </w:r>
      <w:r>
        <w:rPr>
          <w:rFonts w:hint="eastAsia" w:ascii="宋体" w:hAnsi="宋体" w:eastAsia="宋体" w:cs="宋体"/>
          <w:color w:val="000000"/>
          <w:sz w:val="24"/>
          <w:szCs w:val="24"/>
          <w:highlight w:val="none"/>
          <w:lang w:val="en-US" w:eastAsia="zh-CN"/>
        </w:rPr>
      </w:r>
      <w:r/>
    </w:p>
    <w:p>
      <w:pPr>
        <w:pStyle w:val="99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97"/>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14"/>
      <w:r/>
      <w:bookmarkEnd w:id="115"/>
      <w:r/>
      <w:bookmarkEnd w:id="125"/>
      <w:r>
        <w:rPr>
          <w:rFonts w:hint="eastAsia" w:ascii="黑体" w:hAnsi="黑体" w:eastAsia="黑体" w:cs="Times New Roman"/>
          <w:i w:val="0"/>
          <w:color w:val="000000"/>
          <w:sz w:val="32"/>
          <w:szCs w:val="32"/>
          <w:highlight w:val="none"/>
          <w:u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930"/>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p>
      <w:pPr>
        <w:pStyle w:val="93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3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0"/>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930"/>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7"/>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val="en-US" w:eastAsia="zh-CN"/>
        </w:rPr>
        <w:t xml:space="preserve">供应商</w:t>
      </w:r>
      <w:r>
        <w:rPr>
          <w:rFonts w:hint="eastAsia"/>
          <w:b/>
          <w:bCs/>
          <w:color w:val="000000"/>
          <w:highlight w:val="none"/>
        </w:rPr>
        <w:t xml:space="preserve">须对</w:t>
      </w:r>
      <w:r>
        <w:rPr>
          <w:rFonts w:hint="eastAsia"/>
          <w:b/>
          <w:bCs/>
          <w:color w:val="000000"/>
          <w:highlight w:val="none"/>
          <w:lang w:val="en-US" w:eastAsia="zh-CN"/>
        </w:rPr>
        <w:t xml:space="preserve">磋商</w:t>
      </w:r>
      <w:r>
        <w:rPr>
          <w:rFonts w:hint="eastAsia"/>
          <w:b/>
          <w:bCs/>
          <w:color w:val="000000"/>
          <w:highlight w:val="none"/>
        </w:rPr>
        <w:t xml:space="preserve">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w:t>
      </w:r>
      <w:r>
        <w:rPr>
          <w:rFonts w:hint="eastAsia"/>
          <w:b/>
          <w:bCs/>
          <w:color w:val="000000"/>
          <w:highlight w:val="none"/>
          <w:lang w:val="en-US" w:eastAsia="zh-CN"/>
        </w:rPr>
        <w:t xml:space="preserve">响应</w:t>
      </w:r>
      <w:r>
        <w:rPr>
          <w:rFonts w:hint="eastAsia"/>
          <w:b/>
          <w:bCs/>
          <w:color w:val="000000"/>
          <w:highlight w:val="none"/>
        </w:rPr>
        <w:t xml:space="preserve">。</w:t>
      </w:r>
      <w:r>
        <w:rPr>
          <w:rFonts w:hint="eastAsia"/>
          <w:b/>
          <w:bCs/>
          <w:color w:val="000000"/>
          <w:highlight w:val="none"/>
        </w:rPr>
      </w:r>
      <w:r/>
    </w:p>
    <w:p>
      <w:pPr>
        <w:pStyle w:val="997"/>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w:t>
      </w:r>
      <w:r>
        <w:rPr>
          <w:rFonts w:hint="eastAsia"/>
          <w:b/>
          <w:bCs/>
          <w:color w:val="000000"/>
          <w:highlight w:val="none"/>
          <w:lang w:val="en-US" w:eastAsia="zh-CN"/>
        </w:rPr>
        <w:t xml:space="preserve">成交供应商</w:t>
      </w:r>
      <w:r>
        <w:rPr>
          <w:rFonts w:hint="eastAsia"/>
          <w:b/>
          <w:bCs/>
          <w:color w:val="000000"/>
          <w:highlight w:val="none"/>
        </w:rPr>
        <w:t xml:space="preserve">应按</w:t>
      </w:r>
      <w:r>
        <w:rPr>
          <w:rFonts w:hint="eastAsia"/>
          <w:b/>
          <w:bCs/>
          <w:color w:val="000000"/>
          <w:highlight w:val="none"/>
          <w:lang w:val="en-US" w:eastAsia="zh-CN"/>
        </w:rPr>
        <w:t xml:space="preserve">磋商</w:t>
      </w:r>
      <w:r>
        <w:rPr>
          <w:rFonts w:hint="eastAsia"/>
          <w:b/>
          <w:bCs/>
          <w:color w:val="000000"/>
          <w:highlight w:val="none"/>
        </w:rPr>
        <w:t xml:space="preserve">文件要求和</w:t>
      </w:r>
      <w:r>
        <w:rPr>
          <w:rFonts w:hint="eastAsia"/>
          <w:b/>
          <w:bCs/>
          <w:color w:val="000000"/>
          <w:highlight w:val="none"/>
          <w:lang w:val="en-US" w:eastAsia="zh-CN"/>
        </w:rPr>
        <w:t xml:space="preserve">响应</w:t>
      </w:r>
      <w:r>
        <w:rPr>
          <w:rFonts w:hint="eastAsia"/>
          <w:b/>
          <w:bCs/>
          <w:color w:val="000000"/>
          <w:highlight w:val="none"/>
        </w:rPr>
        <w:t xml:space="preserve">文件内容提供相应证明材料供采购人核验，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b/>
          <w:bCs/>
          <w:color w:val="000000"/>
          <w:highlight w:val="none"/>
        </w:rPr>
      </w:r>
      <w:r/>
    </w:p>
    <w:p>
      <w:pPr>
        <w:pStyle w:val="99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97"/>
        <w:ind w:firstLine="0"/>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宋体" w:hAnsi="宋体" w:eastAsia="宋体" w:cs="宋体"/>
          <w:color w:val="000000"/>
          <w:highlight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930"/>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0"/>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30"/>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0"/>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30"/>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3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0"/>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7"/>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9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30"/>
        <w:rPr>
          <w:color w:val="000000"/>
          <w:highlight w:val="none"/>
        </w:rPr>
      </w:pPr>
      <w:r>
        <w:rPr>
          <w:color w:val="000000"/>
          <w:highlight w:val="none"/>
        </w:rPr>
      </w:r>
      <w:r/>
    </w:p>
    <w:p>
      <w:pPr>
        <w:pStyle w:val="930"/>
        <w:rPr>
          <w:rFonts w:hint="eastAsia" w:ascii="黑体" w:hAnsi="黑体" w:eastAsia="黑体" w:cs="Times New Roman"/>
          <w:i w:val="0"/>
          <w:iCs/>
          <w:color w:val="000000"/>
          <w:sz w:val="32"/>
          <w:szCs w:val="32"/>
          <w:highlight w:val="none"/>
          <w:u w:val="none"/>
          <w:lang w:val="en-US" w:eastAsia="zh-CN"/>
        </w:rPr>
      </w:pPr>
      <w:r>
        <w:rPr>
          <w:rFonts w:hint="eastAsia" w:ascii="宋体" w:hAnsi="宋体" w:cs="仿宋"/>
          <w:b/>
          <w:bCs/>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93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0"/>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30"/>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30"/>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20"/>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0"/>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30"/>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0"/>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930"/>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0"/>
        <w:numPr>
          <w:ilvl w:val="0"/>
          <w:numId w:val="0"/>
        </w:numPr>
        <w:ind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30"/>
        <w:numPr>
          <w:ilvl w:val="0"/>
          <w:numId w:val="0"/>
        </w:numPr>
        <w:ind w:firstLine="482"/>
        <w:jc w:val="left"/>
        <w:keepLines w:val="0"/>
        <w:keepNext w:val="0"/>
        <w:pageBreakBefore w:val="0"/>
        <w:spacing w:line="360" w:lineRule="auto"/>
        <w:widowControl/>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。磋商文件第四章采购需求“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30"/>
        <w:numPr>
          <w:ilvl w:val="0"/>
          <w:numId w:val="0"/>
        </w:numPr>
        <w:ind w:firstLine="0"/>
        <w:jc w:val="left"/>
        <w:spacing w:line="360" w:lineRule="auto"/>
        <w:widowControl/>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30"/>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0"/>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30"/>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102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0"/>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30"/>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0"/>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30"/>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30"/>
        <w:ind w:firstLine="480"/>
        <w:spacing w:line="480" w:lineRule="exact"/>
        <w:rPr>
          <w:rFonts w:ascii="宋体" w:hAnsi="宋体"/>
          <w:color w:val="000000"/>
          <w:sz w:val="24"/>
          <w:highlight w:val="none"/>
        </w:rPr>
      </w:pPr>
      <w:r>
        <w:rPr>
          <w:rFonts w:ascii="宋体" w:hAnsi="宋体"/>
          <w:color w:val="000000"/>
          <w:sz w:val="24"/>
          <w:highlight w:val="none"/>
        </w:rPr>
      </w:r>
      <w:r/>
    </w:p>
    <w:p>
      <w:pPr>
        <w:pStyle w:val="9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0"/>
        <w:jc w:val="left"/>
        <w:keepLines w:val="0"/>
        <w:keepNext w:val="0"/>
        <w:widowControl/>
        <w:rPr>
          <w:color w:val="000000"/>
          <w:highlight w:val="none"/>
        </w:rPr>
        <w:suppressLineNumbers w:val="0"/>
      </w:pPr>
      <w:r>
        <w:rPr>
          <w:color w:val="000000"/>
          <w:highlight w:val="none"/>
        </w:rPr>
      </w:r>
      <w:r/>
    </w:p>
    <w:p>
      <w:pPr>
        <w:pStyle w:val="997"/>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r>
      <w:r/>
    </w:p>
    <w:p>
      <w:pPr>
        <w:pStyle w:val="930"/>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30"/>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30"/>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0"/>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30"/>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30"/>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30"/>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30"/>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6028"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86028" cy="301572"/>
                      </a:xfrm>
                      <a:prstGeom prst="rect">
                        <a:avLst/>
                      </a:prstGeom>
                      <a:noFill/>
                      <a:ln>
                        <a:noFill/>
                      </a:ln>
                    </wps:spPr>
                    <wps:txbx>
                      <w:txbxContent>
                        <w:p>
                          <w:pPr>
                            <w:pStyle w:val="982"/>
                            <w:tabs>
                              <w:tab w:val="clear" w:pos="4153" w:leader="none"/>
                              <w:tab w:val="clear" w:pos="8306" w:leader="none"/>
                            </w:tabs>
                            <w:rPr>
                              <w:rStyle w:val="1007"/>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３９</w:t>
                          </w:r>
                          <w:r>
                            <w:rPr>
                              <w:rFonts w:ascii="宋体" w:hAnsi="宋体"/>
                            </w:rPr>
                            <w:fldChar w:fldCharType="end"/>
                          </w:r>
                          <w:r>
                            <w:rPr>
                              <w:rStyle w:val="1007"/>
                              <w:rFonts w:ascii="宋体" w:hAnsi="宋体"/>
                            </w:rPr>
                          </w:r>
                          <w:r/>
                        </w:p>
                        <w:p>
                          <w:pPr>
                            <w:pStyle w:val="93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6pt;height:23.7pt;mso-wrap-distance-left:9.0pt;mso-wrap-distance-top:0.0pt;mso-wrap-distance-right:9.0pt;mso-wrap-distance-bottom:0.0pt;visibility:visible;" filled="f" stroked="f">
              <v:textbox inset="0,0,0,0">
                <w:txbxContent>
                  <w:p>
                    <w:pPr>
                      <w:pStyle w:val="982"/>
                      <w:tabs>
                        <w:tab w:val="clear" w:pos="4153" w:leader="none"/>
                        <w:tab w:val="clear" w:pos="8306" w:leader="none"/>
                      </w:tabs>
                      <w:rPr>
                        <w:rStyle w:val="1007"/>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３９</w:t>
                    </w:r>
                    <w:r>
                      <w:rPr>
                        <w:rFonts w:ascii="宋体" w:hAnsi="宋体"/>
                      </w:rPr>
                      <w:fldChar w:fldCharType="end"/>
                    </w:r>
                    <w:r>
                      <w:rPr>
                        <w:rStyle w:val="1007"/>
                        <w:rFonts w:ascii="宋体" w:hAnsi="宋体"/>
                      </w:rPr>
                    </w:r>
                    <w:r/>
                  </w:p>
                  <w:p>
                    <w:pPr>
                      <w:pStyle w:val="930"/>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rPr>
        <w:rStyle w:val="1007"/>
      </w:rPr>
    </w:r>
    <w:r/>
  </w:p>
  <w:p>
    <w:pPr>
      <w:pStyle w:val="9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fldChar w:fldCharType="begin"/>
                          </w:r>
                          <w:r>
                            <w:instrText xml:space="preserve"> PAGE  \* MERGEFORMAT </w:instrText>
                          </w:r>
                          <w:r>
                            <w:fldChar w:fldCharType="separate"/>
                          </w:r>
                          <w:r>
                            <w:t xml:space="preserve">1</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fldChar w:fldCharType="begin"/>
                    </w:r>
                    <w:r>
                      <w:instrText xml:space="preserve"> PAGE  \* MERGEFORMAT </w:instrText>
                    </w:r>
                    <w:r>
                      <w:fldChar w:fldCharType="separate"/>
                    </w:r>
                    <w:r>
                      <w:t xml:space="preserve">1</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3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pStyle w:val="9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9"/>
      <w:isLgl w:val="false"/>
      <w:suff w:val="tab"/>
      <w:lvlText w:val="%1."/>
      <w:lvlJc w:val="left"/>
      <w:pPr>
        <w:pStyle w:val="930"/>
        <w:ind w:left="709" w:hanging="709"/>
        <w:tabs>
          <w:tab w:val="num" w:pos="709" w:leader="none"/>
        </w:tabs>
      </w:pPr>
      <w:rPr>
        <w:rFonts w:hint="eastAsia"/>
      </w:rPr>
    </w:lvl>
    <w:lvl w:ilvl="1">
      <w:start w:val="1"/>
      <w:numFmt w:val="decimal"/>
      <w:isLgl w:val="false"/>
      <w:suff w:val="tab"/>
      <w:lvlText w:val="%1.%2"/>
      <w:lvlJc w:val="left"/>
      <w:pPr>
        <w:pStyle w:val="930"/>
        <w:ind w:left="709" w:hanging="709"/>
        <w:tabs>
          <w:tab w:val="num" w:pos="709" w:leader="none"/>
        </w:tabs>
      </w:pPr>
      <w:rPr>
        <w:rFonts w:hint="eastAsia"/>
      </w:rPr>
    </w:lvl>
    <w:lvl w:ilvl="2">
      <w:start w:val="1"/>
      <w:numFmt w:val="decimal"/>
      <w:isLgl w:val="false"/>
      <w:suff w:val="tab"/>
      <w:lvlText w:val="%1.%2.%3."/>
      <w:lvlJc w:val="left"/>
      <w:pPr>
        <w:pStyle w:val="930"/>
        <w:ind w:left="425" w:hanging="425"/>
        <w:tabs>
          <w:tab w:val="num" w:pos="425"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isLgl w:val="false"/>
      <w:suff w:val="tab"/>
      <w:lvlText w:val="%1.%2.%3.%4.%5."/>
      <w:lvlJc w:val="left"/>
      <w:pPr>
        <w:pStyle w:val="930"/>
        <w:ind w:left="992" w:hanging="992"/>
        <w:tabs>
          <w:tab w:val="num" w:pos="992" w:leader="none"/>
        </w:tabs>
      </w:pPr>
      <w:rPr>
        <w:rFonts w:hint="eastAsia"/>
      </w:rPr>
    </w:lvl>
    <w:lvl w:ilvl="5">
      <w:start w:val="1"/>
      <w:numFmt w:val="decimal"/>
      <w:isLgl w:val="false"/>
      <w:suff w:val="tab"/>
      <w:lvlText w:val="%1.%2.%3.%4.%5.%6."/>
      <w:lvlJc w:val="left"/>
      <w:pPr>
        <w:pStyle w:val="930"/>
        <w:ind w:left="1134" w:hanging="1134"/>
        <w:tabs>
          <w:tab w:val="num" w:pos="1134"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30"/>
        <w:ind w:left="0" w:firstLine="0"/>
      </w:pPr>
      <w:rPr>
        <w:rFonts w:hint="eastAsia"/>
      </w:rPr>
    </w:lvl>
    <w:lvl w:ilvl="1">
      <w:start w:val="1"/>
      <w:numFmt w:val="decimal"/>
      <w:isLgl w:val="false"/>
      <w:suff w:val="nothing"/>
      <w:lvlText w:val="%2、"/>
      <w:lvlJc w:val="left"/>
      <w:pPr>
        <w:pStyle w:val="930"/>
        <w:ind w:left="0" w:firstLine="0"/>
      </w:pPr>
      <w:rPr>
        <w:rFonts w:hint="eastAsia"/>
      </w:rPr>
    </w:lvl>
    <w:lvl w:ilvl="2">
      <w:start w:val="1"/>
      <w:numFmt w:val="decimal"/>
      <w:isLgl w:val="false"/>
      <w:suff w:val="nothing"/>
      <w:lvlText w:val="%2.%3 "/>
      <w:lvlJc w:val="left"/>
      <w:pPr>
        <w:pStyle w:val="930"/>
        <w:ind w:left="0" w:firstLine="0"/>
      </w:pPr>
      <w:rPr>
        <w:rFonts w:hint="eastAsia"/>
      </w:rPr>
    </w:lvl>
    <w:lvl w:ilvl="3">
      <w:start w:val="1"/>
      <w:numFmt w:val="decimal"/>
      <w:isLgl w:val="false"/>
      <w:suff w:val="nothing"/>
      <w:lvlText w:val="%2.%3.%4 "/>
      <w:lvlJc w:val="left"/>
      <w:pPr>
        <w:pStyle w:val="930"/>
        <w:ind w:left="0" w:firstLine="0"/>
      </w:pPr>
      <w:rPr>
        <w:rFonts w:hint="eastAsia"/>
      </w:rPr>
    </w:lvl>
    <w:lvl w:ilvl="4">
      <w:start w:val="1"/>
      <w:numFmt w:val="decimal"/>
      <w:isLgl w:val="false"/>
      <w:suff w:val="nothing"/>
      <w:lvlText w:val="%2.%3.%4.%5 "/>
      <w:lvlJc w:val="left"/>
      <w:pPr>
        <w:pStyle w:val="930"/>
        <w:ind w:left="0" w:firstLine="0"/>
      </w:pPr>
      <w:rPr>
        <w:rFonts w:hint="eastAsia"/>
      </w:rPr>
    </w:lvl>
    <w:lvl w:ilvl="5">
      <w:start w:val="1"/>
      <w:numFmt w:val="decimal"/>
      <w:pStyle w:val="936"/>
      <w:isLgl w:val="false"/>
      <w:suff w:val="nothing"/>
      <w:lvlText w:val=""/>
      <w:lvlJc w:val="left"/>
      <w:pPr>
        <w:pStyle w:val="930"/>
        <w:ind w:left="0" w:firstLine="0"/>
      </w:pPr>
      <w:rPr>
        <w:rFonts w:hint="eastAsia"/>
      </w:rPr>
    </w:lvl>
    <w:lvl w:ilvl="6">
      <w:start w:val="1"/>
      <w:numFmt w:val="decimal"/>
      <w:pStyle w:val="937"/>
      <w:isLgl w:val="false"/>
      <w:suff w:val="nothing"/>
      <w:lvlText w:val=""/>
      <w:lvlJc w:val="left"/>
      <w:pPr>
        <w:pStyle w:val="930"/>
        <w:ind w:left="0" w:firstLine="0"/>
      </w:pPr>
      <w:rPr>
        <w:rFonts w:hint="eastAsia"/>
      </w:rPr>
    </w:lvl>
    <w:lvl w:ilvl="7">
      <w:start w:val="1"/>
      <w:numFmt w:val="decimal"/>
      <w:pStyle w:val="938"/>
      <w:isLgl w:val="false"/>
      <w:suff w:val="nothing"/>
      <w:lvlText w:val=""/>
      <w:lvlJc w:val="left"/>
      <w:pPr>
        <w:pStyle w:val="930"/>
        <w:ind w:left="0" w:firstLine="0"/>
      </w:pPr>
      <w:rPr>
        <w:rFonts w:hint="eastAsia"/>
      </w:rPr>
    </w:lvl>
    <w:lvl w:ilvl="8">
      <w:start w:val="1"/>
      <w:numFmt w:val="decimal"/>
      <w:pStyle w:val="939"/>
      <w:isLgl w:val="false"/>
      <w:suff w:val="nothing"/>
      <w:lvlText w:val=""/>
      <w:lvlJc w:val="left"/>
      <w:pPr>
        <w:pStyle w:val="930"/>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2"/>
    <w:link w:val="930"/>
    <w:qFormat/>
    <w:pPr>
      <w:jc w:val="both"/>
      <w:widowControl w:val="off"/>
    </w:pPr>
    <w:rPr>
      <w:sz w:val="21"/>
      <w:szCs w:val="22"/>
      <w:lang w:val="en-US" w:eastAsia="zh-CN" w:bidi="ar-SA"/>
    </w:rPr>
  </w:style>
  <w:style w:type="paragraph" w:styleId="931">
    <w:name w:val="标题 1"/>
    <w:basedOn w:val="930"/>
    <w:next w:val="930"/>
    <w:link w:val="945"/>
    <w:qFormat/>
    <w:pPr>
      <w:jc w:val="center"/>
      <w:keepNext/>
      <w:outlineLvl w:val="0"/>
    </w:pPr>
    <w:rPr>
      <w:rFonts w:ascii="楷体_GB2312" w:hAnsi="Times New Roman" w:eastAsia="楷体_GB2312" w:cs="Times New Roman"/>
      <w:sz w:val="28"/>
      <w:szCs w:val="28"/>
    </w:rPr>
  </w:style>
  <w:style w:type="paragraph" w:styleId="932">
    <w:name w:val="标题 2"/>
    <w:basedOn w:val="930"/>
    <w:next w:val="947"/>
    <w:link w:val="946"/>
    <w:qFormat/>
    <w:pPr>
      <w:jc w:val="center"/>
      <w:keepLines/>
      <w:keepNext/>
      <w:spacing w:before="260" w:after="260" w:line="416" w:lineRule="auto"/>
      <w:outlineLvl w:val="1"/>
    </w:pPr>
    <w:rPr>
      <w:rFonts w:ascii="Arial" w:hAnsi="Arial" w:eastAsia="幼圆" w:cs="Arial"/>
      <w:b/>
      <w:bCs/>
      <w:sz w:val="44"/>
      <w:szCs w:val="44"/>
    </w:rPr>
  </w:style>
  <w:style w:type="paragraph" w:styleId="933">
    <w:name w:val="标题 3"/>
    <w:basedOn w:val="930"/>
    <w:next w:val="947"/>
    <w:link w:val="94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4">
    <w:name w:val="标题 4"/>
    <w:basedOn w:val="930"/>
    <w:next w:val="947"/>
    <w:link w:val="950"/>
    <w:qFormat/>
    <w:pPr>
      <w:keepLines/>
      <w:keepNext/>
      <w:spacing w:before="280" w:after="290" w:line="376" w:lineRule="auto"/>
      <w:outlineLvl w:val="3"/>
    </w:pPr>
    <w:rPr>
      <w:rFonts w:ascii="Arial" w:hAnsi="Arial" w:eastAsia="黑体" w:cs="Arial"/>
      <w:b/>
      <w:bCs/>
      <w:sz w:val="28"/>
      <w:szCs w:val="28"/>
    </w:rPr>
  </w:style>
  <w:style w:type="paragraph" w:styleId="935">
    <w:name w:val="标题 5"/>
    <w:basedOn w:val="930"/>
    <w:next w:val="947"/>
    <w:link w:val="951"/>
    <w:qFormat/>
    <w:pPr>
      <w:keepNext/>
      <w:outlineLvl w:val="4"/>
    </w:pPr>
    <w:rPr>
      <w:rFonts w:ascii="宋体" w:hAnsi="Times New Roman" w:eastAsia="宋体" w:cs="Times New Roman"/>
      <w:color w:val="000000"/>
      <w:sz w:val="28"/>
      <w:szCs w:val="28"/>
    </w:rPr>
  </w:style>
  <w:style w:type="paragraph" w:styleId="936">
    <w:name w:val="标题 6"/>
    <w:basedOn w:val="930"/>
    <w:next w:val="930"/>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7">
    <w:name w:val="标题 7"/>
    <w:basedOn w:val="930"/>
    <w:next w:val="930"/>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8">
    <w:name w:val="标题 8"/>
    <w:basedOn w:val="930"/>
    <w:next w:val="930"/>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9">
    <w:name w:val="标题 9"/>
    <w:basedOn w:val="930"/>
    <w:next w:val="930"/>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40">
    <w:name w:val="默认段落字体"/>
    <w:next w:val="940"/>
    <w:link w:val="930"/>
    <w:uiPriority w:val="1"/>
    <w:unhideWhenUsed/>
  </w:style>
  <w:style w:type="table" w:styleId="941">
    <w:name w:val="普通表格"/>
    <w:next w:val="941"/>
    <w:link w:val="930"/>
    <w:uiPriority w:val="99"/>
    <w:unhideWhenUsed/>
    <w:tblPr/>
  </w:style>
  <w:style w:type="paragraph" w:styleId="942">
    <w:name w:val="正文首行缩进 212"/>
    <w:basedOn w:val="943"/>
    <w:next w:val="930"/>
    <w:link w:val="930"/>
    <w:qFormat/>
    <w:pPr>
      <w:ind w:left="0" w:firstLine="420"/>
      <w:spacing w:after="0" w:line="360" w:lineRule="auto"/>
    </w:pPr>
    <w:rPr>
      <w:rFonts w:ascii="宋体" w:hAnsi="宋体" w:eastAsia="宋体" w:cs="Times New Roman"/>
      <w:szCs w:val="20"/>
    </w:rPr>
  </w:style>
  <w:style w:type="paragraph" w:styleId="943">
    <w:name w:val="正文文本缩进12"/>
    <w:basedOn w:val="930"/>
    <w:next w:val="944"/>
    <w:link w:val="930"/>
    <w:unhideWhenUsed/>
    <w:qFormat/>
    <w:pPr>
      <w:ind w:left="420"/>
      <w:spacing w:after="120"/>
    </w:pPr>
  </w:style>
  <w:style w:type="paragraph" w:styleId="944">
    <w:name w:val="寄信人地址11"/>
    <w:basedOn w:val="930"/>
    <w:next w:val="944"/>
    <w:link w:val="930"/>
    <w:qFormat/>
    <w:rPr>
      <w:rFonts w:ascii="Arial" w:hAnsi="Arial" w:eastAsia="宋体" w:cs="宋体"/>
    </w:rPr>
  </w:style>
  <w:style w:type="character" w:styleId="945">
    <w:name w:val="标题 1 Char"/>
    <w:next w:val="945"/>
    <w:link w:val="931"/>
    <w:rPr>
      <w:rFonts w:ascii="楷体_GB2312" w:hAnsi="Times New Roman" w:eastAsia="楷体_GB2312" w:cs="Times New Roman"/>
      <w:sz w:val="28"/>
      <w:szCs w:val="28"/>
    </w:rPr>
  </w:style>
  <w:style w:type="character" w:styleId="946">
    <w:name w:val="标题 2 Char"/>
    <w:next w:val="946"/>
    <w:link w:val="932"/>
    <w:rPr>
      <w:rFonts w:ascii="Arial" w:hAnsi="Arial" w:eastAsia="幼圆" w:cs="Arial"/>
      <w:b/>
      <w:bCs/>
      <w:sz w:val="44"/>
      <w:szCs w:val="44"/>
    </w:rPr>
  </w:style>
  <w:style w:type="paragraph" w:styleId="947">
    <w:name w:val="正文缩进"/>
    <w:basedOn w:val="930"/>
    <w:next w:val="947"/>
    <w:link w:val="948"/>
    <w:pPr>
      <w:ind w:firstLine="420"/>
    </w:pPr>
    <w:rPr>
      <w:szCs w:val="21"/>
    </w:rPr>
  </w:style>
  <w:style w:type="character" w:styleId="948">
    <w:name w:val="正文缩进 Char"/>
    <w:next w:val="948"/>
    <w:link w:val="947"/>
    <w:rPr>
      <w:szCs w:val="21"/>
    </w:rPr>
  </w:style>
  <w:style w:type="character" w:styleId="949">
    <w:name w:val="标题 3 Char"/>
    <w:next w:val="949"/>
    <w:link w:val="933"/>
    <w:rPr>
      <w:rFonts w:ascii="Times New Roman" w:hAnsi="Times New Roman" w:eastAsia="宋体" w:cs="Times New Roman"/>
      <w:b/>
      <w:bCs/>
      <w:sz w:val="32"/>
      <w:szCs w:val="32"/>
    </w:rPr>
  </w:style>
  <w:style w:type="character" w:styleId="950">
    <w:name w:val="标题 4 Char"/>
    <w:next w:val="950"/>
    <w:link w:val="934"/>
    <w:rPr>
      <w:rFonts w:ascii="Arial" w:hAnsi="Arial" w:eastAsia="黑体" w:cs="Arial"/>
      <w:b/>
      <w:bCs/>
      <w:sz w:val="28"/>
      <w:szCs w:val="28"/>
    </w:rPr>
  </w:style>
  <w:style w:type="character" w:styleId="951">
    <w:name w:val="标题 5 Char"/>
    <w:next w:val="951"/>
    <w:link w:val="935"/>
    <w:rPr>
      <w:rFonts w:ascii="宋体" w:hAnsi="Times New Roman" w:eastAsia="宋体" w:cs="Times New Roman"/>
      <w:color w:val="000000"/>
      <w:sz w:val="28"/>
      <w:szCs w:val="28"/>
    </w:rPr>
  </w:style>
  <w:style w:type="character" w:styleId="952">
    <w:name w:val="标题 6 Char"/>
    <w:next w:val="952"/>
    <w:link w:val="936"/>
    <w:rPr>
      <w:rFonts w:ascii="Arial" w:hAnsi="Arial" w:eastAsia="黑体" w:cs="Times New Roman"/>
      <w:b/>
      <w:bCs/>
      <w:sz w:val="24"/>
      <w:szCs w:val="24"/>
    </w:rPr>
  </w:style>
  <w:style w:type="character" w:styleId="953">
    <w:name w:val="标题 7 Char"/>
    <w:next w:val="953"/>
    <w:link w:val="937"/>
    <w:rPr>
      <w:rFonts w:ascii="Times New Roman" w:hAnsi="Times New Roman" w:eastAsia="宋体" w:cs="Times New Roman"/>
      <w:b/>
      <w:bCs/>
      <w:sz w:val="24"/>
      <w:szCs w:val="24"/>
    </w:rPr>
  </w:style>
  <w:style w:type="character" w:styleId="954">
    <w:name w:val="标题 8 Char"/>
    <w:next w:val="954"/>
    <w:link w:val="938"/>
    <w:rPr>
      <w:rFonts w:ascii="Arial" w:hAnsi="Arial" w:eastAsia="黑体" w:cs="Times New Roman"/>
      <w:sz w:val="24"/>
      <w:szCs w:val="24"/>
    </w:rPr>
  </w:style>
  <w:style w:type="character" w:styleId="955">
    <w:name w:val="标题 9 Char"/>
    <w:next w:val="955"/>
    <w:link w:val="939"/>
    <w:rPr>
      <w:rFonts w:ascii="Arial" w:hAnsi="Arial" w:eastAsia="黑体" w:cs="Times New Roman"/>
      <w:szCs w:val="21"/>
    </w:rPr>
  </w:style>
  <w:style w:type="paragraph" w:styleId="956">
    <w:name w:val="列表 3"/>
    <w:basedOn w:val="930"/>
    <w:next w:val="956"/>
    <w:link w:val="930"/>
    <w:pPr>
      <w:ind w:left="100" w:hanging="200"/>
    </w:pPr>
    <w:rPr>
      <w:rFonts w:ascii="Times New Roman" w:hAnsi="Times New Roman" w:eastAsia="宋体" w:cs="Times New Roman"/>
      <w:szCs w:val="21"/>
    </w:rPr>
  </w:style>
  <w:style w:type="paragraph" w:styleId="957">
    <w:name w:val="目录 7"/>
    <w:basedOn w:val="930"/>
    <w:next w:val="930"/>
    <w:link w:val="930"/>
    <w:semiHidden/>
    <w:pPr>
      <w:ind w:left="1260"/>
      <w:jc w:val="left"/>
    </w:pPr>
    <w:rPr>
      <w:rFonts w:ascii="Times New Roman" w:hAnsi="Times New Roman" w:eastAsia="宋体" w:cs="Times New Roman"/>
      <w:szCs w:val="21"/>
    </w:rPr>
  </w:style>
  <w:style w:type="paragraph" w:styleId="958">
    <w:name w:val="文档结构图"/>
    <w:basedOn w:val="930"/>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30"/>
    <w:next w:val="960"/>
    <w:link w:val="961"/>
    <w:unhideWhenUsed/>
    <w:pPr>
      <w:jc w:val="left"/>
    </w:pPr>
  </w:style>
  <w:style w:type="character" w:styleId="961">
    <w:name w:val="批注文字 Char"/>
    <w:basedOn w:val="940"/>
    <w:next w:val="961"/>
    <w:link w:val="960"/>
    <w:uiPriority w:val="99"/>
    <w:semiHidden/>
  </w:style>
  <w:style w:type="paragraph" w:styleId="962">
    <w:name w:val="正文文本 3"/>
    <w:basedOn w:val="930"/>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30"/>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正文文本缩进"/>
    <w:basedOn w:val="930"/>
    <w:next w:val="968"/>
    <w:link w:val="967"/>
    <w:unhideWhenUsed/>
    <w:pPr>
      <w:ind w:left="420"/>
      <w:spacing w:after="120"/>
    </w:pPr>
  </w:style>
  <w:style w:type="character" w:styleId="967">
    <w:name w:val="正文文本缩进 Char"/>
    <w:basedOn w:val="940"/>
    <w:next w:val="967"/>
    <w:link w:val="966"/>
    <w:uiPriority w:val="99"/>
    <w:semiHidden/>
  </w:style>
  <w:style w:type="paragraph" w:styleId="968">
    <w:name w:val="寄信人地址"/>
    <w:basedOn w:val="930"/>
    <w:next w:val="968"/>
    <w:link w:val="930"/>
    <w:qFormat/>
    <w:rPr>
      <w:rFonts w:ascii="Arial" w:hAnsi="Arial" w:eastAsia="宋体" w:cs="宋体"/>
    </w:rPr>
  </w:style>
  <w:style w:type="paragraph" w:styleId="969">
    <w:name w:val="列表 2"/>
    <w:basedOn w:val="930"/>
    <w:next w:val="969"/>
    <w:link w:val="930"/>
    <w:pPr>
      <w:ind w:left="100" w:hanging="200"/>
    </w:pPr>
    <w:rPr>
      <w:rFonts w:ascii="Times New Roman" w:hAnsi="Times New Roman" w:eastAsia="宋体" w:cs="Times New Roman"/>
      <w:szCs w:val="21"/>
    </w:rPr>
  </w:style>
  <w:style w:type="paragraph" w:styleId="970">
    <w:name w:val="索引 4"/>
    <w:basedOn w:val="930"/>
    <w:next w:val="930"/>
    <w:link w:val="930"/>
    <w:semiHidden/>
    <w:qFormat/>
    <w:pPr>
      <w:ind w:left="1260"/>
    </w:pPr>
    <w:rPr>
      <w:rFonts w:ascii="Calibri" w:hAnsi="Calibri" w:eastAsia="Calibri" w:cs="宋体"/>
      <w:sz w:val="20"/>
      <w:lang w:val="zh-CN"/>
    </w:rPr>
  </w:style>
  <w:style w:type="paragraph" w:styleId="971">
    <w:name w:val="目录 5"/>
    <w:basedOn w:val="930"/>
    <w:next w:val="930"/>
    <w:link w:val="930"/>
    <w:semiHidden/>
    <w:pPr>
      <w:ind w:left="840"/>
      <w:jc w:val="left"/>
    </w:pPr>
    <w:rPr>
      <w:rFonts w:ascii="Times New Roman" w:hAnsi="Times New Roman" w:eastAsia="宋体" w:cs="Times New Roman"/>
      <w:szCs w:val="21"/>
    </w:rPr>
  </w:style>
  <w:style w:type="paragraph" w:styleId="972">
    <w:name w:val="目录 3"/>
    <w:basedOn w:val="930"/>
    <w:next w:val="930"/>
    <w:link w:val="930"/>
    <w:semiHidden/>
    <w:pPr>
      <w:ind w:left="420"/>
      <w:jc w:val="left"/>
    </w:pPr>
    <w:rPr>
      <w:rFonts w:ascii="Times New Roman" w:hAnsi="Times New Roman" w:eastAsia="宋体" w:cs="Times New Roman"/>
      <w:i/>
      <w:iCs/>
      <w:szCs w:val="24"/>
    </w:rPr>
  </w:style>
  <w:style w:type="paragraph" w:styleId="973">
    <w:name w:val="纯文本"/>
    <w:basedOn w:val="930"/>
    <w:next w:val="973"/>
    <w:link w:val="974"/>
    <w:rPr>
      <w:rFonts w:ascii="宋体" w:hAnsi="Courier New" w:eastAsia="宋体" w:cs="Courier New"/>
      <w:szCs w:val="21"/>
    </w:rPr>
  </w:style>
  <w:style w:type="character" w:styleId="974">
    <w:name w:val="纯文本 Char"/>
    <w:next w:val="974"/>
    <w:link w:val="973"/>
    <w:rPr>
      <w:rFonts w:ascii="宋体" w:hAnsi="Courier New" w:eastAsia="宋体" w:cs="Courier New"/>
      <w:szCs w:val="21"/>
    </w:rPr>
  </w:style>
  <w:style w:type="paragraph" w:styleId="975">
    <w:name w:val="目录 8"/>
    <w:basedOn w:val="930"/>
    <w:next w:val="930"/>
    <w:link w:val="930"/>
    <w:semiHidden/>
    <w:pPr>
      <w:ind w:left="1470"/>
      <w:jc w:val="left"/>
    </w:pPr>
    <w:rPr>
      <w:rFonts w:ascii="Times New Roman" w:hAnsi="Times New Roman" w:eastAsia="宋体" w:cs="Times New Roman"/>
      <w:szCs w:val="21"/>
    </w:rPr>
  </w:style>
  <w:style w:type="paragraph" w:styleId="976">
    <w:name w:val="日期"/>
    <w:basedOn w:val="930"/>
    <w:next w:val="930"/>
    <w:link w:val="977"/>
    <w:rPr>
      <w:rFonts w:ascii="Times New Roman" w:hAnsi="Times New Roman" w:eastAsia="宋体" w:cs="Times New Roman"/>
      <w:sz w:val="24"/>
      <w:szCs w:val="24"/>
    </w:rPr>
  </w:style>
  <w:style w:type="character" w:styleId="977">
    <w:name w:val="日期 Char"/>
    <w:next w:val="977"/>
    <w:link w:val="976"/>
    <w:rPr>
      <w:rFonts w:ascii="Times New Roman" w:hAnsi="Times New Roman" w:eastAsia="宋体" w:cs="Times New Roman"/>
      <w:sz w:val="24"/>
      <w:szCs w:val="24"/>
    </w:rPr>
  </w:style>
  <w:style w:type="paragraph" w:styleId="978">
    <w:name w:val="正文文本缩进 2"/>
    <w:basedOn w:val="930"/>
    <w:next w:val="978"/>
    <w:link w:val="979"/>
    <w:pPr>
      <w:ind w:left="630" w:firstLine="645"/>
    </w:pPr>
    <w:rPr>
      <w:rFonts w:ascii="Arial" w:hAnsi="Arial" w:eastAsia="仿宋_GB2312" w:cs="Arial"/>
      <w:sz w:val="32"/>
      <w:szCs w:val="32"/>
    </w:rPr>
  </w:style>
  <w:style w:type="character" w:styleId="979">
    <w:name w:val="正文文本缩进 2 Char"/>
    <w:next w:val="979"/>
    <w:link w:val="978"/>
    <w:rPr>
      <w:rFonts w:ascii="Arial" w:hAnsi="Arial" w:eastAsia="仿宋_GB2312" w:cs="Arial"/>
      <w:sz w:val="32"/>
      <w:szCs w:val="32"/>
    </w:rPr>
  </w:style>
  <w:style w:type="paragraph" w:styleId="980">
    <w:name w:val="批注框文本"/>
    <w:basedOn w:val="930"/>
    <w:next w:val="980"/>
    <w:link w:val="981"/>
    <w:semiHidden/>
    <w:rPr>
      <w:rFonts w:ascii="Times New Roman" w:hAnsi="Times New Roman" w:eastAsia="宋体" w:cs="Times New Roman"/>
      <w:sz w:val="18"/>
      <w:szCs w:val="18"/>
    </w:rPr>
  </w:style>
  <w:style w:type="character" w:styleId="981">
    <w:name w:val="批注框文本 Char"/>
    <w:next w:val="981"/>
    <w:link w:val="980"/>
    <w:semiHidden/>
    <w:rPr>
      <w:rFonts w:ascii="Times New Roman" w:hAnsi="Times New Roman" w:eastAsia="宋体" w:cs="Times New Roman"/>
      <w:sz w:val="18"/>
      <w:szCs w:val="18"/>
    </w:rPr>
  </w:style>
  <w:style w:type="paragraph" w:styleId="982">
    <w:name w:val="页脚"/>
    <w:basedOn w:val="930"/>
    <w:next w:val="982"/>
    <w:link w:val="983"/>
    <w:pPr>
      <w:jc w:val="left"/>
      <w:tabs>
        <w:tab w:val="center" w:pos="4153" w:leader="none"/>
        <w:tab w:val="right" w:pos="8306" w:leader="none"/>
      </w:tabs>
    </w:pPr>
    <w:rPr>
      <w:rFonts w:ascii="Times New Roman" w:hAnsi="Times New Roman" w:eastAsia="宋体" w:cs="Times New Roman"/>
      <w:sz w:val="18"/>
      <w:szCs w:val="18"/>
    </w:rPr>
  </w:style>
  <w:style w:type="character" w:styleId="983">
    <w:name w:val="页脚 Char"/>
    <w:next w:val="983"/>
    <w:link w:val="982"/>
    <w:rPr>
      <w:rFonts w:ascii="Times New Roman" w:hAnsi="Times New Roman" w:eastAsia="宋体" w:cs="Times New Roman"/>
      <w:sz w:val="18"/>
      <w:szCs w:val="18"/>
    </w:rPr>
  </w:style>
  <w:style w:type="paragraph" w:styleId="984">
    <w:name w:val="页眉"/>
    <w:basedOn w:val="930"/>
    <w:next w:val="984"/>
    <w:link w:val="98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5">
    <w:name w:val="页眉 Char"/>
    <w:next w:val="985"/>
    <w:link w:val="984"/>
    <w:rPr>
      <w:rFonts w:ascii="Times New Roman" w:hAnsi="Times New Roman" w:eastAsia="宋体" w:cs="Times New Roman"/>
      <w:sz w:val="18"/>
      <w:szCs w:val="18"/>
    </w:rPr>
  </w:style>
  <w:style w:type="paragraph" w:styleId="986">
    <w:name w:val="目录 1"/>
    <w:basedOn w:val="930"/>
    <w:next w:val="930"/>
    <w:link w:val="9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7">
    <w:name w:val="目录 4"/>
    <w:basedOn w:val="930"/>
    <w:next w:val="930"/>
    <w:link w:val="930"/>
    <w:semiHidden/>
    <w:pPr>
      <w:ind w:left="630"/>
      <w:jc w:val="left"/>
    </w:pPr>
    <w:rPr>
      <w:rFonts w:ascii="Times New Roman" w:hAnsi="Times New Roman" w:eastAsia="宋体" w:cs="Times New Roman"/>
      <w:szCs w:val="21"/>
    </w:rPr>
  </w:style>
  <w:style w:type="paragraph" w:styleId="988">
    <w:name w:val="列表"/>
    <w:basedOn w:val="930"/>
    <w:next w:val="988"/>
    <w:link w:val="930"/>
    <w:pPr>
      <w:ind w:left="200" w:hanging="200"/>
    </w:pPr>
    <w:rPr>
      <w:rFonts w:ascii="Times New Roman" w:hAnsi="Times New Roman" w:eastAsia="宋体" w:cs="Times New Roman"/>
      <w:szCs w:val="21"/>
    </w:rPr>
  </w:style>
  <w:style w:type="paragraph" w:styleId="989">
    <w:name w:val="目录 6"/>
    <w:basedOn w:val="930"/>
    <w:next w:val="930"/>
    <w:link w:val="930"/>
    <w:semiHidden/>
    <w:pPr>
      <w:ind w:left="1050"/>
      <w:jc w:val="left"/>
    </w:pPr>
    <w:rPr>
      <w:rFonts w:ascii="Times New Roman" w:hAnsi="Times New Roman" w:eastAsia="宋体" w:cs="Times New Roman"/>
      <w:szCs w:val="21"/>
    </w:rPr>
  </w:style>
  <w:style w:type="paragraph" w:styleId="990">
    <w:name w:val="正文文本缩进 3"/>
    <w:basedOn w:val="930"/>
    <w:next w:val="990"/>
    <w:link w:val="991"/>
    <w:pPr>
      <w:ind w:left="645" w:firstLine="645"/>
    </w:pPr>
    <w:rPr>
      <w:rFonts w:ascii="Arial" w:hAnsi="Arial" w:eastAsia="仿宋_GB2312" w:cs="Arial"/>
      <w:color w:val="ffff00"/>
      <w:sz w:val="32"/>
      <w:szCs w:val="32"/>
    </w:rPr>
  </w:style>
  <w:style w:type="character" w:styleId="991">
    <w:name w:val="正文文本缩进 3 Char"/>
    <w:next w:val="991"/>
    <w:link w:val="990"/>
    <w:rPr>
      <w:rFonts w:ascii="Arial" w:hAnsi="Arial" w:eastAsia="仿宋_GB2312" w:cs="Arial"/>
      <w:color w:val="ffff00"/>
      <w:sz w:val="32"/>
      <w:szCs w:val="32"/>
    </w:rPr>
  </w:style>
  <w:style w:type="paragraph" w:styleId="992">
    <w:name w:val="图表目录"/>
    <w:basedOn w:val="930"/>
    <w:next w:val="930"/>
    <w:link w:val="930"/>
    <w:semiHidden/>
    <w:pPr>
      <w:ind w:left="840" w:hanging="420"/>
    </w:pPr>
    <w:rPr>
      <w:rFonts w:ascii="Times New Roman" w:hAnsi="Times New Roman" w:eastAsia="宋体" w:cs="Times New Roman"/>
      <w:szCs w:val="21"/>
    </w:rPr>
  </w:style>
  <w:style w:type="paragraph" w:styleId="993">
    <w:name w:val="目录 2"/>
    <w:basedOn w:val="930"/>
    <w:next w:val="930"/>
    <w:link w:val="930"/>
    <w:semiHidden/>
    <w:pPr>
      <w:ind w:left="210"/>
      <w:jc w:val="left"/>
    </w:pPr>
    <w:rPr>
      <w:rFonts w:ascii="Times New Roman" w:hAnsi="Times New Roman" w:eastAsia="宋体" w:cs="Times New Roman"/>
      <w:smallCaps/>
      <w:szCs w:val="24"/>
    </w:rPr>
  </w:style>
  <w:style w:type="paragraph" w:styleId="994">
    <w:name w:val="目录 9"/>
    <w:basedOn w:val="930"/>
    <w:next w:val="930"/>
    <w:link w:val="930"/>
    <w:semiHidden/>
    <w:pPr>
      <w:ind w:left="1680"/>
      <w:jc w:val="left"/>
    </w:pPr>
    <w:rPr>
      <w:rFonts w:ascii="Times New Roman" w:hAnsi="Times New Roman" w:eastAsia="宋体" w:cs="Times New Roman"/>
      <w:szCs w:val="21"/>
    </w:rPr>
  </w:style>
  <w:style w:type="paragraph" w:styleId="995">
    <w:name w:val="正文文本 2"/>
    <w:basedOn w:val="930"/>
    <w:next w:val="995"/>
    <w:link w:val="996"/>
    <w:pPr>
      <w:jc w:val="center"/>
      <w:widowControl/>
    </w:pPr>
    <w:rPr>
      <w:rFonts w:ascii="楷体_GB2312" w:hAnsi="Times New Roman" w:eastAsia="楷体_GB2312" w:cs="Times New Roman"/>
      <w:sz w:val="28"/>
      <w:szCs w:val="28"/>
    </w:rPr>
  </w:style>
  <w:style w:type="character" w:styleId="996">
    <w:name w:val="正文文本 2 Char"/>
    <w:next w:val="996"/>
    <w:link w:val="995"/>
    <w:rPr>
      <w:rFonts w:ascii="楷体_GB2312" w:hAnsi="Times New Roman" w:eastAsia="楷体_GB2312" w:cs="Times New Roman"/>
      <w:sz w:val="28"/>
      <w:szCs w:val="28"/>
    </w:rPr>
  </w:style>
  <w:style w:type="paragraph" w:styleId="997">
    <w:name w:val="普通(网站)"/>
    <w:basedOn w:val="930"/>
    <w:next w:val="997"/>
    <w:link w:val="930"/>
    <w:uiPriority w:val="99"/>
    <w:pPr>
      <w:jc w:val="left"/>
      <w:spacing w:before="100" w:beforeAutospacing="1" w:after="100" w:afterAutospacing="1"/>
      <w:widowControl/>
    </w:pPr>
    <w:rPr>
      <w:rFonts w:ascii="宋体" w:hAnsi="宋体" w:eastAsia="宋体" w:cs="宋体"/>
      <w:sz w:val="24"/>
      <w:szCs w:val="24"/>
    </w:rPr>
  </w:style>
  <w:style w:type="paragraph" w:styleId="998">
    <w:name w:val="索引 1"/>
    <w:basedOn w:val="930"/>
    <w:next w:val="930"/>
    <w:link w:val="930"/>
    <w:semiHidden/>
    <w:pPr>
      <w:spacing w:line="240" w:lineRule="atLeast"/>
    </w:pPr>
    <w:rPr>
      <w:rFonts w:ascii="Times New Roman" w:hAnsi="Times New Roman" w:eastAsia="宋体" w:cs="Times New Roman"/>
      <w:b/>
      <w:bCs/>
      <w:szCs w:val="21"/>
    </w:rPr>
  </w:style>
  <w:style w:type="paragraph" w:styleId="999">
    <w:name w:val="批注主题"/>
    <w:basedOn w:val="960"/>
    <w:next w:val="960"/>
    <w:link w:val="1000"/>
    <w:semiHidden/>
    <w:rPr>
      <w:rFonts w:ascii="Times New Roman" w:hAnsi="Times New Roman" w:eastAsia="宋体" w:cs="Times New Roman"/>
      <w:b/>
      <w:bCs/>
      <w:szCs w:val="21"/>
    </w:rPr>
  </w:style>
  <w:style w:type="character" w:styleId="1000">
    <w:name w:val="批注主题 Char"/>
    <w:next w:val="1000"/>
    <w:link w:val="999"/>
    <w:semiHidden/>
    <w:rPr>
      <w:rFonts w:ascii="Times New Roman" w:hAnsi="Times New Roman" w:eastAsia="宋体" w:cs="Times New Roman"/>
      <w:b/>
      <w:bCs/>
      <w:szCs w:val="21"/>
    </w:rPr>
  </w:style>
  <w:style w:type="paragraph" w:styleId="1001">
    <w:name w:val="正文首行缩进"/>
    <w:basedOn w:val="930"/>
    <w:next w:val="1001"/>
    <w:link w:val="1002"/>
    <w:pPr>
      <w:ind w:firstLine="200"/>
      <w:spacing w:line="360" w:lineRule="auto"/>
    </w:pPr>
    <w:rPr>
      <w:rFonts w:ascii="仿宋_GB2312" w:hAnsi="Times New Roman" w:eastAsia="仿宋_GB2312" w:cs="Times New Roman"/>
      <w:sz w:val="30"/>
      <w:szCs w:val="30"/>
    </w:rPr>
  </w:style>
  <w:style w:type="character" w:styleId="1002">
    <w:name w:val="正文首行缩进 Char"/>
    <w:next w:val="1002"/>
    <w:link w:val="1001"/>
    <w:rPr>
      <w:rFonts w:ascii="仿宋_GB2312" w:hAnsi="Times New Roman" w:eastAsia="仿宋_GB2312" w:cs="Times New Roman"/>
      <w:sz w:val="30"/>
      <w:szCs w:val="30"/>
    </w:rPr>
  </w:style>
  <w:style w:type="paragraph" w:styleId="1003">
    <w:name w:val="正文首行缩进 2"/>
    <w:basedOn w:val="966"/>
    <w:next w:val="930"/>
    <w:link w:val="1004"/>
    <w:pPr>
      <w:ind w:left="0" w:firstLine="420"/>
      <w:spacing w:after="0" w:line="360" w:lineRule="auto"/>
    </w:pPr>
    <w:rPr>
      <w:rFonts w:ascii="宋体" w:hAnsi="宋体" w:eastAsia="宋体" w:cs="Times New Roman"/>
      <w:szCs w:val="20"/>
    </w:rPr>
  </w:style>
  <w:style w:type="character" w:styleId="1004">
    <w:name w:val="正文首行缩进 2 Char"/>
    <w:next w:val="1004"/>
    <w:link w:val="1003"/>
    <w:rPr>
      <w:rFonts w:ascii="宋体" w:hAnsi="宋体" w:eastAsia="宋体" w:cs="Times New Roman"/>
      <w:szCs w:val="20"/>
    </w:rPr>
  </w:style>
  <w:style w:type="table" w:styleId="1005">
    <w:name w:val="网格型"/>
    <w:basedOn w:val="941"/>
    <w:next w:val="1005"/>
    <w:link w:val="930"/>
    <w:pPr>
      <w:jc w:val="both"/>
      <w:widowControl w:val="off"/>
    </w:pPr>
    <w:rPr>
      <w:rFonts w:ascii="Times New Roman" w:hAnsi="Times New Roman" w:eastAsia="宋体" w:cs="Times New Roman"/>
      <w:sz w:val="20"/>
      <w:szCs w:val="20"/>
    </w:rPr>
    <w:tblPr/>
  </w:style>
  <w:style w:type="character" w:styleId="1006">
    <w:name w:val="要点"/>
    <w:next w:val="1006"/>
    <w:link w:val="930"/>
    <w:qFormat/>
    <w:rPr>
      <w:b/>
      <w:bCs/>
    </w:rPr>
  </w:style>
  <w:style w:type="character" w:styleId="1007">
    <w:name w:val="页码"/>
    <w:next w:val="1007"/>
    <w:link w:val="930"/>
  </w:style>
  <w:style w:type="character" w:styleId="1008">
    <w:name w:val="已访问的超链接"/>
    <w:next w:val="1008"/>
    <w:link w:val="930"/>
    <w:rPr>
      <w:color w:val="800080"/>
      <w:u w:val="single"/>
    </w:rPr>
  </w:style>
  <w:style w:type="character" w:styleId="1009">
    <w:name w:val="强调"/>
    <w:next w:val="1009"/>
    <w:link w:val="930"/>
    <w:qFormat/>
    <w:rPr>
      <w:i/>
    </w:rPr>
  </w:style>
  <w:style w:type="character" w:styleId="1010">
    <w:name w:val="超链接"/>
    <w:next w:val="1010"/>
    <w:link w:val="930"/>
    <w:rPr>
      <w:color w:val="0000ff"/>
      <w:u w:val="single"/>
    </w:rPr>
  </w:style>
  <w:style w:type="character" w:styleId="1011">
    <w:name w:val="批注引用"/>
    <w:next w:val="1011"/>
    <w:link w:val="930"/>
    <w:semiHidden/>
    <w:rPr>
      <w:sz w:val="21"/>
      <w:szCs w:val="21"/>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30"/>
    <w:next w:val="1013"/>
    <w:link w:val="1012"/>
    <w:qFormat/>
    <w:pPr>
      <w:contextualSpacing/>
      <w:ind w:left="720"/>
      <w:jc w:val="left"/>
      <w:widowControl/>
    </w:pPr>
    <w:rPr>
      <w:rFonts w:ascii="Calibri" w:hAnsi="Calibri"/>
      <w:sz w:val="24"/>
      <w:szCs w:val="24"/>
      <w:lang w:eastAsia="en-US" w:bidi="en-US"/>
    </w:rPr>
  </w:style>
  <w:style w:type="character" w:styleId="1014">
    <w:name w:val="font5 Char"/>
    <w:next w:val="1014"/>
    <w:link w:val="930"/>
    <w:rPr>
      <w:rFonts w:ascii="宋体" w:hAnsi="宋体" w:eastAsia="宋体"/>
      <w:sz w:val="28"/>
      <w:szCs w:val="28"/>
      <w:lang w:val="en-US" w:eastAsia="zh-CN" w:bidi="ar-SA"/>
    </w:rPr>
  </w:style>
  <w:style w:type="character" w:styleId="1015">
    <w:name w:val="二级目录 Char"/>
    <w:next w:val="1015"/>
    <w:link w:val="1016"/>
    <w:rPr>
      <w:b/>
      <w:sz w:val="30"/>
      <w:szCs w:val="28"/>
    </w:rPr>
  </w:style>
  <w:style w:type="paragraph" w:styleId="1016">
    <w:name w:val="二级目录"/>
    <w:next w:val="930"/>
    <w:link w:val="1015"/>
    <w:pPr>
      <w:numPr>
        <w:ilvl w:val="0"/>
        <w:numId w:val="2"/>
      </w:numPr>
      <w:tabs>
        <w:tab w:val="left" w:pos="907" w:leader="none"/>
        <w:tab w:val="left" w:pos="1145" w:leader="none"/>
      </w:tabs>
      <w:outlineLvl w:val="1"/>
    </w:pPr>
    <w:rPr>
      <w:b/>
      <w:sz w:val="30"/>
      <w:szCs w:val="28"/>
      <w:lang w:val="en-US" w:eastAsia="zh-CN" w:bidi="ar-SA"/>
    </w:rPr>
  </w:style>
  <w:style w:type="paragraph" w:styleId="1017">
    <w:name w:val="寄信人地址1"/>
    <w:basedOn w:val="930"/>
    <w:next w:val="1017"/>
    <w:link w:val="930"/>
    <w:qFormat/>
    <w:rPr>
      <w:rFonts w:ascii="Arial" w:hAnsi="Arial" w:eastAsia="宋体" w:cs="宋体"/>
    </w:rPr>
  </w:style>
  <w:style w:type="paragraph" w:styleId="1018">
    <w:name w:val="xl26"/>
    <w:basedOn w:val="930"/>
    <w:next w:val="1018"/>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 Char"/>
    <w:basedOn w:val="958"/>
    <w:next w:val="1019"/>
    <w:link w:val="930"/>
    <w:rPr>
      <w:rFonts w:ascii="Tahoma" w:hAnsi="Tahoma"/>
      <w:sz w:val="24"/>
      <w:szCs w:val="24"/>
    </w:rPr>
  </w:style>
  <w:style w:type="paragraph" w:styleId="1020">
    <w:name w:val="索引 41"/>
    <w:basedOn w:val="930"/>
    <w:next w:val="930"/>
    <w:link w:val="930"/>
    <w:semiHidden/>
    <w:qFormat/>
    <w:pPr>
      <w:ind w:left="1260"/>
    </w:pPr>
    <w:rPr>
      <w:rFonts w:ascii="Calibri" w:hAnsi="Calibri" w:eastAsia="Calibri" w:cs="宋体"/>
      <w:sz w:val="20"/>
      <w:lang w:val="zh-CN"/>
    </w:rPr>
  </w:style>
  <w:style w:type="paragraph" w:styleId="1021">
    <w:name w:val="附录1"/>
    <w:next w:val="1021"/>
    <w:link w:val="93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2">
    <w:name w:val="普通正文"/>
    <w:basedOn w:val="930"/>
    <w:next w:val="1022"/>
    <w:link w:val="930"/>
    <w:pPr>
      <w:ind w:firstLine="480"/>
      <w:jc w:val="left"/>
      <w:spacing w:before="120" w:after="120" w:line="360" w:lineRule="auto"/>
    </w:pPr>
    <w:rPr>
      <w:rFonts w:ascii="Arial" w:hAnsi="Arial" w:eastAsia="宋体" w:cs="Times New Roman"/>
      <w:sz w:val="24"/>
      <w:szCs w:val="24"/>
    </w:rPr>
  </w:style>
  <w:style w:type="paragraph" w:styleId="1023">
    <w:name w:val="修订"/>
    <w:next w:val="1023"/>
    <w:link w:val="930"/>
    <w:uiPriority w:val="99"/>
    <w:semiHidden/>
    <w:rPr>
      <w:rFonts w:ascii="Times New Roman" w:hAnsi="Times New Roman"/>
      <w:sz w:val="21"/>
      <w:szCs w:val="21"/>
      <w:lang w:val="en-US" w:eastAsia="zh-CN" w:bidi="ar-SA"/>
    </w:rPr>
  </w:style>
  <w:style w:type="paragraph" w:styleId="1024">
    <w:name w:val="无间隔"/>
    <w:next w:val="1024"/>
    <w:link w:val="930"/>
    <w:uiPriority w:val="99"/>
    <w:qFormat/>
    <w:pPr>
      <w:jc w:val="both"/>
      <w:widowControl w:val="off"/>
    </w:pPr>
    <w:rPr>
      <w:rFonts w:ascii="Times New Roman" w:hAnsi="Times New Roman"/>
      <w:sz w:val="21"/>
      <w:szCs w:val="21"/>
      <w:lang w:val="en-US" w:eastAsia="zh-CN" w:bidi="ar-SA"/>
    </w:rPr>
  </w:style>
  <w:style w:type="paragraph" w:styleId="1025">
    <w:name w:val="正文文本首行缩进 2"/>
    <w:basedOn w:val="1026"/>
    <w:next w:val="1025"/>
    <w:link w:val="930"/>
    <w:qFormat/>
    <w:pPr>
      <w:ind w:left="0" w:firstLine="420"/>
      <w:spacing w:after="0" w:line="360" w:lineRule="auto"/>
    </w:pPr>
    <w:rPr>
      <w:rFonts w:ascii="宋体" w:hAnsi="宋体"/>
      <w:sz w:val="20"/>
      <w:szCs w:val="20"/>
      <w:lang w:val="en-US" w:eastAsia="en-US"/>
    </w:rPr>
  </w:style>
  <w:style w:type="paragraph" w:styleId="1026">
    <w:name w:val="正文文本缩进1"/>
    <w:basedOn w:val="930"/>
    <w:next w:val="1025"/>
    <w:link w:val="930"/>
    <w:unhideWhenUsed/>
    <w:qFormat/>
    <w:pPr>
      <w:ind w:left="420"/>
      <w:spacing w:after="120"/>
    </w:pPr>
  </w:style>
  <w:style w:type="paragraph" w:styleId="1027">
    <w:name w:val="标题1"/>
    <w:basedOn w:val="930"/>
    <w:next w:val="930"/>
    <w:link w:val="9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8">
    <w:name w:val="Body Text(ch)"/>
    <w:basedOn w:val="930"/>
    <w:next w:val="964"/>
    <w:link w:val="930"/>
    <w:pPr>
      <w:spacing w:after="120"/>
    </w:pPr>
    <w:rPr>
      <w:rFonts w:ascii="宋体" w:hAnsi="Arial" w:eastAsia="宋体" w:cs="Times New Roman"/>
      <w:bCs/>
      <w:iCs/>
      <w:szCs w:val="24"/>
    </w:rPr>
  </w:style>
  <w:style w:type="paragraph" w:styleId="1029">
    <w:name w:val="Char"/>
    <w:basedOn w:val="930"/>
    <w:next w:val="1029"/>
    <w:link w:val="930"/>
    <w:pPr>
      <w:ind w:firstLine="200"/>
      <w:tabs>
        <w:tab w:val="left" w:pos="360" w:leader="none"/>
      </w:tabs>
    </w:pPr>
    <w:rPr>
      <w:rFonts w:ascii="Times New Roman" w:hAnsi="Times New Roman" w:eastAsia="宋体" w:cs="Times New Roman"/>
      <w:sz w:val="28"/>
      <w:szCs w:val="30"/>
    </w:rPr>
  </w:style>
  <w:style w:type="paragraph" w:styleId="1030">
    <w:name w:val="xl27"/>
    <w:basedOn w:val="930"/>
    <w:next w:val="1030"/>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name w:val="正文文本1"/>
    <w:basedOn w:val="930"/>
    <w:next w:val="930"/>
    <w:link w:val="930"/>
    <w:semiHidden/>
    <w:qFormat/>
    <w:rPr>
      <w:rFonts w:ascii="Arial" w:hAnsi="Arial" w:eastAsia="Arial" w:cs="Arial"/>
      <w:sz w:val="21"/>
      <w:szCs w:val="21"/>
      <w:lang w:val="en-US" w:eastAsia="en-US" w:bidi="ar-SA"/>
    </w:rPr>
  </w:style>
  <w:style w:type="paragraph" w:styleId="1032">
    <w:name w:val="table_lines"/>
    <w:basedOn w:val="930"/>
    <w:next w:val="1032"/>
    <w:link w:val="930"/>
    <w:pPr>
      <w:jc w:val="left"/>
      <w:widowControl/>
    </w:pPr>
    <w:rPr>
      <w:rFonts w:ascii="Times New Roman" w:hAnsi="Times New Roman" w:eastAsia="宋体" w:cs="Times New Roman"/>
      <w:sz w:val="20"/>
      <w:szCs w:val="20"/>
      <w:lang w:val="de-DE" w:eastAsia="de-DE"/>
    </w:rPr>
  </w:style>
  <w:style w:type="paragraph" w:styleId="1033">
    <w:name w:val="font7"/>
    <w:basedOn w:val="930"/>
    <w:next w:val="1033"/>
    <w:link w:val="930"/>
    <w:pPr>
      <w:jc w:val="left"/>
      <w:spacing w:before="100" w:beforeAutospacing="1" w:after="100" w:afterAutospacing="1"/>
      <w:widowControl/>
    </w:pPr>
    <w:rPr>
      <w:rFonts w:hint="eastAsia" w:ascii="宋体" w:hAnsi="宋体" w:eastAsia="宋体" w:cs="Times New Roman"/>
      <w:sz w:val="18"/>
      <w:szCs w:val="18"/>
    </w:rPr>
  </w:style>
  <w:style w:type="paragraph" w:styleId="1034">
    <w:name w:val=" Char Char Char Char"/>
    <w:basedOn w:val="958"/>
    <w:next w:val="1034"/>
    <w:link w:val="930"/>
    <w:pPr>
      <w:spacing w:line="360" w:lineRule="auto"/>
    </w:pPr>
    <w:rPr>
      <w:rFonts w:ascii="Tahoma" w:hAnsi="Tahoma"/>
      <w:sz w:val="24"/>
      <w:szCs w:val="24"/>
    </w:rPr>
  </w:style>
  <w:style w:type="paragraph" w:styleId="1035">
    <w:name w:val="列出段落"/>
    <w:basedOn w:val="930"/>
    <w:next w:val="1035"/>
    <w:link w:val="930"/>
    <w:qFormat/>
    <w:pPr>
      <w:contextualSpacing/>
      <w:ind w:left="720"/>
      <w:jc w:val="left"/>
      <w:widowControl/>
    </w:pPr>
    <w:rPr>
      <w:rFonts w:ascii="Calibri" w:hAnsi="Calibri" w:eastAsia="宋体" w:cs="Times New Roman"/>
      <w:sz w:val="24"/>
      <w:szCs w:val="24"/>
      <w:lang w:eastAsia="en-US" w:bidi="en-US"/>
    </w:rPr>
  </w:style>
  <w:style w:type="paragraph" w:styleId="1036">
    <w:name w:val="4"/>
    <w:basedOn w:val="930"/>
    <w:next w:val="990"/>
    <w:link w:val="930"/>
    <w:pPr>
      <w:ind w:firstLine="420"/>
      <w:spacing w:line="360" w:lineRule="auto"/>
    </w:pPr>
    <w:rPr>
      <w:rFonts w:ascii="Times New Roman" w:hAnsi="Times New Roman" w:eastAsia="宋体" w:cs="Times New Roman"/>
      <w:color w:val="ff0000"/>
      <w:sz w:val="24"/>
      <w:szCs w:val="24"/>
    </w:rPr>
  </w:style>
  <w:style w:type="paragraph" w:styleId="1037">
    <w:name w:val="普通 (Web)"/>
    <w:basedOn w:val="930"/>
    <w:next w:val="1037"/>
    <w:link w:val="930"/>
    <w:pPr>
      <w:jc w:val="left"/>
      <w:spacing w:before="100" w:beforeAutospacing="1" w:after="100" w:afterAutospacing="1"/>
      <w:widowControl/>
    </w:pPr>
    <w:rPr>
      <w:rFonts w:ascii="宋体" w:hAnsi="宋体" w:eastAsia="宋体" w:cs="Times New Roman"/>
      <w:sz w:val="24"/>
      <w:szCs w:val="24"/>
    </w:rPr>
  </w:style>
  <w:style w:type="paragraph" w:styleId="1038">
    <w:name w:val=" Char Char Char Char Char Char Char Char Char Char"/>
    <w:basedOn w:val="930"/>
    <w:next w:val="1038"/>
    <w:link w:val="930"/>
    <w:pPr>
      <w:spacing w:line="360" w:lineRule="auto"/>
    </w:pPr>
    <w:rPr>
      <w:rFonts w:ascii="Times New Roman" w:hAnsi="Times New Roman" w:eastAsia="宋体" w:cs="Times New Roman"/>
      <w:sz w:val="24"/>
      <w:szCs w:val="20"/>
    </w:rPr>
  </w:style>
  <w:style w:type="paragraph" w:styleId="1039">
    <w:name w:val="样式1"/>
    <w:basedOn w:val="930"/>
    <w:next w:val="1039"/>
    <w:link w:val="930"/>
    <w:pPr>
      <w:numPr>
        <w:ilvl w:val="0"/>
        <w:numId w:val="3"/>
      </w:numPr>
      <w:tabs>
        <w:tab w:val="left" w:pos="709" w:leader="none"/>
      </w:tabs>
    </w:pPr>
    <w:rPr>
      <w:rFonts w:ascii="宋体" w:hAnsi="宋体" w:eastAsia="宋体" w:cs="Times New Roman"/>
      <w:szCs w:val="21"/>
    </w:rPr>
  </w:style>
  <w:style w:type="paragraph" w:styleId="1040">
    <w:name w:val="font6"/>
    <w:basedOn w:val="930"/>
    <w:next w:val="1040"/>
    <w:link w:val="930"/>
    <w:pPr>
      <w:jc w:val="left"/>
      <w:spacing w:before="100" w:beforeAutospacing="1" w:after="100" w:afterAutospacing="1"/>
      <w:widowControl/>
    </w:pPr>
    <w:rPr>
      <w:rFonts w:hint="eastAsia" w:ascii="宋体" w:hAnsi="宋体" w:eastAsia="宋体" w:cs="Times New Roman"/>
      <w:sz w:val="28"/>
      <w:szCs w:val="28"/>
      <w:u w:val="single"/>
    </w:rPr>
  </w:style>
  <w:style w:type="paragraph" w:styleId="1041">
    <w:name w:val="xl25"/>
    <w:basedOn w:val="930"/>
    <w:next w:val="1041"/>
    <w:link w:val="9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name w:val="图标"/>
    <w:basedOn w:val="930"/>
    <w:next w:val="930"/>
    <w:link w:val="9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3">
    <w:name w:val="标题3"/>
    <w:basedOn w:val="930"/>
    <w:next w:val="930"/>
    <w:link w:val="930"/>
    <w:pPr>
      <w:ind w:firstLine="624"/>
      <w:spacing w:line="590" w:lineRule="atLeast"/>
    </w:pPr>
    <w:rPr>
      <w:rFonts w:ascii="方正黑体_GBK" w:hAnsi="Times New Roman" w:eastAsia="方正黑体_GBK" w:cs="Times New Roman"/>
      <w:sz w:val="32"/>
      <w:szCs w:val="32"/>
    </w:rPr>
  </w:style>
  <w:style w:type="paragraph" w:styleId="1044">
    <w:name w:val="xl24"/>
    <w:basedOn w:val="930"/>
    <w:next w:val="1044"/>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5">
    <w:name w:val="xl29"/>
    <w:basedOn w:val="930"/>
    <w:next w:val="1045"/>
    <w:link w:val="9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6">
    <w:name w:val="Char Char Char Char Char Char Char Char"/>
    <w:basedOn w:val="930"/>
    <w:next w:val="1046"/>
    <w:link w:val="930"/>
    <w:pPr>
      <w:jc w:val="left"/>
      <w:spacing w:after="160" w:line="240" w:lineRule="exact"/>
      <w:widowControl/>
    </w:pPr>
    <w:rPr>
      <w:rFonts w:ascii="Verdana" w:hAnsi="Verdana" w:eastAsia="宋体" w:cs="Times New Roman"/>
      <w:sz w:val="20"/>
      <w:szCs w:val="20"/>
      <w:lang w:eastAsia="en-US"/>
    </w:rPr>
  </w:style>
  <w:style w:type="paragraph" w:styleId="1047">
    <w:name w:val="xl28"/>
    <w:basedOn w:val="930"/>
    <w:next w:val="1047"/>
    <w:link w:val="9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8">
    <w:name w:val=" Char Char Char Char Char Char Char Char"/>
    <w:basedOn w:val="930"/>
    <w:next w:val="1048"/>
    <w:link w:val="930"/>
    <w:pPr>
      <w:jc w:val="left"/>
      <w:spacing w:after="160" w:line="240" w:lineRule="exact"/>
      <w:widowControl/>
    </w:pPr>
    <w:rPr>
      <w:rFonts w:ascii="Verdana" w:hAnsi="Verdana" w:eastAsia="宋体" w:cs="Times New Roman"/>
      <w:sz w:val="20"/>
      <w:szCs w:val="20"/>
      <w:lang w:eastAsia="en-US"/>
    </w:rPr>
  </w:style>
  <w:style w:type="paragraph" w:styleId="1049">
    <w:name w:val="xl30"/>
    <w:basedOn w:val="930"/>
    <w:next w:val="1049"/>
    <w:link w:val="930"/>
    <w:pPr>
      <w:jc w:val="center"/>
      <w:spacing w:before="100" w:beforeAutospacing="1" w:after="100" w:afterAutospacing="1"/>
      <w:widowControl/>
    </w:pPr>
    <w:rPr>
      <w:rFonts w:ascii="宋体" w:hAnsi="宋体" w:eastAsia="宋体" w:cs="Times New Roman"/>
      <w:b/>
      <w:bCs/>
      <w:sz w:val="36"/>
      <w:szCs w:val="36"/>
    </w:rPr>
  </w:style>
  <w:style w:type="paragraph" w:styleId="1050">
    <w:name w:val="Char Char Char Char"/>
    <w:basedOn w:val="958"/>
    <w:next w:val="1050"/>
    <w:link w:val="930"/>
    <w:pPr>
      <w:spacing w:line="360" w:lineRule="auto"/>
    </w:pPr>
    <w:rPr>
      <w:rFonts w:ascii="Tahoma" w:hAnsi="Tahoma"/>
      <w:sz w:val="24"/>
      <w:szCs w:val="24"/>
    </w:rPr>
  </w:style>
  <w:style w:type="paragraph" w:styleId="1051">
    <w:name w:val="table_1stline"/>
    <w:basedOn w:val="930"/>
    <w:next w:val="1051"/>
    <w:link w:val="930"/>
    <w:pPr>
      <w:jc w:val="left"/>
      <w:spacing w:before="120"/>
      <w:widowControl/>
    </w:pPr>
    <w:rPr>
      <w:rFonts w:ascii="Times New Roman" w:hAnsi="Times New Roman" w:eastAsia="宋体" w:cs="Times New Roman"/>
      <w:bCs/>
      <w:sz w:val="20"/>
      <w:szCs w:val="20"/>
      <w:lang w:val="de-DE" w:eastAsia="de-DE"/>
    </w:rPr>
  </w:style>
  <w:style w:type="paragraph" w:styleId="1052">
    <w:name w:val="font5"/>
    <w:basedOn w:val="930"/>
    <w:next w:val="1052"/>
    <w:link w:val="930"/>
    <w:pPr>
      <w:jc w:val="left"/>
      <w:spacing w:before="100" w:beforeAutospacing="1" w:after="100" w:afterAutospacing="1"/>
      <w:widowControl/>
    </w:pPr>
    <w:rPr>
      <w:rFonts w:hint="eastAsia" w:ascii="宋体" w:hAnsi="宋体" w:eastAsia="宋体" w:cs="Times New Roman"/>
      <w:sz w:val="28"/>
      <w:szCs w:val="28"/>
    </w:rPr>
  </w:style>
  <w:style w:type="paragraph" w:styleId="1053">
    <w:name w:val="正文文本 211"/>
    <w:basedOn w:val="930"/>
    <w:next w:val="1053"/>
    <w:link w:val="930"/>
    <w:uiPriority w:val="99"/>
    <w:qFormat/>
    <w:pPr>
      <w:jc w:val="center"/>
    </w:pPr>
    <w:rPr>
      <w:b/>
      <w:bCs/>
      <w:sz w:val="20"/>
      <w:szCs w:val="20"/>
    </w:rPr>
  </w:style>
  <w:style w:type="paragraph" w:styleId="1054">
    <w:name w:val="正文文本12"/>
    <w:basedOn w:val="930"/>
    <w:next w:val="1054"/>
    <w:link w:val="930"/>
    <w:uiPriority w:val="1"/>
    <w:qFormat/>
    <w:pPr>
      <w:ind w:left="120"/>
    </w:pPr>
    <w:rPr>
      <w:rFonts w:ascii="宋体" w:hAnsi="宋体" w:eastAsia="宋体" w:cs="宋体"/>
      <w:sz w:val="21"/>
      <w:szCs w:val="21"/>
      <w:lang w:val="zh-CN" w:eastAsia="zh-CN" w:bidi="zh-CN"/>
    </w:rPr>
  </w:style>
  <w:style w:type="paragraph" w:styleId="1055">
    <w:name w:val="纯文本1"/>
    <w:basedOn w:val="930"/>
    <w:next w:val="1055"/>
    <w:link w:val="930"/>
    <w:qFormat/>
    <w:rPr>
      <w:rFonts w:ascii="宋体" w:hAnsi="Courier New" w:cs="Courier New"/>
    </w:rPr>
  </w:style>
  <w:style w:type="paragraph" w:styleId="1056">
    <w:name w:val="正文首行缩进 211"/>
    <w:basedOn w:val="1057"/>
    <w:next w:val="930"/>
    <w:link w:val="930"/>
    <w:qFormat/>
    <w:pPr>
      <w:ind w:left="0" w:firstLine="420"/>
      <w:spacing w:after="0" w:line="360" w:lineRule="auto"/>
    </w:pPr>
    <w:rPr>
      <w:rFonts w:ascii="宋体" w:hAnsi="宋体" w:eastAsia="宋体" w:cs="Times New Roman"/>
      <w:szCs w:val="20"/>
    </w:rPr>
  </w:style>
  <w:style w:type="paragraph" w:styleId="1057">
    <w:name w:val="正文文本缩进11"/>
    <w:basedOn w:val="930"/>
    <w:next w:val="1017"/>
    <w:link w:val="930"/>
    <w:unhideWhenUsed/>
    <w:qFormat/>
    <w:pPr>
      <w:ind w:left="420"/>
      <w:spacing w:after="120"/>
    </w:pPr>
  </w:style>
  <w:style w:type="paragraph" w:styleId="1058">
    <w:name w:val="正文1"/>
    <w:basedOn w:val="930"/>
    <w:next w:val="1058"/>
    <w:link w:val="930"/>
    <w:qFormat/>
    <w:pPr>
      <w:ind w:left="350" w:firstLine="0"/>
    </w:pPr>
    <w:rPr>
      <w:rFonts w:cs="Times New Roman"/>
      <w:sz w:val="20"/>
      <w:szCs w:val="24"/>
    </w:rPr>
  </w:style>
  <w:style w:type="table" w:styleId="1059">
    <w:name w:val="Table Normal"/>
    <w:next w:val="1059"/>
    <w:link w:val="930"/>
    <w:qFormat/>
    <w:tblPr/>
  </w:style>
  <w:style w:type="table" w:styleId="1060">
    <w:name w:val="网格型1"/>
    <w:basedOn w:val="1061"/>
    <w:next w:val="1060"/>
    <w:link w:val="930"/>
    <w:qFormat/>
    <w:pPr>
      <w:jc w:val="both"/>
      <w:widowControl w:val="off"/>
    </w:pPr>
    <w:tblPr/>
  </w:style>
  <w:style w:type="table" w:styleId="1061">
    <w:name w:val="普通表格1"/>
    <w:next w:val="1061"/>
    <w:link w:val="930"/>
    <w:uiPriority w:val="99"/>
    <w:unhideWhenUsed/>
    <w:qFormat/>
    <w:tbl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孙祥</cp:lastModifiedBy>
  <cp:revision>3</cp:revision>
  <dcterms:created xsi:type="dcterms:W3CDTF">2023-03-27T07:28:00Z</dcterms:created>
  <dcterms:modified xsi:type="dcterms:W3CDTF">2026-10-28T01:05:43Z</dcterms:modified>
</cp:coreProperties>
</file>