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b/>
          <w:bCs/>
          <w:color w:val="auto"/>
          <w:sz w:val="28"/>
          <w:szCs w:val="20"/>
          <w:highlight w:val="none"/>
        </w:rPr>
      </w:pPr>
      <w:r/>
      <w:bookmarkStart w:id="1" w:name="_Toc528771312"/>
      <w:r/>
      <w:bookmarkStart w:id="2" w:name="_Toc27744861"/>
      <w:r/>
      <w:r/>
    </w:p>
    <w:p>
      <w:pPr>
        <w:jc w:val="center"/>
        <w:spacing w:line="360" w:lineRule="auto"/>
        <w:rPr>
          <w:rFonts w:hint="eastAsia" w:ascii="宋体" w:hAnsi="宋体" w:cs="宋体"/>
          <w:b/>
          <w:bCs/>
          <w:color w:val="auto"/>
          <w:sz w:val="84"/>
          <w:szCs w:val="84"/>
          <w:highlight w:val="none"/>
          <w:lang w:val="en-US" w:eastAsia="zh-CN"/>
        </w:rPr>
      </w:pPr>
      <w:r>
        <w:rPr>
          <w:rFonts w:hint="eastAsia" w:ascii="宋体" w:hAnsi="宋体" w:cs="宋体"/>
          <w:b/>
          <w:bCs/>
          <w:color w:val="auto"/>
          <w:sz w:val="84"/>
          <w:szCs w:val="84"/>
          <w:highlight w:val="none"/>
          <w:lang w:val="en-US" w:eastAsia="zh-CN"/>
        </w:rPr>
      </w:r>
      <w:r/>
    </w:p>
    <w:p>
      <w:pPr>
        <w:jc w:val="center"/>
        <w:spacing w:line="360" w:lineRule="auto"/>
        <w:rPr>
          <w:rFonts w:hint="default" w:ascii="宋体" w:hAnsi="宋体" w:eastAsia="宋体" w:cs="宋体"/>
          <w:b/>
          <w:bCs/>
          <w:color w:val="auto"/>
          <w:sz w:val="84"/>
          <w:szCs w:val="84"/>
          <w:highlight w:val="none"/>
          <w:lang w:val="en-US" w:eastAsia="zh-CN"/>
        </w:rPr>
      </w:pPr>
      <w:r>
        <w:rPr>
          <w:rFonts w:hint="eastAsia" w:ascii="宋体" w:hAnsi="宋体" w:cs="宋体"/>
          <w:b/>
          <w:bCs/>
          <w:color w:val="auto"/>
          <w:sz w:val="84"/>
          <w:szCs w:val="84"/>
          <w:highlight w:val="none"/>
          <w:lang w:val="en-US" w:eastAsia="zh-CN"/>
        </w:rPr>
        <w:t xml:space="preserve">竞争性磋商文件</w:t>
      </w:r>
      <w:r/>
    </w:p>
    <w:p>
      <w:pPr>
        <w:jc w:val="center"/>
        <w:spacing w:line="360" w:lineRule="auto"/>
        <w:rPr>
          <w:rFonts w:hint="eastAsia"/>
          <w:color w:val="auto"/>
          <w:highlight w:val="none"/>
          <w:lang w:eastAsia="zh-CN"/>
        </w:rPr>
      </w:pPr>
      <w:r>
        <w:rPr>
          <w:rFonts w:hint="eastAsia" w:ascii="宋体" w:hAnsi="宋体" w:cs="宋体"/>
          <w:b/>
          <w:bCs/>
          <w:color w:val="auto"/>
          <w:sz w:val="28"/>
          <w:szCs w:val="20"/>
          <w:highlight w:val="none"/>
          <w:lang w:val="en-US" w:eastAsia="zh-CN"/>
        </w:rPr>
        <w:t xml:space="preserve">                      </w:t>
      </w:r>
      <w:r/>
    </w:p>
    <w:p>
      <w:pPr>
        <w:jc w:val="center"/>
        <w:rPr>
          <w:rFonts w:hint="eastAsia" w:hAnsi="宋体" w:eastAsia="宋体" w:cs="宋体"/>
          <w:b/>
          <w:bCs/>
          <w:color w:val="auto"/>
          <w:sz w:val="36"/>
          <w:szCs w:val="36"/>
          <w:highlight w:val="none"/>
          <w:lang w:eastAsia="zh-CN"/>
        </w:rPr>
      </w:pPr>
      <w:r>
        <w:rPr>
          <w:rFonts w:hint="eastAsia" w:hAnsi="宋体" w:eastAsia="宋体" w:cs="宋体"/>
          <w:b/>
          <w:bCs/>
          <w:color w:val="auto"/>
          <w:sz w:val="36"/>
          <w:szCs w:val="36"/>
          <w:highlight w:val="none"/>
          <w:lang w:eastAsia="zh-CN"/>
        </w:rPr>
      </w:r>
      <w:r/>
    </w:p>
    <w:p>
      <w:pPr>
        <w:jc w:val="center"/>
        <w:rPr>
          <w:rFonts w:hint="eastAsia" w:ascii="宋体" w:hAnsi="宋体" w:eastAsia="宋体" w:cs="宋体"/>
          <w:b/>
          <w:bCs/>
          <w:color w:val="auto"/>
          <w:sz w:val="36"/>
          <w:szCs w:val="36"/>
          <w:highlight w:val="none"/>
          <w:lang w:eastAsia="zh-CN"/>
        </w:rPr>
      </w:pPr>
      <w:r>
        <w:rPr>
          <w:rFonts w:hint="eastAsia" w:hAnsi="宋体" w:eastAsia="宋体" w:cs="宋体"/>
          <w:b/>
          <w:bCs/>
          <w:color w:val="auto"/>
          <w:sz w:val="36"/>
          <w:szCs w:val="36"/>
          <w:highlight w:val="none"/>
          <w:lang w:eastAsia="zh-CN"/>
        </w:rPr>
        <w:t xml:space="preserve">项目名称：</w:t>
      </w:r>
      <w:r>
        <w:rPr>
          <w:rFonts w:hint="eastAsia" w:hAnsi="宋体" w:cs="宋体"/>
          <w:b/>
          <w:bCs/>
          <w:color w:val="auto"/>
          <w:sz w:val="36"/>
          <w:szCs w:val="36"/>
          <w:highlight w:val="none"/>
          <w:lang w:eastAsia="zh-CN"/>
        </w:rPr>
        <w:t xml:space="preserve">高邮市智慧照明快速维权中心信息化建设项目 </w:t>
      </w:r>
      <w:r/>
    </w:p>
    <w:p>
      <w:pPr>
        <w:pStyle w:val="956"/>
        <w:ind w:firstLine="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956"/>
        <w:ind w:firstLine="1807"/>
        <w:jc w:val="left"/>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项目编号：</w:t>
      </w:r>
      <w:r>
        <w:rPr>
          <w:rFonts w:hint="eastAsia" w:ascii="宋体" w:hAnsi="宋体" w:cs="宋体"/>
          <w:b/>
          <w:bCs/>
          <w:color w:val="auto"/>
          <w:sz w:val="36"/>
          <w:szCs w:val="36"/>
          <w:highlight w:val="none"/>
          <w:lang w:eastAsia="zh-CN"/>
        </w:rPr>
        <w:t xml:space="preserve">JSZC-321084-HTJS-C2026-0021</w:t>
      </w:r>
      <w:r/>
    </w:p>
    <w:p>
      <w:pPr>
        <w:pStyle w:val="97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56"/>
        <w:ind w:firstLine="0"/>
        <w:jc w:val="both"/>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956"/>
        <w:ind w:firstLine="0"/>
        <w:jc w:val="both"/>
        <w:spacing w:before="0" w:after="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56"/>
        <w:ind w:firstLine="0"/>
        <w:jc w:val="both"/>
        <w:spacing w:before="0" w:after="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56"/>
        <w:ind w:firstLine="0"/>
        <w:jc w:val="both"/>
        <w:spacing w:before="0" w:after="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56"/>
        <w:ind w:firstLine="1991"/>
        <w:jc w:val="both"/>
        <w:keepLines w:val="0"/>
        <w:keepNext w:val="0"/>
        <w:pageBreakBefore w:val="0"/>
        <w:spacing w:before="0" w:after="0"/>
        <w:widowControl w:val="off"/>
        <w:rPr>
          <w:rFonts w:ascii="宋体" w:hAnsi="宋体" w:eastAsia="宋体" w:cs="宋体"/>
          <w:b/>
          <w:color w:val="auto"/>
          <w:sz w:val="36"/>
          <w:szCs w:val="36"/>
          <w:highlight w:val="none"/>
          <w:u w:val="single"/>
          <w:lang w:val="en-US" w:eastAsia="zh-CN"/>
        </w:rPr>
      </w:pPr>
      <w:r>
        <w:rPr>
          <w:rFonts w:hint="eastAsia" w:ascii="宋体" w:hAnsi="宋体" w:eastAsia="宋体" w:cs="宋体"/>
          <w:b/>
          <w:color w:val="auto"/>
          <w:sz w:val="36"/>
          <w:szCs w:val="36"/>
          <w:highlight w:val="none"/>
        </w:rPr>
        <w:t xml:space="preserve">采 购 人：</w:t>
      </w:r>
      <w:r>
        <w:rPr>
          <w:rFonts w:hint="eastAsia" w:ascii="宋体" w:hAnsi="宋体" w:cs="宋体"/>
          <w:b/>
          <w:color w:val="auto"/>
          <w:sz w:val="36"/>
          <w:szCs w:val="36"/>
          <w:highlight w:val="none"/>
          <w:u w:val="single"/>
          <w:lang w:val="en-US" w:eastAsia="zh-CN"/>
        </w:rPr>
        <w:t xml:space="preserve">    </w:t>
      </w:r>
      <w:r>
        <w:rPr>
          <w:rFonts w:hint="eastAsia" w:ascii="宋体" w:hAnsi="宋体" w:cs="宋体"/>
          <w:b/>
          <w:color w:val="auto"/>
          <w:sz w:val="36"/>
          <w:szCs w:val="36"/>
          <w:highlight w:val="none"/>
          <w:u w:val="single"/>
          <w:lang w:eastAsia="zh-CN"/>
        </w:rPr>
        <w:t xml:space="preserve">高邮市送桥镇人民政府</w:t>
      </w:r>
      <w:r>
        <w:rPr>
          <w:rFonts w:hint="eastAsia" w:ascii="宋体" w:hAnsi="宋体" w:cs="宋体"/>
          <w:b/>
          <w:color w:val="auto"/>
          <w:sz w:val="36"/>
          <w:szCs w:val="36"/>
          <w:highlight w:val="none"/>
          <w:u w:val="single"/>
          <w:lang w:val="en-US" w:eastAsia="zh-CN"/>
        </w:rPr>
        <w:t xml:space="preserve">    </w:t>
      </w:r>
      <w:r/>
    </w:p>
    <w:p>
      <w:pPr>
        <w:pStyle w:val="956"/>
        <w:ind w:firstLine="1970"/>
        <w:jc w:val="both"/>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采购代理：</w:t>
      </w:r>
      <w:r>
        <w:rPr>
          <w:rFonts w:hint="eastAsia" w:ascii="宋体" w:hAnsi="宋体" w:cs="宋体"/>
          <w:b/>
          <w:bCs/>
          <w:color w:val="auto"/>
          <w:sz w:val="36"/>
          <w:szCs w:val="36"/>
          <w:highlight w:val="none"/>
          <w:u w:val="single"/>
          <w:lang w:eastAsia="zh-CN"/>
        </w:rPr>
        <w:t xml:space="preserve">江苏恒泰建设工程咨询有限公司</w:t>
      </w:r>
      <w:r/>
    </w:p>
    <w:p>
      <w:pPr>
        <w:pStyle w:val="956"/>
        <w:ind w:firstLine="1970"/>
        <w:jc w:val="both"/>
        <w:rPr>
          <w:rFonts w:hint="eastAsia" w:ascii="宋体" w:hAnsi="宋体" w:eastAsia="宋体" w:cs="宋体"/>
          <w:b/>
          <w:color w:val="auto"/>
          <w:sz w:val="32"/>
          <w:szCs w:val="32"/>
          <w:highlight w:val="none"/>
        </w:rPr>
        <w:sectPr>
          <w:footerReference w:type="default" r:id="rId10"/>
          <w:footnotePr/>
          <w:endnotePr/>
          <w:type w:val="nextPage"/>
          <w:pgSz w:w="11906" w:h="16838" w:orient="portrait"/>
          <w:pgMar w:top="1701" w:right="968" w:bottom="1418" w:left="858" w:header="851" w:footer="851" w:gutter="0"/>
          <w:pgNumType w:start="1"/>
          <w:cols w:num="1" w:sep="0" w:space="1701" w:equalWidth="1"/>
          <w:docGrid w:linePitch="360"/>
        </w:sectPr>
      </w:pPr>
      <w:r>
        <w:rPr>
          <w:rFonts w:hint="eastAsia" w:ascii="宋体" w:hAnsi="宋体" w:eastAsia="宋体" w:cs="宋体"/>
          <w:b/>
          <w:color w:val="auto"/>
          <w:sz w:val="36"/>
          <w:szCs w:val="36"/>
          <w:highlight w:val="none"/>
        </w:rPr>
        <w:t xml:space="preserve">发布日期：</w:t>
      </w:r>
      <w:r>
        <w:rPr>
          <w:rFonts w:hint="eastAsia" w:ascii="宋体" w:hAnsi="宋体" w:cs="宋体"/>
          <w:b/>
          <w:color w:val="auto"/>
          <w:sz w:val="36"/>
          <w:szCs w:val="36"/>
          <w:highlight w:val="none"/>
          <w:u w:val="single"/>
          <w:lang w:val="en-US" w:eastAsia="zh-CN"/>
        </w:rPr>
        <w:t xml:space="preserve">       </w:t>
      </w:r>
      <w:r>
        <w:rPr>
          <w:rFonts w:hint="eastAsia" w:ascii="宋体" w:hAnsi="宋体" w:cs="宋体"/>
          <w:b/>
          <w:color w:val="auto"/>
          <w:sz w:val="36"/>
          <w:szCs w:val="36"/>
          <w:highlight w:val="none"/>
          <w:u w:val="single"/>
          <w:lang w:eastAsia="zh-CN"/>
        </w:rPr>
        <w:t xml:space="preserve">2026年</w:t>
      </w:r>
      <w:r>
        <w:rPr>
          <w:rFonts w:hint="eastAsia" w:ascii="宋体" w:hAnsi="宋体" w:cs="宋体"/>
          <w:b/>
          <w:color w:val="auto"/>
          <w:sz w:val="36"/>
          <w:szCs w:val="36"/>
          <w:highlight w:val="none"/>
          <w:u w:val="single"/>
          <w:lang w:val="en-US" w:eastAsia="zh-CN"/>
        </w:rPr>
        <w:t xml:space="preserve">9</w:t>
      </w:r>
      <w:r>
        <w:rPr>
          <w:rFonts w:hint="eastAsia" w:ascii="宋体" w:hAnsi="宋体" w:cs="宋体"/>
          <w:b/>
          <w:color w:val="auto"/>
          <w:sz w:val="36"/>
          <w:szCs w:val="36"/>
          <w:highlight w:val="none"/>
          <w:u w:val="single"/>
          <w:lang w:eastAsia="zh-CN"/>
        </w:rPr>
        <w:t xml:space="preserve">月</w:t>
      </w:r>
      <w:r>
        <w:rPr>
          <w:rFonts w:hint="eastAsia" w:ascii="宋体" w:hAnsi="宋体" w:eastAsia="宋体" w:cs="宋体"/>
          <w:b/>
          <w:color w:val="auto"/>
          <w:sz w:val="36"/>
          <w:szCs w:val="36"/>
          <w:highlight w:val="none"/>
          <w:u w:val="single"/>
        </w:rPr>
        <w:t xml:space="preserve">   </w:t>
      </w:r>
      <w:r>
        <w:rPr>
          <w:rFonts w:hint="eastAsia" w:ascii="宋体" w:hAnsi="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rPr>
          <w:rFonts w:hint="eastAsia" w:ascii="宋体" w:hAnsi="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bookmarkStart w:id="3" w:name="_Toc28359011"/>
      <w:r/>
      <w:bookmarkStart w:id="4" w:name="_Toc35393797"/>
      <w:r/>
      <w:bookmarkEnd w:id="3"/>
      <w:r/>
      <w:bookmarkEnd w:id="4"/>
      <w:r/>
      <w:r/>
    </w:p>
    <w:p>
      <w:pPr>
        <w:pStyle w:val="910"/>
        <w:jc w:val="center"/>
        <w:rPr>
          <w:rFonts w:hint="eastAsia"/>
          <w:color w:val="auto"/>
          <w:highlight w:val="none"/>
        </w:rPr>
      </w:pPr>
      <w:r>
        <w:rPr>
          <w:rFonts w:hint="eastAsia"/>
          <w:color w:val="auto"/>
          <w:highlight w:val="none"/>
        </w:rPr>
        <w:t xml:space="preserve">目 录</w:t>
      </w:r>
      <w:r/>
    </w:p>
    <w:p>
      <w:pPr>
        <w:pStyle w:val="941"/>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竞争性磋商采购公告</w:t>
      </w:r>
      <w:r/>
    </w:p>
    <w:p>
      <w:pPr>
        <w:pStyle w:val="941"/>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磋商须知</w:t>
      </w:r>
      <w:r/>
    </w:p>
    <w:p>
      <w:pPr>
        <w:pStyle w:val="941"/>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p>
    <w:p>
      <w:pPr>
        <w:pStyle w:val="941"/>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第四章 项目需求</w:t>
      </w:r>
      <w:r/>
    </w:p>
    <w:p>
      <w:pPr>
        <w:pStyle w:val="941"/>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第五章 评审方法及评审标准</w:t>
      </w:r>
      <w:r/>
    </w:p>
    <w:p>
      <w:pPr>
        <w:pStyle w:val="941"/>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第六章 竞争性磋商响应文件格式</w:t>
      </w:r>
      <w:r/>
    </w:p>
    <w:p>
      <w:pPr>
        <w:spacing w:line="360" w:lineRule="auto"/>
        <w:rPr>
          <w:rFonts w:hint="eastAsia" w:ascii="宋体" w:hAnsi="宋体" w:cs="宋体"/>
          <w:color w:val="auto"/>
          <w:sz w:val="28"/>
          <w:highlight w:val="none"/>
        </w:rPr>
      </w:pPr>
      <w:r>
        <w:rPr>
          <w:rFonts w:hint="eastAsia" w:ascii="宋体" w:hAnsi="宋体" w:cs="宋体"/>
          <w:color w:val="auto"/>
          <w:sz w:val="28"/>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07"/>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5" w:name="_Toc109304962"/>
      <w:r>
        <w:rPr>
          <w:rFonts w:hint="eastAsia" w:ascii="宋体" w:hAnsi="宋体" w:cs="宋体"/>
          <w:color w:val="auto"/>
          <w:szCs w:val="36"/>
          <w:highlight w:val="none"/>
        </w:rPr>
        <w:t xml:space="preserve">第一章 竞争性磋商采购公告</w:t>
      </w:r>
      <w:bookmarkEnd w:id="5"/>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高邮市送桥镇人民政府</w:t>
      </w:r>
      <w:r>
        <w:rPr>
          <w:rFonts w:hint="eastAsia" w:ascii="宋体" w:hAnsi="宋体" w:cs="宋体"/>
          <w:color w:val="auto"/>
          <w:szCs w:val="21"/>
          <w:highlight w:val="none"/>
        </w:rPr>
        <w:t xml:space="preserve">的委托，</w:t>
      </w:r>
      <w:r>
        <w:rPr>
          <w:rFonts w:hint="eastAsia" w:ascii="宋体" w:hAnsi="宋体" w:cs="宋体"/>
          <w:color w:val="auto"/>
          <w:szCs w:val="21"/>
          <w:highlight w:val="none"/>
          <w:lang w:eastAsia="zh-CN"/>
        </w:rPr>
        <w:t xml:space="preserve">江苏恒泰建设工程咨询有限公司</w:t>
      </w:r>
      <w:r>
        <w:rPr>
          <w:rFonts w:hint="eastAsia" w:ascii="宋体" w:hAnsi="宋体" w:cs="宋体"/>
          <w:color w:val="auto"/>
          <w:szCs w:val="21"/>
          <w:highlight w:val="none"/>
        </w:rPr>
        <w:t xml:space="preserve">就</w:t>
      </w:r>
      <w:r>
        <w:rPr>
          <w:rFonts w:hint="eastAsia" w:ascii="宋体" w:hAnsi="宋体" w:cs="宋体"/>
          <w:color w:val="auto"/>
          <w:szCs w:val="21"/>
          <w:highlight w:val="none"/>
          <w:lang w:eastAsia="zh-CN"/>
        </w:rPr>
        <w:t xml:space="preserve">高邮市智慧照明快速维权中心信息化建设项目</w:t>
      </w:r>
      <w:r>
        <w:rPr>
          <w:rFonts w:hint="eastAsia" w:ascii="宋体" w:hAnsi="宋体" w:cs="宋体"/>
          <w:color w:val="auto"/>
          <w:szCs w:val="21"/>
          <w:highlight w:val="none"/>
        </w:rPr>
        <w:t xml:space="preserve">实施政府采购，本次采购采用竞争性磋商方式，欢迎符合条件的供应商参加磋商。</w:t>
      </w:r>
      <w:r/>
    </w:p>
    <w:p>
      <w:pPr>
        <w:spacing w:line="360" w:lineRule="auto"/>
        <w:rPr>
          <w:rFonts w:hint="eastAsia" w:ascii="宋体" w:hAnsi="宋体" w:cs="宋体"/>
          <w:b w:val="0"/>
          <w:bCs w:val="0"/>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Cs w:val="21"/>
          <w:highlight w:val="none"/>
        </w:rPr>
        <w:t xml:space="preserve">项目概况</w:t>
      </w:r>
      <w:r>
        <w:rPr>
          <w:b w:val="0"/>
          <w:bCs w:val="0"/>
        </w:rPr>
      </w:r>
      <w:r/>
    </w:p>
    <w:p>
      <w:pPr>
        <w:ind w:firstLine="420"/>
        <w:spacing w:line="360" w:lineRule="auto"/>
        <w:rPr>
          <w:rFonts w:hint="eastAsia" w:ascii="宋体" w:hAnsi="宋体" w:cs="宋体"/>
          <w:color w:val="auto"/>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none"/>
          <w:lang w:eastAsia="zh-CN"/>
        </w:rPr>
        <w:t xml:space="preserve">高邮市智慧照明快速维权中心信息化建设项目 JSZC-321084-HTJS-C2026-0021 采购项目的潜在供应商应在“苏采云”系统（网址：http://jszfcg.jsczt.cn/）获取采购文件，并于2026-09-29 09:00 （北京时间）前提交响应文件。</w:t>
      </w:r>
      <w:r>
        <w:rPr>
          <w:u w:val="none"/>
        </w:rPr>
      </w:r>
      <w:r/>
    </w:p>
    <w:p>
      <w:pPr>
        <w:pStyle w:val="908"/>
        <w:ind w:firstLine="422"/>
        <w:spacing w:before="0" w:after="0" w:line="360" w:lineRule="auto"/>
        <w:rPr>
          <w:rFonts w:hint="eastAsia" w:ascii="宋体" w:hAnsi="宋体" w:cs="宋体"/>
          <w:bCs w:val="0"/>
          <w:color w:val="auto"/>
          <w:sz w:val="21"/>
          <w:szCs w:val="21"/>
          <w:highlight w:val="none"/>
        </w:rPr>
      </w:pPr>
      <w:r/>
      <w:bookmarkStart w:id="8" w:name="_Toc109304963"/>
      <w:r>
        <w:rPr>
          <w:rFonts w:hint="eastAsia" w:ascii="宋体" w:hAnsi="宋体" w:cs="宋体"/>
          <w:bCs w:val="0"/>
          <w:color w:val="auto"/>
          <w:sz w:val="21"/>
          <w:szCs w:val="21"/>
          <w:highlight w:val="none"/>
        </w:rPr>
        <w:t xml:space="preserve">一、项目基本情况</w:t>
      </w:r>
      <w:bookmarkEnd w:id="8"/>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JSZC-321084-HTJS-C2026-0021</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高邮市智慧照明快速维权中心信息化建设项目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170.00</w:t>
      </w:r>
      <w:r>
        <w:rPr>
          <w:rFonts w:hint="eastAsia" w:ascii="宋体" w:hAnsi="宋体" w:cs="宋体"/>
          <w:color w:val="auto"/>
          <w:szCs w:val="21"/>
          <w:highlight w:val="none"/>
        </w:rPr>
        <w:t xml:space="preserve">万元</w:t>
      </w:r>
      <w:r/>
    </w:p>
    <w:p>
      <w:pPr>
        <w:ind w:firstLine="420"/>
        <w:spacing w:line="360" w:lineRule="auto"/>
        <w:rPr>
          <w:rFonts w:hint="eastAsia" w:ascii="宋体" w:hAnsi="宋体" w:eastAsia="宋体" w:cs="宋体"/>
          <w:color w:val="auto"/>
          <w:szCs w:val="21"/>
          <w:highlight w:val="none"/>
          <w:lang w:val="en-US" w:eastAsia="zh-CN"/>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1678154.85</w:t>
      </w:r>
      <w:r>
        <w:rPr>
          <w:rFonts w:hint="eastAsia" w:ascii="宋体" w:hAnsi="宋体" w:cs="宋体"/>
          <w:color w:val="auto"/>
          <w:szCs w:val="21"/>
          <w:highlight w:val="none"/>
        </w:rPr>
        <w:t xml:space="preserve">元，投标报价不得高于最高限价，否则作废标处理</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.采购需求：见采购文件第四章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w:t>
      </w:r>
      <w:r>
        <w:rPr>
          <w:rFonts w:hint="eastAsia" w:ascii="宋体" w:hAnsi="宋体" w:cs="宋体"/>
          <w:color w:val="auto"/>
          <w:sz w:val="21"/>
          <w:szCs w:val="21"/>
          <w:highlight w:val="none"/>
        </w:rPr>
        <w:t xml:space="preserve">合同履行期限</w:t>
      </w:r>
      <w:r>
        <w:rPr>
          <w:rFonts w:hint="eastAsia" w:ascii="宋体" w:hAnsi="宋体" w:cs="宋体"/>
          <w:color w:val="auto"/>
          <w:szCs w:val="21"/>
          <w:highlight w:val="none"/>
        </w:rPr>
        <w:t xml:space="preserve">：合同签订之日起</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日内完成数字化硬件环境建设以及保护中心软件系统建设部署,系统部署后进行试运行</w:t>
      </w:r>
      <w:r>
        <w:rPr>
          <w:rFonts w:hint="eastAsia" w:ascii="宋体" w:hAnsi="宋体" w:cs="宋体"/>
          <w:color w:val="auto"/>
          <w:szCs w:val="21"/>
          <w:highlight w:val="none"/>
          <w:lang w:val="en-US" w:eastAsia="zh-CN"/>
        </w:rPr>
        <w:t xml:space="preserve">并完成验收</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质保期：供应商提供硬件设备免费质保1年（含）以上，软件系统免费升级运维不少于 1 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w:t>
      </w:r>
      <w:r>
        <w:rPr>
          <w:rFonts w:hint="eastAsia" w:ascii="宋体" w:hAnsi="宋体" w:cs="宋体"/>
          <w:b w:val="0"/>
          <w:bCs w:val="0"/>
          <w:color w:val="auto"/>
          <w:szCs w:val="21"/>
          <w:highlight w:val="none"/>
          <w:lang w:val="en-US" w:eastAsia="zh-CN"/>
        </w:rPr>
        <w:t xml:space="preserve">不</w:t>
      </w:r>
      <w:r>
        <w:rPr>
          <w:rFonts w:hint="eastAsia" w:ascii="宋体" w:hAnsi="宋体" w:cs="宋体"/>
          <w:b w:val="0"/>
          <w:bCs w:val="0"/>
          <w:color w:val="auto"/>
          <w:szCs w:val="21"/>
          <w:highlight w:val="none"/>
          <w:lang w:eastAsia="zh-CN"/>
        </w:rPr>
        <w:t xml:space="preserve">接受</w:t>
      </w:r>
      <w:r>
        <w:rPr>
          <w:rFonts w:hint="eastAsia" w:ascii="宋体" w:hAnsi="宋体" w:cs="宋体"/>
          <w:color w:val="auto"/>
          <w:szCs w:val="21"/>
          <w:highlight w:val="none"/>
        </w:rPr>
        <w:t xml:space="preserve">联合体响应。</w:t>
      </w:r>
      <w:r/>
    </w:p>
    <w:p>
      <w:pPr>
        <w:pStyle w:val="908"/>
        <w:ind w:firstLine="422"/>
        <w:spacing w:before="0" w:after="0" w:line="360" w:lineRule="auto"/>
        <w:rPr>
          <w:rFonts w:hint="eastAsia" w:ascii="宋体" w:hAnsi="宋体" w:cs="宋体"/>
          <w:bCs w:val="0"/>
          <w:color w:val="auto"/>
          <w:sz w:val="21"/>
          <w:szCs w:val="21"/>
          <w:highlight w:val="none"/>
        </w:rPr>
      </w:pPr>
      <w:r/>
      <w:bookmarkStart w:id="9" w:name="_Toc109304964"/>
      <w:r>
        <w:rPr>
          <w:rFonts w:hint="eastAsia" w:ascii="宋体" w:hAnsi="宋体" w:cs="宋体"/>
          <w:bCs w:val="0"/>
          <w:color w:val="auto"/>
          <w:sz w:val="21"/>
          <w:szCs w:val="21"/>
          <w:highlight w:val="none"/>
        </w:rPr>
        <w:t xml:space="preserve">二、申请人的资格要求：</w:t>
      </w:r>
      <w:bookmarkEnd w:id="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(提交</w:t>
      </w:r>
      <w:r>
        <w:rPr>
          <w:rFonts w:hint="eastAsia" w:ascii="宋体" w:hAnsi="宋体" w:cs="宋体"/>
          <w:b/>
          <w:bCs/>
          <w:i/>
          <w:iCs/>
          <w:color w:val="auto"/>
          <w:szCs w:val="21"/>
          <w:highlight w:val="none"/>
          <w:u w:val="single"/>
          <w:lang w:eastAsia="zh-CN"/>
        </w:rPr>
        <w:t xml:space="preserve">响应文件</w:t>
      </w:r>
      <w:r>
        <w:rPr>
          <w:rFonts w:hint="eastAsia" w:ascii="宋体" w:hAnsi="宋体" w:cs="宋体"/>
          <w:b/>
          <w:bCs/>
          <w:i/>
          <w:iCs/>
          <w:color w:val="auto"/>
          <w:szCs w:val="21"/>
          <w:highlight w:val="none"/>
          <w:u w:val="single"/>
        </w:rPr>
        <w:t xml:space="preserve">截止时间前一年内任意一个月缴纳职工社会保障资金的缴款凭证或缴款证明)（供应商依法享受缓缴、免缴的提供证明材料）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供应商提交</w:t>
      </w:r>
      <w:r>
        <w:rPr>
          <w:rFonts w:hint="eastAsia" w:ascii="宋体" w:hAnsi="宋体" w:cs="宋体"/>
          <w:i/>
          <w:iCs/>
          <w:color w:val="auto"/>
          <w:szCs w:val="21"/>
          <w:highlight w:val="none"/>
          <w:u w:val="single"/>
          <w:lang w:eastAsia="zh-CN"/>
        </w:rPr>
        <w:t xml:space="preserve">响应文件</w:t>
      </w:r>
      <w:r>
        <w:rPr>
          <w:rFonts w:hint="eastAsia" w:ascii="宋体" w:hAnsi="宋体" w:cs="宋体"/>
          <w:i/>
          <w:iCs/>
          <w:color w:val="auto"/>
          <w:szCs w:val="21"/>
          <w:highlight w:val="none"/>
          <w:u w:val="single"/>
        </w:rPr>
        <w:t xml:space="preserve">截止时间前一年内任意一个月依法纳税的缴款凭证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2.落实政府采购政策需满足的资格要求：根据《政府采购促进中小企业发展管理办法》的规定，本项目不专门面向中小企业，供应商若为小微企业、残疾人福利单位、监狱和戒毒企业则享受相应</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价格扣除优惠。本项目采购标的按中小企业划分标准所属行业区分为</w:t>
      </w:r>
      <w:r>
        <w:rPr>
          <w:rFonts w:hint="eastAsia" w:ascii="宋体" w:hAnsi="宋体" w:cs="宋体"/>
          <w:color w:val="auto"/>
          <w:szCs w:val="21"/>
          <w:highlight w:val="none"/>
          <w:u w:val="single"/>
          <w:lang w:val="en-US" w:eastAsia="zh-CN"/>
        </w:rPr>
        <w:t xml:space="preserve">软件和信息技术服务业</w:t>
      </w:r>
      <w:r>
        <w:rPr>
          <w:rFonts w:hint="eastAsia" w:ascii="宋体" w:hAnsi="宋体" w:cs="宋体"/>
          <w:color w:val="auto"/>
          <w:szCs w:val="21"/>
          <w:highlight w:val="none"/>
        </w:rPr>
        <w:t xml:space="preserve">。</w:t>
      </w:r>
      <w:r/>
    </w:p>
    <w:p>
      <w:pPr>
        <w:ind w:firstLine="525"/>
        <w:jc w:val="left"/>
        <w:spacing w:line="360" w:lineRule="auto"/>
        <w:shd w:val="clear" w:color="auto" w:fill="ffffff"/>
        <w:widowControl/>
        <w:rPr>
          <w:rFonts w:hint="eastAsia" w:ascii="宋体" w:hAnsi="宋体" w:cs="宋体"/>
          <w:color w:val="auto"/>
          <w:szCs w:val="21"/>
          <w:highlight w:val="none"/>
          <w:u w:val="single"/>
          <w:lang w:val="en-US" w:eastAsia="zh-CN"/>
        </w:rPr>
      </w:pPr>
      <w:r>
        <w:rPr>
          <w:rFonts w:hint="eastAsia" w:ascii="宋体" w:hAnsi="宋体" w:cs="宋体"/>
          <w:color w:val="auto"/>
          <w:szCs w:val="21"/>
          <w:highlight w:val="none"/>
        </w:rPr>
        <w:t xml:space="preserve">3.本项目的特定资格要求：</w:t>
      </w:r>
      <w:bookmarkStart w:id="10" w:name="_Toc109304965"/>
      <w:r>
        <w:rPr>
          <w:rFonts w:hint="eastAsia" w:ascii="宋体" w:hAnsi="宋体" w:cs="宋体"/>
          <w:color w:val="auto"/>
          <w:szCs w:val="21"/>
          <w:highlight w:val="none"/>
          <w:u w:val="single"/>
          <w:lang w:val="en-US" w:eastAsia="zh-CN"/>
        </w:rPr>
        <w:t xml:space="preserve">  / </w:t>
      </w:r>
      <w:r/>
    </w:p>
    <w:p>
      <w:pPr>
        <w:numPr>
          <w:ilvl w:val="0"/>
          <w:numId w:val="0"/>
        </w:numPr>
        <w:ind w:firstLine="420"/>
        <w:spacing w:line="360" w:lineRule="auto"/>
        <w:rPr>
          <w:rFonts w:hint="eastAsia" w:ascii="宋体" w:hAnsi="宋体" w:cs="宋体"/>
          <w:bCs w:val="0"/>
          <w:color w:val="auto"/>
          <w:sz w:val="21"/>
          <w:szCs w:val="21"/>
          <w:highlight w:val="none"/>
        </w:rPr>
      </w:pPr>
      <w:r>
        <w:rPr>
          <w:rFonts w:hint="eastAsia" w:ascii="宋体" w:hAnsi="宋体" w:cs="宋体"/>
          <w:i w:val="0"/>
          <w:iCs w:val="0"/>
          <w:color w:val="auto"/>
          <w:szCs w:val="21"/>
          <w:highlight w:val="none"/>
          <w:u w:val="none"/>
        </w:rPr>
        <w:t xml:space="preserve">三</w:t>
      </w:r>
      <w:r>
        <w:rPr>
          <w:rFonts w:hint="eastAsia" w:ascii="宋体" w:hAnsi="宋体" w:cs="宋体"/>
          <w:bCs w:val="0"/>
          <w:i w:val="0"/>
          <w:iCs w:val="0"/>
          <w:color w:val="auto"/>
          <w:sz w:val="21"/>
          <w:szCs w:val="21"/>
          <w:highlight w:val="none"/>
          <w:u w:val="none"/>
        </w:rPr>
        <w:t xml:space="preserve">、</w:t>
      </w:r>
      <w:r>
        <w:rPr>
          <w:rFonts w:hint="eastAsia" w:ascii="宋体" w:hAnsi="宋体" w:cs="宋体"/>
          <w:bCs w:val="0"/>
          <w:color w:val="auto"/>
          <w:sz w:val="21"/>
          <w:szCs w:val="21"/>
          <w:highlight w:val="none"/>
        </w:rPr>
        <w:t xml:space="preserve">获取采购文件</w:t>
      </w:r>
      <w:bookmarkEnd w:id="1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1.时间：自磋商公告发布之日起5个工作日。5个工作日后仍可下载采购文件，但不作为供应商权益受到损害的证明材料和依据。</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2.获取方式：本项目采用网上注册登记方式</w:t>
      </w:r>
      <w:r>
        <w:rPr>
          <w:rFonts w:ascii="SimSun" w:hAnsi="SimSun" w:eastAsia="SimSun" w:cs="SimSun"/>
          <w:b w:val="0"/>
          <w:bCs w:val="0"/>
          <w:color w:val="000000"/>
          <w:sz w:val="21"/>
        </w:rPr>
        <w:t xml:space="preserve">，自行免费下载</w:t>
      </w:r>
      <w:r>
        <w:rPr>
          <w:rFonts w:hint="eastAsia" w:ascii="宋体" w:hAnsi="宋体" w:cs="宋体"/>
          <w:b w:val="0"/>
          <w:bCs w:val="0"/>
          <w:color w:val="auto"/>
          <w:szCs w:val="21"/>
          <w:highlight w:val="none"/>
        </w:rPr>
        <w:t xml:space="preserve">。</w:t>
      </w:r>
      <w:r>
        <w:rPr>
          <w:b w:val="0"/>
          <w:bCs w:val="0"/>
        </w:rPr>
      </w:r>
      <w:r/>
    </w:p>
    <w:p>
      <w:pPr>
        <w:pStyle w:val="908"/>
        <w:ind w:firstLine="422"/>
        <w:spacing w:before="0" w:after="0" w:line="360" w:lineRule="auto"/>
        <w:rPr>
          <w:rFonts w:hint="eastAsia" w:ascii="宋体" w:hAnsi="宋体" w:cs="宋体"/>
          <w:bCs w:val="0"/>
          <w:color w:val="auto"/>
          <w:sz w:val="21"/>
          <w:szCs w:val="21"/>
          <w:highlight w:val="none"/>
        </w:rPr>
      </w:pPr>
      <w:r/>
      <w:bookmarkStart w:id="11" w:name="_Toc109304966"/>
      <w:r>
        <w:rPr>
          <w:rFonts w:hint="eastAsia" w:ascii="宋体" w:hAnsi="宋体" w:cs="宋体"/>
          <w:bCs w:val="0"/>
          <w:color w:val="auto"/>
          <w:sz w:val="21"/>
          <w:szCs w:val="21"/>
          <w:highlight w:val="none"/>
        </w:rPr>
        <w:t xml:space="preserve">四、响应文件提交</w:t>
      </w:r>
      <w:bookmarkEnd w:id="11"/>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29</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0</w:t>
      </w:r>
      <w:r>
        <w:rPr>
          <w:rFonts w:hint="eastAsia" w:ascii="宋体" w:hAnsi="宋体" w:cs="宋体"/>
          <w:bCs/>
          <w:color w:val="auto"/>
          <w:szCs w:val="21"/>
          <w:highlight w:val="none"/>
          <w:u w:val="single"/>
        </w:rPr>
        <w:t xml:space="preserve">0分</w:t>
      </w:r>
      <w:r>
        <w:rPr>
          <w:rFonts w:hint="eastAsia" w:ascii="宋体" w:hAnsi="宋体" w:cs="宋体"/>
          <w:color w:val="auto"/>
          <w:szCs w:val="21"/>
          <w:highlight w:val="none"/>
        </w:rPr>
        <w:t xml:space="preserve">（北京时间）</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 http://jszfcg.jsczt.cn/）“报名详情”</w:t>
      </w:r>
      <w:r/>
    </w:p>
    <w:p>
      <w:pPr>
        <w:pStyle w:val="908"/>
        <w:ind w:firstLine="422"/>
        <w:spacing w:before="0" w:after="0" w:line="360" w:lineRule="auto"/>
        <w:rPr>
          <w:rFonts w:hint="eastAsia" w:ascii="宋体" w:hAnsi="宋体" w:cs="宋体"/>
          <w:bCs w:val="0"/>
          <w:color w:val="auto"/>
          <w:sz w:val="21"/>
          <w:szCs w:val="21"/>
          <w:highlight w:val="none"/>
        </w:rPr>
      </w:pPr>
      <w:r/>
      <w:bookmarkStart w:id="12" w:name="_Toc109304967"/>
      <w:r>
        <w:rPr>
          <w:rFonts w:hint="eastAsia" w:ascii="宋体" w:hAnsi="宋体" w:cs="宋体"/>
          <w:bCs w:val="0"/>
          <w:color w:val="auto"/>
          <w:sz w:val="21"/>
          <w:szCs w:val="21"/>
          <w:highlight w:val="none"/>
        </w:rPr>
        <w:t xml:space="preserve">五、开启</w:t>
      </w:r>
      <w:bookmarkEnd w:id="12"/>
      <w:r/>
      <w:r/>
    </w:p>
    <w:p>
      <w:pPr>
        <w:pStyle w:val="909"/>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color w:val="auto"/>
          <w:szCs w:val="21"/>
          <w:highlight w:val="none"/>
          <w:u w:val="single"/>
          <w:lang w:val="en-US" w:eastAsia="zh-CN"/>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29</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00</w:t>
      </w:r>
      <w:r>
        <w:rPr>
          <w:rFonts w:hint="eastAsia" w:ascii="宋体" w:hAnsi="宋体" w:cs="宋体"/>
          <w:bCs/>
          <w:color w:val="auto"/>
          <w:szCs w:val="21"/>
          <w:highlight w:val="none"/>
          <w:u w:val="single"/>
        </w:rPr>
        <w:t xml:space="preserve">分</w:t>
      </w:r>
      <w:r>
        <w:rPr>
          <w:rFonts w:hint="eastAsia" w:ascii="宋体" w:hAnsi="宋体" w:cs="宋体"/>
          <w:bCs/>
          <w:color w:val="auto"/>
          <w:szCs w:val="21"/>
          <w:highlight w:val="none"/>
        </w:rPr>
        <w:t xml:space="preserve">（北京时间）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2.开标地点：“苏采云”系统（网址： http://jszfcg.jsczt.cn/）“开标大厅”</w:t>
      </w:r>
      <w:r/>
    </w:p>
    <w:p>
      <w:pPr>
        <w:pStyle w:val="908"/>
        <w:ind w:firstLine="422"/>
        <w:spacing w:before="0" w:after="0" w:line="360" w:lineRule="auto"/>
        <w:rPr>
          <w:rFonts w:hint="eastAsia" w:ascii="宋体" w:hAnsi="宋体" w:cs="宋体"/>
          <w:bCs w:val="0"/>
          <w:color w:val="auto"/>
          <w:sz w:val="21"/>
          <w:szCs w:val="21"/>
          <w:highlight w:val="none"/>
        </w:rPr>
      </w:pPr>
      <w:r/>
      <w:bookmarkStart w:id="13" w:name="_Toc109304968"/>
      <w:r>
        <w:rPr>
          <w:rFonts w:hint="eastAsia" w:ascii="宋体" w:hAnsi="宋体" w:cs="宋体"/>
          <w:bCs w:val="0"/>
          <w:color w:val="auto"/>
          <w:sz w:val="21"/>
          <w:szCs w:val="21"/>
          <w:highlight w:val="none"/>
        </w:rPr>
        <w:t xml:space="preserve">六、公告期限</w:t>
      </w:r>
      <w:bookmarkEnd w:id="1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pStyle w:val="908"/>
        <w:ind w:firstLine="422"/>
        <w:spacing w:before="0" w:after="0" w:line="360" w:lineRule="auto"/>
        <w:rPr>
          <w:rFonts w:hint="eastAsia" w:ascii="宋体" w:hAnsi="宋体" w:cs="宋体"/>
          <w:color w:val="auto"/>
          <w:sz w:val="21"/>
          <w:szCs w:val="21"/>
          <w:highlight w:val="none"/>
        </w:rPr>
      </w:pPr>
      <w:r/>
      <w:bookmarkStart w:id="14" w:name="_Toc109304969"/>
      <w:r>
        <w:rPr>
          <w:rFonts w:hint="eastAsia" w:ascii="宋体" w:hAnsi="宋体" w:cs="宋体"/>
          <w:color w:val="auto"/>
          <w:sz w:val="21"/>
          <w:szCs w:val="21"/>
          <w:highlight w:val="none"/>
        </w:rPr>
        <w:t xml:space="preserve">七、其他补充事宜</w:t>
      </w:r>
      <w:bookmarkEnd w:id="14"/>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2.供应商如确定参加磋商，可自行下载采购文件及有关资料，按照《操作手册》进行注册，领取CA和办理电子签章，并按《操作手册》要求制作、上传电子响应文件，技术支持联系方式：13813140731。</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b/>
          <w:color w:val="000000"/>
          <w:sz w:val="21"/>
        </w:rPr>
        <w:t xml:space="preserve">采购节能产品、环境标志产品。 严格按照“《绿色数据中心政府采购需求标准(试行)》(财库〔2023〕7号)”执行。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5.供应商对于投标产品的包装应按照“财办库[2020]123号《关于印发《商品包装政府采购需求标准（试行）》、《快递包装政府采购需求标准（试行）的通知》”执行。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成交供应商可凭政府采购合同办理融资贷款，详见江苏政府采购网“政采贷”专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7.潜在供应商访问政府采购管理交易系统（苏采云）的网络地址和方法：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（2）“CA数字证书”的获取：供应商需办理CA锁，“苏采云”系统目前仅支持“苏采云”系统下的政务CA，省内各地区办理的“苏采云”系统下的政务CA全省通用。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（3）“CA数字证书”的办理材料以及供应商操作手册详见：http://zfcg.yangzhou.gov.cn/zfcg/xzzx/202309/4d7de1f7865f4a2894fc22bc452f94d8.shtml。</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（4）潜在供应商访问“苏采云”系统的网络地址和方法：“苏采云”系统的网址：http://jszfcg.jsczt.cn/。</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（5）采购文件（后缀名为“.kedt”）、供应商操作手册及政府采购客户端工具也可通过“苏采云”系统--已报名项目--报名详情页面内相应链接进行下载。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（6）招标代理机构（采购代理机构）将数据电文形式的采购文件加载至“苏采云”系统，供潜在供应商下载或者查阅。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（7）苏采云系统使用谷歌浏览器参与不见面开标。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8.潜在供应商对采购文件项目需求部分的询问、质疑请向采购人提出，由采购人负责答复。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9.本次采购不收取保证金。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10.本项目不接受进口产品投标。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11.有关本次采购的事项若存在变动或修改，敬请及时关注“扬州市政府采购网”、“江苏省政府采购网”、“中国政府采购网”发布的信息。</w:t>
      </w:r>
      <w:r/>
    </w:p>
    <w:p>
      <w:pPr>
        <w:ind w:firstLine="420"/>
        <w:spacing w:line="360" w:lineRule="auto"/>
        <w:rPr>
          <w:rFonts w:hint="eastAsia" w:ascii="宋体" w:hAnsi="宋体" w:cs="宋体"/>
          <w:color w:val="auto"/>
          <w:szCs w:val="21"/>
          <w:highlight w:val="none"/>
        </w:rPr>
      </w:pPr>
      <w:r>
        <w:rPr>
          <w:rFonts w:ascii="SimSun" w:hAnsi="SimSun" w:eastAsia="SimSun" w:cs="SimSun"/>
          <w:b/>
          <w:i/>
          <w:color w:val="000000"/>
          <w:sz w:val="21"/>
          <w:u w:val="single"/>
        </w:rPr>
        <w:t xml:space="preserve">12.本项目采购文件中所有斜体下划线部分为实质性条款，如不满足，则为无效响应。</w:t>
      </w:r>
      <w:r>
        <w:rPr>
          <w:rFonts w:hint="eastAsia" w:ascii="宋体" w:hAnsi="宋体" w:cs="宋体"/>
          <w:color w:val="auto"/>
          <w:szCs w:val="21"/>
          <w:highlight w:val="none"/>
        </w:rPr>
      </w:r>
      <w:r/>
    </w:p>
    <w:p>
      <w:pPr>
        <w:pStyle w:val="908"/>
        <w:ind w:firstLine="422"/>
        <w:spacing w:before="0" w:after="0" w:line="360" w:lineRule="auto"/>
        <w:rPr>
          <w:rFonts w:hint="eastAsia" w:ascii="宋体" w:hAnsi="宋体" w:cs="宋体"/>
          <w:bCs w:val="0"/>
          <w:color w:val="auto"/>
          <w:sz w:val="21"/>
          <w:szCs w:val="21"/>
          <w:highlight w:val="none"/>
        </w:rPr>
      </w:pPr>
      <w:r/>
      <w:bookmarkStart w:id="15" w:name="_Toc109304970"/>
      <w:r>
        <w:rPr>
          <w:rFonts w:hint="eastAsia" w:ascii="宋体" w:hAnsi="宋体" w:cs="宋体"/>
          <w:bCs w:val="0"/>
          <w:color w:val="auto"/>
          <w:sz w:val="21"/>
          <w:szCs w:val="21"/>
          <w:highlight w:val="none"/>
        </w:rPr>
        <w:t xml:space="preserve">八、本次竞争性磋商联系方式</w:t>
      </w:r>
      <w:bookmarkEnd w:id="15"/>
      <w:r/>
      <w:r/>
    </w:p>
    <w:p>
      <w:pPr>
        <w:pStyle w:val="929"/>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pStyle w:val="929"/>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名称：高邮市送桥镇人民政府 </w:t>
      </w:r>
      <w:r/>
    </w:p>
    <w:p>
      <w:pPr>
        <w:pStyle w:val="929"/>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地址：江苏省扬州市高邮市送桥镇</w:t>
      </w:r>
      <w:r/>
    </w:p>
    <w:p>
      <w:pPr>
        <w:pStyle w:val="929"/>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联 系 人：郝先生</w:t>
      </w:r>
      <w:r/>
    </w:p>
    <w:p>
      <w:pPr>
        <w:pStyle w:val="929"/>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联系电话：13405573747</w:t>
      </w:r>
      <w:r/>
    </w:p>
    <w:p>
      <w:pPr>
        <w:pStyle w:val="929"/>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w:t>
      </w:r>
      <w:r>
        <w:rPr>
          <w:rFonts w:hint="eastAsia" w:hAnsi="宋体" w:cs="宋体"/>
          <w:color w:val="auto"/>
          <w:sz w:val="21"/>
          <w:szCs w:val="21"/>
          <w:highlight w:val="none"/>
          <w:lang w:eastAsia="zh-CN"/>
        </w:rPr>
        <w:t xml:space="preserve">江苏恒泰建设工程咨询有限公司</w:t>
      </w:r>
      <w:r>
        <w:rPr>
          <w:rFonts w:hint="eastAsia" w:hAnsi="宋体" w:cs="宋体"/>
          <w:color w:val="auto"/>
          <w:sz w:val="21"/>
          <w:szCs w:val="21"/>
          <w:highlight w:val="none"/>
        </w:rPr>
        <w:t xml:space="preserve">信息</w:t>
      </w:r>
      <w:r/>
    </w:p>
    <w:p>
      <w:pPr>
        <w:pStyle w:val="92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单位地址：江苏省扬州市高邮市城南经济新区新科路118号</w:t>
      </w:r>
      <w:r/>
    </w:p>
    <w:p>
      <w:pPr>
        <w:pStyle w:val="92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联系人：叶豪</w:t>
      </w:r>
      <w:r/>
    </w:p>
    <w:p>
      <w:pPr>
        <w:pStyle w:val="92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联系电话：18352740357</w:t>
      </w:r>
      <w:r/>
    </w:p>
    <w:p>
      <w:pPr>
        <w:pStyle w:val="907"/>
        <w:jc w:val="center"/>
        <w:spacing w:line="360" w:lineRule="auto"/>
        <w:rPr>
          <w:rFonts w:hint="eastAsia" w:ascii="宋体" w:hAnsi="宋体" w:cs="宋体"/>
          <w:color w:val="auto"/>
          <w:highlight w:val="none"/>
        </w:rPr>
      </w:pPr>
      <w:r>
        <w:rPr>
          <w:rFonts w:hint="eastAsia" w:ascii="宋体" w:hAnsi="宋体" w:cs="宋体"/>
          <w:color w:val="auto"/>
          <w:sz w:val="36"/>
          <w:highlight w:val="none"/>
        </w:rPr>
        <w:br w:type="page" w:clear="all"/>
      </w:r>
      <w:bookmarkStart w:id="17" w:name="_Toc109304972"/>
      <w:r>
        <w:rPr>
          <w:rFonts w:hint="eastAsia" w:ascii="宋体" w:hAnsi="宋体" w:cs="宋体"/>
          <w:color w:val="auto"/>
          <w:highlight w:val="none"/>
        </w:rPr>
        <w:t xml:space="preserve">第二章 磋商须知</w:t>
      </w:r>
      <w:bookmarkEnd w:id="17"/>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1、采购方式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 本次采购采取竞争性磋商方式，本采购文件仅适用于</w:t>
      </w:r>
      <w:r>
        <w:rPr>
          <w:rFonts w:hint="eastAsia" w:ascii="宋体" w:hAnsi="宋体" w:cs="宋体"/>
          <w:color w:val="auto"/>
          <w:highlight w:val="none"/>
          <w:lang w:eastAsia="zh-CN"/>
        </w:rPr>
        <w:t xml:space="preserve">JSZC-321084-HTJS-C2026-0021</w:t>
      </w:r>
      <w:r>
        <w:rPr>
          <w:rFonts w:hint="eastAsia" w:ascii="宋体" w:hAnsi="宋体" w:cs="宋体"/>
          <w:color w:val="auto"/>
          <w:highlight w:val="none"/>
        </w:rPr>
        <w:t xml:space="preserve">号项目。</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2.1 参加竞争性磋商的供应商以下简称“供应商”，是指参加磋商并符合采购文件规定资格条件的法人、其他组织或者自然人。</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2.2合格的供应商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3、适用法律</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3.1 本次采购及由此产生的合同受中华人民共和国有关的法律法规制约和保护。</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4、参加磋商费用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w:t>
      </w:r>
      <w:r>
        <w:rPr>
          <w:rFonts w:hint="eastAsia" w:ascii="宋体" w:hAnsi="宋体" w:cs="宋体"/>
          <w:color w:val="auto"/>
          <w:highlight w:val="none"/>
          <w:lang w:eastAsia="zh-CN"/>
        </w:rPr>
        <w:t xml:space="preserve">江苏恒泰建设工程咨询有限公司</w:t>
      </w:r>
      <w:r>
        <w:rPr>
          <w:rFonts w:hint="eastAsia" w:ascii="宋体" w:hAnsi="宋体" w:cs="宋体"/>
          <w:color w:val="auto"/>
          <w:highlight w:val="none"/>
        </w:rPr>
        <w:t xml:space="preserve">(以下简称代理机构)在任何情况下均无义务和责任承担这些费用。</w:t>
      </w:r>
      <w:r/>
    </w:p>
    <w:p>
      <w:pPr>
        <w:ind w:firstLine="42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4.2</w:t>
      </w:r>
      <w:r>
        <w:rPr>
          <w:rFonts w:hint="eastAsia" w:ascii="宋体" w:hAnsi="宋体" w:eastAsia="宋体" w:cs="宋体"/>
          <w:b/>
          <w:bCs/>
          <w:color w:val="auto"/>
          <w:szCs w:val="21"/>
          <w:highlight w:val="none"/>
        </w:rPr>
        <w:t xml:space="preserve">本次采购预算中已包含参照《招标代理服务收费管理暂行办法》(计价格【2002】1980号文)</w:t>
      </w:r>
      <w:r>
        <w:rPr>
          <w:rFonts w:hint="eastAsia" w:ascii="宋体" w:hAnsi="宋体" w:cs="宋体"/>
          <w:b/>
          <w:bCs/>
          <w:color w:val="auto"/>
          <w:szCs w:val="21"/>
          <w:highlight w:val="none"/>
          <w:lang w:val="en-US" w:eastAsia="zh-CN"/>
        </w:rPr>
        <w:t xml:space="preserve">服务</w:t>
      </w:r>
      <w:r>
        <w:rPr>
          <w:rFonts w:hint="eastAsia" w:ascii="宋体" w:hAnsi="宋体" w:eastAsia="宋体" w:cs="宋体"/>
          <w:b/>
          <w:bCs/>
          <w:color w:val="auto"/>
          <w:szCs w:val="21"/>
          <w:highlight w:val="none"/>
        </w:rPr>
        <w:t xml:space="preserve">类标准计取代理服务费，投标报价应包含代理服务费，由成交供应商支付给代理机构。</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 </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 </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（3）招标代理服务费不在报价中单列，由中标单位支付给代理机构。 </w:t>
      </w:r>
      <w:r/>
    </w:p>
    <w:p>
      <w:pPr>
        <w:ind w:firstLine="422"/>
        <w:spacing w:line="360" w:lineRule="auto"/>
        <w:rPr>
          <w:rFonts w:hint="eastAsia" w:ascii="宋体" w:hAnsi="宋体"/>
          <w:b/>
          <w:color w:val="auto"/>
          <w:szCs w:val="21"/>
          <w:highlight w:val="none"/>
        </w:rPr>
      </w:pPr>
      <w:r>
        <w:rPr>
          <w:rFonts w:hint="eastAsia" w:ascii="宋体" w:hAnsi="宋体" w:eastAsia="宋体" w:cs="宋体"/>
          <w:b/>
          <w:bCs/>
          <w:color w:val="auto"/>
          <w:szCs w:val="21"/>
          <w:highlight w:val="none"/>
        </w:rPr>
        <w:t xml:space="preserve">4.3专家评审费按照《扬州市财政局关于进一步规范扬州市政府采购专家评审费标准的通知》（扬财购〔2020〕40号）执行。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5、采购文件的约束力</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6、采购文件构成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（1）采购公告</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（3）合同条款及格式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（4）项目需求</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（5）评审方法与评审标准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6.3采购文件如果要求供应商提交备选响应方案的，供应商可以提交备选方案；否则，备选方案将被拒绝。</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7</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采购文件的澄清</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8</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采购文件的修改</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8.2采购文件的修改将在“扬州市政府采购网”、“江苏省政府采购网”</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中国政府采购网”</w:t>
      </w:r>
      <w:r>
        <w:rPr>
          <w:rFonts w:hint="eastAsia" w:ascii="宋体" w:hAnsi="宋体" w:cs="宋体"/>
          <w:color w:val="auto"/>
          <w:highlight w:val="none"/>
        </w:rPr>
        <w:t xml:space="preserve">公布，补充文件将作为采购文件的组成部分，并对供应商具有约束力。</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9.2除技术性能另有规定外，采购文件所使用的度量衡单位，均须采用国家法定计量单位。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10、响应文件构成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（1）资格审查响应对照表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（3）非实质性响应对照表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（4）磋商响应报价表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（7）其他（供应商认为有必要提供的声明和文件，如有自拟并自行添加）</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11</w:t>
      </w:r>
      <w:r>
        <w:rPr>
          <w:rFonts w:hint="eastAsia" w:ascii="宋体" w:hAnsi="宋体" w:cs="宋体"/>
          <w:color w:val="auto"/>
          <w:highlight w:val="none"/>
        </w:rPr>
        <w:t xml:space="preserve">、</w:t>
      </w:r>
      <w:r>
        <w:rPr>
          <w:rFonts w:hint="eastAsia" w:ascii="宋体" w:hAnsi="宋体" w:cs="宋体"/>
          <w:color w:val="auto"/>
          <w:highlight w:val="none"/>
        </w:rPr>
        <w:t xml:space="preserve">证明供应商资格及符合采购文件规定的文件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12、磋商响应报价表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12.2 标的物</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12.3其它费用处理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13、技术参数响应及偏离表、商务条款响应及偏离表及磋商服务说明</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14、服务承诺及售后服务机构、人员的情况介绍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15、磋商响应函</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16、磋商响应有效期</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b/>
          <w:bCs/>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60" w:lineRule="auto"/>
        <w:rPr>
          <w:rFonts w:hint="eastAsia" w:ascii="宋体" w:hAnsi="宋体" w:cs="宋体"/>
          <w:color w:val="auto"/>
          <w:highlight w:val="none"/>
        </w:rPr>
      </w:pPr>
      <w:r/>
      <w:bookmarkStart w:id="18" w:name="_Toc20823297"/>
      <w:r/>
      <w:bookmarkStart w:id="19" w:name="_Toc16938541"/>
      <w:r>
        <w:rPr>
          <w:rFonts w:hint="eastAsia" w:ascii="宋体" w:hAnsi="宋体" w:cs="宋体"/>
          <w:color w:val="auto"/>
          <w:highlight w:val="none"/>
        </w:rPr>
        <w:t xml:space="preserve">17、响应文件</w:t>
      </w:r>
      <w:bookmarkEnd w:id="18"/>
      <w:r/>
      <w:bookmarkEnd w:id="19"/>
      <w:r>
        <w:rPr>
          <w:rFonts w:hint="eastAsia" w:ascii="宋体" w:hAnsi="宋体" w:cs="宋体"/>
          <w:color w:val="auto"/>
          <w:highlight w:val="none"/>
        </w:rPr>
        <w:t xml:space="preserve">的递交</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20" w:name="_Toc16938542"/>
      <w:r/>
      <w:bookmarkStart w:id="21" w:name="_Toc20823298"/>
      <w:r/>
      <w:r/>
    </w:p>
    <w:p>
      <w:pPr>
        <w:ind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相关要求是本采购文件的组成部分。</w:t>
      </w:r>
      <w:r/>
    </w:p>
    <w:p>
      <w:pPr>
        <w:ind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17.4供应商应当对采购文件提出的要求和条件作出实质性响应，并在电子投标系统逐条应答。</w:t>
      </w:r>
      <w:r/>
    </w:p>
    <w:p>
      <w:pPr>
        <w:ind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keepLines w:val="0"/>
        <w:keepNext w:val="0"/>
        <w:pageBreakBefore w:val="0"/>
        <w:spacing w:line="360" w:lineRule="auto"/>
        <w:rPr>
          <w:rFonts w:hint="eastAsia" w:ascii="宋体" w:hAnsi="宋体" w:cs="宋体"/>
          <w:color w:val="auto"/>
          <w:highlight w:val="none"/>
        </w:rPr>
      </w:pPr>
      <w:r>
        <w:rPr>
          <w:rFonts w:hint="eastAsia" w:ascii="宋体" w:hAnsi="宋体" w:cs="宋体"/>
          <w:b/>
          <w:color w:val="auto"/>
          <w:szCs w:val="21"/>
          <w:highlight w:val="none"/>
        </w:rPr>
        <w:t xml:space="preserve">17.6各供应商应在规定时间内凭CA证书进行网上解密。</w:t>
      </w:r>
      <w:r/>
    </w:p>
    <w:p>
      <w:pPr>
        <w:ind w:firstLine="422"/>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
          <w:bCs/>
          <w:color w:val="auto"/>
          <w:highlight w:val="none"/>
        </w:rPr>
        <w:t xml:space="preserve">18、磋商响应截止日期</w:t>
      </w:r>
      <w:bookmarkEnd w:id="20"/>
      <w:r/>
      <w:bookmarkEnd w:id="21"/>
      <w:r/>
      <w:r/>
    </w:p>
    <w:p>
      <w:pPr>
        <w:ind w:firstLine="420"/>
        <w:keepLines w:val="0"/>
        <w:keepNext w:val="0"/>
        <w:pageBreakBefore w:val="0"/>
        <w:spacing w:line="360" w:lineRule="auto"/>
        <w:rPr>
          <w:rFonts w:hint="eastAsia" w:ascii="宋体" w:hAnsi="宋体" w:cs="宋体"/>
          <w:bCs/>
          <w:i/>
          <w:color w:val="auto"/>
          <w:highlight w:val="none"/>
          <w:u w:val="single"/>
        </w:rPr>
      </w:pPr>
      <w:r>
        <w:rPr>
          <w:rFonts w:hint="eastAsia" w:ascii="宋体" w:hAnsi="宋体" w:cs="宋体"/>
          <w:i/>
          <w:color w:val="auto"/>
          <w:highlight w:val="none"/>
          <w:u w:val="single"/>
        </w:rPr>
        <w:t xml:space="preserve">18.1</w:t>
      </w:r>
      <w:r>
        <w:rPr>
          <w:rFonts w:hint="eastAsia" w:ascii="宋体" w:hAnsi="宋体" w:cs="宋体"/>
          <w:bCs/>
          <w:i/>
          <w:color w:val="auto"/>
          <w:highlight w:val="none"/>
          <w:u w:val="single"/>
        </w:rPr>
        <w:t xml:space="preserve"> 供应商上传电子响应文件的时间不得迟于采购公告中规定的磋商响应截止时间。</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keepLines w:val="0"/>
        <w:keepNext w:val="0"/>
        <w:pageBreakBefore w:val="0"/>
        <w:spacing w:line="360" w:lineRule="auto"/>
        <w:rPr>
          <w:rFonts w:hint="eastAsia" w:ascii="宋体" w:hAnsi="宋体" w:cs="宋体"/>
          <w:color w:val="auto"/>
          <w:highlight w:val="none"/>
        </w:rPr>
      </w:pPr>
      <w:r/>
      <w:bookmarkStart w:id="22" w:name="_Toc20823299"/>
      <w:r/>
      <w:bookmarkStart w:id="23" w:name="_Toc16938543"/>
      <w:r>
        <w:rPr>
          <w:rFonts w:hint="eastAsia" w:ascii="宋体" w:hAnsi="宋体" w:cs="宋体"/>
          <w:color w:val="auto"/>
          <w:highlight w:val="none"/>
        </w:rPr>
        <w:t xml:space="preserve">19、响应文件</w:t>
      </w:r>
      <w:bookmarkEnd w:id="22"/>
      <w:r/>
      <w:bookmarkEnd w:id="23"/>
      <w:r>
        <w:rPr>
          <w:rFonts w:hint="eastAsia" w:ascii="宋体" w:hAnsi="宋体" w:cs="宋体"/>
          <w:color w:val="auto"/>
          <w:highlight w:val="none"/>
        </w:rPr>
        <w:t xml:space="preserve">的拒收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keepLines w:val="0"/>
        <w:keepNext w:val="0"/>
        <w:pageBreakBefore w:val="0"/>
        <w:spacing w:line="360" w:lineRule="auto"/>
        <w:rPr>
          <w:rFonts w:hint="eastAsia" w:ascii="宋体" w:hAnsi="宋体" w:cs="宋体"/>
          <w:color w:val="auto"/>
          <w:highlight w:val="none"/>
        </w:rPr>
      </w:pPr>
      <w:r/>
      <w:bookmarkStart w:id="24" w:name="_Toc16938544"/>
      <w:r/>
      <w:bookmarkStart w:id="25" w:name="_Toc20823300"/>
      <w:r>
        <w:rPr>
          <w:rFonts w:hint="eastAsia" w:ascii="宋体" w:hAnsi="宋体" w:cs="宋体"/>
          <w:color w:val="auto"/>
          <w:highlight w:val="none"/>
        </w:rPr>
        <w:t xml:space="preserve">20、响应文件的撤回和修改</w:t>
      </w:r>
      <w:bookmarkEnd w:id="24"/>
      <w:r/>
      <w:bookmarkEnd w:id="25"/>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20.1 响应文件的撤回</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20.2 响应文件的修改</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21、磋商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22、磋商小组</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22.1</w:t>
      </w:r>
      <w:r>
        <w:rPr>
          <w:rFonts w:hint="eastAsia" w:ascii="宋体" w:hAnsi="宋体" w:cs="宋体"/>
          <w:b/>
          <w:bCs/>
          <w:color w:val="auto"/>
          <w:highlight w:val="none"/>
        </w:rPr>
        <w:t xml:space="preserve"> </w:t>
      </w:r>
      <w:r>
        <w:rPr>
          <w:rFonts w:hint="eastAsia" w:ascii="宋体" w:hAnsi="宋体" w:cs="宋体"/>
          <w:color w:val="auto"/>
          <w:highlight w:val="none"/>
        </w:rPr>
        <w:t xml:space="preserve">磋商开始后，代理机构将立即组织磋商小组进行评审。</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23、评审过程的保密与公正</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24、磋商的澄清</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中做出澄清，澄清的内容作为响应文件的补充部分。具体操作方式见</w:t>
      </w:r>
      <w:r>
        <w:rPr>
          <w:rFonts w:hint="eastAsia" w:ascii="宋体" w:hAnsi="宋体" w:cs="宋体"/>
          <w:bCs/>
          <w:color w:val="auto"/>
          <w:highlight w:val="none"/>
        </w:rPr>
        <w:t xml:space="preserve">《操作手册》</w:t>
      </w:r>
      <w:r>
        <w:rPr>
          <w:rFonts w:hint="eastAsia" w:ascii="宋体" w:hAnsi="宋体" w:cs="宋体"/>
          <w:color w:val="auto"/>
          <w:highlight w:val="none"/>
        </w:rPr>
        <w:t xml:space="preserve">。</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24.3接到磋商小组澄清要求的供应商如未按规定做出澄清，其风险由供应商自行承担。</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25、对响应文件的初审</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26.1磋商程序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 评审方法和标准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26.2.2评审标准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见本采购文件第五章规定。</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27、无效响应及采购活动终止的情况</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27.1无效响应条款</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27.1.1 供应商未按照采购文件要求上传电子磋商响应文件的。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27.1.2 供应商未成功解密电子磋商响应文件的。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27.1.3 供应商不具备采购文件中规定资格要求的。</w:t>
      </w:r>
      <w:r/>
    </w:p>
    <w:p>
      <w:pPr>
        <w:ind w:firstLine="420"/>
        <w:keepLines w:val="0"/>
        <w:keepNext w:val="0"/>
        <w:pageBreakBefore w:val="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27.1.4 未通过符合性审查的。</w:t>
      </w:r>
      <w:r/>
    </w:p>
    <w:p>
      <w:pPr>
        <w:ind w:firstLine="420"/>
        <w:keepLines w:val="0"/>
        <w:keepNext w:val="0"/>
        <w:pageBreakBefore w:val="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27.1.5 不符合采购文件中规定的其他实质性要求和条件的（</w:t>
      </w:r>
      <w:r>
        <w:rPr>
          <w:rFonts w:hint="eastAsia" w:ascii="宋体" w:hAnsi="宋体" w:cs="宋体"/>
          <w:bCs/>
          <w:i/>
          <w:color w:val="auto"/>
          <w:highlight w:val="none"/>
          <w:u w:val="single"/>
        </w:rPr>
        <w:t xml:space="preserve">本采购文件中斜体且有下划线部分为实质性要求和条件）。</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27.1.6 </w:t>
      </w:r>
      <w:r>
        <w:rPr>
          <w:rFonts w:hint="eastAsia" w:ascii="宋体" w:hAnsi="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27.1.7 本项目采购产品被财政部、国家发改委、生态环境部等列入“节能产品品目清单”强制采购范围，而供应商所磋商产品不在强制采购范围内的。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27.1.8 响应文件未按照采购文件要求加盖电子签章。</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 异常低价投标（响应）</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27.1.9.3投标（响应）报价低于采购项目最高限价 45% 的，即投标（响应）报价&lt;采购项目最高限价×45% ；</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27.1.9.4评审委员会认定的供应商报价过低、有可能影响产品质量或者不能诚信履约的其他情形。</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eastAsia="宋体" w:cs="宋体"/>
          <w:color w:val="auto"/>
          <w:sz w:val="21"/>
          <w:szCs w:val="21"/>
          <w:highlight w:val="none"/>
        </w:rPr>
        <w:t xml:space="preserve">27.1.</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其他法律、法规及本采购文件规定的属无效响应的情形。</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 </w:t>
      </w:r>
      <w:r>
        <w:rPr>
          <w:rFonts w:hint="eastAsia" w:ascii="宋体" w:hAnsi="宋体" w:cs="宋体"/>
          <w:color w:val="auto"/>
          <w:highlight w:val="none"/>
        </w:rPr>
        <w:t xml:space="preserve">采购活动终止的情况</w:t>
      </w:r>
      <w:r>
        <w:rPr>
          <w:rFonts w:hint="eastAsia" w:ascii="宋体" w:hAnsi="宋体" w:cs="宋体"/>
          <w:bCs/>
          <w:color w:val="auto"/>
          <w:highlight w:val="none"/>
        </w:rPr>
        <w:t xml:space="preserve">：</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27.2.1 因情况变化，不再符合规定的竞争性磋商采购方式适用情形的；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27.2.2 出现影响采购公正的违法、违规行为的；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27.2.3 </w:t>
      </w:r>
      <w:r>
        <w:rPr>
          <w:rFonts w:hint="eastAsia" w:ascii="宋体" w:hAnsi="宋体" w:cs="宋体"/>
          <w:color w:val="auto"/>
          <w:highlight w:val="none"/>
        </w:rPr>
        <w:t xml:space="preserve">除本磋商文件第26.1.2条第三款规定的情形外，在采购过程中符合要求的供应商或者报价未超过采购预算的供应商不足3家的。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27.2.4 因重大变故，采购任务取消的。</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28、确定成交单位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28.3 代理机构将在“扬州市政府采购网”、“江苏省政府采购网”</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中国政府采购网”</w:t>
      </w:r>
      <w:r>
        <w:rPr>
          <w:rFonts w:hint="eastAsia" w:ascii="宋体" w:hAnsi="宋体" w:cs="宋体"/>
          <w:color w:val="auto"/>
          <w:highlight w:val="none"/>
        </w:rPr>
        <w:t xml:space="preserve">发布成交公告，公告期限为1个工作日。</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29、质疑处理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30、成交通知书</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30.l</w:t>
      </w:r>
      <w:r>
        <w:rPr>
          <w:rFonts w:hint="eastAsia" w:ascii="宋体" w:hAnsi="宋体" w:cs="宋体"/>
          <w:b/>
          <w:bCs/>
          <w:color w:val="auto"/>
          <w:highlight w:val="none"/>
        </w:rPr>
        <w:t xml:space="preserve"> </w:t>
      </w:r>
      <w:r>
        <w:rPr>
          <w:rFonts w:hint="eastAsia" w:ascii="宋体" w:hAnsi="宋体" w:cs="宋体"/>
          <w:color w:val="auto"/>
          <w:highlight w:val="none"/>
        </w:rPr>
        <w:t xml:space="preserve">成交结果确定后，代理机构将向成交供应商发出成通知书。</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31、签订合同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31.2</w:t>
      </w:r>
      <w:r>
        <w:rPr>
          <w:rFonts w:hint="eastAsia" w:ascii="宋体" w:hAnsi="宋体" w:cs="宋体"/>
          <w:b/>
          <w:bCs/>
          <w:color w:val="auto"/>
          <w:highlight w:val="none"/>
        </w:rPr>
        <w:t xml:space="preserve"> </w:t>
      </w:r>
      <w:r>
        <w:rPr>
          <w:rFonts w:hint="eastAsia" w:ascii="宋体" w:hAnsi="宋体" w:cs="宋体"/>
          <w:color w:val="auto"/>
          <w:highlight w:val="none"/>
        </w:rPr>
        <w:t xml:space="preserve">采购文件、成交供应商的响应文件及磋商过程中有关澄清、承诺文件均应作为合同附件。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31.3 合同在“政府采购管理交易系统（苏采云）”中签订，签订合同后，</w:t>
      </w:r>
      <w:r>
        <w:rPr>
          <w:rFonts w:hint="eastAsia" w:ascii="宋体" w:hAnsi="宋体" w:cs="宋体"/>
          <w:bCs/>
          <w:i/>
          <w:iCs/>
          <w:color w:val="auto"/>
          <w:szCs w:val="21"/>
          <w:highlight w:val="none"/>
          <w:u w:val="single"/>
        </w:rPr>
        <w:t xml:space="preserve">成交供应商不得将</w:t>
      </w:r>
      <w:r>
        <w:rPr>
          <w:rFonts w:hint="eastAsia" w:ascii="宋体" w:hAnsi="宋体" w:cs="宋体"/>
          <w:bCs/>
          <w:i/>
          <w:iCs/>
          <w:color w:val="auto"/>
          <w:szCs w:val="21"/>
          <w:highlight w:val="none"/>
          <w:u w:val="single"/>
          <w:lang w:val="en-US" w:eastAsia="zh-CN"/>
        </w:rPr>
        <w:t xml:space="preserve">建设项目</w:t>
      </w:r>
      <w:r>
        <w:rPr>
          <w:rFonts w:hint="eastAsia" w:ascii="宋体" w:hAnsi="宋体" w:cs="宋体"/>
          <w:bCs/>
          <w:i/>
          <w:iCs/>
          <w:color w:val="auto"/>
          <w:szCs w:val="21"/>
          <w:highlight w:val="none"/>
          <w:u w:val="single"/>
        </w:rPr>
        <w:t xml:space="preserve">进行转包</w:t>
      </w:r>
      <w:r>
        <w:rPr>
          <w:rFonts w:hint="eastAsia" w:ascii="宋体" w:hAnsi="宋体" w:cs="宋体"/>
          <w:bCs/>
          <w:color w:val="auto"/>
          <w:szCs w:val="21"/>
          <w:highlight w:val="none"/>
        </w:rPr>
        <w:t xml:space="preserve">。未经采购人同意，成交供应商也不得采用分包的形式履行合同，否则采购人有权终止合同。转包或分包造成采购人损失的，成交供应商应承担赔偿责任。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keepLines w:val="0"/>
        <w:keepNext w:val="0"/>
        <w:pageBreakBefore w:val="0"/>
        <w:spacing w:line="360" w:lineRule="auto"/>
        <w:tabs>
          <w:tab w:val="left" w:pos="900" w:leader="none"/>
        </w:tabs>
        <w:rPr>
          <w:rFonts w:hint="eastAsia" w:ascii="宋体" w:hAnsi="宋体" w:eastAsia="宋体"/>
          <w:color w:val="auto"/>
          <w:szCs w:val="21"/>
          <w:highlight w:val="none"/>
          <w:lang w:eastAsia="zh-CN"/>
        </w:rPr>
      </w:pPr>
      <w:r>
        <w:rPr>
          <w:rFonts w:hint="eastAsia" w:ascii="宋体" w:hAnsi="宋体" w:cs="宋体"/>
          <w:b/>
          <w:bCs/>
          <w:color w:val="auto"/>
          <w:highlight w:val="none"/>
          <w:lang w:val="en-US" w:eastAsia="zh-CN"/>
        </w:rPr>
        <w:t xml:space="preserve">32、</w:t>
      </w:r>
      <w:r>
        <w:rPr>
          <w:rFonts w:hint="eastAsia" w:ascii="宋体" w:hAnsi="宋体" w:cs="宋体"/>
          <w:b/>
          <w:bCs/>
          <w:color w:val="auto"/>
          <w:highlight w:val="none"/>
          <w:lang w:eastAsia="zh-CN"/>
        </w:rPr>
        <w:t xml:space="preserve">履约保证金（</w:t>
      </w:r>
      <w:r>
        <w:rPr>
          <w:rFonts w:hint="eastAsia" w:ascii="宋体" w:hAnsi="宋体" w:cs="宋体"/>
          <w:b/>
          <w:bCs/>
          <w:color w:val="auto"/>
          <w:highlight w:val="none"/>
          <w:lang w:val="en-US" w:eastAsia="zh-CN"/>
        </w:rPr>
        <w:t xml:space="preserve">本项目不收取</w:t>
      </w:r>
      <w:r>
        <w:rPr>
          <w:rFonts w:hint="eastAsia" w:ascii="宋体" w:hAnsi="宋体" w:cs="宋体"/>
          <w:b/>
          <w:bCs/>
          <w:color w:val="auto"/>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highlight w:val="none"/>
          <w:u w:val="none"/>
        </w:rPr>
      </w:pPr>
      <w:r>
        <w:rPr>
          <w:rFonts w:hint="eastAsia" w:ascii="宋体" w:hAnsi="宋体" w:eastAsia="宋体" w:cs="宋体"/>
          <w:bCs/>
          <w:color w:val="auto"/>
          <w:szCs w:val="21"/>
          <w:highlight w:val="none"/>
          <w:u w:val="none"/>
          <w:lang w:val="en-US" w:eastAsia="zh-CN"/>
        </w:rPr>
        <w:t xml:space="preserve">2.1 </w:t>
      </w:r>
      <w:r>
        <w:rPr>
          <w:rFonts w:hint="eastAsia" w:ascii="宋体" w:hAnsi="宋体" w:eastAsia="宋体" w:cs="宋体"/>
          <w:color w:val="auto"/>
          <w:highlight w:val="none"/>
          <w:u w:val="none"/>
        </w:rPr>
        <w:t xml:space="preserve">合同签订前，</w:t>
      </w:r>
      <w:r>
        <w:rPr>
          <w:rFonts w:hint="eastAsia" w:ascii="宋体" w:hAnsi="宋体" w:eastAsia="宋体" w:cs="宋体"/>
          <w:color w:val="auto"/>
          <w:highlight w:val="none"/>
          <w:u w:val="none"/>
          <w:lang w:eastAsia="zh-CN"/>
        </w:rPr>
        <w:t xml:space="preserve">成交供应商</w:t>
      </w:r>
      <w:r>
        <w:rPr>
          <w:rFonts w:hint="eastAsia" w:ascii="宋体" w:hAnsi="宋体" w:cs="宋体"/>
          <w:color w:val="auto"/>
          <w:highlight w:val="none"/>
          <w:u w:val="none"/>
          <w:lang w:val="en-US" w:eastAsia="zh-CN"/>
        </w:rPr>
        <w:t xml:space="preserve">按</w:t>
      </w:r>
      <w:r>
        <w:rPr>
          <w:rFonts w:hint="eastAsia" w:ascii="宋体" w:hAnsi="宋体" w:eastAsia="宋体" w:cs="宋体"/>
          <w:color w:val="auto"/>
          <w:highlight w:val="none"/>
          <w:u w:val="none"/>
          <w:lang w:eastAsia="zh-CN"/>
        </w:rPr>
        <w:t xml:space="preserve">采购人</w:t>
      </w:r>
      <w:r>
        <w:rPr>
          <w:rFonts w:hint="eastAsia" w:ascii="宋体" w:hAnsi="宋体" w:cs="宋体"/>
          <w:color w:val="auto"/>
          <w:highlight w:val="none"/>
          <w:u w:val="none"/>
          <w:lang w:val="en-US" w:eastAsia="zh-CN"/>
        </w:rPr>
        <w:t xml:space="preserve">要求</w:t>
      </w:r>
      <w:r>
        <w:rPr>
          <w:rFonts w:hint="eastAsia" w:ascii="宋体" w:hAnsi="宋体" w:eastAsia="宋体" w:cs="宋体"/>
          <w:color w:val="auto"/>
          <w:highlight w:val="none"/>
          <w:u w:val="none"/>
          <w:lang w:eastAsia="zh-CN"/>
        </w:rPr>
        <w:t xml:space="preserve">缴纳</w:t>
      </w:r>
      <w:r>
        <w:rPr>
          <w:rFonts w:hint="eastAsia" w:ascii="宋体" w:hAnsi="宋体" w:eastAsia="宋体" w:cs="宋体"/>
          <w:color w:val="auto"/>
          <w:highlight w:val="none"/>
          <w:u w:val="none"/>
        </w:rPr>
        <w:t xml:space="preserve">合同总价</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none"/>
        </w:rPr>
        <w:t xml:space="preserve">%的履约保证金，工程完工验收合格后一次性退清，不计息。</w:t>
      </w:r>
      <w:r/>
    </w:p>
    <w:p>
      <w:pPr>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highlight w:val="none"/>
          <w:lang w:val="en-US" w:eastAsia="zh-CN"/>
        </w:rPr>
        <w:t xml:space="preserve">2.2 </w:t>
      </w:r>
      <w:r>
        <w:rPr>
          <w:rFonts w:hint="eastAsia" w:ascii="宋体" w:hAnsi="宋体" w:eastAsia="宋体" w:cs="宋体"/>
          <w:bCs/>
          <w:color w:val="auto"/>
          <w:szCs w:val="21"/>
          <w:highlight w:val="none"/>
        </w:rPr>
        <w:t xml:space="preserve">履约保证金</w:t>
      </w:r>
      <w:r>
        <w:rPr>
          <w:rFonts w:hint="eastAsia" w:ascii="宋体" w:hAnsi="宋体" w:eastAsia="宋体" w:cs="宋体"/>
          <w:color w:val="auto"/>
          <w:szCs w:val="21"/>
          <w:highlight w:val="none"/>
        </w:rPr>
        <w:t xml:space="preserve">用以约束供应商在合同履行中的行为，弥补合同执行中由于自身行为可能给采购人带来的各种损失。如果</w:t>
      </w:r>
      <w:r>
        <w:rPr>
          <w:rFonts w:hint="eastAsia" w:ascii="宋体" w:hAnsi="宋体" w:cs="宋体"/>
          <w:color w:val="auto"/>
          <w:szCs w:val="21"/>
          <w:highlight w:val="none"/>
          <w:lang w:eastAsia="zh-CN"/>
        </w:rPr>
        <w:t xml:space="preserve">成交</w:t>
      </w:r>
      <w:r>
        <w:rPr>
          <w:rFonts w:hint="eastAsia" w:ascii="宋体" w:hAnsi="宋体" w:eastAsia="宋体" w:cs="宋体"/>
          <w:color w:val="auto"/>
          <w:szCs w:val="21"/>
          <w:highlight w:val="none"/>
        </w:rPr>
        <w:t xml:space="preserve">供应商不同意按照规定去做，采购代理机构有权取消本次采购</w:t>
      </w:r>
      <w:r>
        <w:rPr>
          <w:rFonts w:hint="eastAsia" w:ascii="宋体" w:hAnsi="宋体" w:cs="宋体"/>
          <w:color w:val="auto"/>
          <w:szCs w:val="21"/>
          <w:highlight w:val="none"/>
          <w:lang w:eastAsia="zh-CN"/>
        </w:rPr>
        <w:t xml:space="preserve">成交</w:t>
      </w:r>
      <w:r>
        <w:rPr>
          <w:rFonts w:hint="eastAsia" w:ascii="宋体" w:hAnsi="宋体" w:eastAsia="宋体" w:cs="宋体"/>
          <w:color w:val="auto"/>
          <w:szCs w:val="21"/>
          <w:highlight w:val="none"/>
        </w:rPr>
        <w:t xml:space="preserve">决定。</w:t>
      </w:r>
      <w:r/>
    </w:p>
    <w:p>
      <w:pPr>
        <w:ind w:firstLine="422"/>
        <w:keepLines w:val="0"/>
        <w:keepNext w:val="0"/>
        <w:pageBreakBefore w:val="0"/>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 xml:space="preserve">33、</w:t>
      </w:r>
      <w:r>
        <w:rPr>
          <w:rFonts w:hint="eastAsia" w:ascii="宋体" w:hAnsi="宋体" w:eastAsia="宋体" w:cs="宋体"/>
          <w:b/>
          <w:bCs/>
          <w:color w:val="auto"/>
          <w:highlight w:val="none"/>
          <w:lang w:eastAsia="zh-CN"/>
        </w:rPr>
        <w:t xml:space="preserve">其他</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07"/>
        <w:jc w:val="center"/>
        <w:spacing w:line="360" w:lineRule="auto"/>
        <w:rPr>
          <w:rFonts w:hint="eastAsia" w:hAnsi="宋体"/>
          <w:color w:val="auto"/>
          <w:sz w:val="21"/>
          <w:szCs w:val="21"/>
          <w:highlight w:val="none"/>
        </w:rPr>
      </w:pPr>
      <w:r/>
      <w:bookmarkStart w:id="26" w:name="_Toc109304973"/>
      <w:r>
        <w:rPr>
          <w:rFonts w:hint="eastAsia" w:ascii="宋体" w:hAnsi="宋体" w:cs="宋体"/>
          <w:color w:val="auto"/>
          <w:highlight w:val="none"/>
        </w:rPr>
        <w:br w:type="page" w:clear="all"/>
      </w:r>
      <w:r>
        <w:rPr>
          <w:rFonts w:hint="eastAsia" w:ascii="宋体" w:hAnsi="宋体" w:cs="宋体"/>
          <w:color w:val="auto"/>
          <w:highlight w:val="none"/>
        </w:rPr>
        <w:t xml:space="preserve">第三章 合同条款及格式</w:t>
      </w:r>
      <w:bookmarkEnd w:id="26"/>
      <w:r/>
      <w:bookmarkStart w:id="27" w:name="_Toc109304974"/>
      <w:r/>
      <w:r/>
    </w:p>
    <w:p>
      <w:pPr>
        <w:pStyle w:val="929"/>
        <w:ind w:firstLine="400"/>
        <w:spacing w:before="120" w:after="120" w:line="360" w:lineRule="auto"/>
        <w:rPr>
          <w:rFonts w:hAnsi="宋体"/>
          <w:color w:val="auto"/>
          <w:sz w:val="21"/>
          <w:szCs w:val="21"/>
          <w:highlight w:val="none"/>
        </w:rPr>
      </w:pPr>
      <w:r>
        <w:rPr>
          <w:rFonts w:hint="eastAsia" w:hAnsi="宋体"/>
          <w:color w:val="auto"/>
          <w:sz w:val="21"/>
          <w:szCs w:val="21"/>
          <w:highlight w:val="none"/>
        </w:rPr>
        <w:t xml:space="preserve">以下为中标后签定本项目合同的通用条款，</w:t>
      </w:r>
      <w:r>
        <w:rPr>
          <w:rFonts w:hint="eastAsia" w:hAnsi="宋体"/>
          <w:color w:val="auto"/>
          <w:sz w:val="21"/>
          <w:szCs w:val="21"/>
          <w:highlight w:val="none"/>
          <w:lang w:eastAsia="zh-CN"/>
        </w:rPr>
        <w:t xml:space="preserve">成交供应商</w:t>
      </w:r>
      <w:r>
        <w:rPr>
          <w:rFonts w:hint="eastAsia" w:hAnsi="宋体"/>
          <w:color w:val="auto"/>
          <w:sz w:val="21"/>
          <w:szCs w:val="21"/>
          <w:highlight w:val="none"/>
        </w:rPr>
        <w:t xml:space="preserve">不得提出实质性的修改，关于专用条款将由采购人与</w:t>
      </w:r>
      <w:r>
        <w:rPr>
          <w:rFonts w:hint="eastAsia" w:hAnsi="宋体"/>
          <w:color w:val="auto"/>
          <w:sz w:val="21"/>
          <w:szCs w:val="21"/>
          <w:highlight w:val="none"/>
          <w:lang w:eastAsia="zh-CN"/>
        </w:rPr>
        <w:t xml:space="preserve">成交供应商</w:t>
      </w:r>
      <w:r>
        <w:rPr>
          <w:rFonts w:hint="eastAsia" w:hAnsi="宋体"/>
          <w:color w:val="auto"/>
          <w:sz w:val="21"/>
          <w:szCs w:val="21"/>
          <w:highlight w:val="none"/>
        </w:rPr>
        <w:t xml:space="preserve">结合本项目具体情况协商后签订。</w:t>
      </w:r>
      <w:r/>
    </w:p>
    <w:p>
      <w:pPr>
        <w:pStyle w:val="737"/>
        <w:jc w:val="center"/>
        <w:rPr>
          <w:b/>
          <w:color w:val="auto"/>
          <w:sz w:val="21"/>
          <w:szCs w:val="21"/>
          <w:highlight w:val="none"/>
        </w:rPr>
      </w:pPr>
      <w:r>
        <w:rPr>
          <w:rFonts w:hint="eastAsia"/>
          <w:b/>
          <w:color w:val="auto"/>
          <w:sz w:val="21"/>
          <w:szCs w:val="21"/>
          <w:highlight w:val="none"/>
        </w:rPr>
        <w:t xml:space="preserve">政府采购合同（</w:t>
      </w:r>
      <w:r>
        <w:rPr>
          <w:rFonts w:hint="eastAsia"/>
          <w:b/>
          <w:color w:val="auto"/>
          <w:sz w:val="21"/>
          <w:szCs w:val="21"/>
          <w:highlight w:val="none"/>
          <w:lang w:val="en-US" w:eastAsia="zh-CN"/>
        </w:rPr>
        <w:t xml:space="preserve">服务</w:t>
      </w:r>
      <w:r>
        <w:rPr>
          <w:rFonts w:hint="eastAsia"/>
          <w:b/>
          <w:color w:val="auto"/>
          <w:sz w:val="21"/>
          <w:szCs w:val="21"/>
          <w:highlight w:val="none"/>
        </w:rPr>
        <w:t xml:space="preserve">）</w:t>
      </w:r>
      <w:r/>
    </w:p>
    <w:p>
      <w:pPr>
        <w:pStyle w:val="737"/>
        <w:rPr>
          <w:color w:val="auto"/>
          <w:sz w:val="21"/>
          <w:szCs w:val="21"/>
          <w:highlight w:val="none"/>
        </w:rPr>
      </w:pPr>
      <w:r>
        <w:rPr>
          <w:rFonts w:hint="eastAsia"/>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项目名称：高邮市智慧照明快速维权中心信息化建设项目</w:t>
      </w:r>
      <w:r>
        <w:rPr>
          <w:rFonts w:hint="eastAsia" w:ascii="宋体" w:hAnsi="宋体" w:cs="宋体"/>
          <w:color w:val="auto"/>
          <w:sz w:val="21"/>
          <w:szCs w:val="21"/>
          <w:highlight w:val="non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编号：</w:t>
      </w:r>
      <w:r>
        <w:rPr>
          <w:rFonts w:hint="eastAsia" w:ascii="宋体" w:hAnsi="宋体" w:cs="宋体"/>
          <w:color w:val="auto"/>
          <w:sz w:val="21"/>
          <w:szCs w:val="21"/>
          <w:highlight w:val="none"/>
        </w:rPr>
        <w:t xml:space="preserve">JSZC-321084-HTJS-C2026-0021</w:t>
      </w:r>
      <w:r>
        <w:rPr>
          <w:rFonts w:hint="eastAsia"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甲方（采购人/买方）：</w:t>
      </w:r>
      <w:r>
        <w:rPr>
          <w:rFonts w:hint="eastAsia" w:ascii="宋体" w:hAnsi="宋体" w:cs="宋体"/>
          <w:color w:val="auto"/>
          <w:sz w:val="21"/>
          <w:szCs w:val="21"/>
          <w:highlight w:val="none"/>
          <w:lang w:eastAsia="zh-CN"/>
        </w:rPr>
        <w:t xml:space="preserve">高邮市送桥镇人民政府</w:t>
      </w:r>
      <w:r>
        <w:rPr>
          <w:rFonts w:hint="eastAsia" w:ascii="宋体" w:hAnsi="宋体" w:cs="宋体"/>
          <w:color w:val="auto"/>
          <w:sz w:val="21"/>
          <w:szCs w:val="21"/>
          <w:highlight w:val="none"/>
        </w:rPr>
        <w:t xml:space="preserve">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乙方（供应商/卖方）：</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见证方：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根据《中华人民共和国政府采购法》、《中华人民共和国民法典》等法律法规的规定，甲乙双方按照</w:t>
      </w:r>
      <w:r>
        <w:rPr>
          <w:rFonts w:hint="eastAsia" w:ascii="宋体" w:hAnsi="宋体" w:cs="宋体"/>
          <w:color w:val="auto"/>
          <w:sz w:val="21"/>
          <w:szCs w:val="21"/>
          <w:highlight w:val="none"/>
          <w:lang w:eastAsia="zh-CN"/>
        </w:rPr>
        <w:t xml:space="preserve">江苏恒泰建设工程咨询有限公司</w:t>
      </w:r>
      <w:r>
        <w:rPr>
          <w:rFonts w:hint="eastAsia" w:ascii="宋体" w:hAnsi="宋体" w:cs="宋体"/>
          <w:color w:val="auto"/>
          <w:sz w:val="21"/>
          <w:szCs w:val="21"/>
          <w:highlight w:val="none"/>
        </w:rPr>
        <w:t xml:space="preserve">关于本项目招标结果签订本合同。</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w:t>
      </w:r>
      <w:r>
        <w:rPr>
          <w:rFonts w:hint="eastAsia" w:hAnsi="宋体"/>
          <w:b/>
          <w:bCs/>
          <w:color w:val="auto"/>
          <w:sz w:val="21"/>
          <w:szCs w:val="21"/>
          <w:highlight w:val="none"/>
        </w:rPr>
        <w:t xml:space="preserve">服务内容</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w:t>
      </w:r>
      <w:r>
        <w:rPr>
          <w:rFonts w:hint="eastAsia"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名称：</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w:t>
      </w:r>
      <w:r>
        <w:rPr>
          <w:rFonts w:hint="eastAsia" w:hAnsi="宋体"/>
          <w:color w:val="auto"/>
          <w:sz w:val="21"/>
          <w:szCs w:val="21"/>
          <w:highlight w:val="none"/>
        </w:rPr>
        <w:t xml:space="preserve">项目服务内容：详见招标文件项目需求</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二、合同金额</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本合同金额为（大写）：_____________________圆（_______________元）人民币。</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三、技术资料</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w:t>
      </w:r>
      <w:r>
        <w:rPr>
          <w:rFonts w:hint="eastAsia"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规定的时间向甲方提供使用货物及服务的有关技术资料。</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四、知识产权</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五、产权担保</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乙方保证所交付的货物及服务的所有权完全属于乙方且无任何抵押、查封等产权瑕疵。</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六、履约保证金</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收取履约保证金的，允许</w:t>
      </w:r>
      <w:r>
        <w:rPr>
          <w:rFonts w:hint="eastAsia"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自主选择支票、汇票、本票、保函等非现金形式缴纳或提交，应当在采购合同中约定履约保证金退还的方式、时间、条件和不予退还的情形，明确逾期退还履约保证金的违约责任。</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37"/>
        <w:ind w:firstLine="420"/>
        <w:spacing w:before="120" w:after="12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6.4 履约保证金收取：</w:t>
      </w:r>
      <w:r>
        <w:rPr>
          <w:rFonts w:hint="eastAsia" w:ascii="宋体" w:hAnsi="宋体" w:eastAsia="宋体" w:cs="宋体"/>
          <w:color w:val="auto"/>
          <w:sz w:val="21"/>
          <w:szCs w:val="21"/>
          <w:highlight w:val="none"/>
          <w:u w:val="single"/>
          <w:lang w:val="en-US" w:eastAsia="zh-CN"/>
        </w:rPr>
        <w:t xml:space="preserve">本项目不收取履约保证金。</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七、转包或分包</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7.1本合同范围的货物及服务，应由乙方直接供应，不得转让他人供应；</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八、质保期</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质保期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年。（自交货验收合格之日起计）</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九、服务方式及地点</w:t>
      </w:r>
      <w:r/>
    </w:p>
    <w:p>
      <w:pPr>
        <w:pStyle w:val="929"/>
        <w:ind w:firstLine="420"/>
        <w:spacing w:line="360" w:lineRule="auto"/>
        <w:rPr>
          <w:rFonts w:hAnsi="宋体"/>
          <w:color w:val="auto"/>
          <w:sz w:val="21"/>
          <w:szCs w:val="21"/>
          <w:highlight w:val="none"/>
        </w:rPr>
      </w:pPr>
      <w:r>
        <w:rPr>
          <w:rFonts w:hint="eastAsia" w:hAnsi="宋体"/>
          <w:color w:val="auto"/>
          <w:sz w:val="21"/>
          <w:szCs w:val="21"/>
          <w:highlight w:val="none"/>
        </w:rPr>
        <w:t xml:space="preserve">9.</w:t>
      </w:r>
      <w:r>
        <w:rPr>
          <w:rFonts w:hAnsi="宋体"/>
          <w:color w:val="auto"/>
          <w:sz w:val="21"/>
          <w:szCs w:val="21"/>
          <w:highlight w:val="none"/>
        </w:rPr>
        <w:t xml:space="preserve">1</w:t>
      </w:r>
      <w:r>
        <w:rPr>
          <w:rFonts w:hint="eastAsia" w:hAnsi="宋体"/>
          <w:color w:val="auto"/>
          <w:sz w:val="21"/>
          <w:szCs w:val="21"/>
          <w:highlight w:val="none"/>
        </w:rPr>
        <w:t xml:space="preserve"> 服务方式：</w:t>
      </w:r>
      <w:r>
        <w:rPr>
          <w:rFonts w:hint="eastAsia" w:hAnsi="宋体"/>
          <w:bCs/>
          <w:color w:val="auto"/>
          <w:sz w:val="21"/>
          <w:szCs w:val="21"/>
          <w:highlight w:val="none"/>
          <w:u w:val="single"/>
        </w:rPr>
        <w:t xml:space="preserve">按照招标文件及甲方要求</w:t>
      </w:r>
      <w:r/>
    </w:p>
    <w:p>
      <w:pPr>
        <w:pStyle w:val="929"/>
        <w:ind w:firstLine="420"/>
        <w:spacing w:line="360" w:lineRule="auto"/>
        <w:rPr>
          <w:rFonts w:hAnsi="宋体"/>
          <w:color w:val="auto"/>
          <w:sz w:val="21"/>
          <w:szCs w:val="21"/>
          <w:highlight w:val="none"/>
        </w:rPr>
      </w:pPr>
      <w:r>
        <w:rPr>
          <w:rFonts w:hint="eastAsia" w:hAnsi="宋体"/>
          <w:color w:val="auto"/>
          <w:sz w:val="21"/>
          <w:szCs w:val="21"/>
          <w:highlight w:val="none"/>
        </w:rPr>
        <w:t xml:space="preserve">9.</w:t>
      </w:r>
      <w:r>
        <w:rPr>
          <w:rFonts w:hAnsi="宋体"/>
          <w:color w:val="auto"/>
          <w:sz w:val="21"/>
          <w:szCs w:val="21"/>
          <w:highlight w:val="none"/>
        </w:rPr>
        <w:t xml:space="preserve">2</w:t>
      </w:r>
      <w:r>
        <w:rPr>
          <w:rFonts w:hint="eastAsia" w:hAnsi="宋体"/>
          <w:color w:val="auto"/>
          <w:sz w:val="21"/>
          <w:szCs w:val="21"/>
          <w:highlight w:val="none"/>
        </w:rPr>
        <w:t xml:space="preserve"> 服务地点：</w:t>
      </w:r>
      <w:r>
        <w:rPr>
          <w:rFonts w:hint="eastAsia" w:hAnsi="宋体"/>
          <w:color w:val="auto"/>
          <w:sz w:val="21"/>
          <w:szCs w:val="21"/>
          <w:highlight w:val="none"/>
          <w:u w:val="single"/>
        </w:rPr>
        <w:t xml:space="preserve">甲方指定地点</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十、货款支付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10.3 甲方付款方式</w:t>
      </w:r>
      <w:r>
        <w:rPr>
          <w:rFonts w:hint="eastAsia" w:ascii="宋体" w:hAnsi="宋体" w:eastAsia="宋体" w:cs="宋体"/>
          <w:i w:val="0"/>
          <w:iCs w:val="0"/>
          <w:color w:val="auto"/>
          <w:sz w:val="21"/>
          <w:szCs w:val="21"/>
          <w:highlight w:val="none"/>
        </w:rPr>
        <w:t xml:space="preserve">：</w:t>
      </w:r>
      <w:r>
        <w:rPr>
          <w:rFonts w:hint="eastAsia" w:ascii="宋体" w:hAnsi="宋体" w:eastAsia="宋体" w:cs="宋体"/>
          <w:color w:val="auto"/>
          <w:sz w:val="21"/>
          <w:szCs w:val="21"/>
          <w:highlight w:val="none"/>
          <w:u w:val="single"/>
        </w:rPr>
        <w:t xml:space="preserve">合同签订且乙方提交进场服务相关证明材料后，双方协商一致</w:t>
      </w:r>
      <w:r>
        <w:rPr>
          <w:rFonts w:hint="eastAsia" w:cs="宋体"/>
          <w:color w:val="auto"/>
          <w:sz w:val="21"/>
          <w:szCs w:val="21"/>
          <w:highlight w:val="none"/>
          <w:u w:val="single"/>
          <w:lang w:val="en-US" w:eastAsia="zh-CN"/>
        </w:rPr>
        <w:t xml:space="preserve">后</w:t>
      </w:r>
      <w:r>
        <w:rPr>
          <w:rFonts w:hint="eastAsia" w:ascii="宋体" w:hAnsi="宋体" w:eastAsia="宋体" w:cs="宋体"/>
          <w:color w:val="auto"/>
          <w:sz w:val="21"/>
          <w:szCs w:val="21"/>
          <w:highlight w:val="none"/>
          <w:u w:val="single"/>
        </w:rPr>
        <w:t xml:space="preserve">甲方支付合同价款的 40% 作为预付款；项目全部服务工作完成，经使用单位对标功能评估合格、专家验收考评通过</w:t>
      </w:r>
      <w:r>
        <w:rPr>
          <w:rFonts w:hint="eastAsia" w:cs="宋体"/>
          <w:color w:val="auto"/>
          <w:sz w:val="21"/>
          <w:szCs w:val="21"/>
          <w:highlight w:val="none"/>
          <w:u w:val="single"/>
          <w:lang w:val="en-US" w:eastAsia="zh-CN"/>
        </w:rPr>
        <w:t xml:space="preserve">满一年并经审计结束后</w:t>
      </w:r>
      <w:r>
        <w:rPr>
          <w:rFonts w:hint="eastAsia" w:ascii="宋体" w:hAnsi="宋体" w:eastAsia="宋体" w:cs="宋体"/>
          <w:color w:val="auto"/>
          <w:sz w:val="21"/>
          <w:szCs w:val="21"/>
          <w:highlight w:val="none"/>
          <w:u w:val="single"/>
        </w:rPr>
        <w:t xml:space="preserve">付至</w:t>
      </w:r>
      <w:r>
        <w:rPr>
          <w:rFonts w:hint="eastAsia" w:cs="宋体"/>
          <w:color w:val="auto"/>
          <w:sz w:val="21"/>
          <w:szCs w:val="21"/>
          <w:highlight w:val="none"/>
          <w:u w:val="single"/>
          <w:lang w:val="en-US" w:eastAsia="zh-CN"/>
        </w:rPr>
        <w:t xml:space="preserve">审计</w:t>
      </w:r>
      <w:r>
        <w:rPr>
          <w:rFonts w:hint="eastAsia" w:ascii="宋体" w:hAnsi="宋体" w:eastAsia="宋体" w:cs="宋体"/>
          <w:color w:val="auto"/>
          <w:sz w:val="21"/>
          <w:szCs w:val="21"/>
          <w:highlight w:val="none"/>
          <w:u w:val="single"/>
        </w:rPr>
        <w:t xml:space="preserve">价款的 70%；验收合格满二年后付清审计价格余款</w:t>
      </w:r>
      <w:r>
        <w:rPr>
          <w:rFonts w:hint="eastAsia" w:cs="宋体"/>
          <w:color w:val="auto"/>
          <w:sz w:val="21"/>
          <w:szCs w:val="21"/>
          <w:highlight w:val="none"/>
          <w:u w:val="single"/>
          <w:lang w:eastAsia="zh-CN"/>
        </w:rPr>
        <w:t xml:space="preserve">（</w:t>
      </w:r>
      <w:r>
        <w:rPr>
          <w:rFonts w:hint="eastAsia" w:cs="宋体"/>
          <w:color w:val="auto"/>
          <w:sz w:val="21"/>
          <w:szCs w:val="21"/>
          <w:highlight w:val="none"/>
          <w:u w:val="single"/>
          <w:lang w:val="en-US" w:eastAsia="zh-CN"/>
        </w:rPr>
        <w:t xml:space="preserve">不计息</w:t>
      </w:r>
      <w:r>
        <w:rPr>
          <w:rFonts w:hint="eastAsia"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十一、税费</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11.1本合同执行中相关的一切税费均由乙方负担。</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十二、质量保证及售后服务</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w:t>
      </w:r>
      <w:r>
        <w:rPr>
          <w:rFonts w:hint="eastAsia"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规定的货物及服务性能、技术要求、质量标准向甲方提供。</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如在使用过程中发生质量问题，乙方在接到甲方通知后在______小时内到达甲方现场。</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在质保期内，乙方应对货物及服务出现的质量及安全问题负责处理解决并承担一切费用。</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12.5上述的货物及服务免费保修期为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年，因人为因素出现的故障不在免费保修范围内。超过保修期的机器设备，终生维修，维修时只收部件成本费。</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十三、调试和验收</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甲方对乙方提交的货物及服务依据</w:t>
      </w:r>
      <w:r>
        <w:rPr>
          <w:rFonts w:hint="eastAsia"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上的技术规格要求和国家有关质量标准进行现场初步验收，外观、说明书符合</w:t>
      </w:r>
      <w:r>
        <w:rPr>
          <w:rFonts w:hint="eastAsia"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技术要求的，给予签收，初步验收不合格的不予签收。交付后，甲方需在五个工作日内验收。</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对技术复杂的货物及服务，甲方可请国家认可的专业检测机构参与初步验收及最终验收，并由其出具质量检测报告。</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 验收时乙方必须在现场，验收完毕后作出验收结果报告；验收费用由甲乙双方协商解决。</w:t>
      </w:r>
      <w:r/>
    </w:p>
    <w:p>
      <w:pPr>
        <w:ind w:firstLine="422"/>
        <w:spacing w:line="360" w:lineRule="auto"/>
        <w:rPr>
          <w:rFonts w:ascii="宋体" w:hAnsi="宋体"/>
          <w:b/>
          <w:bCs/>
          <w:color w:val="auto"/>
          <w:sz w:val="21"/>
          <w:szCs w:val="21"/>
          <w:highlight w:val="none"/>
        </w:rPr>
      </w:pPr>
      <w:r>
        <w:rPr>
          <w:rFonts w:hint="eastAsia" w:ascii="宋体" w:hAnsi="宋体" w:eastAsia="宋体" w:cs="宋体"/>
          <w:b/>
          <w:bCs/>
          <w:color w:val="auto"/>
          <w:sz w:val="21"/>
          <w:szCs w:val="21"/>
          <w:highlight w:val="none"/>
        </w:rPr>
        <w:t xml:space="preserve">十四、</w:t>
      </w:r>
      <w:r>
        <w:rPr>
          <w:rFonts w:hint="eastAsia" w:ascii="宋体" w:hAnsi="宋体"/>
          <w:b/>
          <w:bCs/>
          <w:color w:val="auto"/>
          <w:sz w:val="21"/>
          <w:szCs w:val="21"/>
          <w:highlight w:val="none"/>
        </w:rPr>
        <w:t xml:space="preserve">服务或产品包装、发运及运输</w:t>
      </w:r>
      <w:r/>
    </w:p>
    <w:p>
      <w:pPr>
        <w:pStyle w:val="929"/>
        <w:ind w:firstLine="420"/>
        <w:spacing w:line="360" w:lineRule="auto"/>
        <w:rPr>
          <w:rFonts w:hAnsi="宋体"/>
          <w:color w:val="auto"/>
          <w:sz w:val="21"/>
          <w:szCs w:val="21"/>
          <w:highlight w:val="none"/>
        </w:rPr>
      </w:pPr>
      <w:r>
        <w:rPr>
          <w:rFonts w:hint="eastAsia" w:hAnsi="宋体"/>
          <w:color w:val="auto"/>
          <w:sz w:val="21"/>
          <w:szCs w:val="21"/>
          <w:highlight w:val="none"/>
        </w:rPr>
        <w:t xml:space="preserve">14.1乙方应在服务或产品发运前对其进行满足运输距离、防潮、防震、防锈和防破损装卸等要求包装，以保证服务或产品安全运达甲方指定地点。</w:t>
      </w:r>
      <w:r/>
    </w:p>
    <w:p>
      <w:pPr>
        <w:pStyle w:val="929"/>
        <w:ind w:firstLine="420"/>
        <w:spacing w:line="360" w:lineRule="auto"/>
        <w:rPr>
          <w:rFonts w:hAnsi="宋体"/>
          <w:color w:val="auto"/>
          <w:sz w:val="21"/>
          <w:szCs w:val="21"/>
          <w:highlight w:val="none"/>
        </w:rPr>
      </w:pPr>
      <w:r>
        <w:rPr>
          <w:rFonts w:hint="eastAsia" w:hAnsi="宋体"/>
          <w:color w:val="auto"/>
          <w:sz w:val="21"/>
          <w:szCs w:val="21"/>
          <w:highlight w:val="none"/>
        </w:rPr>
        <w:t xml:space="preserve">14.2 使用说明书、质量检验证明书、随配附件和工具以及清单一并交付甲方。</w:t>
      </w:r>
      <w:r/>
    </w:p>
    <w:p>
      <w:pPr>
        <w:pStyle w:val="929"/>
        <w:ind w:firstLine="420"/>
        <w:spacing w:line="360" w:lineRule="auto"/>
        <w:rPr>
          <w:rFonts w:hAnsi="宋体"/>
          <w:color w:val="auto"/>
          <w:sz w:val="21"/>
          <w:szCs w:val="21"/>
          <w:highlight w:val="none"/>
        </w:rPr>
      </w:pPr>
      <w:r>
        <w:rPr>
          <w:rFonts w:hint="eastAsia" w:hAnsi="宋体"/>
          <w:color w:val="auto"/>
          <w:sz w:val="21"/>
          <w:szCs w:val="21"/>
          <w:highlight w:val="none"/>
        </w:rPr>
        <w:t xml:space="preserve">14.3乙方在服务或产品发运手续办理完毕后24小时内或交付到甲方48小时前通知甲方，以准备接受交付。</w:t>
      </w:r>
      <w:r/>
    </w:p>
    <w:p>
      <w:pPr>
        <w:pStyle w:val="929"/>
        <w:ind w:firstLine="420"/>
        <w:spacing w:line="360" w:lineRule="auto"/>
        <w:rPr>
          <w:rFonts w:hAnsi="宋体"/>
          <w:color w:val="auto"/>
          <w:sz w:val="21"/>
          <w:szCs w:val="21"/>
          <w:highlight w:val="none"/>
        </w:rPr>
      </w:pPr>
      <w:r>
        <w:rPr>
          <w:rFonts w:hint="eastAsia" w:hAnsi="宋体"/>
          <w:color w:val="auto"/>
          <w:sz w:val="21"/>
          <w:szCs w:val="21"/>
          <w:highlight w:val="none"/>
        </w:rPr>
        <w:t xml:space="preserve">14.4 服务在交付甲方前发生的风险均由乙方负责。</w:t>
      </w:r>
      <w:r/>
    </w:p>
    <w:p>
      <w:pPr>
        <w:pStyle w:val="929"/>
        <w:ind w:firstLine="420"/>
        <w:spacing w:line="360" w:lineRule="auto"/>
        <w:rPr>
          <w:rFonts w:hint="eastAsia" w:ascii="宋体" w:hAnsi="宋体" w:eastAsia="宋体" w:cs="宋体"/>
          <w:color w:val="auto"/>
          <w:sz w:val="21"/>
          <w:szCs w:val="21"/>
          <w:highlight w:val="none"/>
        </w:rPr>
      </w:pPr>
      <w:r>
        <w:rPr>
          <w:rFonts w:hint="eastAsia" w:hAnsi="宋体"/>
          <w:color w:val="auto"/>
          <w:sz w:val="21"/>
          <w:szCs w:val="21"/>
          <w:highlight w:val="none"/>
        </w:rPr>
        <w:t xml:space="preserve">14.5服务或产品在规定的交付期限内由乙方送达甲方指定的地点视为交付，乙方同时需通知甲方服务或产品已送达。</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十五、违约责任</w:t>
      </w:r>
      <w:r/>
    </w:p>
    <w:p>
      <w:pPr>
        <w:pStyle w:val="981"/>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15.1 甲方无正当理由拒收服务的，甲方向乙方偿付拒收款项总值的百分之五违约金。</w:t>
      </w:r>
      <w:r/>
    </w:p>
    <w:p>
      <w:pPr>
        <w:pStyle w:val="981"/>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15.2 甲方无故逾期验收和办理款项支付手续的,甲方应按逾期付款总额每日万分之五向乙方支付违约金。</w:t>
      </w:r>
      <w:r/>
    </w:p>
    <w:p>
      <w:pPr>
        <w:pStyle w:val="981"/>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81"/>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十六、不可抗力事件处理</w:t>
      </w:r>
      <w:r/>
    </w:p>
    <w:p>
      <w:pPr>
        <w:pStyle w:val="981"/>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16.1 在合同有效期内，任何一方因不可抗力事件导致不能履行合同，则合同履行期可延长，其延长期与不可抗力影响期相同。</w:t>
      </w:r>
      <w:r/>
    </w:p>
    <w:p>
      <w:pPr>
        <w:pStyle w:val="981"/>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16.2 不可抗力事件发生后，应立即通知对方，并寄送有关权威机构出具的证明。</w:t>
      </w:r>
      <w:r/>
    </w:p>
    <w:p>
      <w:pPr>
        <w:pStyle w:val="981"/>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16.3 不可抗力事件延续120天以上，双方应通过友好协商，确定是否继续履行合同。</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十七、诉讼</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十八、</w:t>
      </w:r>
      <w:r>
        <w:rPr>
          <w:rFonts w:hint="eastAsia" w:ascii="宋体" w:hAnsi="宋体" w:eastAsia="宋体" w:cs="宋体"/>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37"/>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十九、合同生效及其它</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 合同经双方法定代表人签章并加盖单位公章，并经（代理机构名称）见证盖章后生效。</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19.2本合同未尽事宜，遵照《民法典》有关条文执行。</w:t>
      </w:r>
      <w:r/>
    </w:p>
    <w:p>
      <w:pPr>
        <w:pStyle w:val="737"/>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 本合同正本一式</w:t>
      </w:r>
      <w:r>
        <w:rPr>
          <w:rFonts w:hint="eastAsia" w:ascii="宋体" w:hAnsi="宋体" w:eastAsia="宋体" w:cs="宋体"/>
          <w:color w:val="auto"/>
          <w:sz w:val="21"/>
          <w:szCs w:val="21"/>
          <w:highlight w:val="none"/>
          <w:lang w:val="en-US" w:eastAsia="zh-CN"/>
        </w:rPr>
        <w:t xml:space="preserve">陆</w:t>
      </w:r>
      <w:r>
        <w:rPr>
          <w:rFonts w:hint="eastAsia" w:ascii="宋体" w:hAnsi="宋体" w:eastAsia="宋体" w:cs="宋体"/>
          <w:color w:val="auto"/>
          <w:sz w:val="21"/>
          <w:szCs w:val="21"/>
          <w:highlight w:val="none"/>
        </w:rPr>
        <w:t xml:space="preserve">份，具有同等法律效力，甲方、乙方、见证方及财政监管部门（</w:t>
      </w:r>
      <w:r>
        <w:rPr>
          <w:rFonts w:hint="eastAsia" w:ascii="宋体" w:hAnsi="宋体" w:eastAsia="宋体" w:cs="宋体"/>
          <w:color w:val="auto"/>
          <w:sz w:val="21"/>
          <w:szCs w:val="21"/>
          <w:highlight w:val="none"/>
          <w:lang w:val="en-US" w:eastAsia="zh-CN"/>
        </w:rPr>
        <w:t xml:space="preserve">高邮</w:t>
      </w:r>
      <w:r>
        <w:rPr>
          <w:rFonts w:hint="eastAsia" w:ascii="宋体" w:hAnsi="宋体" w:eastAsia="宋体" w:cs="宋体"/>
          <w:color w:val="auto"/>
          <w:sz w:val="21"/>
          <w:szCs w:val="21"/>
          <w:highlight w:val="none"/>
        </w:rPr>
        <w:t xml:space="preserve">市财政局政府采购管理处）各执一份。  </w:t>
      </w:r>
      <w:r/>
    </w:p>
    <w:tbl>
      <w:tblPr>
        <w:tblStyle w:val="725"/>
        <w:tblW w:w="8522" w:type="dxa"/>
        <w:jc w:val="center"/>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7"/>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 </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7"/>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r>
    </w:tbl>
    <w:p>
      <w:pPr>
        <w:pStyle w:val="73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73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见证方：（代理机构名称）</w:t>
      </w:r>
      <w:r/>
    </w:p>
    <w:p>
      <w:pPr>
        <w:pStyle w:val="737"/>
        <w:ind w:firstLine="21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项目经办人：</w:t>
      </w:r>
      <w:r>
        <w:rPr>
          <w:rFonts w:hint="eastAsia" w:ascii="宋体" w:hAnsi="宋体" w:eastAsia="宋体" w:cs="宋体"/>
          <w:color w:val="auto"/>
          <w:sz w:val="21"/>
          <w:szCs w:val="21"/>
          <w:highlight w:val="none"/>
          <w:lang w:val="en-US" w:eastAsia="zh-CN"/>
        </w:rPr>
        <w:t xml:space="preserve"> </w:t>
      </w:r>
      <w:r/>
    </w:p>
    <w:p>
      <w:pPr>
        <w:pStyle w:val="737"/>
        <w:ind w:firstLine="21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第四章 项目需求</w:t>
      </w:r>
      <w:bookmarkEnd w:id="27"/>
      <w:r/>
      <w:r/>
    </w:p>
    <w:p>
      <w:pPr>
        <w:ind w:firstLine="422"/>
        <w:spacing w:line="360" w:lineRule="auto"/>
        <w:rPr>
          <w:rFonts w:hint="eastAsia" w:ascii="宋体" w:hAnsi="宋体" w:eastAsia="宋体" w:cs="宋体"/>
          <w:b/>
          <w:color w:val="auto"/>
          <w:highlight w:val="none"/>
        </w:rPr>
      </w:pPr>
      <w:r/>
      <w:bookmarkStart w:id="28" w:name="_Toc109304975"/>
      <w:r>
        <w:rPr>
          <w:rFonts w:hint="eastAsia" w:ascii="宋体" w:hAnsi="宋体" w:eastAsia="宋体" w:cs="宋体"/>
          <w:b/>
          <w:color w:val="auto"/>
          <w:highlight w:val="none"/>
        </w:rPr>
        <w:t xml:space="preserve">注：</w:t>
      </w:r>
      <w:r>
        <w:rPr>
          <w:rFonts w:hint="eastAsia" w:ascii="宋体" w:hAnsi="宋体" w:eastAsia="宋体" w:cs="宋体"/>
          <w:b/>
          <w:i/>
          <w:color w:val="auto"/>
          <w:highlight w:val="none"/>
          <w:u w:val="single"/>
        </w:rPr>
        <w:t xml:space="preserve">本章内容里斜体且有下划线部分为实质性要求和条件，响应文件不满足的，视为无效响应处理</w:t>
      </w:r>
      <w:r>
        <w:rPr>
          <w:rFonts w:hint="eastAsia" w:ascii="宋体" w:hAnsi="宋体" w:eastAsia="宋体" w:cs="宋体"/>
          <w:color w:val="auto"/>
          <w:highlight w:val="none"/>
        </w:rPr>
        <w:t xml:space="preserve">。</w:t>
      </w:r>
      <w:r>
        <w:rPr>
          <w:rFonts w:hint="eastAsia" w:ascii="宋体" w:hAnsi="宋体" w:eastAsia="宋体" w:cs="宋体"/>
          <w:b/>
          <w:color w:val="auto"/>
          <w:highlight w:val="none"/>
        </w:rPr>
        <w:t xml:space="preserve">请各供应商制作电子响应文件时，将实质性响应的内容在政府采购管理交易系统（苏采云）“符合证明文件格式”中准确填写或上传。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项目属性：</w:t>
      </w:r>
      <w:r>
        <w:rPr>
          <w:rFonts w:hint="eastAsia" w:ascii="宋体" w:hAnsi="宋体" w:cs="宋体"/>
          <w:color w:val="auto"/>
          <w:highlight w:val="none"/>
          <w:lang w:val="en-US" w:eastAsia="zh-CN"/>
        </w:rPr>
        <w:t xml:space="preserve">服务</w:t>
      </w:r>
      <w:r>
        <w:rPr>
          <w:rFonts w:hint="eastAsia" w:ascii="宋体" w:hAnsi="宋体" w:eastAsia="宋体" w:cs="宋体"/>
          <w:color w:val="auto"/>
          <w:highlight w:val="none"/>
        </w:rPr>
        <w:t xml:space="preserve">类项目</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0"/>
        <w:gridCol w:w="34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960"/>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960"/>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960"/>
              <w:jc w:val="center"/>
              <w:spacing w:after="0"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高邮市智慧照明快速维权中心信息化建设项目</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960"/>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软件和信息技术服务业</w:t>
            </w:r>
            <w:r/>
          </w:p>
        </w:tc>
      </w:tr>
    </w:tbl>
    <w:p>
      <w:pPr>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r>
      <w:r/>
    </w:p>
    <w:tbl>
      <w:tblPr>
        <w:tblStyle w:val="753"/>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32"/>
        <w:gridCol w:w="3472"/>
      </w:tblGrid>
      <w:tr>
        <w:trPr>
          <w:trHeight w:val="432"/>
        </w:trPr>
        <w:tc>
          <w:tcPr>
            <w:tcW w:w="4832" w:type="dxa"/>
            <w:vAlign w:val="center"/>
            <w:textDirection w:val="lrTb"/>
            <w:noWrap w:val="false"/>
          </w:tcPr>
          <w:p>
            <w:pPr>
              <w:pStyle w:val="960"/>
              <w:jc w:val="center"/>
              <w:spacing w:after="0" w:line="240" w:lineRule="auto"/>
              <w:widowControl/>
              <w:rPr>
                <w:rFonts w:hint="default" w:ascii="宋体" w:hAnsi="宋体" w:eastAsia="宋体" w:cs="宋体"/>
                <w:bCs/>
                <w:iCs/>
                <w:color w:val="auto"/>
                <w:sz w:val="21"/>
                <w:szCs w:val="21"/>
                <w:highlight w:val="none"/>
                <w:lang w:val="en-US" w:eastAsia="zh-CN"/>
              </w:rPr>
            </w:pPr>
            <w:r>
              <w:rPr>
                <w:rFonts w:hint="eastAsia" w:ascii="宋体" w:hAnsi="宋体" w:eastAsia="宋体" w:cs="宋体"/>
                <w:bCs/>
                <w:iCs/>
                <w:color w:val="auto"/>
                <w:sz w:val="21"/>
                <w:szCs w:val="21"/>
                <w:highlight w:val="none"/>
                <w:lang w:val="en-US" w:eastAsia="zh-CN"/>
              </w:rPr>
              <w:t xml:space="preserve">核心产品</w:t>
            </w:r>
            <w:r/>
          </w:p>
        </w:tc>
        <w:tc>
          <w:tcPr>
            <w:tcW w:w="3472" w:type="dxa"/>
            <w:vAlign w:val="center"/>
            <w:textDirection w:val="lrTb"/>
            <w:noWrap w:val="false"/>
          </w:tcPr>
          <w:p>
            <w:pPr>
              <w:pStyle w:val="960"/>
              <w:jc w:val="center"/>
              <w:spacing w:after="0" w:line="240" w:lineRule="auto"/>
              <w:widowControl/>
              <w:rPr>
                <w:rFonts w:hint="eastAsia" w:ascii="宋体" w:hAnsi="宋体" w:eastAsia="宋体" w:cs="宋体"/>
                <w:bCs/>
                <w:iCs/>
                <w:color w:val="auto"/>
                <w:sz w:val="21"/>
                <w:szCs w:val="21"/>
                <w:highlight w:val="none"/>
                <w:lang w:val="en-US" w:eastAsia="zh-CN"/>
              </w:rPr>
            </w:pPr>
            <w:r>
              <w:rPr>
                <w:rFonts w:hint="eastAsia" w:ascii="宋体" w:hAnsi="宋体" w:eastAsia="宋体" w:cs="宋体"/>
                <w:bCs/>
                <w:iCs/>
                <w:color w:val="auto"/>
                <w:sz w:val="21"/>
                <w:szCs w:val="21"/>
                <w:highlight w:val="none"/>
                <w:lang w:val="en-US" w:eastAsia="zh-CN"/>
              </w:rPr>
              <w:t xml:space="preserve">专利预审服务系统</w:t>
            </w:r>
            <w:r/>
          </w:p>
        </w:tc>
      </w:tr>
    </w:tbl>
    <w:p>
      <w:pPr>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、项目概况</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（一）项目背景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高邮智慧照明知识产权快速维权中心坐落于高邮市送桥镇便民服务中心</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4楼，建筑面积3楼约109.48㎡、4楼约727.48㎡。本信息化建设项目为维权中心配套信息化系统，包含受理大厅系统、宣传区域音频系统、多媒体审理庭系统、设备间（机房）建设、计算机网络系统、安防门禁系统、综合布线、预审软件及全套集成服务，满足专利预审、纠纷口头审理、受理窗口业务、安防监控、网络安全、检索预审业务运行，同时满足国家知识产权局对维权中心信息化配套建设核验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项目建设目标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根据国家知识产权局深化知识产权领域改革和推进知识产权保护中心建设的工作部署，结合</w:t>
      </w:r>
      <w:r>
        <w:rPr>
          <w:rFonts w:hint="eastAsia" w:ascii="宋体" w:hAnsi="宋体" w:eastAsia="宋体" w:cs="宋体"/>
          <w:color w:val="auto"/>
          <w:highlight w:val="none"/>
          <w:lang w:val="en-US" w:eastAsia="zh-CN"/>
        </w:rPr>
        <w:t xml:space="preserve">高新区</w:t>
      </w:r>
      <w:r>
        <w:rPr>
          <w:rFonts w:hint="eastAsia" w:ascii="宋体" w:hAnsi="宋体" w:eastAsia="宋体" w:cs="宋体"/>
          <w:color w:val="auto"/>
          <w:highlight w:val="none"/>
        </w:rPr>
        <w:t xml:space="preserve">产业创新驱动发展的定位和需求，通过信息化的建设，旨在实现专利快速授权、确权，实现为社会公众提供高质量专利预审申请服务以及为保护中心内部业务工作开展提供高水平配套信息化支撑的建设目标，推进知识产权领域改革创新，实现知识产权支撑产业创新发展的目标。</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建设内容</w:t>
      </w:r>
      <w:r/>
    </w:p>
    <w:tbl>
      <w:tblPr>
        <w:tblStyle w:val="72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401"/>
        <w:gridCol w:w="6997"/>
      </w:tblGrid>
      <w:tr>
        <w:trPr>
          <w:trHeight w:val="175"/>
        </w:trPr>
        <w:tc>
          <w:tcPr>
            <w:tcBorders>
              <w:top w:val="single" w:color="000000" w:sz="8" w:space="0"/>
              <w:left w:val="single" w:color="000000" w:sz="8" w:space="0"/>
              <w:bottom w:val="single" w:color="000000" w:sz="8" w:space="0"/>
              <w:right w:val="single" w:color="000000" w:sz="8" w:space="0"/>
            </w:tcBorders>
            <w:tcW w:w="1401"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6997"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r>
      <w:tr>
        <w:trPr>
          <w:trHeight w:val="175"/>
        </w:trPr>
        <w:tc>
          <w:tcPr>
            <w:tcBorders>
              <w:top w:val="none" w:color="000000" w:sz="4" w:space="0"/>
              <w:left w:val="single" w:color="000000" w:sz="8" w:space="0"/>
              <w:bottom w:val="single" w:color="000000" w:sz="8" w:space="0"/>
              <w:right w:val="single" w:color="000000" w:sz="8" w:space="0"/>
            </w:tcBorders>
            <w:tcW w:w="1401"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W w:w="6997"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专利</w:t>
            </w:r>
            <w:r>
              <w:rPr>
                <w:rFonts w:hint="eastAsia" w:ascii="宋体" w:hAnsi="宋体" w:eastAsia="宋体" w:cs="宋体"/>
                <w:color w:val="auto"/>
                <w:highlight w:val="none"/>
              </w:rPr>
              <w:t xml:space="preserve">预审</w:t>
            </w:r>
            <w:r>
              <w:rPr>
                <w:rFonts w:hint="eastAsia" w:ascii="宋体" w:hAnsi="宋体" w:cs="宋体"/>
                <w:color w:val="auto"/>
                <w:highlight w:val="none"/>
                <w:lang w:val="en-US" w:eastAsia="zh-CN"/>
              </w:rPr>
              <w:t xml:space="preserve">服务</w:t>
            </w:r>
            <w:r>
              <w:rPr>
                <w:rFonts w:hint="eastAsia" w:ascii="宋体" w:hAnsi="宋体" w:eastAsia="宋体" w:cs="宋体"/>
                <w:color w:val="auto"/>
                <w:highlight w:val="none"/>
              </w:rPr>
              <w:t xml:space="preserve">系统</w:t>
            </w:r>
            <w:r/>
          </w:p>
        </w:tc>
      </w:tr>
      <w:tr>
        <w:trPr>
          <w:trHeight w:val="175"/>
        </w:trPr>
        <w:tc>
          <w:tcPr>
            <w:tcBorders>
              <w:top w:val="none" w:color="000000" w:sz="4" w:space="0"/>
              <w:left w:val="single" w:color="000000" w:sz="8" w:space="0"/>
              <w:bottom w:val="single" w:color="000000" w:sz="8" w:space="0"/>
              <w:right w:val="single" w:color="000000" w:sz="8" w:space="0"/>
            </w:tcBorders>
            <w:tcW w:w="1401"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none" w:color="000000" w:sz="4" w:space="0"/>
              <w:left w:val="none" w:color="000000" w:sz="4" w:space="0"/>
              <w:bottom w:val="single" w:color="000000" w:sz="8" w:space="0"/>
              <w:right w:val="single" w:color="000000" w:sz="8" w:space="0"/>
            </w:tcBorders>
            <w:tcW w:w="6997"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w:t>
            </w:r>
            <w:r>
              <w:rPr>
                <w:rFonts w:hint="eastAsia" w:ascii="宋体" w:hAnsi="宋体" w:cs="宋体"/>
                <w:color w:val="auto"/>
                <w:highlight w:val="none"/>
                <w:lang w:val="en-US" w:eastAsia="zh-CN"/>
              </w:rPr>
              <w:t xml:space="preserve">受理</w:t>
            </w:r>
            <w:r>
              <w:rPr>
                <w:rFonts w:hint="eastAsia" w:ascii="宋体" w:hAnsi="宋体" w:eastAsia="宋体" w:cs="宋体"/>
                <w:color w:val="auto"/>
                <w:highlight w:val="none"/>
              </w:rPr>
              <w:t xml:space="preserve">大厅排队叫号系统</w:t>
            </w:r>
            <w:r/>
          </w:p>
        </w:tc>
      </w:tr>
      <w:tr>
        <w:trPr>
          <w:trHeight w:val="175"/>
        </w:trPr>
        <w:tc>
          <w:tcPr>
            <w:tcBorders>
              <w:top w:val="none" w:color="000000" w:sz="4" w:space="0"/>
              <w:left w:val="single" w:color="000000" w:sz="8" w:space="0"/>
              <w:bottom w:val="single" w:color="000000" w:sz="8" w:space="0"/>
              <w:right w:val="single" w:color="000000" w:sz="8" w:space="0"/>
            </w:tcBorders>
            <w:tcW w:w="1401"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none" w:color="000000" w:sz="4" w:space="0"/>
              <w:left w:val="none" w:color="000000" w:sz="4" w:space="0"/>
              <w:bottom w:val="single" w:color="000000" w:sz="8" w:space="0"/>
              <w:right w:val="single" w:color="000000" w:sz="8" w:space="0"/>
            </w:tcBorders>
            <w:tcW w:w="699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三楼</w:t>
            </w:r>
            <w:r>
              <w:rPr>
                <w:rFonts w:hint="eastAsia" w:ascii="宋体" w:hAnsi="宋体" w:eastAsia="宋体" w:cs="宋体"/>
                <w:color w:val="auto"/>
                <w:highlight w:val="none"/>
              </w:rPr>
              <w:t xml:space="preserve">多功能会议室系统</w:t>
            </w:r>
            <w:r/>
          </w:p>
        </w:tc>
      </w:tr>
      <w:tr>
        <w:trPr>
          <w:trHeight w:val="175"/>
        </w:trPr>
        <w:tc>
          <w:tcPr>
            <w:tcBorders>
              <w:top w:val="none" w:color="000000" w:sz="4" w:space="0"/>
              <w:left w:val="single" w:color="000000" w:sz="8" w:space="0"/>
              <w:bottom w:val="single" w:color="000000" w:sz="8" w:space="0"/>
              <w:right w:val="single" w:color="000000" w:sz="8" w:space="0"/>
            </w:tcBorders>
            <w:tcW w:w="1401"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none" w:color="000000" w:sz="4" w:space="0"/>
              <w:left w:val="none" w:color="000000" w:sz="4" w:space="0"/>
              <w:bottom w:val="single" w:color="000000" w:sz="8" w:space="0"/>
              <w:right w:val="single" w:color="000000" w:sz="8" w:space="0"/>
            </w:tcBorders>
            <w:tcW w:w="6997"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多功能审理庭系统</w:t>
            </w:r>
            <w:r/>
          </w:p>
        </w:tc>
      </w:tr>
      <w:tr>
        <w:trPr>
          <w:trHeight w:val="175"/>
        </w:trPr>
        <w:tc>
          <w:tcPr>
            <w:tcBorders>
              <w:top w:val="none" w:color="000000" w:sz="4" w:space="0"/>
              <w:left w:val="single" w:color="000000" w:sz="8" w:space="0"/>
              <w:bottom w:val="single" w:color="000000" w:sz="8" w:space="0"/>
              <w:right w:val="single" w:color="000000" w:sz="8" w:space="0"/>
            </w:tcBorders>
            <w:tcW w:w="1401" w:type="dxa"/>
            <w:vAlign w:val="center"/>
            <w:textDirection w:val="lrTb"/>
            <w:noWrap/>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6997" w:type="dxa"/>
            <w:vAlign w:val="center"/>
            <w:textDirection w:val="lrTb"/>
            <w:noWrap/>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消防报警及无网管灭火</w:t>
            </w:r>
            <w:r>
              <w:rPr>
                <w:rFonts w:hint="eastAsia" w:ascii="宋体" w:hAnsi="宋体" w:cs="宋体"/>
                <w:color w:val="auto"/>
                <w:highlight w:val="none"/>
                <w:lang w:val="en-US" w:eastAsia="zh-CN"/>
              </w:rPr>
              <w:t xml:space="preserve">系统</w:t>
            </w:r>
            <w:r/>
          </w:p>
        </w:tc>
      </w:tr>
      <w:tr>
        <w:trPr>
          <w:trHeight w:val="175"/>
        </w:trPr>
        <w:tc>
          <w:tcPr>
            <w:tcBorders>
              <w:top w:val="none" w:color="000000" w:sz="4" w:space="0"/>
              <w:left w:val="single" w:color="000000" w:sz="8" w:space="0"/>
              <w:bottom w:val="single" w:color="000000" w:sz="8" w:space="0"/>
              <w:right w:val="single" w:color="000000" w:sz="8" w:space="0"/>
            </w:tcBorders>
            <w:tcW w:w="1401" w:type="dxa"/>
            <w:vAlign w:val="center"/>
            <w:textDirection w:val="lrTb"/>
            <w:noWrap/>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c>
          <w:tcPr>
            <w:tcBorders>
              <w:top w:val="none" w:color="000000" w:sz="4" w:space="0"/>
              <w:left w:val="none" w:color="000000" w:sz="4" w:space="0"/>
              <w:bottom w:val="single" w:color="000000" w:sz="8" w:space="0"/>
              <w:right w:val="single" w:color="000000" w:sz="8" w:space="0"/>
            </w:tcBorders>
            <w:tcW w:w="6997"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机房及网络安防系统</w:t>
            </w:r>
            <w:r/>
          </w:p>
        </w:tc>
      </w:tr>
      <w:tr>
        <w:trPr>
          <w:trHeight w:val="175"/>
        </w:trPr>
        <w:tc>
          <w:tcPr>
            <w:tcBorders>
              <w:top w:val="none" w:color="000000" w:sz="4" w:space="0"/>
              <w:left w:val="single" w:color="000000" w:sz="8" w:space="0"/>
              <w:bottom w:val="single" w:color="000000" w:sz="8" w:space="0"/>
              <w:right w:val="single" w:color="000000" w:sz="8" w:space="0"/>
            </w:tcBorders>
            <w:tcW w:w="1401" w:type="dxa"/>
            <w:vAlign w:val="center"/>
            <w:textDirection w:val="lrTb"/>
            <w:noWrap/>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Borders>
              <w:top w:val="none" w:color="000000" w:sz="4" w:space="0"/>
              <w:left w:val="none" w:color="000000" w:sz="4" w:space="0"/>
              <w:bottom w:val="single" w:color="000000" w:sz="8" w:space="0"/>
              <w:right w:val="single" w:color="000000" w:sz="8" w:space="0"/>
            </w:tcBorders>
            <w:tcW w:w="6997"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系统集成服务</w:t>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 预审系统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（1）公共服务系统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门户网站：保护中心对外服务的门户网站，可支持信息发布，对各业务功能模块进行网站展示、管理；支持用户注册、登录、基础信息管理。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申请主体备案：可支持备案主体、代理机构进行备案申请、备案变更。</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专利预审申请提交：可支持申请人办理专利预审申请、案件答复、案件管理和通知书接收。</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（2）智能化确权辅助系统</w:t>
      </w:r>
      <w:r>
        <w:rPr>
          <w:rFonts w:hint="eastAsia" w:ascii="宋体" w:hAnsi="宋体" w:eastAsia="宋体" w:cs="宋体"/>
          <w:color w:val="auto"/>
          <w:highlight w:val="none"/>
        </w:rPr>
        <w:br/>
      </w:r>
      <w:r>
        <w:rPr>
          <w:rFonts w:hint="eastAsia" w:ascii="宋体" w:hAnsi="宋体" w:eastAsia="宋体" w:cs="宋体"/>
          <w:color w:val="auto"/>
          <w:highlight w:val="none"/>
        </w:rPr>
        <w:t xml:space="preserve">    智能化辅助审查系统主要可支持在线进行专利申请辅助审查，包括案件分配、案件受理、案件审核、案件互检、统计分析、配置中心等。同时还可提供智能化辅助工具帮助预审员完成专利预审工作，包括智能分类、智能形式审查、文件对比、相似检索。</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（3）后台管理系统</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后台管理系统可支持对提交的备案申请信息进行审核、管理，可对企事业单位用户、代理机构用户信息进行查看、编辑、删除、拉黑、导出等操作。</w:t>
      </w:r>
      <w:r>
        <w:rPr>
          <w:rFonts w:hint="eastAsia" w:ascii="宋体" w:hAnsi="宋体" w:eastAsia="宋体" w:cs="宋体"/>
          <w:color w:val="auto"/>
          <w:highlight w:val="none"/>
        </w:rPr>
        <w:br/>
      </w:r>
      <w:r>
        <w:rPr>
          <w:rFonts w:hint="eastAsia" w:ascii="宋体" w:hAnsi="宋体" w:eastAsia="宋体" w:cs="宋体"/>
          <w:color w:val="auto"/>
          <w:highlight w:val="none"/>
        </w:rPr>
        <w:t xml:space="preserve">    （4）系统对外可以提供全天候24小时对外运行；系统通用检索反应时间不得超过3秒；同时在线人数不低于200人。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服务大厅排队叫号系统服务内容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受理大厅主要用于接收预审服务案件及日常业务办理和提供咨询，排队叫号系统为办理业务人员提供智能排队服务，自助服务区主要用于办理查询、检索、打印通知书等服务，同时可以阅览知识产权有关资料等，同时建设多媒体信息显示系统，展示相关业务信息或者重要发布各类公告通知。</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rPr>
        <w:t xml:space="preserve">3.</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zh-TW"/>
        </w:rPr>
        <w:t xml:space="preserve">多功能审理庭</w:t>
      </w:r>
      <w:r>
        <w:rPr>
          <w:rFonts w:hint="eastAsia" w:ascii="宋体" w:hAnsi="宋体" w:eastAsia="宋体" w:cs="宋体"/>
          <w:color w:val="auto"/>
          <w:highlight w:val="none"/>
        </w:rPr>
        <w:t xml:space="preserve">系统服务内容</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rPr>
        <w:t xml:space="preserve">依据《多媒体审理庭建设指南》的要求建设</w:t>
      </w:r>
      <w:r>
        <w:rPr>
          <w:rFonts w:hint="eastAsia" w:ascii="宋体" w:hAnsi="宋体" w:eastAsia="宋体" w:cs="宋体"/>
          <w:color w:val="auto"/>
          <w:highlight w:val="none"/>
          <w:lang w:val="zh-TW"/>
        </w:rPr>
        <w:t xml:space="preserve">多媒体审理庭，</w:t>
      </w:r>
      <w:r>
        <w:rPr>
          <w:rFonts w:hint="eastAsia" w:ascii="宋体" w:hAnsi="宋体" w:eastAsia="宋体" w:cs="宋体"/>
          <w:color w:val="auto"/>
          <w:highlight w:val="none"/>
        </w:rPr>
        <w:t xml:space="preserve">通过多媒体审理庭的建设</w:t>
      </w:r>
      <w:r>
        <w:rPr>
          <w:rFonts w:hint="eastAsia" w:ascii="宋体" w:hAnsi="宋体" w:eastAsia="宋体" w:cs="宋体"/>
          <w:color w:val="auto"/>
          <w:highlight w:val="none"/>
          <w:lang w:val="zh-TW"/>
        </w:rPr>
        <w:t xml:space="preserve">可以对案件审理过程中的声音、图像以及证据等信息资源进行记录和存储管理，并通过网络实时观看口审直播或口审后点播回放开庭录像，</w:t>
      </w:r>
      <w:r>
        <w:rPr>
          <w:rFonts w:hint="eastAsia" w:ascii="宋体" w:hAnsi="宋体" w:eastAsia="宋体" w:cs="宋体"/>
          <w:color w:val="auto"/>
          <w:highlight w:val="none"/>
          <w:lang w:val="zh-TW"/>
        </w:rPr>
        <w:t xml:space="preserve">有助于更好地监督和分析案件的审理情况，从而保证行政执法的公平、公正和公开。同时随着远程、语音识别、智能审查等多种辅助审理新技术的加入，也有效发挥了信息化工作在提高审理效率、规范审理活动、加强监督、促进公开等方面的作用。随着专利无效复审业务向着专业化、信息化方向发展，复审和无效审理部通过建设多媒体审理庭，将在更高层面上推动工作的公平、公正与高效，更好地完成审查任务，更好地建设服务型政府，更有效地执行自身职能，为全面建设创新型国家、实施知识产权战略、建设知识产权强局发挥更大的作用。为构建和谐社会做出积极的贡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3.4</w:t>
      </w:r>
      <w:r>
        <w:rPr>
          <w:rFonts w:hint="eastAsia" w:ascii="宋体" w:hAnsi="宋体" w:eastAsia="宋体" w:cs="宋体"/>
          <w:color w:val="auto"/>
          <w:highlight w:val="none"/>
          <w:lang w:val="zh-TW"/>
        </w:rPr>
        <w:t xml:space="preserve">多功能会议室系统</w:t>
      </w:r>
      <w:r>
        <w:rPr>
          <w:rFonts w:hint="eastAsia" w:ascii="宋体" w:hAnsi="宋体" w:eastAsia="宋体" w:cs="宋体"/>
          <w:color w:val="auto"/>
          <w:highlight w:val="none"/>
        </w:rPr>
        <w:t xml:space="preserve">服务内容</w:t>
      </w:r>
      <w:r/>
    </w:p>
    <w:p>
      <w:pPr>
        <w:ind w:firstLine="420"/>
        <w:spacing w:line="360" w:lineRule="auto"/>
        <w:rPr>
          <w:rFonts w:hint="eastAsia"/>
          <w:color w:val="auto"/>
          <w:highlight w:val="none"/>
        </w:rPr>
      </w:pPr>
      <w:r>
        <w:rPr>
          <w:rFonts w:hint="eastAsia" w:ascii="宋体" w:hAnsi="宋体" w:eastAsia="宋体" w:cs="宋体"/>
          <w:color w:val="auto"/>
          <w:highlight w:val="none"/>
        </w:rPr>
        <w:t xml:space="preserve">依据《知识产权保护中心建设与运行工作手册》的要求建设多媒体会议系统，通过多媒体会议系统的建设在功能上要满足会议、讲座、培训、业务交流等方面的需求，安装发言、显示、扩声、控制等设备，实现远程视频会议，同步播放审理影像等功能要求。会议室主要包括一个小会议室、一个中型会议室、一个大会议室，小会议室满足工作人员日常讨论需要，中型会议室实现“高清视听、数字协同、稳定供电、智能管理”的一体化会议场景，大型会议室是大型培训的主要场所。</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机房及网络安防系统服务内容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1、机房系统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依据《知识产权保护中心建设与</w:t>
      </w:r>
      <w:r>
        <w:rPr>
          <w:rFonts w:hint="eastAsia" w:ascii="宋体" w:hAnsi="宋体" w:eastAsia="宋体" w:cs="宋体"/>
          <w:color w:val="auto"/>
          <w:highlight w:val="none"/>
        </w:rPr>
        <w:t xml:space="preserve">运行工作手册》的要求中心机房，要具备符合网络交换设备和安全设备等信息化设备放置的机房环境，机房要求保持恒温恒湿，并对洁净度有较高的要求，以保证机房内的信息化设备良好运行。冷通道或机柜进风区域的温度为18摄氏度至27摄氏度，一般设置在22摄氏度，精度控制在正负1摄氏度，湿度为35%至60%RH，一般设置在45%RH。精度控制在正负5%。同时，机房场地需封闭（无外窗）管理，具备能够防电磁干扰、防静电、防噪声、防震、气体消防等功能。机房基础设施至少包括机柜、不间断电源、空调（机房专用精密空调）、门禁、监控等设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机房是网络和数据处理中心，为保证机房承担的各项任务，不间断地正常运行，必须在保证安全的前提下，为高性能计算机系统提供稳定、可靠的工作环境。为了保证计算机系统稳定可靠运行，计算机机房必须满足计算机系统以及工作人员对温度、湿度、洁净度、电源质量、噪音、照明、振动、防火、防盗、密封性、接地等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2、网络和安防系统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依据《知识产权保护中心建设与运行工作手册》、《知识产权快速协同保护工作绩效考核指标的通知》及中心使用需求建设计算机网络系统。本项目网络系统主要包括预审专网、保护中心办公网、设备网、含核心交换机、防火墙等设备。预审专网需完成与国家知识产权局的对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中心受理大厅、展示大厅、走廊等公共区域设置高清网络监控摄像机，在重要区域通道门上设置门禁，为知识产权保护中心的日常办公安全提供支撑。在硬件上包含国密半球摄像机、国密硬盘录像机、国密综合安防一体机等设备。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）项目建设遵循标准</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磋商文件</w:t>
      </w:r>
      <w:r>
        <w:rPr>
          <w:rFonts w:hint="eastAsia" w:ascii="宋体" w:hAnsi="宋体" w:eastAsia="宋体" w:cs="宋体"/>
          <w:color w:val="auto"/>
          <w:highlight w:val="none"/>
        </w:rPr>
        <w:t xml:space="preserve">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同时满足《知识产权保护中心建设与运行工作手册 (试行)》相关信息化建设要求。 </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、项目建设需求清单</w:t>
      </w:r>
      <w:r/>
    </w:p>
    <w:p>
      <w:pPr>
        <w:pStyle w:val="750"/>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1"/>
          <w:szCs w:val="21"/>
          <w:highlight w:val="none"/>
          <w:u w:val="single"/>
        </w:rPr>
        <w:t xml:space="preserve">所有设备须为全新原厂正品，</w:t>
      </w:r>
      <w:r>
        <w:rPr>
          <w:rFonts w:hint="eastAsia" w:cs="宋体"/>
          <w:i/>
          <w:iCs/>
          <w:color w:val="auto"/>
          <w:sz w:val="21"/>
          <w:szCs w:val="21"/>
          <w:highlight w:val="none"/>
          <w:u w:val="single"/>
          <w:lang w:val="en-US" w:eastAsia="zh-CN"/>
        </w:rPr>
        <w:t xml:space="preserve">需</w:t>
      </w:r>
      <w:r>
        <w:rPr>
          <w:rFonts w:hint="eastAsia" w:ascii="宋体" w:hAnsi="宋体" w:eastAsia="宋体" w:cs="宋体"/>
          <w:i/>
          <w:iCs/>
          <w:color w:val="auto"/>
          <w:sz w:val="21"/>
          <w:szCs w:val="21"/>
          <w:highlight w:val="none"/>
          <w:u w:val="single"/>
        </w:rPr>
        <w:t xml:space="preserve">提供原厂质保</w:t>
      </w:r>
      <w:r>
        <w:rPr>
          <w:rFonts w:hint="eastAsia"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投标人需提供承诺函，格式自拟。</w:t>
      </w:r>
      <w:r/>
    </w:p>
    <w:p>
      <w:pPr>
        <w:pStyle w:val="750"/>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21"/>
          <w:szCs w:val="21"/>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1"/>
          <w:szCs w:val="21"/>
          <w:highlight w:val="none"/>
          <w:u w:val="single"/>
        </w:rPr>
        <w:t xml:space="preserve">专利预审服务须无缝对接江苏省专利预审协作平台，投标人需提供承诺函，格式自拟。</w:t>
      </w:r>
      <w:r/>
    </w:p>
    <w:tbl>
      <w:tblPr>
        <w:tblStyle w:val="725"/>
        <w:tblW w:w="565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896"/>
        <w:gridCol w:w="1459"/>
        <w:gridCol w:w="5423"/>
        <w:gridCol w:w="977"/>
        <w:gridCol w:w="904"/>
      </w:tblGrid>
      <w:tr>
        <w:trPr>
          <w:jc w:val="center"/>
          <w:trHeight w:val="90"/>
          <w:tblHeade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rPr>
              <w:suppressLineNumbers w:val="0"/>
            </w:pPr>
            <w:r>
              <w:rPr>
                <w:rFonts w:hint="eastAsia" w:ascii="宋体" w:hAnsi="宋体" w:cs="宋体"/>
                <w:b/>
                <w:bCs/>
                <w:color w:val="auto"/>
                <w:sz w:val="21"/>
                <w:szCs w:val="21"/>
                <w:highlight w:val="none"/>
                <w:lang w:val="en-US" w:eastAsia="zh-CN" w:bidi="ar"/>
              </w:rPr>
              <w:t xml:space="preserve">内容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rPr>
              <w:suppressLineNumbers w:val="0"/>
            </w:pPr>
            <w:r>
              <w:rPr>
                <w:rFonts w:hint="eastAsia" w:ascii="楷体_GB2312" w:hAnsi="楷体_GB2312" w:eastAsia="楷体_GB2312" w:cs="楷体_GB2312"/>
                <w:b/>
                <w:bCs/>
                <w:color w:val="auto"/>
                <w:sz w:val="24"/>
                <w:highlight w:val="none"/>
              </w:rPr>
              <w:t xml:space="preserve">服务内容（</w:t>
            </w:r>
            <w:r>
              <w:rPr>
                <w:rFonts w:hint="eastAsia" w:ascii="楷体_GB2312" w:hAnsi="楷体_GB2312" w:eastAsia="楷体_GB2312" w:cs="楷体_GB2312"/>
                <w:b/>
                <w:bCs/>
                <w:color w:val="auto"/>
                <w:sz w:val="24"/>
                <w:highlight w:val="none"/>
                <w:lang w:val="en-US" w:eastAsia="zh-CN"/>
              </w:rPr>
              <w:t xml:space="preserve">功能</w:t>
            </w:r>
            <w:r>
              <w:rPr>
                <w:rFonts w:hint="eastAsia" w:ascii="楷体_GB2312" w:hAnsi="楷体_GB2312" w:eastAsia="楷体_GB2312" w:cs="楷体_GB2312"/>
                <w:b/>
                <w:bCs/>
                <w:color w:val="auto"/>
                <w:sz w:val="24"/>
                <w:highlight w:val="none"/>
              </w:rPr>
              <w:t xml:space="preserve">）描述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lang w:val="en-US" w:eastAsia="zh-CN" w:bidi="ar"/>
              </w:rPr>
              <w:suppressLineNumbers w:val="0"/>
            </w:pPr>
            <w:r>
              <w:rPr>
                <w:rFonts w:hint="eastAsia" w:ascii="楷体_GB2312" w:hAnsi="楷体_GB2312" w:eastAsia="楷体_GB2312" w:cs="楷体_GB2312"/>
                <w:b/>
                <w:bCs/>
                <w:color w:val="auto"/>
                <w:sz w:val="24"/>
                <w:highlight w:val="none"/>
              </w:rPr>
              <w:t xml:space="preserve">单位</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楷体_GB2312" w:hAnsi="楷体_GB2312" w:eastAsia="楷体_GB2312" w:cs="楷体_GB2312"/>
                <w:b/>
                <w:bCs/>
                <w:color w:val="auto"/>
                <w:sz w:val="24"/>
                <w:highlight w:val="none"/>
                <w:lang w:val="en-US" w:eastAsia="zh-CN"/>
              </w:rPr>
              <w:suppressLineNumbers w:val="0"/>
            </w:pPr>
            <w:r>
              <w:rPr>
                <w:rFonts w:hint="eastAsia" w:ascii="楷体_GB2312" w:hAnsi="楷体_GB2312" w:eastAsia="楷体_GB2312" w:cs="楷体_GB2312"/>
                <w:b/>
                <w:bCs/>
                <w:color w:val="auto"/>
                <w:sz w:val="24"/>
                <w:highlight w:val="none"/>
                <w:lang w:val="en-US" w:eastAsia="zh-CN"/>
              </w:rPr>
              <w:t xml:space="preserve">数量</w:t>
            </w:r>
            <w:r/>
          </w:p>
        </w:tc>
      </w:tr>
      <w:tr>
        <w:trPr>
          <w:jc w:val="center"/>
          <w:trHeight w:val="90"/>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一、专利预审服务系统</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专利</w:t>
            </w:r>
            <w:r>
              <w:rPr>
                <w:rFonts w:hint="eastAsia" w:ascii="宋体" w:hAnsi="宋体" w:eastAsia="宋体" w:cs="宋体"/>
                <w:color w:val="auto"/>
                <w:sz w:val="21"/>
                <w:szCs w:val="21"/>
                <w:highlight w:val="none"/>
                <w:lang w:val="en-US" w:eastAsia="zh-CN" w:bidi="ar"/>
              </w:rPr>
              <w:t xml:space="preserve">预审服务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1、公共服务系统</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门户网站：对外服务的门户网站，可支持信息发布，对各业务功能模块进行网站展示、管理；支持用户登录、基础信息管理。</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申请主体备案：可支持备案主体、代理机构进行备案申请、备案变更。</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专利预审案件提交：可支持申请人办理专利预审申请、案件答复、案件管理和通知书接收。</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智能化确权辅助系统：智能化辅助审查系统主要可支持在线进行专利申请辅助审查，包括案件分配、案件受理、案件审核、案件互检、统计分析、配置中心等。同时还可提供智能化辅助工具帮助预审员完成专利预审工作，包括智能分类、智能形式审查、文件对比、相似检索。</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中提供满足该功能的</w:t>
            </w:r>
            <w:r>
              <w:rPr>
                <w:rFonts w:hint="eastAsia" w:ascii="宋体" w:hAnsi="宋体" w:cs="宋体"/>
                <w:color w:val="auto"/>
                <w:sz w:val="21"/>
                <w:szCs w:val="21"/>
                <w:highlight w:val="none"/>
                <w:lang w:val="en-US" w:eastAsia="zh-CN" w:bidi="ar"/>
              </w:rPr>
              <w:t xml:space="preserve">相关证明材料</w:t>
            </w:r>
            <w:r>
              <w:rPr>
                <w:rFonts w:hint="eastAsia" w:ascii="宋体" w:hAnsi="宋体" w:eastAsia="宋体" w:cs="宋体"/>
                <w:color w:val="auto"/>
                <w:sz w:val="21"/>
                <w:szCs w:val="21"/>
                <w:highlight w:val="none"/>
                <w:lang w:val="en-US" w:eastAsia="zh-CN" w:bidi="ar"/>
              </w:rPr>
              <w:t xml:space="preserve">；</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3、后台管理系统</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后台管理系统可支持对提交的备案申请信息进行审核、管理，可对企事业单位用户、代理机构用户信息进行查看、编辑、删除、拉黑、导出等操作。</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预审员可登录、使用数据库的功能，并且数据库应实现7*24小时的连续运行，运行流畅、稳定。数据方面满足以下要求:专利数据来源合法权威，专利收录国别或地区在170个以上，专利检索字段合计多于470个，支持不少于10个人同时在线使用，专利收录国别或地区170个以上，以及专利检索字段470个以上需在</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中提供相关证明材料；</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en-US" w:eastAsia="zh-CN" w:bidi="ar"/>
              </w:rPr>
              <w:t xml:space="preserve">、▲数据库功能方面满足以下要求：支持专利的简单检索、高级检索、语义检索、批量检索、外观图像检索、布尔检索、语义检索与布尔检索组合检索、布尔检索与图像的组合检索，AI智能技术解读和智能问答等；还可支持专利检索结果的浏览、下载、快速筛选、统计分析、预警、智能附图、说明书比对、高亮展示、产业专题库导航等，</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中提供满足该功能的</w:t>
            </w:r>
            <w:r>
              <w:rPr>
                <w:rFonts w:hint="eastAsia" w:ascii="宋体" w:hAnsi="宋体" w:cs="宋体"/>
                <w:color w:val="auto"/>
                <w:sz w:val="21"/>
                <w:szCs w:val="21"/>
                <w:highlight w:val="none"/>
                <w:lang w:val="en-US" w:eastAsia="zh-CN" w:bidi="ar"/>
              </w:rPr>
              <w:t xml:space="preserve">相关证明材料</w:t>
            </w:r>
            <w:r>
              <w:rPr>
                <w:rFonts w:hint="eastAsia" w:ascii="宋体" w:hAnsi="宋体" w:eastAsia="宋体" w:cs="宋体"/>
                <w:color w:val="auto"/>
                <w:sz w:val="21"/>
                <w:szCs w:val="21"/>
                <w:highlight w:val="none"/>
                <w:lang w:val="en-US" w:eastAsia="zh-CN" w:bidi="ar"/>
              </w:rPr>
              <w:t xml:space="preserve">；</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en-US" w:eastAsia="zh-CN" w:bidi="ar"/>
              </w:rPr>
              <w:t xml:space="preserve">、▲系统所使用专利数据资源的来源合法性、权威性、安全性，专利基础数据来源必须来自官方机构，</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中提供相关证明材料，保证数据来源合法性、及时性和稳定性。数据更新周期须保证中国专利数据每一周两更，国内数据与国家知识产权局更新数据要保持一致；</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en-US" w:eastAsia="zh-CN" w:bidi="ar"/>
              </w:rPr>
              <w:t xml:space="preserve">、▲AI相关功能：支持对基于当前检索结果，进行 AI 深度分析；</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中提供</w:t>
            </w:r>
            <w:r>
              <w:rPr>
                <w:rFonts w:hint="eastAsia" w:ascii="宋体" w:hAnsi="宋体" w:cs="宋体"/>
                <w:color w:val="auto"/>
                <w:sz w:val="21"/>
                <w:szCs w:val="21"/>
                <w:highlight w:val="none"/>
                <w:lang w:val="en-US" w:eastAsia="zh-CN" w:bidi="ar"/>
              </w:rPr>
              <w:t xml:space="preserve">相关证明材料</w:t>
            </w:r>
            <w:r>
              <w:rPr>
                <w:rFonts w:hint="eastAsia" w:ascii="宋体" w:hAnsi="宋体" w:eastAsia="宋体" w:cs="宋体"/>
                <w:color w:val="auto"/>
                <w:sz w:val="21"/>
                <w:szCs w:val="21"/>
                <w:highlight w:val="none"/>
                <w:lang w:val="en-US" w:eastAsia="zh-CN" w:bidi="ar"/>
              </w:rPr>
              <w:t xml:space="preserve">；</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en-US" w:eastAsia="zh-CN" w:bidi="ar"/>
              </w:rPr>
              <w:t xml:space="preserve">、▲辅助审查决策工具：支持申请前评估功能、支持异常专利申请预警功能、支持从技术、经济、法律维度评价专利价值；</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中须逐项提供</w:t>
            </w:r>
            <w:r>
              <w:rPr>
                <w:rFonts w:hint="eastAsia" w:ascii="宋体" w:hAnsi="宋体" w:cs="宋体"/>
                <w:color w:val="auto"/>
                <w:sz w:val="21"/>
                <w:szCs w:val="21"/>
                <w:highlight w:val="none"/>
                <w:lang w:val="en-US" w:eastAsia="zh-CN" w:bidi="ar"/>
              </w:rPr>
              <w:t xml:space="preserve">相关证明材料</w:t>
            </w:r>
            <w:r>
              <w:rPr>
                <w:rFonts w:hint="eastAsia" w:ascii="宋体" w:hAnsi="宋体" w:eastAsia="宋体" w:cs="宋体"/>
                <w:color w:val="auto"/>
                <w:sz w:val="21"/>
                <w:szCs w:val="21"/>
                <w:highlight w:val="none"/>
                <w:lang w:val="en-US" w:eastAsia="zh-CN" w:bidi="ar"/>
              </w:rPr>
              <w:t xml:space="preserve">；</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en-US" w:eastAsia="zh-CN" w:bidi="ar"/>
              </w:rPr>
              <w:t xml:space="preserve">、▲工作空间：工作空间中数据可支持手动更新；支持自动标引，标引字段预设沉睡专利、核心（壁垒）专利、沉睡专利、分级分类等页签；支持原始申请人集中度分析；支持市级集中度分析；支持省级集中度分析；</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中须逐项提供</w:t>
            </w:r>
            <w:r>
              <w:rPr>
                <w:rFonts w:hint="eastAsia" w:ascii="宋体" w:hAnsi="宋体" w:cs="宋体"/>
                <w:color w:val="auto"/>
                <w:sz w:val="21"/>
                <w:szCs w:val="21"/>
                <w:highlight w:val="none"/>
                <w:lang w:val="en-US" w:eastAsia="zh-CN" w:bidi="ar"/>
              </w:rPr>
              <w:t xml:space="preserve">相关证明材料</w:t>
            </w:r>
            <w:r>
              <w:rPr>
                <w:rFonts w:hint="eastAsia" w:ascii="宋体" w:hAnsi="宋体" w:eastAsia="宋体" w:cs="宋体"/>
                <w:color w:val="auto"/>
                <w:sz w:val="21"/>
                <w:szCs w:val="21"/>
                <w:highlight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val="en-US" w:eastAsia="zh-CN" w:bidi="ar"/>
              </w:rPr>
              <w:t xml:space="preserve">、▲检索方式：：简单检索、高级检索、指令检索、智能语义检索、批量检索、外观图像检索、法律状态检索、转让信息检索、许可信息检索、专利复审无效信息检索；</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中提供以上检索方式的</w:t>
            </w:r>
            <w:r>
              <w:rPr>
                <w:rFonts w:hint="eastAsia" w:ascii="宋体" w:hAnsi="宋体" w:cs="宋体"/>
                <w:color w:val="auto"/>
                <w:sz w:val="21"/>
                <w:szCs w:val="21"/>
                <w:highlight w:val="none"/>
                <w:lang w:val="en-US" w:eastAsia="zh-CN" w:bidi="ar"/>
              </w:rPr>
              <w:t xml:space="preserve">相关证明材料</w:t>
            </w: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1</w:t>
            </w:r>
            <w:r/>
          </w:p>
        </w:tc>
      </w:tr>
      <w:tr>
        <w:trPr>
          <w:jc w:val="center"/>
          <w:trHeight w:val="90"/>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color w:val="auto"/>
                <w:highlight w:val="none"/>
                <w:lang w:val="en-US" w:eastAsia="zh-CN"/>
              </w:rPr>
              <w:t xml:space="preserve">二、</w:t>
            </w:r>
            <w:r>
              <w:rPr>
                <w:rFonts w:hint="eastAsia" w:ascii="宋体" w:hAnsi="宋体" w:eastAsia="宋体" w:cs="宋体"/>
                <w:b/>
                <w:bCs/>
                <w:color w:val="auto"/>
                <w:highlight w:val="none"/>
              </w:rPr>
              <w:t xml:space="preserve">服务</w:t>
            </w:r>
            <w:r>
              <w:rPr>
                <w:rFonts w:hint="eastAsia" w:ascii="宋体" w:hAnsi="宋体" w:cs="宋体"/>
                <w:b/>
                <w:bCs/>
                <w:color w:val="auto"/>
                <w:highlight w:val="none"/>
                <w:lang w:val="en-US" w:eastAsia="zh-CN"/>
              </w:rPr>
              <w:t xml:space="preserve">受理</w:t>
            </w:r>
            <w:r>
              <w:rPr>
                <w:rFonts w:hint="eastAsia" w:ascii="宋体" w:hAnsi="宋体" w:eastAsia="宋体" w:cs="宋体"/>
                <w:b/>
                <w:bCs/>
                <w:color w:val="auto"/>
                <w:highlight w:val="none"/>
              </w:rPr>
              <w:t xml:space="preserve">大厅排队叫号系统</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扬声器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1.名称：吸顶天花喇叭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2.规格：6W</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功率放大器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1.名称：吸顶喇叭功放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2.输出功率(70/100V/4Ω）：RMS 120W；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3.频率响应：80Hz - 16kHz  ± 3 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4.电源：AC: 100~240V 50/60Hz, DC 24V；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5.输入灵敏度：MIC: -40dBv 平衡、Line: -10dBv 平衡、AUX: -10dBv 非平衡；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6.总谐波失真：&lt;0.1%；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7.信噪比：MIC &gt; 65dB、 Line &gt; 75dB、 AUX &gt; 75dB；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8.输出方式：4Ω/70V/100V；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9.控制项：4 INPUT音量，1 AUX音量，1 Echo电平，2高音/低音， 1 MASTER音量。</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46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会议专用设备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1.名称：排队叫号</w:t>
            </w:r>
            <w:r>
              <w:rPr>
                <w:rFonts w:hint="eastAsia" w:ascii="宋体" w:hAnsi="宋体" w:cs="宋体"/>
                <w:i w:val="0"/>
                <w:iCs w:val="0"/>
                <w:color w:val="auto"/>
                <w:sz w:val="21"/>
                <w:szCs w:val="21"/>
                <w:highlight w:val="none"/>
                <w:u w:val="none"/>
                <w:lang w:val="en-US" w:eastAsia="zh-CN" w:bidi="ar"/>
              </w:rPr>
              <w:t xml:space="preserve">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2.规格：液晶尺寸 21.5 寸 16：9；触摸屏 G+G 电容触摸屏；触摸分辩率 32767*32767；分辨率液晶分辨 1920*1080(MAX)；主机配置单颗CPU、8G 运行内存、 128G 固态硬盘；打印机内置 532 高速 80 热敏打印机；通信模式双频 433 无线模块。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3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w:t>
            </w:r>
            <w:r>
              <w:rPr>
                <w:rFonts w:hint="eastAsia"/>
                <w:color w:val="auto"/>
                <w:highlight w:val="none"/>
                <w:lang w:val="en-US" w:eastAsia="zh-CN"/>
              </w:rPr>
              <w:t xml:space="preserve">平板电视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2.规格：尺寸≥55英寸；分辨率：≥1920*1080；配置≥单颗四核1.5GhzCPU、≥2G内存≥16G存储；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HDMI输入。</w:t>
            </w:r>
            <w:r>
              <w:rPr>
                <w:rFonts w:hint="eastAsia" w:ascii="宋体" w:hAnsi="宋体" w:cs="宋体"/>
                <w:i w:val="0"/>
                <w:iCs w:val="0"/>
                <w:color w:val="auto"/>
                <w:sz w:val="21"/>
                <w:szCs w:val="21"/>
                <w:highlight w:val="none"/>
                <w:u w:val="none"/>
                <w:lang w:val="en-US" w:eastAsia="zh-CN" w:bidi="ar"/>
              </w:rPr>
              <w:t xml:space="preserve">（整套）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399"/>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呼叫器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1.名称：呼叫器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2.规格：电源：12V 供电；按键寿命：≥300 万次 ；排队叫号系统中的服务台终端设备，可以实现登录、顺呼、重呼、优先、插前、延后、弃号、转移、退出等功能。</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68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1.名称：评价器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2.规格：对服务内容进行评价，按键评价器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542"/>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三、</w:t>
            </w:r>
            <w:r>
              <w:rPr>
                <w:rFonts w:hint="eastAsia" w:ascii="宋体" w:hAnsi="宋体" w:eastAsia="宋体" w:cs="宋体"/>
                <w:b/>
                <w:bCs/>
                <w:i w:val="0"/>
                <w:iCs w:val="0"/>
                <w:color w:val="auto"/>
                <w:sz w:val="21"/>
                <w:szCs w:val="21"/>
                <w:highlight w:val="none"/>
                <w:u w:val="none"/>
                <w:lang w:val="en-US" w:eastAsia="zh-CN" w:bidi="ar"/>
              </w:rPr>
              <w:t xml:space="preserve">宣传区域</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扬声器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1.名称：吸顶音箱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2.规格：1、音箱类型:无源同轴天花喇叭；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2、连续功率:60W(RMS)；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3、单元:6.5″同轴单元；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4、最大声压级(1M):92dB(计算值)；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5、阻抗:16Ω；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6、频率响应：150Hz-20KHz(-10dB)；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7、筒体材质:铝合金、可选配变压器；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47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功率放大器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名称：吸顶音箱功放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2.规格：1、额定功率：2×150W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2、峰值功率：2×300W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3、阻抗：4欧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4、频率响应@4Ω 1/3输出功率：20 Hz~20 KHz (+0/-1 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5、1KHz 1/8输出功率总谐波失真：&lt;0.01%，典型值0.005%；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6、信噪比(A) ：&gt;98dB；</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7、输入灵敏度(应急输入)：1+/-1dBm；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8、电压增益：34+/-1dB；</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9、输入接口：XLR + EUROBLOCK并接方式；</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10、输出接口：SPEAKON喇叭座；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11、工作模式：立体声模式/并接模式/桥接模式/通道组合模式/休眠模式；</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12、阻尼因素1KHz：&gt;200；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13、功率转换合成：开关电源SMPS+CLASS D数字功放；</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14、冷却：温度自适应，抽风(后板出风口)；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15、保护功能：短路/过流保护，开路高频抑制, 过热保护, 过压保护，超高频RF抑制，开关机静音；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16、电源适应：AC 187-253V 50/60 Hz；</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645"/>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四、</w:t>
            </w:r>
            <w:r>
              <w:rPr>
                <w:rFonts w:hint="eastAsia" w:ascii="宋体" w:hAnsi="宋体" w:eastAsia="宋体" w:cs="宋体"/>
                <w:b/>
                <w:bCs/>
                <w:i w:val="0"/>
                <w:iCs w:val="0"/>
                <w:color w:val="auto"/>
                <w:sz w:val="21"/>
                <w:szCs w:val="21"/>
                <w:highlight w:val="none"/>
                <w:u w:val="none"/>
                <w:lang w:val="en-US" w:eastAsia="zh-CN" w:bidi="ar"/>
              </w:rPr>
              <w:t xml:space="preserve">三层</w:t>
            </w:r>
            <w:r>
              <w:rPr>
                <w:rFonts w:hint="eastAsia" w:ascii="宋体" w:hAnsi="宋体" w:eastAsia="宋体" w:cs="宋体"/>
                <w:b/>
                <w:bCs/>
                <w:color w:val="auto"/>
                <w:highlight w:val="none"/>
              </w:rPr>
              <w:t xml:space="preserve">多功能会议室系统</w:t>
            </w:r>
            <w:r/>
          </w:p>
        </w:tc>
      </w:tr>
      <w:tr>
        <w:trPr>
          <w:jc w:val="center"/>
          <w:trHeight w:val="95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扬声器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1.名称：吸顶音箱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2.规格：1、音箱类型:无源同轴天花喇叭；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2、连续功率:60W(RMS)；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3、单元:6.5″同轴单元；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4、最大声压级(1M):92dB(计算值)；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5、阻抗:16Ω；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6、频率响应：150Hz-20KHz(-10dB)；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7、筒体材质:铝合金、可选配变压器；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5644"/>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功率放大器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名称：吸顶音箱功放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2.规格：1、额定功率：2×150W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2、峰值功率：2×300W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3、阻抗：4欧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4、频率响应@4Ω 1/3输出功率：20 Hz~20 KHz (+0/-1 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5、1KHz 1/8输出功率总谐波失真：&lt;0.01%，典型值0.005%；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6、信噪比(A) ：&gt;98dB；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7、输入灵敏度(应急输入)：1+/-1dBm；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8、电压增益：34+/-1dB；</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9、输入接口：XLR + EUROBLOCK并接方式；</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10、输出接口：SPEAKON喇叭座；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11、工作模式：立体声模式/并接模式/桥接模式/通道组合模式/休眠模式；</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12、阻尼因素1KHz：&gt;200；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13、功率转换合成：开关电源SMPS+CLASS D数字功放；</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14、冷却：温度自适应，抽风(后板出风口)；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15、保护功能：短路/过流保护，开路高频抑制, 过热保护, 过压保护，超高频RF抑制，开关机静音；</w:t>
            </w:r>
            <w:r/>
          </w:p>
          <w:p>
            <w:pPr>
              <w:jc w:val="left"/>
              <w:keepLines w:val="0"/>
              <w:keepNext w:val="0"/>
              <w:widowControl/>
              <w:rPr>
                <w:rFonts w:hint="eastAsia"/>
                <w:color w:val="auto"/>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16、电源适应：AC 187-253V 50/60 Hz；</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63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会议专用设备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w:t>
            </w:r>
            <w:r>
              <w:rPr>
                <w:rFonts w:hint="eastAsia" w:ascii="宋体" w:hAnsi="宋体" w:cs="宋体"/>
                <w:i w:val="0"/>
                <w:iCs w:val="0"/>
                <w:color w:val="auto"/>
                <w:sz w:val="21"/>
                <w:szCs w:val="21"/>
                <w:highlight w:val="none"/>
                <w:u w:val="none"/>
                <w:lang w:val="en-US" w:eastAsia="zh-CN" w:bidi="ar"/>
              </w:rPr>
              <w:t xml:space="preserve">大屏控制器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64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会议专用设备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1.名称：主席单元话筒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75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会议专用设备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1.名称：代表单元话筒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69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会议专用设备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1.名称：无线话筒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69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周边设备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1.名称：音频处理器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796"/>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五、</w:t>
            </w:r>
            <w:r>
              <w:rPr>
                <w:rFonts w:hint="eastAsia" w:ascii="宋体" w:hAnsi="宋体" w:eastAsia="宋体" w:cs="宋体"/>
                <w:b/>
                <w:bCs/>
                <w:i w:val="0"/>
                <w:iCs w:val="0"/>
                <w:color w:val="auto"/>
                <w:sz w:val="21"/>
                <w:szCs w:val="21"/>
                <w:highlight w:val="none"/>
                <w:u w:val="none"/>
                <w:lang w:val="en-US" w:eastAsia="zh-CN" w:bidi="ar"/>
              </w:rPr>
              <w:t xml:space="preserve">多</w:t>
            </w:r>
            <w:r>
              <w:rPr>
                <w:rFonts w:hint="eastAsia" w:ascii="宋体" w:hAnsi="宋体" w:cs="宋体"/>
                <w:b/>
                <w:bCs/>
                <w:i w:val="0"/>
                <w:iCs w:val="0"/>
                <w:color w:val="auto"/>
                <w:sz w:val="21"/>
                <w:szCs w:val="21"/>
                <w:highlight w:val="none"/>
                <w:u w:val="none"/>
                <w:lang w:val="en-US" w:eastAsia="zh-CN" w:bidi="ar"/>
              </w:rPr>
              <w:t xml:space="preserve">功能</w:t>
            </w:r>
            <w:r>
              <w:rPr>
                <w:rFonts w:hint="eastAsia" w:ascii="宋体" w:hAnsi="宋体" w:eastAsia="宋体" w:cs="宋体"/>
                <w:b/>
                <w:bCs/>
                <w:i w:val="0"/>
                <w:iCs w:val="0"/>
                <w:color w:val="auto"/>
                <w:sz w:val="21"/>
                <w:szCs w:val="21"/>
                <w:highlight w:val="none"/>
                <w:u w:val="none"/>
                <w:lang w:val="en-US" w:eastAsia="zh-CN" w:bidi="ar"/>
              </w:rPr>
              <w:t xml:space="preserve">审理庭系统</w:t>
            </w:r>
            <w:r/>
          </w:p>
        </w:tc>
      </w:tr>
      <w:tr>
        <w:trPr>
          <w:jc w:val="center"/>
          <w:trHeight w:val="43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17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1.名称：审理席应用端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审查员应用系统用于帮助用户处理庭审相关工作，方便用户在应用程序中实时查看口审庭情况，切换相关的画面内容。外链接到相关的网站配置，可以让用户快速访问数字口审系统、内网平台等网站。另附有远程桌面、画面的截图批注、备忘录、内网通讯工具、常用的小工具等等，可以更好的协助用户完成开庭的工作。</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158"/>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18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1.名称：当事人庭审应用端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当事人应用系统方便用户更全面了解开庭情况，向用户展示当前口审庭相关内容和相关证据记录的画面，提示用户口审庭相关基本规则，向用户提供庭审相关的工具链接，更好的为用户提供相关服务。保障用户切身的权益。</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172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19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智能照明系统设备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名称：庭审控制面板</w:t>
            </w:r>
            <w:r/>
          </w:p>
          <w:p>
            <w:pPr>
              <w:numPr>
                <w:ilvl w:val="0"/>
                <w:numId w:val="0"/>
              </w:num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2.规格：1、配合网控时序电源实现审理庭设备一键通断电。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2、屏幕：4寸电容触摸屏，86面板型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3、核心处理器：400MHz 32位双核处理器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4、操作系统：嵌入式实时操作系统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5、协议类型：MODBUS、XGUS协议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6、分辨率：480*480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84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1.名称：强电控制器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2.规格：1、电源输出通道数：≧8路。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2、单通道的最大电流为≧10A，总输入电流容量为≧30A。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3、控制方式：支持TCP/IP协议和串口协议控制。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4、控制方式：可通过面板按键对输出端口单独或全部进行控制。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5、控制方式：可通过用网口、RS232、RS485 接口控制组件对设备进行控制。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6、每路电源通道均可独立设定延时时间（优于1秒~255秒）。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14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周边设备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1.名称：网络音频处理器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2.规格：1、具备话筒10路平衡式输入, 10路平衡式环出。每个输入通道有独立的压限器、均衡器、噪声门、自动增益，每个输入通道的线路输入可以根据需要选取灵敏度；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2、每个输入通道支持48V幻象供电，可独立控制；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3、内置12*12音频矩阵，可根据不同场景设置相应的效果；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4、具备2路平衡式输出，3路线性输出。共4组输出，每个输出通道有独立的八段参数均衡器、延时器、分频器、压限器模块，可根据环境需要输出不同音效；</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5、频率响应：20Hz－20KHz；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6、24bit/48kHz A/D、D/A转换，最高可达96kHz取样率；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7、A/D 、D/A动态范围：114dB；</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8、输入共模抑制：85dB@20dBu,1KHz；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9、内置高速DSP芯片，具有编组控制功能；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10、1个1000M自适应网口，支持远程管理。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A、可实时监测法庭内每一只话筒实时音量、48V幻象供电状态、话筒在线与断线状态。</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B、可远程控制并调节法庭内每一只话筒实时音量，远程控制任一只话筒的48V幻象供电，从而实现法庭禁言功能。</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20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会议专用设备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1.名称：庭审发言话筒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2.规格：1、指向特性：心型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2、信噪比(S/N)：&gt; 92dB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3、频率响应：20Hz—20KHz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4、输出阻抗：280欧姆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5、最大声压：140dB，THD&lt;1%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6、灵敏度：-40dBV-Pa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7、输入连接器：4针航空插公头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8、输出连接器：3针卡侬公头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9、供电：48V供电</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jc w:val="center"/>
          <w:trHeight w:val="120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扬声器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1.名称：音箱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2.规格：单元：尺寸小于等于LF:1X6、5寸、HF:1X1寸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频率响应：55Hz-20KHz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额定功率（RMS）：大于等于45W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阻抗：8Ω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灵敏度：不低于91db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专业会议音箱，主流产品型号</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1516"/>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监控摄像设备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1.名称：高清云台摄像机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2.规格：1、采用4K高品质1/2.8英寸CMOS传感器，输出828万有效像素；最大分辨率可达3840×2160，输出帧率高达30帧/秒；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2、HDM支持：3840*2160P30/25;1080P60/50/30/25/59.94/29.97;720P60/50/59.94fps；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SD和LAN支持：1080P60/50/30/25/59.94/29.97;720P60/50/59.94fps；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3、12倍光学变焦（16X数字变焦），焦距：f=3.9～46.8mm；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4、视角：7.42°（窄角）-78.58°（广角）；光圈F1.6–F2.8；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5、支持SM-2D和SM-3D数字降噪，低照度0.5Lux(F1.8, AGC ON)；</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120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监控摄像设备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1.名称：实物展台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2.规格：1、镜头输出像素：1300万；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2、变焦：12倍光学变焦，20倍数字变焦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3、对焦/白平衡： 自动/手动（对焦）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4、图像特技： 负片、冻结、旋转、同屏对比、镜像、文本/图像、黑白/彩色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5、图像存储：支持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6、usb2、0接口： 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7、输出接口： VGA输出×2，HDMI输出×2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8、输入接口：麦克风输入×1，VGA输入×1，HDMI输入×1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57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监控摄像设备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1.名称：实物摄像机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2.规格：1、1/2、8英寸851万像素 CMOS传感器，图像比例16：9；图像水平亮度解析力达到：1800电视线；支持高达3840×2160分辨率30帧/秒压缩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2、视频信号：4Kp/30/25、1080p60/50/30/25、1080I60/50、720p60/50/30/25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3、镜头：12倍光学变焦，15倍数字变焦；f=4、0～50、4mm；清晰影像变焦：开启2倍数字变焦时，1080P图像最大支持24倍变焦。开启4倍数字变焦时，720P图像最大支持48倍变焦。</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4、水平视角：6、5°（窄角）-71°（广角）；垂直视角：3、66°（窄角）-42、8°（广角）</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5、支持SM-2D和SM-3D数字降噪，信噪比&gt;55dB，低照度0、5Lux(F1、8, AGC ON)；光圈F1、8–F2、8;</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6、视频调节支持：亮度、色度、饱和度、对比度、锐度、黑白模式、伽马曲线等功能；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7、支持自动/手动白平衡，自动/手动聚焦模式，自动/手动曝光模式；</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8、视频口支持3G-SDI、HDMI、USB3、0、LAN网口四路同时输出；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29"/>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周边设备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1.名称：HDMI矩阵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2.规格：八进一出，支持：1920*1080P30，支持RS232控制模块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32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1.名称：KVM切换器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2.规格：HDMI切换器，二进一出，支持：1920*1080P30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图像分配器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1.名称：应用电脑图像分配器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2.规格：HDMI分配器，一进四出，支持：1920*1080P30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图像分配器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1.名称：书记员电脑图像分配器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2.规格：HDMI分配器，一进二出，支持：1920*1080P30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20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1.名称：流媒体服务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2.规格：1、采用系统服务方式；协议支持：RTP/RTSP/SDP；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2、视频编码格式：h、264hp；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3、音频编码格式：AAC；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4、支持音频独立编码；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5、支持文件录制完毕自动生成点播记录，无须人工干预；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6、支持多用户并发直播、点播；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7、辅助功能：支持设置与视屏取流、笔录刷新间隔和 word 工具栏的相关设置。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1.名称：庭审资源管理系统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2.规格：1、B/S架构，实现对单体审理庭系统进行配置和管理。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2、功能性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▲推荐浏览器下载：支持下载系统推荐的浏览器，提供满足该功能的</w:t>
            </w:r>
            <w:r>
              <w:rPr>
                <w:rFonts w:hint="eastAsia" w:ascii="宋体" w:hAnsi="宋体" w:cs="宋体"/>
                <w:i w:val="0"/>
                <w:iCs w:val="0"/>
                <w:color w:val="auto"/>
                <w:sz w:val="21"/>
                <w:szCs w:val="21"/>
                <w:highlight w:val="none"/>
                <w:u w:val="none"/>
                <w:lang w:val="en-US" w:eastAsia="zh-CN" w:bidi="ar"/>
              </w:rPr>
              <w:t xml:space="preserve">相关证明材料</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类型搜索：支持按照案件分类信息进行庭审记录搜索。3、类型搜索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承办部门：支持对承办部门信息进行庭审记录搜索。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案件类型：支持按照案件分类信息进行庭审记录搜索。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4、庭审记录展示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全部案件：可展示所有的庭审记录。</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热点案件：可展示标注为热点案件的庭审记录。</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庭审评论：可在当前点播界面发表评分和相关评论。</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▲5、人脸识别：可展示相关设备采集并校验后的人脸及身份信息，提供满足该功能的</w:t>
            </w:r>
            <w:r>
              <w:rPr>
                <w:rFonts w:hint="eastAsia" w:ascii="宋体" w:hAnsi="宋体" w:cs="宋体"/>
                <w:i w:val="0"/>
                <w:iCs w:val="0"/>
                <w:color w:val="auto"/>
                <w:sz w:val="21"/>
                <w:szCs w:val="21"/>
                <w:highlight w:val="none"/>
                <w:u w:val="none"/>
                <w:lang w:val="en-US" w:eastAsia="zh-CN" w:bidi="ar"/>
              </w:rPr>
              <w:t xml:space="preserve">相关证明材料</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20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1.名称：数字口审系统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2.规格：1、采用B/S结构；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2、支持手动添加案件信息和手动排期；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3、提供审理庭庭审使用状态预览，正在使用审理庭提供庭审现场截图，未使用审理庭提供开庭预告或空闲提示；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4、提供审理庭设备的配置和管理；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5、提供系统服务配置和管理；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6、能够以系统服务模式允许运行，无须登录系统；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7、提供庭审参与人员身份配置和管理；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8、提供庭审直播和点播，直播点播受权限控制；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9、提供权限管理，支持按照角色分配权限；</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10、支持用户基本信息设置；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11、提供多种案件查询方式，支持模糊查询、组合查询；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12、提供对庭审过程生成的音视频文件、笔录文件统一管理；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13、提供各种证据展示控制；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14、提供审理庭管理和设置；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15、提供日常工作所需的相关统计信息；</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▲16、提供显示系统日志信息：可显示系统用户操作日志信息，包括用户的登入登出、案件和用户信息的新增，删除和修改，提供满足该功能的</w:t>
            </w:r>
            <w:r>
              <w:rPr>
                <w:rFonts w:hint="eastAsia" w:ascii="宋体" w:hAnsi="宋体" w:cs="宋体"/>
                <w:i w:val="0"/>
                <w:iCs w:val="0"/>
                <w:color w:val="auto"/>
                <w:sz w:val="21"/>
                <w:szCs w:val="21"/>
                <w:highlight w:val="none"/>
                <w:u w:val="none"/>
                <w:lang w:val="en-US" w:eastAsia="zh-CN" w:bidi="ar"/>
              </w:rPr>
              <w:t xml:space="preserve">相关证明材料</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1.名称：审理庭接入交换机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 性能：整机交换容量 ≥6.7Tbps；转发性能 ≥126Mpps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端口：≥24个千兆电口，≥4个千兆光口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固化单电源，无风扇静音设计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IPv4路由表容量≥512 ，MAC地址表≥16K，ARP表项≥1K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5.实现CPU保护功能，能限制非法报文对CPU的攻击，保护交换机在各种环境下稳定工作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6.支持横向虚拟化，最大可堆叠设备≥9台。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7.支持802.3ad链路聚合基本功能。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8.支持STP/RSTP/MSTP等环网技术，支持G.8032以太网环保护协议ERPS，环网故障恢复时间≤50ms；</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 支持802.3x流控及半双工背压流控。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10.支持包过滤功能，可以实现基于端口的限速、基于流的重定向、基于时间端的流量控制能力。</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11.基于安全设计，支持用户分级管理和口径保护，支持AAA/Radius/802.1X/MAC等多种认账方式，支持终端管理能力。</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886"/>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w:t>
            </w:r>
            <w:r>
              <w:rPr>
                <w:rFonts w:hint="eastAsia" w:ascii="宋体" w:hAnsi="宋体" w:eastAsia="宋体" w:cs="宋体"/>
                <w:i w:val="0"/>
                <w:iCs w:val="0"/>
                <w:color w:val="auto"/>
                <w:sz w:val="21"/>
                <w:szCs w:val="21"/>
                <w:highlight w:val="none"/>
                <w:u w:val="none"/>
                <w:lang w:val="en-US" w:eastAsia="zh-CN" w:bidi="ar"/>
              </w:rPr>
              <w:t xml:space="preserve">平板电视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2.规格：1、65英寸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2、刷屏率：60Hz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3、分辨率：3840*2160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4、闪存：32G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5、HDMI2.0接口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6、含安装支架（支架根据现场情况定制）。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886"/>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1.名称：综合标准机柜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2.规格：42U 19英寸标准机柜；尺寸（W*D*H）：600mm*1000mm*2000mm，含两个8位5孔PDU插座。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3.安装方式：落地安装</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70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插座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1.名称：多媒体地插</w:t>
            </w:r>
            <w:r>
              <w:rPr>
                <w:rFonts w:hint="eastAsia" w:ascii="宋体" w:hAnsi="宋体" w:cs="宋体"/>
                <w:i w:val="0"/>
                <w:iCs w:val="0"/>
                <w:color w:val="auto"/>
                <w:sz w:val="21"/>
                <w:szCs w:val="21"/>
                <w:highlight w:val="none"/>
                <w:u w:val="none"/>
                <w:lang w:val="en-US" w:eastAsia="zh-CN" w:bidi="ar"/>
              </w:rPr>
              <w:t xml:space="preserve">，定制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886"/>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1.名称：管线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2.规格：含SDI线、HDMI线、金属线管、金属软管等</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03"/>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b/>
                <w:bCs/>
                <w:color w:val="auto"/>
                <w:sz w:val="21"/>
                <w:szCs w:val="21"/>
                <w:highlight w:val="none"/>
                <w:lang w:val="en-US" w:eastAsia="zh-CN" w:bidi="ar"/>
              </w:rPr>
              <w:t xml:space="preserve">六、设备间建设</w:t>
            </w:r>
            <w:r/>
          </w:p>
        </w:tc>
      </w:tr>
      <w:tr>
        <w:trPr>
          <w:jc w:val="center"/>
          <w:trHeight w:val="515"/>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6.1</w:t>
            </w:r>
            <w:r>
              <w:rPr>
                <w:rFonts w:hint="eastAsia" w:ascii="宋体" w:hAnsi="宋体" w:eastAsia="宋体" w:cs="宋体"/>
                <w:color w:val="auto"/>
                <w:sz w:val="21"/>
                <w:szCs w:val="21"/>
                <w:highlight w:val="none"/>
                <w:lang w:val="en-US" w:eastAsia="zh-CN" w:bidi="ar"/>
              </w:rPr>
              <w:t xml:space="preserve">供配电</w:t>
            </w:r>
            <w:r/>
          </w:p>
        </w:tc>
      </w:tr>
      <w:tr>
        <w:trPr>
          <w:jc w:val="center"/>
          <w:trHeight w:val="13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39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成套配电箱</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1.名称：综合配电柜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2.型号：柜体尺寸400*600*2000mm，配置配电总开一部及UPS输入输出开关及空调等市电用电开关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3.安装方式：落地安装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4.基础形式：10#槽钢基础</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816"/>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低压电气开关</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1.名称：工业连接器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2.型号：16A/三孔，防水防脱落连接器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jc w:val="center"/>
          <w:trHeight w:val="80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插座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1.名称：PDU插座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2.规格：16A输入，输出为12位国标三孔插座。垂直安装。</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jc w:val="center"/>
          <w:trHeight w:val="100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荧光灯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1.名称：LED平板灯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2.型号：600*600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3.安装方式：吊顶嵌入式安装</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85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1.名称：应急筒灯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2.型号：3.5寸</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678"/>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插座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1.名称：10A五孔插座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1028"/>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1.名称：电气配线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2.型号：ZRBV-2.5mm²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3.配线部位：管内穿线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95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2.型号：ZCYJV-5*6mm2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3.敷设方式、部位：穿管、桥架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1016"/>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2.型号：ZRVVR 3*6mm²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3.敷设方式、部位：穿管、桥架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r>
      <w:tr>
        <w:trPr>
          <w:jc w:val="center"/>
          <w:trHeight w:val="10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2.型号：ZCVVR-5*16mm²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3.敷设方式、部位：穿管、桥架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10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桥架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1.名称：强电金属槽盒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2.型号：200*100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3.材质：金属</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864"/>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支/吊架、基础型钢</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1.名称：桥架支架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2.材质：镀锌型钢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3.备注：含操作高度增加费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21.78</w:t>
            </w:r>
            <w:r/>
          </w:p>
        </w:tc>
      </w:tr>
      <w:tr>
        <w:trPr>
          <w:jc w:val="center"/>
          <w:trHeight w:val="8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1.名称：KBG管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2.规格：KBG20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3.配置形式：暗配</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jc w:val="center"/>
          <w:trHeight w:val="79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1.名称：KBG管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2.规格：KBG20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3.配置形式：明配</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r>
      <w:tr>
        <w:trPr>
          <w:jc w:val="center"/>
          <w:trHeight w:val="6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支/吊架、基础型钢</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 明管支架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2.材质：镀锌型钢</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24.42</w:t>
            </w:r>
            <w:r/>
          </w:p>
        </w:tc>
      </w:tr>
      <w:tr>
        <w:trPr>
          <w:jc w:val="center"/>
          <w:trHeight w:val="85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1.名称：接线盒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2.材质：金属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3.规格：86型</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7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1.名称：金属软管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2.材质：DN20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503"/>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6.2</w:t>
            </w:r>
            <w:r>
              <w:rPr>
                <w:rFonts w:hint="eastAsia" w:ascii="宋体" w:hAnsi="宋体" w:eastAsia="宋体" w:cs="宋体"/>
                <w:color w:val="auto"/>
                <w:sz w:val="21"/>
                <w:szCs w:val="21"/>
                <w:highlight w:val="none"/>
                <w:lang w:val="en-US" w:eastAsia="zh-CN" w:bidi="ar"/>
              </w:rPr>
              <w:t xml:space="preserve">防雷接地</w:t>
            </w:r>
            <w:r/>
          </w:p>
        </w:tc>
      </w:tr>
      <w:tr>
        <w:trPr>
          <w:jc w:val="center"/>
          <w:trHeight w:val="13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1.名称：第一级防雷器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2.型号：通流量为 60KA，响应时间≤25ns，380V4级防雷器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3.规格：包含连接线、铜线鼻、空开等配件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04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1.名称：第二级防雷器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2.型号：通流量为 40KA，响应时间≤25ns，380V4级防雷器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3.规格：包含连接线、铜线鼻、空开等配件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15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1.名称：第三级防雷器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2.型号：通流量为 20KA，响应时间≤25ns，380V4级防雷器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3.规格：包含连接线、铜线鼻、空开等配件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0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1.名称：机房逻辑接地铜排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2.规格：30*3mm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3.安装部位：包含支撑安装</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r>
      <w:tr>
        <w:trPr>
          <w:jc w:val="center"/>
          <w:trHeight w:val="71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1.名称：接地线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2.型号：ZRBVR6mm2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r>
      <w:tr>
        <w:trPr>
          <w:jc w:val="center"/>
          <w:trHeight w:val="6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1.名称：接地线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2.型号：ZRBVR50mm2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65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智能防雷装置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1.名称：接地汇流排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6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等电位端子箱、测试板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1.名称：等电位接地端子箱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2.材质：TD28局部等电位连接端子箱</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5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接地装置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1.名称：接地装置调试</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系统、组</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627"/>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6.3</w:t>
            </w:r>
            <w:r>
              <w:rPr>
                <w:rFonts w:hint="eastAsia" w:ascii="宋体" w:hAnsi="宋体" w:eastAsia="宋体" w:cs="宋体"/>
                <w:color w:val="auto"/>
                <w:sz w:val="21"/>
                <w:szCs w:val="21"/>
                <w:highlight w:val="none"/>
                <w:lang w:val="en-US" w:eastAsia="zh-CN" w:bidi="ar"/>
              </w:rPr>
              <w:t xml:space="preserve">设备间布线</w:t>
            </w:r>
            <w:r/>
          </w:p>
        </w:tc>
      </w:tr>
      <w:tr>
        <w:trPr>
          <w:jc w:val="center"/>
          <w:trHeight w:val="75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1.规格：机柜600*1200*2000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2.安装方式：落地安装</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577"/>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6.4</w:t>
            </w:r>
            <w:r>
              <w:rPr>
                <w:rFonts w:hint="eastAsia" w:ascii="宋体" w:hAnsi="宋体" w:eastAsia="宋体" w:cs="宋体"/>
                <w:color w:val="auto"/>
                <w:sz w:val="21"/>
                <w:szCs w:val="21"/>
                <w:highlight w:val="none"/>
                <w:lang w:val="en-US" w:eastAsia="zh-CN" w:bidi="ar"/>
              </w:rPr>
              <w:t xml:space="preserve">空气调节</w:t>
            </w:r>
            <w:r/>
          </w:p>
        </w:tc>
      </w:tr>
      <w:tr>
        <w:trPr>
          <w:jc w:val="center"/>
          <w:trHeight w:val="13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空调器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精密空调(包含减震器）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2.型号：1、精密空调总冷量≥12.5kW，显热制冷量≥11.6kW，风量应≥3200m³/h，加热能力要求≥3.4kW。</w:t>
            </w:r>
            <w:r>
              <w:rPr>
                <w:rFonts w:hint="eastAsia" w:ascii="宋体" w:hAnsi="宋体" w:cs="宋体"/>
                <w:i w:val="0"/>
                <w:iCs w:val="0"/>
                <w:color w:val="auto"/>
                <w:sz w:val="21"/>
                <w:szCs w:val="21"/>
                <w:highlight w:val="none"/>
                <w:u w:val="none"/>
                <w:lang w:val="en-US" w:eastAsia="zh-CN" w:bidi="ar"/>
              </w:rPr>
              <w:t xml:space="preserve">提供相应证明材料。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2、压缩机：为提高系统可靠性，空调压缩机应采用柔性涡旋式压缩机。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3、加热量功能：机房精密空调应具备电加热器，为提高加热器的效率和可靠性，应采用PTC式加热器，加热量≥3kW。在风量较低或者没有风量的情况下，加热器基本上不加热，防止机组出现高温损伤并节约能耗。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4、加湿量功能：机房精密空调机组应采用可拆洗式电极加湿器，加湿量≥3.46kg/h,。</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5、膨胀阀：为快速响应制冷需求变化，精准确保制冷剂流量，必须配置节能高效电子膨胀阀，不接受热力膨胀阀。</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冷量输出控制方法、装置功能：所投精密空调在运行时需获取压缩机制冷量和设计风量，基于压缩机制冷量、设计风量以及焓差计算风量系数；将压缩机的需求输出转速和风量系数发送至控制器，由控制器基于需求输出转速和风量系数控制压缩机以控制冷量输出。</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7、制冷剂回收装置功能：列间精密空调应采用环保型制冷剂R410A，保证制冷剂充分制冷，防止制冷剂残留在空调室外机，所投精密空调具备制冷剂回收装置</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64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有色金属管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1.名称：紫铜管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2.规格：回液管、热气管含保温管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jc w:val="center"/>
          <w:trHeight w:val="64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制冷剂</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1.名称：制冷剂</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57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1.名称：室外机电源线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2.型号：ZRVVR-5*2.5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75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1.名称：室外机电源线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2.型号：ZRVVR-2*1.5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452"/>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6.5</w:t>
            </w:r>
            <w:r>
              <w:rPr>
                <w:rFonts w:hint="eastAsia" w:ascii="宋体" w:hAnsi="宋体" w:eastAsia="宋体" w:cs="宋体"/>
                <w:color w:val="auto"/>
                <w:sz w:val="21"/>
                <w:szCs w:val="21"/>
                <w:highlight w:val="none"/>
                <w:lang w:val="en-US" w:eastAsia="zh-CN" w:bidi="ar"/>
              </w:rPr>
              <w:t xml:space="preserve">装修建设</w:t>
            </w:r>
            <w:r/>
          </w:p>
        </w:tc>
      </w:tr>
      <w:tr>
        <w:trPr>
          <w:jc w:val="center"/>
          <w:trHeight w:val="13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轻质隔墙</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1.骨架、边框材料种类、规格：75系列轻钢龙骨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2.隔板材料品种、规格：双面彩钢石膏复合板（1、 表面材料：表材为55%镀铝锌彩涂钢板,钢板正面PE聚酯树脂C816，漆膜厚度20um；颜色为乳白色。背面EP环氧树脂3854，漆膜厚度9um；钢板厚度0.6mm。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内衬材料：12mm厚石膏板。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产品规格：成品标准宽度1200mm，1200mm以下可定制；成品标准高度3100以下皆可定制；成品厚度：13mm。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 墙板连接：墙板两边折有V形边，采用钢制镀锌M压条配M4*18自攻螺钉固定。</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 防火性能：符合国家防火GB/8624-1997建筑材料及制品燃烧性能分级A级不燃材料。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 漆膜性能：光泽度25±10（光泽单位）；铅笔硬度≥H。）</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3.温控区墙面保温岩棉保温板</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4.嵌缝、塞口材料品种：精密空调区地板下、吊顶上一周8mm厚不燃板封闭</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r>
      <w:tr>
        <w:trPr>
          <w:jc w:val="center"/>
          <w:trHeight w:val="13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架空地板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1.地面防尘处理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2.20mm厚地面橡塑保温，表面粘贴铝箔。阻燃B1级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3.面层材料品种、规格：全钢抗静电地板（含调节支撑骨架、抬高300mm）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4.防护材料种类：不锈钢收口条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19.49</w:t>
            </w:r>
            <w:r/>
          </w:p>
        </w:tc>
      </w:tr>
      <w:tr>
        <w:trPr>
          <w:jc w:val="center"/>
          <w:trHeight w:val="61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零星钢构件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1.钢材品种、规格：角钢支架，机柜、配电柜、电池柜、空调内外机承重处理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0.3</w:t>
            </w:r>
            <w:r/>
          </w:p>
        </w:tc>
      </w:tr>
      <w:tr>
        <w:trPr>
          <w:jc w:val="center"/>
          <w:trHeight w:val="104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金属踢脚线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1.踢脚线高度：100mm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2.基层材料种类、规格：12mm厚阻燃板钉在木龙骨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3.面层材料品种、规格：1.2mm黑钛不锈钢</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17.22</w:t>
            </w:r>
            <w:r/>
          </w:p>
        </w:tc>
      </w:tr>
      <w:tr>
        <w:trPr>
          <w:jc w:val="center"/>
          <w:trHeight w:val="8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止水带</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100mm高度围堰，并涂防水涂料。沿空调下方及门入口处设置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9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防火堵洞(隔板)、孔洞封堵</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外界连接的管、线、槽口用专用防火泥封堵</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3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平面吊顶天棚</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1.顶面防尘处理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2.20mm厚地面橡塑保温，表面粘贴铝箔。阻燃B1级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3.吊顶形式、吊杆规格、高度：φ8全丝杆吊筋H=1050mm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4.龙骨材料种类、规格、中距：装配式T型（不上人型）铝合金龙骨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5.面板材料品种、规格：600*600*0.8mm方形微孔铝板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20.03</w:t>
            </w:r>
            <w:r/>
          </w:p>
        </w:tc>
      </w:tr>
      <w:tr>
        <w:trPr>
          <w:jc w:val="center"/>
          <w:trHeight w:val="91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钢质防火门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1.门洞口尺寸：900*2200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2.框、扇材质：钢质甲级防火门，向外开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3.五金种类、规格：含配套五金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r>
      <w:tr>
        <w:trPr>
          <w:jc w:val="center"/>
          <w:trHeight w:val="578"/>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b/>
                <w:bCs/>
                <w:color w:val="auto"/>
                <w:sz w:val="21"/>
                <w:szCs w:val="21"/>
                <w:highlight w:val="none"/>
                <w:lang w:val="en-US" w:eastAsia="zh-CN" w:bidi="ar"/>
              </w:rPr>
              <w:t xml:space="preserve">七、</w:t>
            </w:r>
            <w:r>
              <w:rPr>
                <w:rFonts w:hint="eastAsia" w:ascii="宋体" w:hAnsi="宋体" w:eastAsia="宋体" w:cs="宋体"/>
                <w:b/>
                <w:bCs/>
                <w:color w:val="auto"/>
                <w:sz w:val="21"/>
                <w:szCs w:val="21"/>
                <w:highlight w:val="none"/>
                <w:lang w:val="en-US" w:eastAsia="zh-CN" w:bidi="ar"/>
              </w:rPr>
              <w:t xml:space="preserve">消防报警及无网管灭火</w:t>
            </w:r>
            <w:r/>
          </w:p>
        </w:tc>
      </w:tr>
      <w:tr>
        <w:trPr>
          <w:jc w:val="center"/>
          <w:trHeight w:val="622"/>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7.1</w:t>
            </w:r>
            <w:r>
              <w:rPr>
                <w:rFonts w:hint="eastAsia" w:ascii="宋体" w:hAnsi="宋体" w:eastAsia="宋体" w:cs="宋体"/>
                <w:i w:val="0"/>
                <w:iCs w:val="0"/>
                <w:color w:val="auto"/>
                <w:sz w:val="21"/>
                <w:szCs w:val="21"/>
                <w:highlight w:val="none"/>
                <w:u w:val="none"/>
                <w:lang w:val="en-US" w:eastAsia="zh-CN" w:bidi="ar"/>
              </w:rPr>
              <w:t xml:space="preserve">消防报警</w:t>
            </w:r>
            <w:r/>
          </w:p>
        </w:tc>
      </w:tr>
      <w:tr>
        <w:trPr>
          <w:jc w:val="center"/>
          <w:trHeight w:val="13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报警联动一体机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1.名称：气体灭火控制一体机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2.规格、线制：1区,可接240点，4.3寸彩色液晶显示屏，含热敏打印机、2节5AH电池。接带地址型探测器、模块、声光等总线设备，支持CAN联网和以太网联网，尺寸为340*94*440。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点型探测器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1.名称：感烟探测器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2.规格：工作电压--总线24V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监视电流--＜0.3mA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报警电流--＜1.5mA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布线要求--RVS线≥1.5mm2；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使用环境--温度：-10℃～+55℃，相对湿度：≤95%（40℃±2℃无凝露）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外形尺寸--φ100×54mm（含底座）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重    量--约82g（含底座）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壳体材料--ABS，白色</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2848"/>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点型探测器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1.名称：感温探测器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2.规格：工作电压--总线24V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监视电流--＜0.3mA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报警电流--＜1.5mA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布线要求--RVS线≥1.5mm2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使用环境--温度：-10℃～+50℃；相对湿度：≤95%（40℃±2℃无凝露）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外形尺寸--φ100×56mm（含底座）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重    量--约65g（含底座）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壳体材料--ABS，白色</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6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声光报警器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1.名称：声光报警器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2.安装方式：用于事故现场的声音报警和闪光报警</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8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声光报警器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1.名称：消防警铃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2.安装方式：用于地区报警声响；安装在疏散口、楼梯口及走廊等公共场所</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5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1.名称：放气指示灯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6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照明开关、按钮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1.名称：紧急启停按钮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4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消防模块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1.名称：控制模块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49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1.名称：安全出口灯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34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普通灯具</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1.名称：消防应急灯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5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1.名称：电源线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2.型号：ZR-RVS-2×1.5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45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1.名称：电源线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2.型号：ZR-RVS-4×1.5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5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1.名称：电源线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2.型号：ZR-BV2.5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829"/>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1.名称：KBG管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2.规格：KBG20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3.配置形式：明配</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7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1.名称：接线盒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2.材质：金属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3.规格：86型</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5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1.名称：金属软管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2.材质：DN20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84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火灾防毒面具</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1.名称：火灾防毒面具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2.规格：过滤式呼吸器,30min，火灾逃生消防面具，防烟、防毒、防火</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70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自动报警系统调试</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1.点数：64点以内</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653"/>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7.2</w:t>
            </w:r>
            <w:r>
              <w:rPr>
                <w:rFonts w:hint="eastAsia" w:ascii="宋体" w:hAnsi="宋体" w:eastAsia="宋体" w:cs="宋体"/>
                <w:color w:val="auto"/>
                <w:sz w:val="21"/>
                <w:szCs w:val="21"/>
                <w:highlight w:val="none"/>
                <w:lang w:val="en-US" w:eastAsia="zh-CN" w:bidi="ar"/>
              </w:rPr>
              <w:t xml:space="preserve">气体灭火部分</w:t>
            </w:r>
            <w:r/>
          </w:p>
        </w:tc>
      </w:tr>
      <w:tr>
        <w:trPr>
          <w:jc w:val="center"/>
          <w:trHeight w:val="5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贮存装置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1.名称：70L灭火柜瓶组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2.介质、类型：GQQ70/2.5七氟丙烷灭火柜瓶组</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70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HFC灭火剂</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1.名称：HFC灭火剂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2.介质、类型：HFC-227ea七氟丙烷灭火剂</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r>
      <w:tr>
        <w:trPr>
          <w:jc w:val="center"/>
          <w:trHeight w:val="578"/>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风机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1.名称：吊顶式消防排烟风机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2.型号：风量≥2600m³/H</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50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碳钢罩类</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1.名称：排烟机罩</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74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碳钢阀门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1.名称：排烟阀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2.类型：24V，280°电动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50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成套配电箱</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1.名称：电源箱</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54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百叶风口及风管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1.名称：百叶风口及风管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0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铝及铝合金风口、散流器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1.名称：泄压口装置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515"/>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b/>
                <w:bCs/>
                <w:color w:val="auto"/>
                <w:sz w:val="21"/>
                <w:szCs w:val="21"/>
                <w:highlight w:val="none"/>
                <w:lang w:val="en-US" w:eastAsia="zh-CN" w:bidi="ar"/>
              </w:rPr>
              <w:t xml:space="preserve">八、</w:t>
            </w:r>
            <w:r>
              <w:rPr>
                <w:rFonts w:hint="eastAsia" w:ascii="宋体" w:hAnsi="宋体" w:eastAsia="宋体" w:cs="宋体"/>
                <w:b/>
                <w:bCs/>
                <w:color w:val="auto"/>
                <w:sz w:val="21"/>
                <w:szCs w:val="21"/>
                <w:highlight w:val="none"/>
                <w:lang w:val="en-US" w:eastAsia="zh-CN" w:bidi="ar"/>
              </w:rPr>
              <w:t xml:space="preserve">计算机网络系统</w:t>
            </w:r>
            <w:r/>
          </w:p>
        </w:tc>
      </w:tr>
      <w:tr>
        <w:trPr>
          <w:jc w:val="center"/>
          <w:trHeight w:val="577"/>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8.1</w:t>
            </w:r>
            <w:r>
              <w:rPr>
                <w:rFonts w:hint="eastAsia" w:ascii="宋体" w:hAnsi="宋体" w:eastAsia="宋体" w:cs="宋体"/>
                <w:color w:val="auto"/>
                <w:sz w:val="21"/>
                <w:szCs w:val="21"/>
                <w:highlight w:val="none"/>
                <w:lang w:val="en-US" w:eastAsia="zh-CN" w:bidi="ar"/>
              </w:rPr>
              <w:t xml:space="preserve">政务网/互联网</w:t>
            </w:r>
            <w:r/>
          </w:p>
        </w:tc>
      </w:tr>
      <w:tr>
        <w:trPr>
          <w:jc w:val="center"/>
          <w:trHeight w:val="13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配电智能设备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1.名称：核心交换机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2.型号：1.交换容量≥7.58Tbps，转发性能≥252Mpps；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2.支持不少于24个10/100/1000Base-T电口，光电复用口≥8个，4个10G BASE-X SFP+万兆光口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3、配置描述：每台配置1根SFP+堆叠线缆。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0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1.名称：电子审批网接入交换机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2.规格：性能：整机交换容量 ≥6.7Tbps；转发性能 ≥126Mpps ；端口：≥24个千兆电口，≥4个千兆光口</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107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防火墙</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1.名称：防火墙（含IPS、AV）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2.规格：1、标准 2U 硬件平台，冗余电源，国产化 CPU 及国产化操作系统，内存≥16GB，硬盘≥2TB。标配≥8 个千兆电口(含 4 组电口 Bypass），≥8 个千兆光口，支持≥2 个扩展槽；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2、设备最大吞吐量≥10Gbps，最大并发连接数≥400 万，每秒新建连接数≥20 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 IPv6/IPv4 双栈；支持 IPv6 安全策略，包括访问控制策略、NAT 策略、流量控制策略、黑名单、白名单、认证策略等；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4、系统预定义≥11000 条主流攻击规则，包含对应 IPS 规则的级别、防护对象、操作系统、CVE编号等详细信息；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 SSL 加密流量解密功能，支持 HTTPS、SMTPS、POPS、IMAPS 协议加密的流量解密，支持HTTPS 流量按域名分类做流量解密。并支持上层内容安全功能查杀和访问控制，如入侵防御，内容过滤等；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6、具有自定义漏洞扫描模版和默认漏洞扫描模版扫描漏洞的功能；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7、支持独立的 Web 防护模块，系统定义≥4500条 WAF 规则防护功能，支持常规 HTTP 漏洞、SQL注入、组件、CMS、WebShell 和 XSS 等类型的 Web防护；支持 HTTP 协议的 URL、Method、Referer、User-Agent、Cookie、URL-args 等字段的等于、不等于、包含、不包含、正则等多种匹配方式的访问控制；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8、支持自定义 IPS 特征，至少支持 TCP、UDP、ICMP、HTTP 等协议自定义入侵攻击特征；支持设置检测方向，包括双向、客户端方向和服务端方向；支持自定义选择级别；</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9、具有普通模式下的业务流量转发功能和智能模式下的流量转发功能；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10、支持邮件内容过滤；支持基于发件人、收件人、邮件标题或邮件正文的关键字进行行为过滤；</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11、提供对控制策略、上网认证策略、带宽策略、策略路由、源 NAT 等策略的策略分析，可分析并展示问题策略数量以及所占百分比、问题策略详情、策略宽松度分布情况，简化运维工作；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12、具有基于控制测量的策略分析功能、基于策略路由的策略分析功能、基于源 NAT 的策略分析功能；</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13、基于 C&amp;C 的威胁情报上报功能、基于勒索软件的威胁情报上报功能、基于僵尸网络的威胁情报上报功能、基于挖矿软件的威胁情报上报功能、基于矿池地址的威胁情报上报功能。</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终端安全管理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名称：终端安全管理</w:t>
            </w:r>
            <w:r/>
          </w:p>
          <w:p>
            <w:pPr>
              <w:numPr>
                <w:ilvl w:val="0"/>
                <w:numId w:val="0"/>
              </w:num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1、标准2U硬件平台，双电源，国产化CPU及国产化操作系统，内存≥16G，硬盘≥2T，千兆电口≥4个，千兆光口≥4个，千兆管理口≥1个，千兆HA口≥1个；▲包含1套终端安全及防病毒系统平台及50个PC防护授权；</w:t>
            </w:r>
            <w:r>
              <w:rPr>
                <w:rFonts w:hint="eastAsia" w:ascii="宋体" w:hAnsi="宋体" w:cs="宋体"/>
                <w:i w:val="0"/>
                <w:iCs w:val="0"/>
                <w:color w:val="auto"/>
                <w:sz w:val="21"/>
                <w:szCs w:val="21"/>
                <w:highlight w:val="none"/>
                <w:u w:val="none"/>
                <w:lang w:val="en-US" w:eastAsia="zh-CN" w:bidi="ar"/>
              </w:rPr>
              <w:t xml:space="preserve">提供证明材料。</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可视化态势大屏展示，包括终端安全管控大屏和安全概况大屏，安全概况展示内容包括防护概况、检测概况、入侵检测概况、防护风险趋势、安全动态；终端管控包括终端状态、分组分类、版本状态、安装量、防护率、在线率等。</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对CPU、内存、磁盘读写、网络上下行流量达到配置阈值时告警。支持对CPU、内存达到一定阈值时客户端自动进行熔断。支持自动收集终端资产：监听端口、运行程序、账号、软件、启动项、Web框架、Web服务、数据库、Web应用等信息，并支持数据的导出。</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4、病毒检测类型支持文件感染型病毒、宏病毒、蠕虫、木马程序、间谍软件、脚本恶意程序、后门程序、僵尸程序、勒索软件、RootKit恶意程序、BootKit恶意程序等。</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中心可对全网终端下发资产信息登记任务，能自定义登记信息内容及格式，包括输出框格式、下拉框格式、是否必填项等，并支持启停资产登记能力，针对未完整登记信息的终端支持设置开机提醒、定期提醒、常驻提醒。</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6、支持监控系统开机、登录、关机事件，可以设置监控非工作时段的开机事件，形成审计日志；且能够查询主机在线时长监控，显示终端在线累积时长、离线累积时长、最近下线时间、总时长等信息。</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7、支持基于IP及域名设置探测地址，实时感知违规外联行为，针对违规外联行为支持多种处置方式，包括不做处理、弹窗提醒用户并关机、弹窗提醒用户并断网。</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8、支持压缩文件、加壳文件、格式混淆、捆绑文件等逃避检测防护；支持静态文件二进制特征、动态行为特征等未知病毒检测。</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登录防护，包括以系统账号为粒度的异常登录防护、支持4个任意维度（任意IP，任意域名，任意计算机名，任意时间）的系统登录访问策略设置。联动威胁情报，支持对APT、木马、病毒、蠕虫、后门、勒索、挖矿、僵尸网络、漏洞利用等10余种不同类型的威胁进行离线鉴定，对外联IP、可疑域名、可疑文件进行实时情报鉴定，实现风险一站式实时监测。</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内置在线沙箱，可对文件进行在线沙箱、多引擎、情报分析，可在线预览分析结果并支持报告下载分析。提供专门的挖矿风险评估工具和专门的挖矿实时防御工具，并提供功能开关。提供内核级的数据防护能力，保护文件不被勒索软件或其他病毒程序恶意修改、加密等，可自定义配置保护的文件及目录，支持设置例外进程。</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11、病毒处理支持阻止、删除、隔离及清除还原；策略支持自定义，病毒检测方式支持全面检测、按需检测。</w:t>
            </w:r>
            <w:r/>
          </w:p>
          <w:p>
            <w:pPr>
              <w:numPr>
                <w:ilvl w:val="0"/>
                <w:numId w:val="0"/>
              </w:numPr>
              <w:jc w:val="left"/>
              <w:keepLines w:val="0"/>
              <w:keepNext w:val="0"/>
              <w:widowControl/>
              <w:rPr>
                <w:rFonts w:hint="eastAsia"/>
                <w:color w:val="auto"/>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12、管理平台支持一键卸载客户端、一键解除绑定终端、一键停止/启动防护、一键关闭/重启主机、一键重启客户端、一键迁移资产。客户端程序支持在线热升级，可自定义客户端升级时间与升级速度，并支持错峰升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442"/>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8.2</w:t>
            </w:r>
            <w:r>
              <w:rPr>
                <w:rFonts w:hint="eastAsia" w:ascii="宋体" w:hAnsi="宋体" w:eastAsia="宋体" w:cs="宋体"/>
                <w:color w:val="auto"/>
                <w:sz w:val="21"/>
                <w:szCs w:val="21"/>
                <w:highlight w:val="none"/>
                <w:lang w:val="en-US" w:eastAsia="zh-CN" w:bidi="ar"/>
              </w:rPr>
              <w:t xml:space="preserve">电子审批网</w:t>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1.名称：电子审批网核心交换机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2.规格：1.交换容量≥7.58Tbps，转发性能≥252Mpps；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2.支持不少于24个10/100/1000Base-T电口，光电复用口≥8个，4个10G BASE-X SFP+万兆光口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3、配置描述：每台配置1根SFP+堆叠线缆。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359"/>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路由器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1.名称：电子审批网路由器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2.规格：1.固定接口数目≥7个WAN口（其中包含2个光口）， 8个LAN口（全部支持切换成WAN口），1个USB接口，支持3G扩展，支持2个SIC插槽；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2.转发性能≥3Mpps；整机交换容量52Gbps；</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1.名称：电子审批网接入交换机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2.规格：性能：整机交换容量 ≥6.7Tbps；转发性能 ≥126Mpps ；端口：≥24个千兆电口，≥4个千兆光口</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防火墙</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1.名称：电子审批网防火墙（含IPS、AV）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2.规格：1、标准 2U 硬件平台，冗余电源，国产化 CPU 及国产化操作系统，内存≥16GB，硬盘≥2TB。标配≥8 个千兆电口(含 4 组电口 Bypass），≥8 个千兆光口，支持≥2 个扩展槽；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2、设备最大吞吐量≥10Gbps，最大并发连接数≥400 万，每秒新建连接数≥20 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 IPv6/IPv4 双栈；支持 IPv6 安全策略，包括访问控制策略、NAT 策略、流量控制策略、黑名单、白名单、认证策略等；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4、▲系统预定义≥11000 条主流攻击规则，包含对应 IPS 规则的级别、防护对象、操作系统、CVE编号等详细信息，提供满足该功能的第三方软件测试报告；</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 SSL 加密流量解密功能，支持 HTTPS、SMTPS、POPS、IMAPS 协议加密的流量解密，支持HTTPS 流量按域名分类做流量解密。并支持上层内容安全功能查杀和访问控制，如入侵防御，内容过滤等；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6、具有自定义漏洞扫描模版和默认漏洞扫描模版扫描漏洞的功能；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7、支持独立的 Web 防护模块，系统定义≥4500条 WAF 规则防护功能，支持常规 HTTP 漏洞、SQL注入、组件、CMS、WebShell 和 XSS 等类型的 Web防护；支持 HTTP 协议的 URL、Method、Referer、User-Agent、Cookie、URL-args 等字段的等于、不等于、包含、不包含、正则等多种匹配方式的访问控制；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8、支持自定义 IPS 特征，至少支持 TCP、UDP、ICMP、HTTP 等协议自定义入侵攻击特征；支持设置检测方向，包括双向、客户端方向和服务端方向；支持自定义选择级别；</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9、具有普通模式下的业务流量转发功能和智能模式下的流量转发功能；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10、支持邮件内容过滤；支持基于发件人、收件人、邮件标题或邮件正文的关键字进行行为过滤；</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11、提供对控制策略、上网认证策略、带宽策略、策略路由、源 NAT 等策略的策略分析，可分析并展示问题策略数量以及所占百分比、问题策略详情、策略宽松度分布情况，简化运维工作；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12、具有基于控制测量的策略分析功能、基于策略路由的策略分析功能、基于源 NAT 的策略分析功能；</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13、▲基于 C&amp;C 的威胁情报上报功能、基于勒索软件的威胁情报上报功能、基于僵尸网络的威胁情报上报功能、基于挖矿软件的威胁情报上报功能、基于矿池地址的威胁情报上报功能，提供满足该功能的第三方软件测试报告</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电子审批网终端安全管理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1.名称：电子审批网终端安全管理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2.类别：1、标准2U硬件平台，双电源，国产化CPU及国产化操作系统，内存≥16G，硬盘≥2T，千兆电口≥4个，千兆光口≥4个，千兆管理口≥1个，千兆HA口≥1个；包含1套终端安全及防病毒系统平台及50个PC防护授权；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可视化态势大屏展示，包括终端安全管控大屏和安全概况大屏，安全概况展示内容包括防护概况、检测概况、入侵检测概况、防护风险趋势、安全动态；终端管控包括终端状态、分组分类、版本状态、安装量、防护率、在线率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对CPU、内存、磁盘读写、网络上下行流量达到配置阈值时告警。支持对CPU、内存达到一定阈值时客户端自动进行熔断。支持自动收集终端资产：监听端口、运行程序、账号、软件、启动项、Web框架、Web服务、数据库、Web应用等信息，并支持数据的导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4、▲病毒检测类型支持文件感染型病毒、宏病毒、蠕虫、木马程序、间谍软件、脚本恶意程序、后门程序、僵尸程序、勒索软件、RootKit恶意程序、BootKit恶意程序等，提供满足该功能的第三方软件测试报告。</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中心可对全网终端下发资产信息登记任务，能自定义登记信息内容及格式，包括输出框格式、下拉框格式、是否必填项等，并支持启停资产登记能力，针对未完整登记信息的终端支持设置开机提醒、定期提醒、常驻提醒。</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6、支持监控系统开机、登录、关机事件，可以设置监控非工作时段的开机事件，形成审计日志；且能够查询主机在线时长监控，显示终端在线累积时长、离线累积时长、最近下线时间、总时长等信息。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7、支持基于IP及域名设置探测地址，实时感知违规外联行为，针对违规外联行为支持多种处置方式，包括不做处理、弹窗提醒用户并关机、弹窗提醒用户并断网。</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8、支持压缩文件、加壳文件、格式混淆、捆绑文件等逃避检测防护；支持静态文件二进制特征、动态行为特征等未知病毒检测。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登录防护，包括以系统账号为粒度的异常登录防护、支持4个任意维度（任意IP，任意域名，任意计算机名，任意时间）的系统登录访问策略设置。联动威胁情报，支持对APT、木马、病毒、蠕虫、后门、勒索、挖矿、僵尸网络、漏洞利用等10余种不同类型的威胁进行离线鉴定，对外联IP、可疑域名、可疑文件进行实时情报鉴定，实现风险一站式实时监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内置在线沙箱，可对文件进行在线沙箱、多引擎、情报分析，可在线预览分析结果并支持报告下载分析。提供专门的挖矿风险评估工具和专门的挖矿实时防御工具，并提供功能开关。提供内核级的数据防护能力，保护文件不被勒索软件或其他病毒程序恶意修改、加密等，可自定义配置保护的文件及目录，支持设置例外进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11、病毒处理支持阻止、删除、隔离及清除还原；策略支持自定义，病毒检测方式支持全面检测、按需检测。</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管理平台支持一键卸载客户端、一键解除绑定终端、一键停止/启动防护、一键关闭/重启主机、一键重启客户端、一键迁移资产。客户端程序支持在线热升级，可自定义客户端升级时间与升级速度，并支持错峰升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电子审批网络安全审计系统 </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1.名称：电子审批网络安全审计系统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2.类别：1、标准 1U 硬件平台，采用国产化 CPU 和国产操作系统，千兆电口≥6 个，内存≥8GB，磁盘≥2T；授权资产≥20，日志处理能力≥800EPS，功能无限制；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2、采用解决方案包上传对产品进行功能扩展，无需要代码开发；支持 kafka日志转发、大数据同步、APT 沙箱报告转发等联调功能；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3、▲通过在目标主机上安装 Agent 程序，支持监测目标主机的 CPU 利用率、内存使用率、硬盘使用率、硬盘使用情况、流量等信息，提供满足该功能的第三方软件测试报告；</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4、支持手动或按周期自动备份系统配置，可随时对系统资产等配置进行恢复操作，且自动备份周期与备份包个数可配；支持系统配置备份自动备份至远程仓库；</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5、三维关联分析；支持通过资产、安全知识库、弱点库三个维度分析事件是否存在威胁，并形成关联事件；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 Syslog、SNMP Trap、HTTP、WMI、FTP、SFTP 协议日志收集；支持使用代理（Agent）方式提取日志并收集；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7、支持常见的虚拟机环境日志收集，包括 Xen、VMWare，hyper-v 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8、支持分布式部署，支持页面一键添加子节点，自动进行绑定添加，采集器可以选择同步日志范围，按需转发数据；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备安全评估模型，评估模型基于设备故障、认证登录、攻击威胁、可用性、系统脆弱性等纬度加权平均计算总体安全指数。安全评估模型可以显示总体评分、历史评分趋势。安全评估模型各项指标可钻取具体的评分扣分事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可对日志进行细粒度解析，解析后的日志根据具体日志包含但不限于：日期、发生时间、接收时间、设备类型、日志类型、日志来源、威胁值、源地址、目的地址、事件类型、时间范围、操作主体、操作对象、行为方式、技术动作、技术效果、攻击类型、特征类型、协议、地理信息（公网情况）；</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11、支持磁盘空间阈值告警，当磁盘使用率达到设定的阈值时可产生并外发告警；资产性能监控异常告警，对于监控的资产系统资源进行监测当指定指标使用率达到设定的阈值时可产生并外发告警。</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568"/>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8.3</w:t>
            </w:r>
            <w:r>
              <w:rPr>
                <w:rFonts w:hint="eastAsia" w:ascii="宋体" w:hAnsi="宋体" w:eastAsia="宋体" w:cs="宋体"/>
                <w:color w:val="auto"/>
                <w:sz w:val="21"/>
                <w:szCs w:val="21"/>
                <w:highlight w:val="none"/>
                <w:lang w:val="en-US" w:eastAsia="zh-CN" w:bidi="ar"/>
              </w:rPr>
              <w:t xml:space="preserve">设备网</w:t>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1.名称：核心交换机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2.规格：1.交换容量≥7.58Tbps，转发性能≥252Mpps；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2.支持不少于24个10/100/1000Base-T电口，光电复用口≥8个，4个10G BASE-X SFP+万兆光口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3、含4千兆多模模块。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1.名称：POE接入交换机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2.规格：1、固化千兆电接口≥24个，独立千兆SFP光接口≥4个；支持POE供电，整机供电功率≥370W。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2、交换容量≥336Gbps，包转发率≥144Mpps。</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1.名称：接入交换机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 性能：整机交换容量 ≥6.7Tbps；转发性能 ≥126Mpps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端口：≥24个千兆电口，≥4个千兆光口</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707"/>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九、安防门禁</w:t>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存储设备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1.名称：监控录像机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2.规格：1、可接驳支持 ONVIF、PSIA、RTSP 协议的第三方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摄像机和主流品牌摄像机。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2、视频数据的存储。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3、8 块 16T 存储盘。</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监控摄像设备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1.名称：半球摄像机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2.规格：1、400 万半球型网络摄像机。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2、传感器类型：1/2.7" Progressive Scan CMOS。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3、最低照度：彩色：0.01 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4、宽动态：数字宽动态。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5、最高分辨率可达 2560 × 1440 @25 fps，在该分辨率下可输出实时图像。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 Smart 侦测：场景变更侦测，虚焦侦测，区域入侵侦测，越界侦测，进入区域侦测，离开区域侦测，物品遗留侦测，物品拿取侦测，徘徊侦测等识别检测事件。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7、支持背光补偿，强光抑制，3D 数字降噪，120 dB宽动态。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8、采用高效阵列红外灯，使用寿命长，红外照射距离最远可达 30 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9、支持最大 512 GBMicroSD/MicroSDHC/MicroSDXC 卡本地存储。支持 1 路报警输入，1 路报警输出（输出最大支持DC12 V，30 mA），1 路音频输入，1 路音频输出。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10、符合 IP66 防尘防水及 IK10 防暴设计，可靠性高。</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11、POE 供电。</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1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输出设备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1.名称：人脸门禁一体机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w:t>
            </w:r>
            <w:r>
              <w:rPr>
                <w:rFonts w:hint="eastAsia" w:ascii="宋体" w:hAnsi="宋体" w:eastAsia="宋体" w:cs="宋体"/>
                <w:i w:val="0"/>
                <w:iCs w:val="0"/>
                <w:color w:val="auto"/>
                <w:sz w:val="21"/>
                <w:szCs w:val="21"/>
                <w:highlight w:val="none"/>
                <w:u w:val="none"/>
                <w:lang w:val="en-US" w:eastAsia="zh-CN" w:bidi="ar"/>
              </w:rPr>
              <w:t xml:space="preserve">1、采用4.3英寸LCD液晶触摸屏，支持本地视频预览，支持实时检测人脸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2、存储容量：本地支持1500 人脸库、3000 张卡、3000 枚指纹（-F 型号）、15 万条事件记录；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3、读卡器模式：支持通过经销私有RS485 或韦根（W26/W34/W27/W35）接入门禁控制器，作为读卡器模式 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4、支持人脸、刷卡（Mifare 卡/IC 卡、手机NFC 卡、CPU 卡序列号、身份证卡序列号）、密码、二维码、人脸+密码、人脸+刷卡、刷卡+密码、人脸或刷卡的认证方式</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68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电源</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1.名称：门禁电源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2.规格：12V</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115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入侵探测器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1.名称：磁力锁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2.规格：1、锁体主体颜色为：氧化银。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2、最大静态直线拉力：280kg±10%。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3、断电开锁，满足消防要求。</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132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出入口目标识别设备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1.名称：出门按钮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2.规格：1、结构：塑料面板。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2、性能：最大耐电流 1.25A，电压 250V。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3、输出：常开。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4、尺寸：86*86mm，安装后露出 13mm。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33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出入口目标识别设备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1.名称：IC卡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2.规格：1、卡片类型：IC 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2、符合标准：ISO14443 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3、卡片容量：1K byte。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4、工作频率：13.56MHz。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5、卡片尺寸：85.5mm*54mm*0.9mm。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6、主体材质：PVC。</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停车场管理设备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1.名称：卡发行器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2.规格：1、支持发卡类型：ID 卡、IC 卡、身份证物料卡号（序列号）、普通 CPU 卡、国密 CPU 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2、USB2.0 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 2 个 Sim 卡尺寸的 PSAM 卡座。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4、工作电压：DC 5V。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5、工作电流：0.2A。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6、尺寸：117*67.5*14.3mm。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593"/>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b/>
                <w:bCs/>
                <w:color w:val="auto"/>
                <w:sz w:val="21"/>
                <w:szCs w:val="21"/>
                <w:highlight w:val="none"/>
                <w:lang w:val="en-US" w:eastAsia="zh-CN" w:bidi="ar"/>
              </w:rPr>
              <w:t xml:space="preserve">十、</w:t>
            </w:r>
            <w:r>
              <w:rPr>
                <w:rFonts w:hint="eastAsia" w:ascii="宋体" w:hAnsi="宋体" w:eastAsia="宋体" w:cs="宋体"/>
                <w:b/>
                <w:bCs/>
                <w:color w:val="auto"/>
                <w:sz w:val="21"/>
                <w:szCs w:val="21"/>
                <w:highlight w:val="none"/>
                <w:lang w:val="en-US" w:eastAsia="zh-CN" w:bidi="ar"/>
              </w:rPr>
              <w:t xml:space="preserve">综合布线系统</w:t>
            </w:r>
            <w:r/>
          </w:p>
        </w:tc>
      </w:tr>
      <w:tr>
        <w:trPr>
          <w:jc w:val="center"/>
          <w:trHeight w:val="644"/>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1.名称：24口配线架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2.规格：24 口模块化非屏蔽配线架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1.名称：110配线架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2.规格：1、100 对 110 型语音跳线架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2、适用所有 19 英寸标准机柜</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516"/>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输入设备</w:t>
            </w:r>
            <w:r/>
          </w:p>
        </w:tc>
        <w:tc>
          <w:tcPr>
            <w:shd w:val="clear" w:color="auto" w:fill="ffffff"/>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w:t>
            </w:r>
            <w:r>
              <w:rPr>
                <w:rFonts w:hint="eastAsia" w:ascii="宋体" w:hAnsi="宋体" w:eastAsia="宋体" w:cs="宋体"/>
                <w:i w:val="0"/>
                <w:iCs w:val="0"/>
                <w:color w:val="auto"/>
                <w:sz w:val="21"/>
                <w:szCs w:val="21"/>
                <w:highlight w:val="none"/>
                <w:u w:val="none"/>
                <w:lang w:val="en-US" w:eastAsia="zh-CN" w:bidi="ar"/>
              </w:rPr>
              <w:t xml:space="preserve">六类非屏蔽模块</w:t>
            </w:r>
            <w:r>
              <w:rPr>
                <w:rFonts w:hint="eastAsia" w:ascii="宋体" w:hAnsi="宋体" w:cs="宋体"/>
                <w:i w:val="0"/>
                <w:iCs w:val="0"/>
                <w:color w:val="auto"/>
                <w:sz w:val="21"/>
                <w:szCs w:val="21"/>
                <w:highlight w:val="none"/>
                <w:u w:val="none"/>
                <w:lang w:val="en-US" w:eastAsia="zh-CN" w:bidi="ar"/>
              </w:rPr>
              <w:t xml:space="preserve">（网线水晶头）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2.规格：1、阻燃、抗冲击、耐腐蚀材料注塑而成；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2、每个模块上有 T568A、T568B 两种标准打线标识；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3、独特的排列电缆的方法保证了在接触良好；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4、卡锁式的端接帽保证了线缆被完全端接；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5、高弹性保证打线卡接＞250 次，重复插拔次数＞750 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6、产品电气性能优越，支持千兆网络应用；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7、防尘盖设计，有效防止灰尘进入（打线式）。</w:t>
            </w:r>
            <w:r/>
          </w:p>
        </w:tc>
        <w:tc>
          <w:tcPr>
            <w:shd w:val="clear" w:color="auto" w:fill="ffffff"/>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r>
      <w:tr>
        <w:trPr>
          <w:jc w:val="center"/>
          <w:trHeight w:val="9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跳线、跳纤</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1.名称：3米跳线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2.规格：3 米六类，UTP，4 对标准 RJ45 至 RJ45 跳线，PVC 护套，符合 UL 防火标准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929"/>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跳线、跳纤</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1.名称：2米跳线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2.规格：2米六类，UTP，4 对标准 RJ45 至 RJ45 跳线，PVC 护套，符合 UL 防火标准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131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线管理器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1.名称：理线器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2.规格：1U 封闭式网络理线架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r>
      <w:tr>
        <w:trPr>
          <w:jc w:val="center"/>
          <w:trHeight w:val="57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132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1.名称：六类非屏蔽线缆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2.规格：单根导体直流电阻：≤9.5Ω/100m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标称线对数：4，导体标称直径：0.53mm，导体名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称：软圆铜线，绝缘：HDPE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屏蔽方式：U/UTP，线对采用“十”字骨架隔离</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183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信息、网络插座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1.名称：四口面板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2.规格：1.、阻燃、抗冲击、耐腐蚀材料注塑而成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加厚材料注塑坚固耐用防撞击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3、面板设计线条流畅不见螺钉孔,美观大方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4、双层扣位式面板设计可防止施工时污染面板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5、所有面板均带防护门，适应恶劣施工环境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6、固定架和后座磨砂处理，保护不被尖锐物划伤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7、单面拆卸口，拆卸时不损伤墙面</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183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信息、网络插座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1.名称：双口面板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2.规格：1、阻燃、抗冲击、耐腐蚀材料注塑而成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加厚材料注塑坚固耐用防撞击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3、面板设计线条流畅不见螺钉孔,美观大方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4、双层扣位式面板设计可防止施工时污染面板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5、所有面板均带防护门，适应恶劣施工环境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6、固定架和后座磨砂处理，保护不被尖锐物划伤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7、单面拆卸口，拆卸时不损伤墙面</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jc w:val="center"/>
          <w:trHeight w:val="84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1.名称：JDG管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2.规格：JDG20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3.配置形式：暗配</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r>
      <w:tr>
        <w:trPr>
          <w:jc w:val="center"/>
          <w:trHeight w:val="76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1.名称：JDG管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2.规格：JDG25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3.配置形式：暗配</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r>
      <w:tr>
        <w:trPr>
          <w:jc w:val="center"/>
          <w:trHeight w:val="554"/>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1.名称：门禁信号线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2.型号：RVV2*1.0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66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1.名称：电源线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2.型号：RVV3*1.5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66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双绞线缆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1.名称：音响线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2.类别：200 芯无氧铜音响线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60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140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1.名称：话筒线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2.型号：RVVP2*1.0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540</w:t>
            </w:r>
            <w:r/>
          </w:p>
        </w:tc>
      </w:tr>
      <w:tr>
        <w:trPr>
          <w:jc w:val="center"/>
          <w:trHeight w:val="44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141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双绞线缆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1.名称：高清线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2.类别：光纤版高清线 30 米</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60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142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双绞线缆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1.名称：高清线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2.类别：光纤版高清线 15米</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554"/>
        </w:trPr>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6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b/>
                <w:bCs/>
                <w:color w:val="auto"/>
                <w:sz w:val="21"/>
                <w:szCs w:val="21"/>
                <w:highlight w:val="none"/>
                <w:lang w:val="en-US" w:eastAsia="zh-CN" w:bidi="ar"/>
              </w:rPr>
              <w:t xml:space="preserve">十一、</w:t>
            </w:r>
            <w:r>
              <w:rPr>
                <w:rFonts w:hint="eastAsia" w:ascii="宋体" w:hAnsi="宋体" w:eastAsia="宋体" w:cs="宋体"/>
                <w:b/>
                <w:bCs/>
                <w:color w:val="auto"/>
                <w:sz w:val="21"/>
                <w:szCs w:val="21"/>
                <w:highlight w:val="none"/>
                <w:lang w:val="en-US" w:eastAsia="zh-CN" w:bidi="ar"/>
              </w:rPr>
              <w:t xml:space="preserve">集成服务</w:t>
            </w:r>
            <w:r/>
          </w:p>
        </w:tc>
      </w:tr>
      <w:tr>
        <w:trPr>
          <w:jc w:val="center"/>
          <w:trHeight w:val="1278"/>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8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143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4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技术服务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42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1.名称：技术服务</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2.规格：包含全部软硬件设备安装、布线、上架、系统调试、国知局网络对接联调、用户培训、竣工资料编制、现场测试、验收配合；含项目管理人员、音视频、网络安全工程师。</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7"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04"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w:t>
            </w:r>
            <w:r/>
          </w:p>
        </w:tc>
      </w:tr>
    </w:tbl>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商务</w:t>
      </w:r>
      <w:r>
        <w:rPr>
          <w:rFonts w:hint="eastAsia"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1.报价要求</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（1）供应商在投标时应上传分项报价清单（清单内容应包含：名称，品牌、规格或型号，数量，单价，质保年限等）不得超过最高限价，否则为无效标。</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（3）供应商的任何错漏、优惠、竞争性报价不得作为减轻责任、减少服务、增加收费、降低服务质量的理由。</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（4）供应商报价除包含</w:t>
      </w:r>
      <w:r>
        <w:rPr>
          <w:rFonts w:hint="eastAsia"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中列明的项目外，还应包括保障产品正常使用应当具有的物资和服务，对产品正常使用应当具有的物资和服务理解不一致的以采购单位理解为准。</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2.实施要求</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（1）质量要求</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①原材料及辅材应符合国家规定的强制性环保指标。</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②供应商应及时与采购人联系，对本项目所有产品的规格尺寸、款式、颜色等要求进一步确认，得到采购人的签字盖章认可后方可生产，并确保产品质量。</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③供应商提供的货物（含配件）应是全新的、未使用过的原装合格正品，外观和内在质量都不得有任何问题。在各个方面符合合同规定的质量、规格和性能要求。合同设备经过按时、正确安装、合理操作和维护保养，在设备寿命期内运转良好。在规定的质保期内，中标供应商应对由于设计、工艺或材料的缺陷或故障负责。在未验收前，货物保管、安全均由中标供应商负责。</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④所提供的技术资料（含软件）完整正确，采购人拥有技术资料（含软件）所有权、使用权等，数据和资料准确无误，能够保证设备按时正确地安装、调试和验收，并能满足正常运行和维修保养的需要。</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⑤如未能达到合同要求，采购人有权退货并要求供应商赔偿损失。</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（2）安全施工要求</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供应商应采取安全措施，确保实施安全。因本项目实施产生的实施人员和便民服务中心工作人员人身安全问题由供应商承担全部责任；施工遵守物业管理制度，做好原有装修成品保护。</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（3）验收要求</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①施工过程管理与记录：</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施工前、中、后须分别拍摄水印照片并放入竣工文档；施工资料及竣工文档将作为最终验收与决算依据。</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②因产品质量或安装不当导致验收不合格，应及时处理直至验收合格，期间产生的一切费用由供应商承担；若二次验收不合格，采购人有权退货。采购人在此期间保留对供应商的索赔权利。</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（4）质保（维保）及售后</w:t>
      </w:r>
      <w:r>
        <w:rPr>
          <w:rFonts w:hint="eastAsia"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21"/>
          <w:szCs w:val="21"/>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1"/>
          <w:szCs w:val="21"/>
          <w:highlight w:val="none"/>
          <w:u w:val="single"/>
        </w:rPr>
        <w:t xml:space="preserve">①供应商提供硬件设备免费质保</w:t>
      </w:r>
      <w:r>
        <w:rPr>
          <w:rFonts w:hint="eastAsia" w:ascii="宋体" w:hAnsi="宋体" w:eastAsia="宋体" w:cs="宋体"/>
          <w:i/>
          <w:iCs/>
          <w:color w:val="auto"/>
          <w:sz w:val="21"/>
          <w:szCs w:val="21"/>
          <w:highlight w:val="none"/>
          <w:u w:val="single"/>
          <w:lang w:val="en-US" w:eastAsia="zh-CN"/>
        </w:rPr>
        <w:t xml:space="preserve">1</w:t>
      </w:r>
      <w:r>
        <w:rPr>
          <w:rFonts w:hint="eastAsia" w:ascii="宋体" w:hAnsi="宋体" w:eastAsia="宋体" w:cs="宋体"/>
          <w:i/>
          <w:iCs/>
          <w:color w:val="auto"/>
          <w:sz w:val="21"/>
          <w:szCs w:val="21"/>
          <w:highlight w:val="none"/>
          <w:u w:val="single"/>
        </w:rPr>
        <w:t xml:space="preserve">年（含）以上，软件系统免费升级运维不少于 1 年，自验收报告签字确认日起，开始进入质保期。 </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21"/>
          <w:szCs w:val="21"/>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1"/>
          <w:szCs w:val="21"/>
          <w:highlight w:val="none"/>
          <w:u w:val="single"/>
        </w:rPr>
        <w:t xml:space="preserve">②质保期内，一旦产品发生质量问题，供应商接到报修请求，2 小时响应，24 小时内到达项目现场；24 小时内无法及时修复的须提供备机，修复或更换零部件须满足国家及行业环保和质量标准。质保期内完成至少一次年度整体免费巡检。 </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1"/>
          <w:szCs w:val="21"/>
          <w:highlight w:val="none"/>
          <w:u w:val="single"/>
        </w:rPr>
        <w:t xml:space="preserve">③质保期外，供应商提供终身服务，在货物的设计使用寿命周期内，供应商能保证采购人更换到原厂正宗的备件材料，确保产品的正常使用。</w:t>
      </w:r>
      <w:r>
        <w:rPr>
          <w:rFonts w:hint="eastAsia" w:ascii="宋体" w:hAnsi="宋体" w:eastAsia="宋体" w:cs="宋体"/>
          <w:color w:val="auto"/>
          <w:sz w:val="21"/>
          <w:szCs w:val="21"/>
          <w:highlight w:val="none"/>
        </w:rPr>
        <w:t xml:space="preserve"> </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21"/>
          <w:szCs w:val="21"/>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1"/>
          <w:szCs w:val="21"/>
          <w:highlight w:val="none"/>
          <w:u w:val="single"/>
        </w:rPr>
        <w:t xml:space="preserve">④质保期内维修（人为因素除外）费用包含在投标总价中，质保期外提供不高于市场价格的终身维护。中标后提供质保期外配件价格明细表。</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3.付款条件</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1"/>
          <w:szCs w:val="21"/>
          <w:highlight w:val="none"/>
        </w:rPr>
        <w:t xml:space="preserve">合同签订且乙方提交进场服务相关证明材料后，双方协商一致</w:t>
      </w:r>
      <w:r>
        <w:rPr>
          <w:rFonts w:hint="eastAsia" w:cs="宋体"/>
          <w:b w:val="0"/>
          <w:bCs w:val="0"/>
          <w:i w:val="0"/>
          <w:iCs w:val="0"/>
          <w:color w:val="auto"/>
          <w:sz w:val="21"/>
          <w:szCs w:val="21"/>
          <w:highlight w:val="none"/>
          <w:lang w:val="en-US" w:eastAsia="zh-CN"/>
        </w:rPr>
        <w:t xml:space="preserve">后</w:t>
      </w:r>
      <w:r>
        <w:rPr>
          <w:rFonts w:hint="eastAsia" w:ascii="宋体" w:hAnsi="宋体" w:eastAsia="宋体" w:cs="宋体"/>
          <w:b w:val="0"/>
          <w:bCs w:val="0"/>
          <w:i w:val="0"/>
          <w:iCs w:val="0"/>
          <w:color w:val="auto"/>
          <w:sz w:val="21"/>
          <w:szCs w:val="21"/>
          <w:highlight w:val="none"/>
        </w:rPr>
        <w:t xml:space="preserve">甲方支付合同价款的 40% 作为预付款；项目全部服务工作完成，经使用单位对标功能评估合格、专家验收考评通过</w:t>
      </w:r>
      <w:r>
        <w:rPr>
          <w:rFonts w:hint="eastAsia" w:cs="宋体"/>
          <w:b w:val="0"/>
          <w:bCs w:val="0"/>
          <w:i w:val="0"/>
          <w:iCs w:val="0"/>
          <w:color w:val="auto"/>
          <w:sz w:val="21"/>
          <w:szCs w:val="21"/>
          <w:highlight w:val="none"/>
          <w:lang w:val="en-US" w:eastAsia="zh-CN"/>
        </w:rPr>
        <w:t xml:space="preserve">满一年并经审计结束后</w:t>
      </w:r>
      <w:r>
        <w:rPr>
          <w:rFonts w:hint="eastAsia" w:ascii="宋体" w:hAnsi="宋体" w:eastAsia="宋体" w:cs="宋体"/>
          <w:b w:val="0"/>
          <w:bCs w:val="0"/>
          <w:i w:val="0"/>
          <w:iCs w:val="0"/>
          <w:color w:val="auto"/>
          <w:sz w:val="21"/>
          <w:szCs w:val="21"/>
          <w:highlight w:val="none"/>
        </w:rPr>
        <w:t xml:space="preserve">付至</w:t>
      </w:r>
      <w:r>
        <w:rPr>
          <w:rFonts w:hint="eastAsia" w:cs="宋体"/>
          <w:b w:val="0"/>
          <w:bCs w:val="0"/>
          <w:i w:val="0"/>
          <w:iCs w:val="0"/>
          <w:color w:val="auto"/>
          <w:sz w:val="21"/>
          <w:szCs w:val="21"/>
          <w:highlight w:val="none"/>
          <w:lang w:val="en-US" w:eastAsia="zh-CN"/>
        </w:rPr>
        <w:t xml:space="preserve">审计</w:t>
      </w:r>
      <w:r>
        <w:rPr>
          <w:rFonts w:hint="eastAsia" w:ascii="宋体" w:hAnsi="宋体" w:eastAsia="宋体" w:cs="宋体"/>
          <w:b w:val="0"/>
          <w:bCs w:val="0"/>
          <w:i w:val="0"/>
          <w:iCs w:val="0"/>
          <w:color w:val="auto"/>
          <w:sz w:val="21"/>
          <w:szCs w:val="21"/>
          <w:highlight w:val="none"/>
        </w:rPr>
        <w:t xml:space="preserve">价款的 70%；验收合格满二年后付清审计价格余款</w:t>
      </w:r>
      <w:r>
        <w:rPr>
          <w:rFonts w:hint="eastAsia" w:cs="宋体"/>
          <w:b w:val="0"/>
          <w:bCs w:val="0"/>
          <w:i w:val="0"/>
          <w:iCs w:val="0"/>
          <w:color w:val="auto"/>
          <w:sz w:val="21"/>
          <w:szCs w:val="21"/>
          <w:highlight w:val="none"/>
          <w:lang w:eastAsia="zh-CN"/>
        </w:rPr>
        <w:t xml:space="preserve">（</w:t>
      </w:r>
      <w:r>
        <w:rPr>
          <w:rFonts w:hint="eastAsia" w:cs="宋体"/>
          <w:b w:val="0"/>
          <w:bCs w:val="0"/>
          <w:i w:val="0"/>
          <w:iCs w:val="0"/>
          <w:color w:val="auto"/>
          <w:sz w:val="21"/>
          <w:szCs w:val="21"/>
          <w:highlight w:val="none"/>
          <w:lang w:val="en-US" w:eastAsia="zh-CN"/>
        </w:rPr>
        <w:t xml:space="preserve">不计息</w:t>
      </w:r>
      <w:r>
        <w:rPr>
          <w:rFonts w:hint="eastAsia" w:cs="宋体"/>
          <w:b w:val="0"/>
          <w:bCs w:val="0"/>
          <w:i w:val="0"/>
          <w:i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rPr>
        <w:t xml:space="preserve">。</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4.交付时间及地点</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w:t>
      </w:r>
      <w:bookmarkStart w:id="29" w:name="OLE_LINK9"/>
      <w:r>
        <w:rPr>
          <w:rFonts w:hint="eastAsia" w:ascii="宋体" w:hAnsi="宋体" w:eastAsia="宋体" w:cs="宋体"/>
          <w:color w:val="auto"/>
          <w:sz w:val="21"/>
          <w:szCs w:val="21"/>
          <w:highlight w:val="none"/>
        </w:rPr>
        <w:t xml:space="preserve">交付时间：合同签订之日起90日内完成数字化硬件环境建设以及保护中心软件系统建设部署,系统部署后进行试运行并完成验收。</w:t>
      </w:r>
      <w:bookmarkEnd w:id="29"/>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（2）交付地点：采购人指定地点，由供应商负责办理运输和装卸等，费用由供应商负责，由采购人组织验收，检验不合格或不符合质量要求，供应商除无条件退货、返工外，还应承担采购人的一切损失。</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培训要求</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投标人应根据项目采购内容，投标时自行拟订提供相应的配套培训方案。同时，投标人应承诺：可根据采购人要求，提供培训服务，并达到采购人要求，提供培训材料（教材）、记录资料。培训费用包含在投标报价内。</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.其他要求</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中若要求提供证明材料的，供应商签订合同时应按</w:t>
      </w:r>
      <w:r>
        <w:rPr>
          <w:rFonts w:hint="eastAsia"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要求和</w:t>
      </w:r>
      <w:r>
        <w:rPr>
          <w:rFonts w:hint="eastAsia"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响应内容向采购人提供相应证明材料原件核验。供应商未按</w:t>
      </w:r>
      <w:r>
        <w:rPr>
          <w:rFonts w:hint="eastAsia"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要求和</w:t>
      </w:r>
      <w:r>
        <w:rPr>
          <w:rFonts w:hint="eastAsia"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响应内容提供相应证明材料或者提供的证明材料不符合</w:t>
      </w:r>
      <w:r>
        <w:rPr>
          <w:rFonts w:hint="eastAsia"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要求的，视为提供虚假材料谋取中标，采购人将取消其中标资格。</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评标方法与评标标准中涉及的相关证明材料，应在</w:t>
      </w:r>
      <w:r>
        <w:rPr>
          <w:rFonts w:hint="eastAsia"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中提供，并由评审委员会在评审现场予以确认，否则无法得到相应分值。</w:t>
      </w:r>
      <w:r/>
    </w:p>
    <w:p>
      <w:pPr>
        <w:pStyle w:val="750"/>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注：供应商承诺中标后提供的检测报告为实验室真实出具，须支持采购人通过扫描报告二维码查询、检测机构官网查询、去函查询或上门查询等方式查询检测报告的真实性。</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3楼平面图（阴影部分不在本次范围内）；三楼面积约109.48㎡</w:t>
      </w:r>
      <w:r/>
    </w:p>
    <w:p>
      <w:pPr>
        <w:pStyle w:val="750"/>
        <w:jc w:val="center"/>
        <w:keepLines w:val="0"/>
        <w:keepNext w:val="0"/>
        <w:pageBreakBefore w:val="0"/>
        <w:spacing w:before="0" w:beforeAutospacing="0" w:after="0" w:afterAutospacing="0" w:line="360" w:lineRule="auto"/>
        <w:widowControl w:val="off"/>
        <w:rPr>
          <w:rFonts w:hint="default"/>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mc:AlternateContent>
          <mc:Choice Requires="wpg">
            <w:drawing>
              <wp:inline xmlns:wp="http://schemas.openxmlformats.org/drawingml/2006/wordprocessingDrawing" distT="0" distB="0" distL="0" distR="0">
                <wp:extent cx="3747770" cy="3738880"/>
                <wp:effectExtent l="0" t="0" r="5080" b="139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3747770" cy="3738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5.1pt;height:294.4pt;mso-wrap-distance-left:0.0pt;mso-wrap-distance-top:0.0pt;mso-wrap-distance-right:0.0pt;mso-wrap-distance-bottom:0.0pt;" stroked="f">
                <v:path textboxrect="0,0,0,0"/>
                <v:imagedata r:id="rId13" o:title=""/>
              </v:shape>
            </w:pict>
          </mc:Fallback>
        </mc:AlternateContent>
      </w:r>
      <w:r/>
    </w:p>
    <w:p>
      <w:pPr>
        <w:pStyle w:val="750"/>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r>
      <w:r/>
    </w:p>
    <w:p>
      <w:pPr>
        <w:pStyle w:val="750"/>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r>
      <w:r/>
    </w:p>
    <w:p>
      <w:pPr>
        <w:pStyle w:val="750"/>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r>
      <w:r/>
    </w:p>
    <w:p>
      <w:pPr>
        <w:pStyle w:val="750"/>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r>
      <w:r/>
    </w:p>
    <w:p>
      <w:pPr>
        <w:pStyle w:val="750"/>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r>
      <w:r/>
    </w:p>
    <w:p>
      <w:pPr>
        <w:pStyle w:val="750"/>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r>
      <w:r/>
    </w:p>
    <w:p>
      <w:pPr>
        <w:pStyle w:val="750"/>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r>
      <w:r/>
    </w:p>
    <w:p>
      <w:pPr>
        <w:pStyle w:val="750"/>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r>
      <w:r/>
    </w:p>
    <w:p>
      <w:pPr>
        <w:pStyle w:val="75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r>
      <w:r/>
    </w:p>
    <w:p>
      <w:pPr>
        <w:pStyle w:val="750"/>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4楼平面图（阴影部分不在本次范围内）；四楼面积约727.48㎡</w:t>
      </w:r>
      <w:r/>
    </w:p>
    <w:p>
      <w:pPr>
        <w:pStyle w:val="750"/>
        <w:jc w:val="center"/>
        <w:keepLines w:val="0"/>
        <w:keepNext w:val="0"/>
        <w:pageBreakBefore w:val="0"/>
        <w:spacing w:before="0" w:beforeAutospacing="0" w:after="0" w:afterAutospacing="0" w:line="360" w:lineRule="auto"/>
        <w:widowControl w:val="off"/>
        <w:rPr>
          <w:rFonts w:hint="eastAsia"/>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mc:AlternateContent>
          <mc:Choice Requires="wpg">
            <w:drawing>
              <wp:inline xmlns:wp="http://schemas.openxmlformats.org/drawingml/2006/wordprocessingDrawing" distT="0" distB="0" distL="0" distR="0">
                <wp:extent cx="4184650" cy="4351655"/>
                <wp:effectExtent l="0" t="0" r="6350" b="1079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4184650" cy="4351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9.5pt;height:342.6pt;mso-wrap-distance-left:0.0pt;mso-wrap-distance-top:0.0pt;mso-wrap-distance-right:0.0pt;mso-wrap-distance-bottom:0.0pt;" stroked="f">
                <v:path textboxrect="0,0,0,0"/>
                <v:imagedata r:id="rId14" o:title=""/>
              </v:shape>
            </w:pict>
          </mc:Fallback>
        </mc:AlternateContent>
      </w:r>
      <w:r/>
    </w:p>
    <w:p>
      <w:pPr>
        <w:pStyle w:val="907"/>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07"/>
        <w:jc w:val="both"/>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17"/>
        <w:rPr>
          <w:rFonts w:hint="eastAsia" w:ascii="宋体" w:hAnsi="宋体" w:cs="宋体"/>
          <w:color w:val="auto"/>
          <w:highlight w:val="none"/>
        </w:rPr>
      </w:pPr>
      <w:r>
        <w:rPr>
          <w:rFonts w:hint="eastAsia" w:ascii="宋体" w:hAnsi="宋体" w:cs="宋体"/>
          <w:color w:val="auto"/>
          <w:highlight w:val="none"/>
        </w:rPr>
      </w:r>
      <w:r/>
    </w:p>
    <w:p>
      <w:pPr>
        <w:pStyle w:val="72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17"/>
        <w:rPr>
          <w:rFonts w:hint="eastAsia"/>
          <w:color w:val="auto"/>
          <w:highlight w:val="none"/>
        </w:rPr>
      </w:pPr>
      <w:r>
        <w:rPr>
          <w:rFonts w:hint="eastAsia"/>
          <w:color w:val="auto"/>
          <w:highlight w:val="none"/>
        </w:rPr>
      </w:r>
      <w:r/>
    </w:p>
    <w:p>
      <w:pPr>
        <w:pStyle w:val="907"/>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第五章 评审方法及评审标准</w:t>
      </w:r>
      <w:bookmarkEnd w:id="1"/>
      <w:r/>
      <w:bookmarkEnd w:id="28"/>
      <w:r/>
      <w:r/>
    </w:p>
    <w:p>
      <w:pPr>
        <w:pStyle w:val="956"/>
        <w:ind w:firstLine="422"/>
        <w:keepLines w:val="0"/>
        <w:keepNext w:val="0"/>
        <w:pageBreakBefore w:val="0"/>
        <w:spacing w:before="0" w:after="0"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采用综合评分法的，提供相同品牌产品且通过资格审查、符合性审查的不同</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参加同一合同项下投标的，按一家</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计算，评审后得分最高的同品牌</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获得</w:t>
      </w:r>
      <w:r>
        <w:rPr>
          <w:rFonts w:hint="eastAsia" w:ascii="宋体" w:hAnsi="宋体" w:cs="宋体"/>
          <w:color w:val="auto"/>
          <w:szCs w:val="21"/>
          <w:highlight w:val="none"/>
          <w:lang w:eastAsia="zh-CN"/>
        </w:rPr>
        <w:t xml:space="preserve">成交供应商</w:t>
      </w:r>
      <w:r>
        <w:rPr>
          <w:rFonts w:hint="eastAsia" w:ascii="宋体" w:hAnsi="宋体" w:cs="宋体"/>
          <w:color w:val="auto"/>
          <w:szCs w:val="21"/>
          <w:highlight w:val="none"/>
        </w:rPr>
        <w:t xml:space="preserve">推荐资格；评审得分相同的，由采购人或者采购人委托</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按照</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规定的方式确定一个</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获得</w:t>
      </w:r>
      <w:r>
        <w:rPr>
          <w:rFonts w:hint="eastAsia" w:ascii="宋体" w:hAnsi="宋体" w:cs="宋体"/>
          <w:color w:val="auto"/>
          <w:szCs w:val="21"/>
          <w:highlight w:val="none"/>
          <w:lang w:eastAsia="zh-CN"/>
        </w:rPr>
        <w:t xml:space="preserve">成交供应商</w:t>
      </w:r>
      <w:r>
        <w:rPr>
          <w:rFonts w:hint="eastAsia" w:ascii="宋体" w:hAnsi="宋体" w:cs="宋体"/>
          <w:color w:val="auto"/>
          <w:szCs w:val="21"/>
          <w:highlight w:val="none"/>
        </w:rPr>
        <w:t xml:space="preserve">推荐资格，</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未规定的采取随机抽取方式确定，其他同品牌</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不作为</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候选人。</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非单一产品采购项目，采购人应当根据采购项目技术构成、产品价格比重等合理确定核心产品，并在</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中载明。多家</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提供的核心产品品牌相同的，按前款规定处理。</w:t>
      </w:r>
      <w:r/>
    </w:p>
    <w:p>
      <w:pPr>
        <w:pStyle w:val="956"/>
        <w:ind w:firstLine="422"/>
        <w:keepLines w:val="0"/>
        <w:keepNext w:val="0"/>
        <w:pageBreakBefore w:val="0"/>
        <w:spacing w:before="0" w:after="0"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二、落实政府采购政策及政府采购不诚信记录扣分评审 </w:t>
      </w:r>
      <w:r/>
    </w:p>
    <w:p>
      <w:pPr>
        <w:pStyle w:val="956"/>
        <w:ind w:firstLine="420"/>
        <w:jc w:val="both"/>
        <w:keepLines w:val="0"/>
        <w:keepNext w:val="0"/>
        <w:pageBreakBefore w:val="0"/>
        <w:spacing w:before="0" w:after="0"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%的扣除价格，用扣除后的价格参与评审。</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0%的价格扣除，用扣除后的价格参与评审。</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0%的价格扣除，用扣除后的价格参与评审。</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56"/>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0%价格扣除，用扣除后的价格参与评审。</w:t>
      </w:r>
      <w:r/>
    </w:p>
    <w:p>
      <w:pPr>
        <w:pStyle w:val="95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cs="宋体"/>
          <w:b/>
          <w:color w:val="auto"/>
          <w:sz w:val="21"/>
          <w:szCs w:val="21"/>
          <w:highlight w:val="none"/>
        </w:rPr>
        <w:t xml:space="preserve">三、评审标准</w:t>
      </w:r>
      <w:r/>
    </w:p>
    <w:tbl>
      <w:tblPr>
        <w:tblStyle w:val="725"/>
        <w:tblpPr w:horzAnchor="page" w:tblpXSpec="center" w:vertAnchor="text" w:tblpY="3"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1585"/>
        <w:gridCol w:w="5719"/>
      </w:tblGrid>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 目</w:t>
            </w:r>
            <w:r/>
          </w:p>
        </w:tc>
        <w:tc>
          <w:tcPr>
            <w:gridSpan w:val="2"/>
            <w:tcW w:w="4286"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评分标准</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价格</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（30分）</w:t>
            </w:r>
            <w:r/>
          </w:p>
        </w:tc>
        <w:tc>
          <w:tcPr>
            <w:gridSpan w:val="2"/>
            <w:tcW w:w="4286" w:type="pct"/>
            <w:vAlign w:val="center"/>
            <w:textDirection w:val="lrTb"/>
            <w:noWrap w:val="false"/>
          </w:tcPr>
          <w:p>
            <w:pPr>
              <w:jc w:val="both"/>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p>
            <w:pPr>
              <w:jc w:val="both"/>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cs="宋体"/>
                <w:color w:val="auto"/>
                <w:sz w:val="21"/>
                <w:szCs w:val="21"/>
                <w:highlight w:val="none"/>
                <w:lang w:val="en-US" w:eastAsia="zh-CN"/>
              </w:rPr>
              <w:t xml:space="preserve">磋商小组</w:t>
            </w:r>
            <w:r>
              <w:rPr>
                <w:rFonts w:hint="eastAsia" w:ascii="宋体" w:hAnsi="宋体" w:eastAsia="宋体" w:cs="宋体"/>
                <w:color w:val="auto"/>
                <w:sz w:val="21"/>
                <w:szCs w:val="21"/>
                <w:highlight w:val="none"/>
                <w:lang w:val="en-US" w:eastAsia="zh-CN"/>
              </w:rPr>
              <w:t xml:space="preserve">认为投标人的报价明显低于其他通过符合性审查投标人的报价，有可能影响工程质量或者不能诚信履约的，且投标人不能在评标现场合理的时间内证明其报价合理性的，</w:t>
            </w:r>
            <w:r>
              <w:rPr>
                <w:rFonts w:hint="eastAsia" w:ascii="宋体" w:hAnsi="宋体" w:cs="宋体"/>
                <w:color w:val="auto"/>
                <w:sz w:val="21"/>
                <w:szCs w:val="21"/>
                <w:highlight w:val="none"/>
                <w:lang w:val="en-US" w:eastAsia="zh-CN"/>
              </w:rPr>
              <w:t xml:space="preserve">磋商小组</w:t>
            </w:r>
            <w:r>
              <w:rPr>
                <w:rFonts w:hint="eastAsia" w:ascii="宋体" w:hAnsi="宋体" w:eastAsia="宋体" w:cs="宋体"/>
                <w:color w:val="auto"/>
                <w:sz w:val="21"/>
                <w:szCs w:val="21"/>
                <w:highlight w:val="none"/>
                <w:lang w:val="en-US" w:eastAsia="zh-CN"/>
              </w:rPr>
              <w:t xml:space="preserve">有权将其作为无效投标处理。</w:t>
            </w:r>
            <w:r/>
          </w:p>
        </w:tc>
      </w:tr>
      <w:tr>
        <w:trPr>
          <w:jc w:val="center"/>
          <w:trHeight w:val="2513"/>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技术部分（</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val="en-US" w:eastAsia="zh-CN"/>
              </w:rPr>
              <w:t xml:space="preserve">分）</w:t>
            </w:r>
            <w:r/>
          </w:p>
        </w:tc>
        <w:tc>
          <w:tcPr>
            <w:shd w:val="clear" w:color="auto" w:fill="auto"/>
            <w:tcW w:w="930"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技术参数响应（</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val="en-US" w:eastAsia="zh-CN"/>
              </w:rPr>
              <w:t xml:space="preserve">分）</w:t>
            </w:r>
            <w:r/>
          </w:p>
        </w:tc>
        <w:tc>
          <w:tcPr>
            <w:shd w:val="clear" w:color="auto" w:fill="auto"/>
            <w:tcW w:w="3356" w:type="pct"/>
            <w:vAlign w:val="center"/>
            <w:textDirection w:val="lrTb"/>
            <w:noWrap w:val="false"/>
          </w:tcPr>
          <w:p>
            <w:pPr>
              <w:jc w:val="both"/>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服务过程中使用的技术参数完全满足或优于</w:t>
            </w:r>
            <w:r>
              <w:rPr>
                <w:rFonts w:hint="eastAsia" w:ascii="宋体" w:hAnsi="宋体" w:cs="宋体"/>
                <w:color w:val="auto"/>
                <w:sz w:val="21"/>
                <w:szCs w:val="21"/>
                <w:highlight w:val="none"/>
                <w:lang w:val="en-US" w:eastAsia="zh-CN"/>
              </w:rPr>
              <w:t xml:space="preserve">磋商文件</w:t>
            </w:r>
            <w:r>
              <w:rPr>
                <w:rFonts w:hint="eastAsia" w:ascii="宋体" w:hAnsi="宋体" w:eastAsia="宋体" w:cs="宋体"/>
                <w:color w:val="auto"/>
                <w:sz w:val="21"/>
                <w:szCs w:val="21"/>
                <w:highlight w:val="none"/>
                <w:lang w:val="en-US" w:eastAsia="zh-CN"/>
              </w:rPr>
              <w:t xml:space="preserve">第四章第三项【服务技术要求】得</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val="en-US" w:eastAsia="zh-CN"/>
              </w:rPr>
              <w:t xml:space="preserve">分，标“▲”项每有一项负偏离扣</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分，扣完为止。未按要求提供配套证明材料视为负偏离，其他以投标人提供的《技术参数响应及偏离表》的响应偏离情况为准（</w:t>
            </w:r>
            <w:r>
              <w:rPr>
                <w:rFonts w:hint="eastAsia" w:ascii="宋体" w:hAnsi="宋体" w:cs="宋体"/>
                <w:color w:val="auto"/>
                <w:sz w:val="21"/>
                <w:szCs w:val="21"/>
                <w:highlight w:val="none"/>
                <w:lang w:val="en-US" w:eastAsia="zh-CN"/>
              </w:rPr>
              <w:t xml:space="preserve">中标后</w:t>
            </w:r>
            <w:r>
              <w:rPr>
                <w:rFonts w:hint="eastAsia" w:ascii="宋体" w:hAnsi="宋体" w:eastAsia="宋体" w:cs="宋体"/>
                <w:color w:val="auto"/>
                <w:sz w:val="21"/>
                <w:szCs w:val="21"/>
                <w:highlight w:val="none"/>
                <w:lang w:val="en-US" w:eastAsia="zh-CN"/>
              </w:rPr>
              <w:t xml:space="preserve">若发现</w:t>
            </w:r>
            <w:r>
              <w:rPr>
                <w:rFonts w:hint="eastAsia" w:ascii="宋体" w:hAnsi="宋体" w:eastAsia="宋体" w:cs="宋体"/>
                <w:color w:val="auto"/>
                <w:sz w:val="21"/>
                <w:szCs w:val="21"/>
                <w:highlight w:val="none"/>
                <w:lang w:val="en-US" w:eastAsia="zh-CN"/>
              </w:rPr>
              <w:t xml:space="preserve">有提供虚假的证明材料或虚假应答技术参数响应及偏离表的，视为无效投标）。（同一项参数不重复扣分）</w:t>
            </w:r>
            <w:r/>
          </w:p>
        </w:tc>
      </w:tr>
      <w:tr>
        <w:trPr>
          <w:jc w:val="center"/>
          <w:trHeight w:val="90"/>
        </w:trPr>
        <w:tc>
          <w:tcPr>
            <w:tcW w:w="713" w:type="pct"/>
            <w:vAlign w:val="center"/>
            <w:vMerge w:val="restart"/>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服务部分（</w:t>
            </w:r>
            <w:r>
              <w:rPr>
                <w:rFonts w:hint="eastAsia" w:ascii="宋体" w:hAnsi="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lang w:val="en-US" w:eastAsia="zh-CN"/>
              </w:rPr>
              <w:t xml:space="preserve">分）</w:t>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rPr>
              <w:t xml:space="preserve">项目实施方案（</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tc>
        <w:tc>
          <w:tcPr>
            <w:shd w:val="clear" w:color="auto" w:fill="auto"/>
            <w:tcW w:w="3356" w:type="pct"/>
            <w:vAlign w:val="center"/>
            <w:textDirection w:val="lrTb"/>
            <w:noWrap w:val="false"/>
          </w:tcPr>
          <w:p>
            <w:pPr>
              <w:jc w:val="both"/>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投标人根据</w:t>
            </w:r>
            <w:r>
              <w:rPr>
                <w:rFonts w:hint="eastAsia" w:ascii="宋体" w:hAnsi="宋体" w:eastAsia="宋体" w:cs="宋体"/>
                <w:color w:val="auto"/>
                <w:highlight w:val="none"/>
              </w:rPr>
              <w:t xml:space="preserve">建设需求清单</w:t>
            </w:r>
            <w:r>
              <w:rPr>
                <w:rFonts w:hint="eastAsia" w:ascii="宋体" w:hAnsi="宋体" w:eastAsia="宋体" w:cs="宋体"/>
                <w:color w:val="auto"/>
                <w:sz w:val="21"/>
                <w:szCs w:val="21"/>
                <w:highlight w:val="none"/>
                <w:lang w:val="en-US" w:eastAsia="zh-CN"/>
              </w:rPr>
              <w:t xml:space="preserve">，编制详细的</w:t>
            </w:r>
            <w:r>
              <w:rPr>
                <w:rFonts w:hint="eastAsia" w:ascii="宋体" w:hAnsi="宋体" w:cs="宋体"/>
                <w:color w:val="auto"/>
                <w:sz w:val="21"/>
                <w:szCs w:val="21"/>
                <w:highlight w:val="none"/>
                <w:lang w:val="en-US" w:eastAsia="zh-CN"/>
              </w:rPr>
              <w:t xml:space="preserve">项目实施</w:t>
            </w:r>
            <w:r>
              <w:rPr>
                <w:rFonts w:hint="eastAsia" w:ascii="宋体" w:hAnsi="宋体" w:eastAsia="宋体" w:cs="宋体"/>
                <w:color w:val="auto"/>
                <w:sz w:val="21"/>
                <w:szCs w:val="21"/>
                <w:highlight w:val="none"/>
                <w:lang w:val="en-US" w:eastAsia="zh-CN"/>
              </w:rPr>
              <w:t xml:space="preserve">方案包含：①进度保障措施；②质量管控措施；③安全文明施工及成品保护；④重难点分析及解决方案（三网物理隔离、审理庭音视频调试、国知局网络对接、机房七氟丙烷气体灭火、预审软件部署调试）；⑤对接江苏省专利预审协作平台的方案。</w:t>
            </w:r>
            <w:r/>
          </w:p>
          <w:p>
            <w:pPr>
              <w:jc w:val="both"/>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方案内容完整、针对性强、可落地得 </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jc w:val="both"/>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每缺1项扣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分，方案有缺陷每项扣 </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分，扣完为止；</w:t>
            </w:r>
            <w:r/>
          </w:p>
          <w:p>
            <w:pPr>
              <w:jc w:val="both"/>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rPr>
              <w:t xml:space="preserve">未提供本项得 0 分。</w:t>
            </w:r>
            <w:r/>
          </w:p>
        </w:tc>
      </w:tr>
      <w:tr>
        <w:trPr>
          <w:jc w:val="center"/>
          <w:trHeight w:val="90"/>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专利</w:t>
            </w:r>
            <w:r>
              <w:rPr>
                <w:rFonts w:hint="eastAsia" w:ascii="宋体" w:hAnsi="宋体" w:eastAsia="宋体" w:cs="宋体"/>
                <w:color w:val="auto"/>
                <w:sz w:val="21"/>
                <w:szCs w:val="21"/>
                <w:highlight w:val="none"/>
                <w:lang w:val="en-US" w:eastAsia="zh-CN"/>
              </w:rPr>
              <w:t xml:space="preserve">预审系统功能方案</w:t>
            </w:r>
            <w:r/>
          </w:p>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tc>
        <w:tc>
          <w:tcPr>
            <w:shd w:val="clear" w:color="auto" w:fill="auto"/>
            <w:tcW w:w="3356" w:type="pct"/>
            <w:vAlign w:val="center"/>
            <w:textDirection w:val="lrTb"/>
            <w:noWrap w:val="false"/>
          </w:tcPr>
          <w:p>
            <w:pPr>
              <w:jc w:val="both"/>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投标人根据</w:t>
            </w:r>
            <w:r>
              <w:rPr>
                <w:rFonts w:hint="eastAsia" w:ascii="宋体" w:hAnsi="宋体" w:cs="宋体"/>
                <w:color w:val="auto"/>
                <w:sz w:val="21"/>
                <w:szCs w:val="21"/>
                <w:highlight w:val="none"/>
                <w:lang w:val="en-US" w:eastAsia="zh-CN"/>
              </w:rPr>
              <w:t xml:space="preserve">专利</w:t>
            </w:r>
            <w:r>
              <w:rPr>
                <w:rFonts w:hint="eastAsia" w:ascii="宋体" w:hAnsi="宋体" w:eastAsia="宋体" w:cs="宋体"/>
                <w:color w:val="auto"/>
                <w:sz w:val="21"/>
                <w:szCs w:val="21"/>
                <w:highlight w:val="none"/>
                <w:lang w:val="en-US" w:eastAsia="zh-CN"/>
              </w:rPr>
              <w:t xml:space="preserve">预审系统需求，编制详细的系统功能方案。</w:t>
            </w:r>
            <w:r/>
          </w:p>
          <w:p>
            <w:pPr>
              <w:jc w:val="both"/>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方案完整覆盖全部业务模块，数据库来源、检索能力、AI 辅助审查、决策工具、工作空间、各类检索模式均有对应落地说明；充分考虑与江苏省专利预审协作平台对接；对系统 7×24 小时稳定性、并发能力、数据安全有保障措施，针对性强</w:t>
            </w:r>
            <w:r>
              <w:rPr>
                <w:rFonts w:hint="eastAsia" w:ascii="宋体" w:hAnsi="宋体" w:cs="宋体"/>
                <w:color w:val="auto"/>
                <w:sz w:val="21"/>
                <w:szCs w:val="21"/>
                <w:highlight w:val="none"/>
                <w:lang w:val="en-US" w:eastAsia="zh-CN"/>
              </w:rPr>
              <w:t xml:space="preserve">的，得10分；</w:t>
            </w:r>
            <w:r/>
          </w:p>
          <w:p>
            <w:pPr>
              <w:jc w:val="both"/>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主要模块均覆盖，部分细节深度不足，对接、稳定性保障措施有</w:t>
            </w:r>
            <w:r>
              <w:rPr>
                <w:rFonts w:hint="eastAsia" w:ascii="宋体" w:hAnsi="宋体" w:cs="宋体"/>
                <w:color w:val="auto"/>
                <w:sz w:val="21"/>
                <w:szCs w:val="21"/>
                <w:highlight w:val="none"/>
                <w:lang w:val="en-US" w:eastAsia="zh-CN"/>
              </w:rPr>
              <w:t xml:space="preserve">存在</w:t>
            </w:r>
            <w:r>
              <w:rPr>
                <w:rFonts w:hint="eastAsia" w:ascii="宋体" w:hAnsi="宋体" w:eastAsia="宋体" w:cs="宋体"/>
                <w:color w:val="auto"/>
                <w:sz w:val="21"/>
                <w:szCs w:val="21"/>
                <w:highlight w:val="none"/>
                <w:lang w:val="en-US" w:eastAsia="zh-CN"/>
              </w:rPr>
              <w:t xml:space="preserve">瑕疵</w:t>
            </w:r>
            <w:r>
              <w:rPr>
                <w:rFonts w:hint="eastAsia" w:ascii="宋体" w:hAnsi="宋体" w:cs="宋体"/>
                <w:color w:val="auto"/>
                <w:sz w:val="21"/>
                <w:szCs w:val="21"/>
                <w:highlight w:val="none"/>
                <w:lang w:val="en-US" w:eastAsia="zh-CN"/>
              </w:rPr>
              <w:t xml:space="preserve">的，得8分</w:t>
            </w:r>
            <w:r>
              <w:rPr>
                <w:rFonts w:hint="eastAsia" w:ascii="宋体" w:hAnsi="宋体" w:eastAsia="宋体" w:cs="宋体"/>
                <w:color w:val="auto"/>
                <w:sz w:val="21"/>
                <w:szCs w:val="21"/>
                <w:highlight w:val="none"/>
                <w:lang w:val="en-US" w:eastAsia="zh-CN"/>
              </w:rPr>
              <w:t xml:space="preserve">；</w:t>
            </w:r>
            <w:r/>
          </w:p>
          <w:p>
            <w:pPr>
              <w:jc w:val="both"/>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方案框架完整，但关键功能、对接、稳定性阐述简略，针对性一般</w:t>
            </w:r>
            <w:r>
              <w:rPr>
                <w:rFonts w:hint="eastAsia" w:ascii="宋体" w:hAnsi="宋体" w:cs="宋体"/>
                <w:color w:val="auto"/>
                <w:sz w:val="21"/>
                <w:szCs w:val="21"/>
                <w:highlight w:val="none"/>
                <w:lang w:val="en-US" w:eastAsia="zh-CN"/>
              </w:rPr>
              <w:t xml:space="preserve">的，得6分</w:t>
            </w:r>
            <w:r>
              <w:rPr>
                <w:rFonts w:hint="eastAsia" w:ascii="宋体" w:hAnsi="宋体" w:eastAsia="宋体" w:cs="宋体"/>
                <w:color w:val="auto"/>
                <w:sz w:val="21"/>
                <w:szCs w:val="21"/>
                <w:highlight w:val="none"/>
                <w:lang w:val="en-US" w:eastAsia="zh-CN"/>
              </w:rPr>
              <w:t xml:space="preserve">；</w:t>
            </w:r>
            <w:r/>
          </w:p>
          <w:p>
            <w:pPr>
              <w:jc w:val="both"/>
              <w:keepLines w:val="0"/>
              <w:keepNext w:val="0"/>
              <w:pageBreakBefore w:val="0"/>
              <w:spacing w:line="300" w:lineRule="auto"/>
              <w:widowControl w:val="off"/>
              <w:tabs>
                <w:tab w:val="left" w:pos="0" w:leader="none"/>
                <w:tab w:val="left" w:pos="1134"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仅简单复述采购需求，无针对性方案</w:t>
            </w:r>
            <w:r>
              <w:rPr>
                <w:rFonts w:hint="eastAsia" w:ascii="宋体" w:hAnsi="宋体" w:cs="宋体"/>
                <w:color w:val="auto"/>
                <w:sz w:val="21"/>
                <w:szCs w:val="21"/>
                <w:highlight w:val="none"/>
                <w:lang w:val="en-US" w:eastAsia="zh-CN"/>
              </w:rPr>
              <w:t xml:space="preserve">的，得3分；</w:t>
            </w:r>
            <w:r/>
          </w:p>
          <w:p>
            <w:pPr>
              <w:jc w:val="both"/>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rPr>
              <w:t xml:space="preserve">未提供 0 分。</w:t>
            </w:r>
            <w:r/>
          </w:p>
        </w:tc>
      </w:tr>
      <w:tr>
        <w:trPr>
          <w:jc w:val="center"/>
          <w:trHeight w:val="90"/>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售后服务方案</w:t>
            </w:r>
            <w:r>
              <w:rPr>
                <w:rFonts w:hint="eastAsia" w:ascii="宋体" w:hAnsi="宋体" w:cs="宋体"/>
                <w:color w:val="auto"/>
                <w:sz w:val="21"/>
                <w:szCs w:val="21"/>
                <w:highlight w:val="none"/>
                <w:lang w:val="en-US" w:eastAsia="zh-CN" w:bidi="ar"/>
              </w:rPr>
              <w:t xml:space="preserve">（6分）</w:t>
            </w:r>
            <w:r/>
          </w:p>
        </w:tc>
        <w:tc>
          <w:tcPr>
            <w:shd w:val="clear" w:color="auto" w:fill="auto"/>
            <w:tcW w:w="3356" w:type="pct"/>
            <w:vAlign w:val="center"/>
            <w:textDirection w:val="lrTb"/>
            <w:noWrap w:val="false"/>
          </w:tcPr>
          <w:p>
            <w:pPr>
              <w:jc w:val="both"/>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包含：故障处置流程、7×24 小时技术支持、备品备件保障、巡检计划、问题升级机制；</w:t>
            </w:r>
            <w:r/>
          </w:p>
          <w:p>
            <w:pPr>
              <w:jc w:val="both"/>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内容科学、全面、针对性强，各项措施具体可行的</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得 6 分；</w:t>
            </w:r>
            <w:r/>
          </w:p>
          <w:p>
            <w:pPr>
              <w:jc w:val="both"/>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内容较科学合理、措施较具体，针对性较强的</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得4分；</w:t>
            </w:r>
            <w:r/>
          </w:p>
          <w:p>
            <w:pPr>
              <w:jc w:val="both"/>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内容不够详细，措施针对性一般的</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得2分；</w:t>
            </w:r>
            <w:r/>
          </w:p>
          <w:p>
            <w:pPr>
              <w:jc w:val="both"/>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未提供 0 分。</w:t>
            </w:r>
            <w:r/>
          </w:p>
        </w:tc>
      </w:tr>
      <w:tr>
        <w:trPr>
          <w:jc w:val="center"/>
          <w:trHeight w:val="90"/>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培训方案</w:t>
            </w:r>
            <w:r/>
          </w:p>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bidi="ar"/>
              </w:rPr>
              <w:t xml:space="preserve">（4分）</w:t>
            </w:r>
            <w:r/>
          </w:p>
        </w:tc>
        <w:tc>
          <w:tcPr>
            <w:shd w:val="clear" w:color="auto" w:fill="auto"/>
            <w:tcW w:w="3356" w:type="pct"/>
            <w:vAlign w:val="center"/>
            <w:textDirection w:val="lrTb"/>
            <w:noWrap w:val="false"/>
          </w:tcPr>
          <w:p>
            <w:pPr>
              <w:jc w:val="both"/>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针对维权中心管理人员、业务操作人员制定分层培训，包含培训内容、培训师资、培训课时、培训资料、实操演练；</w:t>
            </w:r>
            <w:r/>
          </w:p>
          <w:p>
            <w:pPr>
              <w:jc w:val="both"/>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内容科学、全面、针对性强，各项措施具体可行的</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得4分；</w:t>
            </w:r>
            <w:r/>
          </w:p>
          <w:p>
            <w:pPr>
              <w:jc w:val="both"/>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内容较科学合理、措施较具体，针对性较强的</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得</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jc w:val="both"/>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内容不够详细，措施针对性一般的</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得1分；</w:t>
            </w:r>
            <w:r/>
          </w:p>
          <w:p>
            <w:pPr>
              <w:jc w:val="both"/>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未提供 0 分。</w:t>
            </w:r>
            <w:r/>
          </w:p>
        </w:tc>
      </w:tr>
      <w:tr>
        <w:trPr>
          <w:jc w:val="center"/>
          <w:trHeight w:val="971"/>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故障响应及现场服务</w:t>
            </w:r>
            <w:r/>
          </w:p>
          <w:p>
            <w:pPr>
              <w:jc w:val="center"/>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bidi="ar"/>
              </w:rPr>
              <w:t xml:space="preserve">（2分）</w:t>
            </w:r>
            <w:r/>
          </w:p>
        </w:tc>
        <w:tc>
          <w:tcPr>
            <w:shd w:val="clear" w:color="auto" w:fill="auto"/>
            <w:tcW w:w="3356" w:type="pct"/>
            <w:vAlign w:val="center"/>
            <w:textDirection w:val="lrTb"/>
            <w:noWrap w:val="false"/>
          </w:tcPr>
          <w:p>
            <w:pPr>
              <w:jc w:val="both"/>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bidi="ar"/>
              </w:rPr>
              <w:t xml:space="preserve">承诺接到故障报修</w:t>
            </w:r>
            <w:r>
              <w:rPr>
                <w:rStyle w:val="754"/>
                <w:rFonts w:hint="eastAsia" w:ascii="宋体" w:hAnsi="宋体" w:eastAsia="宋体" w:cs="宋体"/>
                <w:b w:val="0"/>
                <w:bCs w:val="0"/>
                <w:color w:val="auto"/>
                <w:sz w:val="21"/>
                <w:szCs w:val="21"/>
                <w:highlight w:val="none"/>
                <w:lang w:val="en-US" w:eastAsia="zh-CN" w:bidi="ar"/>
              </w:rPr>
              <w:t xml:space="preserve">1 小时响应，2小时到达项目现场，24小时内恢复</w:t>
            </w:r>
            <w:r>
              <w:rPr>
                <w:rFonts w:hint="eastAsia" w:ascii="宋体" w:hAnsi="宋体" w:eastAsia="宋体" w:cs="宋体"/>
                <w:b w:val="0"/>
                <w:bCs w:val="0"/>
                <w:color w:val="auto"/>
                <w:sz w:val="21"/>
                <w:szCs w:val="21"/>
                <w:highlight w:val="none"/>
                <w:lang w:val="en-US" w:eastAsia="zh-CN" w:bidi="ar"/>
              </w:rPr>
              <w:t xml:space="preserve">。如故障无法修复，需提供备机替换，提供承诺函加盖公章得 2 分；不满足不得分。</w:t>
            </w:r>
            <w:r/>
          </w:p>
        </w:tc>
      </w:tr>
      <w:tr>
        <w:trPr>
          <w:jc w:val="center"/>
          <w:trHeight w:val="95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质保期增值承诺</w:t>
            </w:r>
            <w:r/>
          </w:p>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bidi="ar"/>
              </w:rPr>
              <w:t xml:space="preserve">（2分）</w:t>
            </w:r>
            <w:r/>
          </w:p>
        </w:tc>
        <w:tc>
          <w:tcPr>
            <w:shd w:val="clear" w:color="auto" w:fill="auto"/>
            <w:tcW w:w="3356" w:type="pct"/>
            <w:vAlign w:val="center"/>
            <w:textDirection w:val="lrTb"/>
            <w:noWrap w:val="false"/>
          </w:tcPr>
          <w:p>
            <w:pPr>
              <w:jc w:val="both"/>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本项目硬件最低免费质保 1 年；在最低要求基础上，硬件每增加 1 年免费质保得 1分，最多 2 分。（须提供书面承诺函）</w:t>
            </w:r>
            <w:r/>
          </w:p>
        </w:tc>
      </w:tr>
      <w:tr>
        <w:trPr>
          <w:jc w:val="center"/>
          <w:trHeight w:val="1464"/>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gridSpan w:val="2"/>
            <w:tcW w:w="4286" w:type="pct"/>
            <w:vAlign w:val="center"/>
            <w:textDirection w:val="lrTb"/>
            <w:noWrap w:val="false"/>
          </w:tcPr>
          <w:p>
            <w:pPr>
              <w:keepLines w:val="0"/>
              <w:keepNext w:val="0"/>
              <w:pageBreakBefore w:val="0"/>
              <w:spacing w:line="300" w:lineRule="auto"/>
              <w:widowControl w:val="off"/>
              <w:rPr>
                <w:rFonts w:hint="default"/>
                <w:color w:val="auto"/>
                <w:highlight w:val="none"/>
                <w:lang w:val="en-US" w:eastAsia="zh-CN"/>
              </w:rPr>
            </w:pPr>
            <w:r>
              <w:rPr>
                <w:rFonts w:hint="default"/>
                <w:color w:val="auto"/>
                <w:highlight w:val="none"/>
                <w:lang w:val="en-US" w:eastAsia="zh-CN"/>
              </w:rPr>
              <w:t xml:space="preserve">投标人具备自2021年1月1日（以合同签订时间为准）以来,承接相关类似</w:t>
            </w:r>
            <w:r>
              <w:rPr>
                <w:rFonts w:hint="eastAsia"/>
                <w:color w:val="auto"/>
                <w:highlight w:val="none"/>
                <w:lang w:val="en-US" w:eastAsia="zh-CN"/>
              </w:rPr>
              <w:t xml:space="preserve">（信息化系统集成）</w:t>
            </w:r>
            <w:r>
              <w:rPr>
                <w:rFonts w:hint="default"/>
                <w:color w:val="auto"/>
                <w:highlight w:val="none"/>
                <w:lang w:val="en-US" w:eastAsia="zh-CN"/>
              </w:rPr>
              <w:t xml:space="preserve">的案例，提供一个案例得2分，最高得</w:t>
            </w:r>
            <w:r>
              <w:rPr>
                <w:rFonts w:hint="eastAsia"/>
                <w:color w:val="auto"/>
                <w:highlight w:val="none"/>
                <w:lang w:val="en-US" w:eastAsia="zh-CN"/>
              </w:rPr>
              <w:t xml:space="preserve">6</w:t>
            </w:r>
            <w:r>
              <w:rPr>
                <w:rFonts w:hint="default"/>
                <w:color w:val="auto"/>
                <w:highlight w:val="none"/>
                <w:lang w:val="en-US" w:eastAsia="zh-CN"/>
              </w:rPr>
              <w:t xml:space="preserve">分。</w:t>
            </w:r>
            <w:r/>
          </w:p>
          <w:p>
            <w:pPr>
              <w:keepLines w:val="0"/>
              <w:keepNext w:val="0"/>
              <w:pageBreakBefore w:val="0"/>
              <w:spacing w:line="300" w:lineRule="auto"/>
              <w:widowControl w:val="off"/>
              <w:rPr>
                <w:rFonts w:hint="default"/>
                <w:color w:val="auto"/>
                <w:highlight w:val="none"/>
                <w:lang w:val="en-US" w:eastAsia="zh-CN"/>
              </w:rPr>
            </w:pPr>
            <w:r>
              <w:rPr>
                <w:rFonts w:hint="default"/>
                <w:color w:val="auto"/>
                <w:highlight w:val="none"/>
                <w:lang w:val="en-US" w:eastAsia="zh-CN"/>
              </w:rPr>
              <w:t xml:space="preserve">（合同须清晰体现项目建设内容，时间以合同签订时间为准，材料不全不计分。）</w:t>
            </w:r>
            <w:r/>
          </w:p>
        </w:tc>
      </w:tr>
      <w:tr>
        <w:trPr>
          <w:jc w:val="center"/>
          <w:trHeight w:val="1767"/>
        </w:trPr>
        <w:tc>
          <w:tcPr>
            <w:tcW w:w="713" w:type="pct"/>
            <w:vAlign w:val="center"/>
            <w:textDirection w:val="lrTb"/>
            <w:noWrap w:val="false"/>
          </w:tcPr>
          <w:p>
            <w:pPr>
              <w:pStyle w:val="758"/>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团队能力（</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gridSpan w:val="2"/>
            <w:tcW w:w="4286" w:type="pct"/>
            <w:vAlign w:val="center"/>
            <w:textDirection w:val="lrTb"/>
            <w:noWrap w:val="false"/>
          </w:tcPr>
          <w:p>
            <w:pPr>
              <w:keepLines w:val="0"/>
              <w:keepNext w:val="0"/>
              <w:pageBreakBefore w:val="0"/>
              <w:spacing w:line="300" w:lineRule="auto"/>
              <w:widowControl w:val="off"/>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1、项目负责人：具有信息系统项目管理师（高级）证书，得 2 分；</w:t>
            </w:r>
            <w:r/>
          </w:p>
          <w:p>
            <w:pPr>
              <w:keepLines w:val="0"/>
              <w:keepNext w:val="0"/>
              <w:pageBreakBefore w:val="0"/>
              <w:spacing w:line="300" w:lineRule="auto"/>
              <w:widowControl w:val="off"/>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2、项目组成员中具备系统集成项目管理工程师（中级）人员证书</w:t>
            </w:r>
            <w:r>
              <w:rPr>
                <w:rFonts w:hint="eastAsia" w:cs="Times New Roman"/>
                <w:color w:val="auto"/>
                <w:highlight w:val="none"/>
                <w:lang w:val="en-US" w:eastAsia="zh-CN"/>
              </w:rPr>
              <w:t xml:space="preserve">、</w:t>
            </w:r>
            <w:r>
              <w:rPr>
                <w:rFonts w:hint="eastAsia" w:ascii="Times New Roman" w:hAnsi="Times New Roman" w:eastAsia="宋体" w:cs="Times New Roman"/>
                <w:color w:val="auto"/>
                <w:highlight w:val="none"/>
                <w:lang w:val="en-US" w:eastAsia="zh-CN"/>
              </w:rPr>
              <w:t xml:space="preserve">信息安全</w:t>
            </w:r>
            <w:r>
              <w:rPr>
                <w:rFonts w:hint="eastAsia" w:cs="Times New Roman"/>
                <w:color w:val="auto"/>
                <w:highlight w:val="none"/>
                <w:lang w:val="en-US" w:eastAsia="zh-CN"/>
              </w:rPr>
              <w:t xml:space="preserve">工程师证书</w:t>
            </w:r>
            <w:r>
              <w:rPr>
                <w:rFonts w:hint="eastAsia" w:ascii="Times New Roman" w:hAnsi="Times New Roman" w:eastAsia="宋体" w:cs="Times New Roman"/>
                <w:color w:val="auto"/>
                <w:highlight w:val="none"/>
                <w:lang w:val="en-US" w:eastAsia="zh-CN"/>
              </w:rPr>
              <w:t xml:space="preserve">，有一类得 2 分，最高得</w:t>
            </w:r>
            <w:r>
              <w:rPr>
                <w:rFonts w:hint="eastAsia" w:cs="Times New Roman"/>
                <w:color w:val="auto"/>
                <w:highlight w:val="none"/>
                <w:lang w:val="en-US" w:eastAsia="zh-CN"/>
              </w:rPr>
              <w:t xml:space="preserve">4</w:t>
            </w:r>
            <w:r>
              <w:rPr>
                <w:rFonts w:hint="eastAsia" w:ascii="Times New Roman" w:hAnsi="Times New Roman" w:eastAsia="宋体" w:cs="Times New Roman"/>
                <w:color w:val="auto"/>
                <w:highlight w:val="none"/>
                <w:lang w:val="en-US" w:eastAsia="zh-CN"/>
              </w:rPr>
              <w:t xml:space="preserve">分；</w:t>
            </w:r>
            <w:r/>
          </w:p>
          <w:p>
            <w:pPr>
              <w:keepLines w:val="0"/>
              <w:keepNext w:val="0"/>
              <w:pageBreakBefore w:val="0"/>
              <w:spacing w:line="300" w:lineRule="auto"/>
              <w:widowControl w:val="off"/>
              <w:rPr>
                <w:rFonts w:hint="eastAsia" w:ascii="宋体" w:hAnsi="宋体" w:cs="宋体"/>
                <w:b/>
                <w:bCs/>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（提供证书</w:t>
            </w:r>
            <w:r>
              <w:rPr>
                <w:rFonts w:hint="eastAsia" w:cs="Times New Roman"/>
                <w:color w:val="auto"/>
                <w:highlight w:val="none"/>
                <w:lang w:val="en-US" w:eastAsia="zh-CN"/>
              </w:rPr>
              <w:t xml:space="preserve">扫描件</w:t>
            </w:r>
            <w:r>
              <w:rPr>
                <w:rFonts w:hint="eastAsia" w:ascii="Times New Roman" w:hAnsi="Times New Roman" w:eastAsia="宋体" w:cs="Times New Roman"/>
                <w:color w:val="auto"/>
                <w:highlight w:val="none"/>
                <w:lang w:val="en-US" w:eastAsia="zh-CN"/>
              </w:rPr>
              <w:t xml:space="preserve">件及投标人为其缴纳的近三个月内任意一个月社会养老保险的有效凭证</w:t>
            </w:r>
            <w:r>
              <w:rPr>
                <w:rFonts w:hint="eastAsia" w:cs="Times New Roman"/>
                <w:color w:val="auto"/>
                <w:highlight w:val="none"/>
                <w:lang w:val="en-US" w:eastAsia="zh-CN"/>
              </w:rPr>
              <w:t xml:space="preserve">扫描件</w:t>
            </w:r>
            <w:r>
              <w:rPr>
                <w:rFonts w:hint="eastAsia" w:ascii="Times New Roman" w:hAnsi="Times New Roman" w:eastAsia="宋体" w:cs="Times New Roman"/>
                <w:color w:val="auto"/>
                <w:highlight w:val="none"/>
                <w:lang w:val="en-US" w:eastAsia="zh-CN"/>
              </w:rPr>
              <w:t xml:space="preserve">盖章，否则不得分。）</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总分</w:t>
            </w:r>
            <w:r/>
          </w:p>
        </w:tc>
        <w:tc>
          <w:tcPr>
            <w:gridSpan w:val="2"/>
            <w:tcW w:w="4286"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100分</w:t>
            </w:r>
            <w:r/>
          </w:p>
        </w:tc>
      </w:tr>
    </w:tbl>
    <w:p>
      <w:pPr>
        <w:pStyle w:val="956"/>
        <w:ind w:left="0" w:firstLine="0"/>
        <w:rPr>
          <w:rFonts w:ascii="宋体" w:hAnsi="宋体" w:cs="宋体"/>
          <w:b/>
          <w:color w:val="auto"/>
          <w:sz w:val="21"/>
          <w:szCs w:val="21"/>
          <w:highlight w:val="none"/>
        </w:rPr>
      </w:pPr>
      <w:r>
        <w:rPr>
          <w:rFonts w:ascii="宋体" w:hAnsi="宋体" w:cs="宋体"/>
          <w:b/>
          <w:color w:val="auto"/>
          <w:sz w:val="21"/>
          <w:szCs w:val="21"/>
          <w:highlight w:val="none"/>
        </w:rPr>
      </w:r>
      <w:r/>
    </w:p>
    <w:p>
      <w:pPr>
        <w:pStyle w:val="907"/>
        <w:jc w:val="center"/>
        <w:spacing w:line="360" w:lineRule="auto"/>
        <w:rPr>
          <w:rFonts w:hint="eastAsia" w:ascii="宋体" w:hAnsi="宋体" w:cs="宋体"/>
          <w:color w:val="auto"/>
          <w:sz w:val="52"/>
          <w:highlight w:val="none"/>
        </w:rPr>
      </w:pPr>
      <w:r/>
      <w:bookmarkStart w:id="30" w:name="_Toc109304976"/>
      <w:r>
        <w:rPr>
          <w:rFonts w:hint="eastAsia" w:ascii="宋体" w:hAnsi="宋体" w:cs="宋体"/>
          <w:color w:val="auto"/>
          <w:highlight w:val="none"/>
        </w:rPr>
        <w:t xml:space="preserve">第六章 竞争性磋商响应文件格式</w:t>
      </w:r>
      <w:bookmarkEnd w:id="2"/>
      <w:r/>
      <w:bookmarkEnd w:id="30"/>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both"/>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2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6030"/>
        <w:gridCol w:w="1825"/>
      </w:tblGrid>
      <w:tr>
        <w:trPr>
          <w:jc w:val="center"/>
          <w:trHeight w:val="647"/>
        </w:trPr>
        <w:tc>
          <w:tcPr>
            <w:tcW w:w="390"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539"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069"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335"/>
        </w:trPr>
        <w:tc>
          <w:tcPr>
            <w:gridSpan w:val="3"/>
            <w:tcW w:w="5000"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jc w:val="center"/>
          <w:trHeight w:val="761"/>
        </w:trPr>
        <w:tc>
          <w:tcPr>
            <w:tcW w:w="390"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069"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39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依法缴纳职工社会保障资金的证明材料(提交</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截止时间前一年内任意一个月缴纳职工社会保障资金的缴款凭证或缴款证明)（供应商依法享受缓缴、免缴的提供证明材料）</w:t>
            </w:r>
            <w:r/>
          </w:p>
        </w:tc>
        <w:tc>
          <w:tcPr>
            <w:tcW w:w="106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5"/>
        </w:trPr>
        <w:tc>
          <w:tcPr>
            <w:tcW w:w="39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供应商提交</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截止时间前一年内任意一个月依法纳税的缴款凭证（供应商依法享受缓缴、免缴的提供证明材料）</w:t>
            </w:r>
            <w:r/>
          </w:p>
        </w:tc>
        <w:tc>
          <w:tcPr>
            <w:tcW w:w="106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3"/>
        </w:trPr>
        <w:tc>
          <w:tcPr>
            <w:tcW w:w="39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上一年度的财务报告情况（成立不满一年不需提供）</w:t>
            </w:r>
            <w:r/>
          </w:p>
        </w:tc>
        <w:tc>
          <w:tcPr>
            <w:tcW w:w="106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34"/>
        </w:trPr>
        <w:tc>
          <w:tcPr>
            <w:tcW w:w="39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06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10"/>
        </w:trPr>
        <w:tc>
          <w:tcPr>
            <w:tcW w:w="39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106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39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06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6"/>
        </w:trPr>
        <w:tc>
          <w:tcPr>
            <w:tcW w:w="39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06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
        </w:trPr>
        <w:tc>
          <w:tcPr>
            <w:gridSpan w:val="3"/>
            <w:tcW w:w="500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297"/>
        </w:trPr>
        <w:tc>
          <w:tcPr>
            <w:tcW w:w="39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根据《政府采购促进中小企业发展管理办法》的规定，本项目不专门面向中小企业，供应商若为小微企业、残疾人福利单位、监狱和戒毒企业则享受相应</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0%价格扣除优惠。本项目采购标的按中小企业划分标准所属行业区分为</w:t>
            </w:r>
            <w:r>
              <w:rPr>
                <w:rFonts w:hint="eastAsia" w:ascii="宋体" w:hAnsi="宋体" w:cs="宋体"/>
                <w:color w:val="auto"/>
                <w:szCs w:val="21"/>
                <w:highlight w:val="none"/>
                <w:u w:val="single"/>
              </w:rPr>
              <w:t xml:space="preserve">软件和信息技术服务业</w:t>
            </w:r>
            <w:r>
              <w:rPr>
                <w:rFonts w:hint="eastAsia" w:ascii="宋体" w:hAnsi="宋体" w:cs="宋体"/>
                <w:color w:val="auto"/>
                <w:szCs w:val="21"/>
                <w:highlight w:val="none"/>
              </w:rPr>
              <w:t xml:space="preserve">。</w:t>
            </w:r>
            <w:r/>
          </w:p>
        </w:tc>
        <w:tc>
          <w:tcPr>
            <w:tcW w:w="106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gridSpan w:val="3"/>
            <w:tcW w:w="500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400"/>
        </w:trPr>
        <w:tc>
          <w:tcPr>
            <w:tcW w:w="39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3539" w:type="pct"/>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W w:w="106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gridSpan w:val="3"/>
            <w:tcW w:w="500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jc w:val="center"/>
          <w:trHeight w:val="400"/>
        </w:trPr>
        <w:tc>
          <w:tcPr>
            <w:tcW w:w="390" w:type="pct"/>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106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W w:w="390" w:type="pct"/>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06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p>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rPr>
          <w:rFonts w:hint="eastAsia" w:ascii="宋体" w:hAnsi="宋体" w:cs="宋体"/>
          <w:b/>
          <w:bCs/>
          <w:color w:val="auto"/>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957"/>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lang w:eastAsia="zh-CN"/>
        </w:rPr>
        <w:t xml:space="preserve">江苏恒泰建设工程咨询有限公司</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95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957"/>
        <w:ind w:firstLine="420"/>
        <w:jc w:val="center"/>
        <w:spacing w:line="360" w:lineRule="auto"/>
        <w:rPr>
          <w:rFonts w:hint="eastAsia" w:ascii="宋体" w:hAnsi="宋体" w:eastAsia="宋体" w:cs="宋体"/>
          <w:b/>
          <w:color w:val="auto"/>
          <w:sz w:val="21"/>
          <w:szCs w:val="22"/>
          <w:highlight w:val="none"/>
          <w:lang w:val="en-US" w:eastAsia="zh-CN" w:bidi="ar-SA"/>
        </w:rPr>
      </w:pPr>
      <w:r>
        <w:rPr>
          <w:rFonts w:hint="eastAsia" w:ascii="宋体" w:hAnsi="宋体" w:cs="宋体"/>
          <w:color w:val="auto"/>
          <w:sz w:val="21"/>
          <w:szCs w:val="21"/>
          <w:highlight w:val="none"/>
        </w:rPr>
        <w:t xml:space="preserve">日 期：________年____月____日</w:t>
      </w:r>
      <w:r>
        <w:rPr>
          <w:rFonts w:hint="eastAsia" w:ascii="宋体" w:hAnsi="宋体" w:cs="宋体"/>
          <w:b/>
          <w:color w:val="auto"/>
          <w:sz w:val="21"/>
          <w:szCs w:val="21"/>
          <w:highlight w:val="none"/>
        </w:rPr>
        <w:br w:type="page" w:clear="all"/>
      </w:r>
      <w:r>
        <w:rPr>
          <w:rFonts w:hint="eastAsia" w:ascii="宋体" w:hAnsi="宋体" w:eastAsia="宋体" w:cs="宋体"/>
          <w:b/>
          <w:color w:val="auto"/>
          <w:sz w:val="21"/>
          <w:szCs w:val="22"/>
          <w:highlight w:val="none"/>
          <w:lang w:val="en-US" w:eastAsia="zh-CN" w:bidi="ar-SA"/>
        </w:rPr>
        <w:t xml:space="preserve">法定代表人授权委托书（格式） </w:t>
      </w:r>
      <w:r/>
    </w:p>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本授权委托书声明：我</w:t>
      </w:r>
      <w:r>
        <w:rPr>
          <w:rFonts w:hint="eastAsia" w:ascii="宋体" w:hAnsi="宋体" w:eastAsia="宋体" w:cs="宋体"/>
          <w:color w:val="auto"/>
          <w:sz w:val="21"/>
          <w:szCs w:val="21"/>
          <w:highlight w:val="none"/>
          <w:u w:val="single"/>
        </w:rPr>
        <w:t xml:space="preserve">         (填写姓名)</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（填写投标人单位全称）</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                  （填写单位全称）</w:t>
      </w:r>
      <w:r>
        <w:rPr>
          <w:rFonts w:hint="eastAsia" w:ascii="宋体" w:hAnsi="宋体" w:eastAsia="宋体" w:cs="宋体"/>
          <w:color w:val="auto"/>
          <w:sz w:val="21"/>
          <w:szCs w:val="21"/>
          <w:highlight w:val="none"/>
        </w:rPr>
        <w:t xml:space="preserve">的（填写姓名）为我公司授权代表，</w:t>
      </w:r>
      <w:r>
        <w:rPr>
          <w:rFonts w:hint="eastAsia" w:ascii="宋体" w:hAnsi="宋体" w:eastAsia="宋体" w:cs="宋体"/>
          <w:color w:val="auto"/>
          <w:sz w:val="21"/>
          <w:szCs w:val="21"/>
          <w:highlight w:val="none"/>
          <w:u w:val="single"/>
        </w:rPr>
        <w:t xml:space="preserve">（填写身份证号码：                       ）</w:t>
      </w:r>
      <w:r>
        <w:rPr>
          <w:rFonts w:hint="eastAsia" w:ascii="宋体" w:hAnsi="宋体" w:eastAsia="宋体" w:cs="宋体"/>
          <w:color w:val="auto"/>
          <w:sz w:val="21"/>
          <w:szCs w:val="21"/>
          <w:highlight w:val="none"/>
        </w:rPr>
        <w:t xml:space="preserve">。以本公司的名义参加</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组织的</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（招标编号: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投标活动。授权代表在开标、评标、合同谈判过程中所签署的一切文件和处理与之有关的一切事务，我均予以承认。</w:t>
      </w:r>
      <w:r/>
    </w:p>
    <w:p>
      <w:pPr>
        <w:ind w:firstLine="420"/>
        <w:jc w:val="left"/>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在撤销授权的书面通知以前，本授权书一直有效。全权代表在授权书有效期内签署的所有文件不因授权的撤销而失效。</w:t>
      </w:r>
      <w:r/>
    </w:p>
    <w:p>
      <w:pPr>
        <w:ind w:firstLine="42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授权代表无转委托权。特此委托。</w:t>
      </w:r>
      <w:r/>
    </w:p>
    <w:p>
      <w:pPr>
        <w:jc w:val="left"/>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授权代表姓名：              性别：               年龄：</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                      部门：               职务：</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办公地址：                  联系电话：           传真：</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（电子签章）：</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6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9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8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17"/>
        <w:rPr>
          <w:rFonts w:hint="eastAsia"/>
          <w:color w:val="auto"/>
          <w:highlight w:val="none"/>
        </w:rPr>
      </w:pPr>
      <w:r>
        <w:rPr>
          <w:rFonts w:hint="eastAsia"/>
          <w:color w:val="auto"/>
          <w:highlight w:val="none"/>
        </w:rPr>
      </w:r>
      <w:r/>
    </w:p>
    <w:p>
      <w:pPr>
        <w:pStyle w:val="72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投标产品规格配置清单</w:t>
      </w:r>
      <w:r/>
    </w:p>
    <w:tbl>
      <w:tblPr>
        <w:tblStyle w:val="72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531"/>
        <w:gridCol w:w="2160"/>
        <w:gridCol w:w="2340"/>
        <w:gridCol w:w="1080"/>
        <w:gridCol w:w="1332"/>
      </w:tblGrid>
      <w:tr>
        <w:trPr>
          <w:trHeight w:val="773"/>
        </w:trPr>
        <w:tc>
          <w:tcPr>
            <w:tcW w:w="737"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531"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设备名称</w:t>
            </w:r>
            <w:r/>
          </w:p>
        </w:tc>
        <w:tc>
          <w:tcPr>
            <w:tcW w:w="2160"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投标品牌及型号</w:t>
            </w:r>
            <w:r/>
          </w:p>
        </w:tc>
        <w:tc>
          <w:tcPr>
            <w:tcW w:w="2340"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规格配置详细说明</w:t>
            </w:r>
            <w:r/>
          </w:p>
        </w:tc>
        <w:tc>
          <w:tcPr>
            <w:tcW w:w="1080"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数量</w:t>
            </w:r>
            <w:r/>
          </w:p>
        </w:tc>
        <w:tc>
          <w:tcPr>
            <w:tcW w:w="1332"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trHeight w:val="441"/>
        </w:trPr>
        <w:tc>
          <w:tcPr>
            <w:tcW w:w="7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3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3"/>
        </w:trPr>
        <w:tc>
          <w:tcPr>
            <w:tcW w:w="7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3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3"/>
        </w:trPr>
        <w:tc>
          <w:tcPr>
            <w:tcW w:w="7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3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3"/>
        </w:trPr>
        <w:tc>
          <w:tcPr>
            <w:tcW w:w="7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3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3"/>
        </w:trPr>
        <w:tc>
          <w:tcPr>
            <w:tcW w:w="7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3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注：1.</w:t>
      </w:r>
      <w:r>
        <w:rPr>
          <w:rFonts w:hint="eastAsia" w:ascii="宋体" w:hAnsi="宋体" w:eastAsia="宋体" w:cs="宋体"/>
          <w:b/>
          <w:color w:val="auto"/>
          <w:sz w:val="21"/>
          <w:szCs w:val="21"/>
          <w:highlight w:val="none"/>
        </w:rPr>
        <w:t xml:space="preserve">如果本项目涉及硬件设备采购，须在技术文件中提供此配置清单，提供主要投标产品的技术参数证明材料（如官网截图、产品彩页、原厂技术说明等）。</w:t>
      </w:r>
      <w:r/>
    </w:p>
    <w:p>
      <w:pPr>
        <w:numPr>
          <w:ilvl w:val="0"/>
          <w:numId w:val="4"/>
        </w:numPr>
        <w:ind w:left="0"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本项目如需采购政府强制采购的节能产品的或投标人提供的产品是环境标志产品，投标人须提供节能产品、环境标志产品认证证书复印件。</w:t>
      </w:r>
      <w:r/>
    </w:p>
    <w:p>
      <w:pPr>
        <w:pStyle w:val="717"/>
        <w:rPr>
          <w:rFonts w:hint="eastAsia"/>
          <w:color w:val="auto"/>
          <w:highlight w:val="none"/>
        </w:rPr>
      </w:pPr>
      <w:r>
        <w:rPr>
          <w:rFonts w:hint="eastAsia"/>
          <w:color w:val="auto"/>
          <w:highlight w:val="none"/>
        </w:rPr>
      </w:r>
      <w:r/>
    </w:p>
    <w:p>
      <w:pPr>
        <w:rPr>
          <w:rFonts w:hint="eastAsia" w:ascii="宋体" w:hAnsi="宋体" w:eastAsia="宋体" w:cs="宋体"/>
          <w:color w:val="auto"/>
          <w:sz w:val="21"/>
          <w:szCs w:val="21"/>
          <w:highlight w:val="none"/>
        </w:rPr>
      </w:pPr>
      <w:r>
        <w:rPr>
          <w:rFonts w:hint="eastAsia" w:ascii="仿宋_GB2312" w:hAnsi="仿宋_GB2312" w:eastAsia="仿宋_GB2312" w:cs="仿宋_GB2312"/>
          <w:b/>
          <w:color w:val="auto"/>
          <w:sz w:val="28"/>
          <w:szCs w:val="28"/>
          <w:highlight w:val="none"/>
        </w:rPr>
      </w:r>
      <w:r>
        <w:rPr>
          <w:rFonts w:hint="eastAsia" w:ascii="仿宋_GB2312" w:hAnsi="仿宋_GB2312" w:eastAsia="仿宋_GB2312" w:cs="仿宋_GB2312"/>
          <w:b/>
          <w:color w:val="auto"/>
          <w:sz w:val="28"/>
          <w:szCs w:val="28"/>
          <w:highlight w:val="none"/>
        </w:rPr>
      </w:r>
      <w:r/>
    </w:p>
    <w:p>
      <w:pPr>
        <w:pStyle w:val="7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1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（电子签章）：</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78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6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26"/>
        <w:rPr>
          <w:rFonts w:hint="eastAsia"/>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auto"/>
          <w:highlight w:val="none"/>
        </w:rPr>
      </w:r>
      <w:r/>
    </w:p>
    <w:p>
      <w:pPr>
        <w:numPr>
          <w:ilvl w:val="0"/>
          <w:numId w:val="5"/>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2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4590"/>
        <w:gridCol w:w="1920"/>
        <w:gridCol w:w="1290"/>
      </w:tblGrid>
      <w:tr>
        <w:trPr>
          <w:jc w:val="center"/>
          <w:trHeight w:val="882"/>
        </w:trPr>
        <w:tc>
          <w:tcPr>
            <w:tcW w:w="367"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72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14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6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367"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140"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66"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7"/>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rPr>
          <w:rFonts w:hint="eastAsia" w:ascii="宋体" w:hAnsi="宋体" w:cs="宋体"/>
          <w:b/>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val="en-US" w:eastAsia="zh-CN"/>
        </w:rPr>
        <w:t xml:space="preserve">三、</w:t>
      </w:r>
      <w:r>
        <w:rPr>
          <w:rFonts w:hint="eastAsia" w:ascii="宋体" w:hAnsi="宋体" w:cs="宋体"/>
          <w:b/>
          <w:color w:val="auto"/>
          <w:sz w:val="32"/>
          <w:szCs w:val="32"/>
          <w:highlight w:val="none"/>
        </w:rPr>
        <w:t xml:space="preserve">非实质性响应对照表</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2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4441"/>
        <w:gridCol w:w="1910"/>
        <w:gridCol w:w="1448"/>
      </w:tblGrid>
      <w:tr>
        <w:trPr>
          <w:jc w:val="center"/>
          <w:trHeight w:val="882"/>
        </w:trPr>
        <w:tc>
          <w:tcPr>
            <w:tcW w:w="372"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63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133"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85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37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634" w:type="dxa"/>
            <w:vAlign w:val="center"/>
            <w:textDirection w:val="lrTb"/>
            <w:noWrap w:val="false"/>
          </w:tcPr>
          <w:p>
            <w:pPr>
              <w:spacing w:line="360" w:lineRule="auto"/>
              <w:rPr>
                <w:rFonts w:hint="eastAsia" w:ascii="宋体" w:hAnsi="宋体" w:cs="宋体"/>
                <w:bCs/>
                <w:iCs/>
                <w:color w:val="auto"/>
                <w:szCs w:val="21"/>
                <w:highlight w:val="none"/>
              </w:rPr>
            </w:pPr>
            <w:r>
              <w:rPr>
                <w:rFonts w:hint="eastAsia" w:ascii="宋体" w:hAnsi="宋体" w:cs="宋体"/>
                <w:bCs/>
                <w:color w:val="auto"/>
                <w:szCs w:val="21"/>
                <w:highlight w:val="none"/>
              </w:rPr>
              <w:t xml:space="preserve">《企业声明函》</w:t>
            </w:r>
            <w:r/>
          </w:p>
        </w:tc>
        <w:tc>
          <w:tcPr>
            <w:tcW w:w="1133"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59"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37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63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13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37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63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3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p>
    <w:p>
      <w:pPr>
        <w:jc w:val="center"/>
        <w:spacing w:before="312"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中小企业声明函（服务）</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val="0"/>
          <w:bCs/>
          <w:color w:val="auto"/>
          <w:highlight w:val="none"/>
          <w:u w:val="single"/>
        </w:rPr>
        <w:t xml:space="preserve">（</w:t>
      </w:r>
      <w:r>
        <w:rPr>
          <w:rFonts w:hint="eastAsia" w:ascii="宋体" w:hAnsi="宋体" w:cs="宋体"/>
          <w:b w:val="0"/>
          <w:bCs/>
          <w:color w:val="auto"/>
          <w:highlight w:val="none"/>
          <w:u w:val="single"/>
        </w:rPr>
        <w:t xml:space="preserve">软件和信息技术服务业</w:t>
      </w:r>
      <w:r>
        <w:rPr>
          <w:rFonts w:hint="eastAsia" w:ascii="宋体" w:hAnsi="宋体" w:cs="宋体"/>
          <w:b w:val="0"/>
          <w:bCs/>
          <w:color w:val="auto"/>
          <w:highlight w:val="none"/>
          <w:u w:val="singl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lang w:eastAsia="en-US"/>
        </w:rPr>
        <w:fldChar w:fldCharType="begin"/>
      </w:r>
      <w:r>
        <w:rPr>
          <w:rFonts w:hint="eastAsia" w:ascii="宋体" w:hAnsi="宋体" w:cs="宋体"/>
          <w:color w:val="auto"/>
          <w:spacing w:val="-1"/>
          <w:highlight w:val="none"/>
          <w:vertAlign w:val="superscript"/>
        </w:rPr>
        <w:instrText xml:space="preserve"> HYPERLINK \l "br1" </w:instrText>
      </w:r>
      <w:r>
        <w:rPr>
          <w:rFonts w:hint="eastAsia" w:ascii="宋体" w:hAnsi="宋体" w:cs="宋体"/>
          <w:color w:val="auto"/>
          <w:highlight w:val="none"/>
          <w:lang w:eastAsia="en-US"/>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highlight w:val="none"/>
          <w:lang w:eastAsia="en-US"/>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400" w:lineRule="exact"/>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400" w:lineRule="exact"/>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00" w:lineRule="exact"/>
        <w:rPr>
          <w:rFonts w:hint="eastAsia"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6、《政府采购法》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日 期：</w:t>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pStyle w:val="908"/>
        <w:jc w:val="center"/>
        <w:spacing w:before="300" w:after="300" w:line="360" w:lineRule="auto"/>
        <w:widowControl/>
        <w:rPr>
          <w:rFonts w:ascii="宋体" w:hAnsi="宋体" w:cs="宋体"/>
          <w:bCs w:val="0"/>
          <w:color w:val="auto"/>
          <w:sz w:val="21"/>
          <w:szCs w:val="21"/>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bookmarkStart w:id="31" w:name="_Toc109304977"/>
      <w:r/>
      <w:r/>
    </w:p>
    <w:p>
      <w:pPr>
        <w:pStyle w:val="908"/>
        <w:jc w:val="center"/>
        <w:spacing w:before="300" w:after="300" w:line="360" w:lineRule="auto"/>
        <w:widowControl/>
        <w:rPr>
          <w:rFonts w:hint="eastAsia" w:ascii="宋体" w:hAnsi="宋体" w:cs="宋体"/>
          <w:color w:val="auto"/>
          <w:sz w:val="21"/>
          <w:szCs w:val="21"/>
          <w:highlight w:val="none"/>
        </w:rPr>
      </w:pPr>
      <w:r>
        <w:rPr>
          <w:rFonts w:hint="eastAsia" w:ascii="宋体" w:hAnsi="宋体" w:cs="宋体"/>
          <w:bCs w:val="0"/>
          <w:color w:val="auto"/>
          <w:sz w:val="21"/>
          <w:szCs w:val="21"/>
          <w:highlight w:val="none"/>
        </w:rPr>
        <w:t xml:space="preserve">中小微企业划型标准</w:t>
      </w:r>
      <w:bookmarkEnd w:id="31"/>
      <w:r>
        <w:rPr>
          <w:rFonts w:hint="eastAsia" w:ascii="宋体" w:hAnsi="宋体" w:cs="宋体"/>
          <w:bCs w:val="0"/>
          <w:color w:val="auto"/>
          <w:sz w:val="21"/>
          <w:szCs w:val="21"/>
          <w:highlight w:val="none"/>
        </w:rPr>
        <w:t xml:space="preserve"> </w:t>
      </w:r>
      <w:r/>
    </w:p>
    <w:p>
      <w:pPr>
        <w:pStyle w:val="943"/>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944"/>
          <w:rFonts w:hint="eastAsia" w:ascii="宋体" w:hAnsi="宋体" w:cs="宋体"/>
          <w:color w:val="auto"/>
          <w:sz w:val="21"/>
          <w:szCs w:val="21"/>
          <w:highlight w:val="none"/>
        </w:rPr>
        <w:t xml:space="preserve">中小微企业划型标准如下：</w:t>
      </w:r>
      <w:r/>
    </w:p>
    <w:tbl>
      <w:tblPr>
        <w:tblStyle w:val="725"/>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47"/>
        <w:gridCol w:w="1817"/>
        <w:gridCol w:w="745"/>
        <w:gridCol w:w="1819"/>
        <w:gridCol w:w="1539"/>
        <w:gridCol w:w="1121"/>
      </w:tblGrid>
      <w:tr>
        <w:trPr>
          <w:jc w:val="center"/>
          <w:tblCellSpacing w:w="15" w:type="dxa"/>
          <w:trHeight w:val="285"/>
        </w:trPr>
        <w:tc>
          <w:tcPr>
            <w:tcMar>
              <w:left w:w="105" w:type="dxa"/>
              <w:top w:w="0" w:type="dxa"/>
              <w:right w:w="105" w:type="dxa"/>
              <w:bottom w:w="0" w:type="dxa"/>
            </w:tcMar>
            <w:tcW w:w="885"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395"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中型</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小型</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885"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50≤Y＜500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工业</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Y＜300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20≤X＜200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5≤X＜20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X＜5</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50≤X＜300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10≤X＜50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100≤Y＜500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100≤X＜200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20≤X＜100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50≤Y＜1000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X＜100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X＜100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05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43"/>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43"/>
              <w:jc w:val="center"/>
              <w:spacing w:line="360" w:lineRule="auto"/>
              <w:widowControl/>
              <w:rPr>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X＜10</w:t>
            </w:r>
            <w:r/>
          </w:p>
        </w:tc>
      </w:tr>
    </w:tbl>
    <w:p>
      <w:pPr>
        <w:pStyle w:val="943"/>
        <w:ind w:firstLine="420"/>
        <w:spacing w:before="300" w:after="452" w:line="360" w:lineRule="auto"/>
        <w:widowControl/>
        <w:rPr>
          <w:rStyle w:val="944"/>
          <w:rFonts w:hint="eastAsia" w:ascii="宋体" w:hAnsi="宋体" w:cs="宋体"/>
          <w:color w:val="auto"/>
          <w:sz w:val="21"/>
          <w:szCs w:val="21"/>
          <w:highlight w:val="none"/>
        </w:rPr>
      </w:pPr>
      <w:r>
        <w:rPr>
          <w:rStyle w:val="944"/>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b/>
          <w:bCs/>
          <w:color w:val="auto"/>
          <w:sz w:val="32"/>
          <w:szCs w:val="32"/>
          <w:highlight w:val="none"/>
        </w:rPr>
      </w:pPr>
      <w:r>
        <w:rPr>
          <w:rStyle w:val="944"/>
          <w:rFonts w:hint="eastAsia" w:ascii="宋体" w:hAnsi="宋体" w:cs="宋体"/>
          <w:color w:val="auto"/>
          <w:szCs w:val="21"/>
          <w:highlight w:val="none"/>
        </w:rPr>
        <w:br w:type="page" w:clear="all"/>
      </w:r>
      <w:r>
        <w:rPr>
          <w:rFonts w:hint="eastAsia" w:ascii="宋体" w:hAnsi="宋体"/>
          <w:b/>
          <w:bCs/>
          <w:color w:val="auto"/>
          <w:sz w:val="32"/>
          <w:szCs w:val="32"/>
          <w:highlight w:val="none"/>
        </w:rPr>
        <w:t xml:space="preserve">四、磋商响应报价表</w:t>
      </w:r>
      <w:r/>
    </w:p>
    <w:p>
      <w:pPr>
        <w:spacing w:line="360" w:lineRule="auto"/>
        <w:rPr>
          <w:rFonts w:hint="eastAsia" w:ascii="宋体" w:hAnsi="宋体"/>
          <w:color w:val="auto"/>
          <w:highlight w:val="none"/>
        </w:rPr>
      </w:pPr>
      <w:r>
        <w:rPr>
          <w:rFonts w:hint="eastAsia" w:ascii="宋体" w:hAnsi="宋体"/>
          <w:color w:val="auto"/>
          <w:highlight w:val="none"/>
        </w:rPr>
        <w:t xml:space="preserve">    </w:t>
      </w:r>
      <w:r/>
    </w:p>
    <w:p>
      <w:pPr>
        <w:pStyle w:val="931"/>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 </w:t>
      </w:r>
      <w:r/>
    </w:p>
    <w:p>
      <w:pPr>
        <w:spacing w:line="360" w:lineRule="auto"/>
        <w:rPr>
          <w:rFonts w:hint="eastAsia" w:ascii="宋体" w:hAnsi="宋体"/>
          <w:color w:val="auto"/>
          <w:highlight w:val="none"/>
        </w:rPr>
      </w:pPr>
      <w:r>
        <w:rPr>
          <w:rFonts w:hint="eastAsia" w:ascii="宋体" w:hAnsi="宋体"/>
          <w:color w:val="auto"/>
          <w:highlight w:val="none"/>
        </w:rPr>
        <w:t xml:space="preserve">项目编号：     </w:t>
      </w:r>
      <w:r/>
    </w:p>
    <w:p>
      <w:pPr>
        <w:spacing w:line="360" w:lineRule="auto"/>
        <w:rPr>
          <w:rFonts w:hint="eastAsia" w:ascii="宋体" w:hAnsi="宋体"/>
          <w:color w:val="auto"/>
          <w:szCs w:val="21"/>
          <w:highlight w:val="none"/>
        </w:rPr>
      </w:pPr>
      <w:r>
        <w:rPr>
          <w:rFonts w:hint="eastAsia" w:ascii="宋体" w:hAnsi="宋体"/>
          <w:color w:val="auto"/>
          <w:highlight w:val="none"/>
        </w:rPr>
        <w:t xml:space="preserve">本次为首次报价                                                      </w:t>
      </w:r>
      <w:r/>
    </w:p>
    <w:tbl>
      <w:tblPr>
        <w:tblStyle w:val="72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3"/>
        <w:gridCol w:w="6956"/>
      </w:tblGrid>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第一轮报价</w:t>
            </w:r>
            <w:r/>
          </w:p>
        </w:tc>
      </w:tr>
      <w:tr>
        <w:trPr>
          <w:cantSplit/>
          <w:trHeight w:val="1800"/>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报价</w:t>
            </w:r>
            <w:r/>
          </w:p>
        </w:tc>
        <w:tc>
          <w:tcPr>
            <w:tcW w:w="4082"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大写：</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小写：            (人民币)元</w:t>
            </w:r>
            <w:r/>
          </w:p>
        </w:tc>
      </w:tr>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hint="eastAsia" w:ascii="宋体" w:hAnsi="宋体"/>
          <w:color w:val="auto"/>
          <w:highlight w:val="none"/>
        </w:rPr>
      </w:pPr>
      <w:r>
        <w:rPr>
          <w:rFonts w:hint="eastAsia" w:ascii="宋体" w:hAnsi="宋体"/>
          <w:color w:val="auto"/>
          <w:highlight w:val="none"/>
        </w:rPr>
        <w:t xml:space="preserve">                                               </w:t>
      </w:r>
      <w:r/>
    </w:p>
    <w:p>
      <w:pPr>
        <w:jc w:val="righ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pStyle w:val="908"/>
        <w:jc w:val="both"/>
        <w:spacing w:line="360" w:lineRule="auto"/>
        <w:rPr>
          <w:rFonts w:ascii="宋体" w:hAnsi="宋体"/>
          <w:bCs w:val="0"/>
          <w:color w:val="auto"/>
          <w:highlight w:val="none"/>
        </w:rPr>
      </w:pPr>
      <w:r>
        <w:rPr>
          <w:rFonts w:ascii="宋体" w:hAnsi="宋体"/>
          <w:bCs w:val="0"/>
          <w:color w:val="auto"/>
          <w:highlight w:val="none"/>
        </w:rPr>
      </w:r>
      <w:r/>
    </w:p>
    <w:p>
      <w:pPr>
        <w:pStyle w:val="908"/>
        <w:jc w:val="both"/>
        <w:spacing w:line="360" w:lineRule="auto"/>
        <w:rPr>
          <w:rFonts w:ascii="宋体" w:hAnsi="宋体"/>
          <w:bCs w:val="0"/>
          <w:color w:val="auto"/>
          <w:highlight w:val="none"/>
        </w:rPr>
      </w:pPr>
      <w:r>
        <w:rPr>
          <w:rFonts w:ascii="宋体" w:hAnsi="宋体"/>
          <w:bCs w:val="0"/>
          <w:color w:val="auto"/>
          <w:highlight w:val="none"/>
        </w:rPr>
      </w:r>
      <w:r/>
    </w:p>
    <w:p>
      <w:pPr>
        <w:pStyle w:val="908"/>
        <w:jc w:val="both"/>
        <w:spacing w:line="360" w:lineRule="auto"/>
        <w:rPr>
          <w:rFonts w:ascii="宋体" w:hAnsi="宋体"/>
          <w:bCs w:val="0"/>
          <w:color w:val="auto"/>
          <w:highlight w:val="none"/>
        </w:rPr>
      </w:pPr>
      <w:r>
        <w:rPr>
          <w:rFonts w:ascii="宋体" w:hAnsi="宋体"/>
          <w:bCs w:val="0"/>
          <w:color w:val="auto"/>
          <w:highlight w:val="none"/>
        </w:rPr>
      </w:r>
      <w:r/>
    </w:p>
    <w:p>
      <w:pPr>
        <w:pStyle w:val="908"/>
        <w:jc w:val="both"/>
        <w:spacing w:line="360" w:lineRule="auto"/>
        <w:rPr>
          <w:rFonts w:ascii="宋体" w:hAnsi="宋体"/>
          <w:bCs w:val="0"/>
          <w:color w:val="auto"/>
          <w:highlight w:val="none"/>
        </w:rPr>
      </w:pPr>
      <w:r>
        <w:rPr>
          <w:rFonts w:ascii="宋体" w:hAnsi="宋体"/>
          <w:bCs w:val="0"/>
          <w:color w:val="auto"/>
          <w:highlight w:val="none"/>
        </w:rPr>
      </w:r>
      <w:r/>
    </w:p>
    <w:p>
      <w:pPr>
        <w:pStyle w:val="909"/>
        <w:rPr>
          <w:rFonts w:ascii="宋体" w:hAnsi="宋体"/>
          <w:bCs w:val="0"/>
          <w:color w:val="auto"/>
          <w:highlight w:val="none"/>
        </w:rPr>
      </w:pPr>
      <w:r>
        <w:rPr>
          <w:rFonts w:ascii="宋体" w:hAnsi="宋体"/>
          <w:bCs w:val="0"/>
          <w:color w:val="auto"/>
          <w:highlight w:val="none"/>
        </w:rPr>
      </w:r>
      <w:r/>
    </w:p>
    <w:p>
      <w:pPr>
        <w:pStyle w:val="909"/>
        <w:rPr>
          <w:rFonts w:ascii="宋体" w:hAnsi="宋体"/>
          <w:bCs w:val="0"/>
          <w:color w:val="auto"/>
          <w:highlight w:val="none"/>
        </w:rPr>
      </w:pPr>
      <w:r>
        <w:rPr>
          <w:rFonts w:ascii="宋体" w:hAnsi="宋体"/>
          <w:bCs w:val="0"/>
          <w:color w:val="auto"/>
          <w:highlight w:val="none"/>
        </w:rPr>
      </w:r>
      <w:r/>
    </w:p>
    <w:p>
      <w:pPr>
        <w:pStyle w:val="733"/>
        <w:numPr>
          <w:ilvl w:val="0"/>
          <w:numId w:val="0"/>
        </w:numPr>
        <w:rPr>
          <w:rFonts w:hint="eastAsia"/>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auto"/>
          <w:highlight w:val="none"/>
        </w:rPr>
      </w:r>
      <w:r/>
    </w:p>
    <w:p>
      <w:pPr>
        <w:pStyle w:val="733"/>
        <w:numPr>
          <w:ilvl w:val="0"/>
          <w:numId w:val="0"/>
        </w:numPr>
        <w:rPr>
          <w:rFonts w:hint="eastAsia"/>
          <w:color w:val="auto"/>
          <w:highlight w:val="none"/>
        </w:rPr>
      </w:pPr>
      <w:r>
        <w:rPr>
          <w:rFonts w:hint="eastAsia"/>
          <w:color w:val="auto"/>
          <w:highlight w:val="none"/>
        </w:rPr>
      </w:r>
      <w:r/>
    </w:p>
    <w:p>
      <w:pPr>
        <w:jc w:val="center"/>
        <w:spacing w:after="312"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分项报价表</w:t>
      </w:r>
      <w:r/>
    </w:p>
    <w:p>
      <w:pPr>
        <w:pStyle w:val="931"/>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 </w:t>
      </w:r>
      <w:r/>
    </w:p>
    <w:p>
      <w:pPr>
        <w:spacing w:line="360" w:lineRule="auto"/>
        <w:rPr>
          <w:color w:val="auto"/>
          <w:highlight w:val="none"/>
        </w:rPr>
      </w:pPr>
      <w:r>
        <w:rPr>
          <w:rFonts w:hint="eastAsia" w:ascii="宋体" w:hAnsi="宋体"/>
          <w:color w:val="auto"/>
          <w:highlight w:val="none"/>
        </w:rPr>
        <w:t xml:space="preserve">项目编号：     </w:t>
      </w:r>
      <w:r/>
    </w:p>
    <w:p>
      <w:pPr>
        <w:pStyle w:val="909"/>
        <w:rPr>
          <w:rFonts w:ascii="宋体" w:hAnsi="宋体"/>
          <w:bCs w:val="0"/>
          <w:color w:val="auto"/>
          <w:highlight w:val="none"/>
        </w:rPr>
      </w:pPr>
      <w:r>
        <w:rPr>
          <w:rFonts w:ascii="宋体" w:hAnsi="宋体"/>
          <w:bCs w:val="0"/>
          <w:color w:val="auto"/>
          <w:highlight w:val="none"/>
        </w:rPr>
      </w:r>
      <w:r/>
    </w:p>
    <w:tbl>
      <w:tblPr>
        <w:tblStyle w:val="725"/>
        <w:tblW w:w="555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696"/>
        <w:gridCol w:w="1658"/>
        <w:gridCol w:w="7369"/>
        <w:gridCol w:w="913"/>
        <w:gridCol w:w="1037"/>
        <w:gridCol w:w="1091"/>
        <w:gridCol w:w="1268"/>
        <w:gridCol w:w="14"/>
        <w:gridCol w:w="13"/>
        <w:gridCol w:w="1705"/>
      </w:tblGrid>
      <w:tr>
        <w:trPr>
          <w:jc w:val="center"/>
          <w:trHeight w:val="90"/>
          <w:tblHeade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rPr>
              <w:suppressLineNumbers w:val="0"/>
            </w:pPr>
            <w:r>
              <w:rPr>
                <w:rFonts w:hint="eastAsia" w:ascii="宋体" w:hAnsi="宋体" w:cs="宋体"/>
                <w:b/>
                <w:bCs/>
                <w:color w:val="auto"/>
                <w:sz w:val="21"/>
                <w:szCs w:val="21"/>
                <w:highlight w:val="none"/>
                <w:lang w:val="en-US" w:eastAsia="zh-CN" w:bidi="ar"/>
              </w:rPr>
              <w:t xml:space="preserve">内容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rPr>
              <w:suppressLineNumbers w:val="0"/>
            </w:pPr>
            <w:r>
              <w:rPr>
                <w:rFonts w:hint="eastAsia" w:ascii="楷体_GB2312" w:hAnsi="楷体_GB2312" w:eastAsia="楷体_GB2312" w:cs="楷体_GB2312"/>
                <w:b/>
                <w:bCs/>
                <w:color w:val="auto"/>
                <w:sz w:val="24"/>
                <w:highlight w:val="none"/>
              </w:rPr>
              <w:t xml:space="preserve">服务内容（领域）描述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lang w:val="en-US" w:eastAsia="zh-CN" w:bidi="ar"/>
              </w:rPr>
              <w:suppressLineNumbers w:val="0"/>
            </w:pPr>
            <w:r>
              <w:rPr>
                <w:rFonts w:hint="eastAsia" w:ascii="楷体_GB2312" w:hAnsi="楷体_GB2312" w:eastAsia="楷体_GB2312" w:cs="楷体_GB2312"/>
                <w:b/>
                <w:bCs/>
                <w:color w:val="auto"/>
                <w:sz w:val="24"/>
                <w:highlight w:val="none"/>
              </w:rPr>
              <w:t xml:space="preserve">单位</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楷体_GB2312" w:hAnsi="楷体_GB2312" w:eastAsia="楷体_GB2312" w:cs="楷体_GB2312"/>
                <w:b/>
                <w:bCs/>
                <w:color w:val="auto"/>
                <w:sz w:val="24"/>
                <w:highlight w:val="none"/>
                <w:lang w:val="en-US" w:eastAsia="zh-CN"/>
              </w:rPr>
              <w:suppressLineNumbers w:val="0"/>
            </w:pPr>
            <w:r>
              <w:rPr>
                <w:rFonts w:hint="eastAsia" w:ascii="楷体_GB2312" w:hAnsi="楷体_GB2312" w:eastAsia="楷体_GB2312" w:cs="楷体_GB2312"/>
                <w:b/>
                <w:bCs/>
                <w:color w:val="auto"/>
                <w:sz w:val="24"/>
                <w:highlight w:val="none"/>
                <w:lang w:val="en-US" w:eastAsia="zh-CN"/>
              </w:rPr>
              <w:t xml:space="preserve">数量</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default" w:ascii="楷体_GB2312" w:hAnsi="楷体_GB2312" w:eastAsia="楷体_GB2312" w:cs="楷体_GB2312"/>
                <w:b/>
                <w:bCs/>
                <w:color w:val="auto"/>
                <w:sz w:val="24"/>
                <w:highlight w:val="none"/>
                <w:lang w:val="en-US" w:eastAsia="zh-CN"/>
              </w:rPr>
              <w:suppressLineNumbers w:val="0"/>
            </w:pPr>
            <w:r>
              <w:rPr>
                <w:rFonts w:hint="eastAsia" w:ascii="楷体_GB2312" w:hAnsi="楷体_GB2312" w:eastAsia="楷体_GB2312" w:cs="楷体_GB2312"/>
                <w:b/>
                <w:bCs/>
                <w:color w:val="auto"/>
                <w:sz w:val="24"/>
                <w:highlight w:val="none"/>
                <w:lang w:val="en-US" w:eastAsia="zh-CN"/>
              </w:rPr>
              <w:t xml:space="preserve">单价</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default" w:ascii="楷体_GB2312" w:hAnsi="楷体_GB2312" w:eastAsia="楷体_GB2312" w:cs="楷体_GB2312"/>
                <w:b/>
                <w:bCs/>
                <w:color w:val="auto"/>
                <w:sz w:val="24"/>
                <w:highlight w:val="none"/>
                <w:lang w:val="en-US" w:eastAsia="zh-CN"/>
              </w:rPr>
              <w:suppressLineNumbers w:val="0"/>
            </w:pPr>
            <w:r>
              <w:rPr>
                <w:rFonts w:hint="eastAsia" w:ascii="楷体_GB2312" w:hAnsi="楷体_GB2312" w:eastAsia="楷体_GB2312" w:cs="楷体_GB2312"/>
                <w:b/>
                <w:bCs/>
                <w:color w:val="auto"/>
                <w:sz w:val="24"/>
                <w:highlight w:val="none"/>
                <w:lang w:val="en-US" w:eastAsia="zh-CN"/>
              </w:rPr>
              <w:t xml:space="preserve">总价</w:t>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default" w:ascii="楷体_GB2312" w:hAnsi="楷体_GB2312" w:eastAsia="楷体_GB2312" w:cs="楷体_GB2312"/>
                <w:b/>
                <w:bCs/>
                <w:color w:val="auto"/>
                <w:sz w:val="24"/>
                <w:highlight w:val="none"/>
                <w:lang w:val="en-US" w:eastAsia="zh-CN"/>
              </w:rPr>
              <w:suppressLineNumbers w:val="0"/>
            </w:pPr>
            <w:r>
              <w:rPr>
                <w:rFonts w:hint="eastAsia" w:ascii="楷体_GB2312" w:hAnsi="楷体_GB2312" w:eastAsia="楷体_GB2312" w:cs="楷体_GB2312"/>
                <w:b/>
                <w:bCs/>
                <w:color w:val="auto"/>
                <w:sz w:val="24"/>
                <w:highlight w:val="none"/>
                <w:lang w:val="en-US" w:eastAsia="zh-CN"/>
              </w:rPr>
              <w:t xml:space="preserve">备注</w:t>
            </w:r>
            <w:r/>
          </w:p>
        </w:tc>
      </w:tr>
      <w:tr>
        <w:trPr>
          <w:jc w:val="center"/>
          <w:trHeight w:val="90"/>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cs="宋体"/>
                <w:b/>
                <w:bCs/>
                <w:i w:val="0"/>
                <w:iCs w:val="0"/>
                <w:color w:val="auto"/>
                <w:sz w:val="21"/>
                <w:szCs w:val="21"/>
                <w:highlight w:val="none"/>
                <w:u w:val="none"/>
                <w:lang w:val="en-US" w:eastAsia="zh-CN" w:bidi="ar"/>
              </w:rPr>
              <w:t xml:space="preserve">一、专利预审服务</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专利</w:t>
            </w:r>
            <w:r>
              <w:rPr>
                <w:rFonts w:hint="eastAsia" w:ascii="宋体" w:hAnsi="宋体" w:eastAsia="宋体" w:cs="宋体"/>
                <w:color w:val="auto"/>
                <w:sz w:val="21"/>
                <w:szCs w:val="21"/>
                <w:highlight w:val="none"/>
                <w:lang w:val="en-US" w:eastAsia="zh-CN" w:bidi="ar"/>
              </w:rPr>
              <w:t xml:space="preserve">预审服务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1、公共服务系统</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门户网站：对外服务的门户网站，可支持信息发布，对各业务功能模块进行网站展示、管理；支持用户登录、基础信息管理。</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申请主体备案：可支持备案主体、代理机构进行备案申请、备案变更。</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专利预审案件提交：可支持申请人办理专利预审申请、案件答复、案件管理和通知书接收。</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智能化确权辅助系统：智能化辅助审查系统主要可支持在线进行专利申请辅助审查，包括案件分配、案件受理、案件审核、案件互检、统计分析、配置中心等。同时还可提供智能化辅助工具帮助预审员完成专利预审工作，包括智能分类、智能形式审查、文件对比、相似检索。</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中提供满足该功能的</w:t>
            </w:r>
            <w:r>
              <w:rPr>
                <w:rFonts w:hint="eastAsia" w:ascii="宋体" w:hAnsi="宋体" w:cs="宋体"/>
                <w:color w:val="auto"/>
                <w:sz w:val="21"/>
                <w:szCs w:val="21"/>
                <w:highlight w:val="none"/>
                <w:lang w:val="en-US" w:eastAsia="zh-CN" w:bidi="ar"/>
              </w:rPr>
              <w:t xml:space="preserve">相关证明材料</w:t>
            </w:r>
            <w:r>
              <w:rPr>
                <w:rFonts w:hint="eastAsia" w:ascii="宋体" w:hAnsi="宋体" w:eastAsia="宋体" w:cs="宋体"/>
                <w:color w:val="auto"/>
                <w:sz w:val="21"/>
                <w:szCs w:val="21"/>
                <w:highlight w:val="none"/>
                <w:lang w:val="en-US" w:eastAsia="zh-CN" w:bidi="ar"/>
              </w:rPr>
              <w:t xml:space="preserve">；</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3、后台管理系统</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后台管理系统可支持对提交的备案申请信息进行审核、管理，可对企事业单位用户、代理机构用户信息进行查看、编辑、删除、拉黑、导出等操作。</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预审员可登录、使用数据库的功能，并且数据库应实现7*24小时的连续运行，运行流畅、稳定。数据方面满足以下要求:专利数据来源合法权威，专利收录国别或地区在170个以上，专利检索字段合计多于470个，支持不少于10个人同时在线使用，专利收录国别或地区170个以上，以及专利检索字段470个以上需在</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中提供相关证明材料；</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en-US" w:eastAsia="zh-CN" w:bidi="ar"/>
              </w:rPr>
              <w:t xml:space="preserve">、▲数据库功能方面满足以下要求：支持专利的简单检索、高级检索、语义检索、批量检索、外观图像检索、布尔检索、语义检索与布尔检索组合检索、布尔检索与图像的组合检索，AI智能技术解读和智能问答等；还可支持专利检索结果的浏览、下载、快速筛选、统计分析、预警、智能附图、说明书比对、高亮展示、产业专题库导航等，</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中提供满足该功能的</w:t>
            </w:r>
            <w:r>
              <w:rPr>
                <w:rFonts w:hint="eastAsia" w:ascii="宋体" w:hAnsi="宋体" w:cs="宋体"/>
                <w:color w:val="auto"/>
                <w:sz w:val="21"/>
                <w:szCs w:val="21"/>
                <w:highlight w:val="none"/>
                <w:lang w:val="en-US" w:eastAsia="zh-CN" w:bidi="ar"/>
              </w:rPr>
              <w:t xml:space="preserve">相关证明材料</w:t>
            </w:r>
            <w:r>
              <w:rPr>
                <w:rFonts w:hint="eastAsia" w:ascii="宋体" w:hAnsi="宋体" w:eastAsia="宋体" w:cs="宋体"/>
                <w:color w:val="auto"/>
                <w:sz w:val="21"/>
                <w:szCs w:val="21"/>
                <w:highlight w:val="none"/>
                <w:lang w:val="en-US" w:eastAsia="zh-CN" w:bidi="ar"/>
              </w:rPr>
              <w:t xml:space="preserve">；</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en-US" w:eastAsia="zh-CN" w:bidi="ar"/>
              </w:rPr>
              <w:t xml:space="preserve">、▲系统所使用专利数据资源的来源合法性、权威性、安全性，专利基础数据来源必须来自官方机构，</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中提供相关证明材料，保证数据来源合法性、及时性和稳定性。数据更新周期须保证中国专利数据每一周两更，国内数据与国家知识产权局更新数据要保持一致；</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en-US" w:eastAsia="zh-CN" w:bidi="ar"/>
              </w:rPr>
              <w:t xml:space="preserve">、▲AI相关功能：支持对基于当前检索结果，进行 AI 深度分析；</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中提供</w:t>
            </w:r>
            <w:r>
              <w:rPr>
                <w:rFonts w:hint="eastAsia" w:ascii="宋体" w:hAnsi="宋体" w:cs="宋体"/>
                <w:color w:val="auto"/>
                <w:sz w:val="21"/>
                <w:szCs w:val="21"/>
                <w:highlight w:val="none"/>
                <w:lang w:val="en-US" w:eastAsia="zh-CN" w:bidi="ar"/>
              </w:rPr>
              <w:t xml:space="preserve">相关证明材料</w:t>
            </w:r>
            <w:r>
              <w:rPr>
                <w:rFonts w:hint="eastAsia" w:ascii="宋体" w:hAnsi="宋体" w:eastAsia="宋体" w:cs="宋体"/>
                <w:color w:val="auto"/>
                <w:sz w:val="21"/>
                <w:szCs w:val="21"/>
                <w:highlight w:val="none"/>
                <w:lang w:val="en-US" w:eastAsia="zh-CN" w:bidi="ar"/>
              </w:rPr>
              <w:t xml:space="preserve">；</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en-US" w:eastAsia="zh-CN" w:bidi="ar"/>
              </w:rPr>
              <w:t xml:space="preserve">、▲辅助审查决策工具：支持申请前评估功能、支持异常专利申请预警功能、支持从技术、经济、法律维度评价专利价值；</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中须逐项提供</w:t>
            </w:r>
            <w:r>
              <w:rPr>
                <w:rFonts w:hint="eastAsia" w:ascii="宋体" w:hAnsi="宋体" w:cs="宋体"/>
                <w:color w:val="auto"/>
                <w:sz w:val="21"/>
                <w:szCs w:val="21"/>
                <w:highlight w:val="none"/>
                <w:lang w:val="en-US" w:eastAsia="zh-CN" w:bidi="ar"/>
              </w:rPr>
              <w:t xml:space="preserve">相关证明材料</w:t>
            </w:r>
            <w:r>
              <w:rPr>
                <w:rFonts w:hint="eastAsia" w:ascii="宋体" w:hAnsi="宋体" w:eastAsia="宋体" w:cs="宋体"/>
                <w:color w:val="auto"/>
                <w:sz w:val="21"/>
                <w:szCs w:val="21"/>
                <w:highlight w:val="none"/>
                <w:lang w:val="en-US" w:eastAsia="zh-CN" w:bidi="ar"/>
              </w:rPr>
              <w:t xml:space="preserve">；</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en-US" w:eastAsia="zh-CN" w:bidi="ar"/>
              </w:rPr>
              <w:t xml:space="preserve">、▲工作空间：工作空间中数据可支持手动更新；支持自动标引，标引字段预设沉睡专利、核心（壁垒）专利、沉睡专利、分级分类等页签；支持原始申请人集中度分析；支持市级集中度分析；支持省级集中度分析；</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中须逐项提供</w:t>
            </w:r>
            <w:r>
              <w:rPr>
                <w:rFonts w:hint="eastAsia" w:ascii="宋体" w:hAnsi="宋体" w:cs="宋体"/>
                <w:color w:val="auto"/>
                <w:sz w:val="21"/>
                <w:szCs w:val="21"/>
                <w:highlight w:val="none"/>
                <w:lang w:val="en-US" w:eastAsia="zh-CN" w:bidi="ar"/>
              </w:rPr>
              <w:t xml:space="preserve">相关证明材料</w:t>
            </w:r>
            <w:r>
              <w:rPr>
                <w:rFonts w:hint="eastAsia" w:ascii="宋体" w:hAnsi="宋体" w:eastAsia="宋体" w:cs="宋体"/>
                <w:color w:val="auto"/>
                <w:sz w:val="21"/>
                <w:szCs w:val="21"/>
                <w:highlight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val="en-US" w:eastAsia="zh-CN" w:bidi="ar"/>
              </w:rPr>
              <w:t xml:space="preserve">、▲检索方式：：简单检索、高级检索、指令检索、智能语义检索、批量检索、外观图像检索、法律状态检索、转让信息检索、许可信息检索、专利复审无效信息检索；</w:t>
            </w:r>
            <w:r>
              <w:rPr>
                <w:rFonts w:hint="eastAsia" w:ascii="宋体" w:hAnsi="宋体" w:cs="宋体"/>
                <w:color w:val="auto"/>
                <w:sz w:val="21"/>
                <w:szCs w:val="21"/>
                <w:highlight w:val="none"/>
                <w:lang w:val="en-US" w:eastAsia="zh-CN" w:bidi="ar"/>
              </w:rPr>
              <w:t xml:space="preserve">响应文件</w:t>
            </w:r>
            <w:r>
              <w:rPr>
                <w:rFonts w:hint="eastAsia" w:ascii="宋体" w:hAnsi="宋体" w:eastAsia="宋体" w:cs="宋体"/>
                <w:color w:val="auto"/>
                <w:sz w:val="21"/>
                <w:szCs w:val="21"/>
                <w:highlight w:val="none"/>
                <w:lang w:val="en-US" w:eastAsia="zh-CN" w:bidi="ar"/>
              </w:rPr>
              <w:t xml:space="preserve">中提供以上检索方式的</w:t>
            </w:r>
            <w:r>
              <w:rPr>
                <w:rFonts w:hint="eastAsia" w:ascii="宋体" w:hAnsi="宋体" w:cs="宋体"/>
                <w:color w:val="auto"/>
                <w:sz w:val="21"/>
                <w:szCs w:val="21"/>
                <w:highlight w:val="none"/>
                <w:lang w:val="en-US" w:eastAsia="zh-CN" w:bidi="ar"/>
              </w:rPr>
              <w:t xml:space="preserve">相关证明材料</w:t>
            </w: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r>
            <w:r/>
          </w:p>
        </w:tc>
      </w:tr>
      <w:tr>
        <w:trPr>
          <w:jc w:val="center"/>
          <w:trHeight w:val="90"/>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cs="宋体"/>
                <w:b/>
                <w:bCs/>
                <w:color w:val="auto"/>
                <w:highlight w:val="none"/>
                <w:lang w:val="en-US" w:eastAsia="zh-CN"/>
              </w:rPr>
              <w:t xml:space="preserve">二、</w:t>
            </w:r>
            <w:r>
              <w:rPr>
                <w:rFonts w:hint="eastAsia" w:ascii="宋体" w:hAnsi="宋体" w:eastAsia="宋体" w:cs="宋体"/>
                <w:b/>
                <w:bCs/>
                <w:color w:val="auto"/>
                <w:highlight w:val="none"/>
              </w:rPr>
              <w:t xml:space="preserve">服务</w:t>
            </w:r>
            <w:r>
              <w:rPr>
                <w:rFonts w:hint="eastAsia" w:ascii="宋体" w:hAnsi="宋体" w:cs="宋体"/>
                <w:b/>
                <w:bCs/>
                <w:color w:val="auto"/>
                <w:highlight w:val="none"/>
                <w:lang w:val="en-US" w:eastAsia="zh-CN"/>
              </w:rPr>
              <w:t xml:space="preserve">受理</w:t>
            </w:r>
            <w:r>
              <w:rPr>
                <w:rFonts w:hint="eastAsia" w:ascii="宋体" w:hAnsi="宋体" w:eastAsia="宋体" w:cs="宋体"/>
                <w:b/>
                <w:bCs/>
                <w:color w:val="auto"/>
                <w:highlight w:val="none"/>
              </w:rPr>
              <w:t xml:space="preserve">大厅排队叫号系统</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扬声器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1.名称：吸顶天花喇叭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2.规格：6W</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功率放大器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1.名称：吸顶喇叭功放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2.输出功率(70/100V/4Ω）：RMS 120W；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3.频率响应：80Hz - 16kHz  ± 3 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4.电源：AC: 100~240V 50/60Hz, DC 24V；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5.输入灵敏度：MIC: -40dBv 平衡、Line: -10dBv 平衡、AUX: -10dBv 非平衡；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6.总谐波失真：&lt;0.1%；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7.信噪比：MIC &gt; 65dB、 Line &gt; 75dB、 AUX &gt; 75dB；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8.输出方式：4Ω/70V/100V；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9.控制项：4 INPUT音量，1 AUX音量，1 Echo电平，2高音/低音， 1 MASTER音量。</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46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会议专用设备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1.名称：排队叫号主机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2.规格：液晶尺寸 21.5 寸 16：9；触摸屏 G+G 电容触摸屏；触摸分辩率 32767*32767；分辨率液晶分辨 1920*1080(MAX)；主机配置单颗CPU、8G 运行内存、 128G 固态硬盘；打印机内置 532 高速 80 热敏打印机；通信模式双频 433 无线模块。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3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w:t>
            </w:r>
            <w:r>
              <w:rPr>
                <w:rFonts w:hint="eastAsia"/>
                <w:color w:val="auto"/>
                <w:highlight w:val="none"/>
                <w:lang w:val="en-US" w:eastAsia="zh-CN"/>
              </w:rPr>
              <w:t xml:space="preserve">平板电视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2.规格：尺寸≥55英寸；分辨率：≥1920*1080；配置≥单颗四核1.5GhzCPU、≥2G内存≥16G存储；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HDMI输入。</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399"/>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呼叫器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1.名称：呼叫器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2.规格：电源：12V 供电；按键寿命：≥300 万次 ；排队叫号系统中的服务台终端设备，可以实现登录、顺呼、重呼、优先、插前、延后、弃号、转移、退出等功能。</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8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1.名称：评价器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2.规格：对服务内容进行评价，按键评价器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42"/>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cs="宋体"/>
                <w:b/>
                <w:bCs/>
                <w:i w:val="0"/>
                <w:iCs w:val="0"/>
                <w:color w:val="auto"/>
                <w:sz w:val="21"/>
                <w:szCs w:val="21"/>
                <w:highlight w:val="none"/>
                <w:u w:val="none"/>
                <w:lang w:val="en-US" w:eastAsia="zh-CN" w:bidi="ar"/>
              </w:rPr>
              <w:t xml:space="preserve">三、</w:t>
            </w:r>
            <w:r>
              <w:rPr>
                <w:rFonts w:hint="eastAsia" w:ascii="宋体" w:hAnsi="宋体" w:eastAsia="宋体" w:cs="宋体"/>
                <w:b/>
                <w:bCs/>
                <w:i w:val="0"/>
                <w:iCs w:val="0"/>
                <w:color w:val="auto"/>
                <w:sz w:val="21"/>
                <w:szCs w:val="21"/>
                <w:highlight w:val="none"/>
                <w:u w:val="none"/>
                <w:lang w:val="en-US" w:eastAsia="zh-CN" w:bidi="ar"/>
              </w:rPr>
              <w:t xml:space="preserve">宣传区域</w:t>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扬声器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1.名称：吸顶音箱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2.规格：1、音箱类型:无源同轴天花喇叭；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2、连续功率:60W(RMS)；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3、单元:6.5″同轴单元；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4、最大声压级(1M):92dB(计算值)；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5、阻抗:16Ω；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6、频率响应：150Hz-20KHz(-10dB)；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7、筒体材质:铝合金、可选配变压器；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7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功率放大器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名称：吸顶音箱功放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2.规格：1、额定功率：2×150W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2、峰值功率：2×300W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3、阻抗：4欧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4、频率响应@4Ω 1/3输出功率：20 Hz~20 KHz (+0/-1 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5、1KHz 1/8输出功率总谐波失真：&lt;0.01%，典型值0.005%；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6、信噪比(A) ：&gt;98dB；</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7、输入灵敏度(应急输入)：1+/-1dBm；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8、电压增益：34+/-1dB；</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9、输入接口：XLR + EUROBLOCK并接方式；</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10、输出接口：SPEAKON喇叭座；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11、工作模式：立体声模式/并接模式/桥接模式/通道组合模式/休眠模式；</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12、阻尼因素1KHz：&gt;200；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13、功率转换合成：开关电源SMPS+CLASS D数字功放；</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14、冷却：温度自适应，抽风(后板出风口)；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15、保护功能：短路/过流保护，开路高频抑制, 过热保护, 过压保护，超高频RF抑制，开关机静音；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16、电源适应：AC 187-253V 50/60 Hz；</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45"/>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cs="宋体"/>
                <w:b/>
                <w:bCs/>
                <w:i w:val="0"/>
                <w:iCs w:val="0"/>
                <w:color w:val="auto"/>
                <w:sz w:val="21"/>
                <w:szCs w:val="21"/>
                <w:highlight w:val="none"/>
                <w:u w:val="none"/>
                <w:lang w:val="en-US" w:eastAsia="zh-CN" w:bidi="ar"/>
              </w:rPr>
              <w:t xml:space="preserve">四、</w:t>
            </w:r>
            <w:r>
              <w:rPr>
                <w:rFonts w:hint="eastAsia" w:ascii="宋体" w:hAnsi="宋体" w:eastAsia="宋体" w:cs="宋体"/>
                <w:b/>
                <w:bCs/>
                <w:i w:val="0"/>
                <w:iCs w:val="0"/>
                <w:color w:val="auto"/>
                <w:sz w:val="21"/>
                <w:szCs w:val="21"/>
                <w:highlight w:val="none"/>
                <w:u w:val="none"/>
                <w:lang w:val="en-US" w:eastAsia="zh-CN" w:bidi="ar"/>
              </w:rPr>
              <w:t xml:space="preserve">三层</w:t>
            </w:r>
            <w:r>
              <w:rPr>
                <w:rFonts w:hint="eastAsia" w:ascii="宋体" w:hAnsi="宋体" w:eastAsia="宋体" w:cs="宋体"/>
                <w:b/>
                <w:bCs/>
                <w:color w:val="auto"/>
                <w:highlight w:val="none"/>
              </w:rPr>
              <w:t xml:space="preserve">多功能会议室系统</w:t>
            </w:r>
            <w:r/>
          </w:p>
        </w:tc>
      </w:tr>
      <w:tr>
        <w:trPr>
          <w:jc w:val="center"/>
          <w:trHeight w:val="95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扬声器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1.名称：吸顶音箱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2.规格：1、音箱类型:无源同轴天花喇叭；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2、连续功率:60W(RMS)；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3、单元:6.5″同轴单元；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4、最大声压级(1M):92dB(计算值)；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5、阻抗:16Ω；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6、频率响应：150Hz-20KHz(-10dB)；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7、筒体材质:铝合金、可选配变压器；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644"/>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功率放大器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名称：吸顶音箱功放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2.规格：1、额定功率：2×150W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2、峰值功率：2×300W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3、阻抗：4欧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4、频率响应@4Ω 1/3输出功率：20 Hz~20 KHz (+0/-1 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5、1KHz 1/8输出功率总谐波失真：&lt;0.01%，典型值0.005%；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6、信噪比(A) ：&gt;98dB；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7、输入灵敏度(应急输入)：1+/-1dBm；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8、电压增益：34+/-1dB；</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9、输入接口：XLR + EUROBLOCK并接方式；</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10、输出接口：SPEAKON喇叭座；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11、工作模式：立体声模式/并接模式/桥接模式/通道组合模式/休眠模式；</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12、阻尼因素1KHz：&gt;200；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13、功率转换合成：开关电源SMPS+CLASS D数字功放；</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14、冷却：温度自适应，抽风(后板出风口)；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15、保护功能：短路/过流保护，开路高频抑制, 过热保护, 过压保护，超高频RF抑制，开关机静音；</w:t>
            </w:r>
            <w:r/>
          </w:p>
          <w:p>
            <w:pPr>
              <w:jc w:val="left"/>
              <w:keepLines w:val="0"/>
              <w:keepNext w:val="0"/>
              <w:widowControl/>
              <w:rPr>
                <w:rFonts w:hint="eastAsia"/>
                <w:color w:val="auto"/>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16、电源适应：AC 187-253V 50/60 Hz；</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3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会议专用设备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w:t>
            </w:r>
            <w:r>
              <w:rPr>
                <w:rFonts w:hint="eastAsia" w:ascii="宋体" w:hAnsi="宋体" w:cs="宋体"/>
                <w:i w:val="0"/>
                <w:iCs w:val="0"/>
                <w:color w:val="auto"/>
                <w:sz w:val="21"/>
                <w:szCs w:val="21"/>
                <w:highlight w:val="none"/>
                <w:u w:val="none"/>
                <w:lang w:val="en-US" w:eastAsia="zh-CN" w:bidi="ar"/>
              </w:rPr>
              <w:t xml:space="preserve">大屏控制器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4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会议专用设备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1.名称：主席单元话筒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5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会议专用设备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1.名称：代表单元话筒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9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会议专用设备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1.名称：无线话筒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9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周边设备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1.名称：音频处理器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96"/>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cs="宋体"/>
                <w:b/>
                <w:bCs/>
                <w:i w:val="0"/>
                <w:iCs w:val="0"/>
                <w:color w:val="auto"/>
                <w:sz w:val="21"/>
                <w:szCs w:val="21"/>
                <w:highlight w:val="none"/>
                <w:u w:val="none"/>
                <w:lang w:val="en-US" w:eastAsia="zh-CN" w:bidi="ar"/>
              </w:rPr>
              <w:t xml:space="preserve">五、</w:t>
            </w:r>
            <w:r>
              <w:rPr>
                <w:rFonts w:hint="eastAsia" w:ascii="宋体" w:hAnsi="宋体" w:eastAsia="宋体" w:cs="宋体"/>
                <w:b/>
                <w:bCs/>
                <w:i w:val="0"/>
                <w:iCs w:val="0"/>
                <w:color w:val="auto"/>
                <w:sz w:val="21"/>
                <w:szCs w:val="21"/>
                <w:highlight w:val="none"/>
                <w:u w:val="none"/>
                <w:lang w:val="en-US" w:eastAsia="zh-CN" w:bidi="ar"/>
              </w:rPr>
              <w:t xml:space="preserve">多</w:t>
            </w:r>
            <w:r>
              <w:rPr>
                <w:rFonts w:hint="eastAsia" w:ascii="宋体" w:hAnsi="宋体" w:cs="宋体"/>
                <w:b/>
                <w:bCs/>
                <w:i w:val="0"/>
                <w:iCs w:val="0"/>
                <w:color w:val="auto"/>
                <w:sz w:val="21"/>
                <w:szCs w:val="21"/>
                <w:highlight w:val="none"/>
                <w:u w:val="none"/>
                <w:lang w:val="en-US" w:eastAsia="zh-CN" w:bidi="ar"/>
              </w:rPr>
              <w:t xml:space="preserve">功能</w:t>
            </w:r>
            <w:r>
              <w:rPr>
                <w:rFonts w:hint="eastAsia" w:ascii="宋体" w:hAnsi="宋体" w:eastAsia="宋体" w:cs="宋体"/>
                <w:b/>
                <w:bCs/>
                <w:i w:val="0"/>
                <w:iCs w:val="0"/>
                <w:color w:val="auto"/>
                <w:sz w:val="21"/>
                <w:szCs w:val="21"/>
                <w:highlight w:val="none"/>
                <w:u w:val="none"/>
                <w:lang w:val="en-US" w:eastAsia="zh-CN" w:bidi="ar"/>
              </w:rPr>
              <w:t xml:space="preserve">审理庭系统</w:t>
            </w:r>
            <w:r/>
          </w:p>
        </w:tc>
      </w:tr>
      <w:tr>
        <w:trPr>
          <w:jc w:val="center"/>
          <w:trHeight w:val="54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17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1.名称：审理席应用端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审查员应用系统用于帮助用户处理庭审相关工作，方便用户在应用程序中实时查看口审庭情况，切换相关的画面内容。外链接到相关的网站配置，可以让用户快速访问数字口审系统、内网平台等网站。另附有远程桌面、画面的截图批注、备忘录、内网通讯工具、常用的小工具等等，可以更好的协助用户完成开庭的工作。</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r>
      <w:tr>
        <w:trPr>
          <w:jc w:val="center"/>
          <w:trHeight w:val="43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18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1.名称：当事人庭审应用端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当事人应用系统方便用户更全面了解开庭情况，向用户展示当前口审庭相关内容和相关证据记录的画面，提示用户口审庭相关基本规则，向用户提供庭审相关的工具链接，更好的为用户提供相关服务。保障用户切身的权益。</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158"/>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19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智能照明系统设备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1.名称：庭审控制面板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2.规格：1、配合网控时序电源实现审理庭设备一键通断电。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2、屏幕：4寸电容触摸屏，86面板型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3、核心处理器：400MHz 32位双核处理器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4、操作系统：嵌入式实时操作系统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5、协议类型：MODBUS、XGUS协议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6、分辨率：480*480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72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1.名称：强电控制器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2.规格：1、电源输出通道数：≧8路。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2、单通道的最大电流为≧10A，总输入电流容量为≧30A。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3、控制方式：支持TCP/IP协议和串口协议控制。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4、控制方式：可通过面板按键对输出端口单独或全部进行控制。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5、控制方式：可通过用网口、RS232、RS485 接口控制组件对设备进行控制。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6、每路电源通道均可独立设定延时时间（优于1秒~255秒）。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周边设备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1.名称：网络音频处理器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2.规格：1、具备话筒10路平衡式输入, 10路平衡式环出。每个输入通道有独立的压限器、均衡器、噪声门、自动增益，每个输入通道的线路输入可以根据需要选取灵敏度；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2、每个输入通道支持48V幻象供电，可独立控制；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3、内置12*12音频矩阵，可根据不同场景设置相应的效果；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4、具备2路平衡式输出，3路线性输出。共4组输出，每个输出通道有独立的八段参数均衡器、延时器、分频器、压限器模块，可根据环境需要输出不同音效；</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5、频率响应：20Hz－20KHz；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6、24bit/48kHz A/D、D/A转换，最高可达96kHz取样率；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7、A/D 、D/A动态范围：114dB；</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8、输入共模抑制：85dB@20dBu,1KHz；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9、内置高速DSP芯片，具有编组控制功能；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10、1个1000M自适应网口，支持远程管理。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A、可实时监测法庭内每一只话筒实时音量、48V幻象供电状态、话筒在线与断线状态。</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B、可远程控制并调节法庭内每一只话筒实时音量，远程控制任一只话筒的48V幻象供电，从而实现法庭禁言功能。</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14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会议专用设备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1.名称：庭审发言话筒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2.规格：1、指向特性：心型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2、信噪比(S/N)：&gt; 92dB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3、频率响应：20Hz—20KHz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4、输出阻抗：280欧姆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5、最大声压：140dB，THD&lt;1%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6、灵敏度：-40dBV-Pa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7、输入连接器：4针航空插公头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8、输出连接器：3针卡侬公头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9、供电：48V供电</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扬声器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1.名称：音箱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2.规格：单元：尺寸小于等于LF:1X6、5寸、HF:1X1寸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频率响应：55Hz-20KHz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额定功率（RMS）：大于等于45W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阻抗：8Ω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灵敏度：不低于91db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专业会议音箱，主流产品型号</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20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监控摄像设备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1.名称：高清云台摄像机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2.规格：1、采用4K高品质1/2.8英寸CMOS传感器，输出828万有效像素；最大分辨率可达3840×2160，输出帧率高达30帧/秒；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2、HDM支持：3840*2160P30/25;1080P60/50/30/25/59.94/29.97;720P60/50/59.94fps；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SD和LAN支持：1080P60/50/30/25/59.94/29.97;720P60/50/59.94fps；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3、12倍光学变焦（16X数字变焦），焦距：f=3.9～46.8mm；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4、视角：7.42°（窄角）-78.58°（广角）；光圈F1.6–F2.8；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5、支持SM-2D和SM-3D数字降噪，低照度0.5Lux(F1.8, AGC ON)；</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516"/>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监控摄像设备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1.名称：实物展台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2.规格：1、镜头输出像素：1300万；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2、变焦：12倍光学变焦，20倍数字变焦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3、对焦/白平衡： 自动/手动（对焦）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4、图像特技： 负片、冻结、旋转、同屏对比、镜像、文本/图像、黑白/彩色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5、图像存储：支持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6、usb2、0接口： 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7、输出接口： VGA输出×2，HDMI输出×2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8、输入接口：麦克风输入×1，VGA输入×1，HDMI输入×1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20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监控摄像设备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1.名称：实物摄像机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2.规格：1、1/2、8英寸851万像素SONY CMOS传感器，图像比例16：9；图像水平亮度解析力达到：1800电视线；支持高达3840×2160分辨率30帧/秒压缩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2、视频信号：4Kp/30/25、1080p60/50/30/25、1080I60/50、720p60/50/30/25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3、镜头：12倍光学变焦，15倍数字变焦；f=4、0～50、4mm；清晰影像变焦：开启2倍数字变焦时，1080P图像最大支持24倍变焦。开启4倍数字变焦时，720P图像最大支持48倍变焦。</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4、水平视角：6、5°（窄角）-71°（广角）；垂直视角：3、66°（窄角）-42、8°（广角）</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5、支持SM-2D和SM-3D数字降噪，信噪比&gt;55dB，低照度0、5Lux(F1、8, AGC ON)；光圈F1、8–F2、8;</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6、视频调节支持：亮度、色度、饱和度、对比度、锐度、黑白模式、伽马曲线等功能；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7、支持自动/手动白平衡，自动/手动聚焦模式，自动/手动曝光模式；</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8、视频口支持3G-SDI、HDMI、USB3、0、LAN网口四路同时输出；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7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周边设备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1.名称：HDMI矩阵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2.规格：八进一出，支持：1920*1080P30，支持RS232控制模块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29"/>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1.名称：KVM切换器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2.规格：HDMI切换器，二进一出，支持：1920*1080P30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2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图像分配器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1.名称：应用电脑图像分配器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2.规格：HDMI分配器，一进四出，支持：1920*1080P30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图像分配器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1.名称：书记员电脑图像分配器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2.规格：HDMI分配器，一进二出，支持：1920*1080P30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1.名称：流媒体服务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2.规格：1、采用系统服务方式；协议支持：RTP/RTSP/SDP；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2、视频编码格式：h、264hp；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3、音频编码格式：AAC；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4、支持音频独立编码；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5、支持文件录制完毕自动生成点播记录，无须人工干预；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6、支持多用户并发直播、点播；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7、辅助功能：支持设置与视屏取流、笔录刷新间隔和 word 工具栏的相关设置。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20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1.名称：庭审资源管理系统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2.规格：1、B/S架构，实现对单体审理庭系统进行配置和管理。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2、功能性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▲推荐浏览器下载：支持下载系统推荐的浏览器，提供满足该功能的第三方软件测试报告；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类型搜索：支持按照案件分类信息进行庭审记录搜索。3、类型搜索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承办部门：支持对承办部门信息进行庭审记录搜索。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案件类型：支持按照案件分类信息进行庭审记录搜索。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4、庭审记录展示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全部案件：可展示所有的庭审记录。</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热点案件：可展示标注为热点案件的庭审记录。</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庭审评论：可在当前点播界面发表评分和相关评论。</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▲5、人脸识别：可展示相关设备采集并校验后的人脸及身份信息，提供满足该功能的第三方软件测试报告。</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1.名称：数字口审系统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2.规格：1、采用B/S结构；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2、支持手动添加案件信息和手动排期；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3、提供审理庭庭审使用状态预览，正在使用审理庭提供庭审现场截图，未使用审理庭提供开庭预告或空闲提示；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4、提供审理庭设备的配置和管理；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5、提供系统服务配置和管理；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6、能够以系统服务模式允许运行，无须登录系统；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7、提供庭审参与人员身份配置和管理；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8、提供庭审直播和点播，直播点播受权限控制；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9、提供权限管理，支持按照角色分配权限；</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10、支持用户基本信息设置；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11、提供多种案件查询方式，支持模糊查询、组合查询；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12、提供对庭审过程生成的音视频文件、笔录文件统一管理；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13、提供各种证据展示控制；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14、提供审理庭管理和设置；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15、提供日常工作所需的相关统计信息；</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▲16、提供显示系统日志信息：可显示系统用户操作日志信息，包括用户的登入登出、案件和用户信息的新增，删除和修改，提供满足该功能的第三方软件测试报告。</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20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1.名称：审理庭接入交换机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 性能：整机交换容量 ≥6.7Tbps；转发性能 ≥126Mpps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端口：≥24个千兆电口，≥4个千兆光口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固化单电源，无风扇静音设计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IPv4路由表容量≥512 ，MAC地址表≥16K，ARP表项≥1K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5.实现CPU保护功能，能限制非法报文对CPU的攻击，保护交换机在各种环境下稳定工作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6.支持横向虚拟化，最大可堆叠设备≥9台。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7.支持802.3ad链路聚合基本功能。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8.支持STP/RSTP/MSTP等环网技术，支持G.8032以太网环保护协议ERPS，环网故障恢复时间≤50ms；</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 支持802.3x流控及半双工背压流控。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10.支持包过滤功能，可以实现基于端口的限速、基于流的重定向、基于时间端的流量控制能力。</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11.基于安全设计，支持用户分级管理和口径保护，支持AAA/Radius/802.1X/MAC等多种认账方式，支持终端管理能力。</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35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1.名称：平板电视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2.规格：1、65英寸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2、刷屏率：60Hz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3、分辨率：3840*2160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4、闪存：32G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5、HDMI2.0接口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6、含安装支架（支架根据现场情况定制）。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86"/>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36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1.名称：综合标准机柜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2.规格：42U 19英寸标准机柜；尺寸（W*D*H）：600mm*1000mm*2000mm，含两个8位5孔PDU插座。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3.安装方式：落地安装</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86"/>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37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插座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1.名称：多媒体地插</w:t>
            </w:r>
            <w:r>
              <w:rPr>
                <w:rFonts w:hint="eastAsia" w:ascii="宋体" w:hAnsi="宋体" w:cs="宋体"/>
                <w:i w:val="0"/>
                <w:iCs w:val="0"/>
                <w:color w:val="auto"/>
                <w:sz w:val="21"/>
                <w:szCs w:val="21"/>
                <w:highlight w:val="none"/>
                <w:u w:val="none"/>
                <w:lang w:val="en-US" w:eastAsia="zh-CN" w:bidi="ar"/>
              </w:rPr>
              <w:t xml:space="preserve">，定制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0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38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1.名称：管线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2.规格：含SDI线、HDMI线、金属线管、金属软管等</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86"/>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lang w:val="en-US" w:eastAsia="zh-CN" w:bidi="ar"/>
              </w:rPr>
              <w:t xml:space="preserve">六、设备间建设</w:t>
            </w:r>
            <w:r/>
          </w:p>
        </w:tc>
      </w:tr>
      <w:tr>
        <w:trPr>
          <w:jc w:val="center"/>
          <w:trHeight w:val="203"/>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cs="宋体"/>
                <w:color w:val="auto"/>
                <w:sz w:val="21"/>
                <w:szCs w:val="21"/>
                <w:highlight w:val="none"/>
                <w:lang w:val="en-US" w:eastAsia="zh-CN" w:bidi="ar"/>
              </w:rPr>
              <w:t xml:space="preserve">6.1</w:t>
            </w:r>
            <w:r>
              <w:rPr>
                <w:rFonts w:hint="eastAsia" w:ascii="宋体" w:hAnsi="宋体" w:eastAsia="宋体" w:cs="宋体"/>
                <w:color w:val="auto"/>
                <w:sz w:val="21"/>
                <w:szCs w:val="21"/>
                <w:highlight w:val="none"/>
                <w:lang w:val="en-US" w:eastAsia="zh-CN" w:bidi="ar"/>
              </w:rPr>
              <w:t xml:space="preserve">供配电</w:t>
            </w:r>
            <w:r/>
          </w:p>
        </w:tc>
      </w:tr>
      <w:tr>
        <w:trPr>
          <w:jc w:val="center"/>
          <w:trHeight w:val="51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39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成套配电箱</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1.名称：综合配电柜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2.型号：柜体尺寸400*600*2000mm，配置配电总开一部及UPS输入输出开关及空调等市电用电开关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3.安装方式：落地安装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4.基础形式：10#槽钢基础</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r>
            <w:r/>
          </w:p>
        </w:tc>
      </w:tr>
      <w:tr>
        <w:trPr>
          <w:jc w:val="center"/>
          <w:trHeight w:val="13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低压电气开关</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1.名称：工业连接器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2.型号：16A/三孔，防水防脱落连接器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6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插座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1.名称：PDU插座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2.规格：16A输入，输出为12位国标三孔插座。垂直安装。</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0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荧光灯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1.名称：LED平板灯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2.型号：600*600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3.安装方式：吊顶嵌入式安装</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00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1.名称：应急筒灯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2.型号：3.5寸</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5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插座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1.名称：10A五孔插座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78"/>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1.名称：电气配线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2.型号：ZRBV-2.5mm²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3.配线部位：管内穿线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028"/>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2.型号：ZCYJV-5*6mm2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3.敷设方式、部位：穿管、桥架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5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2.型号：ZRVVR 3*6mm²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3.敷设方式、部位：穿管、桥架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016"/>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2.型号：ZCVVR-5*16mm²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3.敷设方式、部位：穿管、桥架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0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桥架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1.名称：强电金属槽盒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2.型号：200*100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3.材质：金属</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0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支/吊架、基础型钢</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1.名称：桥架支架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2.材质：镀锌型钢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3.备注：含操作高度增加费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21.78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64"/>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1.名称：KBG管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2.规格：KBG20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3.配置形式：暗配</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1.名称：KBG管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2.规格：KBG20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3.配置形式：明配</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9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支/吊架、基础型钢</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 明管支架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2.材质：镀锌型钢</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24.42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1.名称：接线盒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2.材质：金属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3.规格：86型</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5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1.名称：金属软管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2.材质：DN20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90"/>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6.2</w:t>
            </w:r>
            <w:r>
              <w:rPr>
                <w:rFonts w:hint="eastAsia" w:ascii="宋体" w:hAnsi="宋体" w:eastAsia="宋体" w:cs="宋体"/>
                <w:color w:val="auto"/>
                <w:sz w:val="21"/>
                <w:szCs w:val="21"/>
                <w:highlight w:val="none"/>
                <w:lang w:val="en-US" w:eastAsia="zh-CN" w:bidi="ar"/>
              </w:rPr>
              <w:t xml:space="preserve">防雷接地</w:t>
            </w:r>
            <w:r/>
          </w:p>
        </w:tc>
      </w:tr>
      <w:tr>
        <w:trPr>
          <w:jc w:val="center"/>
          <w:trHeight w:val="50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1.名称：第一级防雷器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2.型号：通流量为 60KA，响应时间≤25ns，380V4级防雷器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3.规格：包含连接线、铜线鼻、空开等配件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r>
        <w:trPr>
          <w:jc w:val="center"/>
          <w:trHeight w:val="13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1.名称：第二级防雷器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2.型号：通流量为 40KA，响应时间≤25ns，380V4级防雷器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3.规格：包含连接线、铜线鼻、空开等配件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04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1.名称：第三级防雷器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2.型号：通流量为 20KA，响应时间≤25ns，380V4级防雷器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3.规格：包含连接线、铜线鼻、空开等配件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15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1.名称：机房逻辑接地铜排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2.规格：30*3mm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3.安装部位：包含支撑安装</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1.名称：接地线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2.型号：ZRBVR6mm2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1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1.名称：接地线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2.型号：ZRBVR50mm2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智能防雷装置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1.名称：接地汇流排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5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等电位端子箱、测试板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1.名称：等电位接地端子箱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2.材质：TD28局部等电位连接端子箱</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接地装置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1.名称：接地装置调试</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系统、组</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52"/>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6.3</w:t>
            </w:r>
            <w:r>
              <w:rPr>
                <w:rFonts w:hint="eastAsia" w:ascii="宋体" w:hAnsi="宋体" w:eastAsia="宋体" w:cs="宋体"/>
                <w:color w:val="auto"/>
                <w:sz w:val="21"/>
                <w:szCs w:val="21"/>
                <w:highlight w:val="none"/>
                <w:lang w:val="en-US" w:eastAsia="zh-CN" w:bidi="ar"/>
              </w:rPr>
              <w:t xml:space="preserve">设备间布线</w:t>
            </w:r>
            <w:r/>
          </w:p>
        </w:tc>
      </w:tr>
      <w:tr>
        <w:trPr>
          <w:jc w:val="center"/>
          <w:trHeight w:val="6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1.规格：机柜600*1200*2000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2.安装方式：落地安装</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r>
        <w:trPr>
          <w:jc w:val="center"/>
          <w:trHeight w:val="752"/>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6.4</w:t>
            </w:r>
            <w:r>
              <w:rPr>
                <w:rFonts w:hint="eastAsia" w:ascii="宋体" w:hAnsi="宋体" w:eastAsia="宋体" w:cs="宋体"/>
                <w:color w:val="auto"/>
                <w:sz w:val="21"/>
                <w:szCs w:val="21"/>
                <w:highlight w:val="none"/>
                <w:lang w:val="en-US" w:eastAsia="zh-CN" w:bidi="ar"/>
              </w:rPr>
              <w:t xml:space="preserve">空气调节</w:t>
            </w:r>
            <w:r/>
          </w:p>
        </w:tc>
      </w:tr>
      <w:tr>
        <w:trPr>
          <w:jc w:val="center"/>
          <w:trHeight w:val="57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空调器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1.名称：精密空调(包含减震器）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w:t>
            </w:r>
            <w:r>
              <w:rPr>
                <w:rFonts w:hint="eastAsia" w:ascii="宋体" w:hAnsi="宋体" w:eastAsia="宋体" w:cs="宋体"/>
                <w:i w:val="0"/>
                <w:iCs w:val="0"/>
                <w:color w:val="auto"/>
                <w:sz w:val="21"/>
                <w:szCs w:val="21"/>
                <w:highlight w:val="none"/>
                <w:u w:val="none"/>
                <w:lang w:val="en-US" w:eastAsia="zh-CN" w:bidi="ar"/>
              </w:rPr>
              <w:t xml:space="preserve">：1、精密空调总冷量≥12.5kW，显热制冷量≥11.6kW，风量应≥3200m³/h，加热能力要求≥3.4kW。</w:t>
            </w:r>
            <w:r>
              <w:rPr>
                <w:rFonts w:hint="eastAsia" w:ascii="宋体" w:hAnsi="宋体" w:cs="宋体"/>
                <w:i w:val="0"/>
                <w:iCs w:val="0"/>
                <w:color w:val="auto"/>
                <w:sz w:val="21"/>
                <w:szCs w:val="21"/>
                <w:highlight w:val="none"/>
                <w:u w:val="none"/>
                <w:lang w:val="en-US" w:eastAsia="zh-CN" w:bidi="ar"/>
              </w:rPr>
              <w:t xml:space="preserve">提供相应证明材料。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2、压缩机：为提高系统可靠性，空调压缩机应采用柔性涡旋式压缩机。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3、加热量功能：机房精密空调应具备电加热器，为提高加热器的效率和可靠性，应采用PTC式加热器，加热量≥3kW。在风量较低或者没有风量的情况下，加热器基本上不加热，防止机组出现高温损伤并节约能耗。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4、加湿量功能：机房精密空调机组应采用可拆洗式电极加湿器，加湿量≥3.46kg/h,。</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5、膨胀阀：为快速响应制冷需求变化，精准确保制冷剂流量，必须配置节能高效电子膨胀阀，不接受热力膨胀阀。</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冷量输出控制方法、装置功能：所投精密空调在运行时需获取压缩机制冷量和设计风量，基于压缩机制冷量、设计风量以及焓差计算风量系数；将压缩机的需求输出转速和风量系数发送至控制器，由控制器基于需求输出转速和风量系数控制压缩机以控制冷量输出。</w:t>
            </w:r>
            <w:r/>
          </w:p>
          <w:p>
            <w:pPr>
              <w:jc w:val="left"/>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7、制冷剂回收装置功能：列间精密空调应采用环保型制冷剂R410A，保证制冷剂充分制冷，防止制冷剂残留在空调室外机，所投精密空调具备制冷剂回收装置</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有色金属管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1.名称：紫铜管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2.规格：回液管、热气管含保温管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1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制冷剂</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1.名称：制冷剂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2.型号：R22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4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1.名称：室外机电源线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2.型号：ZRVVR-5*2.5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7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1.名称：室外机电源线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2.型号：ZRVVR-2*1.5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52"/>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6.5</w:t>
            </w:r>
            <w:r>
              <w:rPr>
                <w:rFonts w:hint="eastAsia" w:ascii="宋体" w:hAnsi="宋体" w:eastAsia="宋体" w:cs="宋体"/>
                <w:color w:val="auto"/>
                <w:sz w:val="21"/>
                <w:szCs w:val="21"/>
                <w:highlight w:val="none"/>
                <w:lang w:val="en-US" w:eastAsia="zh-CN" w:bidi="ar"/>
              </w:rPr>
              <w:t xml:space="preserve">装修建设</w:t>
            </w:r>
            <w:r/>
          </w:p>
        </w:tc>
      </w:tr>
      <w:tr>
        <w:trPr>
          <w:jc w:val="center"/>
          <w:trHeight w:val="45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轻质隔墙</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1.骨架、边框材料种类、规格：75系列轻钢龙骨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2.隔板材料品种、规格：双面彩钢石膏复合板（1、 表面材料：表材为55%镀铝锌彩涂钢板,钢板正面PE聚酯树脂C816，漆膜厚度20um；颜色为乳白色。背面EP环氧树脂3854，漆膜厚度9um；钢板厚度0.6mm。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内衬材料：12mm厚石膏板。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产品规格：成品标准宽度1200mm，1200mm以下可定制；成品标准高度3100以下皆可定制；成品厚度：13mm。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 墙板连接：墙板两边折有V形边，采用钢制镀锌M压条配M4*18自攻螺钉固定。</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 防火性能：符合国家防火GB/8624-1997建筑材料及制品燃烧性能分级A级不燃材料。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 漆膜性能：光泽度25±10（光泽单位）；铅笔硬度≥H。）</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3.温控区墙面保温岩棉保温板</w:t>
            </w:r>
            <w:r/>
          </w:p>
          <w:p>
            <w:pPr>
              <w:jc w:val="left"/>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4.嵌缝、塞口材料品种：精密空调区地板下、吊顶上一周8mm厚不燃板封闭</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r>
        <w:trPr>
          <w:jc w:val="center"/>
          <w:trHeight w:val="12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架空地板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1.地面防尘处理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2.20mm厚地面橡塑保温，表面粘贴铝箔。阻燃B1级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3.面层材料品种、规格：全钢抗静电地板（含调节支撑骨架、抬高300mm）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4.防护材料种类：不锈钢收口条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19.49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05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零星钢构件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1.钢材品种、规格：角钢支架，机柜、配电柜、电池柜、空调内外机承重处理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0.3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5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金属踢脚线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1.踢脚线高度：100mm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2.基层材料种类、规格：12mm厚阻燃板钉在木龙骨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3.面层材料品种、规格：1.2mm黑钛不锈钢</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17.22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98"/>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止水带</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100mm高度围堰，并涂防水涂料。沿空调下方及门入口处设置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防火堵洞(隔板)、孔洞封堵</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外界连接的管、线、槽口用专用防火泥封堵</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平面吊顶天棚</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1.顶面防尘处理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2.20mm厚地面橡塑保温，表面粘贴铝箔。阻燃B1级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3.吊顶形式、吊杆规格、高度：φ8全丝杆吊筋H=1050mm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4.龙骨材料种类、规格、中距：装配式T型（不上人型）铝合金龙骨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5.面板材料品种、规格：600*600*0.8mm方形微孔铝板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01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钢质防火门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1.门洞口尺寸：900*2200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2.框、扇材质：钢质甲级防火门，向外开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3.五金种类、规格：含配套五金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43"/>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lang w:val="en-US" w:eastAsia="zh-CN" w:bidi="ar"/>
              </w:rPr>
              <w:t xml:space="preserve">七、</w:t>
            </w:r>
            <w:r>
              <w:rPr>
                <w:rFonts w:hint="eastAsia" w:ascii="宋体" w:hAnsi="宋体" w:eastAsia="宋体" w:cs="宋体"/>
                <w:b/>
                <w:bCs/>
                <w:color w:val="auto"/>
                <w:sz w:val="21"/>
                <w:szCs w:val="21"/>
                <w:highlight w:val="none"/>
                <w:lang w:val="en-US" w:eastAsia="zh-CN" w:bidi="ar"/>
              </w:rPr>
              <w:t xml:space="preserve">消防报警及无网管灭火</w:t>
            </w:r>
            <w:r/>
          </w:p>
        </w:tc>
      </w:tr>
      <w:tr>
        <w:trPr>
          <w:jc w:val="center"/>
          <w:trHeight w:val="557"/>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cs="宋体"/>
                <w:i w:val="0"/>
                <w:iCs w:val="0"/>
                <w:color w:val="auto"/>
                <w:sz w:val="21"/>
                <w:szCs w:val="21"/>
                <w:highlight w:val="none"/>
                <w:u w:val="none"/>
                <w:lang w:val="en-US" w:eastAsia="zh-CN" w:bidi="ar"/>
              </w:rPr>
              <w:t xml:space="preserve">7.1</w:t>
            </w:r>
            <w:r>
              <w:rPr>
                <w:rFonts w:hint="eastAsia" w:ascii="宋体" w:hAnsi="宋体" w:eastAsia="宋体" w:cs="宋体"/>
                <w:i w:val="0"/>
                <w:iCs w:val="0"/>
                <w:color w:val="auto"/>
                <w:sz w:val="21"/>
                <w:szCs w:val="21"/>
                <w:highlight w:val="none"/>
                <w:u w:val="none"/>
                <w:lang w:val="en-US" w:eastAsia="zh-CN" w:bidi="ar"/>
              </w:rPr>
              <w:t xml:space="preserve">消防报警</w:t>
            </w:r>
            <w:r/>
          </w:p>
        </w:tc>
      </w:tr>
      <w:tr>
        <w:trPr>
          <w:jc w:val="center"/>
          <w:trHeight w:val="62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79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报警联动一体机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1.名称：气体灭火控制一体机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2.规格、线制：1区,可接240点，4.3寸彩色液晶显示屏，含热敏打印机、2节5AH电池。接带地址型探测器、模块、声光等总线设备，支持CAN联网和以太网联网，尺寸为340*94*440。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both"/>
              <w:keepLines w:val="0"/>
              <w:keepNext w:val="0"/>
              <w:widowControl/>
              <w:rPr>
                <w:color w:val="auto"/>
                <w:highlight w:val="none"/>
              </w:rPr>
              <w:suppressLineNumbers w:val="0"/>
            </w:pPr>
            <w:r>
              <w:rPr>
                <w:color w:val="auto"/>
                <w:highlight w:val="none"/>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both"/>
              <w:keepLines w:val="0"/>
              <w:keepNext w:val="0"/>
              <w:widowControl/>
              <w:rPr>
                <w:color w:val="auto"/>
                <w:highlight w:val="none"/>
              </w:rPr>
              <w:suppressLineNumbers w:val="0"/>
            </w:pPr>
            <w:r>
              <w:rPr>
                <w:color w:val="auto"/>
                <w:highlight w:val="none"/>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both"/>
              <w:keepLines w:val="0"/>
              <w:keepNext w:val="0"/>
              <w:widowControl/>
              <w:rPr>
                <w:color w:val="auto"/>
                <w:highlight w:val="none"/>
              </w:rPr>
              <w:suppressLineNumbers w:val="0"/>
            </w:pPr>
            <w:r>
              <w:rPr>
                <w:color w:val="auto"/>
                <w:highlight w:val="none"/>
              </w:rPr>
            </w:r>
            <w:r/>
          </w:p>
        </w:tc>
      </w:tr>
      <w:tr>
        <w:trPr>
          <w:jc w:val="center"/>
          <w:trHeight w:val="13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点型探测器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1.名称：感烟探测器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2.规格：工作电压--总线24V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监视电流--＜0.3mA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报警电流--＜1.5mA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布线要求--RVS线≥1.5mm2；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使用环境--温度：-10℃～+55℃，相对湿度：≤95%（40℃±2℃无凝露）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外形尺寸--φ100×54mm（含底座）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重    量--约82g（含底座）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壳体材料--ABS，白色</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点型探测器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1.名称：感温探测器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2.规格：工作电压--总线24V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监视电流--＜0.3mA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报警电流--＜1.5mA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布线要求--RVS线≥1.5mm2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使用环境--温度：-10℃～+50℃；相对湿度：≤95%（40℃±2℃无凝露）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外形尺寸--φ100×56mm（含底座）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重    量--约65g（含底座）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壳体材料--ABS，白色</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0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声光报警器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1.名称：声光报警器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2.安装方式：用于事故现场的声音报警和闪光报警</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声光报警器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1.名称：消防警铃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2.安装方式：用于地区报警声响；安装在疏散口、楼梯口及走廊等公共场所</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58"/>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1.名称：放气指示灯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照明开关、按钮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1.名称：紧急启停按钮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4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消防模块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1.名称：控制模块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1.名称：安全出口灯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9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普通灯具</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1.名称：消防应急灯</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4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1.名称：电源线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2.型号：ZR-RVS-2×1.5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1.名称：电源线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2.型号：ZR-RVS-4×1.5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1.名称：电源线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2.型号：ZR-BV2.5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1.名称：KBG管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2.规格：KBG20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3.配置形式：明配</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29"/>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接线盒</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1.名称：接线盒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2.材质：金属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3.规格：86型</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1.名称：金属软管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2.材质：DN20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6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火灾防毒面具</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1.名称：火灾防毒面具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2.规格：过滤式呼吸器,30min，火灾逃生消防面具，防烟、防毒、防火</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4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自动报警系统调试</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1.点数：64点以内</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02"/>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7.2</w:t>
            </w:r>
            <w:r>
              <w:rPr>
                <w:rFonts w:hint="eastAsia" w:ascii="宋体" w:hAnsi="宋体" w:eastAsia="宋体" w:cs="宋体"/>
                <w:color w:val="auto"/>
                <w:sz w:val="21"/>
                <w:szCs w:val="21"/>
                <w:highlight w:val="none"/>
                <w:lang w:val="en-US" w:eastAsia="zh-CN" w:bidi="ar"/>
              </w:rPr>
              <w:t xml:space="preserve">气体灭火部分</w:t>
            </w:r>
            <w:r/>
          </w:p>
        </w:tc>
      </w:tr>
      <w:tr>
        <w:trPr>
          <w:jc w:val="center"/>
          <w:trHeight w:val="65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贮存装置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1.名称：70L灭火柜瓶组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2.介质、类型：GQQ70/2.5七氟丙烷灭火柜瓶组</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5"/>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4091"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r>
        <w:trPr>
          <w:jc w:val="center"/>
          <w:trHeight w:val="5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HFC灭火剂</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1.名称：HFC灭火剂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2.介质、类型：HFC-227ea七氟丙烷灭火剂</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0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99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风机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1.名称：吊顶式消防排烟风机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2.型号：风量≥2600m³/H</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78"/>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碳钢罩类</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1.名称：排烟机罩</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0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碳钢阀门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1.名称：排烟阀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2.类型：24V，280°电动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4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成套配电箱</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1.名称：电源箱</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0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百叶风口及风管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1.名称：百叶风口及风管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4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铝及铝合金风口、散流器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1.名称：泄压口装置</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9"/>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lang w:val="en-US" w:eastAsia="zh-CN" w:bidi="ar"/>
              </w:rPr>
              <w:t xml:space="preserve">八、</w:t>
            </w:r>
            <w:r>
              <w:rPr>
                <w:rFonts w:hint="eastAsia" w:ascii="宋体" w:hAnsi="宋体" w:eastAsia="宋体" w:cs="宋体"/>
                <w:b/>
                <w:bCs/>
                <w:color w:val="auto"/>
                <w:sz w:val="21"/>
                <w:szCs w:val="21"/>
                <w:highlight w:val="none"/>
                <w:lang w:val="en-US" w:eastAsia="zh-CN" w:bidi="ar"/>
              </w:rPr>
              <w:t xml:space="preserve">计算机网络系统</w:t>
            </w:r>
            <w:r/>
          </w:p>
        </w:tc>
      </w:tr>
      <w:tr>
        <w:trPr>
          <w:jc w:val="center"/>
          <w:trHeight w:val="515"/>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cs="宋体"/>
                <w:color w:val="auto"/>
                <w:sz w:val="21"/>
                <w:szCs w:val="21"/>
                <w:highlight w:val="none"/>
                <w:lang w:val="en-US" w:eastAsia="zh-CN" w:bidi="ar"/>
              </w:rPr>
              <w:t xml:space="preserve">8.1</w:t>
            </w:r>
            <w:r>
              <w:rPr>
                <w:rFonts w:hint="eastAsia" w:ascii="宋体" w:hAnsi="宋体" w:eastAsia="宋体" w:cs="宋体"/>
                <w:color w:val="auto"/>
                <w:sz w:val="21"/>
                <w:szCs w:val="21"/>
                <w:highlight w:val="none"/>
                <w:lang w:val="en-US" w:eastAsia="zh-CN" w:bidi="ar"/>
              </w:rPr>
              <w:t xml:space="preserve">政务网/互联网</w:t>
            </w:r>
            <w:r/>
          </w:p>
        </w:tc>
      </w:tr>
      <w:tr>
        <w:trPr>
          <w:jc w:val="center"/>
          <w:trHeight w:val="57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配电智能设备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1.名称：核心交换机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2.型号：1.交换容量≥7.58Tbps，转发性能≥252Mpps；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2.支持不少于24个10/100/1000Base-T电口，光电复用口≥8个，4个10G BASE-X SFP+万兆光口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3、配置描述：每台配置1根SFP+堆叠线缆。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r>
        <w:trPr>
          <w:jc w:val="center"/>
          <w:trHeight w:val="86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1.名称：电子审批网接入交换机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2.规格：性能：整机交换容量 ≥6.7Tbps；转发性能 ≥126Mpps ；端口：≥24个千兆电口，≥4个千兆光口</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rPr>
              <w:t xml:space="preserve">107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防火墙</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1.名称：防火墙（含IPS、AV）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2.规格：1、标准 2U 硬件平台，冗余电源，国产化 CPU 及国产化操作系统，</w:t>
            </w:r>
            <w:r>
              <w:rPr>
                <w:rFonts w:hint="eastAsia" w:ascii="宋体" w:hAnsi="宋体" w:eastAsia="宋体" w:cs="宋体"/>
                <w:i w:val="0"/>
                <w:iCs w:val="0"/>
                <w:color w:val="auto"/>
                <w:sz w:val="21"/>
                <w:szCs w:val="21"/>
                <w:highlight w:val="none"/>
                <w:u w:val="none"/>
                <w:lang w:val="en-US" w:eastAsia="zh-CN" w:bidi="ar"/>
              </w:rPr>
              <w:t xml:space="preserve">内存≥16GB，硬盘≥2TB</w:t>
            </w:r>
            <w:r>
              <w:rPr>
                <w:rFonts w:hint="eastAsia" w:ascii="宋体" w:hAnsi="宋体" w:eastAsia="宋体" w:cs="宋体"/>
                <w:i w:val="0"/>
                <w:iCs w:val="0"/>
                <w:color w:val="auto"/>
                <w:sz w:val="21"/>
                <w:szCs w:val="21"/>
                <w:highlight w:val="none"/>
                <w:u w:val="none"/>
                <w:lang w:val="en-US" w:eastAsia="zh-CN" w:bidi="ar"/>
              </w:rPr>
              <w:t xml:space="preserve">。标配≥8 个千兆电口(含 4 组电口 Bypass），≥8 个千兆光口，支持≥2 个扩展槽；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2、设备最大吞吐量≥10Gbps，最大并发连接数≥400 万，每秒新建连接数≥20 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 IPv6/IPv4 双栈；支持 IPv6 安全策略，包括访问控制策略、NAT 策略、流量控制策略、黑名单、白名单、认证策略等；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4、系统预定义≥11000 条主流攻击规则，包含对应 IPS 规则的级别、防护对象、操作系统、CVE编号等详细信息；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 SSL 加密流量解密功能，支持 HTTPS、SMTPS、POPS、IMAPS 协议加密的流量解密，支持HTTPS 流量按域名分类做流量解密。并支持上层内容安全功能查杀和访问控制，如入侵防御，内容过滤等；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6、具有自定义漏洞扫描模版和默认漏洞扫描模版扫描漏洞的功能；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7、支持独立的 Web 防护模块，系统定义≥4500条 WAF 规则防护功能，支持常规 HTTP 漏洞、SQL注入、组件、CMS、WebShell 和 XSS 等类型的 Web防护；支持 HTTP 协议的 URL、Method、Referer、User-Agent、Cookie、URL-args 等字段的等于、不等于、包含、不包含、正则等多种匹配方式的访问控制；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8、支持自定义 IPS 特征，至少支持 TCP、UDP、ICMP、HTTP 等协议自定义入侵攻击特征；支持设置检测方向，包括双向、客户端方向和服务端方向；支持自定义选择级别；</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9、具有普通模式下的业务流量转发功能和智能模式下的流量转发功能；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10、支持邮件内容过滤；支持基于发件人、收件人、邮件标题或邮件正文的关键字进行行为过滤；</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11、提供对控制策略、上网认证策略、带宽策略、策略路由、源 NAT 等策略的策略分析，可分析并展示问题策略数量以及所占百分比、问题策略详情、策略宽松度分布情况，简化运维工作；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12、具有基于控制测量的策略分析功能、基于策略路由的策略分析功能、基于源 NAT 的策略分析功能；</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13、基于 C&amp;C 的威胁情报上报功能、基于勒索软件的威胁情报上报功能、基于僵尸网络的威胁情报上报功能、基于挖矿软件的威胁情报上报功能、基于矿池地址的威胁情报上报功能。</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bidi="ar"/>
              </w:rPr>
              <w:t xml:space="preserve">108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终端安全管理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名称：终端安全管理</w:t>
            </w:r>
            <w:r/>
          </w:p>
          <w:p>
            <w:pPr>
              <w:numPr>
                <w:ilvl w:val="0"/>
                <w:numId w:val="0"/>
              </w:num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1、标准2U硬件平台，双电源，国产化CPU及国产化操作系统，内存≥16G，硬盘≥2T，千兆电口≥4个，千兆光口≥4个，千兆管理口≥1个，千兆HA口≥1个；▲包含1套终端安全及防病毒系统平台及50个PC防护授权；</w:t>
            </w:r>
            <w:r>
              <w:rPr>
                <w:rFonts w:hint="eastAsia" w:ascii="宋体" w:hAnsi="宋体" w:cs="宋体"/>
                <w:i w:val="0"/>
                <w:iCs w:val="0"/>
                <w:color w:val="auto"/>
                <w:sz w:val="21"/>
                <w:szCs w:val="21"/>
                <w:highlight w:val="none"/>
                <w:u w:val="none"/>
                <w:lang w:val="en-US" w:eastAsia="zh-CN" w:bidi="ar"/>
              </w:rPr>
              <w:t xml:space="preserve">提供证明材料。</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可视化态势大屏展示，包括终端安全管控大屏和安全概况大屏，安全概况展示内容包括防护概况、检测概况、入侵检测概况、防护风险趋势、安全动态；终端管控包括终端状态、分组分类、版本状态、安装量、防护率、在线率等。</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对CPU、内存、磁盘读写、网络上下行流量达到配置阈值时告警。支持对CPU、内存达到一定阈值时客户端自动进行熔断。支持自动收集终端资产：监听端口、运行程序、账号、软件、启动项、Web框架、Web服务、数据库、Web应用等信息，并支持数据的导出。</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4、病毒检测类型支持文件感染型病毒、宏病毒、蠕虫、木马程序、间谍软件、脚本恶意程序、后门程序、僵尸程序、勒索软件、RootKit恶意程序、BootKit恶意程序等。</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中心可对全网终端下发资产信息登记任务，能自定义登记信息内容及格式，包括输出框格式、下拉框格式、是否必填项等，并支持启停资产登记能力，针对未完整登记信息的终端支持设置开机提醒、定期提醒、常驻提醒。</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6、支持监控系统开机、登录、关机事件，可以设置监控非工作时段的开机事件，形成审计日志；且能够查询主机在线时长监控，显示终端在线累积时长、离线累积时长、最近下线时间、总时长等信息。</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7、支持基于IP及域名设置探测地址，实时感知违规外联行为，针对违规外联行为支持多种处置方式，包括不做处理、弹窗提醒用户并关机、弹窗提醒用户并断网。</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8、支持压缩文件、加壳文件、格式混淆、捆绑文件等逃避检测防护；支持静态文件二进制特征、动态行为特征等未知病毒检测。</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登录防护，包括以系统账号为粒度的异常登录防护、支持4个任意维度（任意IP，任意域名，任意计算机名，任意时间）的系统登录访问策略设置。联动威胁情报，支持对APT、木马、病毒、蠕虫、后门、勒索、挖矿、僵尸网络、漏洞利用等10余种不同类型的威胁进行离线鉴定，对外联IP、可疑域名、可疑文件进行实时情报鉴定，实现风险一站式实时监测。</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内置在线沙箱，可对文件进行在线沙箱、多引擎、情报分析，可在线预览分析结果并支持报告下载分析。提供专门的挖矿风险评估工具和专门的挖矿实时防御工具，并提供功能开关。提供内核级的数据防护能力，保护文件不被勒索软件或其他病毒程序恶意修改、加密等，可自定义配置保护的文件及目录，支持设置例外进程。</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11、病毒处理支持阻止、删除、隔离及清除还原；策略支持自定义，病毒检测方式支持全面检测、按需检测。</w:t>
            </w:r>
            <w:r/>
          </w:p>
          <w:p>
            <w:pPr>
              <w:numPr>
                <w:ilvl w:val="0"/>
                <w:numId w:val="0"/>
              </w:numPr>
              <w:ind w:left="0" w:firstLine="0"/>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管理平台支持一键卸载客户端、一键解除绑定终端、一键停止/启动防护、一键关闭/重启主机、一键重启客户端、一键迁移资产。客户端程序支持在线热升级，可自定义客户端升级时间与升级速度，并支持错峰升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15"/>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8.2</w:t>
            </w:r>
            <w:r>
              <w:rPr>
                <w:rFonts w:hint="eastAsia" w:ascii="宋体" w:hAnsi="宋体" w:eastAsia="宋体" w:cs="宋体"/>
                <w:color w:val="auto"/>
                <w:sz w:val="21"/>
                <w:szCs w:val="21"/>
                <w:highlight w:val="none"/>
                <w:lang w:val="en-US" w:eastAsia="zh-CN" w:bidi="ar"/>
              </w:rPr>
              <w:t xml:space="preserve">电子审批网</w:t>
            </w:r>
            <w:r/>
          </w:p>
        </w:tc>
      </w:tr>
      <w:tr>
        <w:trPr>
          <w:jc w:val="center"/>
          <w:trHeight w:val="44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109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1.名称：电子审批网核心交换机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2.规格：1.交换容量≥7.58Tbps，转发性能≥252Mpps；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2.支持不少于24个10/100/1000Base-T电口，光电复用口≥8个，4个10G BASE-X SFP+万兆光口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3、配置描述：每台配置1根SFP+堆叠线缆。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95"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05"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路由器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1.名称：电子审批网路由器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2.规格：1.固定接口数目≥7个WAN口（其中包含2个光口）， 8个LAN口（全部支持切换成WAN口），1个USB接口，支持3G扩展，支持2个SIC插槽；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2.转发性能≥3Mpps；整机交换容量52Gbps；</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1.名称：电子审批网接入交换机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2.规格：性能：整机交换容量 ≥6.7Tbps；转发性能 ≥126Mpps ；端口：≥24个千兆电口，≥4个千兆光口</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防火墙</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1.名称：电子审批网防火墙（含IPS、AV）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2.规格：1、标准 2U 硬件平台，冗余电源，国产化 CPU 及国产化操作系统，</w:t>
            </w:r>
            <w:r>
              <w:rPr>
                <w:rFonts w:hint="eastAsia" w:ascii="宋体" w:hAnsi="宋体" w:eastAsia="宋体" w:cs="宋体"/>
                <w:i w:val="0"/>
                <w:iCs w:val="0"/>
                <w:color w:val="auto"/>
                <w:sz w:val="21"/>
                <w:szCs w:val="21"/>
                <w:highlight w:val="none"/>
                <w:u w:val="none"/>
                <w:lang w:val="en-US" w:eastAsia="zh-CN" w:bidi="ar"/>
              </w:rPr>
              <w:t xml:space="preserve">内存≥16GB，硬盘≥2TB</w:t>
            </w:r>
            <w:r>
              <w:rPr>
                <w:rFonts w:hint="eastAsia" w:ascii="宋体" w:hAnsi="宋体" w:eastAsia="宋体" w:cs="宋体"/>
                <w:i w:val="0"/>
                <w:iCs w:val="0"/>
                <w:color w:val="auto"/>
                <w:sz w:val="21"/>
                <w:szCs w:val="21"/>
                <w:highlight w:val="none"/>
                <w:u w:val="none"/>
                <w:lang w:val="en-US" w:eastAsia="zh-CN" w:bidi="ar"/>
              </w:rPr>
              <w:t xml:space="preserve">。标配≥8 个千兆电口(含 4 组电口 Bypass），≥8 个千兆光口，支持≥2 个扩展槽；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2、设备最大吞吐量≥10Gbps，最大并发连接数≥400 万，每秒新建连接数≥20 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 IPv6/IPv4 双栈；支持 IPv6 安全策略，包括访问控制策略、NAT 策略、流量控制策略、黑名单、白名单、认证策略等；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4、▲系统预定义≥11000 条主流攻击规则，包含对应 IPS 规则的级别、防护对象、操作系统、CVE编号等详细信息，提供满足该功能的第三方软件测试报告；</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 SSL 加密流量解密功能，支持 HTTPS、SMTPS、POPS、IMAPS 协议加密的流量解密，支持HTTPS 流量按域名分类做流量解密。并支持上层内容安全功能查杀和访问控制，如入侵防御，内容过滤等；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6、具有自定义漏洞扫描模版和默认漏洞扫描模版扫描漏洞的功能；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7、支持独立的 Web 防护模块，系统定义≥4500条 WAF 规则防护功能，支持常规 HTTP 漏洞、SQL注入、组件、CMS、WebShell 和 XSS 等类型的 Web防护；支持 HTTP 协议的 URL、Method、Referer、User-Agent、Cookie、URL-args 等字段的等于、不等于、包含、不包含、正则等多种匹配方式的访问控制；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8、支持自定义 IPS 特征，至少支持 TCP、UDP、ICMP、HTTP 等协议自定义入侵攻击特征；支持设置检测方向，包括双向、客户端方向和服务端方向；支持自定义选择级别；</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9、具有普通模式下的业务流量转发功能和智能模式下的流量转发功能；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10、支持邮件内容过滤；支持基于发件人、收件人、邮件标题或邮件正文的关键字进行行为过滤；</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11、提供对控制策略、上网认证策略、带宽策略、策略路由、源 NAT 等策略的策略分析，可分析并展示问题策略数量以及所占百分比、问题策略详情、策略宽松度分布情况，简化运维工作；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12、具有基于控制测量的策略分析功能、基于策略路由的策略分析功能、基于源 NAT 的策略分析功能；</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13、▲基于 C&amp;C 的威胁情报上报功能、基于勒索软件的威胁情报上报功能、基于僵尸网络的威胁情报上报功能、基于挖矿软件的威胁情报上报功能、基于矿池地址的威胁情报上报功能，提供满足该功能的第三方软件测试报告</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电子审批网终端安全管理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1.名称：电子审批网终端安全管理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2.类别：1、标准2U硬件平台，双电源，国产化CPU及国产化操作系统，内存≥16G，硬盘≥2T，千兆电口≥4个，千兆光口≥4个，千兆管理口≥1个，千兆HA口≥1个；包含1套终端安全及防病毒系统平台及50个PC防护授权；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可视化态势大屏展示，包括终端安全管控大屏和安全概况大屏，安全概况展示内容包括防护概况、检测概况、入侵检测概况、防护风险趋势、安全动态；终端管控包括终端状态、分组分类、版本状态、安装量、防护率、在线率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对CPU、内存、磁盘读写、网络上下行流量达到配置阈值时告警。支持对CPU、内存达到一定阈值时客户端自动进行熔断。支持自动收集终端资产：监听端口、运行程序、账号、软件、启动项、Web框架、Web服务、数据库、Web应用等信息，并支持数据的导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4、▲病毒检测类型支持文件感染型病毒、宏病毒、蠕虫、木马程序、间谍软件、脚本恶意程序、后门程序、僵尸程序、勒索软件、RootKit恶意程序、BootKit恶意程序等，提供满足该功能的第三方软件测试报告。</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中心可对全网终端下发资产信息登记任务，能自定义登记信息内容及格式，包括输出框格式、下拉框格式、是否必填项等，并支持启停资产登记能力，针对未完整登记信息的终端支持设置开机提醒、定期提醒、常驻提醒。</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6、支持监控系统开机、登录、关机事件，可以设置监控非工作时段的开机事件，形成审计日志；且能够查询主机在线时长监控，显示终端在线累积时长、离线累积时长、最近下线时间、总时长等信息。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7、支持基于IP及域名设置探测地址，实时感知违规外联行为，针对违规外联行为支持多种处置方式，包括不做处理、弹窗提醒用户并关机、弹窗提醒用户并断网。</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8、支持压缩文件、加壳文件、格式混淆、捆绑文件等逃避检测防护；支持静态文件二进制特征、动态行为特征等未知病毒检测。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登录防护，包括以系统账号为粒度的异常登录防护、支持4个任意维度（任意IP，任意域名，任意计算机名，任意时间）的系统登录访问策略设置。联动威胁情报，支持对APT、木马、病毒、蠕虫、后门、勒索、挖矿、僵尸网络、漏洞利用等10余种不同类型的威胁进行离线鉴定，对外联IP、可疑域名、可疑文件进行实时情报鉴定，实现风险一站式实时监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内置在线沙箱，可对文件进行在线沙箱、多引擎、情报分析，可在线预览分析结果并支持报告下载分析。提供专门的挖矿风险评估工具和专门的挖矿实时防御工具，并提供功能开关。提供内核级的数据防护能力，保护文件不被勒索软件或其他病毒程序恶意修改、加密等，可自定义配置保护的文件及目录，支持设置例外进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11、病毒处理支持阻止、删除、隔离及清除还原；策略支持自定义，病毒检测方式支持全面检测、按需检测。</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管理平台支持一键卸载客户端、一键解除绑定终端、一键停止/启动防护、一键关闭/重启主机、一键重启客户端、一键迁移资产。客户端程序支持在线热升级，可自定义客户端升级时间与升级速度，并支持错峰升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7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电子审批网络安全审计系统</w:t>
            </w: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1.名称：电子审批网络安全审计系统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2.类别：1、标准 1U 硬件平台，采用国产化 CPU 和国产操作系统，千兆电口≥6 个，内存≥8GB，磁盘≥2T；授权资产≥20，日志处理能力≥800EPS，功能无限制；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2、采用解决方案包上传对产品进行功能扩展，无需要代码开发；支持 kafka日志转发、大数据同步、APT 沙箱报告转发等联调功能；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3、▲通过在目标主机上安装 Agent 程序，支持监测目标主机的 CPU 利用率、内存使用率、硬盘使用率、硬盘使用情况、流量等信息，提供满足该功能的第三方软件测试报告；</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4、支持手动或按周期自动备份系统配置，可随时对系统资产等配置进行恢复操作，且自动备份周期与备份包个数可配；支持系统配置备份自动备份至远程仓库；</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5、三维关联分析；支持通过资产、安全知识库、弱点库三个维度分析事件是否存在威胁，并形成关联事件；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 Syslog、SNMP Trap、HTTP、WMI、FTP、SFTP 协议日志收集；支持使用代理（Agent）方式提取日志并收集；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7、支持常见的虚拟机环境日志收集，包括 Xen、VMWare，hyper-v 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8、支持分布式部署，支持页面一键添加子节点，自动进行绑定添加，采集器可以选择同步日志范围，按需转发数据；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备安全评估模型，评估模型基于设备故障、认证登录、攻击威胁、可用性、系统脆弱性等纬度加权平均计算总体安全指数。安全评估模型可以显示总体评分、历史评分趋势。安全评估模型各项指标可钻取具体的评分扣分事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可对日志进行细粒度解析，解析后的日志根据具体日志包含但不限于：日期、发生时间、接收时间、设备类型、日志类型、日志来源、威胁值、源地址、目的地址、事件类型、时间范围、操作主体、操作对象、行为方式、技术动作、技术效果、攻击类型、特征类型、协议、地理信息（公网情况）；</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11、支持磁盘空间阈值告警，当磁盘使用率达到设定的阈值时可产生并外发告警；资产性能监控异常告警，对于监控的资产系统资源进行监测当指定指标使用率达到设定的阈值时可产生并外发告警。</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93"/>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                              8.3</w:t>
            </w:r>
            <w:r>
              <w:rPr>
                <w:rFonts w:hint="eastAsia" w:ascii="宋体" w:hAnsi="宋体" w:eastAsia="宋体" w:cs="宋体"/>
                <w:color w:val="auto"/>
                <w:sz w:val="21"/>
                <w:szCs w:val="21"/>
                <w:highlight w:val="none"/>
                <w:lang w:val="en-US" w:eastAsia="zh-CN" w:bidi="ar"/>
              </w:rPr>
              <w:t xml:space="preserve">设备网</w:t>
            </w:r>
            <w:r/>
          </w:p>
        </w:tc>
      </w:tr>
      <w:tr>
        <w:trPr>
          <w:jc w:val="center"/>
          <w:trHeight w:val="568"/>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1.名称：核心交换机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2.规格：1.交换容量≥7.58Tbps，转发性能≥252Mpps；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2.支持不少于24个10/100/1000Base-T电口，光电复用口≥8个，4个10G BASE-X SFP+万兆光口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3、含4千兆多模模块。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1.名称：POE接入交换机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2.规格：1、固化千兆电接口≥24个，独立千兆SFP光接口≥4个；支持POE供电，整机供电功率≥370W。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2、交换容量≥336Gbps，包转发率≥144Mpps。</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1.名称：接入交换机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 性能：整机交换容量 ≥6.7Tbps；转发性能 ≥126Mpps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端口：≥24个千兆电口，≥4个千兆光口</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93"/>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九、安防门禁</w:t>
            </w:r>
            <w:r/>
          </w:p>
        </w:tc>
      </w:tr>
      <w:tr>
        <w:trPr>
          <w:jc w:val="center"/>
          <w:trHeight w:val="70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118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1.名称：监控录像机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2.规格：1、可接驳支持 ONVIF、PSIA、RTSP 协议的第三方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摄像机和主流品牌摄像机。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2、视频数据的存储。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3、8 块 16T 存储盘。</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119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监控摄像设备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1.名称：半球摄像机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2.规格：1、400 万半球型网络摄像机。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2、传感器类型：1/2.7" Progressive Scan CMOS。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3、最低照度：彩色：0.01 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4、宽动态：数字宽动态。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5、最高分辨率可达 2560 × 1440 @25 fps，在该分辨率下可输出实时图像。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 Smart 侦测：场景变更侦测，虚焦侦测，区域入侵侦测，越界侦测，进入区域侦测，离开区域侦测，物品遗留侦测，物品拿取侦测，徘徊侦测等识别检测事件。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7、支持背光补偿，强光抑制，3D 数字降噪，120 dB宽动态。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8、采用高效阵列红外灯，使用寿命长，红外照射距离最远可达 30 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9、支持最大 512 GBMicroSD/MicroSDHC/MicroSDXC 卡本地存储。支持 1 路报警输入，1 路报警输出（输出最大支持DC12 V，30 mA），1 路音频输入，1 路音频输出。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10、符合 IP66 防尘防水及 IK10 防暴设计，可靠性高。</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11、POE 供电。</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输出设备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1.名称：人脸门禁一体机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2.规格：1、采用4.3英寸LCD液晶触摸屏，支持本地视频预览，支持实时检测人脸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2、存储容量：本地支持1500 人脸库、3000 张卡、3000 枚指纹（-F 型号）、15 万条事件记录；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3、读卡器模式：支持通过经销私有RS485 或韦根（W26/W34/W27/W35）接入门禁控制器，作为读卡器模式 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4、支持人脸、刷卡（Mifare 卡/IC 卡、手机NFC 卡、CPU 卡序列号、身份证卡序列号）、密码、二维码、人脸+密码、人脸+刷卡、刷卡+密码、人脸或刷卡的认证方式</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电源</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1.名称：门禁电源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2.规格：12V</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8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入侵探测器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1.名称：磁力锁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2.规格：1、锁体主体颜色为：氧化银。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2、最大静态直线拉力：280kg±10%。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3、断电开锁，满足消防要求。</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15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出入口目标识别设备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1.名称：出门按钮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2.规格：1、结构：塑料面板。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2、性能：最大耐电流 1.25A，电压 250V。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3、输出：常开。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4、尺寸：86*86mm，安装后露出 13mm。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出入口目标识别设备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1.名称：IC卡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2.规格：1、卡片类型：IC 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2、符合标准：ISO14443 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3、卡片容量：1K byte。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4、工作频率：13.56MHz。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5、卡片尺寸：85.5mm*54mm*0.9mm。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6、主体材质：PVC。</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3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125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停车场管理设备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1.名称：卡发行器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2.规格：1、支持发卡类型：ID 卡、IC 卡、身份证物料卡号（序列号）、普通 CPU 卡、国密 CPU 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2、USB2.0 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 2 个 Sim 卡尺寸的 PSAM 卡座。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4、工作电压：DC 5V。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5、工作电流：0.2A。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6、尺寸：117*67.5*14.3mm。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93"/>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lang w:val="en-US" w:eastAsia="zh-CN" w:bidi="ar"/>
              </w:rPr>
              <w:t xml:space="preserve">十、</w:t>
            </w:r>
            <w:r>
              <w:rPr>
                <w:rFonts w:hint="eastAsia" w:ascii="宋体" w:hAnsi="宋体" w:eastAsia="宋体" w:cs="宋体"/>
                <w:b/>
                <w:bCs/>
                <w:color w:val="auto"/>
                <w:sz w:val="21"/>
                <w:szCs w:val="21"/>
                <w:highlight w:val="none"/>
                <w:lang w:val="en-US" w:eastAsia="zh-CN" w:bidi="ar"/>
              </w:rPr>
              <w:t xml:space="preserve">综合布线系统</w:t>
            </w:r>
            <w:r/>
          </w:p>
        </w:tc>
      </w:tr>
      <w:tr>
        <w:trPr>
          <w:jc w:val="center"/>
          <w:trHeight w:val="59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cs="宋体"/>
                <w:b/>
                <w:bCs/>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rPr>
              <w:t xml:space="preserve">126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1.名称：24口配线架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2.规格：24 口模块化非屏蔽配线架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r>
        <w:trPr>
          <w:jc w:val="center"/>
          <w:trHeight w:val="644"/>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1.名称：110配线架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2.规格：1、100 对 110 型语音跳线架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2、适用所有 19 英寸标准机柜</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输入设备</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1.名称：六类非屏蔽模块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2.规格：1、阻燃、抗冲击、耐腐蚀材料注塑而成；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2、每个模块上有 T568A、T568B 两种标准打线标识；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3、独特的排列电缆的方法保证了在接触良好；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4、卡锁式的端接帽保证了线缆被完全端接；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5、高弹性保证打线卡接＞250 次，重复插拔次数＞750 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6、产品电气性能优越，支持千兆网络应用；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7、防尘盖设计，有效防止灰尘进入（打线式）。</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516"/>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跳线、跳纤</w:t>
            </w:r>
            <w:r/>
          </w:p>
        </w:tc>
        <w:tc>
          <w:tcPr>
            <w:shd w:val="clear" w:color="auto" w:fill="ffffff"/>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1.名称：3米跳线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2.规格：3 米六类，UTP，4 对标准 RJ45 至 RJ45 跳线，PVC 护套，符合 UL 防火标准</w:t>
            </w:r>
            <w:r/>
          </w:p>
        </w:tc>
        <w:tc>
          <w:tcPr>
            <w:shd w:val="clear" w:color="auto" w:fill="ffffff"/>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ffffff"/>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ffffff"/>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ffffff"/>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ffffff"/>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2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跳线、跳纤</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1.名称：2米跳线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2.规格：2米六类，UTP，4 对标准 RJ45 至 RJ45 跳线，PVC 护套，符合 UL 防火标准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29"/>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bidi="ar"/>
              </w:rPr>
              <w:t xml:space="preserve">131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线管理器</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1.名称：理线器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2.规格：1U 封闭式网络理线架</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132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1.名称：六类非屏蔽线缆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2.规格：单根导体直流电阻：≤9.5Ω/100m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标称线对数：4，导体标称直径：0.53mm，导体名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称：软圆铜线，绝缘：HDPE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屏蔽方式：U/UTP，线对采用“十”字骨架隔离</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7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133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信息、网络插座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1.名称：四口面板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2.规格：1.、阻燃、抗冲击、耐腐蚀材料注塑而成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加厚材料注塑坚固耐用防撞击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3、面板设计线条流畅不见螺钉孔,美观大方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4、双层扣位式面板设计可防止施工时污染面板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5、所有面板均带防护门，适应恶劣施工环境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6、固定架和后座磨砂处理，保护不被尖锐物划伤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7、单面拆卸口，拆卸时不损伤墙面</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830"/>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信息、网络插座</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1.名称：双口面板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2.规格：1、阻燃、抗冲击、耐腐蚀材料注塑而成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加厚材料注塑坚固耐用防撞击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3、面板设计线条流畅不见螺钉孔,美观大方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4、双层扣位式面板设计可防止施工时污染面板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5、所有面板均带防护门，适应恶劣施工环境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6、固定架和后座磨砂处理，保护不被尖锐物划伤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7、单面拆卸口，拆卸时不损伤墙面</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9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1.名称：JDG管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2.规格：JDG20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3.配置形式：暗配</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82"/>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1.名称：JDG管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2.规格：JDG25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3.配置形式：暗配</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5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1.名称：门禁信号线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2.型号：RVV2*1.0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1"/>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1.名称：电源线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2.型号：RVV3*1.5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14"/>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139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双绞线缆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1.名称：音响线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2.类别：200 芯无氧铜音响线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67"/>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140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1.名称：话筒线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2.型号：RVVP2*1.0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05"/>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141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双绞线缆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1.名称：高清线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2.类别：光纤版高清线 30 米</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43"/>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142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双绞线缆</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1.名称：高清线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2.类别：光纤版高清线 15米</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05"/>
        </w:trPr>
        <w:tc>
          <w:tcPr>
            <w:gridSpan w:val="10"/>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5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lang w:val="en-US" w:eastAsia="zh-CN" w:bidi="ar"/>
              </w:rPr>
              <w:t xml:space="preserve">十一、</w:t>
            </w:r>
            <w:r>
              <w:rPr>
                <w:rFonts w:hint="eastAsia" w:ascii="宋体" w:hAnsi="宋体" w:eastAsia="宋体" w:cs="宋体"/>
                <w:b/>
                <w:bCs/>
                <w:color w:val="auto"/>
                <w:sz w:val="21"/>
                <w:szCs w:val="21"/>
                <w:highlight w:val="none"/>
                <w:lang w:val="en-US" w:eastAsia="zh-CN" w:bidi="ar"/>
              </w:rPr>
              <w:t xml:space="preserve">集成服务</w:t>
            </w:r>
            <w:r/>
          </w:p>
        </w:tc>
      </w:tr>
      <w:tr>
        <w:trPr>
          <w:jc w:val="center"/>
          <w:trHeight w:val="554"/>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96" w:type="dxa"/>
            <w:vAlign w:val="center"/>
            <w:textDirection w:val="lrTb"/>
            <w:noWrap w:val="false"/>
          </w:tcPr>
          <w:p>
            <w:pPr>
              <w:jc w:val="center"/>
              <w:keepLines w:val="0"/>
              <w:keepNext w:val="0"/>
              <w:widowControl/>
              <w:rPr>
                <w:rFonts w:hint="eastAsia" w:ascii="宋体" w:hAnsi="宋体" w:cs="宋体"/>
                <w:b/>
                <w:bCs/>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rPr>
              <w:t xml:space="preserve">143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65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color w:val="auto"/>
                <w:sz w:val="21"/>
                <w:szCs w:val="21"/>
                <w:highlight w:val="none"/>
                <w:lang w:val="en-US" w:eastAsia="zh-CN" w:bidi="ar"/>
              </w:rPr>
              <w:t xml:space="preserve">技术服务</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736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1.名称：技术服务</w:t>
            </w:r>
            <w:r/>
          </w:p>
          <w:p>
            <w:pPr>
              <w:jc w:val="left"/>
              <w:keepLines w:val="0"/>
              <w:keepNext w:val="0"/>
              <w:widowControl/>
              <w:rPr>
                <w:color w:val="auto"/>
                <w:highlight w:val="none"/>
              </w:rPr>
              <w:suppressLineNumbers w:val="0"/>
            </w:pPr>
            <w:r>
              <w:rPr>
                <w:rFonts w:hint="eastAsia" w:ascii="宋体" w:hAnsi="宋体" w:eastAsia="宋体" w:cs="宋体"/>
                <w:color w:val="auto"/>
                <w:sz w:val="21"/>
                <w:szCs w:val="21"/>
                <w:highlight w:val="none"/>
                <w:lang w:val="en-US" w:eastAsia="zh-CN" w:bidi="ar"/>
              </w:rPr>
              <w:t xml:space="preserve">2.规格：包含全部软硬件设备安装、布线、上架、系统调试、国知局网络对接联调、用户培训、竣工资料编制、现场测试、验收配合；含项目管理人员、音视频、网络安全工程师。</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1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cs="宋体"/>
                <w:color w:val="auto"/>
                <w:sz w:val="21"/>
                <w:szCs w:val="21"/>
                <w:highlight w:val="none"/>
                <w:lang w:val="en-US" w:eastAsia="zh-CN" w:bidi="ar"/>
              </w:rPr>
              <w:t xml:space="preserve">项</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37"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cs="宋体"/>
                <w:color w:val="auto"/>
                <w:sz w:val="21"/>
                <w:szCs w:val="21"/>
                <w:highlight w:val="none"/>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91"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282"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c>
          <w:tcPr>
            <w:gridSpan w:val="2"/>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718" w:type="dxa"/>
            <w:vAlign w:val="center"/>
            <w:textDirection w:val="lrTb"/>
            <w:noWrap w:val="false"/>
          </w:tcPr>
          <w:p>
            <w:pPr>
              <w:jc w:val="center"/>
              <w:keepLines w:val="0"/>
              <w:keepNext w:val="0"/>
              <w:widowControl/>
              <w:rPr>
                <w:color w:val="auto"/>
                <w:highlight w:val="none"/>
              </w:rPr>
              <w:suppressLineNumbers w:val="0"/>
            </w:pPr>
            <w:r>
              <w:rPr>
                <w:color w:val="auto"/>
                <w:highlight w:val="none"/>
              </w:rPr>
            </w:r>
            <w:r/>
          </w:p>
        </w:tc>
      </w:tr>
      <w:tr>
        <w:trPr>
          <w:jc w:val="center"/>
          <w:trHeight w:val="967"/>
        </w:trPr>
        <w:tc>
          <w:tcPr>
            <w:gridSpan w:val="3"/>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9723"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合计</w:t>
            </w:r>
            <w:r/>
          </w:p>
        </w:tc>
        <w:tc>
          <w:tcPr>
            <w:gridSpan w:val="7"/>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6041" w:type="dxa"/>
            <w:vAlign w:val="center"/>
            <w:textDirection w:val="lrTb"/>
            <w:noWrap w:val="false"/>
          </w:tcPr>
          <w:p>
            <w:pPr>
              <w:jc w:val="both"/>
              <w:keepLines w:val="0"/>
              <w:keepNext w:val="0"/>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小写：</w:t>
            </w:r>
            <w:r/>
          </w:p>
          <w:p>
            <w:pPr>
              <w:pStyle w:val="717"/>
              <w:rPr>
                <w:rFonts w:hint="default"/>
                <w:color w:val="auto"/>
                <w:highlight w:val="none"/>
                <w:lang w:val="en-US" w:eastAsia="zh-CN"/>
              </w:rPr>
            </w:pPr>
            <w:r>
              <w:rPr>
                <w:rFonts w:hint="eastAsia" w:ascii="宋体" w:hAnsi="宋体" w:cs="宋体"/>
                <w:color w:val="auto"/>
                <w:sz w:val="21"/>
                <w:szCs w:val="21"/>
                <w:highlight w:val="none"/>
                <w:lang w:val="en-US" w:eastAsia="zh-CN" w:bidi="ar"/>
              </w:rPr>
              <w:t xml:space="preserve">大写：</w:t>
            </w:r>
            <w:r/>
          </w:p>
        </w:tc>
      </w:tr>
    </w:tbl>
    <w:p>
      <w:pPr>
        <w:pStyle w:val="909"/>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r>
      <w:r/>
    </w:p>
    <w:p>
      <w:pPr>
        <w:ind w:left="48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注：</w:t>
      </w:r>
      <w:r/>
    </w:p>
    <w:p>
      <w:pPr>
        <w:ind w:left="-2"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1、投标人需按本表格式填写</w:t>
      </w:r>
      <w:r>
        <w:rPr>
          <w:rFonts w:hint="eastAsia" w:ascii="宋体" w:hAnsi="宋体" w:cs="宋体"/>
          <w:b/>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2、有关本项目实施所涉及的一切费用均计入报价。</w:t>
      </w:r>
      <w:r>
        <w:rPr>
          <w:rFonts w:hint="eastAsia" w:ascii="宋体" w:hAnsi="宋体" w:eastAsia="宋体" w:cs="宋体"/>
          <w:b/>
          <w:color w:val="auto"/>
          <w:sz w:val="21"/>
          <w:szCs w:val="21"/>
          <w:highlight w:val="none"/>
          <w:lang w:val="zh-CN"/>
        </w:rPr>
        <w:t xml:space="preserve">采购人将以合同形式有偿取得货物或服务，不接受投标人给予的赠品、回扣或者与采购无关的其他商品、服务</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lang w:val="zh-CN"/>
        </w:rPr>
        <w:t xml:space="preserve">不得出现“0元”“免费赠送”等形式的无偿报价，</w:t>
      </w:r>
      <w:r>
        <w:rPr>
          <w:rFonts w:hint="eastAsia" w:ascii="宋体" w:hAnsi="宋体" w:eastAsia="宋体" w:cs="宋体"/>
          <w:b/>
          <w:color w:val="auto"/>
          <w:sz w:val="21"/>
          <w:szCs w:val="21"/>
          <w:highlight w:val="none"/>
        </w:rPr>
        <w:t xml:space="preserve">否则视为</w:t>
      </w:r>
      <w:r>
        <w:rPr>
          <w:rFonts w:hint="eastAsia" w:ascii="宋体" w:hAnsi="宋体" w:cs="宋体"/>
          <w:b/>
          <w:color w:val="auto"/>
          <w:sz w:val="21"/>
          <w:szCs w:val="21"/>
          <w:highlight w:val="none"/>
          <w:lang w:eastAsia="zh-CN"/>
        </w:rPr>
        <w:t xml:space="preserve">响应文件</w:t>
      </w:r>
      <w:r>
        <w:rPr>
          <w:rFonts w:hint="eastAsia" w:ascii="宋体" w:hAnsi="宋体" w:eastAsia="宋体" w:cs="宋体"/>
          <w:b/>
          <w:color w:val="auto"/>
          <w:sz w:val="21"/>
          <w:szCs w:val="21"/>
          <w:highlight w:val="none"/>
        </w:rPr>
        <w:t xml:space="preserve">含有采购人不能接受的附加条件，投标无效</w:t>
      </w:r>
      <w:r>
        <w:rPr>
          <w:rFonts w:hint="eastAsia" w:ascii="宋体" w:hAnsi="宋体" w:eastAsia="宋体" w:cs="宋体"/>
          <w:b/>
          <w:color w:val="auto"/>
          <w:sz w:val="21"/>
          <w:szCs w:val="21"/>
          <w:highlight w:val="none"/>
          <w:lang w:val="zh-CN"/>
        </w:rPr>
        <w:t xml:space="preserve">；采购内容未包含在《开标一览表（报价表）》名称栏中，投标人不能作出合理解释的，</w:t>
      </w:r>
      <w:r>
        <w:rPr>
          <w:rFonts w:hint="eastAsia" w:ascii="宋体" w:hAnsi="宋体" w:eastAsia="宋体" w:cs="宋体"/>
          <w:b/>
          <w:color w:val="auto"/>
          <w:sz w:val="21"/>
          <w:szCs w:val="21"/>
          <w:highlight w:val="none"/>
        </w:rPr>
        <w:t xml:space="preserve">视为</w:t>
      </w:r>
      <w:r>
        <w:rPr>
          <w:rFonts w:hint="eastAsia" w:ascii="宋体" w:hAnsi="宋体" w:cs="宋体"/>
          <w:b/>
          <w:color w:val="auto"/>
          <w:sz w:val="21"/>
          <w:szCs w:val="21"/>
          <w:highlight w:val="none"/>
          <w:lang w:eastAsia="zh-CN"/>
        </w:rPr>
        <w:t xml:space="preserve">响应文件</w:t>
      </w:r>
      <w:r>
        <w:rPr>
          <w:rFonts w:hint="eastAsia" w:ascii="宋体" w:hAnsi="宋体" w:eastAsia="宋体" w:cs="宋体"/>
          <w:b/>
          <w:color w:val="auto"/>
          <w:sz w:val="21"/>
          <w:szCs w:val="21"/>
          <w:highlight w:val="none"/>
        </w:rPr>
        <w:t xml:space="preserve">含有采购人不能接受的附加条件的，投标无效。</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、符合</w:t>
      </w:r>
      <w:r>
        <w:rPr>
          <w:rFonts w:hint="eastAsia" w:ascii="宋体" w:hAnsi="宋体" w:cs="宋体"/>
          <w:color w:val="auto"/>
          <w:sz w:val="21"/>
          <w:szCs w:val="21"/>
          <w:highlight w:val="none"/>
          <w:lang w:val="zh-CN"/>
        </w:rPr>
        <w:t xml:space="preserve">磋商文件</w:t>
      </w:r>
      <w:r>
        <w:rPr>
          <w:rFonts w:hint="eastAsia" w:ascii="宋体" w:hAnsi="宋体" w:eastAsia="宋体" w:cs="宋体"/>
          <w:color w:val="auto"/>
          <w:sz w:val="21"/>
          <w:szCs w:val="21"/>
          <w:highlight w:val="none"/>
          <w:lang w:val="zh-CN"/>
        </w:rPr>
        <w:t xml:space="preserve">中列明的可享受中小企业扶持政策的投标人，请填写中小企业声明函。注：投标人提供的中小企业声明函内容不实的，属于提供虚假材料谋取中标、成交，依照《中华人民共和国政府采购法》等国家有关规定追究相应责任。</w:t>
      </w:r>
      <w:r/>
    </w:p>
    <w:p>
      <w:pPr>
        <w:pStyle w:val="909"/>
        <w:ind w:left="0" w:firstLine="0"/>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日  期：</w:t>
      </w:r>
      <w:r/>
    </w:p>
    <w:p>
      <w:pPr>
        <w:pStyle w:val="909"/>
        <w:ind w:left="0" w:firstLine="0"/>
        <w:rPr>
          <w:rFonts w:hint="eastAsia" w:ascii="宋体" w:hAnsi="宋体" w:eastAsia="宋体" w:cs="宋体"/>
          <w:bCs w:val="0"/>
          <w:color w:val="auto"/>
          <w:sz w:val="21"/>
          <w:szCs w:val="21"/>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eastAsia="宋体" w:cs="宋体"/>
          <w:bCs w:val="0"/>
          <w:color w:val="auto"/>
          <w:sz w:val="21"/>
          <w:szCs w:val="21"/>
          <w:highlight w:val="none"/>
        </w:rPr>
      </w:r>
      <w:r/>
    </w:p>
    <w:p>
      <w:pPr>
        <w:pStyle w:val="909"/>
        <w:rPr>
          <w:rFonts w:ascii="宋体" w:hAnsi="宋体"/>
          <w:bCs w:val="0"/>
          <w:color w:val="auto"/>
          <w:highlight w:val="none"/>
        </w:rPr>
      </w:pPr>
      <w:r>
        <w:rPr>
          <w:rFonts w:ascii="宋体" w:hAnsi="宋体"/>
          <w:bCs w:val="0"/>
          <w:color w:val="auto"/>
          <w:highlight w:val="none"/>
        </w:rPr>
      </w:r>
      <w:r/>
    </w:p>
    <w:p>
      <w:pPr>
        <w:pStyle w:val="909"/>
        <w:rPr>
          <w:rFonts w:ascii="宋体" w:hAnsi="宋体"/>
          <w:bCs w:val="0"/>
          <w:color w:val="auto"/>
          <w:highlight w:val="none"/>
        </w:rPr>
      </w:pPr>
      <w:r>
        <w:rPr>
          <w:rFonts w:ascii="宋体" w:hAnsi="宋体"/>
          <w:bCs w:val="0"/>
          <w:color w:val="auto"/>
          <w:highlight w:val="none"/>
        </w:rPr>
      </w:r>
      <w:r/>
    </w:p>
    <w:p>
      <w:pPr>
        <w:pStyle w:val="908"/>
        <w:jc w:val="center"/>
        <w:spacing w:line="360" w:lineRule="auto"/>
        <w:rPr>
          <w:rFonts w:hint="eastAsia" w:ascii="宋体" w:hAnsi="宋体" w:cs="宋体"/>
          <w:bCs w:val="0"/>
          <w:color w:val="auto"/>
          <w:highlight w:val="none"/>
        </w:rPr>
      </w:pPr>
      <w:r/>
      <w:bookmarkStart w:id="32" w:name="_Toc109304978"/>
      <w:r>
        <w:rPr>
          <w:rFonts w:hint="eastAsia" w:ascii="宋体" w:hAnsi="宋体" w:cs="宋体"/>
          <w:bCs w:val="0"/>
          <w:color w:val="auto"/>
          <w:highlight w:val="none"/>
        </w:rPr>
        <w:t xml:space="preserve">五、技术参数响应及偏离表</w:t>
      </w:r>
      <w:bookmarkEnd w:id="32"/>
      <w:r/>
      <w:r/>
    </w:p>
    <w:tbl>
      <w:tblPr>
        <w:tblStyle w:val="72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5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36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29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14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64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25"/>
        <w:spacing w:line="400" w:lineRule="atLeast"/>
        <w:rPr>
          <w:rFonts w:hint="eastAsia" w:ascii="宋体" w:hAnsi="宋体" w:eastAsia="宋体" w:cs="宋体"/>
          <w:color w:val="auto"/>
          <w:sz w:val="21"/>
          <w:szCs w:val="21"/>
          <w:highlight w:val="none"/>
        </w:rPr>
      </w:pPr>
      <w:r/>
      <w:bookmarkStart w:id="33" w:name="_Hlt26955054"/>
      <w:r/>
      <w:bookmarkEnd w:id="33"/>
      <w:r/>
      <w:bookmarkStart w:id="34" w:name="_Toc109304979"/>
      <w:r>
        <w:rPr>
          <w:rFonts w:hint="eastAsia" w:ascii="宋体" w:hAnsi="宋体" w:eastAsia="宋体" w:cs="宋体"/>
          <w:color w:val="auto"/>
          <w:sz w:val="21"/>
          <w:szCs w:val="21"/>
          <w:highlight w:val="none"/>
        </w:rPr>
        <w:t xml:space="preserve">注：</w:t>
      </w:r>
      <w:r/>
    </w:p>
    <w:p>
      <w:pPr>
        <w:ind w:firstLine="420"/>
        <w:spacing w:line="400" w:lineRule="atLeast"/>
        <w:tabs>
          <w:tab w:val="left" w:pos="63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1、本表即为对本项目“第</w:t>
      </w:r>
      <w:r>
        <w:rPr>
          <w:rFonts w:hint="eastAsia" w:ascii="宋体" w:hAnsi="宋体" w:eastAsia="宋体" w:cs="宋体"/>
          <w:color w:val="auto"/>
          <w:sz w:val="21"/>
          <w:szCs w:val="21"/>
          <w:highlight w:val="none"/>
          <w:lang w:val="en-US" w:eastAsia="zh-CN"/>
        </w:rPr>
        <w:t xml:space="preserve">四章</w:t>
      </w:r>
      <w:r>
        <w:rPr>
          <w:rFonts w:hint="eastAsia" w:ascii="宋体" w:hAnsi="宋体" w:eastAsia="宋体" w:cs="宋体"/>
          <w:color w:val="auto"/>
          <w:sz w:val="21"/>
          <w:szCs w:val="21"/>
          <w:highlight w:val="none"/>
        </w:rPr>
        <w:t xml:space="preserve">项目需求”中所列</w:t>
      </w:r>
      <w:r>
        <w:rPr>
          <w:rFonts w:hint="eastAsia" w:ascii="宋体" w:hAnsi="宋体" w:eastAsia="宋体" w:cs="宋体"/>
          <w:color w:val="auto"/>
          <w:highlight w:val="none"/>
        </w:rPr>
        <w:t xml:space="preserve">项目建设需求清单</w:t>
      </w:r>
      <w:r>
        <w:rPr>
          <w:rFonts w:hint="eastAsia" w:ascii="宋体" w:hAnsi="宋体" w:eastAsia="宋体" w:cs="宋体"/>
          <w:color w:val="auto"/>
          <w:sz w:val="21"/>
          <w:szCs w:val="21"/>
          <w:highlight w:val="none"/>
        </w:rPr>
        <w:t xml:space="preserve">进行比较和响应；</w:t>
      </w:r>
      <w:r/>
    </w:p>
    <w:p>
      <w:pPr>
        <w:ind w:firstLine="420"/>
        <w:spacing w:line="400" w:lineRule="atLeast"/>
        <w:tabs>
          <w:tab w:val="left" w:pos="63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2、该表可扩展，并逐页签字或盖章；</w:t>
      </w:r>
      <w:r/>
    </w:p>
    <w:p>
      <w:pPr>
        <w:ind w:firstLine="420"/>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响应情况栏中应当注明技术参数或具体内容。</w:t>
      </w:r>
      <w:r/>
    </w:p>
    <w:p>
      <w:pPr>
        <w:pStyle w:val="908"/>
        <w:jc w:val="both"/>
        <w:spacing w:line="360" w:lineRule="auto"/>
        <w:rPr>
          <w:rFonts w:hint="eastAsia" w:ascii="宋体" w:hAnsi="宋体" w:cs="宋体"/>
          <w:bCs w:val="0"/>
          <w:color w:val="auto"/>
          <w:highlight w:val="none"/>
        </w:rPr>
      </w:pPr>
      <w:r>
        <w:rPr>
          <w:rFonts w:hint="eastAsia" w:ascii="宋体" w:hAnsi="宋体" w:cs="宋体"/>
          <w:bCs w:val="0"/>
          <w:color w:val="auto"/>
          <w:highlight w:val="none"/>
        </w:rPr>
        <w:br w:type="page" w:clear="all"/>
      </w:r>
      <w:r>
        <w:rPr>
          <w:rFonts w:hint="eastAsia" w:ascii="宋体" w:hAnsi="宋体" w:cs="宋体"/>
          <w:bCs w:val="0"/>
          <w:color w:val="auto"/>
          <w:highlight w:val="none"/>
        </w:rPr>
        <w:t xml:space="preserve">六、商务条款响应及偏离表</w:t>
      </w:r>
      <w:bookmarkEnd w:id="34"/>
      <w:r/>
      <w:r/>
    </w:p>
    <w:tbl>
      <w:tblPr>
        <w:tblStyle w:val="725"/>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spacing w:line="400" w:lineRule="exact"/>
        <w:tabs>
          <w:tab w:val="left" w:pos="6300" w:leader="none"/>
        </w:tabs>
        <w:rPr>
          <w:rFonts w:hint="eastAsia" w:ascii="宋体" w:hAnsi="宋体" w:eastAsia="宋体" w:cs="宋体"/>
          <w:color w:val="auto"/>
          <w:sz w:val="21"/>
          <w:szCs w:val="21"/>
          <w:highlight w:val="none"/>
        </w:rPr>
      </w:pPr>
      <w:r/>
      <w:bookmarkStart w:id="35" w:name="_Hlt26609391"/>
      <w:r/>
      <w:bookmarkEnd w:id="35"/>
      <w:r/>
      <w:bookmarkStart w:id="36" w:name="_Hlt26671343"/>
      <w:r/>
      <w:bookmarkEnd w:id="36"/>
      <w:r/>
      <w:bookmarkStart w:id="37" w:name="_Hlt26955064"/>
      <w:r/>
      <w:bookmarkEnd w:id="37"/>
      <w:r/>
      <w:bookmarkStart w:id="38" w:name="_Hlt26580838"/>
      <w:r/>
      <w:bookmarkEnd w:id="38"/>
      <w:r/>
      <w:bookmarkStart w:id="39" w:name="_Hlt24879081"/>
      <w:r/>
      <w:bookmarkEnd w:id="39"/>
      <w:r/>
      <w:bookmarkStart w:id="40" w:name="_Hlt26671372"/>
      <w:r/>
      <w:bookmarkEnd w:id="40"/>
      <w:r/>
      <w:bookmarkStart w:id="41" w:name="_Hlt26955056"/>
      <w:r/>
      <w:bookmarkEnd w:id="41"/>
      <w:r/>
      <w:bookmarkStart w:id="42" w:name="_Hlt26782999"/>
      <w:r/>
      <w:bookmarkEnd w:id="42"/>
      <w:r>
        <w:rPr>
          <w:rFonts w:hint="eastAsia" w:ascii="宋体" w:hAnsi="宋体" w:eastAsia="宋体" w:cs="宋体"/>
          <w:color w:val="auto"/>
          <w:sz w:val="21"/>
          <w:szCs w:val="21"/>
          <w:highlight w:val="none"/>
        </w:rPr>
        <w:t xml:space="preserve">注：</w:t>
      </w:r>
      <w:r/>
    </w:p>
    <w:p>
      <w:pPr>
        <w:ind w:firstLine="420"/>
        <w:spacing w:line="400" w:lineRule="exact"/>
        <w:tabs>
          <w:tab w:val="left" w:pos="63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1、本表即为对本项目“第</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篇 项目需求”中所列</w:t>
      </w:r>
      <w:r>
        <w:rPr>
          <w:rFonts w:hint="eastAsia" w:ascii="宋体" w:hAnsi="宋体" w:eastAsia="宋体" w:cs="宋体"/>
          <w:color w:val="auto"/>
          <w:sz w:val="21"/>
          <w:szCs w:val="21"/>
          <w:highlight w:val="none"/>
        </w:rPr>
        <w:t xml:space="preserve">商务要求</w:t>
      </w:r>
      <w:r>
        <w:rPr>
          <w:rFonts w:hint="eastAsia" w:ascii="宋体" w:hAnsi="宋体" w:eastAsia="宋体" w:cs="宋体"/>
          <w:color w:val="auto"/>
          <w:sz w:val="21"/>
          <w:szCs w:val="21"/>
          <w:highlight w:val="none"/>
        </w:rPr>
        <w:t xml:space="preserve">进行比较和响应；</w:t>
      </w:r>
      <w:r/>
    </w:p>
    <w:p>
      <w:pPr>
        <w:ind w:firstLine="420"/>
        <w:spacing w:line="400" w:lineRule="exact"/>
        <w:tabs>
          <w:tab w:val="left" w:pos="63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2、该表可扩展；</w:t>
      </w:r>
      <w:r/>
    </w:p>
    <w:p>
      <w:pPr>
        <w:ind w:firstLine="420"/>
        <w:spacing w:line="400" w:lineRule="exact"/>
        <w:tabs>
          <w:tab w:val="left" w:pos="63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3、响应情况栏中应当注明具体内容。</w:t>
      </w:r>
      <w:r/>
    </w:p>
    <w:p>
      <w:pPr>
        <w:jc w:val="center"/>
        <w:spacing w:line="360" w:lineRule="auto"/>
        <w:widowControl/>
        <w:rPr>
          <w:rFonts w:hint="eastAsia" w:ascii="宋体" w:hAnsi="宋体" w:cs="宋体"/>
          <w:b/>
          <w:color w:val="auto"/>
          <w:highlight w:val="none"/>
        </w:rPr>
      </w:pPr>
      <w:r>
        <w:rPr>
          <w:rFonts w:hint="eastAsia" w:ascii="宋体" w:hAnsi="宋体" w:eastAsia="宋体" w:cs="宋体"/>
          <w:b/>
          <w:color w:val="auto"/>
          <w:sz w:val="21"/>
          <w:szCs w:val="21"/>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725"/>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0"/>
      </w:tblGrid>
      <w:tr>
        <w:trPr>
          <w:trHeight w:val="567"/>
        </w:trPr>
        <w:tc>
          <w:tcPr>
            <w:tcW w:w="5000"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服务</w:t>
            </w:r>
            <w:r>
              <w:rPr>
                <w:rFonts w:hint="eastAsia" w:ascii="宋体" w:hAnsi="宋体" w:cs="宋体"/>
                <w:color w:val="auto"/>
                <w:highlight w:val="none"/>
              </w:rPr>
              <w:t xml:space="preserve">类</w:t>
            </w:r>
            <w:r/>
          </w:p>
        </w:tc>
      </w:tr>
      <w:tr>
        <w:trPr>
          <w:trHeight w:val="567"/>
        </w:trPr>
        <w:tc>
          <w:tcPr>
            <w:tcW w:w="5000" w:type="dxa"/>
            <w:vAlign w:val="top"/>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合同履行期限：</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服务要求：</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项目负责人：</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bookmarkStart w:id="43" w:name="_GoBack"/>
            <w:r/>
            <w:bookmarkEnd w:id="43"/>
            <w:r/>
            <w:r/>
          </w:p>
        </w:tc>
      </w:tr>
    </w:tbl>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仿宋_GB2312">
    <w:panose1 w:val="02010609060101010101"/>
  </w:font>
  <w:font w:name="黑体">
    <w:panose1 w:val="02010609060101010101"/>
  </w:font>
  <w:font w:name="Cambria">
    <w:panose1 w:val="02040503050406030204"/>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rPr>
        <w:rFonts w:hint="eastAsia"/>
        <w:sz w:val="32"/>
        <w:szCs w:val="32"/>
      </w:rPr>
    </w:pPr>
    <w:r>
      <w:rPr>
        <w:rFonts w:hint="eastAsia"/>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9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rPr>
        <w:rFonts w:hint="eastAsia" w:eastAsia="宋体"/>
        <w:szCs w:val="22"/>
        <w:lang w:eastAsia="zh-CN"/>
      </w:rPr>
    </w:pPr>
    <w:r>
      <w:rPr>
        <w:rFonts w:hint="eastAsia" w:eastAsia="宋体"/>
        <w:szCs w:val="2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2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lvlOverride w:ilvl="0">
      <w:startOverride w:val="1"/>
    </w:lvlOverride>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97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5">
    <w:name w:val="Heading 1"/>
    <w:basedOn w:val="714"/>
    <w:next w:val="714"/>
    <w:link w:val="759"/>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60"/>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26"/>
    <w:link w:val="761"/>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62"/>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3"/>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4"/>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6"/>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7"/>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Normal Indent"/>
    <w:basedOn w:val="714"/>
    <w:next w:val="714"/>
    <w:uiPriority w:val="0"/>
    <w:qFormat/>
    <w:pPr>
      <w:ind w:firstLine="567"/>
      <w:spacing w:line="480" w:lineRule="exact"/>
      <w:widowControl/>
    </w:pPr>
    <w:rPr>
      <w:rFonts w:ascii="宋体"/>
      <w:color w:val="000000"/>
      <w:sz w:val="28"/>
      <w:szCs w:val="20"/>
    </w:rPr>
  </w:style>
  <w:style w:type="paragraph" w:styleId="727">
    <w:name w:val="toc 7"/>
    <w:basedOn w:val="714"/>
    <w:next w:val="714"/>
    <w:uiPriority w:val="39"/>
    <w:unhideWhenUsed/>
    <w:qFormat/>
    <w:pPr>
      <w:ind w:left="1701" w:right="0" w:firstLine="0"/>
      <w:spacing w:after="57"/>
    </w:pPr>
  </w:style>
  <w:style w:type="paragraph" w:styleId="728">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4"/>
    <w:uiPriority w:val="99"/>
    <w:semiHidden/>
    <w:unhideWhenUsed/>
    <w:qFormat/>
    <w:pPr>
      <w:jc w:val="left"/>
    </w:pPr>
  </w:style>
  <w:style w:type="paragraph" w:styleId="730">
    <w:name w:val="Body Text"/>
    <w:basedOn w:val="714"/>
    <w:next w:val="731"/>
    <w:uiPriority w:val="0"/>
    <w:qFormat/>
    <w:pPr>
      <w:spacing w:line="360" w:lineRule="auto"/>
    </w:pPr>
    <w:rPr>
      <w:rFonts w:ascii="宋体" w:hAnsi="Arial" w:cs="Arial"/>
      <w:sz w:val="24"/>
      <w:szCs w:val="21"/>
      <w:lang w:val="zh-CN"/>
    </w:rPr>
  </w:style>
  <w:style w:type="paragraph" w:styleId="731" w:customStyle="1">
    <w:name w:val="自动更正"/>
    <w:uiPriority w:val="0"/>
    <w:qFormat/>
    <w:pPr>
      <w:jc w:val="both"/>
      <w:widowControl w:val="off"/>
    </w:pPr>
    <w:rPr>
      <w:rFonts w:ascii="Times New Roman" w:hAnsi="Times New Roman" w:eastAsia="宋体" w:cs="Times New Roman"/>
      <w:sz w:val="21"/>
      <w:szCs w:val="24"/>
      <w:lang w:val="en-US" w:eastAsia="zh-CN" w:bidi="ar-SA"/>
    </w:rPr>
  </w:style>
  <w:style w:type="paragraph" w:styleId="732">
    <w:name w:val="Body Text Indent"/>
    <w:basedOn w:val="714"/>
    <w:next w:val="726"/>
    <w:uiPriority w:val="0"/>
    <w:qFormat/>
    <w:pPr>
      <w:ind w:firstLine="480"/>
      <w:spacing w:line="480" w:lineRule="exact"/>
    </w:pPr>
    <w:rPr>
      <w:rFonts w:ascii="宋体" w:hAnsi="宋体"/>
      <w:sz w:val="24"/>
    </w:rPr>
  </w:style>
  <w:style w:type="paragraph" w:styleId="733">
    <w:name w:val="List Bullet 2"/>
    <w:basedOn w:val="714"/>
    <w:uiPriority w:val="99"/>
    <w:semiHidden/>
    <w:unhideWhenUsed/>
    <w:qFormat/>
    <w:pPr>
      <w:numPr>
        <w:ilvl w:val="0"/>
        <w:numId w:val="1"/>
      </w:numPr>
    </w:pPr>
  </w:style>
  <w:style w:type="paragraph" w:styleId="734">
    <w:name w:val="index 4"/>
    <w:basedOn w:val="714"/>
    <w:next w:val="714"/>
    <w:uiPriority w:val="0"/>
    <w:qFormat/>
    <w:pPr>
      <w:ind w:left="600"/>
    </w:pPr>
    <w:rPr>
      <w:rFonts w:ascii="Calibri" w:hAnsi="Calibri"/>
      <w:szCs w:val="24"/>
    </w:rPr>
  </w:style>
  <w:style w:type="paragraph" w:styleId="735">
    <w:name w:val="toc 5"/>
    <w:basedOn w:val="714"/>
    <w:next w:val="714"/>
    <w:uiPriority w:val="39"/>
    <w:unhideWhenUsed/>
    <w:qFormat/>
    <w:pPr>
      <w:ind w:left="1134" w:right="0" w:firstLine="0"/>
      <w:spacing w:after="57"/>
    </w:pPr>
  </w:style>
  <w:style w:type="paragraph" w:styleId="736">
    <w:name w:val="toc 3"/>
    <w:basedOn w:val="714"/>
    <w:next w:val="714"/>
    <w:uiPriority w:val="39"/>
    <w:unhideWhenUsed/>
    <w:qFormat/>
    <w:pPr>
      <w:ind w:left="567" w:right="0" w:firstLine="0"/>
      <w:spacing w:after="57"/>
    </w:pPr>
  </w:style>
  <w:style w:type="paragraph" w:styleId="737">
    <w:name w:val="Plain Text"/>
    <w:basedOn w:val="714"/>
    <w:next w:val="714"/>
    <w:uiPriority w:val="0"/>
    <w:qFormat/>
    <w:rPr>
      <w:rFonts w:ascii="宋体" w:hAnsi="Courier New"/>
    </w:rPr>
  </w:style>
  <w:style w:type="paragraph" w:styleId="738">
    <w:name w:val="toc 8"/>
    <w:basedOn w:val="714"/>
    <w:next w:val="714"/>
    <w:uiPriority w:val="39"/>
    <w:unhideWhenUsed/>
    <w:qFormat/>
    <w:pPr>
      <w:ind w:left="1984" w:right="0" w:firstLine="0"/>
      <w:spacing w:after="57"/>
    </w:pPr>
  </w:style>
  <w:style w:type="paragraph" w:styleId="739">
    <w:name w:val="endnote text"/>
    <w:basedOn w:val="714"/>
    <w:link w:val="905"/>
    <w:uiPriority w:val="99"/>
    <w:semiHidden/>
    <w:unhideWhenUsed/>
    <w:qFormat/>
    <w:pPr>
      <w:spacing w:after="0" w:line="240" w:lineRule="auto"/>
    </w:pPr>
    <w:rPr>
      <w:sz w:val="20"/>
    </w:rPr>
  </w:style>
  <w:style w:type="paragraph" w:styleId="740">
    <w:name w:val="Footer"/>
    <w:basedOn w:val="714"/>
    <w:link w:val="778"/>
    <w:uiPriority w:val="99"/>
    <w:unhideWhenUsed/>
    <w:qFormat/>
    <w:pPr>
      <w:spacing w:after="0" w:line="240" w:lineRule="auto"/>
      <w:tabs>
        <w:tab w:val="center" w:pos="7143" w:leader="none"/>
        <w:tab w:val="right" w:pos="14287" w:leader="none"/>
      </w:tabs>
    </w:pPr>
  </w:style>
  <w:style w:type="paragraph" w:styleId="741">
    <w:name w:val="Header"/>
    <w:basedOn w:val="714"/>
    <w:link w:val="776"/>
    <w:uiPriority w:val="99"/>
    <w:unhideWhenUsed/>
    <w:qFormat/>
    <w:pPr>
      <w:spacing w:after="0" w:line="240" w:lineRule="auto"/>
      <w:tabs>
        <w:tab w:val="center" w:pos="7143" w:leader="none"/>
        <w:tab w:val="right" w:pos="14287" w:leader="none"/>
      </w:tabs>
    </w:pPr>
  </w:style>
  <w:style w:type="paragraph" w:styleId="742">
    <w:name w:val="toc 1"/>
    <w:basedOn w:val="714"/>
    <w:next w:val="714"/>
    <w:uiPriority w:val="39"/>
    <w:unhideWhenUsed/>
    <w:qFormat/>
    <w:pPr>
      <w:ind w:left="0" w:right="0" w:firstLine="0"/>
      <w:spacing w:after="57"/>
    </w:pPr>
  </w:style>
  <w:style w:type="paragraph" w:styleId="743">
    <w:name w:val="toc 4"/>
    <w:basedOn w:val="714"/>
    <w:next w:val="714"/>
    <w:uiPriority w:val="39"/>
    <w:unhideWhenUsed/>
    <w:qFormat/>
    <w:pPr>
      <w:ind w:left="850" w:right="0" w:firstLine="0"/>
      <w:spacing w:after="57"/>
    </w:pPr>
  </w:style>
  <w:style w:type="paragraph" w:styleId="744">
    <w:name w:val="Subtitle"/>
    <w:basedOn w:val="714"/>
    <w:next w:val="714"/>
    <w:link w:val="771"/>
    <w:uiPriority w:val="11"/>
    <w:qFormat/>
    <w:pPr>
      <w:spacing w:before="200" w:after="200"/>
    </w:pPr>
    <w:rPr>
      <w:sz w:val="24"/>
      <w:szCs w:val="24"/>
    </w:rPr>
  </w:style>
  <w:style w:type="paragraph" w:styleId="745">
    <w:name w:val="footnote text"/>
    <w:basedOn w:val="714"/>
    <w:link w:val="904"/>
    <w:uiPriority w:val="99"/>
    <w:semiHidden/>
    <w:unhideWhenUsed/>
    <w:qFormat/>
    <w:pPr>
      <w:spacing w:after="40" w:line="240" w:lineRule="auto"/>
    </w:pPr>
    <w:rPr>
      <w:sz w:val="18"/>
    </w:rPr>
  </w:style>
  <w:style w:type="paragraph" w:styleId="746">
    <w:name w:val="toc 6"/>
    <w:basedOn w:val="714"/>
    <w:next w:val="714"/>
    <w:uiPriority w:val="39"/>
    <w:unhideWhenUsed/>
    <w:qFormat/>
    <w:pPr>
      <w:ind w:left="1417" w:right="0" w:firstLine="0"/>
      <w:spacing w:after="57"/>
    </w:pPr>
  </w:style>
  <w:style w:type="paragraph" w:styleId="747">
    <w:name w:val="table of figures"/>
    <w:basedOn w:val="714"/>
    <w:next w:val="714"/>
    <w:uiPriority w:val="99"/>
    <w:unhideWhenUsed/>
    <w:qFormat/>
    <w:pPr>
      <w:spacing w:after="0" w:afterAutospacing="0"/>
    </w:pPr>
  </w:style>
  <w:style w:type="paragraph" w:styleId="748">
    <w:name w:val="toc 2"/>
    <w:basedOn w:val="714"/>
    <w:next w:val="714"/>
    <w:uiPriority w:val="39"/>
    <w:unhideWhenUsed/>
    <w:qFormat/>
    <w:pPr>
      <w:ind w:left="283" w:right="0" w:firstLine="0"/>
      <w:spacing w:after="57"/>
    </w:pPr>
  </w:style>
  <w:style w:type="paragraph" w:styleId="749">
    <w:name w:val="toc 9"/>
    <w:basedOn w:val="714"/>
    <w:next w:val="714"/>
    <w:uiPriority w:val="39"/>
    <w:unhideWhenUsed/>
    <w:qFormat/>
    <w:pPr>
      <w:ind w:left="2268" w:right="0" w:firstLine="0"/>
      <w:spacing w:after="57"/>
    </w:pPr>
  </w:style>
  <w:style w:type="paragraph" w:styleId="750">
    <w:name w:val="Normal (Web)"/>
    <w:basedOn w:val="714"/>
    <w:uiPriority w:val="0"/>
    <w:qFormat/>
    <w:pPr>
      <w:jc w:val="left"/>
      <w:spacing w:before="100" w:beforeAutospacing="1" w:after="100" w:afterAutospacing="1"/>
      <w:widowControl/>
    </w:pPr>
    <w:rPr>
      <w:rFonts w:ascii="宋体" w:hAnsi="宋体" w:cs="宋体"/>
      <w:sz w:val="24"/>
      <w:szCs w:val="24"/>
    </w:rPr>
  </w:style>
  <w:style w:type="paragraph" w:styleId="751">
    <w:name w:val="Title"/>
    <w:basedOn w:val="714"/>
    <w:next w:val="714"/>
    <w:link w:val="770"/>
    <w:uiPriority w:val="10"/>
    <w:qFormat/>
    <w:pPr>
      <w:contextualSpacing/>
      <w:spacing w:before="300" w:after="200"/>
    </w:pPr>
    <w:rPr>
      <w:sz w:val="48"/>
      <w:szCs w:val="48"/>
    </w:rPr>
  </w:style>
  <w:style w:type="paragraph" w:styleId="752">
    <w:name w:val="Body Text First Indent 2"/>
    <w:basedOn w:val="732"/>
    <w:next w:val="730"/>
    <w:uiPriority w:val="0"/>
    <w:qFormat/>
    <w:pPr>
      <w:ind w:left="420" w:firstLine="210"/>
      <w:spacing w:after="120" w:line="240" w:lineRule="auto"/>
    </w:pPr>
    <w:rPr>
      <w:sz w:val="21"/>
    </w:r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24"/>
    <w:uiPriority w:val="0"/>
    <w:qFormat/>
    <w:rPr>
      <w:b/>
    </w:r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paragraph" w:styleId="758" w:customStyle="1">
    <w:name w:val="正文（缩进）"/>
    <w:basedOn w:val="714"/>
    <w:link w:val="946"/>
    <w:uiPriority w:val="99"/>
    <w:qFormat/>
    <w:pPr>
      <w:ind w:firstLine="480"/>
    </w:pPr>
    <w:rPr>
      <w:rFonts w:ascii="Calibri" w:hAnsi="Calibri"/>
    </w:rPr>
  </w:style>
  <w:style w:type="character" w:styleId="759" w:customStyle="1">
    <w:name w:val="Heading 1 Char"/>
    <w:link w:val="715"/>
    <w:uiPriority w:val="9"/>
    <w:qFormat/>
    <w:rPr>
      <w:rFonts w:ascii="Arial" w:hAnsi="Arial" w:eastAsia="Arial" w:cs="Arial"/>
      <w:sz w:val="40"/>
      <w:szCs w:val="40"/>
    </w:rPr>
  </w:style>
  <w:style w:type="character" w:styleId="760" w:customStyle="1">
    <w:name w:val="Heading 2 Char"/>
    <w:link w:val="716"/>
    <w:uiPriority w:val="9"/>
    <w:qFormat/>
    <w:rPr>
      <w:rFonts w:ascii="Arial" w:hAnsi="Arial" w:eastAsia="Arial" w:cs="Arial"/>
      <w:sz w:val="34"/>
    </w:rPr>
  </w:style>
  <w:style w:type="character" w:styleId="761" w:customStyle="1">
    <w:name w:val="Heading 3 Char"/>
    <w:link w:val="717"/>
    <w:uiPriority w:val="9"/>
    <w:qFormat/>
    <w:rPr>
      <w:rFonts w:ascii="Arial" w:hAnsi="Arial" w:eastAsia="Arial" w:cs="Arial"/>
      <w:sz w:val="30"/>
      <w:szCs w:val="30"/>
    </w:rPr>
  </w:style>
  <w:style w:type="character" w:styleId="762" w:customStyle="1">
    <w:name w:val="Heading 4 Char"/>
    <w:link w:val="718"/>
    <w:uiPriority w:val="9"/>
    <w:qFormat/>
    <w:rPr>
      <w:rFonts w:ascii="Arial" w:hAnsi="Arial" w:eastAsia="Arial" w:cs="Arial"/>
      <w:b/>
      <w:bCs/>
      <w:sz w:val="26"/>
      <w:szCs w:val="26"/>
    </w:rPr>
  </w:style>
  <w:style w:type="character" w:styleId="763" w:customStyle="1">
    <w:name w:val="Heading 5 Char"/>
    <w:link w:val="719"/>
    <w:uiPriority w:val="9"/>
    <w:qFormat/>
    <w:rPr>
      <w:rFonts w:ascii="Arial" w:hAnsi="Arial" w:eastAsia="Arial" w:cs="Arial"/>
      <w:b/>
      <w:bCs/>
      <w:sz w:val="24"/>
      <w:szCs w:val="24"/>
    </w:rPr>
  </w:style>
  <w:style w:type="character" w:styleId="764" w:customStyle="1">
    <w:name w:val="Heading 6 Char"/>
    <w:link w:val="720"/>
    <w:uiPriority w:val="9"/>
    <w:qFormat/>
    <w:rPr>
      <w:rFonts w:ascii="Arial" w:hAnsi="Arial" w:eastAsia="Arial" w:cs="Arial"/>
      <w:b/>
      <w:bCs/>
      <w:sz w:val="22"/>
      <w:szCs w:val="22"/>
    </w:rPr>
  </w:style>
  <w:style w:type="character" w:styleId="765" w:customStyle="1">
    <w:name w:val="Heading 7 Char"/>
    <w:link w:val="721"/>
    <w:uiPriority w:val="9"/>
    <w:qFormat/>
    <w:rPr>
      <w:rFonts w:ascii="Arial" w:hAnsi="Arial" w:eastAsia="Arial" w:cs="Arial"/>
      <w:b/>
      <w:bCs/>
      <w:i/>
      <w:iCs/>
      <w:sz w:val="22"/>
      <w:szCs w:val="22"/>
    </w:rPr>
  </w:style>
  <w:style w:type="character" w:styleId="766" w:customStyle="1">
    <w:name w:val="Heading 8 Char"/>
    <w:link w:val="722"/>
    <w:uiPriority w:val="9"/>
    <w:qFormat/>
    <w:rPr>
      <w:rFonts w:ascii="Arial" w:hAnsi="Arial" w:eastAsia="Arial" w:cs="Arial"/>
      <w:i/>
      <w:iCs/>
      <w:sz w:val="22"/>
      <w:szCs w:val="22"/>
    </w:rPr>
  </w:style>
  <w:style w:type="character" w:styleId="767" w:customStyle="1">
    <w:name w:val="Heading 9 Char"/>
    <w:link w:val="723"/>
    <w:uiPriority w:val="9"/>
    <w:qFormat/>
    <w:rPr>
      <w:rFonts w:ascii="Arial" w:hAnsi="Arial" w:eastAsia="Arial" w:cs="Arial"/>
      <w:i/>
      <w:iCs/>
      <w:sz w:val="21"/>
      <w:szCs w:val="21"/>
    </w:rPr>
  </w:style>
  <w:style w:type="paragraph" w:styleId="768">
    <w:name w:val="List Paragraph"/>
    <w:basedOn w:val="714"/>
    <w:uiPriority w:val="34"/>
    <w:qFormat/>
    <w:pPr>
      <w:contextualSpacing/>
      <w:ind w:left="720"/>
    </w:pPr>
  </w:style>
  <w:style w:type="paragraph" w:styleId="769">
    <w:name w:val="No Spacing"/>
    <w:uiPriority w:val="1"/>
    <w:qFormat/>
    <w:pPr>
      <w:spacing w:before="0" w:after="0" w:line="240" w:lineRule="auto"/>
    </w:pPr>
    <w:rPr>
      <w:rFonts w:hint="default" w:ascii="Times New Roman" w:hAnsi="Times New Roman" w:eastAsia="宋体" w:cs="Times New Roman"/>
    </w:rPr>
  </w:style>
  <w:style w:type="character" w:styleId="770" w:customStyle="1">
    <w:name w:val="Title Char"/>
    <w:link w:val="751"/>
    <w:uiPriority w:val="10"/>
    <w:qFormat/>
    <w:rPr>
      <w:sz w:val="48"/>
      <w:szCs w:val="48"/>
    </w:rPr>
  </w:style>
  <w:style w:type="character" w:styleId="771" w:customStyle="1">
    <w:name w:val="Subtitle Char"/>
    <w:link w:val="744"/>
    <w:uiPriority w:val="11"/>
    <w:qFormat/>
    <w:rPr>
      <w:sz w:val="24"/>
      <w:szCs w:val="24"/>
    </w:rPr>
  </w:style>
  <w:style w:type="paragraph" w:styleId="772">
    <w:name w:val="Quote"/>
    <w:basedOn w:val="714"/>
    <w:next w:val="714"/>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14"/>
    <w:next w:val="714"/>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link w:val="741"/>
    <w:uiPriority w:val="99"/>
    <w:qFormat/>
  </w:style>
  <w:style w:type="character" w:styleId="777" w:customStyle="1">
    <w:name w:val="Footer Char"/>
    <w:link w:val="740"/>
    <w:uiPriority w:val="99"/>
    <w:qFormat/>
  </w:style>
  <w:style w:type="character" w:styleId="778" w:customStyle="1">
    <w:name w:val="Caption Char"/>
    <w:link w:val="740"/>
    <w:uiPriority w:val="99"/>
    <w:qFormat/>
  </w:style>
  <w:style w:type="table" w:styleId="7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link w:val="745"/>
    <w:uiPriority w:val="99"/>
    <w:qFormat/>
    <w:rPr>
      <w:sz w:val="18"/>
    </w:rPr>
  </w:style>
  <w:style w:type="character" w:styleId="905" w:customStyle="1">
    <w:name w:val="Endnote Text Char"/>
    <w:link w:val="739"/>
    <w:uiPriority w:val="99"/>
    <w:qFormat/>
    <w:rPr>
      <w:sz w:val="20"/>
    </w:rPr>
  </w:style>
  <w:style w:type="paragraph" w:styleId="906" w:customStyle="1">
    <w:name w:val="TOC Heading"/>
    <w:uiPriority w:val="39"/>
    <w:unhideWhenUsed/>
    <w:qFormat/>
    <w:rPr>
      <w:rFonts w:hint="default" w:ascii="Times New Roman" w:hAnsi="Times New Roman" w:eastAsia="宋体" w:cs="Times New Roman"/>
    </w:rPr>
  </w:style>
  <w:style w:type="paragraph" w:styleId="907" w:customStyle="1">
    <w:name w:val="标题 11"/>
    <w:basedOn w:val="714"/>
    <w:next w:val="714"/>
    <w:link w:val="914"/>
    <w:uiPriority w:val="9"/>
    <w:qFormat/>
    <w:pPr>
      <w:keepLines/>
      <w:keepNext/>
      <w:spacing w:before="340" w:after="330" w:line="578" w:lineRule="auto"/>
      <w:outlineLvl w:val="0"/>
    </w:pPr>
    <w:rPr>
      <w:rFonts w:ascii="Calibri" w:hAnsi="Calibri"/>
      <w:b/>
      <w:bCs/>
      <w:sz w:val="44"/>
      <w:szCs w:val="44"/>
    </w:rPr>
  </w:style>
  <w:style w:type="paragraph" w:styleId="908" w:customStyle="1">
    <w:name w:val="标题 21"/>
    <w:basedOn w:val="714"/>
    <w:next w:val="909"/>
    <w:link w:val="915"/>
    <w:uiPriority w:val="9"/>
    <w:qFormat/>
    <w:pPr>
      <w:keepLines/>
      <w:keepNext/>
      <w:spacing w:before="260" w:after="260" w:line="416" w:lineRule="auto"/>
      <w:outlineLvl w:val="1"/>
    </w:pPr>
    <w:rPr>
      <w:rFonts w:ascii="Cambria" w:hAnsi="Cambria"/>
      <w:b/>
      <w:bCs/>
      <w:sz w:val="32"/>
      <w:szCs w:val="32"/>
    </w:rPr>
  </w:style>
  <w:style w:type="paragraph" w:styleId="909" w:customStyle="1">
    <w:name w:val="正文缩进1"/>
    <w:basedOn w:val="714"/>
    <w:link w:val="916"/>
    <w:uiPriority w:val="0"/>
    <w:unhideWhenUsed/>
    <w:qFormat/>
    <w:pPr>
      <w:ind w:firstLine="420"/>
    </w:pPr>
    <w:rPr>
      <w:rFonts w:ascii="Calibri" w:hAnsi="Calibri"/>
    </w:rPr>
  </w:style>
  <w:style w:type="paragraph" w:styleId="910" w:customStyle="1">
    <w:name w:val="标题 31"/>
    <w:basedOn w:val="714"/>
    <w:next w:val="714"/>
    <w:link w:val="917"/>
    <w:uiPriority w:val="0"/>
    <w:qFormat/>
    <w:pPr>
      <w:keepLines/>
      <w:keepNext/>
      <w:spacing w:before="260" w:after="260" w:line="416" w:lineRule="auto"/>
      <w:outlineLvl w:val="2"/>
    </w:pPr>
    <w:rPr>
      <w:rFonts w:ascii="Calibri" w:hAnsi="Calibri"/>
      <w:b/>
      <w:bCs/>
      <w:sz w:val="32"/>
      <w:szCs w:val="32"/>
    </w:rPr>
  </w:style>
  <w:style w:type="paragraph" w:styleId="911" w:customStyle="1">
    <w:name w:val="标题 41"/>
    <w:basedOn w:val="714"/>
    <w:next w:val="909"/>
    <w:link w:val="918"/>
    <w:uiPriority w:val="0"/>
    <w:qFormat/>
    <w:pPr>
      <w:spacing w:before="280" w:after="290" w:line="377" w:lineRule="auto"/>
      <w:outlineLvl w:val="3"/>
    </w:pPr>
    <w:rPr>
      <w:rFonts w:ascii="Arial" w:hAnsi="Arial" w:eastAsia="黑体"/>
      <w:b/>
      <w:bCs/>
      <w:sz w:val="28"/>
      <w:szCs w:val="28"/>
    </w:rPr>
  </w:style>
  <w:style w:type="character" w:styleId="912" w:customStyle="1">
    <w:name w:val="默认段落字体1"/>
    <w:link w:val="714"/>
    <w:uiPriority w:val="1"/>
    <w:unhideWhenUsed/>
    <w:qFormat/>
  </w:style>
  <w:style w:type="table" w:styleId="913" w:customStyle="1">
    <w:name w:val="普通表格1"/>
    <w:uiPriority w:val="99"/>
    <w:unhideWhenUsed/>
    <w:qFormat/>
    <w:tblPr/>
  </w:style>
  <w:style w:type="character" w:styleId="914" w:customStyle="1">
    <w:name w:val="标题 1 字符"/>
    <w:link w:val="907"/>
    <w:uiPriority w:val="9"/>
    <w:qFormat/>
    <w:rPr>
      <w:rFonts w:ascii="Calibri" w:hAnsi="Calibri" w:eastAsia="宋体" w:cs="Times New Roman"/>
      <w:b/>
      <w:bCs/>
      <w:sz w:val="44"/>
      <w:szCs w:val="44"/>
    </w:rPr>
  </w:style>
  <w:style w:type="character" w:styleId="915" w:customStyle="1">
    <w:name w:val="标题 2 字符"/>
    <w:link w:val="908"/>
    <w:uiPriority w:val="9"/>
    <w:qFormat/>
    <w:rPr>
      <w:rFonts w:ascii="Cambria" w:hAnsi="Cambria" w:eastAsia="宋体" w:cs="Times New Roman"/>
      <w:b/>
      <w:bCs/>
      <w:sz w:val="32"/>
      <w:szCs w:val="32"/>
    </w:rPr>
  </w:style>
  <w:style w:type="character" w:styleId="916" w:customStyle="1">
    <w:name w:val="正文缩进 字符"/>
    <w:link w:val="909"/>
    <w:uiPriority w:val="0"/>
    <w:qFormat/>
    <w:rPr>
      <w:rFonts w:ascii="Calibri" w:hAnsi="Calibri"/>
      <w:sz w:val="21"/>
      <w:szCs w:val="22"/>
    </w:rPr>
  </w:style>
  <w:style w:type="character" w:styleId="917" w:customStyle="1">
    <w:name w:val="标题 3 字符"/>
    <w:link w:val="910"/>
    <w:uiPriority w:val="0"/>
    <w:qFormat/>
    <w:rPr>
      <w:rFonts w:ascii="Calibri" w:hAnsi="Calibri" w:eastAsia="宋体" w:cs="Times New Roman"/>
      <w:b/>
      <w:bCs/>
      <w:sz w:val="32"/>
      <w:szCs w:val="32"/>
    </w:rPr>
  </w:style>
  <w:style w:type="character" w:styleId="918" w:customStyle="1">
    <w:name w:val="标题 4 字符"/>
    <w:link w:val="911"/>
    <w:uiPriority w:val="0"/>
    <w:qFormat/>
    <w:rPr>
      <w:rFonts w:ascii="Arial" w:hAnsi="Arial" w:eastAsia="黑体" w:cs="Times New Roman"/>
      <w:b/>
      <w:bCs/>
      <w:sz w:val="28"/>
      <w:szCs w:val="28"/>
    </w:rPr>
  </w:style>
  <w:style w:type="paragraph" w:styleId="919" w:customStyle="1">
    <w:name w:val="文档结构图1"/>
    <w:basedOn w:val="714"/>
    <w:link w:val="920"/>
    <w:uiPriority w:val="99"/>
    <w:unhideWhenUsed/>
    <w:qFormat/>
    <w:rPr>
      <w:rFonts w:ascii="宋体"/>
      <w:sz w:val="18"/>
      <w:szCs w:val="18"/>
    </w:rPr>
  </w:style>
  <w:style w:type="character" w:styleId="920" w:customStyle="1">
    <w:name w:val="文档结构图 字符"/>
    <w:link w:val="919"/>
    <w:uiPriority w:val="99"/>
    <w:semiHidden/>
    <w:qFormat/>
    <w:rPr>
      <w:rFonts w:ascii="宋体"/>
      <w:sz w:val="18"/>
      <w:szCs w:val="18"/>
    </w:rPr>
  </w:style>
  <w:style w:type="paragraph" w:styleId="921" w:customStyle="1">
    <w:name w:val="引文目录标题1"/>
    <w:basedOn w:val="714"/>
    <w:next w:val="714"/>
    <w:uiPriority w:val="99"/>
    <w:unhideWhenUsed/>
    <w:qFormat/>
    <w:pPr>
      <w:spacing w:before="120"/>
    </w:pPr>
    <w:rPr>
      <w:rFonts w:ascii="Cambria" w:hAnsi="Cambria"/>
      <w:sz w:val="24"/>
    </w:rPr>
  </w:style>
  <w:style w:type="paragraph" w:styleId="922" w:customStyle="1">
    <w:name w:val="批注文字1"/>
    <w:basedOn w:val="714"/>
    <w:uiPriority w:val="99"/>
    <w:unhideWhenUsed/>
    <w:qFormat/>
    <w:pPr>
      <w:jc w:val="left"/>
    </w:pPr>
  </w:style>
  <w:style w:type="paragraph" w:styleId="923" w:customStyle="1">
    <w:name w:val="正文文本11"/>
    <w:basedOn w:val="714"/>
    <w:link w:val="924"/>
    <w:uiPriority w:val="0"/>
    <w:qFormat/>
    <w:rPr>
      <w:rFonts w:ascii="楷体_GB2312" w:hAnsi="Arial" w:eastAsia="楷体_GB2312"/>
      <w:sz w:val="28"/>
      <w:szCs w:val="20"/>
    </w:rPr>
  </w:style>
  <w:style w:type="character" w:styleId="924" w:customStyle="1">
    <w:name w:val="正文文本 字符"/>
    <w:link w:val="923"/>
    <w:uiPriority w:val="0"/>
    <w:qFormat/>
    <w:rPr>
      <w:rFonts w:ascii="楷体_GB2312" w:hAnsi="Arial" w:eastAsia="楷体_GB2312"/>
      <w:sz w:val="28"/>
    </w:rPr>
  </w:style>
  <w:style w:type="paragraph" w:styleId="925" w:customStyle="1">
    <w:name w:val="正文文本缩进1"/>
    <w:basedOn w:val="714"/>
    <w:link w:val="926"/>
    <w:uiPriority w:val="99"/>
    <w:unhideWhenUsed/>
    <w:qFormat/>
    <w:pPr>
      <w:ind w:left="420"/>
      <w:spacing w:after="120"/>
    </w:pPr>
  </w:style>
  <w:style w:type="character" w:styleId="926" w:customStyle="1">
    <w:name w:val="正文文本缩进 字符"/>
    <w:link w:val="925"/>
    <w:uiPriority w:val="99"/>
    <w:semiHidden/>
    <w:qFormat/>
    <w:rPr>
      <w:sz w:val="21"/>
      <w:szCs w:val="22"/>
    </w:rPr>
  </w:style>
  <w:style w:type="paragraph" w:styleId="927" w:customStyle="1">
    <w:name w:val="列表项目符号 21"/>
    <w:basedOn w:val="714"/>
    <w:uiPriority w:val="0"/>
    <w:qFormat/>
    <w:pPr>
      <w:numPr>
        <w:ilvl w:val="0"/>
        <w:numId w:val="2"/>
      </w:numPr>
      <w:tabs>
        <w:tab w:val="left" w:pos="780" w:leader="none"/>
      </w:tabs>
    </w:pPr>
    <w:rPr>
      <w:szCs w:val="24"/>
    </w:rPr>
  </w:style>
  <w:style w:type="paragraph" w:styleId="928" w:customStyle="1">
    <w:name w:val="目录 31"/>
    <w:basedOn w:val="714"/>
    <w:next w:val="714"/>
    <w:uiPriority w:val="39"/>
    <w:unhideWhenUsed/>
    <w:qFormat/>
    <w:pPr>
      <w:ind w:left="840"/>
    </w:pPr>
  </w:style>
  <w:style w:type="paragraph" w:styleId="929" w:customStyle="1">
    <w:name w:val="纯文本1"/>
    <w:basedOn w:val="714"/>
    <w:link w:val="930"/>
    <w:uiPriority w:val="99"/>
    <w:unhideWhenUsed/>
    <w:qFormat/>
    <w:rPr>
      <w:rFonts w:ascii="宋体" w:hAnsi="Courier New"/>
      <w:sz w:val="20"/>
      <w:szCs w:val="20"/>
    </w:rPr>
  </w:style>
  <w:style w:type="character" w:styleId="930" w:customStyle="1">
    <w:name w:val="纯文本 字符"/>
    <w:link w:val="929"/>
    <w:uiPriority w:val="99"/>
    <w:qFormat/>
    <w:rPr>
      <w:rFonts w:ascii="宋体" w:hAnsi="Courier New"/>
    </w:rPr>
  </w:style>
  <w:style w:type="paragraph" w:styleId="931" w:customStyle="1">
    <w:name w:val="日期1"/>
    <w:basedOn w:val="714"/>
    <w:next w:val="714"/>
    <w:link w:val="932"/>
    <w:uiPriority w:val="0"/>
    <w:qFormat/>
    <w:rPr>
      <w:sz w:val="24"/>
      <w:szCs w:val="20"/>
    </w:rPr>
  </w:style>
  <w:style w:type="character" w:styleId="932" w:customStyle="1">
    <w:name w:val="日期 字符"/>
    <w:link w:val="931"/>
    <w:uiPriority w:val="0"/>
    <w:qFormat/>
    <w:rPr>
      <w:rFonts w:ascii="Times New Roman" w:hAnsi="Times New Roman"/>
      <w:sz w:val="24"/>
    </w:rPr>
  </w:style>
  <w:style w:type="paragraph" w:styleId="933" w:customStyle="1">
    <w:name w:val="正文文本缩进 21"/>
    <w:basedOn w:val="714"/>
    <w:link w:val="934"/>
    <w:uiPriority w:val="0"/>
    <w:unhideWhenUsed/>
    <w:qFormat/>
    <w:pPr>
      <w:ind w:left="420"/>
      <w:spacing w:after="120" w:line="480" w:lineRule="auto"/>
    </w:pPr>
  </w:style>
  <w:style w:type="character" w:styleId="934" w:customStyle="1">
    <w:name w:val="正文文本缩进 2 字符"/>
    <w:link w:val="933"/>
    <w:uiPriority w:val="0"/>
    <w:qFormat/>
    <w:rPr>
      <w:sz w:val="21"/>
      <w:szCs w:val="22"/>
    </w:rPr>
  </w:style>
  <w:style w:type="paragraph" w:styleId="935" w:customStyle="1">
    <w:name w:val="批注框文本1"/>
    <w:basedOn w:val="714"/>
    <w:link w:val="936"/>
    <w:uiPriority w:val="99"/>
    <w:unhideWhenUsed/>
    <w:qFormat/>
    <w:rPr>
      <w:sz w:val="18"/>
      <w:szCs w:val="18"/>
    </w:rPr>
  </w:style>
  <w:style w:type="character" w:styleId="936" w:customStyle="1">
    <w:name w:val="批注框文本 字符"/>
    <w:link w:val="935"/>
    <w:uiPriority w:val="99"/>
    <w:semiHidden/>
    <w:qFormat/>
    <w:rPr>
      <w:sz w:val="18"/>
      <w:szCs w:val="18"/>
    </w:rPr>
  </w:style>
  <w:style w:type="paragraph" w:styleId="937" w:customStyle="1">
    <w:name w:val="页脚1"/>
    <w:basedOn w:val="714"/>
    <w:link w:val="938"/>
    <w:uiPriority w:val="99"/>
    <w:unhideWhenUsed/>
    <w:qFormat/>
    <w:pPr>
      <w:jc w:val="left"/>
      <w:tabs>
        <w:tab w:val="center" w:pos="4153" w:leader="none"/>
        <w:tab w:val="right" w:pos="8306" w:leader="none"/>
      </w:tabs>
    </w:pPr>
    <w:rPr>
      <w:sz w:val="18"/>
      <w:szCs w:val="18"/>
    </w:rPr>
  </w:style>
  <w:style w:type="character" w:styleId="938" w:customStyle="1">
    <w:name w:val="页脚 字符1"/>
    <w:link w:val="937"/>
    <w:uiPriority w:val="99"/>
    <w:qFormat/>
    <w:rPr>
      <w:sz w:val="18"/>
      <w:szCs w:val="18"/>
    </w:rPr>
  </w:style>
  <w:style w:type="paragraph" w:styleId="939" w:customStyle="1">
    <w:name w:val="页眉1"/>
    <w:basedOn w:val="714"/>
    <w:link w:val="94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0" w:customStyle="1">
    <w:name w:val="页眉 字符1"/>
    <w:link w:val="939"/>
    <w:uiPriority w:val="99"/>
    <w:qFormat/>
    <w:rPr>
      <w:sz w:val="18"/>
      <w:szCs w:val="18"/>
    </w:rPr>
  </w:style>
  <w:style w:type="paragraph" w:styleId="941" w:customStyle="1">
    <w:name w:val="目录 11"/>
    <w:basedOn w:val="714"/>
    <w:next w:val="714"/>
    <w:uiPriority w:val="39"/>
    <w:unhideWhenUsed/>
    <w:qFormat/>
    <w:rPr>
      <w:rFonts w:ascii="Calibri" w:hAnsi="Calibri" w:eastAsia="宋体" w:cs="Times New Roman"/>
    </w:rPr>
  </w:style>
  <w:style w:type="paragraph" w:styleId="942" w:customStyle="1">
    <w:name w:val="目录 21"/>
    <w:basedOn w:val="714"/>
    <w:next w:val="714"/>
    <w:uiPriority w:val="39"/>
    <w:unhideWhenUsed/>
    <w:qFormat/>
    <w:pPr>
      <w:ind w:left="420"/>
    </w:pPr>
  </w:style>
  <w:style w:type="paragraph" w:styleId="943" w:customStyle="1">
    <w:name w:val="普通(网站)1"/>
    <w:basedOn w:val="714"/>
    <w:uiPriority w:val="99"/>
    <w:unhideWhenUsed/>
    <w:qFormat/>
    <w:pPr>
      <w:jc w:val="left"/>
    </w:pPr>
    <w:rPr>
      <w:rFonts w:ascii="Calibri" w:hAnsi="Calibri" w:eastAsia="宋体" w:cs="Times New Roman"/>
      <w:sz w:val="24"/>
      <w:szCs w:val="24"/>
    </w:rPr>
  </w:style>
  <w:style w:type="character" w:styleId="944" w:customStyle="1">
    <w:name w:val="要点1"/>
    <w:link w:val="714"/>
    <w:uiPriority w:val="0"/>
    <w:qFormat/>
    <w:rPr>
      <w:b/>
    </w:rPr>
  </w:style>
  <w:style w:type="character" w:styleId="945" w:customStyle="1">
    <w:name w:val="页码1"/>
    <w:link w:val="714"/>
    <w:uiPriority w:val="0"/>
    <w:qFormat/>
  </w:style>
  <w:style w:type="character" w:styleId="946" w:customStyle="1">
    <w:name w:val="正文（缩进） Char"/>
    <w:link w:val="758"/>
    <w:uiPriority w:val="99"/>
    <w:qFormat/>
    <w:rPr>
      <w:rFonts w:ascii="Calibri" w:hAnsi="Calibri"/>
      <w:sz w:val="21"/>
      <w:szCs w:val="22"/>
    </w:rPr>
  </w:style>
  <w:style w:type="paragraph" w:styleId="947" w:customStyle="1">
    <w:name w:val="正文1"/>
    <w:basedOn w:val="714"/>
    <w:uiPriority w:val="0"/>
    <w:qFormat/>
    <w:pPr>
      <w:jc w:val="left"/>
      <w:spacing w:line="360" w:lineRule="atLeast"/>
    </w:pPr>
    <w:rPr>
      <w:rFonts w:ascii="宋体" w:hAnsi="Calibri" w:eastAsia="宋体" w:cs="Times New Roman"/>
      <w:sz w:val="24"/>
      <w:szCs w:val="20"/>
    </w:rPr>
  </w:style>
  <w:style w:type="paragraph" w:styleId="948" w:customStyle="1">
    <w:name w:val="正文文本1"/>
    <w:basedOn w:val="947"/>
    <w:next w:val="949"/>
    <w:uiPriority w:val="0"/>
    <w:qFormat/>
    <w:pPr>
      <w:spacing w:after="120"/>
    </w:pPr>
    <w:rPr>
      <w:lang w:val="en-US" w:eastAsia="en-US"/>
    </w:rPr>
  </w:style>
  <w:style w:type="paragraph" w:styleId="949" w:customStyle="1">
    <w:name w:val="一级条标题"/>
    <w:basedOn w:val="950"/>
    <w:next w:val="9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0" w:customStyle="1">
    <w:name w:val="章标题"/>
    <w:next w:val="71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1" w:customStyle="1">
    <w:name w:val="段"/>
    <w:basedOn w:val="947"/>
    <w:next w:val="714"/>
    <w:uiPriority w:val="0"/>
    <w:qFormat/>
    <w:pPr>
      <w:ind w:firstLine="200"/>
      <w:widowControl/>
    </w:pPr>
    <w:rPr>
      <w:rFonts w:ascii="宋体"/>
      <w:sz w:val="20"/>
      <w:szCs w:val="20"/>
    </w:rPr>
  </w:style>
  <w:style w:type="character" w:styleId="952" w:customStyle="1">
    <w:name w:val="页脚 Char1"/>
    <w:link w:val="714"/>
    <w:uiPriority w:val="99"/>
    <w:semiHidden/>
    <w:qFormat/>
    <w:rPr>
      <w:sz w:val="18"/>
      <w:szCs w:val="18"/>
    </w:rPr>
  </w:style>
  <w:style w:type="character" w:styleId="953" w:customStyle="1">
    <w:name w:val="日期 Char1"/>
    <w:link w:val="714"/>
    <w:uiPriority w:val="99"/>
    <w:semiHidden/>
    <w:qFormat/>
  </w:style>
  <w:style w:type="character" w:styleId="954" w:customStyle="1">
    <w:name w:val="纯文本 Char1"/>
    <w:link w:val="714"/>
    <w:uiPriority w:val="99"/>
    <w:semiHidden/>
    <w:qFormat/>
    <w:rPr>
      <w:rFonts w:ascii="宋体" w:hAnsi="Courier New" w:eastAsia="宋体" w:cs="Courier New"/>
      <w:szCs w:val="21"/>
    </w:rPr>
  </w:style>
  <w:style w:type="character" w:styleId="955" w:customStyle="1">
    <w:name w:val="页眉 Char1"/>
    <w:link w:val="714"/>
    <w:uiPriority w:val="99"/>
    <w:semiHidden/>
    <w:qFormat/>
    <w:rPr>
      <w:sz w:val="18"/>
      <w:szCs w:val="18"/>
    </w:rPr>
  </w:style>
  <w:style w:type="paragraph" w:styleId="956" w:customStyle="1">
    <w:name w:val="普通正文"/>
    <w:basedOn w:val="714"/>
    <w:uiPriority w:val="0"/>
    <w:qFormat/>
    <w:pPr>
      <w:ind w:firstLine="480"/>
      <w:jc w:val="left"/>
      <w:spacing w:before="120" w:after="120" w:line="360" w:lineRule="auto"/>
    </w:pPr>
    <w:rPr>
      <w:rFonts w:ascii="Arial" w:hAnsi="Arial" w:eastAsia="宋体" w:cs="Times New Roman"/>
      <w:sz w:val="24"/>
      <w:szCs w:val="24"/>
    </w:rPr>
  </w:style>
  <w:style w:type="paragraph" w:styleId="957" w:customStyle="1">
    <w:name w:val="Char"/>
    <w:basedOn w:val="714"/>
    <w:uiPriority w:val="0"/>
    <w:qFormat/>
    <w:pPr>
      <w:ind w:firstLine="200"/>
      <w:tabs>
        <w:tab w:val="left" w:pos="360" w:leader="none"/>
      </w:tabs>
    </w:pPr>
    <w:rPr>
      <w:rFonts w:ascii="Times New Roman" w:hAnsi="Times New Roman" w:eastAsia="宋体" w:cs="Times New Roman"/>
      <w:sz w:val="28"/>
      <w:szCs w:val="30"/>
    </w:rPr>
  </w:style>
  <w:style w:type="paragraph" w:styleId="95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9" w:customStyle="1">
    <w:name w:val="正文空2格  1."/>
    <w:basedOn w:val="714"/>
    <w:uiPriority w:val="0"/>
    <w:qFormat/>
    <w:pPr>
      <w:ind w:firstLine="480"/>
    </w:pPr>
    <w:rPr>
      <w:rFonts w:cs="宋体"/>
      <w:sz w:val="28"/>
      <w:szCs w:val="20"/>
    </w:rPr>
  </w:style>
  <w:style w:type="paragraph" w:styleId="960" w:customStyle="1">
    <w:name w:val="Default"/>
    <w:next w:val="714"/>
    <w:uiPriority w:val="0"/>
    <w:qFormat/>
    <w:pPr>
      <w:widowControl w:val="off"/>
    </w:pPr>
    <w:rPr>
      <w:rFonts w:hint="default" w:ascii="仿宋" w:hAnsi="等线" w:eastAsia="仿宋" w:cs="仿宋"/>
      <w:color w:val="000000"/>
      <w:sz w:val="24"/>
      <w:szCs w:val="24"/>
      <w:lang w:val="en-US" w:eastAsia="zh-CN" w:bidi="ar-SA"/>
    </w:rPr>
  </w:style>
  <w:style w:type="paragraph" w:styleId="961" w:customStyle="1">
    <w:name w:val="Heading31"/>
    <w:basedOn w:val="714"/>
    <w:next w:val="714"/>
    <w:uiPriority w:val="0"/>
    <w:qFormat/>
    <w:pPr>
      <w:keepLines/>
      <w:keepNext/>
      <w:spacing w:before="260" w:after="260" w:line="416" w:lineRule="auto"/>
    </w:pPr>
    <w:rPr>
      <w:rFonts w:ascii="Calibri" w:hAnsi="Calibri"/>
      <w:b/>
      <w:sz w:val="32"/>
      <w:szCs w:val="20"/>
    </w:rPr>
  </w:style>
  <w:style w:type="character" w:styleId="962" w:customStyle="1">
    <w:name w:val="NormalCharacter1"/>
    <w:link w:val="714"/>
    <w:uiPriority w:val="0"/>
    <w:semiHidden/>
    <w:qFormat/>
    <w:rPr>
      <w:sz w:val="21"/>
      <w:szCs w:val="24"/>
      <w:lang w:val="en-US" w:eastAsia="zh-CN" w:bidi="ar-SA"/>
    </w:rPr>
  </w:style>
  <w:style w:type="character" w:styleId="963" w:customStyle="1">
    <w:name w:val="列出段落 Char"/>
    <w:link w:val="964"/>
    <w:uiPriority w:val="0"/>
    <w:qFormat/>
    <w:rPr>
      <w:rFonts w:ascii="Calibri" w:hAnsi="Calibri"/>
      <w:sz w:val="24"/>
      <w:szCs w:val="24"/>
      <w:lang w:eastAsia="en-US" w:bidi="en-US"/>
    </w:rPr>
  </w:style>
  <w:style w:type="paragraph" w:styleId="964" w:customStyle="1">
    <w:name w:val="列出段落1"/>
    <w:basedOn w:val="714"/>
    <w:link w:val="963"/>
    <w:uiPriority w:val="0"/>
    <w:qFormat/>
    <w:pPr>
      <w:contextualSpacing/>
      <w:ind w:left="720"/>
      <w:jc w:val="left"/>
      <w:widowControl/>
    </w:pPr>
    <w:rPr>
      <w:rFonts w:ascii="Calibri" w:hAnsi="Calibri"/>
      <w:sz w:val="24"/>
      <w:szCs w:val="24"/>
      <w:lang w:eastAsia="en-US" w:bidi="en-US"/>
    </w:rPr>
  </w:style>
  <w:style w:type="paragraph" w:styleId="96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6" w:customStyle="1">
    <w:name w:val="正文_2_0"/>
    <w:uiPriority w:val="0"/>
    <w:qFormat/>
    <w:rPr>
      <w:rFonts w:hint="default" w:ascii="Times New Roman" w:hAnsi="Times New Roman" w:eastAsia="宋体" w:cs="Times New Roman"/>
      <w:lang w:val="en-US" w:eastAsia="zh-CN" w:bidi="ar-SA"/>
    </w:rPr>
  </w:style>
  <w:style w:type="paragraph" w:styleId="967" w:customStyle="1">
    <w:name w:val="Blockquote"/>
    <w:basedOn w:val="714"/>
    <w:uiPriority w:val="0"/>
    <w:qFormat/>
    <w:pPr>
      <w:ind w:left="360" w:right="360"/>
      <w:spacing w:before="100" w:after="100"/>
    </w:pPr>
    <w:rPr>
      <w:sz w:val="24"/>
      <w:szCs w:val="24"/>
    </w:rPr>
  </w:style>
  <w:style w:type="character" w:styleId="968" w:customStyle="1">
    <w:name w:val="页眉 字符"/>
    <w:link w:val="714"/>
    <w:uiPriority w:val="99"/>
    <w:qFormat/>
  </w:style>
  <w:style w:type="character" w:styleId="969" w:customStyle="1">
    <w:name w:val="页脚 字符"/>
    <w:link w:val="714"/>
    <w:uiPriority w:val="99"/>
    <w:qFormat/>
  </w:style>
  <w:style w:type="character" w:styleId="970" w:customStyle="1">
    <w:name w:val="日期 Char"/>
    <w:link w:val="714"/>
    <w:uiPriority w:val="0"/>
    <w:qFormat/>
    <w:rPr>
      <w:rFonts w:ascii="Times New Roman" w:hAnsi="Times New Roman"/>
      <w:sz w:val="24"/>
    </w:rPr>
  </w:style>
  <w:style w:type="character" w:styleId="971" w:customStyle="1">
    <w:name w:val="正文文本缩进 Char"/>
    <w:link w:val="714"/>
    <w:uiPriority w:val="99"/>
    <w:semiHidden/>
    <w:qFormat/>
    <w:rPr>
      <w:sz w:val="21"/>
      <w:szCs w:val="22"/>
    </w:rPr>
  </w:style>
  <w:style w:type="paragraph" w:styleId="972" w:customStyle="1">
    <w:name w:val="正文(其它)"/>
    <w:basedOn w:val="714"/>
    <w:uiPriority w:val="0"/>
    <w:qFormat/>
    <w:pPr>
      <w:jc w:val="center"/>
    </w:pPr>
    <w:rPr>
      <w:rFonts w:ascii="黑体" w:hAnsi="Calibri" w:eastAsia="黑体"/>
      <w:sz w:val="32"/>
      <w:szCs w:val="32"/>
    </w:rPr>
  </w:style>
  <w:style w:type="paragraph" w:styleId="973" w:customStyle="1">
    <w:name w:val="正文13"/>
    <w:uiPriority w:val="99"/>
    <w:qFormat/>
    <w:rPr>
      <w:rFonts w:hint="default" w:ascii="Times New Roman" w:hAnsi="Times New Roman" w:eastAsia="宋体" w:cs="Times New Roman"/>
      <w:lang w:val="en-US" w:eastAsia="zh-CN" w:bidi="ar-SA"/>
    </w:rPr>
  </w:style>
  <w:style w:type="paragraph" w:styleId="974" w:customStyle="1">
    <w:name w:val="正文_2"/>
    <w:uiPriority w:val="0"/>
    <w:qFormat/>
    <w:rPr>
      <w:rFonts w:hint="default" w:ascii="Times New Roman" w:hAnsi="Times New Roman" w:eastAsia="宋体" w:cs="Times New Roman"/>
    </w:rPr>
  </w:style>
  <w:style w:type="paragraph" w:styleId="975" w:customStyle="1">
    <w:name w:val="正文_0_0_0"/>
    <w:uiPriority w:val="0"/>
    <w:qFormat/>
    <w:pPr>
      <w:jc w:val="both"/>
      <w:widowControl w:val="off"/>
    </w:pPr>
    <w:rPr>
      <w:rFonts w:hint="default" w:ascii="Times New Roman" w:hAnsi="Times New Roman" w:eastAsia="宋体" w:cs="Times New Roman"/>
      <w:sz w:val="21"/>
      <w:szCs w:val="22"/>
    </w:rPr>
  </w:style>
  <w:style w:type="paragraph" w:styleId="976" w:customStyle="1">
    <w:name w:val="正文_0_0_0_0"/>
    <w:uiPriority w:val="0"/>
    <w:qFormat/>
    <w:pPr>
      <w:jc w:val="both"/>
      <w:widowControl w:val="off"/>
    </w:pPr>
    <w:rPr>
      <w:rFonts w:hint="default" w:ascii="Calibri" w:hAnsi="Calibri" w:eastAsia="宋体" w:cs="Times New Roman"/>
    </w:rPr>
  </w:style>
  <w:style w:type="character" w:styleId="977" w:customStyle="1">
    <w:name w:val="font21"/>
    <w:basedOn w:val="724"/>
    <w:uiPriority w:val="0"/>
    <w:qFormat/>
    <w:rPr>
      <w:rFonts w:hint="eastAsia" w:ascii="宋体" w:hAnsi="宋体" w:eastAsia="宋体" w:cs="宋体"/>
      <w:color w:val="000000"/>
      <w:sz w:val="22"/>
      <w:szCs w:val="22"/>
      <w:u w:val="none"/>
    </w:rPr>
  </w:style>
  <w:style w:type="paragraph" w:styleId="97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79" w:customStyle="1">
    <w:name w:val="正文文本2"/>
    <w:basedOn w:val="714"/>
    <w:next w:val="960"/>
    <w:uiPriority w:val="0"/>
    <w:qFormat/>
    <w:pPr>
      <w:spacing w:after="120"/>
    </w:pPr>
    <w:rPr>
      <w:sz w:val="24"/>
    </w:rPr>
  </w:style>
  <w:style w:type="paragraph" w:styleId="980" w:customStyle="1">
    <w:name w:val="索引 41"/>
    <w:basedOn w:val="714"/>
    <w:next w:val="714"/>
    <w:uiPriority w:val="0"/>
    <w:semiHidden/>
    <w:qFormat/>
    <w:pPr>
      <w:ind w:left="1260"/>
    </w:pPr>
  </w:style>
  <w:style w:type="paragraph" w:styleId="981" w:customStyle="1">
    <w:name w:val="纯文本11"/>
    <w:basedOn w:val="714"/>
    <w:uiPriority w:val="99"/>
    <w:qFormat/>
    <w:rPr>
      <w:rFonts w:ascii="宋体" w:hAnsi="Courier New"/>
      <w:sz w:val="20"/>
      <w:szCs w:val="21"/>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磊磊的</dc:creator>
  <cp:lastModifiedBy>叶豪</cp:lastModifiedBy>
  <cp:revision>27</cp:revision>
  <dcterms:created xsi:type="dcterms:W3CDTF">2022-07-21T16:33:00Z</dcterms:created>
  <dcterms:modified xsi:type="dcterms:W3CDTF">2026-09-16T09:14:30Z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335C4FF45F8A461FAA452D5A57998A32_13</vt:lpwstr>
  </property>
  <property fmtid="{D5CDD505-2E9C-101B-9397-08002B2CF9AE}" pid="4" name="KSOTemplateDocerSaveRecord">
    <vt:lpwstr>eyJoZGlkIjoiZWRiOTEzNmFlNDFjNWE4MTI2MjA0ODgxMDQwOGUwOWIiLCJ1c2VySWQiOiI5MjgzNjU4NjkifQ==</vt:lpwstr>
  </property>
</Properties>
</file>