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2"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3"/>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4pt;mso-wrap-distance-left:0.0pt;mso-wrap-distance-top:0.0pt;mso-wrap-distance-right:0.0pt;mso-wrap-distance-bottom:0.0pt;" stroked="f">
                <v:path textboxrect="0,0,0,0"/>
                <v:imagedata r:id="rId13" o:title=""/>
              </v:shape>
            </w:pict>
          </mc:Fallback>
        </mc:AlternateContent>
      </w:r>
      <w:r/>
    </w:p>
    <w:p>
      <w:pPr>
        <w:pStyle w:val="856"/>
      </w:pPr>
      <w:r/>
      <w:r/>
    </w:p>
    <w:p>
      <w:pPr>
        <w:pStyle w:val="857"/>
        <w:jc w:val="center"/>
        <w:rPr>
          <w:rFonts w:ascii="宋体" w:hAnsi="宋体"/>
          <w:spacing w:val="76"/>
          <w:sz w:val="144"/>
        </w:rPr>
      </w:pPr>
      <w:r>
        <w:rPr>
          <w:rFonts w:ascii="宋体" w:hAnsi="宋体"/>
          <w:spacing w:val="76"/>
          <w:sz w:val="144"/>
        </w:rPr>
        <w:t xml:space="preserve">招</w:t>
      </w:r>
      <w:r/>
    </w:p>
    <w:p>
      <w:pPr>
        <w:pStyle w:val="857"/>
        <w:jc w:val="center"/>
        <w:rPr>
          <w:rFonts w:ascii="宋体" w:hAnsi="宋体"/>
          <w:spacing w:val="76"/>
          <w:sz w:val="144"/>
        </w:rPr>
      </w:pPr>
      <w:r>
        <w:rPr>
          <w:rFonts w:ascii="宋体" w:hAnsi="宋体"/>
          <w:spacing w:val="76"/>
          <w:sz w:val="144"/>
        </w:rPr>
        <w:t xml:space="preserve">标</w:t>
      </w:r>
      <w:r/>
    </w:p>
    <w:p>
      <w:pPr>
        <w:pStyle w:val="857"/>
        <w:jc w:val="center"/>
        <w:rPr>
          <w:rFonts w:ascii="宋体" w:hAnsi="宋体"/>
          <w:spacing w:val="76"/>
          <w:sz w:val="144"/>
        </w:rPr>
      </w:pPr>
      <w:r>
        <w:rPr>
          <w:rFonts w:ascii="宋体" w:hAnsi="宋体"/>
          <w:spacing w:val="76"/>
          <w:sz w:val="144"/>
        </w:rPr>
        <w:t xml:space="preserve">文</w:t>
      </w:r>
      <w:r/>
    </w:p>
    <w:p>
      <w:pPr>
        <w:pStyle w:val="857"/>
        <w:jc w:val="center"/>
        <w:rPr>
          <w:rFonts w:ascii="宋体" w:hAnsi="宋体"/>
          <w:spacing w:val="76"/>
          <w:sz w:val="144"/>
        </w:rPr>
      </w:pPr>
      <w:r>
        <w:rPr>
          <w:rFonts w:ascii="宋体" w:hAnsi="宋体"/>
          <w:spacing w:val="76"/>
          <w:sz w:val="144"/>
        </w:rPr>
        <w:t xml:space="preserve">件</w:t>
      </w:r>
      <w:r/>
    </w:p>
    <w:p>
      <w:pPr>
        <w:pStyle w:val="857"/>
        <w:ind w:firstLine="2100"/>
        <w:rPr>
          <w:rFonts w:ascii="宋体" w:hAnsi="宋体"/>
          <w:color w:val="000000"/>
          <w:sz w:val="30"/>
          <w:szCs w:val="30"/>
        </w:rPr>
      </w:pPr>
      <w:r>
        <w:rPr>
          <w:rFonts w:ascii="宋体" w:hAnsi="宋体"/>
          <w:color w:val="000000"/>
          <w:sz w:val="30"/>
          <w:szCs w:val="30"/>
        </w:rPr>
      </w:r>
      <w:r/>
    </w:p>
    <w:p>
      <w:pPr>
        <w:pStyle w:val="860"/>
      </w:pPr>
      <w:r/>
      <w:r/>
    </w:p>
    <w:p>
      <w:pPr>
        <w:pStyle w:val="856"/>
      </w:pPr>
      <w:r/>
      <w:r/>
    </w:p>
    <w:p>
      <w:pPr>
        <w:pStyle w:val="85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计量器具强制检定专用设备购置</w:t>
      </w:r>
      <w:r/>
    </w:p>
    <w:p>
      <w:pPr>
        <w:pStyle w:val="85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项目编号：JSZC-320300-ZJZB-G2026-0144</w:t>
      </w:r>
      <w:r/>
    </w:p>
    <w:p>
      <w:pPr>
        <w:pStyle w:val="85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人：徐州市检验检测中心</w:t>
      </w:r>
      <w:r/>
    </w:p>
    <w:p>
      <w:pPr>
        <w:pStyle w:val="857"/>
        <w:jc w:val="center"/>
        <w:spacing w:line="360" w:lineRule="auto"/>
        <w:rPr>
          <w:rFonts w:ascii="宋体" w:hAnsi="宋体"/>
          <w:sz w:val="30"/>
          <w:szCs w:val="30"/>
        </w:rPr>
      </w:pPr>
      <w:r>
        <w:rPr>
          <w:rFonts w:ascii="宋体" w:hAnsi="宋体"/>
          <w:sz w:val="30"/>
          <w:szCs w:val="30"/>
        </w:rPr>
      </w:r>
      <w:r/>
    </w:p>
    <w:p>
      <w:pPr>
        <w:pStyle w:val="85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130"/>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十</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130"/>
        <w:ind w:firstLine="0"/>
        <w:jc w:val="center"/>
        <w:rPr>
          <w:rFonts w:ascii="宋体" w:hAnsi="宋体"/>
          <w:b/>
          <w:sz w:val="44"/>
        </w:rPr>
      </w:pPr>
      <w:r>
        <w:rPr>
          <w:rFonts w:ascii="宋体" w:hAnsi="宋体"/>
          <w:b/>
          <w:sz w:val="44"/>
        </w:rPr>
        <w:t xml:space="preserve">目 录</w:t>
      </w:r>
      <w:r/>
    </w:p>
    <w:p>
      <w:pPr>
        <w:pStyle w:val="857"/>
        <w:jc w:val="both"/>
        <w:spacing w:line="520" w:lineRule="exact"/>
        <w:rPr>
          <w:rFonts w:ascii="宋体" w:hAnsi="宋体"/>
          <w:b/>
          <w:sz w:val="30"/>
          <w:szCs w:val="30"/>
        </w:rPr>
      </w:pPr>
      <w:r/>
      <w:bookmarkStart w:id="0" w:name="_Toc522790130"/>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1108"/>
          <w:rFonts w:ascii="宋体" w:hAnsi="宋体"/>
          <w:color w:val="000000"/>
          <w:sz w:val="30"/>
          <w:szCs w:val="30"/>
        </w:rPr>
        <w:t xml:space="preserve">第一章  投标邀请</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1108"/>
          <w:rFonts w:ascii="宋体" w:hAnsi="宋体"/>
          <w:color w:val="000000"/>
          <w:sz w:val="30"/>
          <w:szCs w:val="30"/>
        </w:rPr>
        <w:t xml:space="preserve">第二章  投标人须知</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1108"/>
          <w:rFonts w:ascii="宋体" w:hAnsi="宋体"/>
          <w:color w:val="000000"/>
          <w:sz w:val="30"/>
          <w:szCs w:val="30"/>
        </w:rPr>
        <w:t xml:space="preserve">第三章  投标资料表</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1108"/>
          <w:rFonts w:ascii="宋体" w:hAnsi="宋体"/>
          <w:color w:val="000000"/>
          <w:sz w:val="30"/>
          <w:szCs w:val="30"/>
        </w:rPr>
        <w:t xml:space="preserve">第四章  评标标准</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1108"/>
          <w:rFonts w:ascii="宋体" w:hAnsi="宋体"/>
          <w:color w:val="000000"/>
          <w:sz w:val="30"/>
          <w:szCs w:val="30"/>
        </w:rPr>
        <w:t xml:space="preserve">第五章  拟签订的合同文本</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1108"/>
          <w:rFonts w:ascii="宋体" w:hAnsi="宋体"/>
          <w:color w:val="000000"/>
          <w:sz w:val="30"/>
          <w:szCs w:val="30"/>
        </w:rPr>
        <w:t xml:space="preserve">第六章  采购需求</w:t>
      </w:r>
      <w:r>
        <w:rPr>
          <w:rStyle w:val="1108"/>
          <w:rFonts w:ascii="宋体" w:hAnsi="宋体"/>
          <w:color w:val="000000"/>
          <w:sz w:val="30"/>
          <w:szCs w:val="30"/>
        </w:rPr>
        <w:fldChar w:fldCharType="end"/>
      </w:r>
      <w:r/>
    </w:p>
    <w:p>
      <w:pPr>
        <w:pStyle w:val="859"/>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1108"/>
          <w:rFonts w:ascii="宋体" w:hAnsi="宋体"/>
          <w:color w:val="000000"/>
          <w:sz w:val="30"/>
          <w:szCs w:val="30"/>
        </w:rPr>
        <w:t xml:space="preserve">第七章  投标文件相关格</w:t>
      </w:r>
      <w:bookmarkStart w:id="1" w:name="_Hlt532911772"/>
      <w:r/>
      <w:bookmarkStart w:id="2" w:name="_Hlt532911771"/>
      <w:r>
        <w:rPr>
          <w:rStyle w:val="1108"/>
          <w:rFonts w:ascii="宋体" w:hAnsi="宋体"/>
          <w:color w:val="000000"/>
          <w:sz w:val="30"/>
          <w:szCs w:val="30"/>
        </w:rPr>
        <w:t xml:space="preserve">式</w:t>
      </w:r>
      <w:bookmarkEnd w:id="1"/>
      <w:r/>
      <w:bookmarkEnd w:id="2"/>
      <w:r>
        <w:rPr>
          <w:rStyle w:val="1108"/>
          <w:rFonts w:ascii="宋体" w:hAnsi="宋体"/>
          <w:color w:val="000000"/>
          <w:sz w:val="30"/>
          <w:szCs w:val="30"/>
        </w:rPr>
        <w:fldChar w:fldCharType="end"/>
      </w:r>
      <w:r/>
    </w:p>
    <w:p>
      <w:pPr>
        <w:pStyle w:val="85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jc w:val="center"/>
        <w:spacing w:line="520" w:lineRule="exact"/>
        <w:rPr>
          <w:rFonts w:ascii="宋体" w:hAnsi="宋体"/>
          <w:b/>
          <w:sz w:val="44"/>
          <w:szCs w:val="44"/>
        </w:rPr>
      </w:pPr>
      <w:r>
        <w:rPr>
          <w:rFonts w:ascii="宋体" w:hAnsi="宋体"/>
          <w:b/>
          <w:sz w:val="44"/>
          <w:szCs w:val="44"/>
        </w:rPr>
      </w:r>
      <w:r/>
    </w:p>
    <w:p>
      <w:pPr>
        <w:pStyle w:val="857"/>
        <w:spacing w:line="520" w:lineRule="exact"/>
        <w:rPr>
          <w:rFonts w:ascii="宋体" w:hAnsi="宋体"/>
          <w:b/>
          <w:sz w:val="44"/>
          <w:szCs w:val="44"/>
        </w:rPr>
      </w:pPr>
      <w:r>
        <w:rPr>
          <w:rFonts w:ascii="宋体" w:hAnsi="宋体"/>
          <w:b/>
          <w:sz w:val="44"/>
          <w:szCs w:val="44"/>
        </w:rPr>
      </w:r>
      <w:r/>
    </w:p>
    <w:p>
      <w:pPr>
        <w:pStyle w:val="85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徐州市检验检测中心</w:t>
      </w:r>
      <w:r/>
    </w:p>
    <w:p>
      <w:pPr>
        <w:pStyle w:val="85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计量器具强制检定专用设备购置项目</w:t>
      </w:r>
      <w:r>
        <w:rPr>
          <w:rFonts w:ascii="宋体" w:hAnsi="宋体"/>
          <w:b/>
          <w:sz w:val="44"/>
          <w:szCs w:val="44"/>
        </w:rPr>
        <w:t xml:space="preserve">》</w:t>
      </w:r>
      <w:r/>
    </w:p>
    <w:p>
      <w:pPr>
        <w:pStyle w:val="85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57"/>
        <w:rPr>
          <w:rFonts w:ascii="宋体" w:hAnsi="宋体"/>
          <w:b/>
          <w:sz w:val="30"/>
          <w:szCs w:val="30"/>
        </w:rPr>
      </w:pPr>
      <w:r>
        <w:rPr>
          <w:rFonts w:ascii="宋体" w:hAnsi="宋体"/>
          <w:b/>
          <w:sz w:val="30"/>
          <w:szCs w:val="30"/>
        </w:rPr>
        <w:t xml:space="preserve">    </w:t>
      </w:r>
      <w:r/>
    </w:p>
    <w:p>
      <w:pPr>
        <w:pStyle w:val="85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57"/>
        <w:spacing w:line="360" w:lineRule="exact"/>
        <w:rPr>
          <w:rFonts w:ascii="宋体" w:hAnsi="宋体"/>
          <w:sz w:val="30"/>
          <w:szCs w:val="30"/>
        </w:rPr>
      </w:pPr>
      <w:r>
        <w:rPr>
          <w:rFonts w:ascii="宋体" w:hAnsi="宋体"/>
          <w:sz w:val="30"/>
          <w:szCs w:val="30"/>
        </w:rPr>
      </w:r>
      <w:r/>
    </w:p>
    <w:p>
      <w:pPr>
        <w:pStyle w:val="1095"/>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57"/>
        <w:jc w:val="center"/>
        <w:spacing w:line="360" w:lineRule="exact"/>
        <w:rPr>
          <w:rFonts w:ascii="宋体" w:hAnsi="宋体"/>
          <w:sz w:val="30"/>
          <w:szCs w:val="30"/>
        </w:rPr>
      </w:pPr>
      <w:r>
        <w:rPr>
          <w:rFonts w:ascii="宋体" w:hAnsi="宋体"/>
          <w:sz w:val="30"/>
          <w:szCs w:val="30"/>
        </w:rPr>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计量器具强制检定专用设备购置</w:t>
      </w:r>
      <w:r>
        <w:rPr>
          <w:rFonts w:ascii="宋体" w:hAnsi="宋体"/>
          <w:sz w:val="28"/>
          <w:szCs w:val="28"/>
        </w:rPr>
        <w:t xml:space="preserve">”</w:t>
      </w:r>
      <w:r>
        <w:rPr>
          <w:rFonts w:hint="eastAsia" w:ascii="宋体" w:hAnsi="宋体"/>
          <w:sz w:val="28"/>
          <w:szCs w:val="28"/>
          <w:lang w:val="en-US" w:eastAsia="zh-CN"/>
        </w:rPr>
        <w:t xml:space="preserve">项目</w:t>
      </w:r>
      <w:r>
        <w:rPr>
          <w:rFonts w:ascii="宋体" w:hAnsi="宋体"/>
          <w:sz w:val="28"/>
          <w:szCs w:val="28"/>
        </w:rPr>
        <w:t xml:space="preserve">进行公开招标采购，现邀请符合相关条件的供应商投标。</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5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计量器具强制检定专用设备购置</w:t>
      </w:r>
      <w:r/>
    </w:p>
    <w:p>
      <w:pPr>
        <w:pStyle w:val="85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项目编号：JSZC-320300-ZJZB-G2026-0144</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57"/>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（2）潜在供应商访问“苏采云”系统的网络地址和方法：“苏采云”系统的网址：https://jszfcg.jsczt.cn/jszc/login/；或进入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5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5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5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11月20日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5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11月20日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5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5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徐州市检验检测中心</w:t>
      </w:r>
      <w:r/>
    </w:p>
    <w:p>
      <w:pPr>
        <w:pStyle w:val="857"/>
        <w:ind w:firstLine="600"/>
        <w:keepLines w:val="0"/>
        <w:keepNext w:val="0"/>
        <w:pageBreakBefore w:val="0"/>
        <w:spacing w:line="440" w:lineRule="exact"/>
        <w:widowControl w:val="off"/>
        <w:rPr>
          <w:rFonts w:hint="default" w:ascii="宋体" w:hAnsi="宋体" w:eastAsia="宋体"/>
          <w:color w:val="000000"/>
          <w:sz w:val="28"/>
          <w:szCs w:val="28"/>
          <w:highlight w:val="none"/>
          <w:lang w:val="en-US" w:eastAsia="zh-CN"/>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w:t>
      </w:r>
      <w:bookmarkEnd w:id="5"/>
      <w:r>
        <w:rPr>
          <w:rFonts w:hint="eastAsia" w:ascii="宋体" w:hAnsi="宋体"/>
          <w:color w:val="000000"/>
          <w:sz w:val="28"/>
          <w:szCs w:val="28"/>
          <w:highlight w:val="none"/>
          <w:lang w:val="en-US" w:eastAsia="zh-CN"/>
        </w:rPr>
        <w:t xml:space="preserve">商聚路12号</w:t>
      </w:r>
      <w:r/>
    </w:p>
    <w:p>
      <w:pPr>
        <w:pStyle w:val="857"/>
        <w:ind w:firstLine="600"/>
        <w:keepLines w:val="0"/>
        <w:keepNext w:val="0"/>
        <w:pageBreakBefore w:val="0"/>
        <w:spacing w:line="440" w:lineRule="exact"/>
        <w:widowControl w:val="off"/>
        <w:rPr>
          <w:rFonts w:hint="eastAsia" w:ascii="宋体" w:hAnsi="宋体" w:eastAsia="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0516-67022508</w:t>
      </w:r>
      <w:r>
        <w:rPr>
          <w:rFonts w:hint="eastAsia" w:ascii="宋体" w:hAnsi="宋体"/>
          <w:sz w:val="28"/>
          <w:szCs w:val="28"/>
          <w:highlight w:val="none"/>
          <w:lang w:val="en-US" w:eastAsia="zh-CN"/>
        </w:rPr>
        <w:t xml:space="preserve"> </w:t>
      </w:r>
      <w:r/>
    </w:p>
    <w:p>
      <w:pPr>
        <w:pStyle w:val="857"/>
        <w:ind w:firstLine="600"/>
        <w:keepLines w:val="0"/>
        <w:keepNext w:val="0"/>
        <w:pageBreakBefore w:val="0"/>
        <w:spacing w:line="440" w:lineRule="exact"/>
        <w:widowControl w:val="off"/>
        <w:rPr>
          <w:rFonts w:hint="eastAsia" w:ascii="宋体" w:hAnsi="宋体" w:eastAsia="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吴洋</w:t>
      </w:r>
      <w:r>
        <w:rPr>
          <w:rFonts w:hint="eastAsia" w:ascii="宋体" w:hAnsi="宋体"/>
          <w:sz w:val="28"/>
          <w:szCs w:val="28"/>
          <w:highlight w:val="none"/>
          <w:lang w:val="en-US" w:eastAsia="zh-CN"/>
        </w:rPr>
        <w:t xml:space="preserve"> </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5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5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hint="eastAsia" w:ascii="宋体" w:hAnsi="宋体"/>
          <w:sz w:val="28"/>
          <w:szCs w:val="28"/>
          <w:highlight w:val="none"/>
          <w:lang w:val="en-US" w:eastAsia="zh-CN"/>
        </w:rPr>
        <w:t xml:space="preserve">邓克杰</w:t>
      </w:r>
      <w:r/>
    </w:p>
    <w:p>
      <w:pPr>
        <w:pStyle w:val="857"/>
        <w:ind w:firstLine="600"/>
        <w:spacing w:line="360" w:lineRule="exact"/>
        <w:rPr>
          <w:rFonts w:ascii="宋体" w:hAnsi="宋体"/>
          <w:sz w:val="30"/>
          <w:szCs w:val="30"/>
        </w:rPr>
      </w:pPr>
      <w:r>
        <w:rPr>
          <w:rFonts w:ascii="宋体" w:hAnsi="宋体"/>
          <w:sz w:val="30"/>
          <w:szCs w:val="30"/>
        </w:rPr>
      </w:r>
      <w:r/>
    </w:p>
    <w:p>
      <w:pPr>
        <w:pStyle w:val="1095"/>
        <w:keepLines/>
        <w:keepNext/>
        <w:pageBreakBefore w:val="0"/>
        <w:spacing w:line="480" w:lineRule="auto"/>
        <w:widowControl w:val="off"/>
        <w:rPr>
          <w:rFonts w:ascii="宋体" w:hAnsi="宋体" w:eastAsia="宋体"/>
        </w:rPr>
      </w:pPr>
      <w:r/>
      <w:bookmarkStart w:id="6" w:name="_Toc523404696"/>
      <w:r/>
      <w:bookmarkStart w:id="7" w:name="_Toc522790131"/>
      <w:r>
        <w:rPr>
          <w:rFonts w:ascii="宋体" w:hAnsi="宋体" w:eastAsia="宋体"/>
        </w:rPr>
        <w:br w:type="page" w:clear="all"/>
      </w:r>
      <w:r>
        <w:rPr>
          <w:rFonts w:ascii="宋体" w:hAnsi="宋体" w:eastAsia="宋体"/>
        </w:rPr>
        <w:t xml:space="preserve">第二章  投标人须知</w:t>
      </w:r>
      <w:bookmarkEnd w:id="6"/>
      <w:r/>
      <w:bookmarkEnd w:id="7"/>
      <w:r/>
      <w:r/>
    </w:p>
    <w:p>
      <w:pPr>
        <w:pStyle w:val="857"/>
        <w:ind w:firstLine="600"/>
        <w:keepLines w:val="0"/>
        <w:keepNext w:val="0"/>
        <w:pageBreakBefore w:val="0"/>
        <w:spacing w:line="440" w:lineRule="exact"/>
        <w:rPr>
          <w:rFonts w:ascii="宋体" w:hAnsi="宋体"/>
          <w:sz w:val="28"/>
          <w:szCs w:val="28"/>
        </w:rPr>
      </w:pPr>
      <w:r/>
      <w:bookmarkStart w:id="8" w:name="_Toc522790132"/>
      <w:r/>
      <w:bookmarkStart w:id="9" w:name="_Toc523404697"/>
      <w:r>
        <w:rPr>
          <w:rFonts w:ascii="宋体" w:hAnsi="宋体"/>
          <w:sz w:val="28"/>
          <w:szCs w:val="28"/>
        </w:rPr>
        <w:t xml:space="preserve">一、总则</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5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5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5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5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5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各投标人应在规定时间内通过CA证书进行网上解密。</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5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5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5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5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5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57"/>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5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5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lang w:val="en-US" w:eastAsia="zh-CN"/>
        </w:rPr>
        <w:t xml:space="preserve">民法典</w:t>
      </w:r>
      <w:r>
        <w:rPr>
          <w:rFonts w:ascii="宋体" w:hAnsi="宋体"/>
          <w:sz w:val="28"/>
          <w:szCs w:val="28"/>
        </w:rPr>
        <w:t xml:space="preserve">》相关条款执行。</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57"/>
        <w:ind w:firstLine="600"/>
        <w:jc w:val="left"/>
        <w:keepLines w:val="0"/>
        <w:keepNext w:val="0"/>
        <w:pageBreakBefore w:val="0"/>
        <w:spacing w:line="440" w:lineRule="exact"/>
        <w:rPr>
          <w:rFonts w:hint="eastAsia"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rPr>
          <w:rFonts w:hint="eastAsia" w:ascii="宋体" w:hAnsi="宋体"/>
          <w:sz w:val="28"/>
          <w:szCs w:val="28"/>
          <w:lang w:eastAsia="zh-CN"/>
        </w:rPr>
        <w:t xml:space="preserve">。</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5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5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5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5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（四十一）电子招标投标交易平台（即“苏采云”系统，网址：https:</w:t>
      </w:r>
      <w:r>
        <w:rPr>
          <w:rFonts w:hint="default" w:ascii="宋体" w:hAnsi="宋体"/>
          <w:sz w:val="28"/>
          <w:szCs w:val="28"/>
        </w:rPr>
        <w:t xml:space="preserve">//jszfcg.jsczt.cn/jszc/login</w:t>
      </w:r>
      <w:r>
        <w:rPr>
          <w:rFonts w:ascii="宋体" w:hAnsi="宋体"/>
          <w:sz w:val="28"/>
          <w:szCs w:val="28"/>
        </w:rPr>
        <w:t xml:space="preserve">）相关要求是本招标文件的组成部分。</w:t>
      </w:r>
      <w:r/>
    </w:p>
    <w:p>
      <w:pPr>
        <w:pStyle w:val="1095"/>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85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22"/>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70"/>
        <w:gridCol w:w="9182"/>
      </w:tblGrid>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徐州市检验检测中心</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57"/>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0" w:name="_Toc28359003"/>
            <w:r>
              <w:rPr>
                <w:rFonts w:hint="eastAsia" w:ascii="宋体" w:hAnsi="宋体"/>
                <w:b/>
                <w:bCs/>
                <w:color w:val="000000"/>
                <w:sz w:val="28"/>
                <w:szCs w:val="28"/>
              </w:rPr>
              <w:t xml:space="preserve">本项目属于专门面向中小微企业采购的项目，供应商提供的货物全部由符合政策要求的中小企业、监狱企业、残疾人福利性单位制造</w:t>
            </w:r>
            <w:r>
              <w:rPr>
                <w:rFonts w:hint="eastAsia" w:ascii="宋体" w:hAnsi="宋体"/>
                <w:b/>
                <w:bCs/>
                <w:color w:val="000000"/>
                <w:sz w:val="28"/>
                <w:szCs w:val="28"/>
                <w:highlight w:val="none"/>
                <w:lang w:val="en-US" w:eastAsia="zh-CN"/>
              </w:rPr>
              <w:t xml:space="preserve">。</w:t>
            </w:r>
            <w:bookmarkEnd w:id="10"/>
            <w:r/>
            <w:r/>
          </w:p>
          <w:p>
            <w:pPr>
              <w:pStyle w:val="857"/>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三、</w:t>
            </w:r>
            <w:r>
              <w:rPr>
                <w:rFonts w:ascii="宋体" w:hAnsi="宋体"/>
                <w:sz w:val="28"/>
                <w:szCs w:val="28"/>
              </w:rPr>
              <w:t xml:space="preserve">同时明确相关事项如下：</w:t>
            </w:r>
            <w:r/>
          </w:p>
          <w:p>
            <w:pPr>
              <w:pStyle w:val="85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5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5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5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5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5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5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5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5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5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5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5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5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5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5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招标代理服务费由</w:t>
            </w:r>
            <w:r>
              <w:rPr>
                <w:rFonts w:hint="eastAsia" w:ascii="宋体" w:hAnsi="宋体"/>
                <w:sz w:val="28"/>
                <w:szCs w:val="28"/>
                <w:lang w:val="en-US" w:eastAsia="zh-CN"/>
              </w:rPr>
              <w:t xml:space="preserve">采购人</w:t>
            </w:r>
            <w:r>
              <w:rPr>
                <w:rFonts w:ascii="宋体" w:hAnsi="宋体"/>
                <w:sz w:val="28"/>
                <w:szCs w:val="28"/>
              </w:rPr>
              <w:t xml:space="preserve">支付，标准见附件《招标代理服务收费标准》</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57"/>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5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5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5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5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5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5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5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1" w:name="_Toc515551102"/>
            <w:r>
              <w:rPr>
                <w:rFonts w:hint="eastAsia" w:ascii="宋体" w:hAnsi="宋体"/>
                <w:sz w:val="28"/>
                <w:szCs w:val="28"/>
              </w:rPr>
              <w:t xml:space="preserve">具备履行合同所必需的设备和专业技术能力的书面声明</w:t>
            </w:r>
            <w:bookmarkEnd w:id="11"/>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57"/>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7</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8、</w:t>
            </w:r>
            <w:r>
              <w:rPr>
                <w:rFonts w:hint="eastAsia" w:ascii="宋体" w:hAnsi="宋体"/>
                <w:sz w:val="28"/>
                <w:szCs w:val="28"/>
              </w:rPr>
              <w:t xml:space="preserve">投标人提供的货物全部由符合政策要求的中小企业制造的，提供《中小企业声明函》</w:t>
            </w:r>
            <w:r>
              <w:rPr>
                <w:rFonts w:hint="eastAsia" w:ascii="宋体" w:hAnsi="宋体"/>
                <w:sz w:val="28"/>
                <w:szCs w:val="28"/>
                <w:lang w:eastAsia="zh-CN"/>
              </w:rPr>
              <w:t xml:space="preserve">（填写完整，加盖电子签章，格式见招标文件第七章《投标文件相关格式》，</w:t>
            </w:r>
            <w:r>
              <w:rPr>
                <w:rFonts w:hint="eastAsia" w:ascii="宋体" w:hAnsi="宋体"/>
                <w:sz w:val="28"/>
                <w:szCs w:val="28"/>
                <w:lang w:val="en-US" w:eastAsia="zh-CN"/>
              </w:rPr>
              <w:t xml:space="preserve">否则视为无效</w:t>
            </w:r>
            <w:r>
              <w:rPr>
                <w:rFonts w:hint="eastAsia" w:ascii="宋体" w:hAnsi="宋体"/>
                <w:sz w:val="28"/>
                <w:szCs w:val="28"/>
                <w:lang w:eastAsia="zh-CN"/>
              </w:rPr>
              <w:t xml:space="preserve">）</w:t>
            </w:r>
            <w:r>
              <w:rPr>
                <w:rFonts w:hint="eastAsia" w:ascii="宋体" w:hAnsi="宋体"/>
                <w:sz w:val="28"/>
                <w:szCs w:val="28"/>
              </w:rPr>
              <w:t xml:space="preserve">。 </w:t>
            </w:r>
            <w:bookmarkStart w:id="25" w:name="_GoBack"/>
            <w:r/>
            <w:bookmarkEnd w:id="25"/>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《中小企业声明函》查询渠道参考工业和信息化部发布的中小企业规模自测小程序。中小企业规模自测小程序详见《中小企业声明函》。</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注：</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2、监狱企业制造的，提供省级以上监狱管理局、戒毒管理局（含新疆生产建设兵团）出具的属于监狱企业的证明文件原件的扫描件。</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注：具体以《财政部 司法部关于政府采购支持监狱企业发展有关问题的通知》（财库〔2014〕68号）的规定为准。</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3、享受政府采购支持政策的残疾人福利性单位制造的，提供《残疾人福利性单位声明函》（加盖电子签章，格式见招标文件第七章《投标文件相关格式》）。</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享受政府采购支持政策的残疾人福利性单位应当同时满足以下条件：</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①安置的残疾人占本单位在职职工人数的比例不低于25%（含25%），并且安置的残疾人人数不少于10人（含10人）；</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②依法与安置的每位残疾人签订了一年以上（含一年）的劳动合同或服务协议；</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③为安置的每位残疾人按月足额缴纳了基本养老保险、基本医疗保险、失业保险、工伤保险和生育保险等社会保险费；</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④通过银行等金融机构向安置的每位残疾人，按月支付了不低于单位所在区县适用的经省级人民政府批准的月最低工资标准的工资；</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⑤提供本单位制造的货物、承担的工程或者服务（以下简称产品），或者提供其他残疾人福利性单位制造的货物（不包括使用非残疾人福利性单位注册商标的货物）。</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440" w:lineRule="exact"/>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 具体以《三部门联合发布关于促进残疾人就业政府采购政策的通知》（财库〔2017〕141号）规定为准</w:t>
            </w:r>
            <w:r>
              <w:rPr>
                <w:rFonts w:hint="eastAsia" w:ascii="宋体" w:hAnsi="宋体"/>
                <w:bCs/>
                <w:sz w:val="28"/>
                <w:szCs w:val="28"/>
              </w:rPr>
              <w:t xml:space="preserve">。</w:t>
            </w:r>
            <w:r/>
          </w:p>
          <w:p>
            <w:pPr>
              <w:pStyle w:val="85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5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5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2" w:name="OLE_LINK3"/>
            <w:r>
              <w:rPr>
                <w:rFonts w:hint="eastAsia" w:ascii="宋体" w:hAnsi="宋体"/>
                <w:bCs/>
                <w:sz w:val="28"/>
                <w:szCs w:val="28"/>
              </w:rPr>
              <w:t xml:space="preserve">《开标一览表》（政府采购客户端工具输入报价自动生成）</w:t>
            </w:r>
            <w:bookmarkEnd w:id="12"/>
            <w:r>
              <w:rPr>
                <w:rFonts w:hint="eastAsia" w:ascii="宋体" w:hAnsi="宋体"/>
                <w:bCs/>
                <w:sz w:val="28"/>
                <w:szCs w:val="28"/>
                <w:lang w:eastAsia="zh-CN"/>
              </w:rPr>
              <w:t xml:space="preserve">。</w:t>
            </w:r>
            <w:r/>
          </w:p>
          <w:p>
            <w:pPr>
              <w:pStyle w:val="85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3"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3"/>
            <w:r>
              <w:rPr>
                <w:rFonts w:hint="eastAsia" w:ascii="宋体" w:hAnsi="宋体"/>
                <w:bCs/>
                <w:sz w:val="28"/>
                <w:szCs w:val="28"/>
              </w:rPr>
              <w:t xml:space="preserve">。</w:t>
            </w:r>
            <w:r/>
          </w:p>
          <w:p>
            <w:pPr>
              <w:pStyle w:val="85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57"/>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4" w:name="OLE_LINK7"/>
            <w:r>
              <w:rPr>
                <w:rFonts w:ascii="宋体" w:hAnsi="宋体"/>
                <w:bCs/>
                <w:color w:val="000000"/>
                <w:sz w:val="28"/>
                <w:szCs w:val="28"/>
              </w:rPr>
              <w:t xml:space="preserve">《投标函》（加盖电子签章，格式见招标文件第七章《投标文件相关格式》）</w:t>
            </w:r>
            <w:bookmarkEnd w:id="14"/>
            <w:r>
              <w:rPr>
                <w:rFonts w:hint="eastAsia" w:ascii="宋体" w:hAnsi="宋体"/>
                <w:bCs/>
                <w:color w:val="000000"/>
                <w:sz w:val="28"/>
                <w:szCs w:val="28"/>
                <w:lang w:eastAsia="zh-CN"/>
              </w:rPr>
              <w:t xml:space="preserve">。</w:t>
            </w:r>
            <w:r/>
          </w:p>
          <w:p>
            <w:pPr>
              <w:pStyle w:val="85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5" w:name="OLE_LINK8"/>
            <w:r>
              <w:rPr>
                <w:rFonts w:ascii="宋体" w:hAnsi="宋体"/>
                <w:bCs/>
                <w:sz w:val="28"/>
                <w:szCs w:val="28"/>
              </w:rPr>
              <w:t xml:space="preserve">《法定代表人授权书》（提供原件的扫描件，格式见招标文件第七章《投标文件相关格式》）</w:t>
            </w:r>
            <w:bookmarkEnd w:id="15"/>
            <w:r>
              <w:rPr>
                <w:rFonts w:hint="eastAsia" w:ascii="宋体" w:hAnsi="宋体"/>
                <w:color w:val="000000"/>
                <w:sz w:val="28"/>
                <w:szCs w:val="28"/>
              </w:rPr>
              <w:t xml:space="preserve">。</w:t>
            </w:r>
            <w:r/>
          </w:p>
          <w:p>
            <w:pPr>
              <w:pStyle w:val="85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5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6"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6"/>
            <w:r>
              <w:rPr>
                <w:rFonts w:ascii="宋体" w:hAnsi="宋体"/>
                <w:bCs/>
                <w:color w:val="000000" w:themeColor="text1"/>
                <w:sz w:val="28"/>
                <w:szCs w:val="28"/>
                <w14:textFill>
                  <w14:solidFill>
                    <w14:schemeClr w14:val="tx1"/>
                  </w14:solidFill>
                </w14:textFill>
              </w:rPr>
              <w:t xml:space="preserve">。</w:t>
            </w:r>
            <w:r/>
          </w:p>
          <w:p>
            <w:pPr>
              <w:pStyle w:val="85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1、</w:t>
            </w:r>
            <w:r>
              <w:rPr>
                <w:rFonts w:hint="eastAsia" w:hAnsi="宋体"/>
                <w:b w:val="0"/>
                <w:bCs/>
                <w:sz w:val="28"/>
                <w:szCs w:val="28"/>
                <w:highlight w:val="none"/>
              </w:rPr>
              <w:t xml:space="preserve">业绩</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2、</w:t>
            </w:r>
            <w:r>
              <w:rPr>
                <w:rFonts w:hint="eastAsia" w:hAnsi="宋体"/>
                <w:b w:val="0"/>
                <w:bCs/>
                <w:sz w:val="28"/>
                <w:szCs w:val="28"/>
                <w:highlight w:val="none"/>
              </w:rPr>
              <w:t xml:space="preserve">投标人评价</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3、</w:t>
            </w:r>
            <w:r>
              <w:rPr>
                <w:rFonts w:hint="eastAsia" w:hAnsi="宋体"/>
                <w:b w:val="0"/>
                <w:bCs/>
                <w:sz w:val="28"/>
                <w:szCs w:val="28"/>
                <w:highlight w:val="none"/>
              </w:rPr>
              <w:t xml:space="preserve">所投产品的技术规格</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4、</w:t>
            </w:r>
            <w:r>
              <w:rPr>
                <w:rFonts w:hint="eastAsia" w:hAnsi="宋体"/>
                <w:b w:val="0"/>
                <w:bCs/>
                <w:sz w:val="28"/>
                <w:szCs w:val="28"/>
                <w:highlight w:val="none"/>
              </w:rPr>
              <w:t xml:space="preserve">项目实施方案</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b w:val="0"/>
                <w:bCs/>
                <w:sz w:val="28"/>
                <w:szCs w:val="28"/>
                <w:highlight w:val="none"/>
                <w:lang w:eastAsia="zh-CN"/>
              </w:rPr>
            </w:pPr>
            <w:r>
              <w:rPr>
                <w:rFonts w:hint="eastAsia" w:hAnsi="宋体"/>
                <w:b w:val="0"/>
                <w:bCs/>
                <w:sz w:val="28"/>
                <w:szCs w:val="28"/>
                <w:highlight w:val="none"/>
                <w:lang w:val="en-US" w:eastAsia="zh-CN"/>
              </w:rPr>
              <w:t xml:space="preserve">5、</w:t>
            </w:r>
            <w:r>
              <w:rPr>
                <w:rFonts w:hint="eastAsia" w:hAnsi="宋体"/>
                <w:b w:val="0"/>
                <w:bCs/>
                <w:sz w:val="28"/>
                <w:szCs w:val="28"/>
                <w:highlight w:val="none"/>
              </w:rPr>
              <w:t xml:space="preserve">设备安装调试、配送方案</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6、</w:t>
            </w:r>
            <w:r>
              <w:rPr>
                <w:rFonts w:hint="eastAsia" w:hAnsi="宋体"/>
                <w:b w:val="0"/>
                <w:bCs/>
                <w:sz w:val="28"/>
                <w:szCs w:val="28"/>
                <w:highlight w:val="none"/>
              </w:rPr>
              <w:t xml:space="preserve">培训方案</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7、</w:t>
            </w:r>
            <w:r>
              <w:rPr>
                <w:rFonts w:hint="eastAsia" w:hAnsi="宋体"/>
                <w:b w:val="0"/>
                <w:bCs/>
                <w:sz w:val="28"/>
                <w:szCs w:val="28"/>
                <w:highlight w:val="none"/>
              </w:rPr>
              <w:t xml:space="preserve">售后服务方案</w:t>
            </w:r>
            <w:r>
              <w:rPr>
                <w:rFonts w:hint="eastAsia" w:hAnsi="宋体"/>
                <w:b w:val="0"/>
                <w:bCs/>
                <w:sz w:val="28"/>
                <w:szCs w:val="28"/>
                <w:highlight w:val="none"/>
                <w:lang w:eastAsia="zh-CN"/>
              </w:rPr>
              <w:t xml:space="preserve">。</w:t>
            </w:r>
            <w:r/>
          </w:p>
          <w:p>
            <w:pPr>
              <w:pStyle w:val="85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5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5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5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hint="eastAsia" w:ascii="宋体" w:hAnsi="宋体"/>
                <w:b w:val="0"/>
                <w:bCs w:val="0"/>
                <w:sz w:val="28"/>
                <w:szCs w:val="28"/>
                <w:lang w:val="en-US" w:eastAsia="zh-CN"/>
              </w:rPr>
              <w:t xml:space="preserve">本项目</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200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rPr>
                <w:rFonts w:hint="eastAsia" w:ascii="宋体" w:hAnsi="宋体"/>
                <w:sz w:val="28"/>
                <w:szCs w:val="28"/>
                <w:highlight w:val="none"/>
                <w:lang w:val="en-US" w:eastAsia="zh-CN"/>
              </w:rPr>
              <w:t xml:space="preserve">投标</w:t>
            </w:r>
            <w:r>
              <w:rPr>
                <w:rFonts w:hint="eastAsia" w:ascii="宋体" w:hAnsi="宋体"/>
                <w:sz w:val="28"/>
                <w:szCs w:val="28"/>
                <w:highlight w:val="none"/>
                <w:lang w:eastAsia="zh-CN"/>
              </w:rPr>
              <w:t xml:space="preserve">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57"/>
              <w:keepLines w:val="0"/>
              <w:keepNext w:val="0"/>
              <w:pageBreakBefore w:val="0"/>
              <w:spacing w:line="440" w:lineRule="exact"/>
              <w:rPr>
                <w:rFonts w:ascii="宋体" w:hAnsi="宋体"/>
                <w:bCs/>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11月20日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5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5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11月20日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5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5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5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5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5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三十</w:t>
            </w:r>
            <w:r>
              <w:rPr>
                <w:rFonts w:hint="eastAsia" w:ascii="宋体" w:hAnsi="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5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top"/>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56"/>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质疑接收人：</w:t>
            </w:r>
            <w:r>
              <w:rPr>
                <w:rFonts w:hint="eastAsia" w:ascii="宋体" w:hAnsi="宋体"/>
                <w:sz w:val="28"/>
                <w:szCs w:val="28"/>
                <w:lang w:val="en-US" w:eastAsia="zh-CN"/>
              </w:rPr>
              <w:t xml:space="preserve">邓克杰</w:t>
            </w:r>
            <w:r>
              <w:rPr>
                <w:rFonts w:hint="eastAsia" w:ascii="宋体" w:hAnsi="宋体"/>
                <w:sz w:val="28"/>
                <w:szCs w:val="28"/>
                <w:lang w:eastAsia="zh-CN"/>
              </w:rPr>
              <w:t xml:space="preserve">；</w:t>
            </w:r>
            <w:r>
              <w:rPr>
                <w:rFonts w:ascii="宋体" w:hAnsi="宋体"/>
                <w:sz w:val="28"/>
                <w:szCs w:val="28"/>
              </w:rPr>
              <w:t xml:space="preserve">联系电话：0516-83205102</w:t>
            </w:r>
            <w:r>
              <w:rPr>
                <w:rFonts w:hint="eastAsia" w:ascii="宋体" w:hAnsi="宋体"/>
                <w:sz w:val="28"/>
                <w:szCs w:val="28"/>
              </w:rPr>
              <w:t xml:space="preserve">；</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5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82" w:type="dxa"/>
            <w:vAlign w:val="top"/>
            <w:textDirection w:val="lrTb"/>
            <w:noWrap w:val="false"/>
          </w:tcPr>
          <w:p>
            <w:pPr>
              <w:pStyle w:val="85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5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5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5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57"/>
              <w:keepLines w:val="0"/>
              <w:keepNext w:val="0"/>
              <w:pageBreakBefore w:val="0"/>
              <w:spacing w:line="440" w:lineRule="exact"/>
              <w:rPr>
                <w:rFonts w:ascii="宋体" w:hAnsi="宋体"/>
                <w:sz w:val="28"/>
                <w:szCs w:val="28"/>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r>
      <w:r/>
    </w:p>
    <w:p>
      <w:pPr>
        <w:pStyle w:val="857"/>
        <w:spacing w:line="520" w:lineRule="exact"/>
        <w:widowControl/>
        <w:rPr>
          <w:rFonts w:ascii="宋体" w:hAnsi="宋体"/>
          <w:b/>
          <w:bCs/>
          <w:sz w:val="30"/>
          <w:szCs w:val="30"/>
          <w:highlight w:val="none"/>
        </w:rPr>
      </w:pPr>
      <w:r/>
      <w:bookmarkStart w:id="17" w:name="_Toc523404698"/>
      <w:r/>
      <w:bookmarkStart w:id="18" w:name="_Toc522790133"/>
      <w:r>
        <w:rPr>
          <w:rFonts w:ascii="宋体" w:hAnsi="宋体"/>
          <w:b/>
          <w:sz w:val="30"/>
          <w:szCs w:val="30"/>
        </w:rPr>
        <w:t xml:space="preserve">本章附件：招标代理服务收费标准</w:t>
      </w:r>
      <w:r/>
    </w:p>
    <w:tbl>
      <w:tblPr>
        <w:tblStyle w:val="1196"/>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195"/>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195"/>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195"/>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19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19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195"/>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195"/>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195"/>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195"/>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195"/>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195"/>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195"/>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195"/>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195"/>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195"/>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195"/>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195"/>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195"/>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195"/>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195"/>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cs="宋体"/>
          <w:sz w:val="28"/>
          <w:szCs w:val="28"/>
          <w:lang w:val="en-US" w:eastAsia="zh-CN"/>
        </w:rPr>
        <w:t xml:space="preserve">80%</w:t>
      </w:r>
      <w:r>
        <w:rPr>
          <w:rFonts w:hint="eastAsia" w:ascii="宋体" w:hAnsi="宋体" w:eastAsia="宋体" w:cs="宋体"/>
          <w:sz w:val="28"/>
          <w:szCs w:val="28"/>
          <w:highlight w:val="none"/>
        </w:rPr>
        <w:t xml:space="preserve">。</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6.有分包(分标段)项目按</w:t>
      </w:r>
      <w:r>
        <w:rPr>
          <w:rFonts w:hint="eastAsia" w:ascii="宋体" w:hAnsi="宋体" w:cs="宋体"/>
          <w:sz w:val="28"/>
          <w:szCs w:val="28"/>
          <w:lang w:val="en-US" w:eastAsia="zh-CN"/>
        </w:rPr>
        <w:t xml:space="preserve">项目</w:t>
      </w:r>
      <w:r>
        <w:rPr>
          <w:rFonts w:hint="eastAsia" w:ascii="宋体" w:hAnsi="宋体" w:eastAsia="宋体" w:cs="宋体"/>
          <w:sz w:val="28"/>
          <w:szCs w:val="28"/>
        </w:rPr>
        <w:t xml:space="preserve">收费。</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57"/>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7"/>
      <w:r/>
      <w:bookmarkEnd w:id="18"/>
      <w:r>
        <w:rPr>
          <w:rFonts w:hint="eastAsia" w:ascii="宋体" w:hAnsi="宋体"/>
          <w:b/>
          <w:bCs/>
          <w:sz w:val="30"/>
          <w:szCs w:val="44"/>
          <w:highlight w:val="none"/>
          <w:lang w:val="en-US" w:eastAsia="zh-CN"/>
        </w:rPr>
        <w:t xml:space="preserve"> </w:t>
      </w:r>
      <w:r/>
    </w:p>
    <w:tbl>
      <w:tblPr>
        <w:tblStyle w:val="822"/>
        <w:tblW w:w="996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69"/>
        <w:gridCol w:w="7896"/>
      </w:tblGrid>
      <w:tr>
        <w:trPr>
          <w:jc w:val="center"/>
          <w:trHeight w:val="477"/>
        </w:trPr>
        <w:tc>
          <w:tcPr>
            <w:tcBorders>
              <w:top w:val="single" w:color="auto" w:sz="4" w:space="0"/>
            </w:tcBorders>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评审因素</w:t>
            </w:r>
            <w:r/>
          </w:p>
        </w:tc>
        <w:tc>
          <w:tcPr>
            <w:tcBorders>
              <w:top w:val="single" w:color="auto" w:sz="4" w:space="0"/>
            </w:tcBorders>
            <w:tcW w:w="7896" w:type="dxa"/>
            <w:vAlign w:val="center"/>
            <w:textDirection w:val="lrTb"/>
            <w:noWrap w:val="false"/>
          </w:tcPr>
          <w:p>
            <w:pPr>
              <w:ind w:firstLine="482"/>
              <w:jc w:val="center"/>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评审因素细化和量化</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价格部分（</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ascii="宋体" w:cs="宋体"/>
                <w:color w:val="auto"/>
                <w:sz w:val="28"/>
                <w:szCs w:val="28"/>
              </w:rPr>
            </w:pPr>
            <w:r>
              <w:rPr>
                <w:rFonts w:hint="eastAsia" w:ascii="宋体" w:hAnsi="宋体" w:eastAsia="宋体" w:cs="宋体"/>
                <w:b/>
                <w:bCs/>
                <w:color w:val="auto"/>
                <w:sz w:val="28"/>
                <w:szCs w:val="28"/>
                <w:highlight w:val="none"/>
              </w:rPr>
              <w:t xml:space="preserve">各投标人价格得分=最低报价（投标人的最低评审价格）÷各投标人评审价格×30</w:t>
            </w:r>
            <w:r>
              <w:rPr>
                <w:rFonts w:hint="eastAsia" w:ascii="宋体" w:hAnsi="宋体" w:eastAsia="宋体" w:cs="宋体"/>
                <w:b/>
                <w:bCs/>
                <w:color w:val="auto"/>
                <w:sz w:val="28"/>
                <w:szCs w:val="28"/>
                <w:highlight w:val="none"/>
                <w:lang w:eastAsia="zh-CN"/>
              </w:rPr>
              <w:t xml:space="preserve">。（计算结果保留小数点后两位）</w:t>
            </w:r>
            <w:r>
              <w:rPr>
                <w:rFonts w:hint="eastAsia" w:ascii="宋体" w:hAnsi="宋体" w:eastAsia="宋体" w:cs="宋体"/>
                <w:b/>
                <w:bCs/>
                <w:color w:val="auto"/>
                <w:sz w:val="28"/>
                <w:szCs w:val="28"/>
                <w:highlight w:val="none"/>
              </w:rPr>
              <w:br/>
            </w:r>
            <w:r>
              <w:rPr>
                <w:rFonts w:hint="eastAsia" w:ascii="宋体" w:cs="宋体"/>
                <w:color w:val="auto"/>
                <w:sz w:val="28"/>
                <w:szCs w:val="28"/>
              </w:rPr>
              <w:t xml:space="preserve">注：政府采购活动中既有本国产品又有非本国产品参与竞争的，依法对本国产品给予价格评审优惠，对本国产品的报价给予20%的价格扣除，用扣除后的价格参与评审。</w:t>
            </w:r>
            <w:r/>
          </w:p>
          <w:p>
            <w:pPr>
              <w:spacing w:line="440" w:lineRule="exact"/>
              <w:rPr>
                <w:rFonts w:ascii="宋体" w:cs="宋体"/>
                <w:color w:val="auto"/>
                <w:sz w:val="28"/>
                <w:szCs w:val="28"/>
              </w:rPr>
            </w:pPr>
            <w:r>
              <w:rPr>
                <w:rFonts w:hint="eastAsia" w:ascii="宋体" w:cs="宋体"/>
                <w:color w:val="auto"/>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ascii="宋体" w:cs="宋体"/>
                <w:color w:val="auto"/>
                <w:sz w:val="28"/>
                <w:szCs w:val="28"/>
              </w:rPr>
            </w:pPr>
            <w:r>
              <w:rPr>
                <w:rFonts w:hint="eastAsia" w:ascii="宋体" w:cs="宋体"/>
                <w:color w:val="auto"/>
                <w:sz w:val="28"/>
                <w:szCs w:val="28"/>
              </w:rPr>
              <w:t xml:space="preserve">该投标人的评审价格=《开标一览表》中的“总价”*（100%-20%）</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cs="宋体"/>
                <w:color w:val="auto"/>
                <w:sz w:val="28"/>
                <w:szCs w:val="28"/>
              </w:rPr>
              <w:t xml:space="preserve">享受价格评审优惠不改变最终中标价格，政府采购合同仍按照中标供应商的报价签订。</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业绩（</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投标文件中提供投标人为卖方（乙方），合同签订日期在202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年1月1日以后，每提供一个与本次采购项目同类或相似的合同得2分，本项最高得4分，未提供不得分。</w:t>
            </w:r>
            <w:r/>
          </w:p>
          <w:p>
            <w:pPr>
              <w:keepLines w:val="0"/>
              <w:keepNext w:val="0"/>
              <w:pageBreakBefore w:val="0"/>
              <w:spacing w:line="40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bCs/>
                <w:color w:val="auto"/>
                <w:sz w:val="28"/>
                <w:szCs w:val="28"/>
                <w:highlight w:val="none"/>
              </w:rPr>
              <w:t xml:space="preserve">时间以合同签订时间为准，投标文件中同时提供合同原件扫描件并加盖电子签章，不提供或提供内容模糊不清该项不得分。</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评价</w:t>
            </w:r>
            <w:r/>
          </w:p>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投标人具备有效期内质量管理体系认证证书得1分；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投标人具备有效期内环境管理体系认证证书得1分；</w:t>
            </w:r>
            <w:r/>
          </w:p>
          <w:p>
            <w:pPr>
              <w:pStyle w:val="829"/>
              <w:ind w:left="0" w:firstLine="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投标人具备有效期内职业健康安全管理体系认证证书得1分。</w:t>
            </w:r>
            <w:r/>
          </w:p>
          <w:p>
            <w:pPr>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投标文件中</w:t>
            </w:r>
            <w:r>
              <w:rPr>
                <w:rFonts w:hint="eastAsia" w:ascii="宋体" w:hAnsi="宋体" w:eastAsia="宋体" w:cs="宋体"/>
                <w:b/>
                <w:bCs/>
                <w:color w:val="auto"/>
                <w:sz w:val="28"/>
                <w:szCs w:val="28"/>
                <w:highlight w:val="none"/>
              </w:rPr>
              <w:t xml:space="preserve">需提供证书扫描件，不提供或提供内容模糊不清该项不得分。</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所投产品的技术规格（</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根据投标人技术规格参数响应情况评分。完全满足招标文件《第六章（采购需求）》中“</w:t>
            </w:r>
            <w:r>
              <w:rPr>
                <w:rFonts w:hint="eastAsia" w:ascii="宋体" w:hAnsi="宋体" w:eastAsia="宋体" w:cs="宋体"/>
                <w:color w:val="auto"/>
                <w:sz w:val="28"/>
                <w:szCs w:val="28"/>
                <w:highlight w:val="none"/>
                <w:lang w:val="en-US" w:eastAsia="zh-CN"/>
              </w:rPr>
              <w:t xml:space="preserve">四、技术规格参数</w:t>
            </w:r>
            <w:r>
              <w:rPr>
                <w:rFonts w:hint="eastAsia" w:ascii="宋体" w:hAnsi="宋体" w:eastAsia="宋体" w:cs="宋体"/>
                <w:color w:val="auto"/>
                <w:sz w:val="28"/>
                <w:szCs w:val="28"/>
                <w:highlight w:val="none"/>
              </w:rPr>
              <w:t xml:space="preserve">”要求得</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分。低于招标文件要求的，每项不满足或负偏离扣1分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扣完为止。</w:t>
            </w:r>
            <w:r/>
          </w:p>
          <w:p>
            <w:pPr>
              <w:keepLines w:val="0"/>
              <w:keepNext w:val="0"/>
              <w:pageBreakBefore w:val="0"/>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t xml:space="preserve">本项最高</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分，最低0分。</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对项目实施方案进行综合比较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内容至少包含人员安排、实施流程、供货的保障措施、供货计划安排、应急方案、验收方案等</w:t>
            </w:r>
            <w:r>
              <w:rPr>
                <w:rFonts w:hint="eastAsia" w:ascii="宋体" w:hAnsi="宋体" w:eastAsia="宋体" w:cs="宋体"/>
                <w:color w:val="auto"/>
                <w:sz w:val="28"/>
                <w:szCs w:val="28"/>
                <w:highlight w:val="none"/>
              </w:rPr>
              <w:t xml:space="preserve">：</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方案完整性（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分）方案完整完全符合项目特点的得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分；较为完整的得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分；不完整的得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针对性(4分)：针对性强得4分；针对性较强得3分；针对性不强得1分。</w:t>
            </w:r>
            <w:r/>
          </w:p>
          <w:p>
            <w:pPr>
              <w:keepLines w:val="0"/>
              <w:keepNext w:val="0"/>
              <w:pageBreakBefore w:val="0"/>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可行性（4分)：符合实际切实可行得4分；较切实可行得3分;可行性欠缺得1分；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未提供方案不得分。</w:t>
            </w:r>
            <w:r/>
          </w:p>
        </w:tc>
      </w:tr>
      <w:tr>
        <w:trPr>
          <w:jc w:val="center"/>
          <w:trHeight w:val="1812"/>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设备安装调试、配送方案（</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对项目整体的设备安装调试、配送方案进行综合比较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内容至少包含包装与运输；配送计划；卸货与进场；安装前准备；工程师数量、资质、经验；调试与测试；试运行等。</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方案完整性（</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分）方案完整完全符合项目特点的得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分；较为完整的得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分；不完整的得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合理性（</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分）方案科学合理的得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分；较为科学合理的得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分；欠缺的得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可行性（2分）方案可行性强的得2分；较强的得1分；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未提供方案不得分。</w:t>
            </w:r>
            <w:r/>
          </w:p>
        </w:tc>
      </w:tr>
      <w:tr>
        <w:trPr>
          <w:jc w:val="center"/>
          <w:trHeight w:val="976"/>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培训方案（</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根据投标文件中的培训方案综合比较评价</w:t>
            </w:r>
            <w:r>
              <w:rPr>
                <w:rFonts w:hint="eastAsia" w:ascii="宋体" w:hAnsi="宋体" w:eastAsia="宋体" w:cs="宋体"/>
                <w:color w:val="auto"/>
                <w:sz w:val="28"/>
                <w:szCs w:val="28"/>
                <w:highlight w:val="none"/>
                <w:lang w:val="en-US" w:eastAsia="zh-CN"/>
              </w:rPr>
              <w:t xml:space="preserve">，内容至少包含培训计划、培训内容、培训方式等。</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方案完整性（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分）方案完整完全符合项目特点的得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分；较为完整的得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分；不完整的得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合理性（</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分）方案科学合理的得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分；较为科学合理的得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分；欠缺的得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可行性（2分）方案可行性强的得2分；较强的得1分；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未提供方案不得分。</w:t>
            </w:r>
            <w:r/>
          </w:p>
        </w:tc>
      </w:tr>
      <w:tr>
        <w:trPr>
          <w:jc w:val="center"/>
          <w:trHeight w:val="503"/>
        </w:trPr>
        <w:tc>
          <w:tcPr>
            <w:tcW w:w="206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售后服务方案（</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7896"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根据投标文件中的售后服务方案综合比较评价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内容至少包含售后服务方式、响应时间、应急保障措施等。</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方案完整性（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分）方案完整完全符合项目特点的得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分；较为完整的得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分；不完整的得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合理性（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分）方案科学合理的得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分；较为科学合理的得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分；欠缺的得</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可行性（2分）方案可行性强的得2分；较强的得1分；</w:t>
            </w:r>
            <w:r/>
          </w:p>
          <w:p>
            <w:pPr>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未提供方案不得分。</w:t>
            </w:r>
            <w:r/>
          </w:p>
        </w:tc>
      </w:tr>
    </w:tbl>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57"/>
        <w:spacing w:line="520" w:lineRule="exact"/>
        <w:rPr>
          <w:rFonts w:ascii="宋体" w:hAnsi="宋体"/>
        </w:rPr>
      </w:pPr>
      <w:r/>
      <w:bookmarkStart w:id="19" w:name="_Toc523404699"/>
      <w:r/>
      <w:bookmarkStart w:id="20" w:name="_Toc522790134"/>
      <w:r>
        <w:rPr>
          <w:rFonts w:hint="eastAsia" w:ascii="宋体" w:hAnsi="宋体"/>
        </w:rPr>
        <w:br w:type="page" w:clear="all"/>
      </w:r>
      <w:r/>
    </w:p>
    <w:p>
      <w:pPr>
        <w:pStyle w:val="1095"/>
        <w:numPr>
          <w:ilvl w:val="0"/>
          <w:numId w:val="3"/>
        </w:numPr>
        <w:ind w:left="0" w:firstLine="420"/>
        <w:rPr>
          <w:rFonts w:ascii="宋体" w:hAnsi="宋体" w:eastAsia="宋体"/>
        </w:rPr>
      </w:pPr>
      <w:r>
        <w:rPr>
          <w:rFonts w:ascii="宋体" w:hAnsi="宋体" w:eastAsia="宋体"/>
        </w:rPr>
        <w:t xml:space="preserve"> 拟签订的合同文本</w:t>
      </w:r>
      <w:bookmarkEnd w:id="19"/>
      <w:r/>
      <w:bookmarkEnd w:id="20"/>
      <w:r/>
      <w:bookmarkStart w:id="21" w:name="_Toc522790135"/>
      <w:r/>
      <w:bookmarkStart w:id="22" w:name="_Toc523404700"/>
      <w:r/>
      <w:r/>
    </w:p>
    <w:p>
      <w:pPr>
        <w:pStyle w:val="942"/>
        <w:rPr>
          <w:rFonts w:hint="eastAsia" w:ascii="宋体" w:hAnsi="宋体" w:cs="宋体"/>
          <w:sz w:val="24"/>
        </w:rPr>
      </w:pPr>
      <w:r>
        <w:rPr>
          <w:rFonts w:hint="eastAsia" w:ascii="宋体" w:hAnsi="宋体" w:cs="宋体"/>
          <w:sz w:val="24"/>
        </w:rPr>
        <w:t xml:space="preserve">项目名称：</w:t>
      </w:r>
      <w:r/>
    </w:p>
    <w:p>
      <w:pPr>
        <w:pStyle w:val="942"/>
        <w:rPr>
          <w:rFonts w:hint="eastAsia" w:ascii="宋体" w:hAnsi="宋体" w:cs="宋体"/>
          <w:sz w:val="28"/>
          <w:szCs w:val="28"/>
        </w:rPr>
      </w:pPr>
      <w:r>
        <w:rPr>
          <w:rFonts w:hint="eastAsia" w:ascii="宋体" w:hAnsi="宋体" w:cs="宋体"/>
          <w:sz w:val="24"/>
        </w:rPr>
        <w:t xml:space="preserve">项目编号：</w:t>
      </w:r>
      <w:r/>
    </w:p>
    <w:p>
      <w:pPr>
        <w:pStyle w:val="942"/>
        <w:jc w:val="center"/>
        <w:rPr>
          <w:rFonts w:hint="eastAsia" w:ascii="宋体" w:hAnsi="宋体" w:cs="宋体"/>
          <w:sz w:val="72"/>
          <w:szCs w:val="72"/>
        </w:rPr>
      </w:pPr>
      <w:r>
        <w:rPr>
          <w:rFonts w:hint="eastAsia" w:ascii="宋体" w:hAnsi="宋体" w:cs="宋体"/>
          <w:sz w:val="72"/>
          <w:szCs w:val="72"/>
        </w:rPr>
      </w:r>
      <w:r/>
    </w:p>
    <w:p>
      <w:pPr>
        <w:pStyle w:val="942"/>
        <w:jc w:val="center"/>
        <w:rPr>
          <w:rFonts w:hint="eastAsia" w:ascii="宋体" w:hAnsi="宋体" w:cs="宋体"/>
          <w:sz w:val="72"/>
          <w:szCs w:val="72"/>
        </w:rPr>
      </w:pPr>
      <w:r>
        <w:rPr>
          <w:rFonts w:hint="eastAsia" w:ascii="宋体" w:hAnsi="宋体" w:cs="宋体"/>
          <w:sz w:val="72"/>
          <w:szCs w:val="72"/>
        </w:rPr>
        <w:t xml:space="preserve">合</w:t>
      </w:r>
      <w:r/>
    </w:p>
    <w:p>
      <w:pPr>
        <w:pStyle w:val="942"/>
        <w:jc w:val="center"/>
        <w:rPr>
          <w:rFonts w:hint="eastAsia" w:ascii="宋体" w:hAnsi="宋体" w:cs="宋体"/>
          <w:sz w:val="72"/>
          <w:szCs w:val="72"/>
        </w:rPr>
      </w:pPr>
      <w:r>
        <w:rPr>
          <w:rFonts w:hint="eastAsia" w:ascii="宋体" w:hAnsi="宋体" w:cs="宋体"/>
          <w:sz w:val="72"/>
          <w:szCs w:val="72"/>
        </w:rPr>
      </w:r>
      <w:r/>
    </w:p>
    <w:p>
      <w:pPr>
        <w:pStyle w:val="942"/>
        <w:jc w:val="center"/>
        <w:rPr>
          <w:rFonts w:hint="eastAsia" w:ascii="宋体" w:hAnsi="宋体" w:cs="宋体"/>
          <w:sz w:val="72"/>
          <w:szCs w:val="72"/>
        </w:rPr>
      </w:pPr>
      <w:r>
        <w:rPr>
          <w:rFonts w:hint="eastAsia" w:ascii="宋体" w:hAnsi="宋体" w:cs="宋体"/>
          <w:sz w:val="72"/>
          <w:szCs w:val="72"/>
        </w:rPr>
      </w:r>
      <w:r/>
    </w:p>
    <w:p>
      <w:pPr>
        <w:pStyle w:val="942"/>
        <w:jc w:val="center"/>
        <w:rPr>
          <w:rFonts w:hint="eastAsia" w:ascii="宋体" w:hAnsi="宋体" w:cs="宋体"/>
          <w:sz w:val="72"/>
          <w:szCs w:val="72"/>
        </w:rPr>
      </w:pPr>
      <w:r>
        <w:rPr>
          <w:rFonts w:hint="eastAsia" w:ascii="宋体" w:hAnsi="宋体" w:cs="宋体"/>
          <w:sz w:val="72"/>
          <w:szCs w:val="72"/>
        </w:rPr>
      </w:r>
      <w:r/>
    </w:p>
    <w:p>
      <w:pPr>
        <w:pStyle w:val="942"/>
        <w:jc w:val="center"/>
        <w:rPr>
          <w:rFonts w:hint="eastAsia" w:ascii="宋体" w:hAnsi="宋体" w:cs="宋体"/>
          <w:sz w:val="72"/>
          <w:szCs w:val="72"/>
        </w:rPr>
      </w:pPr>
      <w:r>
        <w:rPr>
          <w:rFonts w:hint="eastAsia" w:ascii="宋体" w:hAnsi="宋体" w:cs="宋体"/>
          <w:sz w:val="72"/>
          <w:szCs w:val="72"/>
        </w:rPr>
        <w:t xml:space="preserve">同</w:t>
      </w:r>
      <w:r/>
    </w:p>
    <w:p>
      <w:pPr>
        <w:pStyle w:val="942"/>
        <w:rPr>
          <w:rFonts w:hint="eastAsia" w:ascii="宋体" w:hAnsi="宋体" w:cs="宋体"/>
        </w:rPr>
      </w:pPr>
      <w:r>
        <w:rPr>
          <w:rFonts w:hint="eastAsia" w:ascii="宋体" w:hAnsi="宋体" w:cs="宋体"/>
        </w:rPr>
      </w:r>
      <w:r/>
    </w:p>
    <w:p>
      <w:pPr>
        <w:pStyle w:val="942"/>
        <w:rPr>
          <w:rFonts w:hint="eastAsia" w:ascii="宋体" w:hAnsi="宋体" w:cs="宋体"/>
        </w:rPr>
      </w:pPr>
      <w:r>
        <w:rPr>
          <w:rFonts w:hint="eastAsia" w:ascii="宋体" w:hAnsi="宋体" w:cs="宋体"/>
        </w:rPr>
      </w:r>
      <w:r/>
    </w:p>
    <w:p>
      <w:pPr>
        <w:pStyle w:val="942"/>
        <w:rPr>
          <w:rFonts w:hint="eastAsia" w:ascii="宋体" w:hAnsi="宋体" w:cs="宋体"/>
        </w:rPr>
      </w:pPr>
      <w:r>
        <w:rPr>
          <w:rFonts w:hint="eastAsia" w:ascii="宋体" w:hAnsi="宋体" w:cs="宋体"/>
        </w:rPr>
      </w:r>
      <w:r/>
    </w:p>
    <w:p>
      <w:pPr>
        <w:pStyle w:val="942"/>
        <w:jc w:val="left"/>
        <w:rPr>
          <w:rFonts w:hint="eastAsia" w:ascii="宋体" w:hAnsi="宋体" w:cs="宋体"/>
          <w:sz w:val="28"/>
          <w:szCs w:val="28"/>
        </w:rPr>
      </w:pPr>
      <w:r>
        <w:rPr>
          <w:rFonts w:hint="eastAsia" w:ascii="宋体" w:hAnsi="宋体" w:cs="宋体"/>
          <w:sz w:val="28"/>
          <w:szCs w:val="28"/>
        </w:rPr>
      </w:r>
      <w:r/>
    </w:p>
    <w:p>
      <w:pPr>
        <w:pStyle w:val="942"/>
        <w:jc w:val="left"/>
        <w:rPr>
          <w:rFonts w:hint="eastAsia" w:ascii="宋体" w:hAnsi="宋体" w:cs="宋体"/>
          <w:sz w:val="28"/>
          <w:szCs w:val="28"/>
        </w:rPr>
      </w:pPr>
      <w:r>
        <w:rPr>
          <w:rFonts w:hint="eastAsia" w:ascii="宋体" w:hAnsi="宋体" w:cs="宋体"/>
          <w:sz w:val="28"/>
          <w:szCs w:val="28"/>
        </w:rPr>
      </w:r>
      <w:r/>
    </w:p>
    <w:p>
      <w:pPr>
        <w:pStyle w:val="942"/>
        <w:jc w:val="left"/>
        <w:rPr>
          <w:rFonts w:hint="eastAsia" w:ascii="宋体" w:hAnsi="宋体" w:cs="宋体"/>
          <w:sz w:val="24"/>
        </w:rPr>
      </w:pPr>
      <w:r>
        <w:rPr>
          <w:rFonts w:hint="eastAsia" w:ascii="宋体" w:hAnsi="宋体" w:cs="宋体"/>
          <w:sz w:val="24"/>
        </w:rPr>
        <w:t xml:space="preserve">采  购  人：</w:t>
      </w:r>
      <w:r/>
    </w:p>
    <w:p>
      <w:pPr>
        <w:pStyle w:val="942"/>
        <w:jc w:val="left"/>
        <w:rPr>
          <w:rFonts w:hint="eastAsia" w:ascii="宋体" w:hAnsi="宋体" w:cs="宋体"/>
          <w:sz w:val="24"/>
        </w:rPr>
      </w:pPr>
      <w:r>
        <w:rPr>
          <w:rFonts w:hint="eastAsia" w:ascii="宋体" w:hAnsi="宋体" w:cs="宋体"/>
          <w:sz w:val="24"/>
        </w:rPr>
        <w:t xml:space="preserve">中标供应商：</w:t>
      </w:r>
      <w:r/>
    </w:p>
    <w:p>
      <w:pPr>
        <w:pStyle w:val="942"/>
        <w:jc w:val="left"/>
        <w:rPr>
          <w:rFonts w:hint="eastAsia" w:ascii="宋体" w:hAnsi="宋体" w:cs="宋体"/>
          <w:sz w:val="24"/>
        </w:rPr>
      </w:pPr>
      <w:r>
        <w:rPr>
          <w:rFonts w:hint="eastAsia" w:ascii="宋体" w:hAnsi="宋体" w:cs="宋体"/>
          <w:sz w:val="24"/>
        </w:rPr>
        <w:t xml:space="preserve">合同签订日期： 年 月 日</w:t>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13"/>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第一节 政府采购合同协议书</w:t>
      </w:r>
      <w:r/>
    </w:p>
    <w:p>
      <w:pPr>
        <w:pStyle w:val="813"/>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徐州市检验检测中心</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28"/>
        <w:ind w:left="0" w:firstLine="42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4"/>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828"/>
        <w:numPr>
          <w:ilvl w:val="0"/>
          <w:numId w:val="0"/>
        </w:numPr>
        <w:ind w:left="420"/>
        <w:spacing w:after="0"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采购项目编号：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  </w:t>
      </w:r>
      <w:r>
        <w:rPr>
          <w:rFonts w:hint="eastAsia" w:ascii="宋体" w:hAnsi="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p>
    <w:p>
      <w:pPr>
        <w:pStyle w:val="828"/>
        <w:ind w:left="0" w:firstLine="42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    采购标的及数量（台/套/个/架/组等）：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w:t>
      </w:r>
      <w:r/>
    </w:p>
    <w:p>
      <w:pPr>
        <w:numPr>
          <w:ilvl w:val="0"/>
          <w:numId w:val="0"/>
        </w:numPr>
        <w:ind w:left="840" w:hanging="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     </w:t>
      </w:r>
      <w:r>
        <w:rPr>
          <w:rFonts w:hint="eastAsia" w:ascii="宋体" w:hAnsi="宋体" w:eastAsia="宋体" w:cs="宋体"/>
          <w:sz w:val="24"/>
          <w:szCs w:val="24"/>
        </w:rPr>
        <w:br/>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w:t>
      </w:r>
      <w:r/>
    </w:p>
    <w:p>
      <w:pPr>
        <w:ind w:firstLine="945"/>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采购标的的技术要求、商务要求具体见附件。</w:t>
      </w:r>
      <w:r/>
    </w:p>
    <w:p>
      <w:pPr>
        <w:numPr>
          <w:ilvl w:val="0"/>
          <w:numId w:val="0"/>
        </w:numPr>
        <w:ind w:firstLine="945"/>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①涉及信息类产品，请填写该产品关键部件的品牌、型号：</w:t>
      </w:r>
      <w:r/>
    </w:p>
    <w:p>
      <w:pPr>
        <w:numPr>
          <w:ilvl w:val="0"/>
          <w:numId w:val="0"/>
        </w:numPr>
        <w:ind w:firstLine="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标的名称：</w:t>
      </w:r>
      <w:r>
        <w:rPr>
          <w:rFonts w:hint="eastAsia" w:ascii="宋体" w:hAnsi="宋体" w:eastAsia="宋体" w:cs="宋体"/>
          <w:sz w:val="24"/>
          <w:szCs w:val="24"/>
          <w:u w:val="single"/>
        </w:rPr>
        <w:t xml:space="preserve">                         </w:t>
      </w:r>
      <w:r/>
    </w:p>
    <w:p>
      <w:pPr>
        <w:numPr>
          <w:ilvl w:val="0"/>
          <w:numId w:val="0"/>
        </w:num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203"/>
        <w:ind w:firstLine="420"/>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203"/>
        <w:ind w:firstLine="420"/>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②涉及车辆采购，请填写是否属于新能源汽车：</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（4）政府采购组织形式：¨政府集中采购  ¨部门集中采购 </w:t>
      </w:r>
      <w:r>
        <w:rPr>
          <w:rFonts w:ascii="Wingdings" w:hAnsi="Wingdings" w:eastAsia="Wingdings" w:cs="Wingdings"/>
          <w:iCs/>
          <w:sz w:val="24"/>
          <w:szCs w:val="24"/>
        </w:rPr>
        <w:t xml:space="preserve">þ</w:t>
      </w:r>
      <w:r>
        <w:rPr>
          <w:rFonts w:hint="eastAsia" w:ascii="宋体" w:hAnsi="宋体" w:eastAsia="宋体" w:cs="宋体"/>
          <w:sz w:val="24"/>
          <w:szCs w:val="24"/>
        </w:rPr>
        <w:t xml:space="preserve">分散采购</w:t>
      </w:r>
      <w:r/>
    </w:p>
    <w:p>
      <w:pPr>
        <w:pStyle w:val="1203"/>
        <w:numPr>
          <w:ilvl w:val="0"/>
          <w:numId w:val="0"/>
        </w:numPr>
        <w:ind w:firstLine="420"/>
        <w:rPr>
          <w:rFonts w:hint="eastAsia" w:ascii="宋体" w:hAnsi="宋体" w:eastAsia="宋体" w:cs="宋体"/>
          <w:sz w:val="24"/>
          <w:szCs w:val="24"/>
        </w:rPr>
      </w:pPr>
      <w:r>
        <w:rPr>
          <w:rFonts w:hint="eastAsia" w:ascii="宋体" w:hAnsi="宋体" w:eastAsia="宋体" w:cs="宋体"/>
          <w:sz w:val="24"/>
          <w:szCs w:val="24"/>
        </w:rPr>
        <w:t xml:space="preserve">（5）政府采购方式：</w:t>
      </w:r>
      <w:r>
        <w:rPr>
          <w:rFonts w:ascii="Wingdings" w:hAnsi="Wingdings" w:eastAsia="Wingdings" w:cs="Wingdings"/>
          <w:iCs/>
          <w:sz w:val="24"/>
          <w:szCs w:val="24"/>
        </w:rPr>
        <w:t xml:space="preserve">þ</w:t>
      </w:r>
      <w:r>
        <w:rPr>
          <w:rFonts w:hint="eastAsia" w:ascii="宋体" w:hAnsi="宋体" w:eastAsia="宋体" w:cs="宋体"/>
          <w:sz w:val="24"/>
          <w:szCs w:val="24"/>
        </w:rPr>
        <w:t xml:space="preserve">公开招标 ¨邀请招标 ¨竞争性谈判 ¨竞争性磋商</w:t>
      </w:r>
      <w:r/>
    </w:p>
    <w:p>
      <w:pPr>
        <w:pStyle w:val="1203"/>
        <w:numPr>
          <w:ilvl w:val="0"/>
          <w:numId w:val="0"/>
        </w:numPr>
        <w:ind w:firstLine="420"/>
        <w:rPr>
          <w:rFonts w:hint="eastAsia" w:ascii="宋体" w:hAnsi="宋体" w:eastAsia="宋体" w:cs="宋体"/>
          <w:sz w:val="24"/>
          <w:szCs w:val="24"/>
          <w:u w:val="single"/>
        </w:rPr>
      </w:pPr>
      <w:r>
        <w:rPr>
          <w:rFonts w:hint="eastAsia" w:ascii="宋体" w:hAnsi="宋体" w:eastAsia="宋体" w:cs="宋体"/>
          <w:sz w:val="24"/>
          <w:szCs w:val="24"/>
        </w:rPr>
        <w:t xml:space="preserve">                  ¨询价 ¨单一来源 ¨框架协议 ¨其他：</w:t>
      </w:r>
      <w:r>
        <w:rPr>
          <w:rFonts w:hint="eastAsia" w:ascii="宋体" w:hAnsi="宋体" w:eastAsia="宋体" w:cs="宋体"/>
          <w:sz w:val="24"/>
          <w:szCs w:val="24"/>
          <w:u w:val="single"/>
        </w:rPr>
        <w:t xml:space="preserve">          </w:t>
      </w:r>
      <w:r/>
    </w:p>
    <w:p>
      <w:pPr>
        <w:pStyle w:val="1203"/>
        <w:numPr>
          <w:ilvl w:val="0"/>
          <w:numId w:val="0"/>
        </w:numPr>
        <w:ind w:firstLine="220"/>
        <w:rPr>
          <w:rFonts w:hint="eastAsia" w:ascii="宋体" w:hAnsi="宋体" w:eastAsia="宋体" w:cs="宋体"/>
          <w:sz w:val="24"/>
          <w:szCs w:val="24"/>
        </w:rPr>
      </w:pPr>
      <w:r>
        <w:rPr>
          <w:rFonts w:hint="eastAsia" w:ascii="宋体" w:hAnsi="宋体" w:eastAsia="宋体" w:cs="宋体"/>
          <w:sz w:val="24"/>
          <w:szCs w:val="24"/>
        </w:rPr>
        <w:t xml:space="preserve">（6）中标采购标的制造商是否为中小企业：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0"/>
          <w:numId w:val="0"/>
        </w:num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本合同是否为专门面向中小企业的采购合同（中小企业预留合同）：</w:t>
      </w: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numPr>
          <w:ilvl w:val="0"/>
          <w:numId w:val="0"/>
        </w:num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若本项目不专门面向中小企业采购，是否给予小微企业评审优惠：</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numPr>
          <w:ilvl w:val="0"/>
          <w:numId w:val="0"/>
        </w:num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中标采购标的制造商是否为残疾人福利性单位：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中标采购标的制造商是否为监狱企业：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（7）合同是否分包：</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þ</w:t>
      </w:r>
      <w:r>
        <w:rPr>
          <w:rFonts w:hint="eastAsia" w:ascii="宋体" w:hAnsi="宋体" w:eastAsia="宋体" w:cs="宋体"/>
          <w:iCs/>
          <w:sz w:val="24"/>
          <w:szCs w:val="24"/>
        </w:rPr>
        <w:t xml:space="preserve">否</w:t>
      </w:r>
      <w:r/>
    </w:p>
    <w:p>
      <w:pPr>
        <w:ind w:firstLine="96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未经甲方书面同意，乙方不得将合同项下的任何部分进行分包。若乙方违反规定，甲方有权解除合同并要求乙方承担违约责任。</w:t>
      </w:r>
      <w:r/>
    </w:p>
    <w:p>
      <w:pPr>
        <w:ind w:firstLine="84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分包主要内容：</w:t>
      </w:r>
      <w:r>
        <w:rPr>
          <w:rFonts w:hint="eastAsia" w:ascii="宋体" w:hAnsi="宋体" w:eastAsia="宋体" w:cs="宋体"/>
          <w:color w:val="000000"/>
          <w:sz w:val="24"/>
          <w:szCs w:val="24"/>
          <w:u w:val="single"/>
        </w:rPr>
        <w:t xml:space="preserve">                                            </w:t>
      </w:r>
      <w:r/>
    </w:p>
    <w:p>
      <w:pPr>
        <w:ind w:firstLine="8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分包供应商/制造商名称（如供应商和制造商不同，请分别填写）：</w:t>
      </w:r>
      <w:r/>
    </w:p>
    <w:p>
      <w:pPr>
        <w:ind w:firstLine="84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p>
    <w:p>
      <w:pPr>
        <w:ind w:firstLine="8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分包供应商/制造商类型（如果供应商和制造商不同，只填写制造商类型）：</w:t>
      </w:r>
      <w:r/>
    </w:p>
    <w:p>
      <w:pPr>
        <w:ind w:firstLine="840"/>
        <w:spacing w:line="400" w:lineRule="exact"/>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大型企业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中型企业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小微型企业  </w:t>
      </w:r>
      <w:r/>
    </w:p>
    <w:p>
      <w:pPr>
        <w:ind w:firstLine="840"/>
        <w:spacing w:line="400" w:lineRule="exact"/>
        <w:rPr>
          <w:rFonts w:hint="eastAsia" w:ascii="宋体" w:hAnsi="宋体" w:eastAsia="宋体" w:cs="宋体"/>
          <w:color w:val="000000"/>
          <w:sz w:val="24"/>
          <w:szCs w:val="24"/>
        </w:rPr>
      </w:pPr>
      <w:r>
        <w:rPr>
          <w:rFonts w:hint="eastAsia" w:ascii="宋体" w:hAnsi="宋体" w:eastAsia="宋体" w:cs="宋体"/>
          <w:iCs/>
          <w:color w:val="000000"/>
          <w:sz w:val="24"/>
          <w:szCs w:val="24"/>
        </w:rPr>
        <w:t xml:space="preserve">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残疾人福利性单位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监狱企业 </w:t>
      </w:r>
      <w:r>
        <w:rPr>
          <w:rFonts w:ascii="Wingdings" w:hAnsi="Wingdings" w:eastAsia="Wingdings" w:cs="Wingdings"/>
          <w:sz w:val="24"/>
          <w:szCs w:val="24"/>
        </w:rPr>
        <w:t xml:space="preserve">¨</w:t>
      </w:r>
      <w:r>
        <w:rPr>
          <w:rFonts w:hint="eastAsia" w:ascii="宋体" w:hAnsi="宋体" w:eastAsia="宋体" w:cs="宋体"/>
          <w:iCs/>
          <w:color w:val="000000"/>
          <w:sz w:val="24"/>
          <w:szCs w:val="24"/>
        </w:rPr>
        <w:t xml:space="preserve">其他</w:t>
      </w:r>
      <w:r/>
    </w:p>
    <w:p>
      <w:pPr>
        <w:numPr>
          <w:ilvl w:val="0"/>
          <w:numId w:val="0"/>
        </w:num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（8）中标供应商是否为外商投资企业：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þ</w:t>
      </w:r>
      <w:r>
        <w:rPr>
          <w:rFonts w:hint="eastAsia" w:ascii="宋体" w:hAnsi="宋体" w:eastAsia="宋体" w:cs="宋体"/>
          <w:iCs/>
          <w:sz w:val="24"/>
          <w:szCs w:val="24"/>
        </w:rPr>
        <w:t xml:space="preserve">否</w:t>
      </w:r>
      <w:r/>
    </w:p>
    <w:p>
      <w:pPr>
        <w:pStyle w:val="1203"/>
        <w:ind w:firstLine="420"/>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hint="eastAsia" w:ascii="宋体" w:hAnsi="宋体" w:eastAsia="宋体" w:cs="宋体"/>
          <w:iCs/>
          <w:sz w:val="24"/>
          <w:szCs w:val="24"/>
        </w:rPr>
        <w:t xml:space="preserve">¨</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 xml:space="preserve">¨部分由外国投资者投资</w:t>
      </w:r>
      <w:r/>
    </w:p>
    <w:p>
      <w:pPr>
        <w:numPr>
          <w:ilvl w:val="0"/>
          <w:numId w:val="0"/>
        </w:num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（9）是否涉及进口产品：</w:t>
      </w:r>
      <w:r/>
    </w:p>
    <w:p>
      <w:pPr>
        <w:numPr>
          <w:ilvl w:val="0"/>
          <w:numId w:val="0"/>
        </w:numPr>
        <w:ind w:firstLine="84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p>
    <w:p>
      <w:pPr>
        <w:numPr>
          <w:ilvl w:val="0"/>
          <w:numId w:val="0"/>
        </w:num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国别：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iCs/>
          <w:sz w:val="24"/>
          <w:szCs w:val="24"/>
        </w:rPr>
        <w:t xml:space="preserve">þ</w:t>
      </w:r>
      <w:r>
        <w:rPr>
          <w:rFonts w:hint="eastAsia" w:ascii="宋体" w:hAnsi="宋体" w:eastAsia="宋体" w:cs="宋体"/>
          <w:sz w:val="24"/>
          <w:szCs w:val="24"/>
        </w:rPr>
        <w:t xml:space="preserve">否</w:t>
      </w:r>
      <w:r/>
    </w:p>
    <w:p>
      <w:pPr>
        <w:numPr>
          <w:ilvl w:val="0"/>
          <w:numId w:val="0"/>
        </w:num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（10）是否涉及节能产品：</w:t>
      </w:r>
      <w:r/>
    </w:p>
    <w:p>
      <w:pPr>
        <w:numPr>
          <w:ilvl w:val="0"/>
          <w:numId w:val="0"/>
        </w:num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         ¨是，《节能产品政府采购品目清单》的底级品目名称：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0"/>
          <w:numId w:val="0"/>
        </w:num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numPr>
          <w:ilvl w:val="0"/>
          <w:numId w:val="0"/>
        </w:numPr>
        <w:spacing w:line="40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¨否</w:t>
      </w:r>
      <w:r/>
    </w:p>
    <w:p>
      <w:pPr>
        <w:numPr>
          <w:ilvl w:val="0"/>
          <w:numId w:val="0"/>
        </w:num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是否涉及环境标志产品：</w:t>
      </w:r>
      <w:r/>
    </w:p>
    <w:p>
      <w:pPr>
        <w:numPr>
          <w:ilvl w:val="0"/>
          <w:numId w:val="0"/>
        </w:num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¨是，《环境标志产品政府采购品目清单》的底级品目名称：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0"/>
          <w:numId w:val="0"/>
        </w:num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numPr>
          <w:ilvl w:val="0"/>
          <w:numId w:val="0"/>
        </w:numPr>
        <w:spacing w:line="40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¨否</w:t>
      </w:r>
      <w:r/>
    </w:p>
    <w:p>
      <w:pPr>
        <w:pStyle w:val="120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是否涉及绿色产品： </w:t>
      </w:r>
      <w:r/>
    </w:p>
    <w:p>
      <w:pPr>
        <w:pStyle w:val="1203"/>
        <w:ind w:firstLine="420"/>
        <w:rPr>
          <w:rFonts w:hint="eastAsia" w:ascii="宋体" w:hAnsi="宋体" w:eastAsia="宋体" w:cs="宋体"/>
          <w:sz w:val="24"/>
          <w:szCs w:val="24"/>
          <w:u w:val="single"/>
        </w:rPr>
      </w:pPr>
      <w:r>
        <w:rPr>
          <w:rFonts w:hint="eastAsia" w:ascii="宋体" w:hAnsi="宋体" w:eastAsia="宋体" w:cs="宋体"/>
          <w:sz w:val="24"/>
          <w:szCs w:val="24"/>
        </w:rPr>
        <w:t xml:space="preserve">     ¨是，绿色产品政府采购相关政策确定的底级品目名称：</w:t>
      </w:r>
      <w:r>
        <w:rPr>
          <w:rFonts w:hint="eastAsia" w:ascii="宋体" w:hAnsi="宋体" w:eastAsia="宋体" w:cs="宋体"/>
          <w:sz w:val="24"/>
          <w:szCs w:val="24"/>
          <w:u w:val="single"/>
        </w:rPr>
        <w:t xml:space="preserve">         </w:t>
      </w:r>
      <w:r/>
    </w:p>
    <w:p>
      <w:pPr>
        <w:numPr>
          <w:ilvl w:val="0"/>
          <w:numId w:val="0"/>
        </w:num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pStyle w:val="1203"/>
        <w:ind w:firstLine="420"/>
        <w:rPr>
          <w:rFonts w:hint="eastAsia" w:ascii="宋体" w:hAnsi="宋体" w:eastAsia="宋体" w:cs="宋体"/>
          <w:sz w:val="24"/>
          <w:szCs w:val="24"/>
        </w:rPr>
      </w:pPr>
      <w:r>
        <w:rPr>
          <w:rFonts w:hint="eastAsia" w:ascii="宋体" w:hAnsi="宋体" w:eastAsia="宋体" w:cs="宋体"/>
          <w:sz w:val="24"/>
          <w:szCs w:val="24"/>
        </w:rPr>
        <w:t xml:space="preserve">     ¨否</w:t>
      </w:r>
      <w:r/>
    </w:p>
    <w:p>
      <w:pPr>
        <w:numPr>
          <w:ilvl w:val="0"/>
          <w:numId w:val="0"/>
        </w:num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（11）涉及商品包装和快递包装的，是否参考《商品包装政府采购需求标准（试行）》、《快递包装政府采购需求标准（试行）》明确产品及相关快递服务的具体包装要求：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hint="eastAsia" w:ascii="宋体" w:hAnsi="宋体" w:eastAsia="宋体" w:cs="宋体"/>
          <w:sz w:val="24"/>
          <w:szCs w:val="24"/>
        </w:rPr>
      </w:pPr>
      <w:r>
        <w:rPr>
          <w:rFonts w:ascii="Wingdings" w:hAnsi="Wingdings" w:eastAsia="Wingdings" w:cs="Wingdings"/>
          <w:iCs/>
          <w:sz w:val="24"/>
          <w:szCs w:val="24"/>
        </w:rPr>
        <w:t xml:space="preserve">þ</w:t>
      </w:r>
      <w:r>
        <w:rPr>
          <w:rFonts w:hint="eastAsia" w:ascii="宋体" w:hAnsi="宋体" w:eastAsia="宋体" w:cs="宋体"/>
          <w:sz w:val="24"/>
          <w:szCs w:val="24"/>
        </w:rPr>
        <w:t xml:space="preserve">是       ¨否      ¨不涉及</w:t>
      </w:r>
      <w:r/>
    </w:p>
    <w:p>
      <w:pPr>
        <w:numPr>
          <w:ilvl w:val="0"/>
          <w:numId w:val="4"/>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合同金额</w:t>
      </w:r>
      <w:r/>
    </w:p>
    <w:p>
      <w:pPr>
        <w:ind w:firstLine="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分包金额（如有）小写：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（注：固定单价合同应填写单价和最高限价）</w:t>
      </w:r>
      <w:r/>
    </w:p>
    <w:p>
      <w:pPr>
        <w:numPr>
          <w:ilvl w:val="0"/>
          <w:numId w:val="0"/>
        </w:num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（2）合同定价方式（采用组合定价方式的，可以勾选多项）：</w:t>
      </w:r>
      <w:r/>
    </w:p>
    <w:p>
      <w:pPr>
        <w:ind w:firstLine="420"/>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sz w:val="24"/>
          <w:szCs w:val="24"/>
        </w:rPr>
        <w:t xml:space="preserve">þ</w:t>
      </w:r>
      <w:r>
        <w:rPr>
          <w:rFonts w:hint="eastAsia" w:ascii="宋体" w:hAnsi="宋体" w:eastAsia="宋体" w:cs="宋体"/>
          <w:iCs/>
          <w:sz w:val="24"/>
          <w:szCs w:val="24"/>
        </w:rPr>
        <w:t xml:space="preserve">固定单价 </w:t>
      </w:r>
      <w:r>
        <w:rPr>
          <w:rFonts w:ascii="Wingdings" w:hAnsi="Wingdings" w:eastAsia="Wingdings" w:cs="Wingdings"/>
          <w:sz w:val="24"/>
          <w:szCs w:val="24"/>
        </w:rPr>
        <w:t xml:space="preserve">¨</w:t>
      </w:r>
      <w:r>
        <w:rPr>
          <w:rFonts w:hint="eastAsia" w:ascii="宋体" w:hAnsi="宋体" w:eastAsia="宋体" w:cs="宋体"/>
          <w:iCs/>
          <w:sz w:val="24"/>
          <w:szCs w:val="24"/>
        </w:rPr>
        <w:t xml:space="preserve">固定费率</w:t>
      </w:r>
      <w:r>
        <w:rPr>
          <w:rFonts w:ascii="Wingdings" w:hAnsi="Wingdings" w:eastAsia="Wingdings" w:cs="Wingdings"/>
          <w:sz w:val="24"/>
          <w:szCs w:val="24"/>
        </w:rPr>
        <w:t xml:space="preserve">¨</w:t>
      </w:r>
      <w:r>
        <w:rPr>
          <w:rFonts w:hint="eastAsia" w:ascii="宋体" w:hAnsi="宋体" w:eastAsia="宋体" w:cs="宋体"/>
          <w:iCs/>
          <w:sz w:val="24"/>
          <w:szCs w:val="24"/>
        </w:rPr>
        <w:t xml:space="preserve">成本补偿</w:t>
      </w:r>
      <w:r>
        <w:rPr>
          <w:rFonts w:ascii="Wingdings" w:hAnsi="Wingdings" w:eastAsia="Wingdings" w:cs="Wingdings"/>
          <w:sz w:val="24"/>
          <w:szCs w:val="24"/>
        </w:rPr>
        <w:t xml:space="preserve">¨</w:t>
      </w:r>
      <w:r>
        <w:rPr>
          <w:rFonts w:hint="eastAsia" w:ascii="宋体" w:hAnsi="宋体" w:eastAsia="宋体" w:cs="宋体"/>
          <w:iCs/>
          <w:sz w:val="24"/>
          <w:szCs w:val="24"/>
        </w:rPr>
        <w:t xml:space="preserve">绩效激励 </w:t>
      </w:r>
      <w:r>
        <w:rPr>
          <w:rFonts w:ascii="Wingdings" w:hAnsi="Wingdings" w:eastAsia="Wingdings" w:cs="Wingdings"/>
          <w:sz w:val="24"/>
          <w:szCs w:val="24"/>
        </w:rPr>
        <w:t xml:space="preserve">¨</w:t>
      </w:r>
      <w:r>
        <w:rPr>
          <w:rFonts w:hint="eastAsia" w:ascii="宋体" w:hAnsi="宋体" w:eastAsia="宋体" w:cs="宋体"/>
          <w:iCs/>
          <w:sz w:val="24"/>
          <w:szCs w:val="24"/>
        </w:rPr>
        <w:t xml:space="preserve">其他</w:t>
      </w:r>
      <w:r>
        <w:rPr>
          <w:rFonts w:hint="eastAsia" w:ascii="宋体" w:hAnsi="宋体" w:eastAsia="宋体" w:cs="宋体"/>
          <w:sz w:val="24"/>
          <w:szCs w:val="24"/>
          <w:u w:val="single"/>
        </w:rPr>
        <w:t xml:space="preserve">       </w:t>
      </w:r>
      <w:r/>
    </w:p>
    <w:p>
      <w:pPr>
        <w:pStyle w:val="1167"/>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（3）付款方式（按项目实际勾选填写）：</w:t>
      </w:r>
      <w:r/>
    </w:p>
    <w:p>
      <w:pPr>
        <w:ind w:firstLine="63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（应明确一次性支付合同款项的条件）                    </w:t>
      </w:r>
      <w:r/>
    </w:p>
    <w:p>
      <w:pPr>
        <w:ind w:firstLine="630"/>
        <w:rPr>
          <w:rFonts w:hint="eastAsia"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z w:val="24"/>
          <w:szCs w:val="24"/>
        </w:rPr>
        <w:t xml:space="preserve">分期付款：</w:t>
      </w:r>
      <w:r/>
    </w:p>
    <w:p>
      <w:pPr>
        <w:ind w:firstLine="9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ind w:firstLine="54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付款方式一：提交预付款保函的</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在双方签订合同后15 个工作日内，卖方向买方出具合同价款的百分之五十( 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)有效期为一年的银行保函后，由买方向卖方支付合同全款即￥</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，合同标的经买方全部验收合格后15个工作日内，由买方办理退还银行保函手续给卖方。</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1、卖方出具的全额正式发票；</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2、合同价款的百分之五十有效期为一年的银行保函。</w:t>
      </w:r>
      <w:r/>
    </w:p>
    <w:p>
      <w:pPr>
        <w:ind w:firstLine="54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rPr>
        <w:t xml:space="preserve">付款方式二：不提交预付款保函的</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合同价款的百分之五十(50%)即￥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人民币元整，</w:t>
      </w:r>
      <w:r>
        <w:rPr>
          <w:rFonts w:hint="eastAsia" w:ascii="宋体" w:hAnsi="宋体" w:eastAsia="宋体" w:cs="宋体"/>
          <w:color w:val="auto"/>
          <w:sz w:val="24"/>
          <w:szCs w:val="24"/>
          <w:highlight w:val="none"/>
        </w:rPr>
        <w:t xml:space="preserve">在双方签订合同后15个工作日内，买方办理政府采购资金结算手续支付给卖方。</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ind w:firstLine="5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卖方出具的合同价款的百分之五十(50%)正式发票。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合同总价的百分之五十(50%)即￥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人民币元整，</w:t>
      </w:r>
      <w:r>
        <w:rPr>
          <w:rFonts w:hint="eastAsia" w:ascii="宋体" w:hAnsi="宋体" w:eastAsia="宋体" w:cs="宋体"/>
          <w:color w:val="auto"/>
          <w:sz w:val="24"/>
          <w:szCs w:val="24"/>
          <w:highlight w:val="none"/>
        </w:rPr>
        <w:t xml:space="preserve">合同标的全部交付并安装完毕验收合格后15 个工作日内，由买方办理政府采购资金结算手续，经审核后支付给卖方。</w:t>
      </w:r>
      <w:r/>
    </w:p>
    <w:p>
      <w:pPr>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1、卖方出具的合同价款的百分之五十(50%)正式发票；</w:t>
      </w:r>
      <w:r/>
    </w:p>
    <w:p>
      <w:pPr>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2、买方出具的验收合格记录</w:t>
      </w:r>
      <w:r/>
    </w:p>
    <w:p>
      <w:pPr>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上述费用买方支付至卖方指定账户内。除卖方另行指定外，该指定账户信息为：</w:t>
      </w:r>
      <w:r/>
    </w:p>
    <w:p>
      <w:pPr>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在签订合同时，供应商明确表示无需预付款或者主动要求降低预付款比例的，采购人可不适用前述规定。</w:t>
      </w:r>
      <w:r/>
    </w:p>
    <w:p>
      <w:pPr>
        <w:ind w:firstLine="482"/>
        <w:spacing w:line="400" w:lineRule="exact"/>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3.合同履行</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（1）起始日期：年月日，完成日期：年月日。（或：合同生效日后，日内将合同标的全部交付并安装完毕。）</w:t>
      </w:r>
      <w:r/>
    </w:p>
    <w:p>
      <w:pPr>
        <w:ind w:firstLine="240"/>
        <w:spacing w:line="40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（2）履约地点</w:t>
      </w:r>
      <w:r>
        <w:rPr>
          <w:rFonts w:hint="eastAsia" w:ascii="宋体" w:hAnsi="宋体" w:eastAsia="宋体" w:cs="宋体"/>
          <w:bCs/>
          <w:color w:val="000000"/>
          <w:sz w:val="24"/>
          <w:szCs w:val="24"/>
        </w:rPr>
        <w:t xml:space="preserve">：</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（3）履约担保：</w:t>
      </w:r>
      <w:r>
        <w:rPr>
          <w:rFonts w:hint="eastAsia" w:ascii="宋体" w:hAnsi="宋体" w:eastAsia="宋体" w:cs="宋体"/>
          <w:color w:val="000000"/>
          <w:sz w:val="24"/>
          <w:szCs w:val="24"/>
        </w:rPr>
        <w:t xml:space="preserve">是否收取履约保证金：</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是    </w:t>
      </w:r>
      <w:r>
        <w:rPr>
          <w:rFonts w:ascii="Wingdings" w:hAnsi="Wingdings" w:eastAsia="Wingdings" w:cs="Wingdings"/>
          <w:color w:val="000000"/>
          <w:sz w:val="24"/>
          <w:szCs w:val="24"/>
        </w:rPr>
        <w:t xml:space="preserve">þ</w:t>
      </w:r>
      <w:r>
        <w:rPr>
          <w:rFonts w:hint="eastAsia" w:ascii="宋体" w:hAnsi="宋体" w:eastAsia="宋体" w:cs="宋体"/>
          <w:color w:val="000000"/>
          <w:sz w:val="24"/>
          <w:szCs w:val="24"/>
        </w:rPr>
        <w:t xml:space="preserve">否</w:t>
      </w:r>
      <w:r/>
    </w:p>
    <w:p>
      <w:pPr>
        <w:pStyle w:val="120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收取履约保证金形式：</w:t>
      </w:r>
      <w:r>
        <w:rPr>
          <w:rFonts w:hint="eastAsia" w:ascii="宋体" w:hAnsi="宋体" w:eastAsia="宋体" w:cs="宋体"/>
          <w:bCs/>
          <w:color w:val="000000"/>
          <w:sz w:val="24"/>
          <w:szCs w:val="24"/>
          <w:u w:val="single"/>
        </w:rPr>
        <w:t xml:space="preserve">以支票、汇票、本票或金融机构、担保机构出具的保函等非现金形式提交 ，</w:t>
      </w:r>
      <w:r>
        <w:rPr>
          <w:rFonts w:hint="eastAsia" w:ascii="宋体" w:hAnsi="宋体" w:eastAsia="宋体" w:cs="宋体"/>
          <w:color w:val="000000"/>
          <w:sz w:val="24"/>
          <w:szCs w:val="24"/>
          <w:u w:val="single"/>
        </w:rPr>
        <w:t xml:space="preserve">也可自愿使用履约保函（保险）代替缴纳履约保证金，具体详见《关于在全省政府采购领域推行电子履约保函（保险）的通知》（苏财购〔2023〕150号）规定。</w:t>
      </w:r>
      <w:r/>
    </w:p>
    <w:p>
      <w:pPr>
        <w:pStyle w:val="1203"/>
        <w:ind w:firstLine="480"/>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u w:val="single"/>
        </w:rPr>
        <w:t xml:space="preserve">   收取履约保证金金额：</w:t>
      </w:r>
      <w:r>
        <w:rPr>
          <w:rFonts w:hint="eastAsia" w:ascii="宋体" w:hAnsi="宋体" w:eastAsia="宋体" w:cs="宋体"/>
          <w:color w:val="000000"/>
          <w:sz w:val="24"/>
          <w:szCs w:val="24"/>
          <w:u w:val="single"/>
          <w:lang w:val="en-US" w:eastAsia="zh-CN"/>
        </w:rPr>
        <w:t xml:space="preserve">          </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   履约担保期限：</w:t>
      </w:r>
      <w:r>
        <w:rPr>
          <w:rFonts w:hint="eastAsia" w:ascii="宋体" w:hAnsi="宋体" w:eastAsia="宋体" w:cs="宋体"/>
          <w:color w:val="000000"/>
          <w:sz w:val="24"/>
          <w:szCs w:val="24"/>
        </w:rPr>
        <w:t xml:space="preserve"> </w:t>
      </w:r>
      <w:r/>
    </w:p>
    <w:p>
      <w:pPr>
        <w:pStyle w:val="962"/>
        <w:numPr>
          <w:ilvl w:val="0"/>
          <w:numId w:val="5"/>
        </w:num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分期履行要求：</w:t>
      </w:r>
      <w:r/>
    </w:p>
    <w:p>
      <w:pPr>
        <w:ind w:firstLine="240"/>
        <w:spacing w:line="400" w:lineRule="exact"/>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（5）风险处置措施和替代方案：</w:t>
      </w:r>
      <w:r/>
    </w:p>
    <w:p>
      <w:pPr>
        <w:ind w:firstLine="482"/>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4.合同验收</w:t>
      </w:r>
      <w:r/>
    </w:p>
    <w:p>
      <w:pPr>
        <w:ind w:firstLine="2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（1）验收组织方式：</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rPr>
        <w:t xml:space="preserve">自行组织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委托第三方组织</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验收主体：</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是否邀请本项目的其他供应商参加验收：</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是否邀请专家参加验收：</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是否邀请服务对象参加验收：</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是否邀请第三方检测机构参加验收：</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是否进行抽查检测：</w:t>
      </w:r>
      <w:r>
        <w:rPr>
          <w:rFonts w:ascii="Wingdings" w:hAnsi="Wingdings" w:eastAsia="Wingdings" w:cs="Wingdings"/>
          <w:color w:val="000000"/>
          <w:sz w:val="24"/>
          <w:szCs w:val="24"/>
        </w:rPr>
        <w:t xml:space="preserve">þ</w:t>
      </w:r>
      <w:r>
        <w:rPr>
          <w:rFonts w:hint="eastAsia" w:ascii="宋体" w:hAnsi="宋体" w:eastAsia="宋体" w:cs="宋体"/>
          <w:bCs/>
          <w:color w:val="000000"/>
          <w:sz w:val="24"/>
          <w:szCs w:val="24"/>
        </w:rPr>
        <w:t xml:space="preserve">是，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color w:val="000000"/>
          <w:sz w:val="24"/>
          <w:szCs w:val="24"/>
        </w:rPr>
        <w:t xml:space="preserve">是，</w:t>
      </w:r>
      <w:r>
        <w:rPr>
          <w:rFonts w:hint="eastAsia" w:ascii="宋体" w:hAnsi="宋体" w:eastAsia="宋体" w:cs="宋体"/>
          <w:bCs/>
          <w:color w:val="000000"/>
          <w:sz w:val="24"/>
          <w:szCs w:val="24"/>
          <w:u w:val="single"/>
        </w:rPr>
        <w:t xml:space="preserve">（应明确对被破坏的检测产品的处理方式）</w:t>
      </w:r>
      <w:r/>
    </w:p>
    <w:p>
      <w:pPr>
        <w:ind w:firstLine="960"/>
        <w:spacing w:line="400" w:lineRule="exact"/>
        <w:rPr>
          <w:rFonts w:hint="eastAsia" w:ascii="宋体" w:hAnsi="宋体" w:eastAsia="宋体" w:cs="宋体"/>
          <w:bCs/>
          <w:color w:val="000000"/>
          <w:sz w:val="24"/>
          <w:szCs w:val="24"/>
        </w:rPr>
      </w:pP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rPr>
        <w:t xml:space="preserve">否</w:t>
      </w:r>
      <w:r/>
    </w:p>
    <w:p>
      <w:pPr>
        <w:ind w:firstLine="8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履约验收涉及检测（检验）费、专业技术人员费用等费用由乙方承担。</w:t>
      </w:r>
      <w:r/>
    </w:p>
    <w:p>
      <w:pPr>
        <w:ind w:firstLine="840"/>
        <w:spacing w:line="40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验收组织的其他事项：</w:t>
      </w:r>
      <w:r/>
    </w:p>
    <w:p>
      <w:pPr>
        <w:ind w:firstLine="240"/>
        <w:spacing w:line="400" w:lineRule="exact"/>
        <w:rPr>
          <w:rFonts w:hint="eastAsia" w:ascii="宋体" w:hAnsi="宋体" w:eastAsia="宋体" w:cs="宋体"/>
          <w:bCs/>
          <w:color w:val="000000"/>
          <w:sz w:val="24"/>
          <w:szCs w:val="24"/>
          <w:u w:val="single"/>
          <w:lang w:eastAsia="zh-CN"/>
        </w:rPr>
      </w:pPr>
      <w:r>
        <w:rPr>
          <w:rFonts w:hint="eastAsia" w:ascii="宋体" w:hAnsi="宋体" w:eastAsia="宋体" w:cs="宋体"/>
          <w:bCs/>
          <w:color w:val="000000"/>
          <w:sz w:val="24"/>
          <w:szCs w:val="24"/>
        </w:rPr>
        <w:t xml:space="preserve">（2）履约验收时间：</w:t>
      </w:r>
      <w:r>
        <w:rPr>
          <w:rFonts w:hint="eastAsia" w:ascii="宋体" w:hAnsi="宋体" w:eastAsia="宋体" w:cs="宋体"/>
          <w:color w:val="000000"/>
          <w:sz w:val="24"/>
          <w:szCs w:val="24"/>
        </w:rPr>
        <w:t xml:space="preserve">合同标的全部交付并安装完毕后，乙方可向甲方书面提出验收要求，甲方在接到书面要求后7日内进行验收。合同乙方需向甲方提交合同标的的相关资料、文件、说明书等。</w:t>
      </w:r>
      <w:r>
        <w:rPr>
          <w:rFonts w:hint="eastAsia" w:ascii="宋体" w:hAnsi="宋体" w:eastAsia="宋体" w:cs="宋体"/>
          <w:color w:val="000000"/>
          <w:sz w:val="24"/>
          <w:szCs w:val="24"/>
          <w:lang w:eastAsia="zh-CN"/>
        </w:rPr>
        <w:t xml:space="preserve">乙方为履行本合同而开发、产生的所有知识产权（包括但不限于软件、技术方案、图纸、数据等）归甲方所有。</w:t>
      </w:r>
      <w:r/>
    </w:p>
    <w:p>
      <w:pPr>
        <w:ind w:firstLine="24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（3）履约验收方式：</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rPr>
        <w:t xml:space="preserve">一次性验收         </w:t>
      </w:r>
      <w:r/>
    </w:p>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分期/分项验收：</w:t>
      </w:r>
      <w:r/>
    </w:p>
    <w:p>
      <w:pPr>
        <w:ind w:firstLine="240"/>
        <w:spacing w:line="40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（4）履约验收程序：验收前准备-到货验收-交付验收-环保检测验收-验收结果处理-资格归档</w:t>
      </w:r>
      <w:r/>
    </w:p>
    <w:p>
      <w:pPr>
        <w:ind w:firstLine="24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（5）履约验收的内容：详见招标文件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投标文件。</w:t>
      </w:r>
      <w:r/>
    </w:p>
    <w:p>
      <w:pPr>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（6）履约验收标准：详见招标文件。</w:t>
      </w:r>
      <w:r/>
    </w:p>
    <w:p>
      <w:pPr>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（7）是否以采购活动中供应商提供的样品作为参考：</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是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否</w:t>
      </w:r>
      <w:r/>
    </w:p>
    <w:p>
      <w:pPr>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（8）履约验收其他事项：</w:t>
      </w:r>
      <w:r>
        <w:rPr>
          <w:rFonts w:hint="eastAsia" w:ascii="宋体" w:hAnsi="宋体" w:eastAsia="宋体" w:cs="宋体"/>
          <w:color w:val="000000"/>
          <w:sz w:val="24"/>
          <w:szCs w:val="24"/>
          <w:u w:val="single"/>
        </w:rPr>
        <w:t xml:space="preserve">无</w:t>
      </w:r>
      <w:r/>
    </w:p>
    <w:p>
      <w:pPr>
        <w:ind w:firstLine="482"/>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5.组成合同的文件</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本协议书与下列文件一起构成合同文件，如下述文件之间有任何抵触、矛盾或歧义，应按以下顺序解释：</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（1）政府采购合同协议书及其变更、补充协议</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（2）政府采购合同专用条款</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（3）政府采购合同通用条款</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（4）中标通知书</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（5）投标文件</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（6）采购文件</w:t>
      </w:r>
      <w:r/>
    </w:p>
    <w:p>
      <w:pPr>
        <w:ind w:firstLine="2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（7）有关技术文件，图纸</w:t>
      </w:r>
      <w:r/>
    </w:p>
    <w:p>
      <w:pPr>
        <w:pStyle w:val="1203"/>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（8）国家法律、行政法规和规章制度规定或合同约定的作为合同组成部分的其他文件</w:t>
      </w:r>
      <w:r/>
    </w:p>
    <w:p>
      <w:pPr>
        <w:pStyle w:val="1203"/>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(9)《安全文明环保管理协议》，详见附件。</w:t>
      </w:r>
      <w:r/>
    </w:p>
    <w:p>
      <w:pPr>
        <w:ind w:firstLine="482"/>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6.合同生效</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下列条件全部满足后</w:t>
      </w:r>
      <w:r>
        <w:rPr>
          <w:rFonts w:hint="eastAsia" w:ascii="宋体" w:hAnsi="宋体" w:eastAsia="宋体" w:cs="宋体"/>
          <w:color w:val="000000"/>
          <w:sz w:val="24"/>
          <w:szCs w:val="24"/>
        </w:rPr>
        <w:t xml:space="preserve">生效，生效日期以下列条件全部满足的最晚日期为准，法律另有规定的除外： </w:t>
      </w:r>
      <w:r/>
    </w:p>
    <w:p>
      <w:pPr>
        <w:pStyle w:val="962"/>
        <w:numPr>
          <w:ilvl w:val="0"/>
          <w:numId w:val="6"/>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双方加盖公章或合同专用章；</w:t>
      </w:r>
      <w:r/>
    </w:p>
    <w:p>
      <w:pPr>
        <w:pStyle w:val="962"/>
        <w:numPr>
          <w:ilvl w:val="0"/>
          <w:numId w:val="6"/>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甲方收到乙方按本合同约定金额提交的履约保证金（如有）。</w:t>
      </w:r>
      <w:r/>
    </w:p>
    <w:p>
      <w:pPr>
        <w:ind w:firstLine="482"/>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7.合同份数</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合同订立时间：  年  月  日</w:t>
      </w:r>
      <w:r/>
    </w:p>
    <w:p>
      <w:pPr>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合同订立地点：</w:t>
      </w:r>
      <w:r/>
    </w:p>
    <w:p>
      <w:pPr>
        <w:ind w:firstLine="420"/>
        <w:spacing w:line="400" w:lineRule="exact"/>
        <w:rPr>
          <w:rFonts w:hint="eastAsia" w:ascii="宋体" w:hAnsi="宋体" w:eastAsia="宋体" w:cs="宋体"/>
          <w:strike/>
          <w:color w:val="000000"/>
          <w:sz w:val="24"/>
          <w:szCs w:val="24"/>
        </w:rPr>
      </w:pPr>
      <w:r>
        <w:rPr>
          <w:rFonts w:hint="eastAsia" w:ascii="宋体" w:hAnsi="宋体" w:eastAsia="宋体" w:cs="宋体"/>
          <w:strike/>
          <w:color w:val="000000"/>
          <w:sz w:val="24"/>
          <w:szCs w:val="24"/>
        </w:rPr>
      </w:r>
      <w:r/>
    </w:p>
    <w:tbl>
      <w:tblPr>
        <w:tblStyle w:val="822"/>
        <w:tblW w:w="5861" w:type="pct"/>
        <w:tblInd w:w="-777"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052"/>
        <w:gridCol w:w="2469"/>
        <w:gridCol w:w="2602"/>
        <w:gridCol w:w="2710"/>
      </w:tblGrid>
      <w:tr>
        <w:trPr>
          <w:trHeight w:val="490"/>
        </w:trPr>
        <w:tc>
          <w:tcPr>
            <w:gridSpan w:val="2"/>
            <w:tcBorders>
              <w:bottom w:val="single" w:color="auto" w:sz="2" w:space="0"/>
              <w:right w:val="single" w:color="auto" w:sz="2" w:space="0"/>
            </w:tcBorders>
            <w:tcW w:w="254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51"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乙方（供应商）</w:t>
            </w:r>
            <w:r/>
          </w:p>
        </w:tc>
      </w:tr>
      <w:tr>
        <w:trPr>
          <w:trHeight w:val="650"/>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单位名称（公章或合同章）</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791"/>
        </w:trPr>
        <w:tc>
          <w:tcPr>
            <w:tcBorders>
              <w:top w:val="single" w:color="auto" w:sz="2" w:space="0"/>
              <w:right w:val="single" w:color="auto" w:sz="2" w:space="0"/>
            </w:tcBorders>
            <w:tcW w:w="1408" w:type="pct"/>
            <w:vAlign w:val="center"/>
            <w:vMerge w:val="restart"/>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p>
          <w:p>
            <w:pPr>
              <w:ind w:firstLine="115"/>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或其委托代理人（签章）</w:t>
            </w:r>
            <w:r/>
          </w:p>
        </w:tc>
        <w:tc>
          <w:tcPr>
            <w:tcBorders>
              <w:top w:val="single" w:color="auto" w:sz="2" w:space="0"/>
              <w:left w:val="single" w:color="auto" w:sz="2" w:space="0"/>
              <w:right w:val="single" w:color="auto" w:sz="2" w:space="0"/>
            </w:tcBorders>
            <w:tcW w:w="1139" w:type="pct"/>
            <w:vAlign w:val="center"/>
            <w:vMerge w:val="restart"/>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p>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或其委托代理人（签章）</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3"/>
        </w:trPr>
        <w:tc>
          <w:tcPr>
            <w:tcBorders>
              <w:bottom w:val="single" w:color="auto" w:sz="2" w:space="0"/>
              <w:right w:val="single" w:color="auto" w:sz="2" w:space="0"/>
            </w:tcBorders>
            <w:tcW w:w="1408" w:type="pct"/>
            <w:vAlign w:val="center"/>
            <w:vMerge w:val="continue"/>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2" w:space="0"/>
              <w:bottom w:val="single" w:color="auto" w:sz="2" w:space="0"/>
              <w:right w:val="single" w:color="auto" w:sz="2" w:space="0"/>
            </w:tcBorders>
            <w:tcW w:w="1139" w:type="pct"/>
            <w:vAlign w:val="center"/>
            <w:vMerge w:val="continue"/>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拥有者性别</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  所</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  所</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电子邮箱</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开户名称</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483"/>
        </w:trPr>
        <w:tc>
          <w:tcPr>
            <w:tcBorders>
              <w:top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139"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2" w:space="0"/>
              <w:left w:val="single" w:color="auto" w:sz="2" w:space="0"/>
              <w:bottom w:val="single" w:color="auto" w:sz="2" w:space="0"/>
              <w:right w:val="single" w:color="auto" w:sz="2" w:space="0"/>
            </w:tcBorders>
            <w:tcW w:w="1200" w:type="pct"/>
            <w:vAlign w:val="center"/>
            <w:textDirection w:val="lrTb"/>
            <w:noWrap/>
          </w:tcPr>
          <w:p>
            <w:pPr>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p>
        </w:tc>
        <w:tc>
          <w:tcPr>
            <w:tcBorders>
              <w:top w:val="single" w:color="auto" w:sz="2" w:space="0"/>
              <w:left w:val="single" w:color="auto" w:sz="2" w:space="0"/>
              <w:bottom w:val="single" w:color="auto" w:sz="2" w:space="0"/>
            </w:tcBorders>
            <w:tcW w:w="1251" w:type="pct"/>
            <w:vAlign w:val="center"/>
            <w:textDirection w:val="lrTb"/>
            <w:noWrap/>
          </w:tcPr>
          <w:p>
            <w:pPr>
              <w:jc w:val="center"/>
              <w:spacing w:line="300" w:lineRule="exact"/>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r>
            <w:r/>
          </w:p>
        </w:tc>
      </w:tr>
      <w:tr>
        <w:trPr>
          <w:trHeight w:val="586"/>
        </w:trPr>
        <w:tc>
          <w:tcPr>
            <w:gridSpan w:val="4"/>
            <w:tcBorders>
              <w:top w:val="single" w:color="auto" w:sz="2" w:space="0"/>
            </w:tcBorders>
            <w:tcW w:w="5000" w:type="pct"/>
            <w:vAlign w:val="center"/>
            <w:textDirection w:val="lrTb"/>
            <w:noWrap/>
          </w:tcPr>
          <w:p>
            <w:pPr>
              <w:pStyle w:val="828"/>
              <w:jc w:val="left"/>
              <w:spacing w:after="0" w:line="360" w:lineRule="auto"/>
              <w:rPr>
                <w:rFonts w:hint="eastAsia" w:ascii="宋体" w:hAnsi="宋体" w:eastAsia="宋体" w:cs="宋体"/>
                <w:color w:val="000000"/>
                <w:spacing w:val="20"/>
                <w:sz w:val="24"/>
                <w:szCs w:val="24"/>
              </w:rPr>
            </w:pPr>
            <w:r>
              <w:rPr>
                <w:rFonts w:hint="eastAsia" w:ascii="宋体" w:hAnsi="宋体" w:eastAsia="宋体" w:cs="宋体"/>
                <w:color w:val="000000"/>
                <w:sz w:val="24"/>
                <w:szCs w:val="24"/>
              </w:rPr>
              <w:t xml:space="preserve">注：涉及联合体或其他合同主体的信息应按上表格式加列。</w:t>
            </w:r>
            <w:r/>
          </w:p>
        </w:tc>
      </w:tr>
    </w:tbl>
    <w:p>
      <w:pPr>
        <w:pStyle w:val="1204"/>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br w:type="page" w:clear="all"/>
      </w:r>
      <w:r>
        <w:rPr>
          <w:rFonts w:hint="eastAsia" w:ascii="宋体" w:hAnsi="宋体" w:eastAsia="宋体" w:cs="宋体"/>
          <w:b w:val="0"/>
          <w:bCs w:val="0"/>
          <w:color w:val="000000"/>
          <w:sz w:val="24"/>
          <w:szCs w:val="24"/>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1. </w:t>
      </w:r>
      <w:r>
        <w:rPr>
          <w:rFonts w:hint="eastAsia" w:ascii="宋体" w:hAnsi="宋体" w:eastAsia="宋体" w:cs="宋体"/>
          <w:b/>
          <w:bCs/>
          <w:color w:val="000000"/>
          <w:sz w:val="24"/>
          <w:szCs w:val="24"/>
        </w:rPr>
        <w:t xml:space="preserve">定义</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1.2本合同下列术语应解释为：</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color w:val="000000"/>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numPr>
          <w:ilvl w:val="0"/>
          <w:numId w:val="7"/>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p>
    <w:p>
      <w:pPr>
        <w:ind w:firstLine="48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乙方应当在约定的时间、地点，按照约定方式履行合同。</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4.3甲方有权要求乙方对缺陷部分予以修复，并按合同约定享有货物保修及其他合同约定的权利。</w:t>
      </w:r>
      <w:r/>
    </w:p>
    <w:p>
      <w:pPr>
        <w:ind w:firstLine="480"/>
        <w:jc w:val="left"/>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4.4甲方应当根据合同约定及时向乙方支付合同价款，不得以内部人员变更、履行内部付款流程等为由，拒绝或迟延支付。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7"/>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p>
    <w:p>
      <w:pPr>
        <w:pStyle w:val="827"/>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约定应由乙方承担的其他义务和责任。</w:t>
      </w:r>
      <w:r/>
    </w:p>
    <w:p>
      <w:pPr>
        <w:numPr>
          <w:ilvl w:val="0"/>
          <w:numId w:val="8"/>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pStyle w:val="120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 质量标准和保证</w:t>
      </w:r>
      <w:r/>
    </w:p>
    <w:p>
      <w:pPr>
        <w:pStyle w:val="832"/>
        <w:ind w:firstLine="480"/>
        <w:jc w:val="left"/>
        <w:spacing w:line="40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8.1 质量标准</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（2）采用中华人民共和国法定计量单位。</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（3）乙方所提供的货物应符合国家有关安全、环保、卫生的规定。</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保证</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规定或乙方书面承诺（两者以较长的为准）的质量保证期内，本保证保持有效。</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（2）在质量保证期内所发现的缺陷，甲方应尽快以书面形式通知乙方。</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（3）乙方收到通知后，应在</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规定的响应时间内以合理的速度免费维修或更换有缺陷的货物或部件。</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9.权利瑕疵担保</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乙方保证在交付的货物上不存在抵押权等担保物权。</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 保密义务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rPr>
        <w:t xml:space="preserve">【政府</w:t>
      </w:r>
      <w:r>
        <w:rPr>
          <w:rFonts w:hint="eastAsia" w:ascii="宋体" w:hAnsi="宋体" w:eastAsia="宋体" w:cs="宋体"/>
          <w:color w:val="000000"/>
          <w:sz w:val="24"/>
          <w:szCs w:val="24"/>
        </w:rPr>
        <w:t xml:space="preserve">采购合同专用条款】中约定。</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 合同价款支付</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合同价款支付按照国库集中支付制度及财政管理相关规定执行。</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13. 履约保证金</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乙方应当以支票、汇票、本票或者金融机构、担保机构出具的保函等非现金形式提交。</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如果乙方出现</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甲方在项目通过验收后按照</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规定的时间内将履约保证金退还乙方；逾期退还的，乙方可要求甲方支付违约金，违约金按照</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规定支付。</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14. </w:t>
      </w:r>
      <w:r>
        <w:rPr>
          <w:rFonts w:hint="eastAsia" w:ascii="宋体" w:hAnsi="宋体" w:eastAsia="宋体" w:cs="宋体"/>
          <w:b/>
          <w:color w:val="000000"/>
          <w:sz w:val="24"/>
          <w:szCs w:val="24"/>
        </w:rPr>
        <w:t xml:space="preserve">售后服务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除项目不涉及或采购活动中明确约定无须承担外，乙方还应提供下列服务：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（1）货物的现场移动、安装、调试、启动监督及技术支持；</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（2）提供货物组装和维修所需的专用工具和辅助材料；</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（4）在制造商所在地或指定现场就货物的安装、启动、运营、维护、废弃处置等对甲方操作人员进行培训；</w:t>
      </w:r>
      <w:r/>
    </w:p>
    <w:p>
      <w:pPr>
        <w:pStyle w:val="120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规定由乙方提供的其他服务。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 违约责任</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15.1质量瑕疵的违约责任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乙方提供的产品不符合合同约定的质量标准或存在产品质量缺陷，甲方有权要求乙方根据</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要求</w:t>
      </w:r>
      <w:r>
        <w:rPr>
          <w:rFonts w:hint="eastAsia" w:ascii="宋体" w:hAnsi="宋体" w:eastAsia="宋体" w:cs="宋体"/>
          <w:color w:val="000000"/>
          <w:sz w:val="24"/>
          <w:szCs w:val="24"/>
        </w:rPr>
        <w:t xml:space="preserve">及时修理、重作、更换，并承担由此给甲方造成的损失。</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15.2 迟延交货的违约责任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迟延支付的违约责任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甲方存在迟延支付乙方合同款项的，应当承担</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规定的逾期付款利息。</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15.4其他违约责任根据项目实际需要按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w:t>
      </w:r>
      <w:r/>
    </w:p>
    <w:p>
      <w:pPr>
        <w:numPr>
          <w:ilvl w:val="0"/>
          <w:numId w:val="9"/>
        </w:num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合同变更、中止与终止</w:t>
      </w:r>
      <w:r/>
    </w:p>
    <w:p>
      <w:pPr>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16.1合同的变更</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16.2合同的中止</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（4）甲方不得以行政区划调整、政府换届、机构或者职能调整以及相关责任人更替为由中止合同。</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16.3合同的终止</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（1）合同因有效期限届满而终止；</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（2）乙方未按合同约定履行，构成根本性违约的，甲方有权终止合同，并追究乙方的违约责任。</w:t>
      </w:r>
      <w:r/>
    </w:p>
    <w:p>
      <w:pPr>
        <w:pStyle w:val="120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涉及国家利益、社会公共利益的情形</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 合同分包</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乙方不得将合同转包给其他供应商。涉及合同分包的，乙方应根据采购文件和投标文件规定进行合同分包。</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18. 不可抗力</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不可抗力是指合同双方不能预见、不能避免且不能克服的客观情况。</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19. 解决争议的方法</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20. 政府采购政策</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w:t>
      </w:r>
      <w:r>
        <w:rPr>
          <w:rFonts w:hint="eastAsia" w:ascii="宋体" w:hAnsi="宋体" w:eastAsia="宋体" w:cs="宋体"/>
          <w:color w:val="000000"/>
          <w:sz w:val="24"/>
          <w:szCs w:val="24"/>
          <w:lang w:val="en-GB"/>
        </w:rPr>
        <w:t xml:space="preserve">本合同应当按照规定执行政府采购政策。</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本合同依法执行政府采购政策的方式和内容，属于合同履约验收的范围。甲乙双方</w:t>
      </w:r>
      <w:r>
        <w:rPr>
          <w:rFonts w:hint="eastAsia" w:ascii="宋体" w:hAnsi="宋体" w:eastAsia="宋体" w:cs="宋体"/>
          <w:color w:val="000000"/>
          <w:sz w:val="24"/>
          <w:szCs w:val="24"/>
          <w:lang w:val="en-GB"/>
        </w:rPr>
        <w:t xml:space="preserve">未按规定要求执行政府采购政策造成损失的</w:t>
      </w:r>
      <w:r>
        <w:rPr>
          <w:rFonts w:hint="eastAsia" w:ascii="宋体" w:hAnsi="宋体" w:eastAsia="宋体" w:cs="宋体"/>
          <w:color w:val="000000"/>
          <w:sz w:val="24"/>
          <w:szCs w:val="24"/>
        </w:rPr>
        <w:t xml:space="preserve">，有过错的一方应当承担赔偿责任，双方都有过错的，各自承担相应的责任。</w:t>
      </w:r>
      <w:r/>
    </w:p>
    <w:p>
      <w:pPr>
        <w:pStyle w:val="827"/>
        <w:ind w:firstLine="480"/>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 法律适用</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本合同的订立、生效、解释、履行及与本合同有关的争议解决，均适用法律、行政法规。</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 通知</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p>
    <w:p>
      <w:pPr>
        <w:pStyle w:val="120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合同未尽事项</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23.1合同未尽事项见</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w:t>
      </w:r>
      <w:r/>
    </w:p>
    <w:p>
      <w:pPr>
        <w:jc w:val="left"/>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    23.2 合同附件与合同正文具有同等的法律效力。</w:t>
      </w:r>
      <w:r/>
    </w:p>
    <w:p>
      <w:pPr>
        <w:pStyle w:val="1204"/>
        <w:jc w:val="center"/>
        <w:spacing w:line="400" w:lineRule="exact"/>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Cs w:val="0"/>
          <w:color w:val="000000"/>
          <w:sz w:val="24"/>
          <w:szCs w:val="24"/>
        </w:rPr>
        <w:t xml:space="preserve">第三节 政府采购合同专用条款</w:t>
      </w:r>
      <w:r/>
    </w:p>
    <w:tbl>
      <w:tblPr>
        <w:tblStyle w:val="822"/>
        <w:tblW w:w="918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9"/>
      </w:tblGrid>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第1.2（6）项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联合体具体要求</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04"/>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第1.2（7）项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其他术语解释</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第4.4款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履约验收中甲方提出异议或作出说明的期限</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合同标的全部交付并安装完毕后，乙方可向甲方书面提出试运行、验收要求，甲方在接到书面要求后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日内进行试运行、验收。</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第4.6款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约定甲方承担的其他义务和责任</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第5.4款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约定乙方承担的其他义务和责任</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第6.1款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履行合同义务的顺序</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见第一节“2.合同金额”中“（3）付款方式”双方合同义务履行顺序</w:t>
            </w:r>
            <w:r/>
          </w:p>
        </w:tc>
      </w:tr>
      <w:tr>
        <w:trPr>
          <w:trHeight w:val="667"/>
        </w:trPr>
        <w:tc>
          <w:tcPr>
            <w:tcW w:w="1607"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第7.1款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包装特殊要求</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tc>
      </w:tr>
      <w:tr>
        <w:trPr>
          <w:trHeight w:val="667"/>
        </w:trPr>
        <w:tc>
          <w:tcPr>
            <w:tcW w:w="16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指定现场</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甲方指定收货地点</w:t>
            </w:r>
            <w:r/>
          </w:p>
        </w:tc>
      </w:tr>
      <w:tr>
        <w:trPr>
          <w:trHeight w:val="772"/>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第7.2款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运输特殊要求</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tc>
      </w:tr>
      <w:tr>
        <w:trPr>
          <w:trHeight w:val="667"/>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第7.3款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保险要求</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货物在通过甲方验收前的保险责任及费用由乙方承担。</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第8.2（1）项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质量保证期</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从甲方验收合格之日起年</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第8.2（3）项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货物质量缺陷</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见乙方投标文件中售后服务内容</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第二节</w:t>
            </w:r>
            <w:r/>
          </w:p>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第10款</w:t>
            </w:r>
            <w:r/>
          </w:p>
        </w:tc>
        <w:tc>
          <w:tcPr>
            <w:tcW w:w="1742"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知识产权保护</w:t>
            </w:r>
            <w:r/>
          </w:p>
        </w:tc>
        <w:tc>
          <w:tcPr>
            <w:tcW w:w="5839"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乙方为履行本合同而开发、产生的所有知识产权（包括但不限于软件、技术方案、图纸、数据等）归甲方所有。</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pStyle w:val="1203"/>
              <w:ind w:left="0"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第11.1款</w:t>
            </w:r>
            <w:r/>
          </w:p>
        </w:tc>
        <w:tc>
          <w:tcPr>
            <w:tcW w:w="1742"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其他应当保密的信息</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tc>
      </w:tr>
      <w:tr>
        <w:trPr>
          <w:trHeight w:val="697"/>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第12.2款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合同价款支付时间</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见第一节“2.合同金额”中“（3）付款方式”</w:t>
            </w:r>
            <w:r/>
          </w:p>
        </w:tc>
      </w:tr>
      <w:tr>
        <w:trPr>
          <w:trHeight w:val="697"/>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第13.2款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履约保证金不予退还的情形</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乙方不履行合同约定的义务，未能完全履行合同规定的义务或其履行不符合合同的约定，因乙方的过错导致合同无效或被撤销的，甲方有权扣除履约保证金取得补偿。</w:t>
            </w:r>
            <w:r/>
          </w:p>
        </w:tc>
      </w:tr>
      <w:tr>
        <w:trPr>
          <w:trHeight w:val="90"/>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第13.3款</w:t>
            </w:r>
            <w:r/>
          </w:p>
        </w:tc>
        <w:tc>
          <w:tcPr>
            <w:tcW w:w="1742"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履约保证金退还时间及逾期退还的违约金</w:t>
            </w:r>
            <w:r/>
          </w:p>
        </w:tc>
        <w:tc>
          <w:tcPr>
            <w:tcW w:w="5839" w:type="dxa"/>
            <w:vAlign w:val="center"/>
            <w:textDirection w:val="lrTb"/>
            <w:noWrap/>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本项目无履约保证金。</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4"/>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第14.1（3）项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运行监督、维修期限</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同采购标的的使用寿命期限</w:t>
            </w:r>
            <w:r/>
          </w:p>
        </w:tc>
      </w:tr>
      <w:tr>
        <w:trPr>
          <w:trHeight w:val="784"/>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第14.1（5）项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货物回收的约定</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第14.1（6）项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乙方提供的其他服务</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见乙方投标文件中售后服务内容</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第15.1款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修理、重作、更换相关具体规定</w:t>
            </w:r>
            <w:r/>
          </w:p>
        </w:tc>
        <w:tc>
          <w:tcPr>
            <w:tcW w:w="583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见乙方投标文件中售后服务内容</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第15.2（2）项</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迟延交货赔偿费</w:t>
            </w:r>
            <w:r/>
          </w:p>
        </w:tc>
        <w:tc>
          <w:tcPr>
            <w:tcW w:w="5839" w:type="dxa"/>
            <w:vAlign w:val="center"/>
            <w:textDirection w:val="lrTb"/>
            <w:noWrap/>
          </w:tcPr>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第15.3款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逾期付款利息</w:t>
            </w:r>
            <w:r/>
          </w:p>
        </w:tc>
        <w:tc>
          <w:tcPr>
            <w:tcW w:w="5839" w:type="dxa"/>
            <w:vAlign w:val="center"/>
            <w:textDirection w:val="lrTb"/>
            <w:noWrap/>
          </w:tcPr>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76"/>
        </w:trPr>
        <w:tc>
          <w:tcPr>
            <w:tcBorders>
              <w:bottom w:val="single" w:color="auto" w:sz="2" w:space="0"/>
              <w:right w:val="single" w:color="auto" w:sz="2" w:space="0"/>
            </w:tcBorders>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其他违约责任</w:t>
            </w:r>
            <w:r/>
          </w:p>
        </w:tc>
        <w:tc>
          <w:tcPr>
            <w:tcBorders>
              <w:left w:val="single" w:color="auto" w:sz="2" w:space="0"/>
              <w:bottom w:val="single" w:color="auto" w:sz="2" w:space="0"/>
            </w:tcBorders>
            <w:tcW w:w="5839" w:type="dxa"/>
            <w:vAlign w:val="center"/>
            <w:textDirection w:val="lrTb"/>
            <w:noWrap/>
          </w:tcPr>
          <w:p>
            <w:pPr>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r>
        <w:trPr>
          <w:trHeight w:val="144"/>
        </w:trPr>
        <w:tc>
          <w:tcPr>
            <w:tcBorders>
              <w:bottom w:val="single" w:color="auto" w:sz="2" w:space="0"/>
              <w:right w:val="single" w:color="auto" w:sz="2" w:space="0"/>
            </w:tcBorders>
            <w:tcW w:w="1607" w:type="dxa"/>
            <w:vAlign w:val="center"/>
            <w:textDirection w:val="lrTb"/>
            <w:noWrap/>
          </w:tcPr>
          <w:p>
            <w:pPr>
              <w:numPr>
                <w:ilvl w:val="0"/>
                <w:numId w:val="11"/>
              </w:num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numPr>
                <w:ilvl w:val="0"/>
                <w:numId w:val="0"/>
              </w:numPr>
              <w:ind w:firstLine="24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第</w:t>
            </w: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合同分包</w:t>
            </w:r>
            <w:r/>
          </w:p>
        </w:tc>
        <w:tc>
          <w:tcPr>
            <w:tcBorders>
              <w:left w:val="single" w:color="auto" w:sz="2" w:space="0"/>
              <w:bottom w:val="single" w:color="auto" w:sz="2" w:space="0"/>
            </w:tcBorders>
            <w:tcW w:w="5839" w:type="dxa"/>
            <w:vAlign w:val="center"/>
            <w:textDirection w:val="lrTb"/>
            <w:noWrap/>
          </w:tcPr>
          <w:p>
            <w:pPr>
              <w:jc w:val="lef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未经甲方书面同意，乙方不得将合同项下的任何部分进行分包。若乙方违反规定，甲方有权解除合同并要求乙方承担</w:t>
            </w:r>
            <w:r/>
          </w:p>
          <w:p>
            <w:pPr>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违约责任。</w:t>
            </w:r>
            <w:r/>
          </w:p>
        </w:tc>
      </w:tr>
      <w:tr>
        <w:trPr>
          <w:trHeight w:val="144"/>
        </w:trPr>
        <w:tc>
          <w:tcPr>
            <w:tcBorders>
              <w:bottom w:val="single" w:color="auto" w:sz="2" w:space="0"/>
              <w:right w:val="single" w:color="auto" w:sz="2" w:space="0"/>
            </w:tcBorders>
            <w:tcW w:w="160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p>
          <w:p>
            <w:pPr>
              <w:numPr>
                <w:ilvl w:val="0"/>
                <w:numId w:val="0"/>
              </w:numPr>
              <w:ind w:firstLine="2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款</w:t>
            </w:r>
            <w:r/>
          </w:p>
        </w:tc>
        <w:tc>
          <w:tcPr>
            <w:tcBorders>
              <w:left w:val="single" w:color="auto" w:sz="2" w:space="0"/>
              <w:bottom w:val="single" w:color="auto" w:sz="2" w:space="0"/>
              <w:right w:val="single" w:color="auto" w:sz="2" w:space="0"/>
            </w:tcBorders>
            <w:tcW w:w="1742"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w:t>
            </w:r>
            <w:r/>
          </w:p>
        </w:tc>
        <w:tc>
          <w:tcPr>
            <w:tcBorders>
              <w:left w:val="single" w:color="auto" w:sz="2" w:space="0"/>
              <w:bottom w:val="single" w:color="auto" w:sz="2" w:space="0"/>
            </w:tcBorders>
            <w:tcW w:w="5839" w:type="dxa"/>
            <w:vAlign w:val="center"/>
            <w:textDirection w:val="lrTb"/>
            <w:noWrap/>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不可抗力是指合同双方在签订合同时不能预见、不能避免且不能克服的客观情况。包括但不限于以下事件：自然灾害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公共卫生事件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政府及法律行为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社会性突发事件</w:t>
            </w:r>
            <w:r>
              <w:rPr>
                <w:rFonts w:hint="eastAsia" w:ascii="宋体" w:hAnsi="宋体" w:eastAsia="宋体" w:cs="宋体"/>
                <w:color w:val="000000"/>
                <w:sz w:val="24"/>
                <w:szCs w:val="24"/>
                <w:highlight w:val="none"/>
                <w:lang w:val="en-US" w:eastAsia="zh-CN"/>
              </w:rPr>
              <w:t xml:space="preserve">等。</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不可抗力事件发生后，双方均应采取一切合理、必要且可行的措施，尽力减少或避免损失的扩大。</w:t>
            </w:r>
            <w:r/>
          </w:p>
          <w:p>
            <w:p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如一方在不可抗力发生后，因怠于履行减损义务而导致损失扩大的，对于扩大的损失部分，该方不得主张不可抗力免责，并应承担相应的赔偿责任。</w:t>
            </w:r>
            <w:r/>
          </w:p>
        </w:tc>
      </w:tr>
      <w:tr>
        <w:trPr>
          <w:trHeight w:val="90"/>
        </w:trPr>
        <w:tc>
          <w:tcPr>
            <w:tcBorders>
              <w:top w:val="single" w:color="auto" w:sz="2" w:space="0"/>
              <w:right w:val="single" w:color="auto" w:sz="2" w:space="0"/>
            </w:tcBorders>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解决争议的方法</w:t>
            </w:r>
            <w:r/>
          </w:p>
        </w:tc>
        <w:tc>
          <w:tcPr>
            <w:tcBorders>
              <w:top w:val="single" w:color="auto" w:sz="2" w:space="0"/>
              <w:left w:val="single" w:color="auto" w:sz="2" w:space="0"/>
            </w:tcBorders>
            <w:tcW w:w="5839" w:type="dxa"/>
            <w:vAlign w:val="center"/>
            <w:textDirection w:val="lrTb"/>
            <w:noWrap/>
          </w:tcPr>
          <w:p>
            <w:pPr>
              <w:jc w:val="left"/>
              <w:spacing w:line="400" w:lineRule="exact"/>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因本合同及合同有关事项发生的争议，按下</w:t>
            </w:r>
            <w:r/>
          </w:p>
          <w:p>
            <w:pPr>
              <w:jc w:val="left"/>
              <w:spacing w:line="400" w:lineRule="exact"/>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列第2种方式解决：</w:t>
            </w:r>
            <w:r/>
          </w:p>
          <w:p>
            <w:pPr>
              <w:jc w:val="left"/>
              <w:spacing w:line="400" w:lineRule="exact"/>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（1）向</w:t>
            </w:r>
            <w:r>
              <w:rPr>
                <w:rFonts w:hint="eastAsia" w:ascii="宋体" w:hAnsi="宋体" w:eastAsia="宋体" w:cs="宋体"/>
                <w:iCs/>
                <w:color w:val="000000"/>
                <w:sz w:val="24"/>
                <w:szCs w:val="24"/>
                <w:u w:val="single"/>
              </w:rPr>
              <w:t xml:space="preserve">甲方所在地</w:t>
            </w:r>
            <w:r>
              <w:rPr>
                <w:rFonts w:hint="eastAsia" w:ascii="宋体" w:hAnsi="宋体" w:eastAsia="宋体" w:cs="宋体"/>
                <w:iCs/>
                <w:color w:val="000000"/>
                <w:sz w:val="24"/>
                <w:szCs w:val="24"/>
              </w:rPr>
              <w:t xml:space="preserve">仲裁委员会申请仲裁，仲裁地点为</w:t>
            </w:r>
            <w:r>
              <w:rPr>
                <w:rFonts w:hint="eastAsia" w:ascii="宋体" w:hAnsi="宋体" w:eastAsia="宋体" w:cs="宋体"/>
                <w:iCs/>
                <w:color w:val="000000"/>
                <w:sz w:val="24"/>
                <w:szCs w:val="24"/>
                <w:u w:val="single"/>
              </w:rPr>
              <w:t xml:space="preserve">甲方所在地</w:t>
            </w:r>
            <w:r>
              <w:rPr>
                <w:rFonts w:hint="eastAsia" w:ascii="宋体" w:hAnsi="宋体" w:eastAsia="宋体" w:cs="宋体"/>
                <w:iCs/>
                <w:color w:val="000000"/>
                <w:sz w:val="24"/>
                <w:szCs w:val="24"/>
              </w:rPr>
              <w:t xml:space="preserve">；</w:t>
            </w:r>
            <w:r/>
          </w:p>
          <w:p>
            <w:pPr>
              <w:jc w:val="left"/>
              <w:rPr>
                <w:rFonts w:hint="eastAsia" w:ascii="宋体" w:hAnsi="宋体" w:eastAsia="宋体" w:cs="宋体"/>
                <w:color w:val="000000"/>
                <w:sz w:val="24"/>
                <w:szCs w:val="24"/>
                <w:u w:val="single"/>
              </w:rPr>
            </w:pPr>
            <w:r>
              <w:rPr>
                <w:rFonts w:hint="eastAsia" w:ascii="宋体" w:hAnsi="宋体" w:eastAsia="宋体" w:cs="宋体"/>
                <w:iCs/>
                <w:color w:val="000000"/>
                <w:sz w:val="24"/>
                <w:szCs w:val="24"/>
              </w:rPr>
              <w:t xml:space="preserve">（2）向</w:t>
            </w:r>
            <w:r>
              <w:rPr>
                <w:rFonts w:hint="eastAsia" w:ascii="宋体" w:hAnsi="宋体" w:eastAsia="宋体" w:cs="宋体"/>
                <w:iCs/>
                <w:color w:val="000000"/>
                <w:sz w:val="24"/>
                <w:szCs w:val="24"/>
                <w:u w:val="single"/>
              </w:rPr>
              <w:t xml:space="preserve">甲方所在地</w:t>
            </w:r>
            <w:r>
              <w:rPr>
                <w:rFonts w:hint="eastAsia" w:ascii="宋体" w:hAnsi="宋体" w:eastAsia="宋体" w:cs="宋体"/>
                <w:iCs/>
                <w:color w:val="000000"/>
                <w:sz w:val="24"/>
                <w:szCs w:val="24"/>
              </w:rPr>
              <w:t xml:space="preserve">人民法院起诉。</w:t>
            </w:r>
            <w:r/>
          </w:p>
        </w:tc>
      </w:tr>
      <w:tr>
        <w:trPr>
          <w:trHeight w:val="770"/>
        </w:trPr>
        <w:tc>
          <w:tcPr>
            <w:tcW w:w="160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第二节</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第23.1款</w:t>
            </w:r>
            <w:r/>
          </w:p>
        </w:tc>
        <w:tc>
          <w:tcPr>
            <w:tcW w:w="1742"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其他专用条款</w:t>
            </w:r>
            <w:r/>
          </w:p>
        </w:tc>
        <w:tc>
          <w:tcPr>
            <w:tcW w:w="5839" w:type="dxa"/>
            <w:vAlign w:val="center"/>
            <w:textDirection w:val="lrTb"/>
            <w:noWrap/>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（2）履约验收要求按照江苏省财政厅《关于印发&lt;江苏省政府采购履约验收管理办法&gt;的通知》（苏财规〔2024〕7号）的规定执行。合同与上述文件规定有矛盾的，以上述文件规定为准。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（3）合同其他未尽事宜及与招标文件有矛盾之处，以招标文件[项目编号：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]为准。</w:t>
            </w:r>
            <w:r/>
          </w:p>
        </w:tc>
      </w:tr>
    </w:tbl>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br w:type="page" w:clear="all"/>
      </w:r>
      <w:r/>
    </w:p>
    <w:p>
      <w:pPr>
        <w:pStyle w:val="1204"/>
        <w:jc w:val="cente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第四节 合同附件</w:t>
      </w:r>
      <w:r/>
    </w:p>
    <w:p>
      <w:pPr>
        <w:ind w:firstLine="24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合同附件1：所投产品的</w:t>
      </w:r>
      <w:r>
        <w:rPr>
          <w:rFonts w:hint="eastAsia" w:ascii="宋体" w:hAnsi="宋体" w:eastAsia="宋体" w:cs="宋体"/>
          <w:bCs/>
          <w:color w:val="000000"/>
          <w:sz w:val="24"/>
          <w:szCs w:val="24"/>
        </w:rPr>
        <w:t xml:space="preserve">技术参数</w:t>
      </w:r>
      <w:r>
        <w:rPr>
          <w:rFonts w:hint="eastAsia" w:ascii="宋体" w:hAnsi="宋体" w:eastAsia="宋体" w:cs="宋体"/>
          <w:color w:val="000000"/>
          <w:sz w:val="24"/>
          <w:szCs w:val="24"/>
        </w:rPr>
        <w:t xml:space="preserve">（技术性能）</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(见乙方投标文件中所投产品的</w:t>
      </w:r>
      <w:r>
        <w:rPr>
          <w:rFonts w:hint="eastAsia" w:ascii="宋体" w:hAnsi="宋体" w:eastAsia="宋体" w:cs="宋体"/>
          <w:bCs/>
          <w:color w:val="000000"/>
          <w:sz w:val="24"/>
          <w:szCs w:val="24"/>
        </w:rPr>
        <w:t xml:space="preserve">技术参数</w:t>
      </w:r>
      <w:r>
        <w:rPr>
          <w:rFonts w:hint="eastAsia" w:ascii="宋体" w:hAnsi="宋体" w:eastAsia="宋体" w:cs="宋体"/>
          <w:color w:val="000000"/>
          <w:sz w:val="24"/>
          <w:szCs w:val="24"/>
        </w:rPr>
        <w:t xml:space="preserve">（技术性能）。)</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合同附件2：项目实施(见乙方投标文件中《项目实施方案》。)</w:t>
      </w:r>
      <w:r/>
    </w:p>
    <w:p>
      <w:pPr>
        <w:pStyle w:val="83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(见乙方投标文件中《售后服务方案》。)</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合同附件4：供货范围和价格清单</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(见乙方投标文件中《开标一览表》和《分项价格表》。)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合同附件5：验收标准（验收要求、验收标准和程序）</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(见招标文件第六章《采购需求》。)</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合同附件6：采购需求</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(见招标文件第六章《采购需求》。)</w:t>
      </w:r>
      <w:r/>
    </w:p>
    <w:p>
      <w:pPr>
        <w:pStyle w:val="857"/>
        <w:numPr>
          <w:ilvl w:val="0"/>
          <w:numId w:val="0"/>
        </w:numPr>
        <w:rPr>
          <w:rFonts w:hint="eastAsia"/>
        </w:rPr>
      </w:pPr>
      <w:r>
        <w:rPr>
          <w:rFonts w:hint="eastAsia"/>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1"/>
      <w:r/>
      <w:bookmarkEnd w:id="22"/>
      <w:r/>
      <w:r/>
    </w:p>
    <w:p>
      <w:pPr>
        <w:pStyle w:val="85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计量器具强制检定专用设备购置项目</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t xml:space="preserve">本项目属于专门面向中小微企业采购的项目，供应商提供的货物全部由符合政策要求的中小企业、监狱企业、残疾人福利性单位制造</w:t>
      </w:r>
      <w:r>
        <w:rPr>
          <w:rFonts w:hint="eastAsia" w:ascii="宋体" w:hAnsi="宋体" w:eastAsia="宋体" w:cs="宋体"/>
          <w:color w:val="000000"/>
          <w:sz w:val="28"/>
          <w:szCs w:val="28"/>
          <w:lang w:eastAsia="zh-CN"/>
        </w:rPr>
        <w:t xml:space="preserve">。</w:t>
      </w:r>
      <w:r/>
    </w:p>
    <w:p>
      <w:pPr>
        <w:pStyle w:val="85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w:t>
      </w:r>
      <w:r>
        <w:rPr>
          <w:rFonts w:hint="eastAsia" w:ascii="宋体" w:hAnsi="宋体" w:eastAsia="宋体" w:cs="宋体"/>
          <w:b w:val="0"/>
          <w:bCs w:val="0"/>
          <w:sz w:val="28"/>
          <w:szCs w:val="28"/>
          <w:lang w:eastAsia="zh-CN"/>
        </w:rPr>
        <w:t xml:space="preserve">不接受超过</w:t>
      </w:r>
      <w:r>
        <w:rPr>
          <w:rFonts w:hint="eastAsia" w:ascii="宋体" w:hAnsi="宋体" w:cs="宋体"/>
          <w:b/>
          <w:bCs/>
          <w:sz w:val="28"/>
          <w:szCs w:val="28"/>
          <w:lang w:val="en-US" w:eastAsia="zh-CN"/>
        </w:rPr>
        <w:t xml:space="preserve">200</w:t>
      </w:r>
      <w:r>
        <w:rPr>
          <w:rFonts w:hint="eastAsia" w:ascii="宋体" w:hAnsi="宋体" w:eastAsia="宋体" w:cs="宋体"/>
          <w:b/>
          <w:bCs/>
          <w:sz w:val="28"/>
          <w:szCs w:val="28"/>
          <w:lang w:eastAsia="zh-CN"/>
        </w:rPr>
        <w:t xml:space="preserve">万元</w:t>
      </w:r>
      <w:r>
        <w:rPr>
          <w:rFonts w:hint="eastAsia" w:ascii="宋体" w:hAnsi="宋体" w:cs="宋体"/>
          <w:b/>
          <w:bCs/>
          <w:sz w:val="28"/>
          <w:szCs w:val="28"/>
          <w:lang w:eastAsia="zh-CN"/>
        </w:rPr>
        <w:t xml:space="preserve">（预算金额）</w:t>
      </w:r>
      <w:r>
        <w:rPr>
          <w:rFonts w:hint="eastAsia" w:ascii="宋体" w:hAnsi="宋体" w:eastAsia="宋体" w:cs="宋体"/>
          <w:b w:val="0"/>
          <w:bCs w:val="0"/>
          <w:sz w:val="28"/>
          <w:szCs w:val="28"/>
          <w:lang w:eastAsia="zh-CN"/>
        </w:rPr>
        <w:t xml:space="preserve">的投标报价</w:t>
      </w:r>
      <w:r>
        <w:rPr>
          <w:rFonts w:hint="eastAsia" w:ascii="宋体" w:hAnsi="宋体" w:eastAsia="宋体" w:cs="宋体"/>
          <w:b/>
          <w:bCs/>
          <w:sz w:val="28"/>
          <w:szCs w:val="28"/>
          <w:lang w:eastAsia="zh-CN"/>
        </w:rPr>
        <w:t xml:space="preserve">。</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lang w:eastAsia="zh-CN"/>
        </w:rPr>
        <w:t xml:space="preserve">报价包括产品价、税金、运费、安装调试、检验、保险、培训、售后服务、投标人的利润等全部费用，采购人不再支付报价以外的任何费用</w:t>
      </w:r>
      <w:r>
        <w:rPr>
          <w:rFonts w:hint="eastAsia" w:ascii="宋体" w:hAnsi="宋体" w:eastAsia="宋体" w:cs="宋体"/>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三、采购</w:t>
      </w:r>
      <w:r>
        <w:rPr>
          <w:rFonts w:hint="eastAsia" w:ascii="宋体" w:hAnsi="宋体" w:cs="宋体"/>
          <w:b/>
          <w:bCs/>
          <w:sz w:val="28"/>
          <w:szCs w:val="28"/>
          <w:highlight w:val="none"/>
          <w:lang w:val="en-US" w:eastAsia="zh-CN" w:bidi="ar-SA"/>
        </w:rPr>
        <w:t xml:space="preserve">清单</w:t>
      </w:r>
      <w:r/>
    </w:p>
    <w:tbl>
      <w:tblPr>
        <w:tblStyle w:val="850"/>
        <w:tblW w:w="9287" w:type="dxa"/>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638"/>
        <w:gridCol w:w="1162"/>
        <w:gridCol w:w="1138"/>
        <w:gridCol w:w="1312"/>
      </w:tblGrid>
      <w:tr>
        <w:trPr/>
        <w:tc>
          <w:tcPr>
            <w:shd w:val="clear" w:color="auto" w:fill="eeece1" w:themeFill="background2"/>
            <w:tcW w:w="103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eeece1" w:themeFill="background2"/>
            <w:tcW w:w="463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eeece1" w:themeFill="background2"/>
            <w:tcW w:w="116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eeece1" w:themeFill="background2"/>
            <w:tcW w:w="113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eeece1" w:themeFill="background2"/>
            <w:tcW w:w="131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刮板细度计专用滑块</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局部平面检具</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W w:w="463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lang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平面平晶</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平行平晶</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大理石平板</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外径千分尺平行误差检具</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公法线千分尺研磨器（套装）</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13</w:t>
            </w:r>
            <w:r/>
          </w:p>
        </w:tc>
        <w:tc>
          <w:tcPr>
            <w:tcW w:w="4638" w:type="dxa"/>
            <w:vAlign w:val="center"/>
            <w:textDirection w:val="lrTb"/>
            <w:noWrap w:val="false"/>
          </w:tcPr>
          <w:p>
            <w:pPr>
              <w:jc w:val="both"/>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卡尺校整器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量块附件套装块规附件</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15</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16</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17</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量块</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8</w:t>
            </w:r>
            <w:r>
              <w:rPr>
                <w:rFonts w:hint="eastAsia" w:ascii="宋体" w:hAnsi="宋体" w:eastAsia="宋体" w:cs="宋体"/>
                <w:color w:val="auto"/>
                <w:sz w:val="24"/>
                <w:szCs w:val="24"/>
                <w:lang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百分表检定仪</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水平仪检定器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声校准器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圆柱角尺</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标准环规（1）</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23</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标准环规（2）</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标准环规（3）</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25</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低本底α、β标准平面</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26</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温度计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精密微压计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28</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恒温箱</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29</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双光束紫外可见分光光度计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质量流量计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大气采样器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万分之一电子天平</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33</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Style w:val="1152"/>
                <w:rFonts w:hint="eastAsia" w:ascii="宋体" w:hAnsi="宋体" w:eastAsia="宋体" w:cs="宋体"/>
                <w:color w:val="auto"/>
                <w:sz w:val="24"/>
                <w:szCs w:val="24"/>
                <w:lang w:val="en-US" w:eastAsia="zh-CN" w:bidi="ar"/>
              </w:rPr>
              <w:t xml:space="preserve">无线温湿度记录仪(温湿度计)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压差计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35</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电导率检定装置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36</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酸度计检定装置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37</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气体流量计测试仪器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38</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Style w:val="1152"/>
                <w:rFonts w:hint="eastAsia" w:ascii="宋体" w:hAnsi="宋体" w:eastAsia="宋体" w:cs="宋体"/>
                <w:color w:val="auto"/>
                <w:sz w:val="24"/>
                <w:szCs w:val="24"/>
                <w:lang w:val="en-US" w:eastAsia="zh-CN" w:bidi="ar"/>
              </w:rPr>
              <w:t xml:space="preserve">眩光测试系统(虹谱光色体育场馆眩光GR</w:t>
            </w:r>
            <w:r>
              <w:rPr>
                <w:rStyle w:val="1202"/>
                <w:rFonts w:hint="eastAsia" w:ascii="宋体" w:hAnsi="宋体" w:eastAsia="宋体" w:cs="宋体"/>
                <w:color w:val="auto"/>
                <w:sz w:val="24"/>
                <w:szCs w:val="24"/>
                <w:lang w:val="en-US" w:eastAsia="zh-CN" w:bidi="ar"/>
              </w:rPr>
              <w:t xml:space="preserve">测试系统软件</w:t>
            </w:r>
            <w:r>
              <w:rPr>
                <w:rStyle w:val="1152"/>
                <w:rFonts w:hint="eastAsia" w:ascii="宋体" w:hAnsi="宋体" w:eastAsia="宋体" w:cs="宋体"/>
                <w:color w:val="auto"/>
                <w:sz w:val="24"/>
                <w:szCs w:val="24"/>
                <w:lang w:val="en-US" w:eastAsia="zh-CN" w:bidi="ar"/>
              </w:rPr>
              <w:t xml:space="preserve">)</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39</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余氯仪</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40</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台式液压泵</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机动车检测用气象单元校准装置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left="0" w:firstLine="0"/>
              <w:jc w:val="both"/>
              <w:spacing w:after="0"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核心产品</w:t>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矿用机电设备检测三相交流程控源</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43</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便携式总烃、甲烷和非甲烷总烃测量仪</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微差压皮托管测试系统</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45</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神经肌肉刺激器校准装置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46</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超声骨密度仪性能模体</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47</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超声功率计</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48</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血液透析机检测装置血液流量模块</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49</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DSA性能影像模体</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50</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高流量呼吸湿化仪校准装置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51</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肌电及诱发反应设备校准装置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52</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三相电能表检定装置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left="0" w:firstLine="0"/>
              <w:jc w:val="both"/>
              <w:spacing w:after="0"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核心产品</w:t>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53</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过程信号校验仪校准装置</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left="0" w:firstLine="0"/>
              <w:jc w:val="both"/>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核心产品</w:t>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54</w:t>
            </w:r>
            <w:r/>
          </w:p>
        </w:tc>
        <w:tc>
          <w:tcPr>
            <w:tcW w:w="463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交直流高压数字表</w:t>
            </w:r>
            <w:r/>
          </w:p>
        </w:tc>
        <w:tc>
          <w:tcPr>
            <w:tcW w:w="116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8" w:type="dxa"/>
            <w:vAlign w:val="center"/>
            <w:textDirection w:val="lrTb"/>
            <w:noWrap w:val="false"/>
          </w:tcPr>
          <w:p>
            <w:pPr>
              <w:pStyle w:val="848"/>
              <w:ind w:firstLine="489"/>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W w:w="1312" w:type="dxa"/>
            <w:vAlign w:val="center"/>
            <w:textDirection w:val="lrTb"/>
            <w:noWrap w:val="false"/>
          </w:tcPr>
          <w:p>
            <w:pPr>
              <w:pStyle w:val="848"/>
              <w:ind w:firstLine="220"/>
              <w:jc w:val="center"/>
              <w:spacing w:after="0"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103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注</w:t>
            </w:r>
            <w:r/>
          </w:p>
        </w:tc>
        <w:tc>
          <w:tcPr>
            <w:gridSpan w:val="4"/>
            <w:tcW w:w="8250" w:type="dxa"/>
            <w:vAlign w:val="center"/>
            <w:textDirection w:val="lrTb"/>
            <w:noWrap w:val="false"/>
          </w:tcPr>
          <w:p>
            <w:pPr>
              <w:ind w:firstLine="482"/>
              <w:spacing w:after="0"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val="en-US" w:eastAsia="zh-CN"/>
              </w:rPr>
              <w:t xml:space="preserve">采购清单中的</w:t>
            </w:r>
            <w:r>
              <w:rPr>
                <w:rFonts w:hint="eastAsia" w:ascii="宋体" w:hAnsi="宋体" w:eastAsia="宋体" w:cs="宋体"/>
                <w:b/>
                <w:color w:val="auto"/>
                <w:sz w:val="24"/>
                <w:szCs w:val="24"/>
                <w:highlight w:val="none"/>
              </w:rPr>
              <w:t xml:space="preserve">数量要求”为不允许偏离的实质性要求和条件，如有偏离，在符合性审查时按照投标无效处理。</w:t>
            </w:r>
            <w:r/>
          </w:p>
        </w:tc>
      </w:tr>
    </w:tbl>
    <w:p>
      <w:pPr>
        <w:ind w:firstLine="561"/>
        <w:keepLines w:val="0"/>
        <w:keepNext w:val="0"/>
        <w:pageBreakBefore w:val="0"/>
        <w:spacing w:line="420" w:lineRule="exact"/>
        <w:widowControl/>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p>
    <w:tbl>
      <w:tblPr>
        <w:tblStyle w:val="822"/>
        <w:tblW w:w="10388" w:type="dxa"/>
        <w:tblInd w:w="-466" w:type="dxa"/>
        <w:tblLayout w:type="fixed"/>
        <w:tblCellMar>
          <w:left w:w="0" w:type="dxa"/>
          <w:top w:w="0" w:type="dxa"/>
          <w:right w:w="0" w:type="dxa"/>
          <w:bottom w:w="0" w:type="dxa"/>
        </w:tblCellMar>
        <w:tblLook w:val="04A0" w:firstRow="1" w:lastRow="0" w:firstColumn="1" w:lastColumn="0" w:noHBand="0" w:noVBand="1"/>
      </w:tblPr>
      <w:tblGrid>
        <w:gridCol w:w="726"/>
        <w:gridCol w:w="1212"/>
        <w:gridCol w:w="8450"/>
      </w:tblGrid>
      <w:tr>
        <w:trPr>
          <w:trHeight w:val="9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序号</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1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产品名称</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45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技术规格(技术性能)要求</w:t>
            </w:r>
            <w:r/>
          </w:p>
        </w:tc>
      </w:tr>
      <w:tr>
        <w:trPr>
          <w:trHeight w:val="111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12" w:type="dxa"/>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bidi="ar"/>
              </w:rPr>
              <w:t xml:space="preserve">刮板细度计专用滑块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450" w:type="dxa"/>
            <w:vAlign w:val="center"/>
            <w:textDirection w:val="lrTb"/>
            <w:noWrap w:val="false"/>
          </w:tcPr>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1.性能要求：微型测量装置，工作面尺寸(70x3)mm，平面度≤1μm，测杆轴线与微型测量工作台工作面垂直度＜5′；</w:t>
            </w:r>
            <w:r/>
          </w:p>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2.：型式（外观、外形、颜色等）：符合JJG 905-2010附录B要求的微型测量装置的外观和功能。</w:t>
            </w:r>
            <w:r/>
          </w:p>
        </w:tc>
      </w:tr>
      <w:tr>
        <w:trPr>
          <w:trHeight w:val="1007"/>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lang w:bidi="ar"/>
              </w:rPr>
              <w:t xml:space="preserve">2</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121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lang w:bidi="ar"/>
              </w:rPr>
              <w:t xml:space="preserve">局部平面检具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450" w:type="dxa"/>
            <w:vAlign w:val="center"/>
            <w:textDirection w:val="lrTb"/>
            <w:noWrap w:val="false"/>
          </w:tcPr>
          <w:p>
            <w:pPr>
              <w:numPr>
                <w:ilvl w:val="0"/>
                <w:numId w:val="12"/>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性能要求：平面波动量检具要求4Xφ10mm支撑面的平面度不大于0.01mm</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w:t>
            </w:r>
            <w:r/>
          </w:p>
          <w:p>
            <w:pPr>
              <w:numPr>
                <w:ilvl w:val="0"/>
                <w:numId w:val="1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型式（外观、外形、颜色等）：符合JJG 1174-2013附录D要求的平面波动量检具外观和功能。</w:t>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p>
        </w:tc>
        <w:tc>
          <w:tcPr>
            <w:tcBorders>
              <w:top w:val="single" w:color="000000" w:sz="4" w:space="0"/>
              <w:left w:val="single" w:color="000000" w:sz="4" w:space="0"/>
              <w:right w:val="single" w:color="auto" w:sz="4" w:space="0"/>
            </w:tcBorders>
            <w:tcMar>
              <w:left w:w="15" w:type="dxa"/>
              <w:top w:w="15" w:type="dxa"/>
              <w:right w:w="15" w:type="dxa"/>
            </w:tcMar>
            <w:tcW w:w="1212" w:type="dxa"/>
            <w:vAlign w:val="center"/>
            <w:textDirection w:val="lrTb"/>
            <w:noWrap w:val="false"/>
          </w:tcPr>
          <w:p>
            <w:pPr>
              <w:jc w:val="left"/>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2"/>
                <w:szCs w:val="22"/>
                <w:highlight w:val="none"/>
                <w:lang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450" w:type="dxa"/>
            <w:vAlign w:val="center"/>
            <w:textDirection w:val="lrTb"/>
            <w:noWrap w:val="false"/>
          </w:tcPr>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1.性能要求：应符合JJG 146-2011量块检定规程中1级要求；</w:t>
            </w:r>
            <w:r/>
          </w:p>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2.型式（外观、外形、颜色等）：（5.12～100）mm/20块；</w:t>
            </w:r>
            <w:r/>
          </w:p>
        </w:tc>
      </w:tr>
      <w:tr>
        <w:trPr>
          <w:trHeight w:val="3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450" w:type="dxa"/>
            <w:vAlign w:val="center"/>
            <w:textDirection w:val="lrTb"/>
            <w:noWrap w:val="false"/>
          </w:tcPr>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1.性能要求：</w:t>
            </w:r>
            <w:r>
              <w:rPr>
                <w:rFonts w:hint="eastAsia" w:ascii="宋体" w:hAnsi="宋体" w:eastAsia="宋体" w:cs="宋体"/>
                <w:color w:val="auto"/>
                <w:sz w:val="24"/>
                <w:highlight w:val="none"/>
              </w:rPr>
              <w:t xml:space="preserve">应符合JJG 146-2011量块检定规程中2级要求</w:t>
            </w:r>
            <w:r>
              <w:rPr>
                <w:rFonts w:hint="eastAsia" w:ascii="宋体" w:hAnsi="宋体" w:eastAsia="宋体" w:cs="宋体"/>
                <w:color w:val="auto"/>
                <w:sz w:val="24"/>
                <w:highlight w:val="none"/>
                <w:lang w:eastAsia="zh-CN"/>
              </w:rPr>
              <w:t xml:space="preserve">；</w:t>
            </w:r>
            <w:r/>
          </w:p>
          <w:p>
            <w:pPr>
              <w:pStyle w:val="835"/>
              <w:tabs>
                <w:tab w:val="center" w:pos="4153" w:leader="none"/>
                <w:tab w:val="clear" w:pos="7143" w:leader="none"/>
                <w:tab w:val="right" w:pos="8306" w:leader="none"/>
                <w:tab w:val="clear" w:pos="1428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2.型式（外观、外形、颜色等）：</w:t>
            </w:r>
            <w:r>
              <w:rPr>
                <w:rFonts w:hint="eastAsia" w:ascii="宋体" w:hAnsi="宋体" w:eastAsia="宋体" w:cs="宋体"/>
                <w:color w:val="auto"/>
                <w:sz w:val="24"/>
                <w:highlight w:val="none"/>
              </w:rPr>
              <w:t xml:space="preserve">（125～500）mm/8块</w:t>
            </w:r>
            <w:r>
              <w:rPr>
                <w:rFonts w:hint="eastAsia" w:ascii="宋体" w:hAnsi="宋体" w:eastAsia="宋体" w:cs="宋体"/>
                <w:color w:val="auto"/>
                <w:sz w:val="24"/>
                <w:highlight w:val="none"/>
                <w:lang w:eastAsia="zh-CN"/>
              </w:rPr>
              <w:t xml:space="preserve">；</w:t>
            </w:r>
            <w:r/>
          </w:p>
        </w:tc>
      </w:tr>
      <w:tr>
        <w:trPr>
          <w:trHeight w:val="5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平面平晶</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3"/>
              </w:num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性能要求：</w:t>
            </w:r>
            <w:r>
              <w:rPr>
                <w:rFonts w:hint="eastAsia" w:ascii="宋体" w:hAnsi="宋体" w:eastAsia="宋体" w:cs="宋体"/>
                <w:color w:val="auto"/>
                <w:sz w:val="24"/>
                <w:highlight w:val="none"/>
              </w:rPr>
              <w:t xml:space="preserve">应符合JJG 146-2011量块检定规程中1级要求</w:t>
            </w:r>
            <w:r>
              <w:rPr>
                <w:rFonts w:hint="eastAsia" w:ascii="宋体" w:hAnsi="宋体" w:eastAsia="宋体" w:cs="宋体"/>
                <w:color w:val="auto"/>
                <w:sz w:val="24"/>
                <w:highlight w:val="none"/>
                <w:lang w:eastAsia="zh-CN"/>
              </w:rPr>
              <w:t xml:space="preserve">；</w:t>
            </w:r>
            <w:r/>
          </w:p>
          <w:p>
            <w:pPr>
              <w:numPr>
                <w:ilvl w:val="0"/>
                <w:numId w:val="13"/>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型式（外观、外形、颜色等）：</w:t>
            </w:r>
            <w:r>
              <w:rPr>
                <w:rFonts w:hint="eastAsia" w:ascii="宋体" w:hAnsi="宋体" w:eastAsia="宋体" w:cs="宋体"/>
                <w:color w:val="auto"/>
                <w:sz w:val="24"/>
                <w:highlight w:val="none"/>
              </w:rPr>
              <w:t xml:space="preserve">Φ60mm</w:t>
            </w:r>
            <w:r>
              <w:rPr>
                <w:rFonts w:hint="eastAsia" w:ascii="宋体" w:hAnsi="宋体" w:eastAsia="宋体" w:cs="宋体"/>
                <w:color w:val="auto"/>
                <w:sz w:val="24"/>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平行平晶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146-2011量块检定规程中1级要求；</w:t>
            </w:r>
            <w:r/>
          </w:p>
          <w:p>
            <w:pPr>
              <w:numPr>
                <w:ilvl w:val="0"/>
                <w:numId w:val="1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型式（外观、外形、颜色等）：Ⅰ组-Ⅳ组；</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大理石平板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117-2013平板检定规程中0级要求；</w:t>
            </w:r>
            <w:r/>
          </w:p>
          <w:p>
            <w:pPr>
              <w:numPr>
                <w:ilvl w:val="0"/>
                <w:numId w:val="1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型式（外观、外形、颜色等）：1000mm×750mm；</w:t>
            </w:r>
            <w:r/>
          </w:p>
          <w:p>
            <w:pPr>
              <w:numPr>
                <w:ilvl w:val="0"/>
                <w:numId w:val="1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服务要求：含运费，并带支撑架；</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外径千分尺平行误差检具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性能要求：能检测（50～2000）mm的千分尺平行度，平行度要求≤2μm；</w:t>
            </w:r>
            <w:r/>
          </w:p>
          <w:p>
            <w:pPr>
              <w:numPr>
                <w:ilvl w:val="0"/>
                <w:numId w:val="1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型式（外观、外形、颜色等）：（50～2000）mm；</w:t>
            </w:r>
            <w:r/>
          </w:p>
          <w:p>
            <w:pPr>
              <w:numPr>
                <w:ilvl w:val="0"/>
                <w:numId w:val="1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公法线千分尺研磨器（套装）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性能要求：按照千分尺量程分类，共12套研磨器，每个量程4块研磨器。；</w:t>
            </w:r>
            <w:r/>
          </w:p>
          <w:p>
            <w:pPr>
              <w:numPr>
                <w:ilvl w:val="0"/>
                <w:numId w:val="1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（25～275）mm；</w:t>
            </w:r>
            <w:r/>
          </w:p>
          <w:p>
            <w:pPr>
              <w:numPr>
                <w:ilvl w:val="0"/>
                <w:numId w:val="1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146-2011量块检定规程中1级要求；</w:t>
            </w:r>
            <w:r/>
          </w:p>
          <w:p>
            <w:pPr>
              <w:numPr>
                <w:ilvl w:val="0"/>
                <w:numId w:val="1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型式（外观、外形、颜色等）：（0.5-100）mm83块组；</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1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146-2011量块检定规程中1级要求；</w:t>
            </w:r>
            <w:r/>
          </w:p>
          <w:p>
            <w:pPr>
              <w:numPr>
                <w:ilvl w:val="0"/>
                <w:numId w:val="1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型式（外观、外形、颜色等）：（125～500）mm/8块；</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146-2011量块检定规程中1级要求；</w:t>
            </w:r>
            <w:r/>
          </w:p>
          <w:p>
            <w:pPr>
              <w:numPr>
                <w:ilvl w:val="0"/>
                <w:numId w:val="2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型式（外观、外形、颜色等）：（600-1000）mm五块组；</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both"/>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卡尺校整器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功能要求：一定要有卡尺内尺寸校整功能；</w:t>
            </w:r>
            <w:r/>
          </w:p>
          <w:p>
            <w:pPr>
              <w:numPr>
                <w:ilvl w:val="0"/>
                <w:numId w:val="2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性能要求：卡尺内尺寸校整；</w:t>
            </w:r>
            <w:r/>
          </w:p>
          <w:p>
            <w:pPr>
              <w:numPr>
                <w:ilvl w:val="0"/>
                <w:numId w:val="2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量块附件套装块规附件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性能要求：块规附件套装17件组；</w:t>
            </w:r>
            <w:r/>
          </w:p>
          <w:p>
            <w:pPr>
              <w:numPr>
                <w:ilvl w:val="0"/>
                <w:numId w:val="2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型式（外观、外形、颜色等）：(100～500)mm；</w:t>
            </w:r>
            <w:r/>
          </w:p>
          <w:p>
            <w:pPr>
              <w:numPr>
                <w:ilvl w:val="0"/>
                <w:numId w:val="2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3"/>
              </w:num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性能要求：</w:t>
            </w:r>
            <w:r>
              <w:rPr>
                <w:rFonts w:hint="eastAsia" w:ascii="宋体" w:hAnsi="宋体" w:eastAsia="宋体" w:cs="宋体"/>
                <w:color w:val="auto"/>
                <w:sz w:val="24"/>
                <w:highlight w:val="none"/>
              </w:rPr>
              <w:t xml:space="preserve">应符合JJG 146-2011量块检定规程中1级要求</w:t>
            </w:r>
            <w:r>
              <w:rPr>
                <w:rFonts w:hint="eastAsia" w:ascii="宋体" w:hAnsi="宋体" w:eastAsia="宋体" w:cs="宋体"/>
                <w:color w:val="auto"/>
                <w:sz w:val="24"/>
                <w:highlight w:val="none"/>
                <w:lang w:eastAsia="zh-CN"/>
              </w:rPr>
              <w:t xml:space="preserve">；</w:t>
            </w:r>
            <w:r/>
          </w:p>
          <w:p>
            <w:pPr>
              <w:numPr>
                <w:ilvl w:val="0"/>
                <w:numId w:val="23"/>
              </w:num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型式（外观、外形、颜色等）：</w:t>
            </w:r>
            <w:r>
              <w:rPr>
                <w:rFonts w:hint="eastAsia" w:ascii="宋体" w:hAnsi="宋体" w:eastAsia="宋体" w:cs="宋体"/>
                <w:color w:val="auto"/>
                <w:sz w:val="24"/>
                <w:highlight w:val="none"/>
                <w:lang w:eastAsia="zh-CN"/>
              </w:rPr>
              <w:t xml:space="preserve">（0.5-100）mm83块组；</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7</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146-2011量块检定规程中2级要求；</w:t>
            </w:r>
            <w:r/>
          </w:p>
          <w:p>
            <w:pPr>
              <w:numPr>
                <w:ilvl w:val="0"/>
                <w:numId w:val="2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型式（外观、外形、颜色等）：（125～500）mm/8块；</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量块</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146-2011量块检定规程中2级要求；</w:t>
            </w:r>
            <w:r/>
          </w:p>
          <w:p>
            <w:pPr>
              <w:numPr>
                <w:ilvl w:val="0"/>
                <w:numId w:val="2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型式（外观、外形、颜色等）：（600-1000）mm/5块组；</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百分表检定仪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性能要求：符合JJG 201-2018指示类量具检定仪检定规程对于百分表检定仪的要求；</w:t>
            </w:r>
            <w:r/>
          </w:p>
          <w:p>
            <w:pPr>
              <w:numPr>
                <w:ilvl w:val="0"/>
                <w:numId w:val="2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型式（外观、外形、颜色等）：(0～25)mm；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3.配置说明：要有产品说明书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水平仪检定器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性能要求：符合JJG191-2018 水平仪检定器检定规程的要求；</w:t>
            </w:r>
            <w:r/>
          </w:p>
          <w:p>
            <w:pPr>
              <w:numPr>
                <w:ilvl w:val="0"/>
                <w:numId w:val="2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配置要求：要有产品说明书。</w:t>
            </w:r>
            <w:r/>
          </w:p>
        </w:tc>
      </w:tr>
      <w:tr>
        <w:trPr>
          <w:trHeight w:val="2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声校准器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176-2022声校准器检定规程中1级要求，要有94dB,114dB；</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2.配置要求：要有产品说明书。</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圆柱角尺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2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7-2004直角尺检定规程中0级要求；</w:t>
            </w:r>
            <w:r/>
          </w:p>
          <w:p>
            <w:pPr>
              <w:numPr>
                <w:ilvl w:val="0"/>
                <w:numId w:val="2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型式（外观、外形、颜色等）：1000mm，直径120mm；</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标准环规（1）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894-1995标准环规检定规程中3等要求；</w:t>
            </w:r>
            <w:r/>
          </w:p>
          <w:p>
            <w:pPr>
              <w:numPr>
                <w:ilvl w:val="0"/>
                <w:numId w:val="3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型式（外观、外形、颜色等）：直径10.12，15.24，20.36，25，26.5，30，30.12，35.24，40.36，46.5,55.12，60.24，65.36mm；</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标准环规（2）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894-1995标准环规检定规程中3等要求；</w:t>
            </w:r>
            <w:r/>
          </w:p>
          <w:p>
            <w:pPr>
              <w:numPr>
                <w:ilvl w:val="0"/>
                <w:numId w:val="3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型式（外观、外形、颜色等）：直径71.5，80.12，85.24，90.36，96.5，105.12，110.24，115.36，121.50，130.12，135.24，140.36，146.50，155.12，160.24，165.36，171.5mm；</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标准环规（3）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性能要求：应符合JJG 894-1995标准环规检定规程中3等要求；</w:t>
            </w:r>
            <w:r/>
          </w:p>
          <w:p>
            <w:pPr>
              <w:numPr>
                <w:ilvl w:val="0"/>
                <w:numId w:val="3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型式（外观、外形、颜色等）：直径210，220，230，240，250，260，270，275，280，290mm；</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低本底α、β标准平面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性能要求：技术指标：符合JJG 853-2013,:标准平面源1：90Sr-90Y,30mm*2mm,20mm*2mm,(2.0E+04～1.2E+05)（min·2πsr）-1，标准平面源2：241Am,35mm*1mm,25mm*1mm,(2.0E+04～1.2E+05)（min·2πsr）-1；</w:t>
            </w:r>
            <w:r/>
          </w:p>
          <w:p>
            <w:pPr>
              <w:numPr>
                <w:ilvl w:val="0"/>
                <w:numId w:val="3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配置要求：标准平面源2片。</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功能要求：二等，分度值0.1℃；</w:t>
            </w:r>
            <w:r/>
          </w:p>
          <w:p>
            <w:pPr>
              <w:numPr>
                <w:ilvl w:val="0"/>
                <w:numId w:val="3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性能要求：0-50℃、50-100℃、250-300℃分度值0.1℃各一支；</w:t>
            </w:r>
            <w:r/>
          </w:p>
          <w:p>
            <w:pPr>
              <w:numPr>
                <w:ilvl w:val="0"/>
                <w:numId w:val="3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型式（外观、外形、颜色等）：玻璃；</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精密微压计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功能要求：适合压力流量校准，0～2500Pa；</w:t>
            </w:r>
            <w:r/>
          </w:p>
          <w:p>
            <w:pPr>
              <w:numPr>
                <w:ilvl w:val="0"/>
                <w:numId w:val="35"/>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性能要求：微压：0～2500Pa      表压：（-60～60）kPa   环境大气压：（50～130）kPa    环境温度：（-40～80）℃ ；</w:t>
            </w:r>
            <w:r/>
          </w:p>
          <w:p>
            <w:pPr>
              <w:numPr>
                <w:ilvl w:val="0"/>
                <w:numId w:val="35"/>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型式（外观、外形、颜色等）：便携式；</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功能要求：干燥箱，电热，恒温，鼓风；</w:t>
            </w:r>
            <w:r/>
          </w:p>
          <w:p>
            <w:pPr>
              <w:numPr>
                <w:ilvl w:val="0"/>
                <w:numId w:val="3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性能要求：10-300℃，容积&gt;70L；</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双光束紫外可见分光光度计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 一级双光束紫外可见分光光度计 ；</w:t>
            </w:r>
            <w:r/>
          </w:p>
          <w:p>
            <w:pPr>
              <w:numPr>
                <w:ilvl w:val="0"/>
                <w:numId w:val="3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性能要求：（1）光学系统：双光束； </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（2）波长范围：190～1100nm；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（3）波长准确度：±0.1nm（D2@656.1nm）±0.3nm全波长范围；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（4）波长重复性：≤0.1nm；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（5）光谱带宽：固定狭缝：2nm ；</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（6）杂散光：≤0.01%T 220nm，Nal   ≤0.05%T 360nm,NaNo2；</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（7）光度范围：-4.0 ～4.0Abs；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（8）光度准确度：±0.002A(0～0.5A)，±0.004A(0.5～1A)，±0.3%T(0～100%T)；</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（9）光度重复性：≤0.001A(0～0.5A)，≤0.002A(0.5～1A)  ≤0.1%T；</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（10）基线平直度：±0.0005A（200～1090nm）；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（11）噪声：≤0.05%T  （500nm开机预热半小时）；</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（12）基线漂移：≤0.1T%/h(500nm预热1小时后)；</w:t>
            </w:r>
            <w:r/>
          </w:p>
          <w:p>
            <w:pPr>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（13）光源：插座型进口长寿命溴钨灯，氘灯更换灯后无须调整。</w:t>
            </w:r>
            <w:r/>
          </w:p>
          <w:p>
            <w:pPr>
              <w:numPr>
                <w:ilvl w:val="0"/>
                <w:numId w:val="37"/>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服务要求：质保1年；</w:t>
            </w:r>
            <w:r/>
          </w:p>
          <w:p>
            <w:pPr>
              <w:numPr>
                <w:ilvl w:val="0"/>
                <w:numId w:val="37"/>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配置要求：主机1台，五联100mm长样池1件，控制软件一套，可变角度样品池1件，计算机一套，打印机一台。</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质量流量计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 0.01-2L/min精度1.0%；</w:t>
            </w:r>
            <w:r/>
          </w:p>
          <w:p>
            <w:pPr>
              <w:numPr>
                <w:ilvl w:val="0"/>
                <w:numId w:val="38"/>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性能要求：满足0.01-2L/min，精度1.0%带累计功能</w:t>
            </w:r>
            <w:r/>
          </w:p>
          <w:p>
            <w:pPr>
              <w:numPr>
                <w:ilvl w:val="0"/>
                <w:numId w:val="38"/>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服务要求：质保1年；</w:t>
            </w:r>
            <w:r/>
          </w:p>
          <w:p>
            <w:pPr>
              <w:numPr>
                <w:ilvl w:val="0"/>
                <w:numId w:val="38"/>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配置要求：质量流量计共计2套，说明书各一份，充电器各1台。</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大气采样器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3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 适合环境空气综合采样器，0-1L/min ；</w:t>
            </w:r>
            <w:r/>
          </w:p>
          <w:p>
            <w:pPr>
              <w:numPr>
                <w:ilvl w:val="0"/>
                <w:numId w:val="39"/>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性能要求：标配（0~1.0）L/min</w:t>
            </w:r>
            <w:r/>
          </w:p>
          <w:p>
            <w:pPr>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C/D路可定制（10~200）mL/min；</w:t>
            </w:r>
            <w:r/>
          </w:p>
          <w:p>
            <w:pPr>
              <w:numPr>
                <w:ilvl w:val="0"/>
                <w:numId w:val="39"/>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服务要求：质保1年；</w:t>
            </w:r>
            <w:r/>
          </w:p>
          <w:p>
            <w:pPr>
              <w:numPr>
                <w:ilvl w:val="0"/>
                <w:numId w:val="39"/>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配置要求：大颗粒综合采样器一台。</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万分之一电子天平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0"/>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性能要求：量限：0-220g，万分之一，精度0.1mg，秤盘尺寸80mm；</w:t>
            </w:r>
            <w:r/>
          </w:p>
          <w:p>
            <w:pPr>
              <w:numPr>
                <w:ilvl w:val="0"/>
                <w:numId w:val="40"/>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服务要求：质保1年；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3.配置要求：电源线，砝码，合格证，说明书，秤盘，主机。</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Style w:val="1152"/>
                <w:rFonts w:hint="eastAsia" w:ascii="宋体" w:hAnsi="宋体" w:eastAsia="宋体" w:cs="宋体"/>
                <w:color w:val="auto"/>
                <w:highlight w:val="none"/>
                <w:lang w:val="en-US" w:eastAsia="zh-CN" w:bidi="ar"/>
              </w:rPr>
              <w:t xml:space="preserve">无线温湿度记录仪(温湿度计)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功能要求：测量范围：温度：-40～80℃湿度：(0～100)%Rh；</w:t>
            </w:r>
            <w:r/>
          </w:p>
          <w:p>
            <w:pPr>
              <w:numPr>
                <w:ilvl w:val="0"/>
                <w:numId w:val="4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性能要求;双通道</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温度精度：≤±0.1℃</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 辨 率：0.01℃</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测量范围：-40～80℃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数据传输：无线射频</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湿度精度：±2%RH（10～90）%Rh</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 辨 率：0.01%Rh</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测量范围：(0～100)%Rh</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记录间隔：最小1秒钟，可自行设置间隔</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池：3.6V锂电池，可更换</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启动方式：按键设置和软件设置</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记录容量：50000个;</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电池寿命：25℃，15分钟记录间隔可使用12个月;</w:t>
            </w:r>
            <w:r/>
          </w:p>
          <w:p>
            <w:pPr>
              <w:numPr>
                <w:ilvl w:val="0"/>
                <w:numId w:val="41"/>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服务要求：质保1年；</w:t>
            </w:r>
            <w:r/>
          </w:p>
          <w:p>
            <w:pPr>
              <w:numPr>
                <w:ilvl w:val="0"/>
                <w:numId w:val="41"/>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配置要求：主机10台，软件一套，使用说明。</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压差计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功能要求：0-20hPa压差的测量；</w:t>
            </w:r>
            <w:r/>
          </w:p>
          <w:p>
            <w:pPr>
              <w:numPr>
                <w:ilvl w:val="0"/>
                <w:numId w:val="4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性能要求：0-20hPa，精度0.5%满量程，分辨率：0.01hPa；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3.服务要求：质保1年；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4.配置要求：主机1台。</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电导率检定装置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1.性能要求：a) 量限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电导范围：（0.05～2.5×104</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）μS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温度范围：（10～50）℃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b) 不确定度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0.07%(1μS～2.5×104</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μS)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0.1%(0.05μS～1μS)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2.服务要求：质保1年；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3.配置要求：主机一台，连接线若干，说明书，充电器。</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酸度计检定装置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1.性能要求： pH(pXI)、pXⅡ输出范围：0.0000~+14.0000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pH(pXI)、pXⅡ分辨率：0.0001</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pH(pXI)、pXⅡ示值误差：±0.0005</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温度补偿范围：（0.0~99.9）℃</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mV 档信号输出范围：(-2000.0~+2000.0)mV</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mV 分辨率：0.1mV</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mV 档示值误差：±0.005%FS</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供电：充电电池:DC 3.7V 外接电源：AD/DC 5V(2A)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2.服务要求：质保1年；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3.配置要求：主机一台，连接线若干，说明书，充电器。</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气体流量计测试仪器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功能要求：适用于干式气体流量校准，0-30L/min；</w:t>
            </w:r>
            <w:r/>
          </w:p>
          <w:p>
            <w:pPr>
              <w:numPr>
                <w:ilvl w:val="0"/>
                <w:numId w:val="4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性能要求：0-30L/min；</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3.服务要求：质保1年；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4.配置要求：主机一台，说明书，电源线。</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Style w:val="1152"/>
                <w:rFonts w:hint="eastAsia" w:ascii="宋体" w:hAnsi="宋体" w:eastAsia="宋体" w:cs="宋体"/>
                <w:color w:val="auto"/>
                <w:highlight w:val="none"/>
                <w:lang w:val="en-US" w:eastAsia="zh-CN" w:bidi="ar"/>
              </w:rPr>
              <w:t xml:space="preserve">眩光测试系统(虹谱光色体育场馆眩光GR</w:t>
            </w:r>
            <w:r>
              <w:rPr>
                <w:rStyle w:val="1202"/>
                <w:rFonts w:hint="eastAsia" w:ascii="宋体" w:hAnsi="宋体" w:eastAsia="宋体" w:cs="宋体"/>
                <w:color w:val="auto"/>
                <w:highlight w:val="none"/>
                <w:lang w:val="en-US" w:eastAsia="zh-CN" w:bidi="ar"/>
              </w:rPr>
              <w:t xml:space="preserve">测试系统软件</w:t>
            </w:r>
            <w:r>
              <w:rPr>
                <w:rStyle w:val="1152"/>
                <w:rFonts w:hint="eastAsia" w:ascii="宋体" w:hAnsi="宋体" w:eastAsia="宋体" w:cs="宋体"/>
                <w:color w:val="auto"/>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1.性能要求：符合JGJ/1153-2016《体育场馆照用设计及检测标准》；</w:t>
            </w:r>
            <w:r/>
          </w:p>
          <w:p>
            <w:pPr>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2.服务要求：软件使用指导；</w:t>
            </w:r>
            <w:r/>
          </w:p>
        </w:tc>
      </w:tr>
      <w:tr>
        <w:trPr>
          <w:trHeight w:val="3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余氯仪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功能要求：适合余氯/总氯测量（比色计）；</w:t>
            </w:r>
            <w:r/>
          </w:p>
          <w:p>
            <w:pPr>
              <w:numPr>
                <w:ilvl w:val="0"/>
                <w:numId w:val="4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性能要求：技术参数：波长准确度：±2nm，检测器：硅光电二极管；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3.服务要求：质保1年；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4.配置要求：主机一台，说明书，电源线。</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台式液压泵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功能要求：符合JB/T599-2005；</w:t>
            </w:r>
            <w:r/>
          </w:p>
          <w:p>
            <w:pPr>
              <w:numPr>
                <w:ilvl w:val="0"/>
                <w:numId w:val="4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性能要求：（10～30）℃条件下正常工作</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最大校验压力：100MPa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承受120MPa强度试验和密封试验10min无异常</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强度试验后5min内压力下降值不大于6MPa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所有阀门、微调丝杆应平滑转动，不得有任何卡滞现象；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3.配置要求：M20×1.5超快速内螺纹接头（3个）；</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手动杠杆加压；丝杠传动微调；</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外形尺寸不大于460×365×200(mm);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整机质量不大于13kg。</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机动车检测用气象单元校准装置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1.功能要求：（1）系统具备温度、湿度、压力的校准功能。</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（2）整机便携设计，方便现场检测。</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（3）环境校准舱直径不小于200毫米，深度不小于220毫米，舱门采用便于观察的玻璃材质，应具有良好的密封性和隔热功能。</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（4）校准过程自动控制，温度、湿度、大气压力设定后自动控制到达设定值，也可通过手动方式来干预,每个校准项目至少支持 3个设定点程序设定。</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（5）气象单元校准和机油温度的校准可以同时进行，校准界面可以灵活切换。支持至少10条被校准设备的信息同时录入功能；</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（6）支持定制的环境检测传感器的通讯连接，实现数据自动采集，并按要求生成校准记录。</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（7）设备具有本机设备信息管理功能，用于本机的相关参数及校准信息管理，要求有本机设备校准提醒功能，至少提前一个月提示本机校准信息。</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（8）系统具有日志功能，需记录重要参数的操作记录。</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（9）可通过Internet网络与数据服务器进行数据传输，也可通过USB接口进行数据备份。</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2.性能要求：（1）大气温度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测量范围：-20℃～50℃；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温度传感器最大允许误差：±0.1℃；</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校准腔温度变化率不超过±0.2℃/min；</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（2）大气相对湿度参数：</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测量范围：10%～90%；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相对湿度传感器最大允许误差：±0.8%；</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校准腔相对湿度变化率不超过0.8%/min；</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（3）大气压力参数：</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测量范围：50 kPa～120 kPa；</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压力传感器准确度等级：0.2级；</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系统密封性造成的最大压力差不超过0.1 kPa；</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（4）检测仓参数</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直径比少于200mm,深度不少于220mm；</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（5）供电参数</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AC220V±10%  50HZ  1000W；</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（6）工作环境：</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温度：（-5～45）℃；</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相对湿度：不大于85%；</w:t>
            </w:r>
            <w:r/>
          </w:p>
          <w:p>
            <w:pPr>
              <w:numPr>
                <w:ilvl w:val="0"/>
                <w:numId w:val="45"/>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服务要求：质保3年；</w:t>
            </w:r>
            <w:r/>
          </w:p>
          <w:p>
            <w:pPr>
              <w:numPr>
                <w:ilvl w:val="0"/>
                <w:numId w:val="45"/>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配置要求：（1）便携式气象单元校准主机1台；</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（2）上位机控制显示单元1台；</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（3）ZH-RB型便携式气象单元校准装置检测软件1套；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（4）纯水1000mL；</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（5）气象单元数据连接线4条；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（6）蒸馏水加注器1只；</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（7）备用密封圈2条；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（8）分子筛除湿剂  500g;</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（9）随机工具1套；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（10）温湿度传感器标定用延长线1条；</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5.带CNAS溯源证书，投标文件中提供证书扫描件。</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2"/>
                <w:szCs w:val="22"/>
                <w:highlight w:val="none"/>
                <w:lang w:bidi="ar"/>
              </w:rPr>
              <w:t xml:space="preserve">矿用机电设备检测三相交流程控源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6"/>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功能要求：可输出高稳定度、高准确度的三相工频电压、电流、相位、频率、功率、功率因数等信号，相电压700V，电流100A,准确度：0.05%RG，含升流励磁模组（500A）。</w:t>
            </w:r>
            <w:r/>
          </w:p>
          <w:p>
            <w:pPr>
              <w:numPr>
                <w:ilvl w:val="0"/>
                <w:numId w:val="46"/>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性能要求：相电压700V，电流100A,准确度：0.05%RG,2-51次谐波信号,输出高稳定度、高准确度的三相工频电压、电流、相位、频率、功率、功率因数信号。调节细度：0.01%RG准确度：0.05%RG 稳定度：≤0.02%/3 分钟失真度：≤0.1%（非容性负载），增加电流线圈（1：50）。</w:t>
            </w:r>
            <w:r/>
          </w:p>
          <w:p>
            <w:pPr>
              <w:numPr>
                <w:ilvl w:val="0"/>
                <w:numId w:val="46"/>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型式（外观、外形、颜色等）：白色台式；</w:t>
            </w:r>
            <w:r/>
          </w:p>
          <w:p>
            <w:pPr>
              <w:numPr>
                <w:ilvl w:val="0"/>
                <w:numId w:val="46"/>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服务要求：质保5年。</w:t>
            </w:r>
            <w:r/>
          </w:p>
          <w:p>
            <w:pPr>
              <w:numPr>
                <w:ilvl w:val="0"/>
                <w:numId w:val="46"/>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配置要求：整机、升流励磁模组（500A），说明书，测试线一套。</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2"/>
                <w:szCs w:val="22"/>
                <w:highlight w:val="none"/>
                <w:lang w:bidi="ar"/>
              </w:rPr>
              <w:t xml:space="preserve">便携式总烃、甲烷和非甲烷总烃测量仪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7"/>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功能要求:分析周期:2 min;采样探头温度:(环境温度~200)℃可调;阀箱最高温度:(环境温度~200)℃;样气流速:不低于0.5L/min;电池使用时间:充电时间&lt;8h;充满电后使用时间不小于4h(主机+伴热管线);质控保证:内置多条校准曲线，无需工具及外接标气即可进行现场校准。</w:t>
            </w:r>
            <w:r/>
          </w:p>
          <w:p>
            <w:pPr>
              <w:numPr>
                <w:ilvl w:val="0"/>
                <w:numId w:val="47"/>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性能要求:电源要求:电池供电(24V，19.2 Ah)或适配器供电(220VAC，50Hz);工作温度:(-20~50)℃;工作湿度:(0~95)%RH;FID检出限:≤0.1ppm;定性重复性:RSD≤1.0%;定量重复性:RSD≤2.0%，线性误差≤2.0%FS;量程:0.1~200mg/m3;</w:t>
            </w:r>
            <w:r/>
          </w:p>
          <w:p>
            <w:pPr>
              <w:numPr>
                <w:ilvl w:val="0"/>
                <w:numId w:val="47"/>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型式(外观、外形、颜色等):尺寸:不小于415x252x350 mm;整机(含电池、氢气瓶、载气瓶和标气瓶)重量小于15kg;</w:t>
            </w:r>
            <w:r/>
          </w:p>
          <w:p>
            <w:pPr>
              <w:numPr>
                <w:ilvl w:val="0"/>
                <w:numId w:val="47"/>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质量要求:执行标准符合《HJ1012-2018 环境空气和废气便携式总烃、甲烷和非甲烷总烃监测仪技术要求及检测方法》，产品技术原理符合《HJ38-2017固定污染源废气 总烃、甲烷和非甲烷总烃的测定气相色谱法》;</w:t>
            </w:r>
            <w:r/>
          </w:p>
          <w:p>
            <w:pPr>
              <w:numPr>
                <w:ilvl w:val="0"/>
                <w:numId w:val="47"/>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服务要求:现场指导；</w:t>
            </w:r>
            <w:r/>
          </w:p>
          <w:p>
            <w:pPr>
              <w:numPr>
                <w:ilvl w:val="0"/>
                <w:numId w:val="47"/>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配置要求:整机(含电池、氢气瓶、载气瓶和标气瓶)重量小于15kg说明书，电源线一根</w:t>
            </w:r>
            <w:r>
              <w:rPr>
                <w:rFonts w:hint="eastAsia" w:ascii="宋体" w:hAnsi="宋体" w:eastAsia="宋体" w:cs="宋体"/>
                <w:color w:val="auto"/>
                <w:sz w:val="24"/>
                <w:highlight w:val="none"/>
                <w:lang w:eastAsia="zh-CN"/>
              </w:rPr>
              <w:t xml:space="preserve">。</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2"/>
                <w:szCs w:val="22"/>
                <w:highlight w:val="none"/>
                <w:lang w:bidi="ar"/>
              </w:rPr>
              <w:t xml:space="preserve">微差压皮托管测试系统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.功能要求：S型皮托管</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皮托管系数值k=0.81~ 0.86;</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准确度等级:1.0级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微差压计检测：测量范围:</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压力范围:(-3735~3735)Pa，准确度等级:1.6级。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温度测量:</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(0~300)°C,</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最大示值误差:</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±1°C。</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湿度测量：测量范围:0% ~30%,最大允许误差（相对误差）:</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±10%。</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大气压测量：测量范围:800 hPa~1060 hPa,最大允许误差:</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±2.5 hPa。</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2.型式（外观、外形、颜色等）：便携款；</w:t>
            </w:r>
            <w:r/>
          </w:p>
          <w:p>
            <w:pPr>
              <w:numPr>
                <w:ilvl w:val="0"/>
                <w:numId w:val="44"/>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服务要求：质保5年；</w:t>
            </w:r>
            <w:r/>
          </w:p>
          <w:p>
            <w:pPr>
              <w:numPr>
                <w:ilvl w:val="0"/>
                <w:numId w:val="44"/>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配置要求：说明书，电源线一根，数据线一根，主机一台。</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神经肌肉刺激器校准装置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功能要求：符合JJF 2264—2025 《神经肌肉刺激仪校准规范》建标要求；</w:t>
            </w:r>
            <w:r/>
          </w:p>
          <w:p>
            <w:pPr>
              <w:numPr>
                <w:ilvl w:val="0"/>
                <w:numId w:val="48"/>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性能要求：测量范围：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负载电阻：80 0hm±2%(extern)；±10V :0-125mA；±100V :0-1250mA；±700V:0-8750mA；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300 Ohm±2%；±10V : 0-33 mA；±100V : 0-333 mA；±700V:0-2333 mA；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  Ohm±1%；±10V : 0-20 mA；±100V : 0-200 mA；±700V:0-1400 mA；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1000 Ohm±1%；±10V : 0-10 mA；±100V : 0-100 mA；±700V:700 Ohm±1%；</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2000 Ohm±2%；±10V : 0-5 mA；±100V : 0-50 mA；±700V:0-350 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10000 Ohm±3% ；±10V : 0-1 mA；±100V : 0-10 mA；±700V:0-70 mA；</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时基电刺激(可选):1、10、20、200ms ;</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时基神经刺激(固定):1 .5秒;</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最小脉冲宽度：100μs(200  μs 双极);</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用于确定 rms 值的频带30 kHz </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确定输入信号的 rms 值：±5%,最大值测量：±5%;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直流分量的测量：±5%;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干扰电流信号的测量：±5% ; </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正弦波信号的频率测定：±7%;</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脉冲宽度测量：±25 μs</w:t>
            </w:r>
            <w:r/>
          </w:p>
          <w:p>
            <w:pPr>
              <w:numPr>
                <w:ilvl w:val="0"/>
                <w:numId w:val="48"/>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服务要求：质保2年，交货30天，需提供厂家原厂调试及培训，培训包括但不限于协助我方搭建测试系统，进行相关检测试验的模拟等；</w:t>
            </w:r>
            <w:r/>
          </w:p>
          <w:p>
            <w:pPr>
              <w:numPr>
                <w:ilvl w:val="0"/>
                <w:numId w:val="48"/>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配置要求：主机：测量系统、数据采集和处理、控制和显示单元；电源线；</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超声骨密度仪性能模体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4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功能要求：符合JJF 1649-2017《超声骨密度仪校准规范》的建标要求，满足YY 0774-2010《超声骨密度仪》、YY/T 0939-2014《超声骨密度仪宽带超声衰减(BU)的试验方法》。</w:t>
            </w:r>
            <w:r/>
          </w:p>
          <w:p>
            <w:pPr>
              <w:numPr>
                <w:ilvl w:val="0"/>
                <w:numId w:val="49"/>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性能要求：2.1桡骨(胫骨)模体:</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(1)尺寸:135mm(长)X50mm(宽)X21mm(高)，误差±0.1mm。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(2)高抛光有机玻璃(PMMA)材质制成，密度为1.18g/cm3，误差≤±1%</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(3)声速参数:2500m/s~3000m/s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2.2指(趾)骨模体:</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(1)高抛光有机玻璃(PMMA)材质制成，密度为1.18g/cm3，误差≤±1%，形状为模拟指骨形式。</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(2)声速参数:2500m/s~3000m/s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2.3跟骨模体:</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(1)包含聚氨酯橡胶和聚四氟乙烯两种材料的模体</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(2)聚氨酯橡胶模体尺寸:长60mmX宽50mmX高40mm及55mmx宽45mmX高35mm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(2)聚氨酯橡胶模体声速参数:1400m/s~1700m/s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(3)聚氨酯橡胶模体超声衰减(BU4)特性:随着介质厚度增加而单调增加</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(4)聚四氟乙烯模体尺寸:长60mmx宽50mmx高40mm及长55mmx宽45mmx高35mm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(5)聚四氟乙烯模体声速参数:1100m/s~1400m/s；</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3.服务要求：质保2年，交货30天，需提供厂家原厂调试及培训，培训包括但不限于协助我方搭建测试系统，进行相关检测试验的模拟等；</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4.配置要求：桡骨(胫骨)模体模体；指(趾)骨模体模体；跟骨模体模体。</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超声功率计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1.功能要求：符合JJG 639-1998</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《医用超声诊断仪超声源检定规程》规程要求</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2.性能要求：超声功率计：</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功率范围0-30W</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分辨率+1mW</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最小可测量功率1mW</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显示灵敏度0.001W</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精度:± 3%±-个读数</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清零方法:自动</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最大探头尺寸:8cm直径</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探头操作频率:0.5-10MHZ</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反射靶材质:高分子复合材料</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挂靶方式:单杆挂靶；</w:t>
            </w:r>
            <w:r/>
          </w:p>
          <w:p>
            <w:pPr>
              <w:numPr>
                <w:ilvl w:val="0"/>
                <w:numId w:val="49"/>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服务要求：质保2年，交货30天，需提供厂家原厂调试及培训，培训包括但不限于协助我方搭建测试系统，进行相关检测试验的模拟等；</w:t>
            </w:r>
            <w:r/>
          </w:p>
          <w:p>
            <w:pPr>
              <w:numPr>
                <w:ilvl w:val="0"/>
                <w:numId w:val="49"/>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配置要求：便携箱；主机；水箱；固定支架；精密天平/力传感器反射靶；电子显示部件；电源线；探头。</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血液透析机检测装置血液流量模块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5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功能要求：符合JJF 1353—2024 《血液透析装置校准规范》校准规范的要求；</w:t>
            </w:r>
            <w:r/>
          </w:p>
          <w:p>
            <w:pPr>
              <w:numPr>
                <w:ilvl w:val="0"/>
                <w:numId w:val="5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性能要求：血液流量测量范围:(50~300)mL/min</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最大允许误差士3%</w:t>
            </w:r>
            <w:r/>
          </w:p>
          <w:p>
            <w:pPr>
              <w:numPr>
                <w:ilvl w:val="0"/>
                <w:numId w:val="50"/>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服务要求：质保2年，交货30天，需提供厂家原厂调试及培训，培训包括但不限于协助我方搭建测试系统，进行相关检测试验的模拟等；</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4.配置要求：主机：流量传感器、控制处理与显示模块、透析液参数检测模块；电源线。</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DSA性能影像模体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5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功能要求：符合JJG 1067-2011《医用诊断数字减影血管造影（DSA）系统X射线辐射源》检定规程的要求；</w:t>
            </w:r>
            <w:r/>
          </w:p>
          <w:p>
            <w:pPr>
              <w:numPr>
                <w:ilvl w:val="0"/>
                <w:numId w:val="51"/>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性能要求：2.1制造厂家通过ISO9001质量体系认证，符合JJG 1067-2011《医用诊断数字减影血管造影（DSA）系统X射线辐射源》检定规程的要求。</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2.2无线遥控传动方式推进，蒙片、模拟动脉血管、低对比度分辨力和对比度线性模块一体化设计。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2.3模拟血管最小尺寸及伪影检测模块：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（1）造影剂浓度150mg/cm3直径为4mm，2mm和1mm的模拟动脉血管，血管畸变大小是相应血管宽度的（1/4，1/2，3/4）；</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（2）造影剂浓度300mg/cm3直径为4mm，2mm和1mm的模拟动脉血管，血管畸变大小是相应血管宽度的（1/4，1/2，3/4）</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2.4低对比度分辨力检测模块：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（1）造影剂浓度5mg/cm3直径为（4.0，2.0，1.0）mm的血管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（2）造影剂浓度10mg/cm3直径为（4.0，2.0，1.0）mm的血管</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2.5对比度线性模块：0.5%，1.0%，2.0%，4.0%，10.0%，20.0%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2.6骨骼模块：模拟骨骼厚度：（0.5，1.0，1.5）cm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2.7分辨力测试卡：0.05mmPb，（0.6~5.0）Lp/mm</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2.8主要配置：DSA性能检测模体1个，遥控电动支架1个，分辨力测试卡1个，专用包装箱1套，测试报告1份；</w:t>
            </w:r>
            <w:r/>
          </w:p>
          <w:p>
            <w:pPr>
              <w:numPr>
                <w:ilvl w:val="0"/>
                <w:numId w:val="51"/>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服务要求：质保2年，交货30天，需提供厂家原厂调试及培训，培训包括但不限于协助我方搭建测试系统，进行相关检测试验的模拟等；</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4.配置要求：模拟血管最小尺寸及伪影检测模块模体；低对比度分辨力检测模块模体；骨骼模块模体。</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高流量呼吸湿化仪校准装置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5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功能要求：符合JJF 2209-2025 《高流量呼吸湿化治疗仪校准规范》；</w:t>
            </w:r>
            <w:r/>
          </w:p>
          <w:p>
            <w:pPr>
              <w:numPr>
                <w:ilvl w:val="0"/>
                <w:numId w:val="5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性能要求：流量：（1～180）L/min，最大允许误差：±3%；氧气浓度：21%～100%，最大允许误差：±2%（体积分数）；温度：（0～50）°C，最大允许误差：±0.2°C；大气压力：（80～106）kPa，最大允许误差：±1%或±1 kPa；流量、氧气浓度、温度、大气压力多参数一体机，彩色触摸屏操控，自带校准功能。</w:t>
            </w:r>
            <w:r/>
          </w:p>
          <w:p>
            <w:pPr>
              <w:numPr>
                <w:ilvl w:val="0"/>
                <w:numId w:val="5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环境标志产品政府采购品目清单；符合相关标准、规范要求；</w:t>
            </w:r>
            <w:r/>
          </w:p>
          <w:p>
            <w:pPr>
              <w:numPr>
                <w:ilvl w:val="0"/>
                <w:numId w:val="5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服务要求：质保2年，交货30天，需提供厂家原厂调试及培训，培训包括但不限于协助我方搭建测试系统，进行相关检测试验的模拟等；</w:t>
            </w:r>
            <w:r/>
          </w:p>
          <w:p>
            <w:pPr>
              <w:numPr>
                <w:ilvl w:val="0"/>
                <w:numId w:val="52"/>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配置要求：主机：气体流量测量单元、氧气浓度分析单元、温度测量单元、压力测量单元屏；连接部件与附件：密封连接和安全过滤器；电源线；笔记本电脑。</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肌电及诱发反应设备校准装置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5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功能要求：符合JJF 1896-2021《肌电及诱发反应设备校准规范的要求》；</w:t>
            </w:r>
            <w:r/>
          </w:p>
          <w:p>
            <w:pPr>
              <w:numPr>
                <w:ilvl w:val="0"/>
                <w:numId w:val="53"/>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性能要求：（1）满足 JJF 1896-2021肌电及诱发反应设备校准规范的要求。</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（2）仪器是手持式设备，采用彩色液晶显示，触摸屏和物理按键双操作，用户界面友好。</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（3）输出波形:正弦波，方波</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（4）输出频率范围:0.5Hz~3kHz</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（5）输出频率最大允许误差:土0.1%</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（6）电压(峰峰值)范围:100mV~5V</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（7）电压(峰峰值)最大允许误差:士2%</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（8）输出阻抗:&lt;600Ω</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（9）正弦波失真度:≤5%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（10）平衡衰减器:衰减比1000:1，最大允许误差士0.5%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（11）一次接线可完成肌电及诱发反应设备的放大器部分的全部项目校准。</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（12）信号采集器输入阻抗:≥1M2</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（13）信号采集器频率响应:DC~1MHz</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（14）信号采集器幅度测量误差:不大于士5%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（15）负载电阻:阻值 1k2，最大允许误差士5%</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（16）白带锂电池，轻巧耐用，充电2个小时可工作8个小时</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（17）满足 Y/T1095-2015 肌电生物反馈仪行业标准的要求。</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3.外观材质：铝合金机箱；</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4.服务要求：质保2年，交货30天，需提供厂家原厂调试及培训，培训包括但不限于协助我方搭建测试系统，进行相关检测试验的模拟等；</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5.配置要求：主机：主控系统、人机交互界面、数据处理、平衡衰减器；电源线；</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三相电能表检定装置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1.功能要求：（1）装置准确度等级0.02级</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（2）标准表准确度等级0.02级</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（3）电压测量范围：3×（57.7～380）V、电流测量范围：3×（0.3mA~100A）</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（4）满足JJG597-2025，JJG307-2006,</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GB/T17215.321-2021，GB/T17215.211-2021计量性能部分和即将发布的新版JJG596的要求</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（5）12表位，均带蓝牙模块，具有自动短接功能</w:t>
            </w:r>
            <w:r/>
          </w:p>
          <w:p>
            <w:pPr>
              <w:numPr>
                <w:ilvl w:val="0"/>
                <w:numId w:val="54"/>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可手动接线，能检测单、三相电能表；</w:t>
            </w:r>
            <w:r/>
          </w:p>
          <w:p>
            <w:pPr>
              <w:numPr>
                <w:ilvl w:val="0"/>
                <w:numId w:val="53"/>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服务要求：质保1年，人员培训；</w:t>
            </w:r>
            <w:r/>
          </w:p>
          <w:p>
            <w:pPr>
              <w:numPr>
                <w:ilvl w:val="0"/>
                <w:numId w:val="53"/>
              </w:numPr>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配置要求：1.电能表检定装置一套，2.标准电能表一台，3.标准时钟一台，4.满足新版JJG596和GBT17215检测项目要求的检测软件各一套（或整合的一套）及配套的电脑，5.检测用工作台一个。</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过程信号校验仪校准装置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1.功能要求：</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 准确度0.003级，单台设备即可校准0.01级及以下的过程信号校验仪，也可校准工业传感器、变送器等过程仪表。</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 须满足JJF 1472-2014《过程仪表校验仪校准规范》的相关要求。</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1.3应支持多种类型的热电阻和热电偶的模拟和测量。</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1.4应采用大尺寸液晶触摸彩屏，结合数字程控按键。</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1.5可实现定点输出、旋转编码器、步进调节多种输入方式，操作便捷。</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1.6各电量通道之间具有良好的电气隔离、互不影响。</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1.7可提供24V的直流电压作为变送器的辅助供电电源（Loop模式）。</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1.8配备平板电脑1台：国产，运行内存：8G或以上，存储容量：256G或以上，屏幕尺寸：11英寸或以上。</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2.性能要求：（RD为读数值，RG为量程值）</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2.1直流电压输出/测量范围：10mV～110V，输出的最佳测量不确定度(k=2)：（0.0025%*RD+2μV）；测量的最佳测量不确定度(k=2)：（0.003%*RD+3μV）；</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2.2直流电流输出/测量范围：0.1mA～110mA，输出的最佳测量不确定度(k=2)：（0.003%*RD+0.02μA）；测量的最佳测量不确定度(k=2)：（0.003%*RD+0.02μA）；</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2.3直流电阻输出范围：4Ω～4.4kΩ，最佳测量不确定度(k=2)：（0.002%*RD+7mΩ）；直流电阻测量范围（二线/四线）：4Ω～4.4kΩ，最佳测量不确定度(k=2)：（0.002%*RD+4mΩ）；</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2.4脉冲信号输出范围：1Hz~100kHz；输出/测量不确定度(k=2)：0.005%；</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2.5热电阻输出：类型：Pt385, 25Ω/100Ω；Pt3926,100Ω；Pt3916,100Ω；Pt385, 200Ω/500Ω/1000Ω；Cu427,10Ω；Cu50/100Ω；Ni120Ω；温度范围：-200℃~850℃；温度测量不确定度(k=2)：0.05℃~0.4℃；</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2.6热电阻测量：类型：Pt385, 25Ω/100Ω；Pt3916，100Ω；Pt3926, 100Ω；Pt385, 200 Ω/500Ω/1000Ω；Cu427,10Ω；Cu 50/100Ω；Ni120Ω；温度范围：-200℃~850℃；温度测量不确定度(k=2)：0.009℃~0.3℃；</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2.7热电偶输出/测量TC：输出类型：B/E/J/K/N/R/S/T/G/C/D；输出/测量范围：-10 mV～80 mV；测量不确定度：（0.0025%*RD+2μV）；</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3.服务要求：（1）交货期：合同签订生效后3个月。</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（2）质保期：验收合格后1年；终身保修。</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（3）须提供相关的技术支持及上门培训服务。</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4.配套要求：整机1台、平板电脑1台、配套测试导线1套、电源线1根、U盘（</w:t>
            </w:r>
            <w:r>
              <w:rPr>
                <w:rFonts w:hint="eastAsia" w:ascii="宋体" w:hAnsi="宋体" w:eastAsia="宋体" w:cs="宋体"/>
                <w:color w:val="auto"/>
                <w:sz w:val="24"/>
                <w:highlight w:val="none"/>
              </w:rPr>
              <w:t xml:space="preserve">含使用说明书及配套软件</w:t>
            </w:r>
            <w:r>
              <w:rPr>
                <w:rFonts w:hint="eastAsia" w:ascii="宋体" w:hAnsi="宋体" w:eastAsia="宋体" w:cs="宋体"/>
                <w:color w:val="auto"/>
                <w:sz w:val="24"/>
                <w:highlight w:val="none"/>
                <w:lang w:val="en-US" w:eastAsia="zh-CN"/>
              </w:rPr>
              <w:t xml:space="preserve">）1只、合格证1张、检定/校准证书1份、储运箱1个。</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交直流高压数字表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50" w:type="dxa"/>
            <w:vAlign w:val="center"/>
            <w:textDirection w:val="lrTb"/>
            <w:noWrap w:val="false"/>
          </w:tcPr>
          <w:p>
            <w:pPr>
              <w:numPr>
                <w:ilvl w:val="0"/>
                <w:numId w:val="55"/>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功能要求：交直流高压数字表也称为高精度交直流分压器，是通用型高压高精度测量仪表。可用于电力系统、电器、电子设备制造部门测量工频交流高电压和直流高电压。</w:t>
            </w:r>
            <w:r/>
          </w:p>
          <w:p>
            <w:pPr>
              <w:numPr>
                <w:ilvl w:val="0"/>
                <w:numId w:val="55"/>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性能要求：</w:t>
            </w:r>
            <w:r/>
          </w:p>
          <w:p>
            <w:pPr>
              <w:numPr>
                <w:ilvl w:val="0"/>
                <w:numId w:val="0"/>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2.1电压等级：100kV;阻抗1280MΩ;                                                        精度等级:AC：0.5%  /DC：0.5%       </w:t>
            </w:r>
            <w:r>
              <w:rPr>
                <w:rFonts w:hint="eastAsia" w:ascii="宋体" w:hAnsi="宋体" w:eastAsia="宋体" w:cs="宋体"/>
                <w:color w:val="auto"/>
                <w:sz w:val="24"/>
                <w:highlight w:val="none"/>
                <w:lang w:val="en-US" w:eastAsia="zh-CN"/>
              </w:rPr>
              <w:t xml:space="preserve">                                                   电缆阻抗75 Ω                                                       电容量：250pF ）;                                                                      电缆长度：4米;                                                    </w:t>
            </w:r>
            <w:r>
              <w:rPr>
                <w:rFonts w:hint="eastAsia" w:ascii="宋体" w:hAnsi="宋体" w:eastAsia="宋体" w:cs="宋体"/>
                <w:color w:val="auto"/>
                <w:sz w:val="24"/>
                <w:highlight w:val="none"/>
                <w:lang w:val="en-US" w:eastAsia="zh-CN"/>
              </w:rPr>
              <w:t xml:space="preserve">                                                                                             分压比：1000:1                                                        交流频率：50Hz                                                                           填充介质：聚氨酯发泡剂  </w:t>
            </w:r>
            <w:r/>
          </w:p>
          <w:p>
            <w:pPr>
              <w:numPr>
                <w:ilvl w:val="0"/>
                <w:numId w:val="0"/>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配置</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位半显示表头配套使用；</w:t>
            </w:r>
            <w:r>
              <w:rPr>
                <w:rFonts w:hint="eastAsia" w:ascii="宋体" w:hAnsi="宋体" w:eastAsia="宋体" w:cs="宋体"/>
                <w:color w:val="auto"/>
                <w:sz w:val="24"/>
                <w:highlight w:val="none"/>
                <w:lang w:val="en-US" w:eastAsia="zh-CN"/>
              </w:rPr>
              <w:t xml:space="preserve">                                            </w:t>
            </w:r>
            <w:r/>
          </w:p>
          <w:p>
            <w:pPr>
              <w:numPr>
                <w:ilvl w:val="0"/>
                <w:numId w:val="55"/>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服务要求：免费培训；</w:t>
            </w:r>
            <w:r/>
          </w:p>
          <w:p>
            <w:pPr>
              <w:numPr>
                <w:ilvl w:val="0"/>
                <w:numId w:val="55"/>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配置要求（1）分压器和显示表一套；（2）电缆线1根；（3）高压线1根；（4）接地线1根；（5）产品说明书、合格证、出厂测试报告、装箱清单各一份.</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2"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投标文件要求：</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1.投标文件中提供《所投产品的</w:t>
            </w:r>
            <w:r>
              <w:rPr>
                <w:rFonts w:hint="eastAsia" w:ascii="宋体" w:hAnsi="宋体" w:eastAsia="宋体" w:cs="宋体"/>
                <w:bCs/>
                <w:color w:val="auto"/>
                <w:sz w:val="24"/>
                <w:highlight w:val="none"/>
              </w:rPr>
              <w:t xml:space="preserve">技术规格</w:t>
            </w:r>
            <w:r>
              <w:rPr>
                <w:rFonts w:hint="eastAsia" w:ascii="宋体" w:hAnsi="宋体" w:eastAsia="宋体" w:cs="宋体"/>
                <w:color w:val="auto"/>
                <w:sz w:val="24"/>
                <w:highlight w:val="none"/>
              </w:rPr>
              <w:t xml:space="preserve">》文件。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2.《所投产品的</w:t>
            </w:r>
            <w:r>
              <w:rPr>
                <w:rFonts w:hint="eastAsia" w:ascii="宋体" w:hAnsi="宋体" w:eastAsia="宋体" w:cs="宋体"/>
                <w:bCs/>
                <w:color w:val="auto"/>
                <w:sz w:val="24"/>
                <w:highlight w:val="none"/>
              </w:rPr>
              <w:t xml:space="preserve">技术规格</w:t>
            </w:r>
            <w:r>
              <w:rPr>
                <w:rFonts w:hint="eastAsia" w:ascii="宋体" w:hAnsi="宋体" w:eastAsia="宋体" w:cs="宋体"/>
                <w:color w:val="auto"/>
                <w:sz w:val="24"/>
                <w:highlight w:val="none"/>
              </w:rPr>
              <w:t xml:space="preserve">》包括以下内容：</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（1）序号；</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（2）名称；</w:t>
            </w:r>
            <w:r/>
          </w:p>
          <w:p>
            <w:pPr>
              <w:numPr>
                <w:ilvl w:val="0"/>
                <w:numId w:val="0"/>
              </w:num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（3）所投产品的</w:t>
            </w:r>
            <w:r>
              <w:rPr>
                <w:rFonts w:hint="eastAsia" w:ascii="宋体" w:hAnsi="宋体" w:eastAsia="宋体" w:cs="宋体"/>
                <w:bCs/>
                <w:color w:val="auto"/>
                <w:sz w:val="24"/>
                <w:highlight w:val="none"/>
              </w:rPr>
              <w:t xml:space="preserve">技术参数</w:t>
            </w:r>
            <w:r>
              <w:rPr>
                <w:rFonts w:hint="eastAsia" w:ascii="宋体" w:hAnsi="宋体" w:eastAsia="宋体" w:cs="宋体"/>
                <w:color w:val="auto"/>
                <w:sz w:val="24"/>
                <w:highlight w:val="none"/>
              </w:rPr>
              <w:t xml:space="preserve">。对照以上“</w:t>
            </w:r>
            <w:r>
              <w:rPr>
                <w:rFonts w:hint="eastAsia" w:ascii="宋体" w:hAnsi="宋体" w:eastAsia="宋体" w:cs="宋体"/>
                <w:bCs/>
                <w:color w:val="auto"/>
                <w:sz w:val="24"/>
                <w:highlight w:val="none"/>
              </w:rPr>
              <w:t xml:space="preserve">技术参数</w:t>
            </w:r>
            <w:r>
              <w:rPr>
                <w:rFonts w:hint="eastAsia" w:ascii="宋体" w:hAnsi="宋体" w:eastAsia="宋体" w:cs="宋体"/>
                <w:color w:val="auto"/>
                <w:sz w:val="24"/>
                <w:highlight w:val="none"/>
              </w:rPr>
              <w:t xml:space="preserve">（技术性能）”列出所投产品的</w:t>
            </w:r>
            <w:r>
              <w:rPr>
                <w:rFonts w:hint="eastAsia" w:ascii="宋体" w:hAnsi="宋体" w:eastAsia="宋体" w:cs="宋体"/>
                <w:bCs/>
                <w:color w:val="auto"/>
                <w:sz w:val="24"/>
                <w:highlight w:val="none"/>
              </w:rPr>
              <w:t xml:space="preserve">技术参数</w:t>
            </w:r>
            <w:r>
              <w:rPr>
                <w:rFonts w:hint="eastAsia" w:ascii="宋体" w:hAnsi="宋体" w:eastAsia="宋体" w:cs="宋体"/>
                <w:color w:val="auto"/>
                <w:sz w:val="24"/>
                <w:highlight w:val="none"/>
              </w:rPr>
              <w:t xml:space="preserve">。</w:t>
            </w:r>
            <w:r/>
          </w:p>
        </w:tc>
      </w:tr>
    </w:tbl>
    <w:p>
      <w:pPr>
        <w:ind w:left="558" w:firstLine="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五、项目实施要求</w:t>
      </w:r>
      <w:r/>
    </w:p>
    <w:p>
      <w:pPr>
        <w:numPr>
          <w:ilvl w:val="0"/>
          <w:numId w:val="0"/>
        </w:numPr>
        <w:ind w:firstLine="56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1．为保证本项目的顺利实施，投标人应结合各自产品特点，自行设计实施方案。</w:t>
      </w:r>
      <w:r/>
    </w:p>
    <w:p>
      <w:pPr>
        <w:numPr>
          <w:ilvl w:val="0"/>
          <w:numId w:val="0"/>
        </w:numPr>
        <w:ind w:firstLine="56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安装调试工作完成后，中标人应提供咨询与全面技术支持，及时将其发现并掌握的有关设备的操作、故障检测、故障排除方法及一些新的技术发展通知采购人。</w:t>
      </w:r>
      <w:r/>
    </w:p>
    <w:p>
      <w:pPr>
        <w:numPr>
          <w:ilvl w:val="0"/>
          <w:numId w:val="0"/>
        </w:numPr>
        <w:ind w:firstLine="56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3.此次招标的所有设备依据的检测标准，如涉及已有更新的标准，以最新标准为准。</w:t>
      </w:r>
      <w:r/>
    </w:p>
    <w:p>
      <w:pPr>
        <w:numPr>
          <w:ilvl w:val="0"/>
          <w:numId w:val="0"/>
        </w:numPr>
        <w:ind w:firstLine="562"/>
        <w:jc w:val="left"/>
        <w:tabs>
          <w:tab w:val="left" w:pos="0" w:leader="none"/>
        </w:tabs>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4.交货日期：合同生效日后，神经肌肉刺激器校准装置、超声骨密度仪性能模体、超声功率计、血液透析机检测装置血液流量模块、DSA性能影像模体、高流量呼吸湿化仪校准装置、肌电及诱发反应设备校准装置30日内交付并安装完毕；过程信号校验仪校准装置3个月内交付并安装完毕、其余设备45日内交付并安装完毕，安排有经验的工程技术人员到用户现场免费安装、调试，直到达到验收要求。</w:t>
      </w:r>
      <w:r/>
    </w:p>
    <w:p>
      <w:pPr>
        <w:numPr>
          <w:ilvl w:val="0"/>
          <w:numId w:val="56"/>
        </w:numPr>
        <w:ind w:left="556" w:firstLine="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及培训</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要求</w:t>
      </w:r>
      <w:r/>
    </w:p>
    <w:p>
      <w:pPr>
        <w:numPr>
          <w:ilvl w:val="0"/>
          <w:numId w:val="57"/>
        </w:numPr>
        <w:ind w:left="278" w:firstLine="392"/>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售后服务</w:t>
      </w:r>
      <w:r/>
    </w:p>
    <w:p>
      <w:pPr>
        <w:numPr>
          <w:ilvl w:val="0"/>
          <w:numId w:val="0"/>
        </w:numPr>
        <w:ind w:firstLine="562"/>
        <w:jc w:val="left"/>
        <w:tabs>
          <w:tab w:val="left" w:pos="0" w:leader="none"/>
        </w:tabs>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1.质保期：神经肌肉刺激器校准装置、超声骨密度仪性能模体、超声功率计、血液透析机检测装置血液流量模块、DSA性能影像模体、高流量呼吸湿化仪校准装置、肌电及诱发反应设备校准装置至少2年；机动车检测用气象单元校准装置至少3年；矿用机电设备检测三相交流程控源、微差压皮托管测试系统至少5年，其余设备至少为1年。</w:t>
      </w:r>
      <w:r/>
    </w:p>
    <w:p>
      <w:pPr>
        <w:ind w:firstLine="480"/>
        <w:jc w:val="left"/>
        <w:tabs>
          <w:tab w:val="left" w:pos="0" w:leader="none"/>
        </w:tabs>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说明：本“1.质保期”为不允许偏离的实质性要求和条件，如有偏离，在符合性审查时按照投标无效处理。投标人在投标文件中提供《质保期承诺书》，格式自拟，承诺内容不低于以上要求。</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响应时间：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3.零配件和耗材按需订购；可长期提供易损易耗件。</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4.在质保期内，因非采购人原因造成的设备维修及更换由中标人免费提供。</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（二）技术培训具体要求 </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1.免费为使用单位操作及工程技术人员提供培训，保证操作及工程技术人员能够正常使用设备的各种功能；</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培训内容：以上所有设备均需提供厂家原厂调试及培训，培训包括但不限于协助我方搭建测试系统，进行相关检测试验的模拟等。主要培训内容为设备的硬件组成、安装，软件使用操作等，日常保养与维护，常见故障的排除，紧急情况的处理等。</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3.培训材料：中标人免费提供全面、完整、详细的技术手册，包括介绍、现场安装、软件操作、故障处理、维护以及使用安全。</w:t>
      </w:r>
      <w:r/>
    </w:p>
    <w:p>
      <w:pPr>
        <w:numPr>
          <w:ilvl w:val="0"/>
          <w:numId w:val="0"/>
        </w:numPr>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七、验收标准</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 履约验收的时间、方式、程序要求：见招标文件第五章《拟签订的合同文本》第九条。</w:t>
      </w:r>
      <w:r/>
    </w:p>
    <w:p>
      <w:pPr>
        <w:ind w:firstLine="480"/>
        <w:jc w:val="left"/>
        <w:tabs>
          <w:tab w:val="left" w:pos="0"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firstLine="482"/>
        <w:jc w:val="left"/>
        <w:keepLines w:val="0"/>
        <w:keepNext w:val="0"/>
        <w:pageBreakBefore w:val="0"/>
        <w:widowControl/>
        <w:tabs>
          <w:tab w:val="left" w:pos="0" w:leader="none"/>
        </w:tabs>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（三）</w:t>
      </w:r>
      <w:r>
        <w:rPr>
          <w:rFonts w:hint="eastAsia" w:ascii="宋体" w:hAnsi="宋体" w:cs="宋体"/>
          <w:color w:val="000000" w:themeColor="text1"/>
          <w:sz w:val="28"/>
          <w:szCs w:val="28"/>
          <w:lang w:val="en-US" w:eastAsia="zh-CN" w:bidi="ar-SA"/>
          <w14:textFill>
            <w14:solidFill>
              <w14:schemeClr w14:val="tx1"/>
            </w14:solidFill>
          </w14:textFill>
        </w:rPr>
        <w:t xml:space="preserve">所有</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量块、平面平晶、平行平晶、大理石平板、百分表检定仪、水平仪检定器、声校准器、圆柱角尺、标准环规、低本底α、β标准平面、质量流量计、无线温湿度记录仪(温湿度计)、压差计、电导率检定装置、酸度计检定装置、气体流量计测试仪器、眩光测试系统(虹谱光色体育场馆眩光GR测试系统软件)、神经肌肉刺激器校准装置、超声骨密度仪性能模体、超声功率计、血液透析机检测装置血液流量模块、DSA性能影像模体、高流量呼吸湿化仪校准装置、肌电及诱发反应设备校准装置、三相电能表检定装置、过程信号校验仪校准装置、交直流高压数字</w:t>
      </w:r>
      <w:r>
        <w:rPr>
          <w:rFonts w:hint="eastAsia" w:ascii="宋体" w:hAnsi="宋体" w:cs="宋体"/>
          <w:color w:val="000000" w:themeColor="text1"/>
          <w:sz w:val="28"/>
          <w:szCs w:val="28"/>
          <w:lang w:val="en-US" w:eastAsia="zh-CN" w:bidi="ar-SA"/>
          <w14:textFill>
            <w14:solidFill>
              <w14:schemeClr w14:val="tx1"/>
            </w14:solidFill>
          </w14:textFill>
        </w:rPr>
        <w:t xml:space="preserve">。</w:t>
      </w:r>
      <w:r/>
    </w:p>
    <w:p>
      <w:pPr>
        <w:ind w:firstLine="482"/>
        <w:jc w:val="left"/>
        <w:keepLines w:val="0"/>
        <w:keepNext w:val="0"/>
        <w:pageBreakBefore w:val="0"/>
        <w:widowControl/>
        <w:tabs>
          <w:tab w:val="left" w:pos="0" w:leader="none"/>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上述设备中标人在供货时，须提供国家法定计量技术机构出具的、证书出具日期在设备交付前三个月内的计量溯源证书。其中，属于强制检定或计量标准考核范围要求的设备，须提供检定证书；其他设备可提供校准证书（校准机构应具备CNAS认可或法定计量授权）。否则不予验收。</w:t>
      </w:r>
      <w:r/>
    </w:p>
    <w:p>
      <w:pPr>
        <w:pStyle w:val="857"/>
        <w:ind w:firstLine="562"/>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cs="宋体"/>
          <w:b/>
          <w:bCs/>
          <w:sz w:val="28"/>
          <w:szCs w:val="28"/>
          <w:lang w:val="en-US" w:eastAsia="zh-CN"/>
        </w:rPr>
        <w:t xml:space="preserve">八</w:t>
      </w:r>
      <w:r>
        <w:rPr>
          <w:rFonts w:hint="eastAsia" w:ascii="宋体" w:hAnsi="宋体" w:eastAsia="宋体" w:cs="宋体"/>
          <w:b/>
          <w:bCs/>
          <w:sz w:val="28"/>
          <w:szCs w:val="28"/>
        </w:rPr>
        <w:t xml:space="preserve">、其他要求</w:t>
      </w:r>
      <w:r/>
    </w:p>
    <w:p>
      <w:pPr>
        <w:pStyle w:val="857"/>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1095"/>
        <w:keepLines/>
        <w:keepNext/>
        <w:pageBreakBefore w:val="0"/>
        <w:spacing w:line="240" w:lineRule="auto"/>
        <w:widowControl w:val="off"/>
        <w:rPr>
          <w:rFonts w:ascii="宋体" w:hAnsi="宋体"/>
          <w:sz w:val="24"/>
        </w:rPr>
      </w:pPr>
      <w:r/>
      <w:bookmarkStart w:id="23" w:name="_Toc522790136"/>
      <w:r/>
      <w:bookmarkStart w:id="24" w:name="_Toc523404701"/>
      <w:r>
        <w:rPr>
          <w:rFonts w:ascii="宋体" w:hAnsi="宋体" w:eastAsia="宋体"/>
        </w:rPr>
        <w:br w:type="page" w:clear="all"/>
      </w:r>
      <w:r>
        <w:rPr>
          <w:rFonts w:ascii="宋体" w:hAnsi="宋体" w:eastAsia="宋体"/>
        </w:rPr>
        <w:t xml:space="preserve">第七章  投标文件相关格式</w:t>
      </w:r>
      <w:bookmarkEnd w:id="23"/>
      <w:r/>
      <w:bookmarkEnd w:id="24"/>
      <w:r/>
      <w:r/>
    </w:p>
    <w:p>
      <w:pPr>
        <w:pStyle w:val="857"/>
        <w:ind w:firstLine="640"/>
        <w:spacing w:line="520" w:lineRule="exact"/>
        <w:rPr>
          <w:rFonts w:ascii="宋体" w:hAnsi="宋体"/>
          <w:sz w:val="28"/>
          <w:szCs w:val="28"/>
        </w:rPr>
      </w:pPr>
      <w:r>
        <w:rPr>
          <w:rFonts w:ascii="宋体" w:hAnsi="宋体"/>
          <w:sz w:val="28"/>
          <w:szCs w:val="28"/>
        </w:rPr>
        <w:t xml:space="preserve">一、投标函格式</w:t>
      </w:r>
      <w:r/>
    </w:p>
    <w:p>
      <w:pPr>
        <w:pStyle w:val="85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5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项目编号：JSZC-320300-ZJZB-G2026-0144</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5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5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5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5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5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5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5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57"/>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sz w:val="28"/>
          <w:szCs w:val="28"/>
        </w:rPr>
        <w:t xml:space="preserve">。</w:t>
      </w:r>
      <w:r/>
    </w:p>
    <w:p>
      <w:pPr>
        <w:pStyle w:val="85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57"/>
        <w:ind w:firstLine="1200"/>
        <w:spacing w:line="480" w:lineRule="exact"/>
        <w:rPr>
          <w:rFonts w:ascii="宋体" w:hAnsi="宋体"/>
          <w:sz w:val="28"/>
          <w:szCs w:val="28"/>
        </w:rPr>
      </w:pPr>
      <w:r>
        <w:rPr>
          <w:rFonts w:ascii="宋体" w:hAnsi="宋体"/>
          <w:sz w:val="28"/>
          <w:szCs w:val="28"/>
        </w:rPr>
        <w:t xml:space="preserve">地址： </w:t>
      </w:r>
      <w:r/>
    </w:p>
    <w:p>
      <w:pPr>
        <w:pStyle w:val="857"/>
        <w:ind w:firstLine="1200"/>
        <w:spacing w:line="480" w:lineRule="exact"/>
        <w:rPr>
          <w:rFonts w:ascii="宋体" w:hAnsi="宋体"/>
          <w:sz w:val="28"/>
          <w:szCs w:val="28"/>
        </w:rPr>
      </w:pPr>
      <w:r>
        <w:rPr>
          <w:rFonts w:ascii="宋体" w:hAnsi="宋体"/>
          <w:sz w:val="28"/>
          <w:szCs w:val="28"/>
        </w:rPr>
        <w:t xml:space="preserve">电话： </w:t>
      </w:r>
      <w:r/>
    </w:p>
    <w:p>
      <w:pPr>
        <w:pStyle w:val="857"/>
        <w:ind w:firstLine="1200"/>
        <w:spacing w:line="480" w:lineRule="exact"/>
        <w:rPr>
          <w:rFonts w:ascii="宋体" w:hAnsi="宋体"/>
          <w:sz w:val="28"/>
          <w:szCs w:val="28"/>
        </w:rPr>
      </w:pPr>
      <w:r>
        <w:rPr>
          <w:rFonts w:hint="eastAsia" w:ascii="宋体" w:hAnsi="宋体"/>
          <w:sz w:val="28"/>
          <w:szCs w:val="28"/>
        </w:rPr>
        <w:t xml:space="preserve">移动电话：</w:t>
      </w:r>
      <w:r/>
    </w:p>
    <w:p>
      <w:pPr>
        <w:pStyle w:val="857"/>
        <w:ind w:firstLine="1200"/>
        <w:spacing w:line="480" w:lineRule="exact"/>
        <w:rPr>
          <w:rFonts w:ascii="宋体" w:hAnsi="宋体"/>
          <w:sz w:val="28"/>
          <w:szCs w:val="28"/>
        </w:rPr>
      </w:pPr>
      <w:r>
        <w:rPr>
          <w:rFonts w:ascii="宋体" w:hAnsi="宋体"/>
          <w:sz w:val="28"/>
          <w:szCs w:val="28"/>
        </w:rPr>
        <w:t xml:space="preserve">传真： </w:t>
      </w:r>
      <w:r/>
    </w:p>
    <w:p>
      <w:pPr>
        <w:pStyle w:val="85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57"/>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57"/>
        <w:ind w:firstLine="640"/>
        <w:spacing w:line="480" w:lineRule="exact"/>
        <w:rPr>
          <w:rFonts w:ascii="宋体" w:hAnsi="宋体"/>
          <w:sz w:val="28"/>
          <w:szCs w:val="28"/>
        </w:rPr>
      </w:pPr>
      <w:r>
        <w:rPr>
          <w:rFonts w:ascii="宋体" w:hAnsi="宋体"/>
          <w:sz w:val="28"/>
          <w:szCs w:val="28"/>
        </w:rPr>
        <w:t xml:space="preserve">二、开标一览表格式</w:t>
      </w:r>
      <w:r/>
    </w:p>
    <w:p>
      <w:pPr>
        <w:pStyle w:val="857"/>
        <w:spacing w:line="480" w:lineRule="exact"/>
        <w:rPr>
          <w:rFonts w:ascii="宋体" w:hAnsi="宋体"/>
          <w:color w:val="000000"/>
          <w:sz w:val="30"/>
          <w:szCs w:val="30"/>
        </w:rPr>
      </w:pPr>
      <w:r>
        <w:rPr>
          <w:rFonts w:ascii="宋体" w:hAnsi="宋体"/>
          <w:color w:val="000000"/>
          <w:sz w:val="30"/>
          <w:szCs w:val="30"/>
        </w:rPr>
      </w:r>
      <w:r/>
    </w:p>
    <w:p>
      <w:pPr>
        <w:pStyle w:val="85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计量器具强制检定专用设备购置</w:t>
      </w:r>
      <w:r>
        <w:rPr>
          <w:rFonts w:ascii="宋体" w:hAnsi="宋体"/>
          <w:color w:val="000000"/>
          <w:sz w:val="28"/>
          <w:szCs w:val="28"/>
        </w:rPr>
        <w:t xml:space="preserve"> </w:t>
      </w:r>
      <w:r/>
    </w:p>
    <w:p>
      <w:pPr>
        <w:pStyle w:val="85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项目编号：JSZC-320300-ZJZB-G2026-0144</w:t>
      </w:r>
      <w:r/>
    </w:p>
    <w:p>
      <w:pPr>
        <w:pStyle w:val="85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5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57"/>
        <w:ind w:firstLine="2760"/>
        <w:spacing w:line="480" w:lineRule="exact"/>
        <w:rPr>
          <w:rFonts w:ascii="宋体" w:hAnsi="宋体"/>
          <w:color w:val="000000"/>
          <w:sz w:val="28"/>
          <w:szCs w:val="28"/>
        </w:rPr>
      </w:pPr>
      <w:r>
        <w:rPr>
          <w:rFonts w:ascii="宋体" w:hAnsi="宋体"/>
          <w:color w:val="000000"/>
          <w:sz w:val="28"/>
          <w:szCs w:val="28"/>
        </w:rPr>
      </w:r>
      <w:r/>
    </w:p>
    <w:p>
      <w:pPr>
        <w:pStyle w:val="85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5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5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57"/>
        <w:spacing w:line="480" w:lineRule="exact"/>
        <w:rPr>
          <w:rFonts w:ascii="宋体" w:hAnsi="宋体"/>
          <w:sz w:val="30"/>
          <w:szCs w:val="30"/>
        </w:rPr>
      </w:pPr>
      <w:r>
        <w:rPr>
          <w:rFonts w:ascii="宋体" w:hAnsi="宋体"/>
          <w:sz w:val="30"/>
          <w:szCs w:val="30"/>
        </w:rPr>
      </w:r>
      <w:r/>
    </w:p>
    <w:p>
      <w:pPr>
        <w:pStyle w:val="85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57"/>
        <w:ind w:firstLine="900"/>
        <w:spacing w:line="480" w:lineRule="exact"/>
        <w:rPr>
          <w:rFonts w:ascii="宋体" w:hAnsi="宋体"/>
          <w:sz w:val="30"/>
          <w:szCs w:val="30"/>
        </w:rPr>
      </w:pPr>
      <w:r>
        <w:rPr>
          <w:rFonts w:ascii="宋体" w:hAnsi="宋体"/>
          <w:sz w:val="30"/>
          <w:szCs w:val="30"/>
        </w:rPr>
        <w:t xml:space="preserve">三、分项价格表格式</w:t>
      </w:r>
      <w:r/>
    </w:p>
    <w:p>
      <w:pPr>
        <w:pStyle w:val="857"/>
        <w:ind w:firstLine="600"/>
        <w:spacing w:line="480" w:lineRule="exact"/>
        <w:rPr>
          <w:rFonts w:ascii="宋体" w:hAnsi="宋体"/>
          <w:sz w:val="30"/>
          <w:szCs w:val="30"/>
        </w:rPr>
      </w:pPr>
      <w:r>
        <w:rPr>
          <w:rFonts w:ascii="宋体" w:hAnsi="宋体"/>
          <w:sz w:val="30"/>
          <w:szCs w:val="30"/>
        </w:rPr>
      </w:r>
      <w:r/>
    </w:p>
    <w:p>
      <w:pPr>
        <w:pStyle w:val="85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计量器具强制检定专用设备购置</w:t>
      </w:r>
      <w:r>
        <w:rPr>
          <w:rFonts w:hint="eastAsia" w:ascii="宋体" w:hAnsi="宋体" w:eastAsia="宋体" w:cs="宋体"/>
          <w:color w:val="000000"/>
          <w:sz w:val="28"/>
          <w:szCs w:val="28"/>
        </w:rPr>
        <w:t xml:space="preserve">  </w:t>
      </w:r>
      <w:r/>
    </w:p>
    <w:p>
      <w:pPr>
        <w:pStyle w:val="85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JSZC-320300-ZJZB-G2026-0144</w:t>
      </w:r>
      <w:r/>
    </w:p>
    <w:p>
      <w:pPr>
        <w:pStyle w:val="857"/>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822"/>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5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5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5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5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5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5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5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5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5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5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5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5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57"/>
        <w:ind w:firstLine="600"/>
        <w:spacing w:line="480" w:lineRule="exact"/>
        <w:rPr>
          <w:rFonts w:ascii="宋体" w:hAnsi="宋体"/>
          <w:color w:val="000000"/>
          <w:sz w:val="30"/>
          <w:szCs w:val="30"/>
        </w:rPr>
      </w:pPr>
      <w:r>
        <w:rPr>
          <w:rFonts w:ascii="宋体" w:hAnsi="宋体"/>
          <w:color w:val="000000"/>
          <w:sz w:val="30"/>
          <w:szCs w:val="30"/>
        </w:rPr>
      </w:r>
      <w:r/>
    </w:p>
    <w:p>
      <w:pPr>
        <w:pStyle w:val="85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计量器具强制检定专用设备购置</w:t>
      </w:r>
      <w:r/>
    </w:p>
    <w:p>
      <w:pPr>
        <w:pStyle w:val="85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JSZC-320300-ZJZB-G2026-0144</w:t>
      </w:r>
      <w:r/>
    </w:p>
    <w:p>
      <w:pPr>
        <w:pStyle w:val="85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822"/>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5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7"/>
              <w:rPr>
                <w:rFonts w:hint="eastAsia" w:ascii="宋体" w:hAnsi="宋体" w:eastAsia="宋体" w:cs="宋体"/>
                <w:sz w:val="28"/>
                <w:szCs w:val="28"/>
              </w:rPr>
            </w:pPr>
            <w:r>
              <w:rPr>
                <w:rFonts w:hint="eastAsia" w:ascii="宋体" w:hAnsi="宋体" w:eastAsia="宋体" w:cs="宋体"/>
                <w:sz w:val="28"/>
                <w:szCs w:val="28"/>
              </w:rPr>
            </w:r>
            <w:r/>
          </w:p>
        </w:tc>
      </w:tr>
    </w:tbl>
    <w:p>
      <w:pPr>
        <w:pStyle w:val="85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5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5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5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5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5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5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57"/>
        <w:ind w:firstLine="600"/>
        <w:spacing w:line="480" w:lineRule="exact"/>
        <w:rPr>
          <w:rFonts w:ascii="宋体" w:hAnsi="宋体"/>
          <w:bCs/>
          <w:sz w:val="30"/>
          <w:szCs w:val="30"/>
        </w:rPr>
      </w:pPr>
      <w:r>
        <w:rPr>
          <w:rFonts w:ascii="宋体" w:hAnsi="宋体"/>
          <w:bCs/>
          <w:sz w:val="30"/>
          <w:szCs w:val="30"/>
        </w:rPr>
      </w:r>
      <w:r/>
    </w:p>
    <w:p>
      <w:pPr>
        <w:pStyle w:val="857"/>
        <w:spacing w:line="480" w:lineRule="exact"/>
        <w:rPr>
          <w:rFonts w:ascii="宋体" w:hAnsi="宋体"/>
          <w:bCs/>
          <w:sz w:val="30"/>
          <w:szCs w:val="30"/>
        </w:rPr>
      </w:pPr>
      <w:r>
        <w:rPr>
          <w:rFonts w:ascii="宋体" w:hAnsi="宋体"/>
          <w:bCs/>
          <w:sz w:val="30"/>
          <w:szCs w:val="30"/>
        </w:rPr>
      </w:r>
      <w:r/>
    </w:p>
    <w:p>
      <w:pPr>
        <w:pStyle w:val="857"/>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57"/>
        <w:spacing w:line="480" w:lineRule="exact"/>
        <w:rPr>
          <w:rFonts w:ascii="宋体" w:hAnsi="宋体"/>
          <w:sz w:val="30"/>
          <w:szCs w:val="30"/>
        </w:rPr>
      </w:pPr>
      <w:r>
        <w:rPr>
          <w:rFonts w:ascii="宋体" w:hAnsi="宋体"/>
          <w:sz w:val="30"/>
          <w:szCs w:val="30"/>
        </w:rPr>
      </w:r>
      <w:r/>
    </w:p>
    <w:p>
      <w:pPr>
        <w:pStyle w:val="857"/>
        <w:spacing w:line="480" w:lineRule="exact"/>
        <w:rPr>
          <w:rFonts w:ascii="宋体" w:hAnsi="宋体"/>
          <w:sz w:val="28"/>
          <w:szCs w:val="28"/>
        </w:rPr>
      </w:pPr>
      <w:r>
        <w:rPr>
          <w:rFonts w:ascii="宋体" w:hAnsi="宋体"/>
          <w:sz w:val="28"/>
          <w:szCs w:val="28"/>
        </w:rPr>
        <w:t xml:space="preserve">委托人：</w:t>
      </w:r>
      <w:r/>
    </w:p>
    <w:p>
      <w:pPr>
        <w:pStyle w:val="857"/>
        <w:spacing w:line="480" w:lineRule="exact"/>
        <w:rPr>
          <w:rFonts w:ascii="宋体" w:hAnsi="宋体"/>
          <w:sz w:val="28"/>
          <w:szCs w:val="28"/>
        </w:rPr>
      </w:pPr>
      <w:r>
        <w:rPr>
          <w:rFonts w:ascii="宋体" w:hAnsi="宋体"/>
          <w:sz w:val="28"/>
          <w:szCs w:val="28"/>
        </w:rPr>
        <w:t xml:space="preserve">地  址：</w:t>
      </w:r>
      <w:r/>
    </w:p>
    <w:p>
      <w:pPr>
        <w:pStyle w:val="857"/>
        <w:spacing w:line="480" w:lineRule="exact"/>
        <w:rPr>
          <w:rFonts w:ascii="宋体" w:hAnsi="宋体"/>
          <w:sz w:val="28"/>
          <w:szCs w:val="28"/>
        </w:rPr>
      </w:pPr>
      <w:r>
        <w:rPr>
          <w:rFonts w:ascii="宋体" w:hAnsi="宋体"/>
          <w:sz w:val="28"/>
          <w:szCs w:val="28"/>
        </w:rPr>
        <w:t xml:space="preserve">法定代表人（负责人）：               职务：</w:t>
      </w:r>
      <w:r/>
    </w:p>
    <w:p>
      <w:pPr>
        <w:pStyle w:val="857"/>
        <w:spacing w:line="480" w:lineRule="exact"/>
        <w:rPr>
          <w:rFonts w:ascii="宋体" w:hAnsi="宋体"/>
          <w:sz w:val="28"/>
          <w:szCs w:val="28"/>
        </w:rPr>
      </w:pPr>
      <w:r>
        <w:rPr>
          <w:rFonts w:ascii="宋体" w:hAnsi="宋体"/>
          <w:sz w:val="28"/>
          <w:szCs w:val="28"/>
        </w:rPr>
        <w:t xml:space="preserve">统一社会信用代码：</w:t>
      </w:r>
      <w:r/>
    </w:p>
    <w:p>
      <w:pPr>
        <w:pStyle w:val="857"/>
        <w:spacing w:line="480" w:lineRule="exact"/>
        <w:rPr>
          <w:rFonts w:ascii="宋体" w:hAnsi="宋体"/>
          <w:sz w:val="28"/>
          <w:szCs w:val="28"/>
        </w:rPr>
      </w:pPr>
      <w:r>
        <w:rPr>
          <w:rFonts w:ascii="宋体" w:hAnsi="宋体"/>
          <w:sz w:val="28"/>
          <w:szCs w:val="28"/>
        </w:rPr>
        <w:t xml:space="preserve">受托人：                   性别：男（女）  </w:t>
      </w:r>
      <w:r/>
    </w:p>
    <w:p>
      <w:pPr>
        <w:pStyle w:val="857"/>
        <w:spacing w:line="480" w:lineRule="exact"/>
        <w:rPr>
          <w:rFonts w:ascii="宋体" w:hAnsi="宋体"/>
          <w:sz w:val="28"/>
          <w:szCs w:val="28"/>
        </w:rPr>
      </w:pPr>
      <w:r>
        <w:rPr>
          <w:rFonts w:ascii="宋体" w:hAnsi="宋体"/>
          <w:sz w:val="28"/>
          <w:szCs w:val="28"/>
        </w:rPr>
        <w:t xml:space="preserve">年龄：  岁                 民族：   族</w:t>
      </w:r>
      <w:r/>
    </w:p>
    <w:p>
      <w:pPr>
        <w:pStyle w:val="857"/>
        <w:spacing w:line="480" w:lineRule="exact"/>
        <w:rPr>
          <w:rFonts w:ascii="宋体" w:hAnsi="宋体"/>
          <w:sz w:val="28"/>
          <w:szCs w:val="28"/>
        </w:rPr>
      </w:pPr>
      <w:r>
        <w:rPr>
          <w:rFonts w:ascii="宋体" w:hAnsi="宋体"/>
          <w:sz w:val="28"/>
          <w:szCs w:val="28"/>
        </w:rPr>
        <w:t xml:space="preserve">职务：</w:t>
      </w:r>
      <w:r/>
    </w:p>
    <w:p>
      <w:pPr>
        <w:pStyle w:val="857"/>
        <w:spacing w:line="480" w:lineRule="exact"/>
        <w:rPr>
          <w:rFonts w:ascii="宋体" w:hAnsi="宋体"/>
          <w:sz w:val="28"/>
          <w:szCs w:val="28"/>
        </w:rPr>
      </w:pPr>
      <w:r>
        <w:rPr>
          <w:rFonts w:ascii="宋体" w:hAnsi="宋体"/>
          <w:sz w:val="28"/>
          <w:szCs w:val="28"/>
        </w:rPr>
        <w:t xml:space="preserve">身份证号：</w:t>
      </w:r>
      <w:r/>
    </w:p>
    <w:p>
      <w:pPr>
        <w:pStyle w:val="857"/>
        <w:spacing w:line="480" w:lineRule="exact"/>
        <w:rPr>
          <w:rFonts w:ascii="宋体" w:hAnsi="宋体"/>
          <w:sz w:val="28"/>
          <w:szCs w:val="28"/>
        </w:rPr>
      </w:pPr>
      <w:r>
        <w:rPr>
          <w:rFonts w:ascii="宋体" w:hAnsi="宋体"/>
          <w:sz w:val="28"/>
          <w:szCs w:val="28"/>
        </w:rPr>
        <w:t xml:space="preserve">受托人联系电话：</w:t>
      </w:r>
      <w:r/>
    </w:p>
    <w:p>
      <w:pPr>
        <w:pStyle w:val="85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计量器具强制检定专用设备购置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项目编号：JSZC-320300-ZJZB-G2026-0144</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57"/>
        <w:ind w:firstLine="630"/>
        <w:spacing w:line="480" w:lineRule="exact"/>
        <w:rPr>
          <w:rFonts w:ascii="宋体" w:hAnsi="宋体"/>
          <w:sz w:val="28"/>
          <w:szCs w:val="28"/>
        </w:rPr>
      </w:pPr>
      <w:r>
        <w:rPr>
          <w:rFonts w:ascii="宋体" w:hAnsi="宋体"/>
          <w:sz w:val="28"/>
          <w:szCs w:val="28"/>
        </w:rPr>
        <w:t xml:space="preserve">特此授权委托。</w:t>
      </w:r>
      <w:r/>
    </w:p>
    <w:p>
      <w:pPr>
        <w:pStyle w:val="857"/>
        <w:ind w:firstLine="600"/>
        <w:spacing w:line="480" w:lineRule="exact"/>
        <w:rPr>
          <w:rFonts w:ascii="宋体" w:hAnsi="宋体"/>
          <w:sz w:val="28"/>
          <w:szCs w:val="28"/>
        </w:rPr>
      </w:pPr>
      <w:r>
        <w:rPr>
          <w:rFonts w:ascii="宋体" w:hAnsi="宋体"/>
          <w:sz w:val="28"/>
          <w:szCs w:val="28"/>
        </w:rPr>
      </w:r>
      <w:r/>
    </w:p>
    <w:p>
      <w:pPr>
        <w:pStyle w:val="857"/>
        <w:ind w:firstLine="600"/>
        <w:spacing w:line="480" w:lineRule="exact"/>
        <w:rPr>
          <w:rFonts w:ascii="宋体" w:hAnsi="宋体"/>
          <w:sz w:val="28"/>
          <w:szCs w:val="28"/>
        </w:rPr>
      </w:pPr>
      <w:r>
        <w:rPr>
          <w:rFonts w:ascii="宋体" w:hAnsi="宋体"/>
          <w:sz w:val="28"/>
          <w:szCs w:val="28"/>
        </w:rPr>
        <w:t xml:space="preserve">委托人（盖章）：               </w:t>
      </w:r>
      <w:r/>
    </w:p>
    <w:p>
      <w:pPr>
        <w:pStyle w:val="857"/>
        <w:ind w:firstLine="600"/>
        <w:spacing w:line="480" w:lineRule="exact"/>
        <w:rPr>
          <w:rFonts w:ascii="宋体" w:hAnsi="宋体"/>
          <w:sz w:val="28"/>
          <w:szCs w:val="28"/>
        </w:rPr>
      </w:pPr>
      <w:r>
        <w:rPr>
          <w:rFonts w:ascii="宋体" w:hAnsi="宋体"/>
          <w:sz w:val="28"/>
          <w:szCs w:val="28"/>
        </w:rPr>
      </w:r>
      <w:r/>
    </w:p>
    <w:p>
      <w:pPr>
        <w:pStyle w:val="85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57"/>
        <w:ind w:firstLine="600"/>
        <w:spacing w:line="480" w:lineRule="exact"/>
        <w:rPr>
          <w:rFonts w:hint="eastAsia" w:ascii="宋体" w:hAnsi="宋体"/>
          <w:sz w:val="28"/>
          <w:szCs w:val="28"/>
        </w:rPr>
      </w:pPr>
      <w:r>
        <w:rPr>
          <w:rFonts w:hint="eastAsia" w:ascii="宋体" w:hAnsi="宋体"/>
          <w:sz w:val="28"/>
          <w:szCs w:val="28"/>
        </w:rPr>
      </w:r>
      <w:r/>
    </w:p>
    <w:p>
      <w:pPr>
        <w:pStyle w:val="85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57"/>
        <w:ind w:right="600" w:firstLine="6150"/>
        <w:spacing w:line="480" w:lineRule="exact"/>
        <w:rPr>
          <w:rFonts w:ascii="宋体" w:hAnsi="宋体"/>
          <w:sz w:val="28"/>
          <w:szCs w:val="28"/>
        </w:rPr>
      </w:pPr>
      <w:r>
        <w:rPr>
          <w:rFonts w:ascii="宋体" w:hAnsi="宋体"/>
          <w:sz w:val="28"/>
          <w:szCs w:val="28"/>
        </w:rPr>
      </w:r>
      <w:r/>
    </w:p>
    <w:p>
      <w:pPr>
        <w:pStyle w:val="857"/>
        <w:ind w:right="600" w:firstLine="6150"/>
        <w:spacing w:line="480" w:lineRule="exact"/>
        <w:rPr>
          <w:rFonts w:ascii="宋体" w:hAnsi="宋体"/>
          <w:sz w:val="28"/>
          <w:szCs w:val="28"/>
        </w:rPr>
      </w:pPr>
      <w:r>
        <w:rPr>
          <w:rFonts w:ascii="宋体" w:hAnsi="宋体"/>
          <w:sz w:val="28"/>
          <w:szCs w:val="28"/>
        </w:rPr>
        <w:t xml:space="preserve">年   月   日 </w:t>
      </w:r>
      <w:r/>
    </w:p>
    <w:p>
      <w:pPr>
        <w:pStyle w:val="85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计量器具强制检定专用设备购置</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JSZC-320300-ZJZB-G2026-0144</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56"/>
        <w:jc w:val="right"/>
      </w:pPr>
      <w:r>
        <w:rPr>
          <w:rFonts w:hint="eastAsia" w:ascii="宋体" w:hAnsi="宋体" w:cs="宋体"/>
          <w:sz w:val="28"/>
          <w:szCs w:val="28"/>
        </w:rPr>
        <w:t xml:space="preserve">日期：  年  月  日</w:t>
      </w:r>
      <w:r/>
    </w:p>
    <w:p>
      <w:pPr>
        <w:pStyle w:val="857"/>
        <w:ind w:firstLine="4470"/>
        <w:rPr>
          <w:rFonts w:ascii="宋体" w:hAnsi="宋体"/>
          <w:sz w:val="28"/>
          <w:szCs w:val="28"/>
        </w:rPr>
      </w:pPr>
      <w:r>
        <w:rPr>
          <w:rFonts w:ascii="宋体" w:hAnsi="宋体"/>
          <w:sz w:val="28"/>
          <w:szCs w:val="28"/>
        </w:rPr>
        <w:t xml:space="preserve"> </w:t>
      </w:r>
      <w:r/>
    </w:p>
    <w:p>
      <w:pPr>
        <w:pStyle w:val="857"/>
        <w:ind w:firstLine="4470"/>
        <w:rPr>
          <w:rFonts w:ascii="宋体" w:hAnsi="宋体"/>
          <w:sz w:val="28"/>
          <w:szCs w:val="28"/>
        </w:rPr>
      </w:pPr>
      <w:r>
        <w:rPr>
          <w:rFonts w:ascii="宋体" w:hAnsi="宋体"/>
          <w:sz w:val="28"/>
          <w:szCs w:val="28"/>
        </w:rPr>
      </w:r>
      <w:r/>
    </w:p>
    <w:p>
      <w:pPr>
        <w:pStyle w:val="857"/>
        <w:ind w:firstLine="4470"/>
        <w:rPr>
          <w:rFonts w:ascii="宋体" w:hAnsi="宋体"/>
          <w:sz w:val="28"/>
          <w:szCs w:val="28"/>
        </w:rPr>
      </w:pPr>
      <w:r>
        <w:rPr>
          <w:rFonts w:ascii="宋体" w:hAnsi="宋体"/>
          <w:sz w:val="28"/>
          <w:szCs w:val="28"/>
        </w:rPr>
      </w:r>
      <w:r/>
    </w:p>
    <w:p>
      <w:pPr>
        <w:pStyle w:val="857"/>
        <w:numPr>
          <w:ilvl w:val="0"/>
          <w:numId w:val="0"/>
        </w:numPr>
        <w:spacing w:before="100" w:beforeAutospacing="1" w:after="100" w:afterAutospacing="1" w:line="480" w:lineRule="exact"/>
        <w:widowControl/>
        <w:rPr>
          <w:rFonts w:hint="eastAsia" w:ascii="宋体" w:hAnsi="宋体"/>
          <w:sz w:val="30"/>
          <w:szCs w:val="30"/>
          <w:lang w:val="en-US" w:eastAsia="zh-CN"/>
        </w:rPr>
      </w:pPr>
      <w:r>
        <w:rPr>
          <w:rFonts w:hint="eastAsia" w:ascii="宋体" w:hAnsi="宋体"/>
          <w:sz w:val="30"/>
          <w:szCs w:val="30"/>
          <w:lang w:val="en-US" w:eastAsia="zh-CN"/>
        </w:rPr>
        <w:t xml:space="preserve">  </w:t>
      </w:r>
      <w:r/>
    </w:p>
    <w:p>
      <w:pPr>
        <w:rPr>
          <w:rFonts w:hint="eastAsia" w:ascii="宋体" w:hAnsi="宋体"/>
          <w:sz w:val="30"/>
          <w:szCs w:val="30"/>
          <w:lang w:val="en-US" w:eastAsia="zh-CN"/>
        </w:rPr>
      </w:pPr>
      <w:r>
        <w:rPr>
          <w:rFonts w:hint="eastAsia" w:ascii="宋体" w:hAnsi="宋体"/>
          <w:sz w:val="30"/>
          <w:szCs w:val="30"/>
          <w:lang w:val="en-US" w:eastAsia="zh-CN"/>
        </w:rPr>
        <w:br w:type="page" w:clear="all"/>
      </w:r>
      <w:r/>
    </w:p>
    <w:p>
      <w:pPr>
        <w:pStyle w:val="857"/>
        <w:numPr>
          <w:ilvl w:val="0"/>
          <w:numId w:val="0"/>
        </w:numPr>
        <w:spacing w:before="100" w:beforeAutospacing="1" w:after="100" w:afterAutospacing="1" w:line="480" w:lineRule="exact"/>
        <w:widowControl/>
        <w:rPr>
          <w:rFonts w:ascii="宋体" w:hAnsi="宋体"/>
          <w:sz w:val="30"/>
          <w:szCs w:val="30"/>
        </w:rPr>
      </w:pP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57"/>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计量器具强制检定专用设备购置</w:t>
      </w:r>
      <w:r/>
    </w:p>
    <w:p>
      <w:pPr>
        <w:pStyle w:val="857"/>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项目编号：JSZC-320300-ZJZB-G2026-0144</w:t>
      </w:r>
      <w:r/>
    </w:p>
    <w:p>
      <w:pPr>
        <w:pStyle w:val="857"/>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徐州市检验检测中心</w:t>
      </w:r>
      <w:r>
        <w:rPr>
          <w:rFonts w:ascii="宋体" w:hAnsi="宋体"/>
          <w:sz w:val="28"/>
          <w:szCs w:val="28"/>
        </w:rPr>
        <w:t xml:space="preserve">的</w:t>
      </w:r>
      <w:r>
        <w:rPr>
          <w:rFonts w:hint="eastAsia" w:ascii="宋体" w:hAnsi="宋体"/>
          <w:sz w:val="28"/>
          <w:szCs w:val="28"/>
          <w:u w:val="none"/>
          <w:lang w:eastAsia="zh-CN"/>
        </w:rPr>
        <w:t xml:space="preserve">计量器具强制检定专用设备购置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刮板细度计专用滑块</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rPr>
        <w:t xml:space="preserve">.（</w:t>
      </w:r>
      <w:r>
        <w:rPr>
          <w:rFonts w:hint="eastAsia" w:ascii="宋体" w:hAnsi="宋体" w:cs="宋体"/>
          <w:sz w:val="28"/>
          <w:szCs w:val="28"/>
          <w:lang w:val="en-US" w:eastAsia="zh-CN"/>
        </w:rPr>
        <w:t xml:space="preserve">局部平面检具</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rPr>
        <w:t xml:space="preserve">.（</w:t>
      </w:r>
      <w:r>
        <w:rPr>
          <w:rFonts w:hint="eastAsia" w:ascii="宋体" w:hAnsi="宋体" w:cs="宋体"/>
          <w:sz w:val="28"/>
          <w:szCs w:val="28"/>
          <w:lang w:val="en-US" w:eastAsia="zh-CN"/>
        </w:rPr>
        <w:t xml:space="preserve">平面平晶</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w:t>
      </w:r>
      <w:r>
        <w:rPr>
          <w:rFonts w:ascii="Wingdings 2" w:hAnsi="Wingdings 2" w:eastAsia="Wingdings 2" w:cs="Wingdings 2"/>
          <w:sz w:val="28"/>
          <w:szCs w:val="28"/>
        </w:rPr>
        <w:t xml:space="preserve">£</w:t>
      </w:r>
      <w:r>
        <w:rPr>
          <w:rFonts w:hint="eastAsia" w:ascii="宋体" w:hAnsi="宋体" w:cs="宋体"/>
          <w:sz w:val="28"/>
          <w:szCs w:val="28"/>
        </w:rPr>
        <w:t xml:space="preserve">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w:t>
      </w:r>
      <w:r>
        <w:rPr>
          <w:rFonts w:hint="eastAsia" w:ascii="宋体" w:hAnsi="宋体" w:cs="宋体"/>
          <w:sz w:val="28"/>
          <w:szCs w:val="28"/>
        </w:rPr>
        <w:t xml:space="preserve">.（</w:t>
      </w:r>
      <w:r>
        <w:rPr>
          <w:rFonts w:hint="eastAsia" w:ascii="宋体" w:hAnsi="宋体" w:cs="宋体"/>
          <w:sz w:val="28"/>
          <w:szCs w:val="28"/>
          <w:lang w:val="en-US" w:eastAsia="zh-CN"/>
        </w:rPr>
        <w:t xml:space="preserve">平行平晶</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7</w:t>
      </w:r>
      <w:r>
        <w:rPr>
          <w:rFonts w:hint="eastAsia" w:ascii="宋体" w:hAnsi="宋体" w:cs="宋体"/>
          <w:sz w:val="28"/>
          <w:szCs w:val="28"/>
        </w:rPr>
        <w:t xml:space="preserve">.（</w:t>
      </w:r>
      <w:r>
        <w:rPr>
          <w:rFonts w:hint="eastAsia" w:ascii="宋体" w:hAnsi="宋体" w:cs="宋体"/>
          <w:sz w:val="28"/>
          <w:szCs w:val="28"/>
          <w:lang w:val="en-US" w:eastAsia="zh-CN"/>
        </w:rPr>
        <w:t xml:space="preserve">大理石平板</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w:t>
      </w:r>
      <w:r>
        <w:rPr>
          <w:rFonts w:hint="eastAsia" w:ascii="宋体" w:hAnsi="宋体" w:cs="宋体"/>
          <w:sz w:val="28"/>
          <w:szCs w:val="28"/>
        </w:rPr>
        <w:t xml:space="preserve">.（</w:t>
      </w:r>
      <w:r>
        <w:rPr>
          <w:rFonts w:hint="eastAsia" w:ascii="宋体" w:hAnsi="宋体" w:cs="宋体"/>
          <w:sz w:val="28"/>
          <w:szCs w:val="28"/>
          <w:lang w:val="en-US" w:eastAsia="zh-CN"/>
        </w:rPr>
        <w:t xml:space="preserve">外径千分尺平行误差检具</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w:t>
      </w:r>
      <w:r>
        <w:rPr>
          <w:rFonts w:hint="eastAsia" w:ascii="宋体" w:hAnsi="宋体" w:cs="宋体"/>
          <w:sz w:val="28"/>
          <w:szCs w:val="28"/>
        </w:rPr>
        <w:t xml:space="preserve">.（</w:t>
      </w:r>
      <w:r>
        <w:rPr>
          <w:rFonts w:hint="eastAsia" w:ascii="宋体" w:hAnsi="宋体" w:cs="宋体"/>
          <w:sz w:val="28"/>
          <w:szCs w:val="28"/>
          <w:lang w:val="en-US" w:eastAsia="zh-CN"/>
        </w:rPr>
        <w:t xml:space="preserve">公法线千分尺研磨器（套装）</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3</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4</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5</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13</w:t>
      </w:r>
      <w:r>
        <w:rPr>
          <w:rFonts w:hint="eastAsia" w:ascii="宋体" w:hAnsi="宋体" w:cs="宋体"/>
          <w:sz w:val="28"/>
          <w:szCs w:val="28"/>
        </w:rPr>
        <w:t xml:space="preserve">.（</w:t>
      </w:r>
      <w:r>
        <w:rPr>
          <w:rFonts w:hint="eastAsia" w:ascii="宋体" w:hAnsi="宋体" w:cs="宋体"/>
          <w:sz w:val="28"/>
          <w:szCs w:val="28"/>
          <w:lang w:val="en-US" w:eastAsia="zh-CN"/>
        </w:rPr>
        <w:t xml:space="preserve">卡尺校整器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w:t>
      </w:r>
      <w:r>
        <w:rPr>
          <w:rFonts w:hint="eastAsia" w:ascii="宋体" w:hAnsi="宋体" w:cs="宋体"/>
          <w:sz w:val="28"/>
          <w:szCs w:val="28"/>
        </w:rPr>
        <w:t xml:space="preserve">.（</w:t>
      </w:r>
      <w:r>
        <w:rPr>
          <w:rFonts w:hint="eastAsia" w:ascii="宋体" w:hAnsi="宋体" w:cs="宋体"/>
          <w:sz w:val="28"/>
          <w:szCs w:val="28"/>
          <w:lang w:val="en-US" w:eastAsia="zh-CN"/>
        </w:rPr>
        <w:t xml:space="preserve">量块附件套装</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6</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7</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17</w:t>
      </w:r>
      <w:r>
        <w:rPr>
          <w:rFonts w:hint="eastAsia" w:ascii="宋体" w:hAnsi="宋体" w:cs="宋体"/>
          <w:sz w:val="28"/>
          <w:szCs w:val="28"/>
        </w:rPr>
        <w:t xml:space="preserve">.（</w:t>
      </w:r>
      <w:r>
        <w:rPr>
          <w:rFonts w:hint="eastAsia" w:ascii="宋体" w:hAnsi="宋体" w:cs="宋体"/>
          <w:sz w:val="28"/>
          <w:szCs w:val="28"/>
          <w:lang w:val="en-US" w:eastAsia="zh-CN"/>
        </w:rPr>
        <w:t xml:space="preserve">量块</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8</w:t>
      </w:r>
      <w:r>
        <w:rPr>
          <w:rFonts w:hint="eastAsia" w:ascii="宋体" w:hAnsi="宋体" w:cs="宋体"/>
          <w:sz w:val="28"/>
          <w:szCs w:val="28"/>
          <w:lang w:eastAsia="zh-CN"/>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w:t>
      </w:r>
      <w:r>
        <w:rPr>
          <w:rFonts w:hint="eastAsia" w:ascii="宋体" w:hAnsi="宋体" w:cs="宋体"/>
          <w:sz w:val="28"/>
          <w:szCs w:val="28"/>
        </w:rPr>
        <w:t xml:space="preserve">.（</w:t>
      </w:r>
      <w:r>
        <w:rPr>
          <w:rFonts w:hint="eastAsia" w:ascii="宋体" w:hAnsi="宋体" w:cs="宋体"/>
          <w:sz w:val="28"/>
          <w:szCs w:val="28"/>
          <w:lang w:val="en-US" w:eastAsia="zh-CN"/>
        </w:rPr>
        <w:t xml:space="preserve">百分表检定仪</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w:t>
      </w:r>
      <w:r>
        <w:rPr>
          <w:rFonts w:hint="eastAsia" w:ascii="宋体" w:hAnsi="宋体" w:cs="宋体"/>
          <w:sz w:val="28"/>
          <w:szCs w:val="28"/>
        </w:rPr>
        <w:t xml:space="preserve">.（</w:t>
      </w:r>
      <w:r>
        <w:rPr>
          <w:rFonts w:hint="eastAsia" w:ascii="宋体" w:hAnsi="宋体" w:cs="宋体"/>
          <w:sz w:val="28"/>
          <w:szCs w:val="28"/>
          <w:lang w:val="en-US" w:eastAsia="zh-CN"/>
        </w:rPr>
        <w:t xml:space="preserve">水平仪检定器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w:t>
      </w:r>
      <w:r>
        <w:rPr>
          <w:rFonts w:hint="eastAsia" w:ascii="宋体" w:hAnsi="宋体" w:cs="宋体"/>
          <w:sz w:val="28"/>
          <w:szCs w:val="28"/>
        </w:rPr>
        <w:t xml:space="preserve">.（</w:t>
      </w:r>
      <w:r>
        <w:rPr>
          <w:rFonts w:hint="eastAsia" w:ascii="宋体" w:hAnsi="宋体" w:cs="宋体"/>
          <w:sz w:val="28"/>
          <w:szCs w:val="28"/>
          <w:lang w:val="en-US" w:eastAsia="zh-CN"/>
        </w:rPr>
        <w:t xml:space="preserve">声校准器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r>
        <w:rPr>
          <w:rFonts w:hint="eastAsia" w:ascii="宋体" w:hAnsi="宋体" w:cs="宋体"/>
          <w:sz w:val="28"/>
          <w:szCs w:val="28"/>
        </w:rPr>
        <w:t xml:space="preserve">.（</w:t>
      </w:r>
      <w:r>
        <w:rPr>
          <w:rFonts w:hint="eastAsia" w:ascii="宋体" w:hAnsi="宋体" w:cs="宋体"/>
          <w:sz w:val="28"/>
          <w:szCs w:val="28"/>
          <w:lang w:val="en-US" w:eastAsia="zh-CN"/>
        </w:rPr>
        <w:t xml:space="preserve">圆柱角尺</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w:t>
      </w:r>
      <w:r>
        <w:rPr>
          <w:rFonts w:hint="eastAsia" w:ascii="宋体" w:hAnsi="宋体" w:cs="宋体"/>
          <w:sz w:val="28"/>
          <w:szCs w:val="28"/>
        </w:rPr>
        <w:t xml:space="preserve">（</w:t>
      </w:r>
      <w:r>
        <w:rPr>
          <w:rFonts w:hint="eastAsia" w:ascii="宋体" w:hAnsi="宋体" w:cs="宋体"/>
          <w:sz w:val="28"/>
          <w:szCs w:val="28"/>
          <w:lang w:val="en-US" w:eastAsia="zh-CN"/>
        </w:rPr>
        <w:t xml:space="preserve">标准环规（1）</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w:t>
      </w:r>
      <w:r>
        <w:rPr>
          <w:rFonts w:hint="eastAsia" w:ascii="宋体" w:hAnsi="宋体" w:cs="宋体"/>
          <w:sz w:val="28"/>
          <w:szCs w:val="28"/>
        </w:rPr>
        <w:t xml:space="preserve">.（</w:t>
      </w:r>
      <w:r>
        <w:rPr>
          <w:rFonts w:hint="eastAsia" w:ascii="宋体" w:hAnsi="宋体" w:cs="宋体"/>
          <w:sz w:val="28"/>
          <w:szCs w:val="28"/>
          <w:lang w:val="en-US" w:eastAsia="zh-CN"/>
        </w:rPr>
        <w:t xml:space="preserve">标准环规（2）</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w:t>
      </w:r>
      <w:r>
        <w:rPr>
          <w:rFonts w:hint="eastAsia" w:ascii="宋体" w:hAnsi="宋体" w:cs="宋体"/>
          <w:sz w:val="28"/>
          <w:szCs w:val="28"/>
        </w:rPr>
        <w:t xml:space="preserve">.（</w:t>
      </w:r>
      <w:r>
        <w:rPr>
          <w:rFonts w:hint="eastAsia" w:ascii="宋体" w:hAnsi="宋体" w:cs="宋体"/>
          <w:sz w:val="28"/>
          <w:szCs w:val="28"/>
          <w:lang w:val="en-US" w:eastAsia="zh-CN"/>
        </w:rPr>
        <w:t xml:space="preserve">标准环规（3）</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25</w:t>
      </w:r>
      <w:r>
        <w:rPr>
          <w:rFonts w:hint="eastAsia" w:ascii="宋体" w:hAnsi="宋体" w:cs="宋体"/>
          <w:sz w:val="28"/>
          <w:szCs w:val="28"/>
        </w:rPr>
        <w:t xml:space="preserve">.（</w:t>
      </w:r>
      <w:r>
        <w:rPr>
          <w:rFonts w:hint="eastAsia" w:ascii="宋体" w:hAnsi="宋体" w:cs="宋体"/>
          <w:sz w:val="28"/>
          <w:szCs w:val="28"/>
          <w:lang w:val="en-US" w:eastAsia="zh-CN"/>
        </w:rPr>
        <w:t xml:space="preserve">低本底α、β标准平面</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w:t>
      </w:r>
      <w:r>
        <w:rPr>
          <w:rFonts w:hint="eastAsia" w:ascii="宋体" w:hAnsi="宋体" w:cs="宋体"/>
          <w:sz w:val="28"/>
          <w:szCs w:val="28"/>
        </w:rPr>
        <w:t xml:space="preserve">.（</w:t>
      </w:r>
      <w:r>
        <w:rPr>
          <w:rFonts w:hint="eastAsia" w:ascii="宋体" w:hAnsi="宋体" w:cs="宋体"/>
          <w:sz w:val="28"/>
          <w:szCs w:val="28"/>
          <w:lang w:val="en-US" w:eastAsia="zh-CN"/>
        </w:rPr>
        <w:t xml:space="preserve">温度计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w:t>
      </w:r>
      <w:r>
        <w:rPr>
          <w:rFonts w:hint="eastAsia" w:ascii="宋体" w:hAnsi="宋体" w:cs="宋体"/>
          <w:sz w:val="28"/>
          <w:szCs w:val="28"/>
        </w:rPr>
        <w:t xml:space="preserve">.（</w:t>
      </w:r>
      <w:r>
        <w:rPr>
          <w:rFonts w:hint="eastAsia" w:ascii="宋体" w:hAnsi="宋体" w:cs="宋体"/>
          <w:sz w:val="28"/>
          <w:szCs w:val="28"/>
          <w:lang w:val="en-US" w:eastAsia="zh-CN"/>
        </w:rPr>
        <w:t xml:space="preserve">精密微压计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w:t>
      </w:r>
      <w:r>
        <w:rPr>
          <w:rFonts w:hint="eastAsia" w:ascii="宋体" w:hAnsi="宋体" w:cs="宋体"/>
          <w:sz w:val="28"/>
          <w:szCs w:val="28"/>
        </w:rPr>
        <w:t xml:space="preserve">.（</w:t>
      </w:r>
      <w:r>
        <w:rPr>
          <w:rFonts w:hint="eastAsia" w:ascii="宋体" w:hAnsi="宋体" w:cs="宋体"/>
          <w:sz w:val="28"/>
          <w:szCs w:val="28"/>
          <w:lang w:val="en-US" w:eastAsia="zh-CN"/>
        </w:rPr>
        <w:t xml:space="preserve">恒温箱</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w:t>
      </w:r>
      <w:r>
        <w:rPr>
          <w:rFonts w:hint="eastAsia" w:ascii="宋体" w:hAnsi="宋体" w:cs="宋体"/>
          <w:sz w:val="28"/>
          <w:szCs w:val="28"/>
        </w:rPr>
        <w:t xml:space="preserve">.（</w:t>
      </w:r>
      <w:r>
        <w:rPr>
          <w:rFonts w:hint="eastAsia" w:ascii="宋体" w:hAnsi="宋体" w:cs="宋体"/>
          <w:sz w:val="28"/>
          <w:szCs w:val="28"/>
          <w:lang w:val="en-US" w:eastAsia="zh-CN"/>
        </w:rPr>
        <w:t xml:space="preserve">双光束紫外可见分光光度计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30</w:t>
      </w:r>
      <w:r>
        <w:rPr>
          <w:rFonts w:hint="eastAsia" w:ascii="宋体" w:hAnsi="宋体" w:cs="宋体"/>
          <w:sz w:val="28"/>
          <w:szCs w:val="28"/>
        </w:rPr>
        <w:t xml:space="preserve">.（</w:t>
      </w:r>
      <w:r>
        <w:rPr>
          <w:rFonts w:hint="eastAsia" w:ascii="宋体" w:hAnsi="宋体" w:cs="宋体"/>
          <w:sz w:val="28"/>
          <w:szCs w:val="28"/>
          <w:lang w:val="en-US" w:eastAsia="zh-CN"/>
        </w:rPr>
        <w:t xml:space="preserve">质量流量计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31</w:t>
      </w:r>
      <w:r>
        <w:rPr>
          <w:rFonts w:hint="eastAsia" w:ascii="宋体" w:hAnsi="宋体" w:cs="宋体"/>
          <w:sz w:val="28"/>
          <w:szCs w:val="28"/>
        </w:rPr>
        <w:t xml:space="preserve">.（</w:t>
      </w:r>
      <w:r>
        <w:rPr>
          <w:rFonts w:hint="eastAsia" w:ascii="宋体" w:hAnsi="宋体" w:cs="宋体"/>
          <w:sz w:val="28"/>
          <w:szCs w:val="28"/>
          <w:lang w:val="en-US" w:eastAsia="zh-CN"/>
        </w:rPr>
        <w:t xml:space="preserve">大气采样器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32</w:t>
      </w:r>
      <w:r>
        <w:rPr>
          <w:rFonts w:hint="eastAsia" w:ascii="宋体" w:hAnsi="宋体" w:cs="宋体"/>
          <w:sz w:val="28"/>
          <w:szCs w:val="28"/>
        </w:rPr>
        <w:t xml:space="preserve">.（</w:t>
      </w:r>
      <w:r>
        <w:rPr>
          <w:rFonts w:hint="eastAsia" w:ascii="宋体" w:hAnsi="宋体" w:cs="宋体"/>
          <w:sz w:val="28"/>
          <w:szCs w:val="28"/>
          <w:lang w:val="en-US" w:eastAsia="zh-CN"/>
        </w:rPr>
        <w:t xml:space="preserve">万分之一电子天平</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33</w:t>
      </w:r>
      <w:r>
        <w:rPr>
          <w:rFonts w:hint="eastAsia" w:ascii="宋体" w:hAnsi="宋体" w:cs="宋体"/>
          <w:sz w:val="28"/>
          <w:szCs w:val="28"/>
        </w:rPr>
        <w:t xml:space="preserve">.（</w:t>
      </w:r>
      <w:r>
        <w:rPr>
          <w:rFonts w:hint="eastAsia" w:ascii="宋体" w:hAnsi="宋体" w:cs="宋体"/>
          <w:sz w:val="28"/>
          <w:szCs w:val="28"/>
          <w:lang w:val="en-US" w:eastAsia="zh-CN"/>
        </w:rPr>
        <w:t xml:space="preserve">无线温湿度记录仪(温湿度计)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34</w:t>
      </w:r>
      <w:r>
        <w:rPr>
          <w:rFonts w:hint="eastAsia" w:ascii="宋体" w:hAnsi="宋体" w:cs="宋体"/>
          <w:sz w:val="28"/>
          <w:szCs w:val="28"/>
        </w:rPr>
        <w:t xml:space="preserve">.（</w:t>
      </w:r>
      <w:r>
        <w:rPr>
          <w:rFonts w:hint="eastAsia" w:ascii="宋体" w:hAnsi="宋体" w:cs="宋体"/>
          <w:sz w:val="28"/>
          <w:szCs w:val="28"/>
          <w:lang w:val="en-US" w:eastAsia="zh-CN"/>
        </w:rPr>
        <w:t xml:space="preserve">压差计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35</w:t>
      </w:r>
      <w:r>
        <w:rPr>
          <w:rFonts w:hint="eastAsia" w:ascii="宋体" w:hAnsi="宋体" w:cs="宋体"/>
          <w:sz w:val="28"/>
          <w:szCs w:val="28"/>
        </w:rPr>
        <w:t xml:space="preserve">.（</w:t>
      </w:r>
      <w:r>
        <w:rPr>
          <w:rFonts w:hint="eastAsia" w:ascii="宋体" w:hAnsi="宋体" w:cs="宋体"/>
          <w:sz w:val="28"/>
          <w:szCs w:val="28"/>
          <w:lang w:val="en-US" w:eastAsia="zh-CN"/>
        </w:rPr>
        <w:t xml:space="preserve">电导率检定装置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36</w:t>
      </w:r>
      <w:r>
        <w:rPr>
          <w:rFonts w:hint="eastAsia" w:ascii="宋体" w:hAnsi="宋体" w:cs="宋体"/>
          <w:sz w:val="28"/>
          <w:szCs w:val="28"/>
        </w:rPr>
        <w:t xml:space="preserve">.（</w:t>
      </w:r>
      <w:r>
        <w:rPr>
          <w:rFonts w:hint="eastAsia" w:ascii="宋体" w:hAnsi="宋体" w:cs="宋体"/>
          <w:sz w:val="28"/>
          <w:szCs w:val="28"/>
          <w:lang w:val="en-US" w:eastAsia="zh-CN"/>
        </w:rPr>
        <w:t xml:space="preserve">酸度计检定装置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37</w:t>
      </w:r>
      <w:r>
        <w:rPr>
          <w:rFonts w:hint="eastAsia" w:ascii="宋体" w:hAnsi="宋体" w:cs="宋体"/>
          <w:sz w:val="28"/>
          <w:szCs w:val="28"/>
        </w:rPr>
        <w:t xml:space="preserve">.（</w:t>
      </w:r>
      <w:r>
        <w:rPr>
          <w:rFonts w:hint="eastAsia" w:ascii="宋体" w:hAnsi="宋体" w:cs="宋体"/>
          <w:sz w:val="28"/>
          <w:szCs w:val="28"/>
          <w:lang w:val="en-US" w:eastAsia="zh-CN"/>
        </w:rPr>
        <w:t xml:space="preserve">气体流量计测试仪器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38</w:t>
      </w:r>
      <w:r>
        <w:rPr>
          <w:rFonts w:hint="eastAsia" w:ascii="宋体" w:hAnsi="宋体" w:cs="宋体"/>
          <w:sz w:val="28"/>
          <w:szCs w:val="28"/>
        </w:rPr>
        <w:t xml:space="preserve">.（</w:t>
      </w:r>
      <w:r>
        <w:rPr>
          <w:rFonts w:hint="eastAsia" w:ascii="宋体" w:hAnsi="宋体" w:cs="宋体"/>
          <w:sz w:val="28"/>
          <w:szCs w:val="28"/>
          <w:lang w:val="en-US" w:eastAsia="zh-CN"/>
        </w:rPr>
        <w:t xml:space="preserve">眩光测试系统(虹谱光色体育场馆眩光GR测试系统软件)</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39</w:t>
      </w:r>
      <w:r>
        <w:rPr>
          <w:rFonts w:hint="eastAsia" w:ascii="宋体" w:hAnsi="宋体" w:cs="宋体"/>
          <w:sz w:val="28"/>
          <w:szCs w:val="28"/>
        </w:rPr>
        <w:t xml:space="preserve">.（</w:t>
      </w:r>
      <w:r>
        <w:rPr>
          <w:rFonts w:hint="eastAsia" w:ascii="宋体" w:hAnsi="宋体" w:cs="宋体"/>
          <w:sz w:val="28"/>
          <w:szCs w:val="28"/>
          <w:lang w:val="en-US" w:eastAsia="zh-CN"/>
        </w:rPr>
        <w:t xml:space="preserve">余氯仪</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40</w:t>
      </w:r>
      <w:r>
        <w:rPr>
          <w:rFonts w:hint="eastAsia" w:ascii="宋体" w:hAnsi="宋体" w:cs="宋体"/>
          <w:sz w:val="28"/>
          <w:szCs w:val="28"/>
        </w:rPr>
        <w:t xml:space="preserve">.（</w:t>
      </w:r>
      <w:r>
        <w:rPr>
          <w:rFonts w:hint="eastAsia" w:ascii="宋体" w:hAnsi="宋体" w:cs="宋体"/>
          <w:sz w:val="28"/>
          <w:szCs w:val="28"/>
          <w:lang w:val="en-US" w:eastAsia="zh-CN"/>
        </w:rPr>
        <w:t xml:space="preserve">台式液压泵</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41</w:t>
      </w:r>
      <w:r>
        <w:rPr>
          <w:rFonts w:hint="eastAsia" w:ascii="宋体" w:hAnsi="宋体" w:cs="宋体"/>
          <w:sz w:val="28"/>
          <w:szCs w:val="28"/>
        </w:rPr>
        <w:t xml:space="preserve">.（</w:t>
      </w:r>
      <w:r>
        <w:rPr>
          <w:rFonts w:hint="eastAsia" w:ascii="宋体" w:hAnsi="宋体" w:cs="宋体"/>
          <w:sz w:val="28"/>
          <w:szCs w:val="28"/>
          <w:lang w:val="en-US" w:eastAsia="zh-CN"/>
        </w:rPr>
        <w:t xml:space="preserve">机动车检测用气象单元校准装置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w:t>
      </w:r>
      <w:r>
        <w:rPr>
          <w:rFonts w:hint="eastAsia" w:ascii="宋体" w:hAnsi="宋体" w:cs="宋体"/>
          <w:sz w:val="28"/>
          <w:szCs w:val="28"/>
        </w:rPr>
        <w:t xml:space="preserve">.（</w:t>
      </w:r>
      <w:r>
        <w:rPr>
          <w:rFonts w:hint="eastAsia" w:ascii="宋体" w:hAnsi="宋体" w:cs="宋体"/>
          <w:sz w:val="28"/>
          <w:szCs w:val="28"/>
          <w:lang w:val="en-US" w:eastAsia="zh-CN"/>
        </w:rPr>
        <w:t xml:space="preserve">矿用机电设备检测三相交流程控源</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w:t>
      </w:r>
      <w:r>
        <w:rPr>
          <w:rFonts w:hint="eastAsia" w:ascii="宋体" w:hAnsi="宋体" w:cs="宋体"/>
          <w:sz w:val="28"/>
          <w:szCs w:val="28"/>
        </w:rPr>
        <w:t xml:space="preserve">.（</w:t>
      </w:r>
      <w:r>
        <w:rPr>
          <w:rFonts w:hint="eastAsia" w:ascii="宋体" w:hAnsi="宋体" w:cs="宋体"/>
          <w:sz w:val="28"/>
          <w:szCs w:val="28"/>
          <w:lang w:val="en-US" w:eastAsia="zh-CN"/>
        </w:rPr>
        <w:t xml:space="preserve">便携式总烃、甲烷和非甲烷总烃测量仪</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w:t>
      </w:r>
      <w:r>
        <w:rPr>
          <w:rFonts w:hint="eastAsia" w:ascii="宋体" w:hAnsi="宋体" w:cs="宋体"/>
          <w:sz w:val="28"/>
          <w:szCs w:val="28"/>
        </w:rPr>
        <w:t xml:space="preserve">.（</w:t>
      </w:r>
      <w:r>
        <w:rPr>
          <w:rFonts w:hint="eastAsia" w:ascii="宋体" w:hAnsi="宋体" w:cs="宋体"/>
          <w:sz w:val="28"/>
          <w:szCs w:val="28"/>
          <w:lang w:val="en-US" w:eastAsia="zh-CN"/>
        </w:rPr>
        <w:t xml:space="preserve">微差压皮托管测试系统</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w:t>
      </w:r>
      <w:r>
        <w:rPr>
          <w:rFonts w:hint="eastAsia" w:ascii="宋体" w:hAnsi="宋体" w:cs="宋体"/>
          <w:sz w:val="28"/>
          <w:szCs w:val="28"/>
        </w:rPr>
        <w:t xml:space="preserve">.（</w:t>
      </w:r>
      <w:r>
        <w:rPr>
          <w:rFonts w:hint="eastAsia" w:ascii="宋体" w:hAnsi="宋体" w:cs="宋体"/>
          <w:sz w:val="28"/>
          <w:szCs w:val="28"/>
          <w:lang w:val="en-US" w:eastAsia="zh-CN"/>
        </w:rPr>
        <w:t xml:space="preserve">神经肌肉刺激器校准装置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46</w:t>
      </w:r>
      <w:r>
        <w:rPr>
          <w:rFonts w:hint="eastAsia" w:ascii="宋体" w:hAnsi="宋体" w:cs="宋体"/>
          <w:sz w:val="28"/>
          <w:szCs w:val="28"/>
        </w:rPr>
        <w:t xml:space="preserve">.（</w:t>
      </w:r>
      <w:r>
        <w:rPr>
          <w:rFonts w:hint="eastAsia" w:ascii="宋体" w:hAnsi="宋体" w:cs="宋体"/>
          <w:sz w:val="28"/>
          <w:szCs w:val="28"/>
          <w:lang w:val="en-US" w:eastAsia="zh-CN"/>
        </w:rPr>
        <w:t xml:space="preserve">超声骨密度仪性能模体</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47</w:t>
      </w:r>
      <w:r>
        <w:rPr>
          <w:rFonts w:hint="eastAsia" w:ascii="宋体" w:hAnsi="宋体" w:cs="宋体"/>
          <w:sz w:val="28"/>
          <w:szCs w:val="28"/>
        </w:rPr>
        <w:t xml:space="preserve">.（</w:t>
      </w:r>
      <w:r>
        <w:rPr>
          <w:rFonts w:hint="eastAsia" w:ascii="宋体" w:hAnsi="宋体" w:cs="宋体"/>
          <w:sz w:val="28"/>
          <w:szCs w:val="28"/>
          <w:lang w:val="en-US" w:eastAsia="zh-CN"/>
        </w:rPr>
        <w:t xml:space="preserve">超声功率计</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48</w:t>
      </w:r>
      <w:r>
        <w:rPr>
          <w:rFonts w:hint="eastAsia" w:ascii="宋体" w:hAnsi="宋体" w:cs="宋体"/>
          <w:sz w:val="28"/>
          <w:szCs w:val="28"/>
        </w:rPr>
        <w:t xml:space="preserve">.（</w:t>
      </w:r>
      <w:r>
        <w:rPr>
          <w:rFonts w:hint="eastAsia" w:ascii="宋体" w:hAnsi="宋体" w:cs="宋体"/>
          <w:sz w:val="28"/>
          <w:szCs w:val="28"/>
          <w:lang w:val="en-US" w:eastAsia="zh-CN"/>
        </w:rPr>
        <w:t xml:space="preserve">血液透析机检测装置血液流量模块</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49</w:t>
      </w:r>
      <w:r>
        <w:rPr>
          <w:rFonts w:hint="eastAsia" w:ascii="宋体" w:hAnsi="宋体" w:cs="宋体"/>
          <w:sz w:val="28"/>
          <w:szCs w:val="28"/>
        </w:rPr>
        <w:t xml:space="preserve">.（</w:t>
      </w:r>
      <w:r>
        <w:rPr>
          <w:rFonts w:hint="eastAsia" w:ascii="宋体" w:hAnsi="宋体" w:cs="宋体"/>
          <w:sz w:val="28"/>
          <w:szCs w:val="28"/>
          <w:lang w:val="en-US" w:eastAsia="zh-CN"/>
        </w:rPr>
        <w:t xml:space="preserve">DSA性能影像模体</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color w:val="auto"/>
          <w:sz w:val="28"/>
          <w:szCs w:val="28"/>
          <w:lang w:val="en-US" w:eastAsia="zh-CN"/>
        </w:rPr>
        <w:t xml:space="preserve">50</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高流量呼吸湿化仪校准装置</w:t>
      </w:r>
      <w:r>
        <w:rPr>
          <w:rFonts w:hint="eastAsia" w:ascii="宋体" w:hAnsi="宋体" w:cs="宋体"/>
          <w:color w:val="auto"/>
          <w:sz w:val="28"/>
          <w:szCs w:val="28"/>
        </w:rPr>
        <w:t xml:space="preserve">）</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51</w:t>
      </w:r>
      <w:r>
        <w:rPr>
          <w:rFonts w:hint="eastAsia" w:ascii="宋体" w:hAnsi="宋体" w:cs="宋体"/>
          <w:sz w:val="28"/>
          <w:szCs w:val="28"/>
        </w:rPr>
        <w:t xml:space="preserve">.（</w:t>
      </w:r>
      <w:r>
        <w:rPr>
          <w:rFonts w:hint="eastAsia" w:ascii="宋体" w:hAnsi="宋体" w:cs="宋体"/>
          <w:sz w:val="28"/>
          <w:szCs w:val="28"/>
          <w:lang w:val="en-US" w:eastAsia="zh-CN"/>
        </w:rPr>
        <w:t xml:space="preserve">肌电及诱发反应设备校准装置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w:t>
      </w:r>
      <w:r>
        <w:rPr>
          <w:rFonts w:hint="eastAsia" w:ascii="宋体" w:hAnsi="宋体" w:cs="宋体"/>
          <w:sz w:val="28"/>
          <w:szCs w:val="28"/>
        </w:rPr>
        <w:t xml:space="preserve">.（</w:t>
      </w:r>
      <w:r>
        <w:rPr>
          <w:rFonts w:hint="eastAsia" w:ascii="宋体" w:hAnsi="宋体" w:cs="宋体"/>
          <w:sz w:val="28"/>
          <w:szCs w:val="28"/>
          <w:lang w:val="en-US" w:eastAsia="zh-CN"/>
        </w:rPr>
        <w:t xml:space="preserve">三相电能表检定装置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6"/>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cs="宋体"/>
          <w:sz w:val="28"/>
          <w:szCs w:val="28"/>
        </w:rPr>
        <w:t xml:space="preserve">.（</w:t>
      </w:r>
      <w:r>
        <w:rPr>
          <w:rFonts w:hint="eastAsia" w:ascii="宋体" w:hAnsi="宋体" w:cs="宋体"/>
          <w:sz w:val="28"/>
          <w:szCs w:val="28"/>
          <w:lang w:val="en-US" w:eastAsia="zh-CN"/>
        </w:rPr>
        <w:t xml:space="preserve">过程信号校验仪校准装置</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6"/>
        <w:ind w:firstLine="560"/>
        <w:keepLines w:val="0"/>
        <w:keepNext w:val="0"/>
        <w:pageBreakBefore w:val="0"/>
        <w:spacing w:line="480" w:lineRule="exact"/>
        <w:widowControl w:val="off"/>
        <w:rPr>
          <w:rFonts w:ascii="宋体" w:hAnsi="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cs="宋体"/>
          <w:sz w:val="28"/>
          <w:szCs w:val="28"/>
        </w:rPr>
        <w:t xml:space="preserve">.（</w:t>
      </w:r>
      <w:r>
        <w:rPr>
          <w:rFonts w:hint="eastAsia" w:ascii="宋体" w:hAnsi="宋体" w:cs="宋体"/>
          <w:sz w:val="28"/>
          <w:szCs w:val="28"/>
          <w:lang w:val="en-US" w:eastAsia="zh-CN"/>
        </w:rPr>
        <w:t xml:space="preserve">交直流高压数字表</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eastAsia="宋体" w:cs="宋体"/>
          <w:sz w:val="28"/>
          <w:szCs w:val="28"/>
          <w:lang w:val="en-US" w:eastAsia="zh-CN"/>
        </w:rPr>
        <w:t xml:space="preserve"> </w:t>
      </w:r>
      <w:r/>
    </w:p>
    <w:p>
      <w:pPr>
        <w:pStyle w:val="857"/>
        <w:ind w:firstLine="560"/>
        <w:keepLines w:val="0"/>
        <w:keepNext w:val="0"/>
        <w:pageBreakBefore w:val="0"/>
        <w:spacing w:line="480" w:lineRule="exact"/>
        <w:widowControl w:val="off"/>
        <w:rPr>
          <w:rFonts w:ascii="宋体" w:hAnsi="宋体"/>
          <w:sz w:val="28"/>
          <w:szCs w:val="28"/>
        </w:rPr>
      </w:pPr>
      <w:r>
        <w:rPr>
          <w:rFonts w:ascii="宋体" w:hAnsi="宋体"/>
          <w:sz w:val="28"/>
          <w:szCs w:val="28"/>
        </w:rPr>
      </w:r>
      <w:r/>
    </w:p>
    <w:p>
      <w:pPr>
        <w:pStyle w:val="857"/>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57"/>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5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5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5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5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5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5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5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57"/>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5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57"/>
        <w:ind w:firstLine="624"/>
        <w:spacing w:line="480" w:lineRule="exact"/>
        <w:rPr>
          <w:rFonts w:ascii="宋体" w:hAnsi="宋体"/>
          <w:spacing w:val="6"/>
          <w:sz w:val="30"/>
          <w:szCs w:val="30"/>
        </w:rPr>
      </w:pPr>
      <w:r>
        <w:rPr>
          <w:rFonts w:ascii="宋体" w:hAnsi="宋体"/>
          <w:spacing w:val="6"/>
          <w:sz w:val="30"/>
          <w:szCs w:val="30"/>
        </w:rPr>
      </w:r>
      <w:r/>
    </w:p>
    <w:p>
      <w:pPr>
        <w:pStyle w:val="85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计量器具强制检定专用设备购置</w:t>
      </w:r>
      <w:r>
        <w:rPr>
          <w:rFonts w:ascii="宋体" w:hAnsi="宋体"/>
          <w:spacing w:val="6"/>
          <w:sz w:val="28"/>
          <w:szCs w:val="28"/>
        </w:rPr>
        <w:t xml:space="preserve"> </w:t>
      </w:r>
      <w:r/>
    </w:p>
    <w:p>
      <w:pPr>
        <w:pStyle w:val="85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项目编号：JSZC-320300-ZJZB-G2026-0144</w:t>
      </w:r>
      <w:r/>
    </w:p>
    <w:p>
      <w:pPr>
        <w:pStyle w:val="85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5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57"/>
        <w:ind w:firstLine="624"/>
        <w:spacing w:line="480" w:lineRule="exact"/>
        <w:rPr>
          <w:rFonts w:ascii="宋体" w:hAnsi="宋体"/>
          <w:spacing w:val="6"/>
          <w:sz w:val="28"/>
          <w:szCs w:val="28"/>
        </w:rPr>
      </w:pPr>
      <w:r>
        <w:rPr>
          <w:rFonts w:ascii="宋体" w:hAnsi="宋体"/>
          <w:spacing w:val="6"/>
          <w:sz w:val="28"/>
          <w:szCs w:val="28"/>
        </w:rPr>
      </w:r>
      <w:r/>
    </w:p>
    <w:p>
      <w:pPr>
        <w:pStyle w:val="857"/>
        <w:ind w:firstLine="624"/>
        <w:spacing w:line="480" w:lineRule="exact"/>
        <w:rPr>
          <w:rFonts w:ascii="宋体" w:hAnsi="宋体"/>
          <w:spacing w:val="6"/>
          <w:sz w:val="28"/>
          <w:szCs w:val="28"/>
        </w:rPr>
      </w:pPr>
      <w:r>
        <w:rPr>
          <w:rFonts w:ascii="宋体" w:hAnsi="宋体"/>
          <w:spacing w:val="6"/>
          <w:sz w:val="28"/>
          <w:szCs w:val="28"/>
        </w:rPr>
      </w:r>
      <w:r/>
    </w:p>
    <w:p>
      <w:pPr>
        <w:pStyle w:val="85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57"/>
        <w:ind w:firstLine="600"/>
        <w:spacing w:line="480" w:lineRule="exact"/>
        <w:rPr>
          <w:rFonts w:ascii="宋体" w:hAnsi="宋体"/>
          <w:sz w:val="28"/>
          <w:szCs w:val="28"/>
        </w:rPr>
      </w:pPr>
      <w:r>
        <w:rPr>
          <w:rFonts w:ascii="宋体" w:hAnsi="宋体"/>
          <w:sz w:val="28"/>
          <w:szCs w:val="28"/>
        </w:rPr>
        <w:t xml:space="preserve">             </w:t>
      </w:r>
      <w:r/>
    </w:p>
    <w:p>
      <w:pPr>
        <w:pStyle w:val="857"/>
        <w:ind w:firstLine="4500"/>
        <w:spacing w:line="480" w:lineRule="exact"/>
        <w:rPr>
          <w:rFonts w:ascii="宋体" w:hAnsi="宋体"/>
          <w:sz w:val="28"/>
          <w:szCs w:val="28"/>
        </w:rPr>
      </w:pPr>
      <w:r>
        <w:rPr>
          <w:rFonts w:ascii="宋体" w:hAnsi="宋体"/>
          <w:sz w:val="28"/>
          <w:szCs w:val="28"/>
        </w:rPr>
      </w:r>
      <w:r/>
    </w:p>
    <w:p>
      <w:pPr>
        <w:pStyle w:val="857"/>
        <w:ind w:firstLine="4500"/>
        <w:spacing w:line="480" w:lineRule="exact"/>
        <w:rPr>
          <w:rFonts w:ascii="宋体" w:hAnsi="宋体"/>
          <w:sz w:val="30"/>
          <w:szCs w:val="30"/>
        </w:rPr>
      </w:pPr>
      <w:r>
        <w:rPr>
          <w:rFonts w:ascii="宋体" w:hAnsi="宋体"/>
          <w:sz w:val="28"/>
          <w:szCs w:val="28"/>
        </w:rPr>
        <w:t xml:space="preserve">日期：   年  月  日</w:t>
      </w:r>
      <w:r/>
    </w:p>
    <w:p>
      <w:pPr>
        <w:pStyle w:val="857"/>
        <w:ind w:firstLine="4500"/>
        <w:spacing w:line="480" w:lineRule="exact"/>
        <w:rPr>
          <w:rFonts w:ascii="宋体" w:hAnsi="宋体"/>
          <w:sz w:val="30"/>
          <w:szCs w:val="30"/>
        </w:rPr>
      </w:pPr>
      <w:r>
        <w:rPr>
          <w:rFonts w:ascii="宋体" w:hAnsi="宋体"/>
          <w:sz w:val="30"/>
          <w:szCs w:val="30"/>
        </w:rPr>
      </w:r>
      <w:r/>
    </w:p>
    <w:p>
      <w:pPr>
        <w:pStyle w:val="857"/>
        <w:ind w:firstLine="600"/>
        <w:spacing w:line="480" w:lineRule="exact"/>
        <w:rPr>
          <w:rFonts w:ascii="宋体" w:hAnsi="宋体"/>
          <w:sz w:val="30"/>
          <w:szCs w:val="30"/>
        </w:rPr>
      </w:pPr>
      <w:r>
        <w:rPr>
          <w:rFonts w:ascii="宋体" w:hAnsi="宋体"/>
          <w:sz w:val="30"/>
          <w:szCs w:val="30"/>
        </w:rPr>
      </w:r>
      <w:r/>
    </w:p>
    <w:p>
      <w:pPr>
        <w:pStyle w:val="85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57"/>
        <w:ind w:firstLine="600"/>
        <w:spacing w:line="480" w:lineRule="exact"/>
        <w:rPr>
          <w:rFonts w:ascii="宋体" w:hAnsi="宋体"/>
          <w:color w:val="000000"/>
          <w:sz w:val="30"/>
          <w:szCs w:val="30"/>
        </w:rPr>
      </w:pPr>
      <w:r>
        <w:rPr>
          <w:rFonts w:ascii="宋体" w:hAnsi="宋体"/>
          <w:color w:val="000000"/>
          <w:sz w:val="30"/>
          <w:szCs w:val="30"/>
        </w:rPr>
      </w:r>
      <w:r/>
    </w:p>
    <w:p>
      <w:pPr>
        <w:pStyle w:val="857"/>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计量器具强制检定专用设备购置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项目编号：JSZC-320300-ZJZB-G2026-0144</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163"/>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57"/>
        <w:spacing w:line="480" w:lineRule="exact"/>
        <w:rPr>
          <w:rFonts w:ascii="宋体" w:hAnsi="宋体"/>
          <w:color w:val="000000"/>
          <w:sz w:val="30"/>
          <w:szCs w:val="30"/>
        </w:rPr>
      </w:pPr>
      <w:r>
        <w:rPr>
          <w:rFonts w:ascii="宋体" w:hAnsi="宋体"/>
          <w:color w:val="000000"/>
          <w:sz w:val="30"/>
          <w:szCs w:val="30"/>
        </w:rPr>
      </w:r>
      <w:r/>
    </w:p>
    <w:p>
      <w:pPr>
        <w:pStyle w:val="857"/>
        <w:spacing w:line="480" w:lineRule="exact"/>
        <w:rPr>
          <w:rFonts w:ascii="宋体" w:hAnsi="宋体"/>
          <w:color w:val="000000"/>
          <w:sz w:val="30"/>
          <w:szCs w:val="30"/>
        </w:rPr>
      </w:pPr>
      <w:r>
        <w:rPr>
          <w:rFonts w:ascii="宋体" w:hAnsi="宋体"/>
          <w:color w:val="000000"/>
          <w:sz w:val="30"/>
          <w:szCs w:val="30"/>
        </w:rPr>
      </w:r>
      <w:r/>
    </w:p>
    <w:p>
      <w:pPr>
        <w:pStyle w:val="85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5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57"/>
        <w:ind w:firstLine="4500"/>
        <w:spacing w:line="480" w:lineRule="exact"/>
        <w:rPr>
          <w:rFonts w:ascii="宋体" w:hAnsi="宋体"/>
          <w:color w:val="000000"/>
          <w:sz w:val="30"/>
          <w:szCs w:val="30"/>
        </w:rPr>
      </w:pPr>
      <w:r>
        <w:rPr>
          <w:rFonts w:ascii="宋体" w:hAnsi="宋体"/>
          <w:color w:val="000000"/>
          <w:sz w:val="30"/>
          <w:szCs w:val="30"/>
        </w:rPr>
      </w:r>
      <w:r/>
    </w:p>
    <w:p>
      <w:pPr>
        <w:pStyle w:val="85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57"/>
        <w:ind w:firstLine="600"/>
        <w:spacing w:line="480" w:lineRule="exact"/>
        <w:rPr>
          <w:rFonts w:ascii="宋体" w:hAnsi="宋体"/>
          <w:bCs/>
          <w:color w:val="000000"/>
          <w:sz w:val="30"/>
          <w:szCs w:val="30"/>
        </w:rPr>
      </w:pPr>
      <w:r>
        <w:rPr>
          <w:rFonts w:ascii="宋体" w:hAnsi="宋体"/>
          <w:bCs/>
          <w:color w:val="000000"/>
          <w:sz w:val="30"/>
          <w:szCs w:val="30"/>
        </w:rPr>
      </w:r>
      <w:r/>
    </w:p>
    <w:p>
      <w:pPr>
        <w:pStyle w:val="857"/>
        <w:ind w:firstLine="600"/>
        <w:spacing w:line="480" w:lineRule="exact"/>
        <w:rPr>
          <w:rFonts w:ascii="宋体" w:hAnsi="宋体"/>
          <w:bCs/>
          <w:color w:val="000000"/>
          <w:sz w:val="30"/>
          <w:szCs w:val="30"/>
        </w:rPr>
      </w:pPr>
      <w:r>
        <w:rPr>
          <w:rFonts w:ascii="宋体" w:hAnsi="宋体"/>
          <w:bCs/>
          <w:color w:val="000000"/>
          <w:sz w:val="30"/>
          <w:szCs w:val="30"/>
        </w:rPr>
      </w:r>
      <w:r/>
    </w:p>
    <w:p>
      <w:pPr>
        <w:pStyle w:val="857"/>
        <w:ind w:firstLine="600"/>
        <w:spacing w:line="480" w:lineRule="exact"/>
        <w:rPr>
          <w:rFonts w:ascii="宋体" w:hAnsi="宋体"/>
          <w:bCs/>
          <w:color w:val="000000"/>
          <w:sz w:val="30"/>
          <w:szCs w:val="30"/>
        </w:rPr>
      </w:pPr>
      <w:r>
        <w:rPr>
          <w:rFonts w:ascii="宋体" w:hAnsi="宋体"/>
          <w:bCs/>
          <w:color w:val="000000"/>
          <w:sz w:val="30"/>
          <w:szCs w:val="30"/>
        </w:rPr>
      </w:r>
      <w:r/>
    </w:p>
    <w:p>
      <w:pPr>
        <w:pStyle w:val="857"/>
        <w:ind w:firstLine="600"/>
        <w:spacing w:line="480" w:lineRule="exact"/>
        <w:rPr>
          <w:rFonts w:ascii="宋体" w:hAnsi="宋体"/>
          <w:bCs/>
          <w:color w:val="000000"/>
          <w:sz w:val="30"/>
          <w:szCs w:val="30"/>
        </w:rPr>
      </w:pPr>
      <w:r>
        <w:rPr>
          <w:rFonts w:ascii="宋体" w:hAnsi="宋体"/>
          <w:bCs/>
          <w:color w:val="000000"/>
          <w:sz w:val="30"/>
          <w:szCs w:val="30"/>
        </w:rPr>
      </w:r>
      <w:r/>
    </w:p>
    <w:p>
      <w:pPr>
        <w:pStyle w:val="85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计量器具强制检定专用设备购置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JSZC-320300-ZJZB-G2026-0144</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5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计量器具强制检定专用设备购置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JSZC-320300-ZJZB-G2026-0144</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60"/>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6"/>
        <w:numPr>
          <w:ilvl w:val="0"/>
          <w:numId w:val="58"/>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84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84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84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84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84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84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846"/>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5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5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5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5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5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5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5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5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黑体_GBK">
    <w:panose1 w:val="020B0503020202020204"/>
  </w:font>
  <w:font w:name="Wingdings">
    <w:panose1 w:val="05000000000000000000"/>
  </w:font>
  <w:font w:name="华文楷体">
    <w:panose1 w:val="0201060004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rPr>
                              <w:rStyle w:val="1112"/>
                            </w:rPr>
                          </w:pPr>
                          <w:r>
                            <w:fldChar w:fldCharType="begin"/>
                          </w:r>
                          <w:r>
                            <w:rPr>
                              <w:rStyle w:val="1112"/>
                            </w:rPr>
                            <w:instrText xml:space="preserve">PAGE  </w:instrText>
                          </w:r>
                          <w:r>
                            <w:fldChar w:fldCharType="separate"/>
                          </w:r>
                          <w:r>
                            <w:rPr>
                              <w:rStyle w:val="1112"/>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rPr>
                        <w:rStyle w:val="1112"/>
                      </w:rPr>
                    </w:pPr>
                    <w:r>
                      <w:fldChar w:fldCharType="begin"/>
                    </w:r>
                    <w:r>
                      <w:rPr>
                        <w:rStyle w:val="1112"/>
                      </w:rPr>
                      <w:instrText xml:space="preserve">PAGE  </w:instrText>
                    </w:r>
                    <w:r>
                      <w:fldChar w:fldCharType="separate"/>
                    </w:r>
                    <w:r>
                      <w:rPr>
                        <w:rStyle w:val="1112"/>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rPr>
        <w:rStyle w:val="1112"/>
      </w:rPr>
      <w:framePr w:wrap="around" w:vAnchor="text" w:hAnchor="margin" w:xAlign="center" w:y="1"/>
    </w:pPr>
    <w:r>
      <w:fldChar w:fldCharType="begin"/>
    </w:r>
    <w:r>
      <w:rPr>
        <w:rStyle w:val="1112"/>
      </w:rPr>
      <w:instrText xml:space="preserve">PAGE  </w:instrText>
    </w:r>
    <w:r>
      <w:fldChar w:fldCharType="end"/>
    </w:r>
    <w:r/>
  </w:p>
  <w:p>
    <w:pPr>
      <w:pStyle w:val="11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89"/>
      <w:isLgl w:val="false"/>
      <w:suff w:val="tab"/>
      <w:lvlText w:val="%1."/>
      <w:lvlJc w:val="left"/>
      <w:pPr>
        <w:ind w:left="425" w:hanging="425"/>
      </w:pPr>
    </w:lvl>
    <w:lvl w:ilvl="1">
      <w:start w:val="1"/>
      <w:numFmt w:val="decimal"/>
      <w:pStyle w:val="1190"/>
      <w:isLgl w:val="false"/>
      <w:suff w:val="tab"/>
      <w:lvlText w:val="%1.%2."/>
      <w:lvlJc w:val="left"/>
      <w:pPr>
        <w:ind w:left="567" w:hanging="567"/>
      </w:pPr>
    </w:lvl>
    <w:lvl w:ilvl="2">
      <w:start w:val="1"/>
      <w:numFmt w:val="decimal"/>
      <w:pStyle w:val="119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888"/>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24"/>
  </w:num>
  <w:num w:numId="2">
    <w:abstractNumId w:val="16"/>
  </w:num>
  <w:num w:numId="3">
    <w:abstractNumId w:val="47"/>
  </w:num>
  <w:num w:numId="4">
    <w:abstractNumId w:val="15"/>
  </w:num>
  <w:num w:numId="5">
    <w:abstractNumId w:val="33"/>
  </w:num>
  <w:num w:numId="6">
    <w:abstractNumId w:val="57"/>
  </w:num>
  <w:num w:numId="7">
    <w:abstractNumId w:val="25"/>
  </w:num>
  <w:num w:numId="8">
    <w:abstractNumId w:val="6"/>
  </w:num>
  <w:num w:numId="9">
    <w:abstractNumId w:val="36"/>
  </w:num>
  <w:num w:numId="10">
    <w:abstractNumId w:val="48"/>
  </w:num>
  <w:num w:numId="11">
    <w:abstractNumId w:val="32"/>
  </w:num>
  <w:num w:numId="12">
    <w:abstractNumId w:val="38"/>
  </w:num>
  <w:num w:numId="13">
    <w:abstractNumId w:val="29"/>
  </w:num>
  <w:num w:numId="14">
    <w:abstractNumId w:val="51"/>
  </w:num>
  <w:num w:numId="15">
    <w:abstractNumId w:val="14"/>
  </w:num>
  <w:num w:numId="16">
    <w:abstractNumId w:val="35"/>
  </w:num>
  <w:num w:numId="17">
    <w:abstractNumId w:val="41"/>
  </w:num>
  <w:num w:numId="18">
    <w:abstractNumId w:val="56"/>
  </w:num>
  <w:num w:numId="19">
    <w:abstractNumId w:val="23"/>
  </w:num>
  <w:num w:numId="20">
    <w:abstractNumId w:val="40"/>
  </w:num>
  <w:num w:numId="21">
    <w:abstractNumId w:val="9"/>
  </w:num>
  <w:num w:numId="22">
    <w:abstractNumId w:val="42"/>
  </w:num>
  <w:num w:numId="23">
    <w:abstractNumId w:val="19"/>
  </w:num>
  <w:num w:numId="24">
    <w:abstractNumId w:val="28"/>
  </w:num>
  <w:num w:numId="25">
    <w:abstractNumId w:val="3"/>
  </w:num>
  <w:num w:numId="26">
    <w:abstractNumId w:val="2"/>
  </w:num>
  <w:num w:numId="27">
    <w:abstractNumId w:val="18"/>
  </w:num>
  <w:num w:numId="28">
    <w:abstractNumId w:val="39"/>
  </w:num>
  <w:num w:numId="29">
    <w:abstractNumId w:val="50"/>
  </w:num>
  <w:num w:numId="30">
    <w:abstractNumId w:val="20"/>
  </w:num>
  <w:num w:numId="31">
    <w:abstractNumId w:val="5"/>
  </w:num>
  <w:num w:numId="32">
    <w:abstractNumId w:val="37"/>
  </w:num>
  <w:num w:numId="33">
    <w:abstractNumId w:val="44"/>
  </w:num>
  <w:num w:numId="34">
    <w:abstractNumId w:val="34"/>
  </w:num>
  <w:num w:numId="35">
    <w:abstractNumId w:val="30"/>
  </w:num>
  <w:num w:numId="36">
    <w:abstractNumId w:val="55"/>
  </w:num>
  <w:num w:numId="37">
    <w:abstractNumId w:val="12"/>
  </w:num>
  <w:num w:numId="38">
    <w:abstractNumId w:val="11"/>
  </w:num>
  <w:num w:numId="39">
    <w:abstractNumId w:val="8"/>
  </w:num>
  <w:num w:numId="40">
    <w:abstractNumId w:val="46"/>
  </w:num>
  <w:num w:numId="41">
    <w:abstractNumId w:val="43"/>
  </w:num>
  <w:num w:numId="42">
    <w:abstractNumId w:val="7"/>
  </w:num>
  <w:num w:numId="43">
    <w:abstractNumId w:val="21"/>
  </w:num>
  <w:num w:numId="44">
    <w:abstractNumId w:val="10"/>
  </w:num>
  <w:num w:numId="45">
    <w:abstractNumId w:val="22"/>
  </w:num>
  <w:num w:numId="46">
    <w:abstractNumId w:val="1"/>
  </w:num>
  <w:num w:numId="47">
    <w:abstractNumId w:val="54"/>
  </w:num>
  <w:num w:numId="48">
    <w:abstractNumId w:val="53"/>
  </w:num>
  <w:num w:numId="49">
    <w:abstractNumId w:val="45"/>
  </w:num>
  <w:num w:numId="50">
    <w:abstractNumId w:val="27"/>
  </w:num>
  <w:num w:numId="51">
    <w:abstractNumId w:val="4"/>
  </w:num>
  <w:num w:numId="52">
    <w:abstractNumId w:val="52"/>
  </w:num>
  <w:num w:numId="53">
    <w:abstractNumId w:val="31"/>
  </w:num>
  <w:num w:numId="54">
    <w:abstractNumId w:val="26"/>
  </w:num>
  <w:num w:numId="55">
    <w:abstractNumId w:val="0"/>
  </w:num>
  <w:num w:numId="56">
    <w:abstractNumId w:val="49"/>
  </w:num>
  <w:num w:numId="57">
    <w:abstractNumId w:val="17"/>
  </w:num>
  <w:num w:numId="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link w:val="1194"/>
    <w:uiPriority w:val="0"/>
    <w:qFormat/>
    <w:rPr>
      <w:rFonts w:hint="default" w:ascii="Times New Roman" w:hAnsi="Times New Roman" w:eastAsia="宋体" w:cs="Times New Roman"/>
      <w:lang w:val="en-US" w:eastAsia="zh-CN" w:bidi="ar-SA"/>
    </w:rPr>
  </w:style>
  <w:style w:type="paragraph" w:styleId="812">
    <w:name w:val="Heading 1"/>
    <w:basedOn w:val="811"/>
    <w:next w:val="811"/>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11"/>
    <w:next w:val="811"/>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right="0" w:firstLine="0"/>
      <w:spacing w:after="57"/>
    </w:pPr>
  </w:style>
  <w:style w:type="paragraph" w:styleId="824">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index 5"/>
    <w:basedOn w:val="811"/>
    <w:next w:val="811"/>
    <w:uiPriority w:val="0"/>
    <w:qFormat/>
    <w:pPr>
      <w:ind w:left="798"/>
      <w:jc w:val="left"/>
    </w:pPr>
    <w:rPr>
      <w:rFonts w:ascii="Calibri" w:hAnsi="Calibri"/>
    </w:rPr>
  </w:style>
  <w:style w:type="paragraph" w:styleId="826">
    <w:name w:val="annotation text"/>
    <w:basedOn w:val="811"/>
    <w:uiPriority w:val="99"/>
    <w:semiHidden/>
    <w:unhideWhenUsed/>
    <w:qFormat/>
    <w:pPr>
      <w:jc w:val="left"/>
    </w:pPr>
  </w:style>
  <w:style w:type="paragraph" w:styleId="827">
    <w:name w:val="Body Text"/>
    <w:basedOn w:val="811"/>
    <w:next w:val="811"/>
    <w:uiPriority w:val="99"/>
    <w:semiHidden/>
    <w:qFormat/>
    <w:pPr>
      <w:spacing w:after="120"/>
    </w:pPr>
    <w:rPr>
      <w:sz w:val="24"/>
      <w:szCs w:val="24"/>
    </w:rPr>
  </w:style>
  <w:style w:type="paragraph" w:styleId="828">
    <w:name w:val="Body Text Indent"/>
    <w:basedOn w:val="811"/>
    <w:uiPriority w:val="99"/>
    <w:qFormat/>
    <w:pPr>
      <w:ind w:left="420"/>
      <w:spacing w:after="120"/>
    </w:pPr>
  </w:style>
  <w:style w:type="paragraph" w:styleId="829">
    <w:name w:val="Block Text"/>
    <w:basedOn w:val="811"/>
    <w:uiPriority w:val="99"/>
    <w:unhideWhenUsed/>
    <w:qFormat/>
    <w:pPr>
      <w:ind w:left="-359" w:right="-512" w:firstLine="501"/>
    </w:pPr>
    <w:rPr>
      <w:rFonts w:ascii="仿宋_GB2312" w:eastAsia="仿宋_GB2312"/>
      <w:sz w:val="30"/>
    </w:rPr>
  </w:style>
  <w:style w:type="paragraph" w:styleId="830">
    <w:name w:val="toc 5"/>
    <w:basedOn w:val="811"/>
    <w:next w:val="811"/>
    <w:uiPriority w:val="39"/>
    <w:unhideWhenUsed/>
    <w:qFormat/>
    <w:pPr>
      <w:ind w:left="1134" w:right="0" w:firstLine="0"/>
      <w:spacing w:after="57"/>
    </w:pPr>
  </w:style>
  <w:style w:type="paragraph" w:styleId="831">
    <w:name w:val="toc 3"/>
    <w:basedOn w:val="811"/>
    <w:next w:val="811"/>
    <w:uiPriority w:val="39"/>
    <w:unhideWhenUsed/>
    <w:qFormat/>
    <w:pPr>
      <w:ind w:left="567" w:right="0" w:firstLine="0"/>
      <w:spacing w:after="57"/>
    </w:pPr>
  </w:style>
  <w:style w:type="paragraph" w:styleId="832">
    <w:name w:val="Plain Text"/>
    <w:basedOn w:val="811"/>
    <w:uiPriority w:val="0"/>
    <w:qFormat/>
    <w:rPr>
      <w:rFonts w:ascii="宋体" w:hAnsi="Courier New"/>
      <w:szCs w:val="20"/>
    </w:rPr>
  </w:style>
  <w:style w:type="paragraph" w:styleId="833">
    <w:name w:val="toc 8"/>
    <w:basedOn w:val="811"/>
    <w:next w:val="811"/>
    <w:uiPriority w:val="39"/>
    <w:unhideWhenUsed/>
    <w:qFormat/>
    <w:pPr>
      <w:ind w:left="1984" w:right="0" w:firstLine="0"/>
      <w:spacing w:after="57"/>
    </w:pPr>
  </w:style>
  <w:style w:type="paragraph" w:styleId="834">
    <w:name w:val="endnote text"/>
    <w:basedOn w:val="811"/>
    <w:uiPriority w:val="99"/>
    <w:semiHidden/>
    <w:unhideWhenUsed/>
    <w:qFormat/>
    <w:pPr>
      <w:spacing w:after="0" w:line="240" w:lineRule="auto"/>
    </w:pPr>
    <w:rPr>
      <w:sz w:val="20"/>
    </w:rPr>
  </w:style>
  <w:style w:type="paragraph" w:styleId="835">
    <w:name w:val="Footer"/>
    <w:basedOn w:val="811"/>
    <w:uiPriority w:val="99"/>
    <w:unhideWhenUsed/>
    <w:qFormat/>
    <w:pPr>
      <w:spacing w:after="0" w:line="240" w:lineRule="auto"/>
      <w:tabs>
        <w:tab w:val="center" w:pos="7143" w:leader="none"/>
        <w:tab w:val="right" w:pos="14287" w:leader="none"/>
      </w:tabs>
    </w:pPr>
  </w:style>
  <w:style w:type="paragraph" w:styleId="836">
    <w:name w:val="Header"/>
    <w:basedOn w:val="811"/>
    <w:uiPriority w:val="99"/>
    <w:unhideWhenUsed/>
    <w:qFormat/>
    <w:pPr>
      <w:spacing w:after="0" w:line="240" w:lineRule="auto"/>
      <w:tabs>
        <w:tab w:val="center" w:pos="7143" w:leader="none"/>
        <w:tab w:val="right" w:pos="14287" w:leader="none"/>
      </w:tabs>
    </w:pPr>
  </w:style>
  <w:style w:type="paragraph" w:styleId="837">
    <w:name w:val="toc 1"/>
    <w:basedOn w:val="811"/>
    <w:next w:val="811"/>
    <w:uiPriority w:val="39"/>
    <w:unhideWhenUsed/>
    <w:qFormat/>
    <w:pPr>
      <w:ind w:left="0" w:right="0" w:firstLine="0"/>
      <w:spacing w:after="57"/>
    </w:pPr>
  </w:style>
  <w:style w:type="paragraph" w:styleId="838">
    <w:name w:val="toc 4"/>
    <w:basedOn w:val="811"/>
    <w:next w:val="811"/>
    <w:uiPriority w:val="39"/>
    <w:unhideWhenUsed/>
    <w:qFormat/>
    <w:pPr>
      <w:ind w:left="850" w:right="0" w:firstLine="0"/>
      <w:spacing w:after="57"/>
    </w:pPr>
  </w:style>
  <w:style w:type="paragraph" w:styleId="839">
    <w:name w:val="Subtitle"/>
    <w:basedOn w:val="811"/>
    <w:next w:val="811"/>
    <w:uiPriority w:val="11"/>
    <w:qFormat/>
    <w:pPr>
      <w:spacing w:before="200" w:after="200"/>
    </w:pPr>
    <w:rPr>
      <w:sz w:val="24"/>
      <w:szCs w:val="24"/>
    </w:rPr>
  </w:style>
  <w:style w:type="paragraph" w:styleId="840">
    <w:name w:val="footnote text"/>
    <w:basedOn w:val="811"/>
    <w:uiPriority w:val="99"/>
    <w:semiHidden/>
    <w:unhideWhenUsed/>
    <w:qFormat/>
    <w:pPr>
      <w:spacing w:after="40" w:line="240" w:lineRule="auto"/>
    </w:pPr>
    <w:rPr>
      <w:sz w:val="18"/>
    </w:rPr>
  </w:style>
  <w:style w:type="paragraph" w:styleId="841">
    <w:name w:val="toc 6"/>
    <w:basedOn w:val="811"/>
    <w:next w:val="811"/>
    <w:uiPriority w:val="39"/>
    <w:unhideWhenUsed/>
    <w:qFormat/>
    <w:pPr>
      <w:ind w:left="1417" w:right="0" w:firstLine="0"/>
      <w:spacing w:after="57"/>
    </w:pPr>
  </w:style>
  <w:style w:type="paragraph" w:styleId="842">
    <w:name w:val="table of figures"/>
    <w:basedOn w:val="811"/>
    <w:next w:val="811"/>
    <w:uiPriority w:val="99"/>
    <w:unhideWhenUsed/>
    <w:qFormat/>
    <w:pPr>
      <w:spacing w:after="0" w:afterAutospacing="0"/>
    </w:pPr>
  </w:style>
  <w:style w:type="paragraph" w:styleId="843">
    <w:name w:val="toc 2"/>
    <w:basedOn w:val="811"/>
    <w:next w:val="811"/>
    <w:uiPriority w:val="39"/>
    <w:unhideWhenUsed/>
    <w:qFormat/>
    <w:pPr>
      <w:ind w:left="283" w:right="0" w:firstLine="0"/>
      <w:spacing w:after="57"/>
    </w:pPr>
  </w:style>
  <w:style w:type="paragraph" w:styleId="844">
    <w:name w:val="toc 9"/>
    <w:basedOn w:val="811"/>
    <w:next w:val="811"/>
    <w:uiPriority w:val="39"/>
    <w:unhideWhenUsed/>
    <w:qFormat/>
    <w:pPr>
      <w:ind w:left="2268" w:right="0" w:firstLine="0"/>
      <w:spacing w:after="57"/>
    </w:pPr>
  </w:style>
  <w:style w:type="paragraph" w:styleId="845">
    <w:name w:val="Body Text 2"/>
    <w:basedOn w:val="811"/>
    <w:next w:val="827"/>
    <w:uiPriority w:val="99"/>
    <w:qFormat/>
    <w:rPr>
      <w:rFonts w:eastAsia="仿宋_GB2312"/>
      <w:color w:val="000000"/>
    </w:rPr>
  </w:style>
  <w:style w:type="paragraph" w:styleId="846">
    <w:name w:val="Normal (Web)"/>
    <w:basedOn w:val="811"/>
    <w:uiPriority w:val="0"/>
    <w:qFormat/>
    <w:pPr>
      <w:jc w:val="left"/>
      <w:spacing w:before="100" w:beforeAutospacing="1" w:after="100" w:afterAutospacing="1"/>
      <w:widowControl/>
    </w:pPr>
    <w:rPr>
      <w:rFonts w:ascii="宋体" w:hAnsi="宋体" w:cs="宋体"/>
      <w:sz w:val="24"/>
    </w:rPr>
  </w:style>
  <w:style w:type="paragraph" w:styleId="847">
    <w:name w:val="Title"/>
    <w:basedOn w:val="843"/>
    <w:next w:val="811"/>
    <w:uiPriority w:val="10"/>
    <w:qFormat/>
    <w:pPr>
      <w:contextualSpacing/>
      <w:spacing w:before="300" w:after="200"/>
    </w:pPr>
    <w:rPr>
      <w:sz w:val="48"/>
      <w:szCs w:val="48"/>
    </w:rPr>
  </w:style>
  <w:style w:type="paragraph" w:styleId="848">
    <w:name w:val="Body Text First Indent"/>
    <w:basedOn w:val="827"/>
    <w:uiPriority w:val="0"/>
    <w:unhideWhenUsed/>
    <w:qFormat/>
    <w:pPr>
      <w:ind w:firstLine="498"/>
    </w:pPr>
    <w:rPr>
      <w:rFonts w:ascii="Times New Roman" w:hAnsi="Times New Roman" w:eastAsia="宋体" w:cs="Times New Roman"/>
      <w:sz w:val="24"/>
      <w:szCs w:val="20"/>
    </w:rPr>
  </w:style>
  <w:style w:type="paragraph" w:styleId="849">
    <w:name w:val="Body Text First Indent 2"/>
    <w:basedOn w:val="828"/>
    <w:next w:val="811"/>
    <w:uiPriority w:val="99"/>
    <w:qFormat/>
    <w:pPr>
      <w:ind w:left="0" w:firstLine="420"/>
      <w:spacing w:after="0" w:line="360" w:lineRule="auto"/>
    </w:pPr>
    <w:rPr>
      <w:rFonts w:ascii="宋体" w:hAnsi="宋体"/>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文本块11"/>
    <w:basedOn w:val="855"/>
    <w:uiPriority w:val="99"/>
    <w:unhideWhenUsed/>
    <w:qFormat/>
    <w:pPr>
      <w:ind w:left="-359" w:right="-512" w:firstLine="501"/>
    </w:pPr>
    <w:rPr>
      <w:rFonts w:ascii="仿宋_GB2312" w:eastAsia="仿宋_GB2312"/>
      <w:sz w:val="30"/>
    </w:rPr>
  </w:style>
  <w:style w:type="paragraph" w:styleId="855" w:customStyle="1">
    <w:name w:val="正文12"/>
    <w:next w:val="856"/>
    <w:uiPriority w:val="0"/>
    <w:qFormat/>
    <w:pPr>
      <w:jc w:val="both"/>
      <w:widowControl w:val="off"/>
    </w:pPr>
    <w:rPr>
      <w:rFonts w:hint="default" w:ascii="Calibri" w:hAnsi="Calibri" w:eastAsia="Calibri" w:cs="Times New Roman"/>
      <w:sz w:val="21"/>
      <w:szCs w:val="24"/>
      <w:lang w:val="en-US" w:eastAsia="zh-CN" w:bidi="ar-SA"/>
    </w:rPr>
  </w:style>
  <w:style w:type="paragraph" w:styleId="856" w:customStyle="1">
    <w:name w:val="脚注文本1"/>
    <w:basedOn w:val="857"/>
    <w:next w:val="860"/>
    <w:uiPriority w:val="0"/>
    <w:qFormat/>
    <w:pPr>
      <w:jc w:val="left"/>
    </w:pPr>
    <w:rPr>
      <w:rFonts w:ascii="宋体" w:eastAsia="Times New Roman"/>
      <w:sz w:val="18"/>
      <w:szCs w:val="18"/>
    </w:rPr>
  </w:style>
  <w:style w:type="paragraph" w:styleId="857" w:customStyle="1">
    <w:name w:val="正文1"/>
    <w:basedOn w:val="858"/>
    <w:next w:val="856"/>
    <w:link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目录 11"/>
    <w:basedOn w:val="855"/>
    <w:next w:val="858"/>
    <w:uiPriority w:val="0"/>
    <w:qFormat/>
  </w:style>
  <w:style w:type="paragraph" w:styleId="860" w:customStyle="1">
    <w:name w:val="索引 51"/>
    <w:basedOn w:val="861"/>
    <w:next w:val="857"/>
    <w:uiPriority w:val="0"/>
    <w:qFormat/>
    <w:pPr>
      <w:ind w:left="798"/>
      <w:jc w:val="left"/>
    </w:pPr>
    <w:rPr>
      <w:rFonts w:ascii="Calibri" w:hAnsi="Calibri"/>
    </w:rPr>
  </w:style>
  <w:style w:type="paragraph" w:styleId="861"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缩进1"/>
    <w:basedOn w:val="857"/>
    <w:next w:val="863"/>
    <w:link w:val="1133"/>
    <w:uiPriority w:val="0"/>
    <w:qFormat/>
    <w:pPr>
      <w:ind w:left="420"/>
      <w:spacing w:after="120"/>
    </w:pPr>
    <w:rPr>
      <w:rFonts w:ascii="Calibri" w:hAnsi="Calibri"/>
    </w:rPr>
  </w:style>
  <w:style w:type="paragraph" w:styleId="863" w:customStyle="1">
    <w:name w:val="寄信人地址1"/>
    <w:basedOn w:val="857"/>
    <w:uiPriority w:val="0"/>
    <w:qFormat/>
    <w:rPr>
      <w:rFonts w:ascii="Arial" w:hAnsi="Arial"/>
    </w:rPr>
  </w:style>
  <w:style w:type="paragraph" w:styleId="864" w:customStyle="1">
    <w:name w:val="脚注文本11"/>
    <w:basedOn w:val="811"/>
    <w:next w:val="865"/>
    <w:link w:val="877"/>
    <w:uiPriority w:val="99"/>
    <w:unhideWhenUsed/>
    <w:qFormat/>
    <w:pPr>
      <w:spacing w:after="40"/>
    </w:pPr>
    <w:rPr>
      <w:sz w:val="18"/>
    </w:rPr>
  </w:style>
  <w:style w:type="paragraph" w:styleId="865" w:customStyle="1">
    <w:name w:val="索引 511"/>
    <w:basedOn w:val="811"/>
    <w:next w:val="811"/>
    <w:uiPriority w:val="0"/>
    <w:qFormat/>
    <w:pPr>
      <w:ind w:left="798"/>
    </w:pPr>
    <w:rPr>
      <w:rFonts w:ascii="Calibri" w:hAnsi="Calibri"/>
    </w:rPr>
  </w:style>
  <w:style w:type="paragraph" w:styleId="866" w:customStyle="1">
    <w:name w:val="标题 111"/>
    <w:next w:val="811"/>
    <w:link w:val="87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67" w:customStyle="1">
    <w:name w:val="标题 211"/>
    <w:basedOn w:val="811"/>
    <w:next w:val="811"/>
    <w:uiPriority w:val="0"/>
    <w:qFormat/>
    <w:pPr>
      <w:keepLines/>
      <w:keepNext/>
      <w:spacing w:before="260" w:after="260" w:line="416" w:lineRule="auto"/>
      <w:outlineLvl w:val="1"/>
    </w:pPr>
    <w:rPr>
      <w:rFonts w:ascii="Calibri Light" w:hAnsi="Calibri Light"/>
      <w:b/>
      <w:bCs/>
      <w:sz w:val="24"/>
      <w:szCs w:val="32"/>
    </w:rPr>
  </w:style>
  <w:style w:type="paragraph" w:styleId="868" w:customStyle="1">
    <w:name w:val="标题 311"/>
    <w:next w:val="811"/>
    <w:link w:val="87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69" w:customStyle="1">
    <w:name w:val="标题 411"/>
    <w:next w:val="811"/>
    <w:link w:val="88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70" w:customStyle="1">
    <w:name w:val="标题 511"/>
    <w:next w:val="811"/>
    <w:link w:val="88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71" w:customStyle="1">
    <w:name w:val="标题 61"/>
    <w:next w:val="811"/>
    <w:link w:val="88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72" w:customStyle="1">
    <w:name w:val="标题 711"/>
    <w:next w:val="811"/>
    <w:link w:val="88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3" w:customStyle="1">
    <w:name w:val="标题 81"/>
    <w:next w:val="811"/>
    <w:link w:val="88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74" w:customStyle="1">
    <w:name w:val="标题 91"/>
    <w:next w:val="811"/>
    <w:link w:val="88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75" w:customStyle="1">
    <w:name w:val="默认段落字体11"/>
    <w:link w:val="811"/>
    <w:uiPriority w:val="1"/>
    <w:unhideWhenUsed/>
    <w:qFormat/>
  </w:style>
  <w:style w:type="table" w:styleId="876" w:customStyle="1">
    <w:name w:val="普通表格11"/>
    <w:uiPriority w:val="99"/>
    <w:unhideWhenUsed/>
    <w:qFormat/>
    <w:tblPr/>
  </w:style>
  <w:style w:type="character" w:styleId="877" w:customStyle="1">
    <w:name w:val="脚注文本 字符"/>
    <w:link w:val="864"/>
    <w:uiPriority w:val="99"/>
    <w:qFormat/>
    <w:rPr>
      <w:sz w:val="18"/>
    </w:rPr>
  </w:style>
  <w:style w:type="character" w:styleId="878" w:customStyle="1">
    <w:name w:val="标题 1 字符1"/>
    <w:link w:val="866"/>
    <w:uiPriority w:val="9"/>
    <w:qFormat/>
    <w:rPr>
      <w:rFonts w:ascii="Arial" w:hAnsi="Arial" w:eastAsia="Arial" w:cs="Arial"/>
      <w:sz w:val="40"/>
      <w:szCs w:val="40"/>
    </w:rPr>
  </w:style>
  <w:style w:type="character" w:styleId="879" w:customStyle="1">
    <w:name w:val="标题 3 字符1"/>
    <w:link w:val="868"/>
    <w:uiPriority w:val="9"/>
    <w:qFormat/>
    <w:rPr>
      <w:rFonts w:ascii="Arial" w:hAnsi="Arial" w:eastAsia="Arial" w:cs="Arial"/>
      <w:sz w:val="30"/>
      <w:szCs w:val="30"/>
    </w:rPr>
  </w:style>
  <w:style w:type="character" w:styleId="880" w:customStyle="1">
    <w:name w:val="标题 4 字符2"/>
    <w:link w:val="869"/>
    <w:uiPriority w:val="9"/>
    <w:qFormat/>
    <w:rPr>
      <w:rFonts w:ascii="Arial" w:hAnsi="Arial" w:eastAsia="Arial" w:cs="Arial"/>
      <w:b/>
      <w:bCs/>
      <w:sz w:val="26"/>
      <w:szCs w:val="26"/>
    </w:rPr>
  </w:style>
  <w:style w:type="character" w:styleId="881" w:customStyle="1">
    <w:name w:val="标题 5 字符1"/>
    <w:link w:val="870"/>
    <w:uiPriority w:val="9"/>
    <w:qFormat/>
    <w:rPr>
      <w:rFonts w:ascii="Arial" w:hAnsi="Arial" w:eastAsia="Arial" w:cs="Arial"/>
      <w:b/>
      <w:bCs/>
      <w:sz w:val="24"/>
      <w:szCs w:val="24"/>
    </w:rPr>
  </w:style>
  <w:style w:type="character" w:styleId="882" w:customStyle="1">
    <w:name w:val="标题 6 字符"/>
    <w:link w:val="871"/>
    <w:uiPriority w:val="9"/>
    <w:qFormat/>
    <w:rPr>
      <w:rFonts w:ascii="Arial" w:hAnsi="Arial" w:eastAsia="Arial" w:cs="Arial"/>
      <w:b/>
      <w:bCs/>
      <w:sz w:val="22"/>
      <w:szCs w:val="22"/>
    </w:rPr>
  </w:style>
  <w:style w:type="character" w:styleId="883" w:customStyle="1">
    <w:name w:val="标题 7 字符1"/>
    <w:link w:val="872"/>
    <w:uiPriority w:val="9"/>
    <w:qFormat/>
    <w:rPr>
      <w:rFonts w:ascii="Arial" w:hAnsi="Arial" w:eastAsia="Arial" w:cs="Arial"/>
      <w:b/>
      <w:bCs/>
      <w:i/>
      <w:iCs/>
      <w:sz w:val="22"/>
      <w:szCs w:val="22"/>
    </w:rPr>
  </w:style>
  <w:style w:type="character" w:styleId="884" w:customStyle="1">
    <w:name w:val="标题 8 字符"/>
    <w:link w:val="873"/>
    <w:uiPriority w:val="9"/>
    <w:qFormat/>
    <w:rPr>
      <w:rFonts w:ascii="Arial" w:hAnsi="Arial" w:eastAsia="Arial" w:cs="Arial"/>
      <w:i/>
      <w:iCs/>
      <w:sz w:val="22"/>
      <w:szCs w:val="22"/>
    </w:rPr>
  </w:style>
  <w:style w:type="character" w:styleId="885" w:customStyle="1">
    <w:name w:val="标题 9 字符"/>
    <w:link w:val="874"/>
    <w:uiPriority w:val="9"/>
    <w:qFormat/>
    <w:rPr>
      <w:rFonts w:ascii="Arial" w:hAnsi="Arial" w:eastAsia="Arial" w:cs="Arial"/>
      <w:i/>
      <w:iCs/>
      <w:sz w:val="21"/>
      <w:szCs w:val="21"/>
    </w:rPr>
  </w:style>
  <w:style w:type="paragraph" w:styleId="886" w:customStyle="1">
    <w:name w:val="目录 71"/>
    <w:next w:val="811"/>
    <w:uiPriority w:val="39"/>
    <w:unhideWhenUsed/>
    <w:qFormat/>
    <w:pPr>
      <w:ind w:left="1701"/>
      <w:spacing w:after="57"/>
    </w:pPr>
    <w:rPr>
      <w:rFonts w:hint="default" w:ascii="Times New Roman" w:hAnsi="Times New Roman" w:eastAsia="宋体" w:cs="Times New Roman"/>
      <w:lang w:val="en-US" w:eastAsia="zh-CN" w:bidi="ar-SA"/>
    </w:rPr>
  </w:style>
  <w:style w:type="paragraph" w:styleId="887" w:customStyle="1">
    <w:name w:val="题注1"/>
    <w:next w:val="811"/>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88" w:customStyle="1">
    <w:name w:val="列表项目符号1"/>
    <w:basedOn w:val="811"/>
    <w:uiPriority w:val="99"/>
    <w:unhideWhenUsed/>
    <w:qFormat/>
    <w:pPr>
      <w:numPr>
        <w:ilvl w:val="0"/>
        <w:numId w:val="1"/>
      </w:numPr>
    </w:pPr>
  </w:style>
  <w:style w:type="paragraph" w:styleId="889" w:customStyle="1">
    <w:name w:val="批注文字11"/>
    <w:basedOn w:val="811"/>
    <w:uiPriority w:val="0"/>
    <w:unhideWhenUsed/>
    <w:qFormat/>
  </w:style>
  <w:style w:type="paragraph" w:styleId="890" w:customStyle="1">
    <w:name w:val="正文文本11"/>
    <w:basedOn w:val="811"/>
    <w:next w:val="811"/>
    <w:uiPriority w:val="99"/>
    <w:unhideWhenUsed/>
    <w:qFormat/>
    <w:pPr>
      <w:spacing w:after="120"/>
    </w:pPr>
    <w:rPr>
      <w:szCs w:val="24"/>
    </w:rPr>
  </w:style>
  <w:style w:type="paragraph" w:styleId="891" w:customStyle="1">
    <w:name w:val="目录 51"/>
    <w:next w:val="811"/>
    <w:uiPriority w:val="39"/>
    <w:unhideWhenUsed/>
    <w:qFormat/>
    <w:pPr>
      <w:ind w:left="1134"/>
      <w:spacing w:after="57"/>
    </w:pPr>
    <w:rPr>
      <w:rFonts w:hint="default" w:ascii="Times New Roman" w:hAnsi="Times New Roman" w:eastAsia="宋体" w:cs="Times New Roman"/>
      <w:lang w:val="en-US" w:eastAsia="zh-CN" w:bidi="ar-SA"/>
    </w:rPr>
  </w:style>
  <w:style w:type="paragraph" w:styleId="892" w:customStyle="1">
    <w:name w:val="目录 31"/>
    <w:next w:val="811"/>
    <w:uiPriority w:val="39"/>
    <w:unhideWhenUsed/>
    <w:qFormat/>
    <w:pPr>
      <w:ind w:left="567"/>
      <w:spacing w:after="57"/>
    </w:pPr>
    <w:rPr>
      <w:rFonts w:hint="default" w:ascii="Times New Roman" w:hAnsi="Times New Roman" w:eastAsia="宋体" w:cs="Times New Roman"/>
      <w:lang w:val="en-US" w:eastAsia="zh-CN" w:bidi="ar-SA"/>
    </w:rPr>
  </w:style>
  <w:style w:type="paragraph" w:styleId="893" w:customStyle="1">
    <w:name w:val="纯文本11"/>
    <w:basedOn w:val="811"/>
    <w:uiPriority w:val="0"/>
    <w:qFormat/>
    <w:rPr>
      <w:rFonts w:ascii="宋体" w:hAnsi="Courier New"/>
    </w:rPr>
  </w:style>
  <w:style w:type="paragraph" w:styleId="894" w:customStyle="1">
    <w:name w:val="目录 81"/>
    <w:next w:val="811"/>
    <w:uiPriority w:val="39"/>
    <w:unhideWhenUsed/>
    <w:qFormat/>
    <w:pPr>
      <w:ind w:left="1984"/>
      <w:spacing w:after="57"/>
    </w:pPr>
    <w:rPr>
      <w:rFonts w:hint="default" w:ascii="Times New Roman" w:hAnsi="Times New Roman" w:eastAsia="宋体" w:cs="Times New Roman"/>
      <w:lang w:val="en-US" w:eastAsia="zh-CN" w:bidi="ar-SA"/>
    </w:rPr>
  </w:style>
  <w:style w:type="paragraph" w:styleId="895" w:customStyle="1">
    <w:name w:val="尾注文本1"/>
    <w:link w:val="896"/>
    <w:uiPriority w:val="99"/>
    <w:unhideWhenUsed/>
    <w:qFormat/>
    <w:rPr>
      <w:rFonts w:hint="default" w:ascii="Times New Roman" w:hAnsi="Times New Roman" w:eastAsia="宋体" w:cs="Times New Roman"/>
      <w:lang w:val="en-US" w:eastAsia="zh-CN" w:bidi="ar-SA"/>
    </w:rPr>
  </w:style>
  <w:style w:type="character" w:styleId="896" w:customStyle="1">
    <w:name w:val="尾注文本 字符"/>
    <w:link w:val="895"/>
    <w:uiPriority w:val="99"/>
    <w:qFormat/>
    <w:rPr>
      <w:sz w:val="20"/>
    </w:rPr>
  </w:style>
  <w:style w:type="paragraph" w:styleId="897" w:customStyle="1">
    <w:name w:val="批注框文本11"/>
    <w:basedOn w:val="811"/>
    <w:link w:val="898"/>
    <w:uiPriority w:val="99"/>
    <w:unhideWhenUsed/>
    <w:qFormat/>
    <w:rPr>
      <w:sz w:val="18"/>
      <w:szCs w:val="18"/>
    </w:rPr>
  </w:style>
  <w:style w:type="character" w:styleId="898" w:customStyle="1">
    <w:name w:val="批注框文本 字符1"/>
    <w:link w:val="897"/>
    <w:uiPriority w:val="99"/>
    <w:semiHidden/>
    <w:qFormat/>
    <w:rPr>
      <w:sz w:val="18"/>
      <w:szCs w:val="18"/>
    </w:rPr>
  </w:style>
  <w:style w:type="paragraph" w:styleId="899" w:customStyle="1">
    <w:name w:val="页脚11"/>
    <w:basedOn w:val="811"/>
    <w:link w:val="900"/>
    <w:uiPriority w:val="99"/>
    <w:unhideWhenUsed/>
    <w:qFormat/>
    <w:pPr>
      <w:tabs>
        <w:tab w:val="center" w:pos="7143" w:leader="none"/>
        <w:tab w:val="right" w:pos="14287" w:leader="none"/>
      </w:tabs>
    </w:pPr>
  </w:style>
  <w:style w:type="character" w:styleId="900" w:customStyle="1">
    <w:name w:val="页脚 字符1"/>
    <w:link w:val="899"/>
    <w:uiPriority w:val="99"/>
    <w:qFormat/>
  </w:style>
  <w:style w:type="paragraph" w:styleId="901" w:customStyle="1">
    <w:name w:val="页眉11"/>
    <w:link w:val="90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02" w:customStyle="1">
    <w:name w:val="页眉 字符1"/>
    <w:link w:val="901"/>
    <w:uiPriority w:val="99"/>
    <w:qFormat/>
  </w:style>
  <w:style w:type="paragraph" w:styleId="903" w:customStyle="1">
    <w:name w:val="目录 1111"/>
    <w:next w:val="811"/>
    <w:uiPriority w:val="39"/>
    <w:unhideWhenUsed/>
    <w:qFormat/>
    <w:pPr>
      <w:spacing w:after="57"/>
    </w:pPr>
    <w:rPr>
      <w:rFonts w:hint="default" w:ascii="Times New Roman" w:hAnsi="Times New Roman" w:eastAsia="宋体" w:cs="Times New Roman"/>
      <w:lang w:val="en-US" w:eastAsia="zh-CN" w:bidi="ar-SA"/>
    </w:rPr>
  </w:style>
  <w:style w:type="paragraph" w:styleId="904" w:customStyle="1">
    <w:name w:val="目录 41"/>
    <w:next w:val="811"/>
    <w:uiPriority w:val="39"/>
    <w:unhideWhenUsed/>
    <w:qFormat/>
    <w:pPr>
      <w:ind w:left="850"/>
      <w:spacing w:after="57"/>
    </w:pPr>
    <w:rPr>
      <w:rFonts w:hint="default" w:ascii="Times New Roman" w:hAnsi="Times New Roman" w:eastAsia="宋体" w:cs="Times New Roman"/>
      <w:lang w:val="en-US" w:eastAsia="zh-CN" w:bidi="ar-SA"/>
    </w:rPr>
  </w:style>
  <w:style w:type="paragraph" w:styleId="905" w:customStyle="1">
    <w:name w:val="副标题1"/>
    <w:link w:val="90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906" w:customStyle="1">
    <w:name w:val="副标题 字符"/>
    <w:link w:val="905"/>
    <w:uiPriority w:val="11"/>
    <w:qFormat/>
    <w:rPr>
      <w:sz w:val="24"/>
      <w:szCs w:val="24"/>
    </w:rPr>
  </w:style>
  <w:style w:type="paragraph" w:styleId="907" w:customStyle="1">
    <w:name w:val="目录 61"/>
    <w:next w:val="811"/>
    <w:uiPriority w:val="39"/>
    <w:unhideWhenUsed/>
    <w:qFormat/>
    <w:pPr>
      <w:ind w:left="1417"/>
      <w:spacing w:after="57"/>
    </w:pPr>
    <w:rPr>
      <w:rFonts w:hint="default" w:ascii="Times New Roman" w:hAnsi="Times New Roman" w:eastAsia="宋体" w:cs="Times New Roman"/>
      <w:lang w:val="en-US" w:eastAsia="zh-CN" w:bidi="ar-SA"/>
    </w:rPr>
  </w:style>
  <w:style w:type="paragraph" w:styleId="908" w:customStyle="1">
    <w:name w:val="图表目录1"/>
    <w:next w:val="811"/>
    <w:uiPriority w:val="99"/>
    <w:unhideWhenUsed/>
    <w:qFormat/>
    <w:rPr>
      <w:rFonts w:hint="default" w:ascii="Times New Roman" w:hAnsi="Times New Roman" w:eastAsia="宋体" w:cs="Times New Roman"/>
      <w:lang w:val="en-US" w:eastAsia="zh-CN" w:bidi="ar-SA"/>
    </w:rPr>
  </w:style>
  <w:style w:type="paragraph" w:styleId="909" w:customStyle="1">
    <w:name w:val="目录 21"/>
    <w:next w:val="811"/>
    <w:uiPriority w:val="39"/>
    <w:unhideWhenUsed/>
    <w:qFormat/>
    <w:pPr>
      <w:ind w:left="283"/>
      <w:spacing w:after="57"/>
    </w:pPr>
    <w:rPr>
      <w:rFonts w:hint="default" w:ascii="Times New Roman" w:hAnsi="Times New Roman" w:eastAsia="宋体" w:cs="Times New Roman"/>
      <w:lang w:val="en-US" w:eastAsia="zh-CN" w:bidi="ar-SA"/>
    </w:rPr>
  </w:style>
  <w:style w:type="paragraph" w:styleId="910" w:customStyle="1">
    <w:name w:val="目录 91"/>
    <w:next w:val="811"/>
    <w:uiPriority w:val="39"/>
    <w:unhideWhenUsed/>
    <w:qFormat/>
    <w:pPr>
      <w:ind w:left="2268"/>
      <w:spacing w:after="57"/>
    </w:pPr>
    <w:rPr>
      <w:rFonts w:hint="default" w:ascii="Times New Roman" w:hAnsi="Times New Roman" w:eastAsia="宋体" w:cs="Times New Roman"/>
      <w:lang w:val="en-US" w:eastAsia="zh-CN" w:bidi="ar-SA"/>
    </w:rPr>
  </w:style>
  <w:style w:type="paragraph" w:styleId="911" w:customStyle="1">
    <w:name w:val="普通(网站)11"/>
    <w:basedOn w:val="811"/>
    <w:uiPriority w:val="99"/>
    <w:qFormat/>
    <w:pPr>
      <w:spacing w:before="100" w:beforeAutospacing="1" w:after="100" w:afterAutospacing="1"/>
    </w:pPr>
    <w:rPr>
      <w:rFonts w:ascii="宋体" w:hAnsi="宋体" w:cs="宋体"/>
      <w:sz w:val="24"/>
      <w:szCs w:val="24"/>
    </w:rPr>
  </w:style>
  <w:style w:type="paragraph" w:styleId="912" w:customStyle="1">
    <w:name w:val="标题1"/>
    <w:next w:val="811"/>
    <w:link w:val="91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913" w:customStyle="1">
    <w:name w:val="标题 字符"/>
    <w:link w:val="912"/>
    <w:uiPriority w:val="10"/>
    <w:qFormat/>
    <w:rPr>
      <w:sz w:val="48"/>
      <w:szCs w:val="48"/>
    </w:rPr>
  </w:style>
  <w:style w:type="paragraph" w:styleId="914" w:customStyle="1">
    <w:name w:val="正文首行缩进11"/>
    <w:basedOn w:val="890"/>
    <w:uiPriority w:val="99"/>
    <w:unhideWhenUsed/>
    <w:qFormat/>
    <w:pPr>
      <w:ind w:firstLine="420"/>
    </w:pPr>
    <w:rPr>
      <w:szCs w:val="22"/>
    </w:rPr>
  </w:style>
  <w:style w:type="table" w:styleId="915" w:customStyle="1">
    <w:name w:val="网格型12"/>
    <w:uiPriority w:val="59"/>
    <w:qFormat/>
    <w:tblPr/>
  </w:style>
  <w:style w:type="character" w:styleId="916" w:customStyle="1">
    <w:name w:val="尾注引用1"/>
    <w:link w:val="811"/>
    <w:uiPriority w:val="99"/>
    <w:unhideWhenUsed/>
    <w:qFormat/>
    <w:rPr>
      <w:vertAlign w:val="superscript"/>
    </w:rPr>
  </w:style>
  <w:style w:type="character" w:styleId="917" w:customStyle="1">
    <w:name w:val="超链接11"/>
    <w:link w:val="811"/>
    <w:uiPriority w:val="99"/>
    <w:unhideWhenUsed/>
    <w:qFormat/>
    <w:rPr>
      <w:color w:val="0000ff"/>
      <w:u w:val="single"/>
    </w:rPr>
  </w:style>
  <w:style w:type="character" w:styleId="918" w:customStyle="1">
    <w:name w:val="脚注引用1"/>
    <w:link w:val="811"/>
    <w:uiPriority w:val="99"/>
    <w:unhideWhenUsed/>
    <w:qFormat/>
    <w:rPr>
      <w:vertAlign w:val="superscript"/>
    </w:rPr>
  </w:style>
  <w:style w:type="table" w:styleId="919" w:customStyle="1">
    <w:name w:val="Plain Table 1"/>
    <w:basedOn w:val="876"/>
    <w:uiPriority w:val="59"/>
    <w:qFormat/>
    <w:pPr>
      <w:spacing w:after="0" w:line="240" w:lineRule="auto"/>
    </w:pPr>
    <w:tblPr/>
  </w:style>
  <w:style w:type="table" w:styleId="920" w:customStyle="1">
    <w:name w:val="Plain Table 2"/>
    <w:basedOn w:val="876"/>
    <w:uiPriority w:val="59"/>
    <w:qFormat/>
    <w:pPr>
      <w:spacing w:after="0" w:line="240" w:lineRule="auto"/>
    </w:pPr>
    <w:tblPr/>
  </w:style>
  <w:style w:type="table" w:styleId="921" w:customStyle="1">
    <w:name w:val="Plain Table 3"/>
    <w:basedOn w:val="876"/>
    <w:uiPriority w:val="99"/>
    <w:qFormat/>
    <w:pPr>
      <w:spacing w:after="0" w:line="240" w:lineRule="auto"/>
    </w:pPr>
    <w:tblPr/>
  </w:style>
  <w:style w:type="table" w:styleId="922" w:customStyle="1">
    <w:name w:val="Plain Table 4"/>
    <w:basedOn w:val="876"/>
    <w:uiPriority w:val="99"/>
    <w:qFormat/>
    <w:pPr>
      <w:spacing w:after="0" w:line="240" w:lineRule="auto"/>
    </w:pPr>
    <w:tblPr/>
  </w:style>
  <w:style w:type="table" w:styleId="923" w:customStyle="1">
    <w:name w:val="Plain Table 5"/>
    <w:basedOn w:val="876"/>
    <w:uiPriority w:val="99"/>
    <w:qFormat/>
    <w:pPr>
      <w:spacing w:after="0" w:line="240" w:lineRule="auto"/>
    </w:pPr>
    <w:tblPr/>
  </w:style>
  <w:style w:type="table" w:styleId="924" w:customStyle="1">
    <w:name w:val="Grid Table 1 Light"/>
    <w:basedOn w:val="876"/>
    <w:uiPriority w:val="99"/>
    <w:qFormat/>
    <w:pPr>
      <w:spacing w:after="0" w:line="240" w:lineRule="auto"/>
    </w:pPr>
    <w:tblPr/>
  </w:style>
  <w:style w:type="table" w:styleId="925" w:customStyle="1">
    <w:name w:val="Grid Table 2"/>
    <w:basedOn w:val="876"/>
    <w:uiPriority w:val="99"/>
    <w:qFormat/>
    <w:pPr>
      <w:spacing w:after="0" w:line="240" w:lineRule="auto"/>
    </w:pPr>
    <w:tblPr/>
  </w:style>
  <w:style w:type="table" w:styleId="926" w:customStyle="1">
    <w:name w:val="Grid Table 3"/>
    <w:basedOn w:val="876"/>
    <w:uiPriority w:val="99"/>
    <w:qFormat/>
    <w:pPr>
      <w:spacing w:after="0" w:line="240" w:lineRule="auto"/>
    </w:pPr>
    <w:tblPr/>
  </w:style>
  <w:style w:type="table" w:styleId="927" w:customStyle="1">
    <w:name w:val="Grid Table 4"/>
    <w:basedOn w:val="876"/>
    <w:uiPriority w:val="59"/>
    <w:qFormat/>
    <w:pPr>
      <w:spacing w:after="0" w:line="240" w:lineRule="auto"/>
    </w:pPr>
    <w:tblPr/>
  </w:style>
  <w:style w:type="table" w:styleId="928" w:customStyle="1">
    <w:name w:val="Grid Table 5 Dark"/>
    <w:basedOn w:val="876"/>
    <w:uiPriority w:val="99"/>
    <w:qFormat/>
    <w:pPr>
      <w:spacing w:after="0" w:line="240" w:lineRule="auto"/>
    </w:pPr>
    <w:tblPr/>
  </w:style>
  <w:style w:type="table" w:styleId="929" w:customStyle="1">
    <w:name w:val="Grid Table 6 Colorful"/>
    <w:basedOn w:val="876"/>
    <w:uiPriority w:val="99"/>
    <w:qFormat/>
    <w:pPr>
      <w:spacing w:after="0" w:line="240" w:lineRule="auto"/>
    </w:pPr>
    <w:tblPr/>
  </w:style>
  <w:style w:type="table" w:styleId="930" w:customStyle="1">
    <w:name w:val="Grid Table 7 Colorful"/>
    <w:basedOn w:val="876"/>
    <w:uiPriority w:val="99"/>
    <w:qFormat/>
    <w:pPr>
      <w:spacing w:after="0" w:line="240" w:lineRule="auto"/>
    </w:pPr>
    <w:tblPr/>
  </w:style>
  <w:style w:type="table" w:styleId="931" w:customStyle="1">
    <w:name w:val="List Table 1 Light"/>
    <w:basedOn w:val="876"/>
    <w:uiPriority w:val="99"/>
    <w:qFormat/>
    <w:pPr>
      <w:spacing w:after="0" w:line="240" w:lineRule="auto"/>
    </w:pPr>
    <w:tblPr/>
  </w:style>
  <w:style w:type="table" w:styleId="932" w:customStyle="1">
    <w:name w:val="List Table 2"/>
    <w:basedOn w:val="876"/>
    <w:uiPriority w:val="99"/>
    <w:qFormat/>
    <w:pPr>
      <w:spacing w:after="0" w:line="240" w:lineRule="auto"/>
    </w:pPr>
    <w:tblPr/>
  </w:style>
  <w:style w:type="table" w:styleId="933" w:customStyle="1">
    <w:name w:val="List Table 3"/>
    <w:basedOn w:val="876"/>
    <w:uiPriority w:val="99"/>
    <w:qFormat/>
    <w:pPr>
      <w:spacing w:after="0" w:line="240" w:lineRule="auto"/>
    </w:pPr>
    <w:tblPr/>
  </w:style>
  <w:style w:type="table" w:styleId="934" w:customStyle="1">
    <w:name w:val="List Table 4"/>
    <w:basedOn w:val="876"/>
    <w:uiPriority w:val="99"/>
    <w:qFormat/>
    <w:pPr>
      <w:spacing w:after="0" w:line="240" w:lineRule="auto"/>
    </w:pPr>
    <w:tblPr/>
  </w:style>
  <w:style w:type="table" w:styleId="935" w:customStyle="1">
    <w:name w:val="List Table 5 Dark"/>
    <w:basedOn w:val="876"/>
    <w:uiPriority w:val="99"/>
    <w:qFormat/>
    <w:pPr>
      <w:spacing w:after="0" w:line="240" w:lineRule="auto"/>
    </w:pPr>
    <w:tblPr/>
  </w:style>
  <w:style w:type="table" w:styleId="936" w:customStyle="1">
    <w:name w:val="List Table 6 Colorful"/>
    <w:basedOn w:val="876"/>
    <w:uiPriority w:val="99"/>
    <w:qFormat/>
    <w:pPr>
      <w:spacing w:after="0" w:line="240" w:lineRule="auto"/>
    </w:pPr>
    <w:tblPr/>
  </w:style>
  <w:style w:type="table" w:styleId="937" w:customStyle="1">
    <w:name w:val="List Table 7 Colorful"/>
    <w:basedOn w:val="876"/>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21"/>
    <w:basedOn w:val="857"/>
    <w:next w:val="858"/>
    <w:link w:val="1097"/>
    <w:uiPriority w:val="0"/>
    <w:qFormat/>
    <w:pPr>
      <w:keepLines/>
      <w:keepNext/>
      <w:spacing w:before="260" w:after="260" w:line="416" w:lineRule="auto"/>
      <w:outlineLvl w:val="1"/>
    </w:pPr>
    <w:rPr>
      <w:rFonts w:ascii="Cambria" w:hAnsi="Cambria"/>
      <w:b/>
      <w:bCs/>
      <w:sz w:val="32"/>
      <w:szCs w:val="32"/>
    </w:rPr>
  </w:style>
  <w:style w:type="paragraph" w:styleId="940" w:customStyle="1">
    <w:name w:val="目录 111"/>
    <w:basedOn w:val="811"/>
    <w:next w:val="861"/>
    <w:uiPriority w:val="39"/>
    <w:unhideWhenUsed/>
    <w:qFormat/>
    <w:pPr>
      <w:spacing w:after="100" w:line="259" w:lineRule="auto"/>
    </w:pPr>
    <w:rPr>
      <w:rFonts w:ascii="Calibri" w:hAnsi="Calibri"/>
      <w:sz w:val="22"/>
      <w:szCs w:val="22"/>
    </w:rPr>
  </w:style>
  <w:style w:type="character" w:styleId="941" w:customStyle="1">
    <w:name w:val="页眉 Char"/>
    <w:link w:val="857"/>
    <w:uiPriority w:val="0"/>
    <w:qFormat/>
    <w:rPr>
      <w:sz w:val="18"/>
      <w:szCs w:val="18"/>
    </w:rPr>
  </w:style>
  <w:style w:type="paragraph" w:styleId="942" w:customStyle="1">
    <w:name w:val="正文文本1"/>
    <w:basedOn w:val="857"/>
    <w:next w:val="861"/>
    <w:link w:val="943"/>
    <w:uiPriority w:val="0"/>
    <w:qFormat/>
    <w:pPr>
      <w:spacing w:after="120"/>
    </w:pPr>
    <w:rPr>
      <w:rFonts w:ascii="Calibri" w:hAnsi="Calibri"/>
    </w:rPr>
  </w:style>
  <w:style w:type="character" w:styleId="943" w:customStyle="1">
    <w:name w:val="正文文本 字符"/>
    <w:link w:val="942"/>
    <w:uiPriority w:val="0"/>
    <w:qFormat/>
    <w:rPr>
      <w:rFonts w:ascii="Calibri" w:hAnsi="Calibri"/>
      <w:sz w:val="21"/>
      <w:szCs w:val="24"/>
    </w:rPr>
  </w:style>
  <w:style w:type="character" w:styleId="944" w:customStyle="1">
    <w:name w:val="Heading 1 Char"/>
    <w:basedOn w:val="875"/>
    <w:link w:val="811"/>
    <w:uiPriority w:val="9"/>
    <w:qFormat/>
    <w:rPr>
      <w:rFonts w:ascii="Arial" w:hAnsi="Arial" w:eastAsia="Arial" w:cs="Arial"/>
      <w:sz w:val="40"/>
      <w:szCs w:val="40"/>
    </w:rPr>
  </w:style>
  <w:style w:type="character" w:styleId="945" w:customStyle="1">
    <w:name w:val="Heading 3 Char"/>
    <w:basedOn w:val="875"/>
    <w:link w:val="811"/>
    <w:uiPriority w:val="9"/>
    <w:qFormat/>
    <w:rPr>
      <w:rFonts w:ascii="Arial" w:hAnsi="Arial" w:eastAsia="Arial" w:cs="Arial"/>
      <w:sz w:val="30"/>
      <w:szCs w:val="30"/>
    </w:rPr>
  </w:style>
  <w:style w:type="character" w:styleId="946" w:customStyle="1">
    <w:name w:val="Heading 4 Char"/>
    <w:basedOn w:val="875"/>
    <w:link w:val="811"/>
    <w:uiPriority w:val="9"/>
    <w:qFormat/>
    <w:rPr>
      <w:rFonts w:ascii="Arial" w:hAnsi="Arial" w:eastAsia="Arial" w:cs="Arial"/>
      <w:b/>
      <w:bCs/>
      <w:sz w:val="26"/>
      <w:szCs w:val="26"/>
    </w:rPr>
  </w:style>
  <w:style w:type="character" w:styleId="947" w:customStyle="1">
    <w:name w:val="Heading 5 Char"/>
    <w:basedOn w:val="875"/>
    <w:link w:val="811"/>
    <w:uiPriority w:val="9"/>
    <w:qFormat/>
    <w:rPr>
      <w:rFonts w:ascii="Arial" w:hAnsi="Arial" w:eastAsia="Arial" w:cs="Arial"/>
      <w:b/>
      <w:bCs/>
      <w:sz w:val="24"/>
      <w:szCs w:val="24"/>
    </w:rPr>
  </w:style>
  <w:style w:type="character" w:styleId="948" w:customStyle="1">
    <w:name w:val="Heading 6 Char"/>
    <w:basedOn w:val="875"/>
    <w:link w:val="811"/>
    <w:uiPriority w:val="9"/>
    <w:qFormat/>
    <w:rPr>
      <w:rFonts w:ascii="Arial" w:hAnsi="Arial" w:eastAsia="Arial" w:cs="Arial"/>
      <w:b/>
      <w:bCs/>
      <w:sz w:val="22"/>
      <w:szCs w:val="22"/>
    </w:rPr>
  </w:style>
  <w:style w:type="character" w:styleId="949" w:customStyle="1">
    <w:name w:val="Heading 7 Char"/>
    <w:basedOn w:val="875"/>
    <w:link w:val="811"/>
    <w:uiPriority w:val="9"/>
    <w:qFormat/>
    <w:rPr>
      <w:rFonts w:ascii="Arial" w:hAnsi="Arial" w:eastAsia="Arial" w:cs="Arial"/>
      <w:b/>
      <w:bCs/>
      <w:i/>
      <w:iCs/>
      <w:sz w:val="22"/>
      <w:szCs w:val="22"/>
    </w:rPr>
  </w:style>
  <w:style w:type="character" w:styleId="950" w:customStyle="1">
    <w:name w:val="Heading 8 Char"/>
    <w:basedOn w:val="875"/>
    <w:link w:val="811"/>
    <w:uiPriority w:val="9"/>
    <w:qFormat/>
    <w:rPr>
      <w:rFonts w:ascii="Arial" w:hAnsi="Arial" w:eastAsia="Arial" w:cs="Arial"/>
      <w:i/>
      <w:iCs/>
      <w:sz w:val="22"/>
      <w:szCs w:val="22"/>
    </w:rPr>
  </w:style>
  <w:style w:type="character" w:styleId="951" w:customStyle="1">
    <w:name w:val="Heading 9 Char"/>
    <w:basedOn w:val="875"/>
    <w:link w:val="811"/>
    <w:uiPriority w:val="9"/>
    <w:qFormat/>
    <w:rPr>
      <w:rFonts w:ascii="Arial" w:hAnsi="Arial" w:eastAsia="Arial" w:cs="Arial"/>
      <w:i/>
      <w:iCs/>
      <w:sz w:val="21"/>
      <w:szCs w:val="21"/>
    </w:rPr>
  </w:style>
  <w:style w:type="character" w:styleId="952" w:customStyle="1">
    <w:name w:val="Title Char"/>
    <w:basedOn w:val="875"/>
    <w:link w:val="811"/>
    <w:uiPriority w:val="10"/>
    <w:qFormat/>
    <w:rPr>
      <w:sz w:val="48"/>
      <w:szCs w:val="48"/>
    </w:rPr>
  </w:style>
  <w:style w:type="character" w:styleId="953" w:customStyle="1">
    <w:name w:val="Subtitle Char"/>
    <w:basedOn w:val="875"/>
    <w:link w:val="811"/>
    <w:uiPriority w:val="11"/>
    <w:qFormat/>
    <w:rPr>
      <w:sz w:val="24"/>
      <w:szCs w:val="24"/>
    </w:rPr>
  </w:style>
  <w:style w:type="character" w:styleId="954" w:customStyle="1">
    <w:name w:val="Quote Char"/>
    <w:link w:val="811"/>
    <w:uiPriority w:val="29"/>
    <w:qFormat/>
    <w:rPr>
      <w:i/>
    </w:rPr>
  </w:style>
  <w:style w:type="character" w:styleId="955" w:customStyle="1">
    <w:name w:val="Intense Quote Char"/>
    <w:link w:val="811"/>
    <w:uiPriority w:val="30"/>
    <w:qFormat/>
    <w:rPr>
      <w:i/>
    </w:rPr>
  </w:style>
  <w:style w:type="character" w:styleId="956" w:customStyle="1">
    <w:name w:val="Header Char"/>
    <w:basedOn w:val="875"/>
    <w:link w:val="811"/>
    <w:uiPriority w:val="99"/>
    <w:qFormat/>
  </w:style>
  <w:style w:type="character" w:styleId="957" w:customStyle="1">
    <w:name w:val="Caption Char"/>
    <w:link w:val="811"/>
    <w:uiPriority w:val="99"/>
    <w:qFormat/>
  </w:style>
  <w:style w:type="character" w:styleId="958" w:customStyle="1">
    <w:name w:val="Footnote Text Char"/>
    <w:link w:val="811"/>
    <w:uiPriority w:val="99"/>
    <w:qFormat/>
    <w:rPr>
      <w:sz w:val="18"/>
    </w:rPr>
  </w:style>
  <w:style w:type="character" w:styleId="959" w:customStyle="1">
    <w:name w:val="Endnote Text Char"/>
    <w:link w:val="811"/>
    <w:uiPriority w:val="99"/>
    <w:qFormat/>
    <w:rPr>
      <w:sz w:val="20"/>
    </w:rPr>
  </w:style>
  <w:style w:type="paragraph" w:styleId="960" w:customStyle="1">
    <w:name w:val="TOC 标题1"/>
    <w:uiPriority w:val="39"/>
    <w:unhideWhenUsed/>
    <w:qFormat/>
    <w:rPr>
      <w:rFonts w:hint="default" w:ascii="Calibri" w:hAnsi="Calibri" w:eastAsia="宋体" w:cs="Times New Roman"/>
      <w:lang w:val="en-US" w:eastAsia="zh-CN" w:bidi="ar-SA"/>
    </w:rPr>
  </w:style>
  <w:style w:type="character" w:styleId="961" w:customStyle="1">
    <w:name w:val="Heading 2 Char"/>
    <w:link w:val="811"/>
    <w:uiPriority w:val="9"/>
    <w:qFormat/>
    <w:rPr>
      <w:rFonts w:ascii="Arial" w:hAnsi="Arial" w:eastAsia="Arial" w:cs="Arial"/>
      <w:sz w:val="34"/>
    </w:rPr>
  </w:style>
  <w:style w:type="paragraph" w:styleId="962">
    <w:name w:val="List Paragraph"/>
    <w:basedOn w:val="811"/>
    <w:uiPriority w:val="99"/>
    <w:qFormat/>
    <w:pPr>
      <w:contextualSpacing/>
      <w:ind w:left="720"/>
      <w:tabs>
        <w:tab w:val="left" w:pos="502" w:leader="none"/>
      </w:tabs>
    </w:pPr>
  </w:style>
  <w:style w:type="paragraph" w:styleId="963">
    <w:name w:val="No Spacing"/>
    <w:uiPriority w:val="1"/>
    <w:qFormat/>
    <w:rPr>
      <w:rFonts w:hint="default" w:ascii="Times New Roman" w:hAnsi="Times New Roman" w:eastAsia="宋体" w:cs="Times New Roman"/>
      <w:lang w:val="en-US" w:eastAsia="zh-CN" w:bidi="ar-SA"/>
    </w:rPr>
  </w:style>
  <w:style w:type="paragraph" w:styleId="964">
    <w:name w:val="Quote"/>
    <w:link w:val="965"/>
    <w:uiPriority w:val="29"/>
    <w:qFormat/>
    <w:pPr>
      <w:ind w:left="720" w:right="720"/>
    </w:pPr>
    <w:rPr>
      <w:rFonts w:hint="default" w:ascii="Times New Roman" w:hAnsi="Times New Roman" w:eastAsia="宋体" w:cs="Times New Roman"/>
      <w:i/>
      <w:lang w:val="en-US" w:eastAsia="zh-CN" w:bidi="ar-SA"/>
    </w:rPr>
  </w:style>
  <w:style w:type="character" w:styleId="965" w:customStyle="1">
    <w:name w:val="引用 字符"/>
    <w:link w:val="964"/>
    <w:uiPriority w:val="29"/>
    <w:qFormat/>
    <w:rPr>
      <w:i/>
    </w:rPr>
  </w:style>
  <w:style w:type="paragraph" w:styleId="966">
    <w:name w:val="Intense Quote"/>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67" w:customStyle="1">
    <w:name w:val="明显引用 字符"/>
    <w:link w:val="966"/>
    <w:uiPriority w:val="30"/>
    <w:qFormat/>
    <w:rPr>
      <w:i/>
    </w:rPr>
  </w:style>
  <w:style w:type="character" w:styleId="968" w:customStyle="1">
    <w:name w:val="Footer Char"/>
    <w:link w:val="811"/>
    <w:uiPriority w:val="99"/>
    <w:qFormat/>
  </w:style>
  <w:style w:type="table" w:styleId="969" w:customStyle="1">
    <w:name w:val="Table Grid Light"/>
    <w:uiPriority w:val="59"/>
    <w:qFormat/>
    <w:tblPr/>
  </w:style>
  <w:style w:type="table" w:styleId="970" w:customStyle="1">
    <w:name w:val="无格式表格 11"/>
    <w:uiPriority w:val="59"/>
    <w:qFormat/>
    <w:tblPr/>
  </w:style>
  <w:style w:type="table" w:styleId="971" w:customStyle="1">
    <w:name w:val="无格式表格 21"/>
    <w:uiPriority w:val="59"/>
    <w:qFormat/>
    <w:tblPr/>
  </w:style>
  <w:style w:type="table" w:styleId="972" w:customStyle="1">
    <w:name w:val="无格式表格 31"/>
    <w:uiPriority w:val="99"/>
    <w:qFormat/>
    <w:tblPr/>
  </w:style>
  <w:style w:type="table" w:styleId="973" w:customStyle="1">
    <w:name w:val="无格式表格 41"/>
    <w:uiPriority w:val="99"/>
    <w:qFormat/>
    <w:tblPr/>
  </w:style>
  <w:style w:type="table" w:styleId="974" w:customStyle="1">
    <w:name w:val="无格式表格 51"/>
    <w:uiPriority w:val="99"/>
    <w:qFormat/>
    <w:tblPr/>
  </w:style>
  <w:style w:type="table" w:styleId="975" w:customStyle="1">
    <w:name w:val="网格表 1 浅色1"/>
    <w:uiPriority w:val="99"/>
    <w:qFormat/>
    <w:tblPr/>
  </w:style>
  <w:style w:type="table" w:styleId="976" w:customStyle="1">
    <w:name w:val="Grid Table 1 Light - Accent 1"/>
    <w:uiPriority w:val="99"/>
    <w:qFormat/>
    <w:tblPr/>
  </w:style>
  <w:style w:type="table" w:styleId="977" w:customStyle="1">
    <w:name w:val="Grid Table 1 Light - Accent 2"/>
    <w:uiPriority w:val="99"/>
    <w:qFormat/>
    <w:tblPr/>
  </w:style>
  <w:style w:type="table" w:styleId="978" w:customStyle="1">
    <w:name w:val="Grid Table 1 Light - Accent 3"/>
    <w:uiPriority w:val="99"/>
    <w:qFormat/>
    <w:tblPr/>
  </w:style>
  <w:style w:type="table" w:styleId="979" w:customStyle="1">
    <w:name w:val="Grid Table 1 Light - Accent 4"/>
    <w:uiPriority w:val="99"/>
    <w:qFormat/>
    <w:tblPr/>
  </w:style>
  <w:style w:type="table" w:styleId="980" w:customStyle="1">
    <w:name w:val="Grid Table 1 Light - Accent 5"/>
    <w:uiPriority w:val="99"/>
    <w:qFormat/>
    <w:tblPr/>
  </w:style>
  <w:style w:type="table" w:styleId="981" w:customStyle="1">
    <w:name w:val="Grid Table 1 Light - Accent 6"/>
    <w:uiPriority w:val="99"/>
    <w:qFormat/>
    <w:tblPr/>
  </w:style>
  <w:style w:type="table" w:styleId="982" w:customStyle="1">
    <w:name w:val="网格表 21"/>
    <w:uiPriority w:val="99"/>
    <w:qFormat/>
    <w:tblPr/>
  </w:style>
  <w:style w:type="table" w:styleId="983" w:customStyle="1">
    <w:name w:val="Grid Table 2 - Accent 1"/>
    <w:uiPriority w:val="99"/>
    <w:qFormat/>
    <w:tblPr/>
  </w:style>
  <w:style w:type="table" w:styleId="984" w:customStyle="1">
    <w:name w:val="Grid Table 2 - Accent 2"/>
    <w:uiPriority w:val="99"/>
    <w:qFormat/>
    <w:tblPr/>
  </w:style>
  <w:style w:type="table" w:styleId="985" w:customStyle="1">
    <w:name w:val="Grid Table 2 - Accent 3"/>
    <w:uiPriority w:val="99"/>
    <w:qFormat/>
    <w:tblPr/>
  </w:style>
  <w:style w:type="table" w:styleId="986" w:customStyle="1">
    <w:name w:val="Grid Table 2 - Accent 4"/>
    <w:uiPriority w:val="99"/>
    <w:qFormat/>
    <w:tblPr/>
  </w:style>
  <w:style w:type="table" w:styleId="987" w:customStyle="1">
    <w:name w:val="Grid Table 2 - Accent 5"/>
    <w:uiPriority w:val="99"/>
    <w:qFormat/>
    <w:tblPr/>
  </w:style>
  <w:style w:type="table" w:styleId="988" w:customStyle="1">
    <w:name w:val="Grid Table 2 - Accent 6"/>
    <w:uiPriority w:val="99"/>
    <w:qFormat/>
    <w:tblPr/>
  </w:style>
  <w:style w:type="table" w:styleId="989" w:customStyle="1">
    <w:name w:val="网格表 31"/>
    <w:uiPriority w:val="99"/>
    <w:qFormat/>
    <w:tblPr/>
  </w:style>
  <w:style w:type="table" w:styleId="990" w:customStyle="1">
    <w:name w:val="Grid Table 3 - Accent 1"/>
    <w:uiPriority w:val="99"/>
    <w:qFormat/>
    <w:tblPr/>
  </w:style>
  <w:style w:type="table" w:styleId="991" w:customStyle="1">
    <w:name w:val="Grid Table 3 - Accent 2"/>
    <w:uiPriority w:val="99"/>
    <w:qFormat/>
    <w:tblPr/>
  </w:style>
  <w:style w:type="table" w:styleId="992" w:customStyle="1">
    <w:name w:val="Grid Table 3 - Accent 3"/>
    <w:uiPriority w:val="99"/>
    <w:qFormat/>
    <w:tblPr/>
  </w:style>
  <w:style w:type="table" w:styleId="993" w:customStyle="1">
    <w:name w:val="Grid Table 3 - Accent 4"/>
    <w:uiPriority w:val="99"/>
    <w:qFormat/>
    <w:tblPr/>
  </w:style>
  <w:style w:type="table" w:styleId="994" w:customStyle="1">
    <w:name w:val="Grid Table 3 - Accent 5"/>
    <w:uiPriority w:val="99"/>
    <w:qFormat/>
    <w:tblPr/>
  </w:style>
  <w:style w:type="table" w:styleId="995" w:customStyle="1">
    <w:name w:val="Grid Table 3 - Accent 6"/>
    <w:uiPriority w:val="99"/>
    <w:qFormat/>
    <w:tblPr/>
  </w:style>
  <w:style w:type="table" w:styleId="996" w:customStyle="1">
    <w:name w:val="网格表 41"/>
    <w:uiPriority w:val="59"/>
    <w:qFormat/>
    <w:tblPr/>
  </w:style>
  <w:style w:type="table" w:styleId="997" w:customStyle="1">
    <w:name w:val="Grid Table 4 - Accent 1"/>
    <w:uiPriority w:val="59"/>
    <w:qFormat/>
    <w:tblPr/>
  </w:style>
  <w:style w:type="table" w:styleId="998" w:customStyle="1">
    <w:name w:val="Grid Table 4 - Accent 2"/>
    <w:uiPriority w:val="59"/>
    <w:qFormat/>
    <w:tblPr/>
  </w:style>
  <w:style w:type="table" w:styleId="999" w:customStyle="1">
    <w:name w:val="Grid Table 4 - Accent 3"/>
    <w:uiPriority w:val="59"/>
    <w:qFormat/>
    <w:tblPr/>
  </w:style>
  <w:style w:type="table" w:styleId="1000" w:customStyle="1">
    <w:name w:val="Grid Table 4 - Accent 4"/>
    <w:uiPriority w:val="59"/>
    <w:qFormat/>
    <w:tblPr/>
  </w:style>
  <w:style w:type="table" w:styleId="1001" w:customStyle="1">
    <w:name w:val="Grid Table 4 - Accent 5"/>
    <w:uiPriority w:val="59"/>
    <w:qFormat/>
    <w:tblPr/>
  </w:style>
  <w:style w:type="table" w:styleId="1002" w:customStyle="1">
    <w:name w:val="Grid Table 4 - Accent 6"/>
    <w:uiPriority w:val="59"/>
    <w:qFormat/>
    <w:tblPr/>
  </w:style>
  <w:style w:type="table" w:styleId="1003" w:customStyle="1">
    <w:name w:val="网格表 5 深色1"/>
    <w:uiPriority w:val="99"/>
    <w:qFormat/>
    <w:tblPr/>
  </w:style>
  <w:style w:type="table" w:styleId="1004" w:customStyle="1">
    <w:name w:val="Grid Table 5 Dark- Accent 1"/>
    <w:uiPriority w:val="99"/>
    <w:qFormat/>
    <w:tblPr/>
  </w:style>
  <w:style w:type="table" w:styleId="1005" w:customStyle="1">
    <w:name w:val="Grid Table 5 Dark - Accent 2"/>
    <w:uiPriority w:val="99"/>
    <w:qFormat/>
    <w:tblPr/>
  </w:style>
  <w:style w:type="table" w:styleId="1006" w:customStyle="1">
    <w:name w:val="Grid Table 5 Dark - Accent 3"/>
    <w:uiPriority w:val="99"/>
    <w:qFormat/>
    <w:tblPr/>
  </w:style>
  <w:style w:type="table" w:styleId="1007" w:customStyle="1">
    <w:name w:val="Grid Table 5 Dark- Accent 4"/>
    <w:uiPriority w:val="99"/>
    <w:qFormat/>
    <w:tblPr/>
  </w:style>
  <w:style w:type="table" w:styleId="1008" w:customStyle="1">
    <w:name w:val="Grid Table 5 Dark - Accent 5"/>
    <w:uiPriority w:val="99"/>
    <w:qFormat/>
    <w:tblPr/>
  </w:style>
  <w:style w:type="table" w:styleId="1009" w:customStyle="1">
    <w:name w:val="Grid Table 5 Dark - Accent 6"/>
    <w:uiPriority w:val="99"/>
    <w:qFormat/>
    <w:tblPr/>
  </w:style>
  <w:style w:type="table" w:styleId="1010" w:customStyle="1">
    <w:name w:val="网格表 6 彩色1"/>
    <w:uiPriority w:val="99"/>
    <w:qFormat/>
    <w:tblPr/>
  </w:style>
  <w:style w:type="table" w:styleId="1011" w:customStyle="1">
    <w:name w:val="Grid Table 6 Colorful - Accent 1"/>
    <w:uiPriority w:val="99"/>
    <w:qFormat/>
    <w:tblPr/>
  </w:style>
  <w:style w:type="table" w:styleId="1012" w:customStyle="1">
    <w:name w:val="Grid Table 6 Colorful - Accent 2"/>
    <w:uiPriority w:val="99"/>
    <w:qFormat/>
    <w:tblPr/>
  </w:style>
  <w:style w:type="table" w:styleId="1013" w:customStyle="1">
    <w:name w:val="Grid Table 6 Colorful - Accent 3"/>
    <w:uiPriority w:val="99"/>
    <w:qFormat/>
    <w:tblPr/>
  </w:style>
  <w:style w:type="table" w:styleId="1014" w:customStyle="1">
    <w:name w:val="Grid Table 6 Colorful - Accent 4"/>
    <w:uiPriority w:val="99"/>
    <w:qFormat/>
    <w:tblPr/>
  </w:style>
  <w:style w:type="table" w:styleId="1015" w:customStyle="1">
    <w:name w:val="Grid Table 6 Colorful - Accent 5"/>
    <w:uiPriority w:val="99"/>
    <w:qFormat/>
    <w:tblPr/>
  </w:style>
  <w:style w:type="table" w:styleId="1016" w:customStyle="1">
    <w:name w:val="Grid Table 6 Colorful - Accent 6"/>
    <w:uiPriority w:val="99"/>
    <w:qFormat/>
    <w:tblPr/>
  </w:style>
  <w:style w:type="table" w:styleId="1017" w:customStyle="1">
    <w:name w:val="网格表 7 彩色1"/>
    <w:uiPriority w:val="99"/>
    <w:qFormat/>
    <w:tblPr/>
  </w:style>
  <w:style w:type="table" w:styleId="1018" w:customStyle="1">
    <w:name w:val="Grid Table 7 Colorful - Accent 1"/>
    <w:uiPriority w:val="99"/>
    <w:qFormat/>
    <w:tblPr/>
  </w:style>
  <w:style w:type="table" w:styleId="1019" w:customStyle="1">
    <w:name w:val="Grid Table 7 Colorful - Accent 2"/>
    <w:uiPriority w:val="99"/>
    <w:qFormat/>
    <w:tblPr/>
  </w:style>
  <w:style w:type="table" w:styleId="1020" w:customStyle="1">
    <w:name w:val="Grid Table 7 Colorful - Accent 3"/>
    <w:uiPriority w:val="99"/>
    <w:qFormat/>
    <w:tblPr/>
  </w:style>
  <w:style w:type="table" w:styleId="1021" w:customStyle="1">
    <w:name w:val="Grid Table 7 Colorful - Accent 4"/>
    <w:uiPriority w:val="99"/>
    <w:qFormat/>
    <w:tblPr/>
  </w:style>
  <w:style w:type="table" w:styleId="1022" w:customStyle="1">
    <w:name w:val="Grid Table 7 Colorful - Accent 5"/>
    <w:uiPriority w:val="99"/>
    <w:qFormat/>
    <w:tblPr/>
  </w:style>
  <w:style w:type="table" w:styleId="1023" w:customStyle="1">
    <w:name w:val="Grid Table 7 Colorful - Accent 6"/>
    <w:uiPriority w:val="99"/>
    <w:qFormat/>
    <w:tblPr/>
  </w:style>
  <w:style w:type="table" w:styleId="1024" w:customStyle="1">
    <w:name w:val="清单表 1 浅色1"/>
    <w:uiPriority w:val="99"/>
    <w:qFormat/>
    <w:tblPr/>
  </w:style>
  <w:style w:type="table" w:styleId="1025" w:customStyle="1">
    <w:name w:val="List Table 1 Light - Accent 1"/>
    <w:uiPriority w:val="99"/>
    <w:qFormat/>
    <w:tblPr/>
  </w:style>
  <w:style w:type="table" w:styleId="1026" w:customStyle="1">
    <w:name w:val="List Table 1 Light - Accent 2"/>
    <w:uiPriority w:val="99"/>
    <w:qFormat/>
    <w:tblPr/>
  </w:style>
  <w:style w:type="table" w:styleId="1027" w:customStyle="1">
    <w:name w:val="List Table 1 Light - Accent 3"/>
    <w:uiPriority w:val="99"/>
    <w:qFormat/>
    <w:tblPr/>
  </w:style>
  <w:style w:type="table" w:styleId="1028" w:customStyle="1">
    <w:name w:val="List Table 1 Light - Accent 4"/>
    <w:uiPriority w:val="99"/>
    <w:qFormat/>
    <w:tblPr/>
  </w:style>
  <w:style w:type="table" w:styleId="1029" w:customStyle="1">
    <w:name w:val="List Table 1 Light - Accent 5"/>
    <w:uiPriority w:val="99"/>
    <w:qFormat/>
    <w:tblPr/>
  </w:style>
  <w:style w:type="table" w:styleId="1030" w:customStyle="1">
    <w:name w:val="List Table 1 Light - Accent 6"/>
    <w:uiPriority w:val="99"/>
    <w:qFormat/>
    <w:tblPr/>
  </w:style>
  <w:style w:type="table" w:styleId="1031" w:customStyle="1">
    <w:name w:val="清单表 21"/>
    <w:uiPriority w:val="99"/>
    <w:qFormat/>
    <w:tblPr/>
  </w:style>
  <w:style w:type="table" w:styleId="1032" w:customStyle="1">
    <w:name w:val="List Table 2 - Accent 1"/>
    <w:uiPriority w:val="99"/>
    <w:qFormat/>
    <w:tblPr/>
  </w:style>
  <w:style w:type="table" w:styleId="1033" w:customStyle="1">
    <w:name w:val="List Table 2 - Accent 2"/>
    <w:uiPriority w:val="99"/>
    <w:qFormat/>
    <w:tblPr/>
  </w:style>
  <w:style w:type="table" w:styleId="1034" w:customStyle="1">
    <w:name w:val="List Table 2 - Accent 3"/>
    <w:uiPriority w:val="99"/>
    <w:qFormat/>
    <w:tblPr/>
  </w:style>
  <w:style w:type="table" w:styleId="1035" w:customStyle="1">
    <w:name w:val="List Table 2 - Accent 4"/>
    <w:uiPriority w:val="99"/>
    <w:qFormat/>
    <w:tblPr/>
  </w:style>
  <w:style w:type="table" w:styleId="1036" w:customStyle="1">
    <w:name w:val="List Table 2 - Accent 5"/>
    <w:uiPriority w:val="99"/>
    <w:qFormat/>
    <w:tblPr/>
  </w:style>
  <w:style w:type="table" w:styleId="1037" w:customStyle="1">
    <w:name w:val="List Table 2 - Accent 6"/>
    <w:uiPriority w:val="99"/>
    <w:qFormat/>
    <w:tblPr/>
  </w:style>
  <w:style w:type="table" w:styleId="1038" w:customStyle="1">
    <w:name w:val="清单表 31"/>
    <w:uiPriority w:val="99"/>
    <w:qFormat/>
    <w:tblPr/>
  </w:style>
  <w:style w:type="table" w:styleId="1039" w:customStyle="1">
    <w:name w:val="List Table 3 - Accent 1"/>
    <w:uiPriority w:val="99"/>
    <w:qFormat/>
    <w:tblPr/>
  </w:style>
  <w:style w:type="table" w:styleId="1040" w:customStyle="1">
    <w:name w:val="List Table 3 - Accent 2"/>
    <w:uiPriority w:val="99"/>
    <w:qFormat/>
    <w:tblPr/>
  </w:style>
  <w:style w:type="table" w:styleId="1041" w:customStyle="1">
    <w:name w:val="List Table 3 - Accent 3"/>
    <w:uiPriority w:val="99"/>
    <w:qFormat/>
    <w:tblPr/>
  </w:style>
  <w:style w:type="table" w:styleId="1042" w:customStyle="1">
    <w:name w:val="List Table 3 - Accent 4"/>
    <w:uiPriority w:val="99"/>
    <w:qFormat/>
    <w:tblPr/>
  </w:style>
  <w:style w:type="table" w:styleId="1043" w:customStyle="1">
    <w:name w:val="List Table 3 - Accent 5"/>
    <w:uiPriority w:val="99"/>
    <w:qFormat/>
    <w:tblPr/>
  </w:style>
  <w:style w:type="table" w:styleId="1044" w:customStyle="1">
    <w:name w:val="List Table 3 - Accent 6"/>
    <w:uiPriority w:val="99"/>
    <w:qFormat/>
    <w:tblPr/>
  </w:style>
  <w:style w:type="table" w:styleId="1045" w:customStyle="1">
    <w:name w:val="清单表 41"/>
    <w:uiPriority w:val="99"/>
    <w:qFormat/>
    <w:tblPr/>
  </w:style>
  <w:style w:type="table" w:styleId="1046" w:customStyle="1">
    <w:name w:val="List Table 4 - Accent 1"/>
    <w:uiPriority w:val="99"/>
    <w:qFormat/>
    <w:tblPr/>
  </w:style>
  <w:style w:type="table" w:styleId="1047" w:customStyle="1">
    <w:name w:val="List Table 4 - Accent 2"/>
    <w:uiPriority w:val="99"/>
    <w:qFormat/>
    <w:tblPr/>
  </w:style>
  <w:style w:type="table" w:styleId="1048" w:customStyle="1">
    <w:name w:val="List Table 4 - Accent 3"/>
    <w:uiPriority w:val="99"/>
    <w:qFormat/>
    <w:tblPr/>
  </w:style>
  <w:style w:type="table" w:styleId="1049" w:customStyle="1">
    <w:name w:val="List Table 4 - Accent 4"/>
    <w:uiPriority w:val="99"/>
    <w:qFormat/>
    <w:tblPr/>
  </w:style>
  <w:style w:type="table" w:styleId="1050" w:customStyle="1">
    <w:name w:val="List Table 4 - Accent 5"/>
    <w:uiPriority w:val="99"/>
    <w:qFormat/>
    <w:tblPr/>
  </w:style>
  <w:style w:type="table" w:styleId="1051" w:customStyle="1">
    <w:name w:val="List Table 4 - Accent 6"/>
    <w:uiPriority w:val="99"/>
    <w:qFormat/>
    <w:tblPr/>
  </w:style>
  <w:style w:type="table" w:styleId="1052" w:customStyle="1">
    <w:name w:val="清单表 5 深色1"/>
    <w:uiPriority w:val="99"/>
    <w:qFormat/>
    <w:tblPr/>
  </w:style>
  <w:style w:type="table" w:styleId="1053" w:customStyle="1">
    <w:name w:val="List Table 5 Dark - Accent 1"/>
    <w:uiPriority w:val="99"/>
    <w:qFormat/>
    <w:tblPr/>
  </w:style>
  <w:style w:type="table" w:styleId="1054" w:customStyle="1">
    <w:name w:val="List Table 5 Dark - Accent 2"/>
    <w:uiPriority w:val="99"/>
    <w:qFormat/>
    <w:tblPr/>
  </w:style>
  <w:style w:type="table" w:styleId="1055" w:customStyle="1">
    <w:name w:val="List Table 5 Dark - Accent 3"/>
    <w:uiPriority w:val="99"/>
    <w:qFormat/>
    <w:tblPr/>
  </w:style>
  <w:style w:type="table" w:styleId="1056" w:customStyle="1">
    <w:name w:val="List Table 5 Dark - Accent 4"/>
    <w:uiPriority w:val="99"/>
    <w:qFormat/>
    <w:tblPr/>
  </w:style>
  <w:style w:type="table" w:styleId="1057" w:customStyle="1">
    <w:name w:val="List Table 5 Dark - Accent 5"/>
    <w:uiPriority w:val="99"/>
    <w:qFormat/>
    <w:tblPr/>
  </w:style>
  <w:style w:type="table" w:styleId="1058" w:customStyle="1">
    <w:name w:val="List Table 5 Dark - Accent 6"/>
    <w:uiPriority w:val="99"/>
    <w:qFormat/>
    <w:tblPr/>
  </w:style>
  <w:style w:type="table" w:styleId="1059" w:customStyle="1">
    <w:name w:val="清单表 6 彩色1"/>
    <w:uiPriority w:val="99"/>
    <w:qFormat/>
    <w:tblPr/>
  </w:style>
  <w:style w:type="table" w:styleId="1060" w:customStyle="1">
    <w:name w:val="List Table 6 Colorful - Accent 1"/>
    <w:uiPriority w:val="99"/>
    <w:qFormat/>
    <w:tblPr/>
  </w:style>
  <w:style w:type="table" w:styleId="1061" w:customStyle="1">
    <w:name w:val="List Table 6 Colorful - Accent 2"/>
    <w:uiPriority w:val="99"/>
    <w:qFormat/>
    <w:tblPr/>
  </w:style>
  <w:style w:type="table" w:styleId="1062" w:customStyle="1">
    <w:name w:val="List Table 6 Colorful - Accent 3"/>
    <w:uiPriority w:val="99"/>
    <w:qFormat/>
    <w:tblPr/>
  </w:style>
  <w:style w:type="table" w:styleId="1063" w:customStyle="1">
    <w:name w:val="List Table 6 Colorful - Accent 4"/>
    <w:uiPriority w:val="99"/>
    <w:qFormat/>
    <w:tblPr/>
  </w:style>
  <w:style w:type="table" w:styleId="1064" w:customStyle="1">
    <w:name w:val="List Table 6 Colorful - Accent 5"/>
    <w:uiPriority w:val="99"/>
    <w:qFormat/>
    <w:tblPr/>
  </w:style>
  <w:style w:type="table" w:styleId="1065" w:customStyle="1">
    <w:name w:val="List Table 6 Colorful - Accent 6"/>
    <w:uiPriority w:val="99"/>
    <w:qFormat/>
    <w:tblPr/>
  </w:style>
  <w:style w:type="table" w:styleId="1066" w:customStyle="1">
    <w:name w:val="清单表 7 彩色1"/>
    <w:uiPriority w:val="99"/>
    <w:qFormat/>
    <w:tblPr/>
  </w:style>
  <w:style w:type="table" w:styleId="1067" w:customStyle="1">
    <w:name w:val="List Table 7 Colorful - Accent 1"/>
    <w:uiPriority w:val="99"/>
    <w:qFormat/>
    <w:tblPr/>
  </w:style>
  <w:style w:type="table" w:styleId="1068" w:customStyle="1">
    <w:name w:val="List Table 7 Colorful - Accent 2"/>
    <w:uiPriority w:val="99"/>
    <w:qFormat/>
    <w:tblPr/>
  </w:style>
  <w:style w:type="table" w:styleId="1069" w:customStyle="1">
    <w:name w:val="List Table 7 Colorful - Accent 3"/>
    <w:uiPriority w:val="99"/>
    <w:qFormat/>
    <w:tblPr/>
  </w:style>
  <w:style w:type="table" w:styleId="1070" w:customStyle="1">
    <w:name w:val="List Table 7 Colorful - Accent 4"/>
    <w:uiPriority w:val="99"/>
    <w:qFormat/>
    <w:tblPr/>
  </w:style>
  <w:style w:type="table" w:styleId="1071" w:customStyle="1">
    <w:name w:val="List Table 7 Colorful - Accent 5"/>
    <w:uiPriority w:val="99"/>
    <w:qFormat/>
    <w:tblPr/>
  </w:style>
  <w:style w:type="table" w:styleId="1072" w:customStyle="1">
    <w:name w:val="List Table 7 Colorful - Accent 6"/>
    <w:uiPriority w:val="99"/>
    <w:qFormat/>
    <w:tblPr/>
  </w:style>
  <w:style w:type="table" w:styleId="1073" w:customStyle="1">
    <w:name w:val="Lined - Accent"/>
    <w:uiPriority w:val="99"/>
    <w:qFormat/>
    <w:rPr>
      <w:color w:val="404040"/>
    </w:rPr>
    <w:tblPr/>
  </w:style>
  <w:style w:type="table" w:styleId="1074" w:customStyle="1">
    <w:name w:val="Lined - Accent 1"/>
    <w:uiPriority w:val="99"/>
    <w:qFormat/>
    <w:rPr>
      <w:color w:val="404040"/>
    </w:rPr>
    <w:tblPr/>
  </w:style>
  <w:style w:type="table" w:styleId="1075" w:customStyle="1">
    <w:name w:val="Lined - Accent 2"/>
    <w:uiPriority w:val="99"/>
    <w:qFormat/>
    <w:rPr>
      <w:color w:val="404040"/>
    </w:rPr>
    <w:tblPr/>
  </w:style>
  <w:style w:type="table" w:styleId="1076" w:customStyle="1">
    <w:name w:val="Lined - Accent 3"/>
    <w:uiPriority w:val="99"/>
    <w:qFormat/>
    <w:rPr>
      <w:color w:val="404040"/>
    </w:rPr>
    <w:tblPr/>
  </w:style>
  <w:style w:type="table" w:styleId="1077" w:customStyle="1">
    <w:name w:val="Lined - Accent 4"/>
    <w:uiPriority w:val="99"/>
    <w:qFormat/>
    <w:rPr>
      <w:color w:val="404040"/>
    </w:rPr>
    <w:tblPr/>
  </w:style>
  <w:style w:type="table" w:styleId="1078" w:customStyle="1">
    <w:name w:val="Lined - Accent 5"/>
    <w:uiPriority w:val="99"/>
    <w:qFormat/>
    <w:rPr>
      <w:color w:val="404040"/>
    </w:rPr>
    <w:tblPr/>
  </w:style>
  <w:style w:type="table" w:styleId="1079" w:customStyle="1">
    <w:name w:val="Lined - Accent 6"/>
    <w:uiPriority w:val="99"/>
    <w:qFormat/>
    <w:rPr>
      <w:color w:val="404040"/>
    </w:rPr>
    <w:tblPr/>
  </w:style>
  <w:style w:type="table" w:styleId="1080" w:customStyle="1">
    <w:name w:val="Bordered &amp; Lined - Accent"/>
    <w:uiPriority w:val="99"/>
    <w:qFormat/>
    <w:rPr>
      <w:color w:val="404040"/>
    </w:rPr>
    <w:tblPr/>
  </w:style>
  <w:style w:type="table" w:styleId="1081" w:customStyle="1">
    <w:name w:val="Bordered &amp; Lined - Accent 1"/>
    <w:uiPriority w:val="99"/>
    <w:qFormat/>
    <w:rPr>
      <w:color w:val="404040"/>
    </w:rPr>
    <w:tblPr/>
  </w:style>
  <w:style w:type="table" w:styleId="1082" w:customStyle="1">
    <w:name w:val="Bordered &amp; Lined - Accent 2"/>
    <w:uiPriority w:val="99"/>
    <w:qFormat/>
    <w:rPr>
      <w:color w:val="404040"/>
    </w:rPr>
    <w:tblPr/>
  </w:style>
  <w:style w:type="table" w:styleId="1083" w:customStyle="1">
    <w:name w:val="Bordered &amp; Lined - Accent 3"/>
    <w:uiPriority w:val="99"/>
    <w:qFormat/>
    <w:rPr>
      <w:color w:val="404040"/>
    </w:rPr>
    <w:tblPr/>
  </w:style>
  <w:style w:type="table" w:styleId="1084" w:customStyle="1">
    <w:name w:val="Bordered &amp; Lined - Accent 4"/>
    <w:uiPriority w:val="99"/>
    <w:qFormat/>
    <w:rPr>
      <w:color w:val="404040"/>
    </w:rPr>
    <w:tblPr/>
  </w:style>
  <w:style w:type="table" w:styleId="1085" w:customStyle="1">
    <w:name w:val="Bordered &amp; Lined - Accent 5"/>
    <w:uiPriority w:val="99"/>
    <w:qFormat/>
    <w:rPr>
      <w:color w:val="404040"/>
    </w:rPr>
    <w:tblPr/>
  </w:style>
  <w:style w:type="table" w:styleId="1086" w:customStyle="1">
    <w:name w:val="Bordered &amp; Lined - Accent 6"/>
    <w:uiPriority w:val="99"/>
    <w:qFormat/>
    <w:rPr>
      <w:color w:val="404040"/>
    </w:rPr>
    <w:tblPr/>
  </w:style>
  <w:style w:type="table" w:styleId="1087" w:customStyle="1">
    <w:name w:val="Bordered"/>
    <w:uiPriority w:val="99"/>
    <w:qFormat/>
    <w:tblPr/>
  </w:style>
  <w:style w:type="table" w:styleId="1088" w:customStyle="1">
    <w:name w:val="Bordered - Accent 1"/>
    <w:uiPriority w:val="99"/>
    <w:qFormat/>
    <w:tblPr/>
  </w:style>
  <w:style w:type="table" w:styleId="1089" w:customStyle="1">
    <w:name w:val="Bordered - Accent 2"/>
    <w:uiPriority w:val="99"/>
    <w:qFormat/>
    <w:tblPr/>
  </w:style>
  <w:style w:type="table" w:styleId="1090" w:customStyle="1">
    <w:name w:val="Bordered - Accent 3"/>
    <w:uiPriority w:val="99"/>
    <w:qFormat/>
    <w:tblPr/>
  </w:style>
  <w:style w:type="table" w:styleId="1091" w:customStyle="1">
    <w:name w:val="Bordered - Accent 4"/>
    <w:uiPriority w:val="99"/>
    <w:qFormat/>
    <w:tblPr/>
  </w:style>
  <w:style w:type="table" w:styleId="1092" w:customStyle="1">
    <w:name w:val="Bordered - Accent 5"/>
    <w:uiPriority w:val="99"/>
    <w:qFormat/>
    <w:tblPr/>
  </w:style>
  <w:style w:type="table" w:styleId="1093" w:customStyle="1">
    <w:name w:val="Bordered - Accent 6"/>
    <w:uiPriority w:val="99"/>
    <w:qFormat/>
    <w:tblPr/>
  </w:style>
  <w:style w:type="paragraph" w:styleId="1094" w:customStyle="1">
    <w:name w:val="TOC 标题11"/>
    <w:uiPriority w:val="39"/>
    <w:unhideWhenUsed/>
    <w:qFormat/>
    <w:rPr>
      <w:rFonts w:hint="default" w:ascii="Times New Roman" w:hAnsi="Times New Roman" w:eastAsia="宋体" w:cs="Times New Roman"/>
      <w:lang w:val="en-US" w:eastAsia="zh-CN" w:bidi="ar-SA"/>
    </w:rPr>
  </w:style>
  <w:style w:type="paragraph" w:styleId="1095" w:customStyle="1">
    <w:name w:val="标题 11"/>
    <w:basedOn w:val="857"/>
    <w:next w:val="857"/>
    <w:link w:val="1096"/>
    <w:uiPriority w:val="0"/>
    <w:qFormat/>
    <w:pPr>
      <w:jc w:val="center"/>
      <w:keepLines/>
      <w:keepNext/>
      <w:spacing w:line="578" w:lineRule="auto"/>
      <w:outlineLvl w:val="0"/>
    </w:pPr>
    <w:rPr>
      <w:rFonts w:eastAsia="新宋体"/>
      <w:b/>
      <w:bCs/>
      <w:sz w:val="30"/>
      <w:szCs w:val="44"/>
    </w:rPr>
  </w:style>
  <w:style w:type="character" w:styleId="1096" w:customStyle="1">
    <w:name w:val="标题 1 字符"/>
    <w:link w:val="1095"/>
    <w:uiPriority w:val="0"/>
    <w:qFormat/>
    <w:rPr>
      <w:rFonts w:eastAsia="新宋体"/>
      <w:b/>
      <w:bCs/>
      <w:sz w:val="30"/>
      <w:szCs w:val="44"/>
    </w:rPr>
  </w:style>
  <w:style w:type="character" w:styleId="1097" w:customStyle="1">
    <w:name w:val="标题 2 字符1"/>
    <w:link w:val="939"/>
    <w:uiPriority w:val="0"/>
    <w:qFormat/>
    <w:rPr>
      <w:rFonts w:ascii="Cambria" w:hAnsi="Cambria"/>
      <w:b/>
      <w:bCs/>
      <w:sz w:val="32"/>
      <w:szCs w:val="32"/>
    </w:rPr>
  </w:style>
  <w:style w:type="paragraph" w:styleId="1098" w:customStyle="1">
    <w:name w:val="标题 31"/>
    <w:basedOn w:val="857"/>
    <w:next w:val="857"/>
    <w:link w:val="1099"/>
    <w:uiPriority w:val="0"/>
    <w:qFormat/>
    <w:pPr>
      <w:keepLines/>
      <w:keepNext/>
      <w:spacing w:before="260" w:after="260" w:line="416" w:lineRule="auto"/>
      <w:outlineLvl w:val="2"/>
    </w:pPr>
    <w:rPr>
      <w:b/>
      <w:bCs/>
      <w:sz w:val="32"/>
      <w:szCs w:val="32"/>
    </w:rPr>
  </w:style>
  <w:style w:type="character" w:styleId="1099" w:customStyle="1">
    <w:name w:val="标题 3 字符"/>
    <w:link w:val="1098"/>
    <w:uiPriority w:val="0"/>
    <w:semiHidden/>
    <w:qFormat/>
    <w:rPr>
      <w:b/>
      <w:bCs/>
      <w:sz w:val="32"/>
      <w:szCs w:val="32"/>
    </w:rPr>
  </w:style>
  <w:style w:type="paragraph" w:styleId="1100" w:customStyle="1">
    <w:name w:val="标题 41"/>
    <w:basedOn w:val="857"/>
    <w:next w:val="857"/>
    <w:link w:val="1101"/>
    <w:uiPriority w:val="0"/>
    <w:qFormat/>
    <w:pPr>
      <w:keepLines/>
      <w:keepNext/>
      <w:spacing w:before="280" w:after="290" w:line="376" w:lineRule="auto"/>
      <w:outlineLvl w:val="3"/>
    </w:pPr>
    <w:rPr>
      <w:rFonts w:ascii="Cambria" w:hAnsi="Cambria"/>
      <w:b/>
      <w:bCs/>
      <w:sz w:val="28"/>
      <w:szCs w:val="28"/>
    </w:rPr>
  </w:style>
  <w:style w:type="character" w:styleId="1101" w:customStyle="1">
    <w:name w:val="标题 4 字符1"/>
    <w:link w:val="1100"/>
    <w:uiPriority w:val="0"/>
    <w:semiHidden/>
    <w:qFormat/>
    <w:rPr>
      <w:rFonts w:ascii="Cambria" w:hAnsi="Cambria"/>
      <w:b/>
      <w:bCs/>
      <w:sz w:val="28"/>
      <w:szCs w:val="28"/>
    </w:rPr>
  </w:style>
  <w:style w:type="paragraph" w:styleId="1102" w:customStyle="1">
    <w:name w:val="标题 51"/>
    <w:basedOn w:val="857"/>
    <w:next w:val="857"/>
    <w:link w:val="1103"/>
    <w:uiPriority w:val="0"/>
    <w:qFormat/>
    <w:pPr>
      <w:keepLines/>
      <w:keepNext/>
      <w:spacing w:before="280" w:after="290" w:line="376" w:lineRule="auto"/>
      <w:outlineLvl w:val="4"/>
    </w:pPr>
    <w:rPr>
      <w:b/>
      <w:bCs/>
      <w:sz w:val="28"/>
      <w:szCs w:val="28"/>
    </w:rPr>
  </w:style>
  <w:style w:type="character" w:styleId="1103" w:customStyle="1">
    <w:name w:val="标题 5 字符"/>
    <w:link w:val="1102"/>
    <w:uiPriority w:val="0"/>
    <w:semiHidden/>
    <w:qFormat/>
    <w:rPr>
      <w:b/>
      <w:bCs/>
      <w:sz w:val="28"/>
      <w:szCs w:val="28"/>
    </w:rPr>
  </w:style>
  <w:style w:type="paragraph" w:styleId="1104" w:customStyle="1">
    <w:name w:val="标题 71"/>
    <w:basedOn w:val="857"/>
    <w:next w:val="857"/>
    <w:link w:val="1105"/>
    <w:uiPriority w:val="0"/>
    <w:qFormat/>
    <w:pPr>
      <w:keepLines/>
      <w:keepNext/>
      <w:spacing w:before="240" w:after="64" w:line="320" w:lineRule="auto"/>
      <w:outlineLvl w:val="6"/>
    </w:pPr>
    <w:rPr>
      <w:rFonts w:ascii="Calibri" w:hAnsi="Calibri"/>
      <w:b/>
      <w:bCs/>
      <w:sz w:val="24"/>
    </w:rPr>
  </w:style>
  <w:style w:type="character" w:styleId="1105" w:customStyle="1">
    <w:name w:val="标题 7 字符"/>
    <w:link w:val="1104"/>
    <w:uiPriority w:val="0"/>
    <w:semiHidden/>
    <w:qFormat/>
    <w:rPr>
      <w:rFonts w:ascii="Calibri" w:hAnsi="Calibri"/>
      <w:b/>
      <w:bCs/>
      <w:sz w:val="24"/>
      <w:szCs w:val="24"/>
    </w:rPr>
  </w:style>
  <w:style w:type="character" w:styleId="1106" w:customStyle="1">
    <w:name w:val="默认段落字体1"/>
    <w:link w:val="811"/>
    <w:uiPriority w:val="0"/>
    <w:semiHidden/>
    <w:qFormat/>
  </w:style>
  <w:style w:type="table" w:styleId="1107" w:customStyle="1">
    <w:name w:val="普通表格1"/>
    <w:uiPriority w:val="0"/>
    <w:semiHidden/>
    <w:qFormat/>
    <w:tblPr/>
  </w:style>
  <w:style w:type="character" w:styleId="1108" w:customStyle="1">
    <w:name w:val="超链接1"/>
    <w:link w:val="811"/>
    <w:uiPriority w:val="0"/>
    <w:qFormat/>
    <w:rPr>
      <w:color w:val="0000ff"/>
      <w:u w:val="single"/>
    </w:rPr>
  </w:style>
  <w:style w:type="character" w:styleId="1109" w:customStyle="1">
    <w:name w:val="批注引用1"/>
    <w:link w:val="811"/>
    <w:uiPriority w:val="0"/>
    <w:qFormat/>
    <w:rPr>
      <w:sz w:val="21"/>
      <w:szCs w:val="21"/>
    </w:rPr>
  </w:style>
  <w:style w:type="character" w:styleId="1110" w:customStyle="1">
    <w:name w:val="强调1"/>
    <w:link w:val="811"/>
    <w:uiPriority w:val="0"/>
    <w:qFormat/>
    <w:rPr>
      <w:i/>
    </w:rPr>
  </w:style>
  <w:style w:type="character" w:styleId="1111" w:customStyle="1">
    <w:name w:val="要点1"/>
    <w:link w:val="811"/>
    <w:uiPriority w:val="0"/>
    <w:qFormat/>
    <w:rPr>
      <w:b/>
      <w:bCs/>
    </w:rPr>
  </w:style>
  <w:style w:type="character" w:styleId="1112" w:customStyle="1">
    <w:name w:val="页码1"/>
    <w:link w:val="811"/>
    <w:uiPriority w:val="0"/>
    <w:qFormat/>
  </w:style>
  <w:style w:type="character" w:styleId="1113" w:customStyle="1">
    <w:name w:val="日期 Char"/>
    <w:link w:val="811"/>
    <w:uiPriority w:val="0"/>
    <w:semiHidden/>
    <w:qFormat/>
  </w:style>
  <w:style w:type="character" w:styleId="1114" w:customStyle="1">
    <w:name w:val="标题 4 Char"/>
    <w:link w:val="811"/>
    <w:uiPriority w:val="0"/>
    <w:semiHidden/>
    <w:qFormat/>
    <w:rPr>
      <w:rFonts w:ascii="Cambria" w:hAnsi="Cambria" w:eastAsia="宋体"/>
      <w:b/>
      <w:bCs/>
      <w:sz w:val="28"/>
      <w:szCs w:val="28"/>
    </w:rPr>
  </w:style>
  <w:style w:type="character" w:styleId="1115" w:customStyle="1">
    <w:name w:val="批注框文本 字符"/>
    <w:link w:val="1116"/>
    <w:uiPriority w:val="0"/>
    <w:qFormat/>
    <w:rPr>
      <w:sz w:val="18"/>
      <w:szCs w:val="18"/>
    </w:rPr>
  </w:style>
  <w:style w:type="paragraph" w:styleId="1116" w:customStyle="1">
    <w:name w:val="批注框文本1"/>
    <w:basedOn w:val="857"/>
    <w:link w:val="1115"/>
    <w:uiPriority w:val="0"/>
    <w:qFormat/>
    <w:rPr>
      <w:sz w:val="18"/>
      <w:szCs w:val="18"/>
    </w:rPr>
  </w:style>
  <w:style w:type="character" w:styleId="1117" w:customStyle="1">
    <w:name w:val="正文文本首行缩进 字符"/>
    <w:link w:val="811"/>
    <w:uiPriority w:val="99"/>
    <w:qFormat/>
  </w:style>
  <w:style w:type="character" w:styleId="1118" w:customStyle="1">
    <w:name w:val="批注框文本 Char"/>
    <w:link w:val="811"/>
    <w:uiPriority w:val="0"/>
    <w:semiHidden/>
    <w:qFormat/>
    <w:rPr>
      <w:sz w:val="18"/>
      <w:szCs w:val="18"/>
    </w:rPr>
  </w:style>
  <w:style w:type="character" w:styleId="1119" w:customStyle="1">
    <w:name w:val="标题 1 Char"/>
    <w:link w:val="811"/>
    <w:uiPriority w:val="0"/>
    <w:qFormat/>
    <w:rPr>
      <w:b/>
      <w:bCs/>
      <w:sz w:val="44"/>
      <w:szCs w:val="44"/>
    </w:rPr>
  </w:style>
  <w:style w:type="character" w:styleId="1120" w:customStyle="1">
    <w:name w:val="批注主题 字符"/>
    <w:link w:val="1121"/>
    <w:uiPriority w:val="0"/>
    <w:qFormat/>
    <w:rPr>
      <w:b/>
      <w:bCs/>
      <w:sz w:val="21"/>
      <w:szCs w:val="24"/>
    </w:rPr>
  </w:style>
  <w:style w:type="paragraph" w:styleId="1121" w:customStyle="1">
    <w:name w:val="批注主题1"/>
    <w:basedOn w:val="1122"/>
    <w:next w:val="1122"/>
    <w:link w:val="1120"/>
    <w:uiPriority w:val="0"/>
    <w:qFormat/>
    <w:rPr>
      <w:b/>
      <w:bCs/>
    </w:rPr>
  </w:style>
  <w:style w:type="paragraph" w:styleId="1122" w:customStyle="1">
    <w:name w:val="批注文字1"/>
    <w:basedOn w:val="857"/>
    <w:link w:val="1123"/>
    <w:uiPriority w:val="0"/>
    <w:qFormat/>
    <w:pPr>
      <w:jc w:val="left"/>
    </w:pPr>
  </w:style>
  <w:style w:type="character" w:styleId="1123" w:customStyle="1">
    <w:name w:val="批注文字 字符"/>
    <w:link w:val="1122"/>
    <w:uiPriority w:val="0"/>
    <w:qFormat/>
    <w:rPr>
      <w:sz w:val="21"/>
      <w:szCs w:val="24"/>
    </w:rPr>
  </w:style>
  <w:style w:type="character" w:styleId="1124" w:customStyle="1">
    <w:name w:val="页眉 字符"/>
    <w:link w:val="1125"/>
    <w:uiPriority w:val="0"/>
    <w:qFormat/>
    <w:rPr>
      <w:sz w:val="18"/>
      <w:szCs w:val="18"/>
    </w:rPr>
  </w:style>
  <w:style w:type="paragraph" w:styleId="1125" w:customStyle="1">
    <w:name w:val="页眉1"/>
    <w:basedOn w:val="857"/>
    <w:link w:val="1124"/>
    <w:uiPriority w:val="0"/>
    <w:qFormat/>
    <w:pPr>
      <w:jc w:val="center"/>
      <w:tabs>
        <w:tab w:val="center" w:pos="4153" w:leader="none"/>
        <w:tab w:val="right" w:pos="8306" w:leader="none"/>
      </w:tabs>
      <w:pBdr>
        <w:bottom w:val="single" w:color="000000" w:sz="6" w:space="1"/>
      </w:pBdr>
    </w:pPr>
    <w:rPr>
      <w:sz w:val="18"/>
      <w:szCs w:val="18"/>
    </w:rPr>
  </w:style>
  <w:style w:type="character" w:styleId="1126" w:customStyle="1">
    <w:name w:val="标题 4 字符"/>
    <w:link w:val="811"/>
    <w:uiPriority w:val="0"/>
    <w:semiHidden/>
    <w:qFormat/>
    <w:rPr>
      <w:rFonts w:ascii="等线 Light" w:hAnsi="等线 Light" w:eastAsia="等线 Light"/>
      <w:b/>
      <w:bCs/>
      <w:sz w:val="28"/>
      <w:szCs w:val="28"/>
    </w:rPr>
  </w:style>
  <w:style w:type="character" w:styleId="1127" w:customStyle="1">
    <w:name w:val="纯文本 Char"/>
    <w:link w:val="811"/>
    <w:uiPriority w:val="0"/>
    <w:qFormat/>
    <w:rPr>
      <w:rFonts w:ascii="宋体" w:hAnsi="Courier New" w:eastAsia="宋体"/>
      <w:sz w:val="21"/>
      <w:szCs w:val="21"/>
    </w:rPr>
  </w:style>
  <w:style w:type="character" w:styleId="1128" w:customStyle="1">
    <w:name w:val="apple-converted-space"/>
    <w:link w:val="811"/>
    <w:uiPriority w:val="0"/>
    <w:qFormat/>
  </w:style>
  <w:style w:type="character" w:styleId="1129" w:customStyle="1">
    <w:name w:val="正文缩进 字符"/>
    <w:link w:val="1130"/>
    <w:uiPriority w:val="0"/>
    <w:qFormat/>
    <w:rPr>
      <w:sz w:val="21"/>
      <w:szCs w:val="24"/>
      <w:lang w:bidi="ar-SA"/>
    </w:rPr>
  </w:style>
  <w:style w:type="paragraph" w:styleId="1130" w:customStyle="1">
    <w:name w:val="正文缩进1"/>
    <w:basedOn w:val="857"/>
    <w:link w:val="1129"/>
    <w:uiPriority w:val="0"/>
    <w:qFormat/>
    <w:pPr>
      <w:ind w:firstLine="420"/>
    </w:pPr>
  </w:style>
  <w:style w:type="character" w:styleId="1131" w:customStyle="1">
    <w:name w:val="文档结构图 字符1"/>
    <w:link w:val="1132"/>
    <w:uiPriority w:val="0"/>
    <w:qFormat/>
    <w:rPr>
      <w:rFonts w:ascii="宋体" w:hAnsi="Calibri"/>
      <w:sz w:val="18"/>
      <w:szCs w:val="18"/>
    </w:rPr>
  </w:style>
  <w:style w:type="paragraph" w:styleId="1132" w:customStyle="1">
    <w:name w:val="文档结构图1"/>
    <w:basedOn w:val="857"/>
    <w:link w:val="1131"/>
    <w:uiPriority w:val="0"/>
    <w:qFormat/>
    <w:rPr>
      <w:rFonts w:ascii="宋体" w:hAnsi="Calibri"/>
      <w:sz w:val="18"/>
      <w:szCs w:val="18"/>
    </w:rPr>
  </w:style>
  <w:style w:type="character" w:styleId="1133" w:customStyle="1">
    <w:name w:val="正文文本缩进 字符"/>
    <w:link w:val="862"/>
    <w:uiPriority w:val="0"/>
    <w:qFormat/>
    <w:rPr>
      <w:rFonts w:ascii="Calibri" w:hAnsi="Calibri"/>
      <w:sz w:val="21"/>
      <w:szCs w:val="24"/>
    </w:rPr>
  </w:style>
  <w:style w:type="character" w:styleId="1134" w:customStyle="1">
    <w:name w:val="纯文本 字符"/>
    <w:link w:val="1135"/>
    <w:uiPriority w:val="0"/>
    <w:qFormat/>
    <w:rPr>
      <w:rFonts w:ascii="宋体" w:hAnsi="Courier New"/>
      <w:sz w:val="21"/>
    </w:rPr>
  </w:style>
  <w:style w:type="paragraph" w:styleId="1135" w:customStyle="1">
    <w:name w:val="纯文本1"/>
    <w:basedOn w:val="857"/>
    <w:link w:val="1134"/>
    <w:uiPriority w:val="0"/>
    <w:qFormat/>
    <w:rPr>
      <w:rFonts w:ascii="宋体" w:hAnsi="Courier New"/>
      <w:sz w:val="20"/>
      <w:szCs w:val="20"/>
    </w:rPr>
  </w:style>
  <w:style w:type="character" w:styleId="1136" w:customStyle="1">
    <w:name w:val="日期 字符"/>
    <w:link w:val="1137"/>
    <w:uiPriority w:val="0"/>
    <w:qFormat/>
    <w:rPr>
      <w:rFonts w:eastAsia="仿宋_GB2312"/>
      <w:sz w:val="28"/>
    </w:rPr>
  </w:style>
  <w:style w:type="paragraph" w:styleId="1137" w:customStyle="1">
    <w:name w:val="日期1"/>
    <w:basedOn w:val="857"/>
    <w:next w:val="857"/>
    <w:link w:val="1136"/>
    <w:uiPriority w:val="0"/>
    <w:qFormat/>
    <w:rPr>
      <w:rFonts w:eastAsia="仿宋_GB2312"/>
      <w:sz w:val="28"/>
      <w:szCs w:val="20"/>
    </w:rPr>
  </w:style>
  <w:style w:type="character" w:styleId="1138" w:customStyle="1">
    <w:name w:val="正文文本缩进 2 字符"/>
    <w:link w:val="1139"/>
    <w:uiPriority w:val="0"/>
    <w:qFormat/>
    <w:rPr>
      <w:rFonts w:ascii="仿宋_GB2312" w:eastAsia="仿宋_GB2312"/>
      <w:sz w:val="24"/>
      <w:szCs w:val="24"/>
      <w:lang w:bidi="ar-SA"/>
    </w:rPr>
  </w:style>
  <w:style w:type="paragraph" w:styleId="1139" w:customStyle="1">
    <w:name w:val="正文文本缩进 21"/>
    <w:basedOn w:val="857"/>
    <w:link w:val="1138"/>
    <w:uiPriority w:val="0"/>
    <w:qFormat/>
    <w:pPr>
      <w:ind w:firstLine="475"/>
      <w:spacing w:line="10" w:lineRule="atLeast"/>
    </w:pPr>
    <w:rPr>
      <w:rFonts w:ascii="仿宋_GB2312" w:eastAsia="仿宋_GB2312"/>
      <w:sz w:val="24"/>
    </w:rPr>
  </w:style>
  <w:style w:type="character" w:styleId="1140" w:customStyle="1">
    <w:name w:val="页脚 字符"/>
    <w:link w:val="1141"/>
    <w:uiPriority w:val="0"/>
    <w:qFormat/>
    <w:rPr>
      <w:sz w:val="18"/>
      <w:szCs w:val="18"/>
    </w:rPr>
  </w:style>
  <w:style w:type="paragraph" w:styleId="1141" w:customStyle="1">
    <w:name w:val="页脚1"/>
    <w:basedOn w:val="857"/>
    <w:link w:val="1140"/>
    <w:uiPriority w:val="0"/>
    <w:qFormat/>
    <w:pPr>
      <w:jc w:val="left"/>
      <w:tabs>
        <w:tab w:val="center" w:pos="4153" w:leader="none"/>
        <w:tab w:val="right" w:pos="8306" w:leader="none"/>
      </w:tabs>
    </w:pPr>
    <w:rPr>
      <w:sz w:val="18"/>
      <w:szCs w:val="18"/>
    </w:rPr>
  </w:style>
  <w:style w:type="character" w:styleId="1142" w:customStyle="1">
    <w:name w:val="正文首行缩进 字符"/>
    <w:link w:val="1143"/>
    <w:uiPriority w:val="0"/>
    <w:qFormat/>
    <w:rPr>
      <w:rFonts w:ascii="仿宋_GB2312" w:hAnsi="Times New Roman" w:eastAsia="仿宋_GB2312"/>
      <w:sz w:val="30"/>
      <w:szCs w:val="30"/>
    </w:rPr>
  </w:style>
  <w:style w:type="paragraph" w:styleId="1143" w:customStyle="1">
    <w:name w:val="正文首行缩进1"/>
    <w:basedOn w:val="942"/>
    <w:link w:val="1142"/>
    <w:uiPriority w:val="0"/>
    <w:qFormat/>
    <w:pPr>
      <w:ind w:firstLine="420"/>
    </w:pPr>
    <w:rPr>
      <w:rFonts w:ascii="仿宋_GB2312" w:hAnsi="Times New Roman" w:eastAsia="仿宋_GB2312"/>
      <w:sz w:val="30"/>
      <w:szCs w:val="30"/>
    </w:rPr>
  </w:style>
  <w:style w:type="character" w:styleId="1144" w:customStyle="1">
    <w:name w:val="正文首行缩进 2 字符1"/>
    <w:link w:val="1145"/>
    <w:uiPriority w:val="0"/>
    <w:qFormat/>
  </w:style>
  <w:style w:type="paragraph" w:styleId="1145" w:customStyle="1">
    <w:name w:val="正文首行缩进 21"/>
    <w:basedOn w:val="862"/>
    <w:link w:val="1144"/>
    <w:uiPriority w:val="0"/>
    <w:qFormat/>
    <w:pPr>
      <w:ind w:firstLine="420"/>
    </w:pPr>
    <w:rPr>
      <w:rFonts w:ascii="Times New Roman" w:hAnsi="Times New Roman"/>
    </w:rPr>
  </w:style>
  <w:style w:type="character" w:styleId="1146" w:customStyle="1">
    <w:name w:val="标题 2 字符"/>
    <w:link w:val="811"/>
    <w:uiPriority w:val="0"/>
    <w:semiHidden/>
    <w:qFormat/>
    <w:rPr>
      <w:rFonts w:ascii="等线 Light" w:hAnsi="等线 Light" w:eastAsia="等线 Light"/>
      <w:b/>
      <w:bCs/>
      <w:sz w:val="32"/>
      <w:szCs w:val="32"/>
    </w:rPr>
  </w:style>
  <w:style w:type="character" w:styleId="1147" w:customStyle="1">
    <w:name w:val="批注文字 Char"/>
    <w:link w:val="811"/>
    <w:uiPriority w:val="0"/>
    <w:qFormat/>
    <w:rPr>
      <w:rFonts w:ascii="Times New Roman" w:hAnsi="Times New Roman"/>
      <w:sz w:val="21"/>
    </w:rPr>
  </w:style>
  <w:style w:type="character" w:styleId="1148" w:customStyle="1">
    <w:name w:val="正文首行缩进 2 字符"/>
    <w:link w:val="1149"/>
    <w:uiPriority w:val="0"/>
    <w:qFormat/>
    <w:rPr>
      <w:sz w:val="21"/>
      <w:szCs w:val="24"/>
    </w:rPr>
  </w:style>
  <w:style w:type="paragraph" w:styleId="1149" w:customStyle="1">
    <w:name w:val="_Style 63"/>
    <w:basedOn w:val="862"/>
    <w:next w:val="857"/>
    <w:link w:val="1148"/>
    <w:uiPriority w:val="0"/>
    <w:qFormat/>
    <w:pPr>
      <w:ind w:firstLine="420"/>
    </w:pPr>
    <w:rPr>
      <w:rFonts w:ascii="Times New Roman" w:hAnsi="Times New Roman"/>
    </w:rPr>
  </w:style>
  <w:style w:type="character" w:styleId="1150" w:customStyle="1">
    <w:name w:val="标书正文 Char1"/>
    <w:link w:val="1151"/>
    <w:uiPriority w:val="0"/>
    <w:qFormat/>
    <w:rPr>
      <w:color w:val="000000"/>
      <w:sz w:val="22"/>
      <w:szCs w:val="28"/>
      <w:lang w:eastAsia="en-US"/>
    </w:rPr>
  </w:style>
  <w:style w:type="paragraph" w:styleId="1151" w:customStyle="1">
    <w:name w:val="标书正文"/>
    <w:basedOn w:val="857"/>
    <w:link w:val="115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152" w:customStyle="1">
    <w:name w:val="font01"/>
    <w:basedOn w:val="821"/>
    <w:link w:val="811"/>
    <w:uiPriority w:val="0"/>
    <w:qFormat/>
    <w:rPr>
      <w:rFonts w:ascii="仿宋" w:hAnsi="仿宋" w:eastAsia="仿宋"/>
      <w:color w:val="000000"/>
      <w:sz w:val="20"/>
      <w:szCs w:val="20"/>
      <w:u w:val="none"/>
    </w:rPr>
  </w:style>
  <w:style w:type="character" w:styleId="1153" w:customStyle="1">
    <w:name w:val="标题 3 Char"/>
    <w:link w:val="811"/>
    <w:uiPriority w:val="0"/>
    <w:qFormat/>
    <w:rPr>
      <w:rFonts w:ascii="Arial" w:hAnsi="Arial" w:eastAsia="宋体"/>
      <w:b/>
      <w:sz w:val="32"/>
      <w:szCs w:val="20"/>
    </w:rPr>
  </w:style>
  <w:style w:type="character" w:styleId="1154" w:customStyle="1">
    <w:name w:val="批注主题 Char"/>
    <w:link w:val="811"/>
    <w:uiPriority w:val="0"/>
    <w:semiHidden/>
    <w:qFormat/>
    <w:rPr>
      <w:rFonts w:ascii="Times New Roman" w:hAnsi="Times New Roman"/>
      <w:b/>
      <w:bCs/>
      <w:sz w:val="21"/>
    </w:rPr>
  </w:style>
  <w:style w:type="character" w:styleId="1155" w:customStyle="1">
    <w:name w:val="font41"/>
    <w:link w:val="811"/>
    <w:uiPriority w:val="0"/>
    <w:qFormat/>
    <w:rPr>
      <w:rFonts w:ascii="Symbol" w:hAnsi="Symbol"/>
      <w:color w:val="000000"/>
      <w:sz w:val="20"/>
      <w:szCs w:val="20"/>
      <w:u w:val="none"/>
    </w:rPr>
  </w:style>
  <w:style w:type="character" w:styleId="1156" w:customStyle="1">
    <w:name w:val="文档结构图 Char"/>
    <w:link w:val="811"/>
    <w:uiPriority w:val="0"/>
    <w:semiHidden/>
    <w:qFormat/>
    <w:rPr>
      <w:rFonts w:ascii="宋体"/>
      <w:sz w:val="18"/>
      <w:szCs w:val="18"/>
    </w:rPr>
  </w:style>
  <w:style w:type="character" w:styleId="1157" w:customStyle="1">
    <w:name w:val="文档结构图 字符"/>
    <w:link w:val="811"/>
    <w:uiPriority w:val="0"/>
    <w:qFormat/>
    <w:rPr>
      <w:rFonts w:ascii="Microsoft YaHei UI" w:eastAsia="Microsoft YaHei UI"/>
      <w:sz w:val="18"/>
      <w:szCs w:val="18"/>
    </w:rPr>
  </w:style>
  <w:style w:type="character" w:styleId="1158" w:customStyle="1">
    <w:name w:val="正文文本 Char"/>
    <w:link w:val="811"/>
    <w:uiPriority w:val="0"/>
    <w:qFormat/>
    <w:rPr>
      <w:sz w:val="21"/>
      <w:szCs w:val="24"/>
    </w:rPr>
  </w:style>
  <w:style w:type="character" w:styleId="1159" w:customStyle="1">
    <w:name w:val="标题 2 Char"/>
    <w:link w:val="811"/>
    <w:uiPriority w:val="0"/>
    <w:qFormat/>
    <w:rPr>
      <w:rFonts w:ascii="Cambria" w:hAnsi="Cambria" w:eastAsia="宋体"/>
      <w:b/>
      <w:bCs/>
      <w:sz w:val="32"/>
      <w:szCs w:val="32"/>
    </w:rPr>
  </w:style>
  <w:style w:type="character" w:styleId="1160" w:customStyle="1">
    <w:name w:val="纯文本 Char1"/>
    <w:link w:val="811"/>
    <w:uiPriority w:val="0"/>
    <w:qFormat/>
    <w:rPr>
      <w:rFonts w:ascii="宋体" w:hAnsi="Courier New" w:eastAsia="宋体"/>
      <w:sz w:val="20"/>
      <w:szCs w:val="20"/>
    </w:rPr>
  </w:style>
  <w:style w:type="character" w:styleId="1161" w:customStyle="1">
    <w:name w:val="页脚 Char"/>
    <w:link w:val="811"/>
    <w:uiPriority w:val="0"/>
    <w:qFormat/>
    <w:rPr>
      <w:sz w:val="18"/>
      <w:szCs w:val="18"/>
    </w:rPr>
  </w:style>
  <w:style w:type="character" w:styleId="1162" w:customStyle="1">
    <w:name w:val="NormalCharacter1"/>
    <w:link w:val="811"/>
    <w:uiPriority w:val="0"/>
    <w:semiHidden/>
    <w:qFormat/>
    <w:rPr>
      <w:sz w:val="28"/>
      <w:lang w:val="en-US" w:eastAsia="zh-CN" w:bidi="ar-SA"/>
    </w:rPr>
  </w:style>
  <w:style w:type="paragraph" w:styleId="1163" w:customStyle="1">
    <w:name w:val="普通(网站)1"/>
    <w:basedOn w:val="857"/>
    <w:uiPriority w:val="0"/>
    <w:qFormat/>
    <w:pPr>
      <w:jc w:val="left"/>
      <w:spacing w:before="100" w:beforeAutospacing="1" w:after="100" w:afterAutospacing="1"/>
      <w:widowControl/>
    </w:pPr>
    <w:rPr>
      <w:rFonts w:ascii="宋体" w:hAnsi="宋体"/>
      <w:sz w:val="24"/>
    </w:rPr>
  </w:style>
  <w:style w:type="paragraph" w:styleId="1164" w:customStyle="1">
    <w:name w:val="文本块1"/>
    <w:basedOn w:val="857"/>
    <w:uiPriority w:val="0"/>
    <w:qFormat/>
    <w:pPr>
      <w:ind w:left="420" w:right="33"/>
      <w:jc w:val="left"/>
    </w:pPr>
    <w:rPr>
      <w:sz w:val="24"/>
      <w:szCs w:val="20"/>
    </w:rPr>
  </w:style>
  <w:style w:type="paragraph" w:styleId="1165" w:customStyle="1">
    <w:name w:val="索引 41"/>
    <w:basedOn w:val="857"/>
    <w:next w:val="857"/>
    <w:uiPriority w:val="0"/>
    <w:qFormat/>
    <w:pPr>
      <w:ind w:left="600"/>
    </w:pPr>
    <w:rPr>
      <w:rFonts w:ascii="Calibri" w:hAnsi="Calibri"/>
      <w:sz w:val="22"/>
      <w:szCs w:val="22"/>
    </w:rPr>
  </w:style>
  <w:style w:type="paragraph" w:styleId="1166" w:customStyle="1">
    <w:name w:val="_Style 48"/>
    <w:basedOn w:val="857"/>
    <w:next w:val="1167"/>
    <w:uiPriority w:val="0"/>
    <w:qFormat/>
    <w:pPr>
      <w:ind w:firstLine="420"/>
    </w:pPr>
    <w:rPr>
      <w:rFonts w:eastAsia="微软雅黑"/>
      <w:sz w:val="24"/>
    </w:rPr>
  </w:style>
  <w:style w:type="paragraph" w:styleId="1167" w:customStyle="1">
    <w:name w:val="列出段落1"/>
    <w:basedOn w:val="857"/>
    <w:uiPriority w:val="0"/>
    <w:qFormat/>
    <w:pPr>
      <w:ind w:firstLine="420"/>
    </w:pPr>
  </w:style>
  <w:style w:type="paragraph" w:styleId="116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69" w:customStyle="1">
    <w:name w:val="_Style 100"/>
    <w:basedOn w:val="857"/>
    <w:next w:val="857"/>
    <w:uiPriority w:val="0"/>
    <w:qFormat/>
    <w:pPr>
      <w:ind w:left="420"/>
    </w:pPr>
    <w:rPr>
      <w:rFonts w:ascii="Calibri" w:hAnsi="Calibri"/>
      <w:sz w:val="22"/>
      <w:szCs w:val="22"/>
    </w:rPr>
  </w:style>
  <w:style w:type="paragraph" w:styleId="1170" w:customStyle="1">
    <w:name w:val="p0"/>
    <w:basedOn w:val="857"/>
    <w:uiPriority w:val="0"/>
    <w:qFormat/>
    <w:pPr>
      <w:widowControl/>
    </w:pPr>
    <w:rPr>
      <w:szCs w:val="21"/>
    </w:rPr>
  </w:style>
  <w:style w:type="paragraph" w:styleId="1171" w:customStyle="1">
    <w:name w:val="一级条标题"/>
    <w:basedOn w:val="1172"/>
    <w:next w:val="11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2" w:customStyle="1">
    <w:name w:val="章标题"/>
    <w:next w:val="85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73" w:customStyle="1">
    <w:name w:val="段"/>
    <w:basedOn w:val="857"/>
    <w:next w:val="857"/>
    <w:uiPriority w:val="0"/>
    <w:qFormat/>
    <w:pPr>
      <w:ind w:firstLine="200"/>
      <w:widowControl/>
    </w:pPr>
    <w:rPr>
      <w:rFonts w:ascii="宋体"/>
      <w:sz w:val="20"/>
      <w:szCs w:val="20"/>
    </w:rPr>
  </w:style>
  <w:style w:type="paragraph" w:styleId="1174" w:customStyle="1">
    <w:name w:val="TOC 标题2"/>
    <w:basedOn w:val="1095"/>
    <w:next w:val="857"/>
    <w:uiPriority w:val="0"/>
    <w:qFormat/>
    <w:pPr>
      <w:jc w:val="left"/>
      <w:spacing w:before="480" w:line="276" w:lineRule="auto"/>
      <w:widowControl/>
      <w:outlineLvl w:val="9"/>
    </w:pPr>
    <w:rPr>
      <w:rFonts w:ascii="Cambria" w:hAnsi="Cambria" w:eastAsia="宋体"/>
      <w:color w:val="365f91"/>
      <w:sz w:val="28"/>
      <w:szCs w:val="28"/>
    </w:rPr>
  </w:style>
  <w:style w:type="paragraph" w:styleId="1175" w:customStyle="1">
    <w:name w:val="修订1"/>
    <w:uiPriority w:val="0"/>
    <w:qFormat/>
    <w:rPr>
      <w:rFonts w:hint="default" w:ascii="Times New Roman" w:hAnsi="Times New Roman" w:eastAsia="宋体" w:cs="Times New Roman"/>
      <w:sz w:val="21"/>
      <w:szCs w:val="24"/>
      <w:lang w:val="en-US" w:eastAsia="zh-CN" w:bidi="ar-SA"/>
    </w:rPr>
  </w:style>
  <w:style w:type="paragraph" w:styleId="1176" w:customStyle="1">
    <w:name w:val="UserStyle_1"/>
    <w:basedOn w:val="857"/>
    <w:uiPriority w:val="0"/>
    <w:qFormat/>
    <w:pPr>
      <w:ind w:left="-6" w:hanging="99"/>
      <w:jc w:val="left"/>
    </w:pPr>
    <w:rPr>
      <w:rFonts w:ascii="宋体"/>
      <w:b/>
    </w:rPr>
  </w:style>
  <w:style w:type="paragraph" w:styleId="1177" w:customStyle="1">
    <w:name w:val="首行缩进"/>
    <w:basedOn w:val="857"/>
    <w:uiPriority w:val="0"/>
    <w:qFormat/>
    <w:pPr>
      <w:ind w:firstLine="480"/>
    </w:pPr>
    <w:rPr>
      <w:sz w:val="20"/>
      <w:szCs w:val="20"/>
      <w:lang w:val="zh-CN"/>
    </w:rPr>
  </w:style>
  <w:style w:type="paragraph" w:styleId="1178" w:customStyle="1">
    <w:name w:val="Other|1"/>
    <w:basedOn w:val="857"/>
    <w:uiPriority w:val="0"/>
    <w:qFormat/>
    <w:pPr>
      <w:ind w:firstLine="400"/>
      <w:spacing w:line="418" w:lineRule="auto"/>
    </w:pPr>
    <w:rPr>
      <w:rFonts w:ascii="宋体" w:hAnsi="宋体"/>
      <w:sz w:val="30"/>
      <w:szCs w:val="30"/>
      <w:lang w:val="zh-TW" w:eastAsia="zh-TW" w:bidi="zh-TW"/>
    </w:rPr>
  </w:style>
  <w:style w:type="paragraph" w:styleId="1179" w:customStyle="1">
    <w:name w:val="投标文件正文"/>
    <w:basedOn w:val="857"/>
    <w:uiPriority w:val="0"/>
    <w:qFormat/>
    <w:pPr>
      <w:ind w:firstLine="200"/>
      <w:spacing w:before="40" w:after="40" w:line="400" w:lineRule="exact"/>
    </w:pPr>
    <w:rPr>
      <w:sz w:val="24"/>
    </w:rPr>
  </w:style>
  <w:style w:type="paragraph" w:styleId="1180" w:customStyle="1">
    <w:name w:val="179"/>
    <w:basedOn w:val="857"/>
    <w:uiPriority w:val="0"/>
    <w:qFormat/>
    <w:pPr>
      <w:ind w:firstLine="420"/>
      <w:jc w:val="left"/>
      <w:widowControl/>
    </w:pPr>
    <w:rPr>
      <w:rFonts w:ascii="宋体" w:hAnsi="宋体"/>
      <w:sz w:val="24"/>
    </w:rPr>
  </w:style>
  <w:style w:type="paragraph" w:styleId="1181"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82" w:customStyle="1">
    <w:name w:val="列出段落11"/>
    <w:basedOn w:val="857"/>
    <w:uiPriority w:val="0"/>
    <w:qFormat/>
    <w:pPr>
      <w:ind w:firstLine="420"/>
    </w:pPr>
    <w:rPr>
      <w:rFonts w:ascii="Calibri" w:hAnsi="Calibri"/>
    </w:rPr>
  </w:style>
  <w:style w:type="paragraph" w:styleId="1183" w:customStyle="1">
    <w:name w:val="_Style 15"/>
    <w:basedOn w:val="857"/>
    <w:next w:val="1167"/>
    <w:uiPriority w:val="0"/>
    <w:qFormat/>
    <w:pPr>
      <w:ind w:firstLine="420"/>
    </w:pPr>
    <w:rPr>
      <w:rFonts w:ascii="Calibri" w:hAnsi="Calibri"/>
      <w:sz w:val="22"/>
      <w:szCs w:val="22"/>
    </w:rPr>
  </w:style>
  <w:style w:type="paragraph" w:styleId="1184" w:customStyle="1">
    <w:name w:val="one-p"/>
    <w:basedOn w:val="857"/>
    <w:uiPriority w:val="0"/>
    <w:qFormat/>
    <w:pPr>
      <w:jc w:val="left"/>
      <w:spacing w:before="100" w:beforeAutospacing="1" w:after="100" w:afterAutospacing="1"/>
      <w:widowControl/>
    </w:pPr>
    <w:rPr>
      <w:rFonts w:ascii="宋体" w:hAnsi="宋体"/>
      <w:sz w:val="24"/>
    </w:rPr>
  </w:style>
  <w:style w:type="paragraph" w:styleId="1185" w:customStyle="1">
    <w:name w:val="BodyTextIndent1"/>
    <w:basedOn w:val="857"/>
    <w:uiPriority w:val="0"/>
    <w:qFormat/>
    <w:pPr>
      <w:ind w:left="420"/>
      <w:spacing w:after="120"/>
    </w:pPr>
    <w:rPr>
      <w:sz w:val="28"/>
      <w:szCs w:val="20"/>
    </w:rPr>
  </w:style>
  <w:style w:type="paragraph" w:styleId="118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87" w:customStyle="1">
    <w:name w:val="网格型11"/>
    <w:basedOn w:val="1107"/>
    <w:uiPriority w:val="0"/>
    <w:qFormat/>
    <w:pPr>
      <w:jc w:val="both"/>
      <w:widowControl w:val="off"/>
    </w:pPr>
    <w:tblPr/>
  </w:style>
  <w:style w:type="table" w:styleId="1188" w:customStyle="1">
    <w:name w:val="网格型1"/>
    <w:basedOn w:val="1107"/>
    <w:uiPriority w:val="0"/>
    <w:qFormat/>
    <w:pPr>
      <w:jc w:val="both"/>
      <w:widowControl w:val="off"/>
    </w:pPr>
    <w:tblPr/>
  </w:style>
  <w:style w:type="paragraph" w:styleId="1189" w:customStyle="1">
    <w:name w:val="B1"/>
    <w:basedOn w:val="811"/>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90" w:customStyle="1">
    <w:name w:val="B2"/>
    <w:basedOn w:val="811"/>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91" w:customStyle="1">
    <w:name w:val="B3"/>
    <w:basedOn w:val="1190"/>
    <w:uiPriority w:val="0"/>
    <w:qFormat/>
    <w:pPr>
      <w:numPr>
        <w:ilvl w:val="2"/>
      </w:numPr>
      <w:ind w:left="1416" w:hanging="1416"/>
      <w:outlineLvl w:val="2"/>
    </w:pPr>
    <w:rPr>
      <w:b w:val="0"/>
    </w:rPr>
  </w:style>
  <w:style w:type="paragraph" w:styleId="1192" w:customStyle="1">
    <w:name w:val="正文2"/>
    <w:basedOn w:val="911"/>
    <w:uiPriority w:val="0"/>
    <w:qFormat/>
    <w:pPr>
      <w:ind w:firstLine="200"/>
      <w:spacing w:beforeAutospacing="0" w:afterAutospacing="0" w:line="360" w:lineRule="auto"/>
    </w:pPr>
    <w:rPr>
      <w:color w:val="393939"/>
      <w:shd w:val="clear" w:color="auto" w:fill="ffffff"/>
    </w:rPr>
  </w:style>
  <w:style w:type="paragraph" w:styleId="1193" w:customStyle="1">
    <w:name w:val="Plain Text1"/>
    <w:basedOn w:val="811"/>
    <w:uiPriority w:val="0"/>
    <w:qFormat/>
    <w:rPr>
      <w:rFonts w:ascii="宋体" w:hAnsi="宋体" w:eastAsia="楷体_GB2312"/>
      <w:sz w:val="26"/>
    </w:rPr>
  </w:style>
  <w:style w:type="character" w:styleId="1194" w:customStyle="1">
    <w:name w:val="fontstyle01"/>
    <w:link w:val="811"/>
    <w:uiPriority w:val="0"/>
    <w:qFormat/>
    <w:rPr>
      <w:rFonts w:ascii="HYa4gj" w:hAnsi="HYa4gj"/>
      <w:color w:val="000000"/>
      <w:sz w:val="26"/>
      <w:szCs w:val="26"/>
    </w:rPr>
  </w:style>
  <w:style w:type="paragraph" w:styleId="1195"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96" w:customStyle="1">
    <w:name w:val="Table Normal"/>
    <w:uiPriority w:val="2"/>
    <w:semiHidden/>
    <w:unhideWhenUsed/>
    <w:qFormat/>
    <w:tblPr>
      <w:tblCellMar>
        <w:left w:w="0" w:type="dxa"/>
        <w:top w:w="0" w:type="dxa"/>
        <w:right w:w="0" w:type="dxa"/>
        <w:bottom w:w="0" w:type="dxa"/>
      </w:tblCellMar>
    </w:tblPr>
  </w:style>
  <w:style w:type="paragraph" w:styleId="1197"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98" w:customStyle="1">
    <w:name w:val="正文表格内"/>
    <w:basedOn w:val="811"/>
    <w:uiPriority w:val="0"/>
    <w:qFormat/>
    <w:pPr>
      <w:jc w:val="center"/>
    </w:pPr>
    <w:rPr>
      <w:rFonts w:ascii="微软雅黑 Light" w:hAnsi="微软雅黑 Light" w:eastAsia="微软雅黑 Light" w:cs="Times New Roman"/>
      <w:sz w:val="24"/>
      <w:lang w:val="zh-CN"/>
    </w:rPr>
  </w:style>
  <w:style w:type="paragraph" w:styleId="1199" w:customStyle="1">
    <w:name w:val="正文1111"/>
    <w:next w:val="12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文本块2"/>
    <w:basedOn w:val="1199"/>
    <w:uiPriority w:val="0"/>
    <w:qFormat/>
    <w:pPr>
      <w:ind w:left="420" w:right="33"/>
      <w:jc w:val="left"/>
    </w:pPr>
    <w:rPr>
      <w:sz w:val="24"/>
      <w:szCs w:val="20"/>
    </w:rPr>
  </w:style>
  <w:style w:type="paragraph" w:styleId="1201" w:customStyle="1">
    <w:name w:val="正文文本111"/>
    <w:basedOn w:val="855"/>
    <w:next w:val="855"/>
    <w:uiPriority w:val="0"/>
    <w:qFormat/>
  </w:style>
  <w:style w:type="character" w:styleId="1202" w:customStyle="1">
    <w:name w:val="font11"/>
    <w:basedOn w:val="821"/>
    <w:uiPriority w:val="0"/>
    <w:qFormat/>
    <w:rPr>
      <w:rFonts w:hint="eastAsia" w:ascii="宋体" w:hAnsi="宋体" w:eastAsia="宋体" w:cs="宋体"/>
      <w:color w:val="000000"/>
      <w:sz w:val="22"/>
      <w:szCs w:val="22"/>
      <w:u w:val="none"/>
    </w:rPr>
  </w:style>
  <w:style w:type="paragraph" w:styleId="120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04" w:customStyle="1">
    <w:name w:val="标题 22"/>
    <w:basedOn w:val="811"/>
    <w:next w:val="811"/>
    <w:uiPriority w:val="0"/>
    <w:unhideWhenUsed/>
    <w:qFormat/>
    <w:pPr>
      <w:keepLines/>
      <w:keepNext/>
      <w:spacing w:before="260" w:after="260" w:line="416" w:lineRule="auto"/>
      <w:outlineLvl w:val="1"/>
    </w:pPr>
    <w:rPr>
      <w:rFonts w:ascii="Cambria" w:hAnsi="Cambria"/>
      <w:b/>
      <w:bCs/>
      <w:sz w:val="32"/>
      <w:szCs w:val="32"/>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23</cp:revision>
  <dcterms:created xsi:type="dcterms:W3CDTF">2022-07-14T10:59:00Z</dcterms:created>
  <dcterms:modified xsi:type="dcterms:W3CDTF">2026-10-29T08:11:48Z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ECA81D1A48864E52AFB6D3CD694624D4_13</vt:lpwstr>
  </property>
  <property fmtid="{D5CDD505-2E9C-101B-9397-08002B2CF9AE}" pid="4" name="KSOTemplateDocerSaveRecord">
    <vt:lpwstr>eyJoZGlkIjoiMjY4ZjA3ZWM0NTJjZjFlNDIwYzRhYmNjNzczYThjOTMiLCJ1c2VySWQiOiIzNTk1NzI2NTUifQ==</vt:lpwstr>
  </property>
</Properties>
</file>