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59"/>
        <w:spacing w:line="360" w:lineRule="auto"/>
        <w:rPr>
          <w:b/>
          <w:bCs/>
          <w:sz w:val="72"/>
          <w:szCs w:val="72"/>
        </w:rPr>
      </w:pPr>
      <w:r>
        <w:rPr>
          <w:b/>
          <w:bCs/>
          <w:sz w:val="72"/>
          <w:szCs w:val="72"/>
        </w:rPr>
      </w:r>
      <w:r/>
    </w:p>
    <w:p>
      <w:pPr>
        <w:pStyle w:val="1559"/>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559"/>
        <w:jc w:val="center"/>
        <w:spacing w:line="360" w:lineRule="auto"/>
        <w:rPr>
          <w:rFonts w:hint="eastAsia" w:eastAsia="华文中宋"/>
          <w:b/>
          <w:sz w:val="52"/>
          <w:szCs w:val="52"/>
        </w:rPr>
      </w:pPr>
      <w:r>
        <w:rPr>
          <w:rFonts w:hint="eastAsia" w:eastAsia="华文中宋"/>
          <w:b/>
          <w:sz w:val="52"/>
          <w:szCs w:val="52"/>
        </w:rPr>
        <w:t xml:space="preserve">江苏省计量科学研究院</w:t>
      </w:r>
      <w:r>
        <w:rPr>
          <w:rFonts w:hint="eastAsia" w:eastAsia="华文中宋"/>
          <w:b/>
          <w:sz w:val="52"/>
          <w:szCs w:val="52"/>
        </w:rPr>
      </w:r>
      <w:r/>
    </w:p>
    <w:p>
      <w:pPr>
        <w:pStyle w:val="1559"/>
        <w:jc w:val="center"/>
        <w:spacing w:line="360" w:lineRule="auto"/>
        <w:rPr>
          <w:rFonts w:hint="eastAsia" w:eastAsia="华文中宋"/>
          <w:b/>
          <w:sz w:val="52"/>
          <w:szCs w:val="52"/>
        </w:rPr>
      </w:pPr>
      <w:r>
        <w:rPr>
          <w:rFonts w:hint="eastAsia" w:eastAsia="华文中宋"/>
          <w:b/>
          <w:sz w:val="52"/>
          <w:szCs w:val="52"/>
        </w:rPr>
        <w:t xml:space="preserve">（江苏省能源计量数据中心）</w:t>
      </w:r>
      <w:r>
        <w:rPr>
          <w:rFonts w:hint="eastAsia" w:eastAsia="华文中宋"/>
          <w:b/>
          <w:sz w:val="52"/>
          <w:szCs w:val="52"/>
        </w:rPr>
      </w:r>
      <w:r/>
    </w:p>
    <w:p>
      <w:pPr>
        <w:pStyle w:val="1559"/>
        <w:jc w:val="center"/>
        <w:spacing w:line="360" w:lineRule="auto"/>
        <w:rPr>
          <w:rFonts w:hint="eastAsia" w:eastAsia="华文中宋"/>
          <w:b/>
          <w:sz w:val="52"/>
          <w:szCs w:val="52"/>
        </w:rPr>
      </w:pPr>
      <w:r>
        <w:rPr>
          <w:rFonts w:hint="eastAsia" w:eastAsia="华文中宋"/>
          <w:b/>
          <w:sz w:val="52"/>
          <w:szCs w:val="52"/>
        </w:rPr>
      </w:r>
      <w:r/>
    </w:p>
    <w:p>
      <w:pPr>
        <w:pStyle w:val="1559"/>
        <w:jc w:val="center"/>
        <w:spacing w:line="360" w:lineRule="auto"/>
        <w:rPr>
          <w:rFonts w:hint="eastAsia" w:eastAsia="华文中宋"/>
          <w:bCs/>
          <w:sz w:val="52"/>
          <w:szCs w:val="15"/>
        </w:rPr>
      </w:pPr>
      <w:r>
        <w:rPr>
          <w:rFonts w:hint="eastAsia" w:eastAsia="华文中宋"/>
          <w:bCs/>
          <w:sz w:val="40"/>
          <w:szCs w:val="40"/>
        </w:rPr>
        <w:t xml:space="preserve">江苏省计量院2026年社会公用计量标准设备更新项目</w:t>
      </w:r>
      <w:r>
        <w:rPr>
          <w:rFonts w:hint="eastAsia" w:eastAsia="华文中宋"/>
          <w:bCs/>
          <w:sz w:val="52"/>
          <w:szCs w:val="15"/>
        </w:rPr>
      </w:r>
      <w:r/>
    </w:p>
    <w:p>
      <w:pPr>
        <w:pStyle w:val="1559"/>
        <w:jc w:val="center"/>
        <w:spacing w:line="360" w:lineRule="auto"/>
        <w:rPr>
          <w:b/>
          <w:sz w:val="72"/>
          <w:szCs w:val="72"/>
        </w:rPr>
      </w:pPr>
      <w:r>
        <w:rPr>
          <w:b/>
          <w:sz w:val="72"/>
          <w:szCs w:val="72"/>
        </w:rPr>
      </w:r>
      <w:r/>
    </w:p>
    <w:p>
      <w:pPr>
        <w:pStyle w:val="1559"/>
        <w:jc w:val="center"/>
        <w:spacing w:line="360" w:lineRule="auto"/>
        <w:rPr>
          <w:b/>
          <w:sz w:val="72"/>
          <w:szCs w:val="72"/>
        </w:rPr>
      </w:pPr>
      <w:r>
        <w:rPr>
          <w:b/>
          <w:sz w:val="72"/>
          <w:szCs w:val="72"/>
        </w:rPr>
        <w:t xml:space="preserve">招标文件</w:t>
      </w:r>
      <w:r>
        <w:rPr>
          <w:b/>
          <w:sz w:val="72"/>
          <w:szCs w:val="72"/>
        </w:rPr>
      </w:r>
      <w:r/>
    </w:p>
    <w:p>
      <w:pPr>
        <w:pStyle w:val="1559"/>
        <w:jc w:val="center"/>
        <w:spacing w:line="360" w:lineRule="auto"/>
        <w:rPr>
          <w:bCs/>
          <w:sz w:val="36"/>
        </w:rPr>
      </w:pPr>
      <w:r>
        <w:rPr>
          <w:bCs/>
          <w:sz w:val="36"/>
        </w:rPr>
      </w:r>
      <w:r/>
    </w:p>
    <w:p>
      <w:pPr>
        <w:pStyle w:val="1559"/>
        <w:jc w:val="center"/>
        <w:spacing w:line="440" w:lineRule="exact"/>
        <w:rPr>
          <w:bCs/>
          <w:sz w:val="36"/>
        </w:rPr>
      </w:pPr>
      <w:r>
        <w:rPr>
          <w:bCs/>
          <w:sz w:val="36"/>
        </w:rPr>
      </w:r>
      <w:r/>
    </w:p>
    <w:p>
      <w:pPr>
        <w:pStyle w:val="1559"/>
        <w:jc w:val="center"/>
        <w:spacing w:line="440" w:lineRule="exact"/>
        <w:rPr>
          <w:bCs/>
          <w:sz w:val="52"/>
        </w:rPr>
      </w:pPr>
      <w:r>
        <w:rPr>
          <w:bCs/>
          <w:sz w:val="52"/>
        </w:rPr>
      </w:r>
      <w:r/>
    </w:p>
    <w:p>
      <w:pPr>
        <w:pStyle w:val="1628"/>
        <w:ind w:firstLine="0"/>
      </w:pPr>
      <w:r/>
      <w:r/>
    </w:p>
    <w:p>
      <w:pPr>
        <w:pStyle w:val="1628"/>
        <w:ind w:firstLine="0"/>
      </w:pPr>
      <w:r/>
      <w:r/>
    </w:p>
    <w:p>
      <w:pPr>
        <w:pStyle w:val="1559"/>
        <w:jc w:val="left"/>
        <w:rPr>
          <w:b/>
          <w:sz w:val="32"/>
          <w:szCs w:val="32"/>
        </w:rPr>
      </w:pPr>
      <w:r>
        <w:rPr>
          <w:b/>
          <w:sz w:val="32"/>
          <w:szCs w:val="32"/>
        </w:rPr>
        <w:t xml:space="preserve">项目编号：</w:t>
      </w:r>
      <w:r>
        <w:rPr>
          <w:rFonts w:hint="eastAsia"/>
          <w:b/>
          <w:sz w:val="32"/>
          <w:szCs w:val="32"/>
          <w:lang w:eastAsia="zh-CN"/>
        </w:rPr>
        <w:t xml:space="preserve">JSZC-320000-SMDY-G2026-0089</w:t>
      </w:r>
      <w:r>
        <w:rPr>
          <w:b/>
          <w:sz w:val="32"/>
          <w:szCs w:val="32"/>
        </w:rPr>
        <w:t xml:space="preserve">（</w:t>
      </w:r>
      <w:r>
        <w:rPr>
          <w:rFonts w:hint="eastAsia"/>
          <w:b/>
          <w:sz w:val="32"/>
          <w:szCs w:val="32"/>
        </w:rPr>
        <w:t xml:space="preserve">2640SUMEC/ZWGG2156</w:t>
      </w:r>
      <w:r>
        <w:rPr>
          <w:b/>
          <w:sz w:val="32"/>
          <w:szCs w:val="32"/>
        </w:rPr>
        <w:t xml:space="preserve">）</w:t>
      </w:r>
      <w:r>
        <w:rPr>
          <w:b/>
          <w:sz w:val="32"/>
          <w:szCs w:val="32"/>
        </w:rPr>
      </w:r>
      <w:r/>
    </w:p>
    <w:p>
      <w:pPr>
        <w:pStyle w:val="1559"/>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江苏省计量科学研究院（江苏省能源计量数据中心）</w:t>
      </w:r>
      <w:r>
        <w:rPr>
          <w:rFonts w:hint="eastAsia"/>
          <w:b/>
          <w:sz w:val="32"/>
          <w:szCs w:val="32"/>
        </w:rPr>
      </w:r>
      <w:r/>
    </w:p>
    <w:p>
      <w:pPr>
        <w:pStyle w:val="1559"/>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628"/>
        <w:ind w:firstLine="0"/>
      </w:pPr>
      <w:r/>
      <w:r/>
    </w:p>
    <w:p>
      <w:pPr>
        <w:pStyle w:val="1559"/>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1</w:t>
      </w:r>
      <w:r>
        <w:rPr>
          <w:rFonts w:hint="eastAsia"/>
          <w:b/>
          <w:sz w:val="36"/>
          <w:szCs w:val="36"/>
          <w:lang w:val="en-US" w:eastAsia="zh-CN"/>
        </w:rPr>
        <w:t xml:space="preserve">0</w:t>
      </w:r>
      <w:r>
        <w:rPr>
          <w:b/>
          <w:sz w:val="36"/>
          <w:szCs w:val="36"/>
        </w:rPr>
        <w:t xml:space="preserve">月</w:t>
      </w:r>
      <w:r>
        <w:rPr>
          <w:b/>
          <w:sz w:val="36"/>
          <w:szCs w:val="36"/>
        </w:rPr>
      </w:r>
      <w:r/>
    </w:p>
    <w:p>
      <w:pPr>
        <w:pStyle w:val="1559"/>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559"/>
        <w:jc w:val="center"/>
        <w:spacing w:line="440" w:lineRule="exact"/>
        <w:rPr>
          <w:b/>
          <w:sz w:val="32"/>
        </w:rPr>
      </w:pPr>
      <w:r>
        <w:rPr>
          <w:b/>
          <w:sz w:val="32"/>
        </w:rPr>
        <w:t xml:space="preserve">目   录</w:t>
      </w:r>
      <w:r>
        <w:rPr>
          <w:b/>
          <w:sz w:val="32"/>
        </w:rPr>
      </w:r>
      <w:r/>
    </w:p>
    <w:p>
      <w:pPr>
        <w:pStyle w:val="1612"/>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_Toc30069 </w:instrText>
      </w:r>
      <w:r>
        <w:rPr>
          <w:bCs/>
        </w:rPr>
        <w:fldChar w:fldCharType="separate"/>
      </w:r>
      <w:r>
        <w:rPr>
          <w:szCs w:val="28"/>
        </w:rPr>
        <w:t xml:space="preserve">第一章 投标邀请（招标公告）</w:t>
      </w:r>
      <w:r>
        <w:tab/>
      </w:r>
      <w:r>
        <w:fldChar w:fldCharType="begin"/>
      </w:r>
      <w:r>
        <w:instrText xml:space="preserve"> PAGEREF _Toc30069 \h </w:instrText>
      </w:r>
      <w:r>
        <w:fldChar w:fldCharType="separate"/>
      </w:r>
      <w:r>
        <w:t xml:space="preserve">1</w:t>
      </w:r>
      <w:r>
        <w:fldChar w:fldCharType="end"/>
      </w:r>
      <w:r>
        <w:rPr>
          <w:bCs/>
        </w:rPr>
        <w:fldChar w:fldCharType="end"/>
      </w:r>
      <w:r/>
    </w:p>
    <w:p>
      <w:pPr>
        <w:pStyle w:val="1612"/>
        <w:tabs>
          <w:tab w:val="right" w:pos="9638" w:leader="dot"/>
        </w:tabs>
      </w:pPr>
      <w:r>
        <w:rPr>
          <w:bCs/>
        </w:rPr>
        <w:fldChar w:fldCharType="begin"/>
      </w:r>
      <w:r>
        <w:rPr>
          <w:bCs/>
        </w:rPr>
        <w:instrText xml:space="preserve"> HYPERLINK \l _Toc29461 </w:instrText>
      </w:r>
      <w:r>
        <w:rPr>
          <w:bCs/>
        </w:rPr>
        <w:fldChar w:fldCharType="separate"/>
      </w:r>
      <w:r>
        <w:rPr>
          <w:szCs w:val="28"/>
        </w:rPr>
        <w:t xml:space="preserve">第二章 投标人须知</w:t>
      </w:r>
      <w:r>
        <w:tab/>
      </w:r>
      <w:r>
        <w:fldChar w:fldCharType="begin"/>
      </w:r>
      <w:r>
        <w:instrText xml:space="preserve"> PAGEREF _Toc29461 \h </w:instrText>
      </w:r>
      <w:r>
        <w:fldChar w:fldCharType="separate"/>
      </w:r>
      <w:r>
        <w:t xml:space="preserve">5</w:t>
      </w:r>
      <w:r>
        <w:fldChar w:fldCharType="end"/>
      </w:r>
      <w:r>
        <w:rPr>
          <w:bCs/>
        </w:rPr>
        <w:fldChar w:fldCharType="end"/>
      </w:r>
      <w:r/>
    </w:p>
    <w:p>
      <w:pPr>
        <w:pStyle w:val="1619"/>
        <w:tabs>
          <w:tab w:val="right" w:pos="9638" w:leader="dot"/>
        </w:tabs>
      </w:pPr>
      <w:r>
        <w:rPr>
          <w:bCs/>
        </w:rPr>
        <w:fldChar w:fldCharType="begin"/>
      </w:r>
      <w:r>
        <w:rPr>
          <w:bCs/>
        </w:rPr>
        <w:instrText xml:space="preserve"> HYPERLINK \l _Toc1580 </w:instrText>
      </w:r>
      <w:r>
        <w:rPr>
          <w:bCs/>
        </w:rPr>
        <w:fldChar w:fldCharType="separate"/>
      </w:r>
      <w:r>
        <w:rPr>
          <w:rFonts w:hint="eastAsia" w:ascii="宋体" w:hAnsi="宋体" w:cs="宋体"/>
          <w:bCs/>
          <w:szCs w:val="21"/>
        </w:rPr>
        <w:t xml:space="preserve"> 一、总 则</w:t>
      </w:r>
      <w:r>
        <w:tab/>
      </w:r>
      <w:r>
        <w:fldChar w:fldCharType="begin"/>
      </w:r>
      <w:r>
        <w:instrText xml:space="preserve"> PAGEREF _Toc1580 \h </w:instrText>
      </w:r>
      <w:r>
        <w:fldChar w:fldCharType="separate"/>
      </w:r>
      <w:r>
        <w:t xml:space="preserve">8</w:t>
      </w:r>
      <w:r>
        <w:fldChar w:fldCharType="end"/>
      </w:r>
      <w:r>
        <w:rPr>
          <w:bCs/>
        </w:rPr>
        <w:fldChar w:fldCharType="end"/>
      </w:r>
      <w:r/>
    </w:p>
    <w:p>
      <w:pPr>
        <w:pStyle w:val="1597"/>
        <w:tabs>
          <w:tab w:val="right" w:pos="9638" w:leader="dot"/>
        </w:tabs>
      </w:pPr>
      <w:r>
        <w:rPr>
          <w:bCs/>
        </w:rPr>
        <w:fldChar w:fldCharType="begin"/>
      </w:r>
      <w:r>
        <w:rPr>
          <w:bCs/>
        </w:rPr>
        <w:instrText xml:space="preserve"> HYPERLINK \l _Toc10292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_Toc10292 \h </w:instrText>
      </w:r>
      <w:r>
        <w:fldChar w:fldCharType="separate"/>
      </w:r>
      <w:r>
        <w:t xml:space="preserve">8</w:t>
      </w:r>
      <w:r>
        <w:fldChar w:fldCharType="end"/>
      </w:r>
      <w:r>
        <w:rPr>
          <w:bCs/>
        </w:rPr>
        <w:fldChar w:fldCharType="end"/>
      </w:r>
      <w:r/>
    </w:p>
    <w:p>
      <w:pPr>
        <w:pStyle w:val="1597"/>
        <w:tabs>
          <w:tab w:val="right" w:pos="9638" w:leader="dot"/>
        </w:tabs>
      </w:pPr>
      <w:r>
        <w:rPr>
          <w:bCs/>
        </w:rPr>
        <w:fldChar w:fldCharType="begin"/>
      </w:r>
      <w:r>
        <w:rPr>
          <w:bCs/>
        </w:rPr>
        <w:instrText xml:space="preserve"> HYPERLINK \l _Toc29347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_Toc29347 \h </w:instrText>
      </w:r>
      <w:r>
        <w:fldChar w:fldCharType="separate"/>
      </w:r>
      <w:r>
        <w:t xml:space="preserve">8</w:t>
      </w:r>
      <w:r>
        <w:fldChar w:fldCharType="end"/>
      </w:r>
      <w:r>
        <w:rPr>
          <w:bCs/>
        </w:rPr>
        <w:fldChar w:fldCharType="end"/>
      </w:r>
      <w:r/>
    </w:p>
    <w:p>
      <w:pPr>
        <w:pStyle w:val="1597"/>
        <w:tabs>
          <w:tab w:val="right" w:pos="9638" w:leader="dot"/>
        </w:tabs>
      </w:pPr>
      <w:r>
        <w:rPr>
          <w:bCs/>
        </w:rPr>
        <w:fldChar w:fldCharType="begin"/>
      </w:r>
      <w:r>
        <w:rPr>
          <w:bCs/>
        </w:rPr>
        <w:instrText xml:space="preserve"> HYPERLINK \l _Toc31346 </w:instrText>
      </w:r>
      <w:r>
        <w:rPr>
          <w:bCs/>
        </w:rPr>
        <w:fldChar w:fldCharType="separate"/>
      </w:r>
      <w:r>
        <w:rPr>
          <w:rFonts w:hint="eastAsia" w:ascii="宋体" w:hAnsi="宋体" w:cs="宋体"/>
          <w:szCs w:val="21"/>
        </w:rPr>
        <w:t xml:space="preserve">3.政策功能</w:t>
      </w:r>
      <w:r>
        <w:tab/>
      </w:r>
      <w:r>
        <w:fldChar w:fldCharType="begin"/>
      </w:r>
      <w:r>
        <w:instrText xml:space="preserve"> PAGEREF _Toc31346 \h </w:instrText>
      </w:r>
      <w:r>
        <w:fldChar w:fldCharType="separate"/>
      </w:r>
      <w:r>
        <w:t xml:space="preserve">9</w:t>
      </w:r>
      <w:r>
        <w:fldChar w:fldCharType="end"/>
      </w:r>
      <w:r>
        <w:rPr>
          <w:bCs/>
        </w:rPr>
        <w:fldChar w:fldCharType="end"/>
      </w:r>
      <w:r/>
    </w:p>
    <w:p>
      <w:pPr>
        <w:pStyle w:val="1597"/>
        <w:tabs>
          <w:tab w:val="right" w:pos="9638" w:leader="dot"/>
        </w:tabs>
      </w:pPr>
      <w:r>
        <w:rPr>
          <w:bCs/>
        </w:rPr>
        <w:fldChar w:fldCharType="begin"/>
      </w:r>
      <w:r>
        <w:rPr>
          <w:bCs/>
        </w:rPr>
        <w:instrText xml:space="preserve"> HYPERLINK \l _Toc927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_Toc927 \h </w:instrText>
      </w:r>
      <w:r>
        <w:fldChar w:fldCharType="separate"/>
      </w:r>
      <w:r>
        <w:t xml:space="preserve">10</w:t>
      </w:r>
      <w:r>
        <w:fldChar w:fldCharType="end"/>
      </w:r>
      <w:r>
        <w:rPr>
          <w:bCs/>
        </w:rPr>
        <w:fldChar w:fldCharType="end"/>
      </w:r>
      <w:r/>
    </w:p>
    <w:p>
      <w:pPr>
        <w:pStyle w:val="1597"/>
        <w:tabs>
          <w:tab w:val="right" w:pos="9638" w:leader="dot"/>
        </w:tabs>
      </w:pPr>
      <w:r>
        <w:rPr>
          <w:bCs/>
        </w:rPr>
        <w:fldChar w:fldCharType="begin"/>
      </w:r>
      <w:r>
        <w:rPr>
          <w:bCs/>
        </w:rPr>
        <w:instrText xml:space="preserve"> HYPERLINK \l _Toc17530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_Toc17530 \h </w:instrText>
      </w:r>
      <w:r>
        <w:fldChar w:fldCharType="separate"/>
      </w:r>
      <w:r>
        <w:t xml:space="preserve">10</w:t>
      </w:r>
      <w:r>
        <w:fldChar w:fldCharType="end"/>
      </w:r>
      <w:r>
        <w:rPr>
          <w:bCs/>
        </w:rPr>
        <w:fldChar w:fldCharType="end"/>
      </w:r>
      <w:r/>
    </w:p>
    <w:p>
      <w:pPr>
        <w:pStyle w:val="1597"/>
        <w:tabs>
          <w:tab w:val="right" w:pos="9638" w:leader="dot"/>
        </w:tabs>
      </w:pPr>
      <w:r>
        <w:rPr>
          <w:bCs/>
        </w:rPr>
        <w:fldChar w:fldCharType="begin"/>
      </w:r>
      <w:r>
        <w:rPr>
          <w:bCs/>
        </w:rPr>
        <w:instrText xml:space="preserve"> HYPERLINK \l _Toc29233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_Toc29233 \h </w:instrText>
      </w:r>
      <w:r>
        <w:fldChar w:fldCharType="separate"/>
      </w:r>
      <w:r>
        <w:t xml:space="preserve">11</w:t>
      </w:r>
      <w:r>
        <w:fldChar w:fldCharType="end"/>
      </w:r>
      <w:r>
        <w:rPr>
          <w:bCs/>
        </w:rPr>
        <w:fldChar w:fldCharType="end"/>
      </w:r>
      <w:r/>
    </w:p>
    <w:p>
      <w:pPr>
        <w:pStyle w:val="1619"/>
        <w:tabs>
          <w:tab w:val="right" w:pos="9638" w:leader="dot"/>
        </w:tabs>
      </w:pPr>
      <w:r>
        <w:rPr>
          <w:bCs/>
        </w:rPr>
        <w:fldChar w:fldCharType="begin"/>
      </w:r>
      <w:r>
        <w:rPr>
          <w:bCs/>
        </w:rPr>
        <w:instrText xml:space="preserve"> HYPERLINK \l _Toc18405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_Toc18405 \h </w:instrText>
      </w:r>
      <w:r>
        <w:fldChar w:fldCharType="separate"/>
      </w:r>
      <w:r>
        <w:t xml:space="preserve">11</w:t>
      </w:r>
      <w:r>
        <w:fldChar w:fldCharType="end"/>
      </w:r>
      <w:r>
        <w:rPr>
          <w:bCs/>
        </w:rPr>
        <w:fldChar w:fldCharType="end"/>
      </w:r>
      <w:r/>
    </w:p>
    <w:p>
      <w:pPr>
        <w:pStyle w:val="1597"/>
        <w:tabs>
          <w:tab w:val="right" w:pos="9638" w:leader="dot"/>
        </w:tabs>
      </w:pPr>
      <w:r>
        <w:rPr>
          <w:bCs/>
        </w:rPr>
        <w:fldChar w:fldCharType="begin"/>
      </w:r>
      <w:r>
        <w:rPr>
          <w:bCs/>
        </w:rPr>
        <w:instrText xml:space="preserve"> HYPERLINK \l _Toc23346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_Toc23346 \h </w:instrText>
      </w:r>
      <w:r>
        <w:fldChar w:fldCharType="separate"/>
      </w:r>
      <w:r>
        <w:t xml:space="preserve">11</w:t>
      </w:r>
      <w:r>
        <w:fldChar w:fldCharType="end"/>
      </w:r>
      <w:r>
        <w:rPr>
          <w:bCs/>
        </w:rPr>
        <w:fldChar w:fldCharType="end"/>
      </w:r>
      <w:r/>
    </w:p>
    <w:p>
      <w:pPr>
        <w:pStyle w:val="1597"/>
        <w:tabs>
          <w:tab w:val="right" w:pos="9638" w:leader="dot"/>
        </w:tabs>
      </w:pPr>
      <w:r>
        <w:rPr>
          <w:bCs/>
        </w:rPr>
        <w:fldChar w:fldCharType="begin"/>
      </w:r>
      <w:r>
        <w:rPr>
          <w:bCs/>
        </w:rPr>
        <w:instrText xml:space="preserve"> HYPERLINK \l _Toc4414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_Toc4414 \h </w:instrText>
      </w:r>
      <w:r>
        <w:fldChar w:fldCharType="separate"/>
      </w:r>
      <w:r>
        <w:t xml:space="preserve">11</w:t>
      </w:r>
      <w:r>
        <w:fldChar w:fldCharType="end"/>
      </w:r>
      <w:r>
        <w:rPr>
          <w:bCs/>
        </w:rPr>
        <w:fldChar w:fldCharType="end"/>
      </w:r>
      <w:r/>
    </w:p>
    <w:p>
      <w:pPr>
        <w:pStyle w:val="1619"/>
        <w:tabs>
          <w:tab w:val="right" w:pos="9638" w:leader="dot"/>
        </w:tabs>
      </w:pPr>
      <w:r>
        <w:rPr>
          <w:bCs/>
        </w:rPr>
        <w:fldChar w:fldCharType="begin"/>
      </w:r>
      <w:r>
        <w:rPr>
          <w:bCs/>
        </w:rPr>
        <w:instrText xml:space="preserve"> HYPERLINK \l _Toc22449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_Toc22449 \h </w:instrText>
      </w:r>
      <w:r>
        <w:fldChar w:fldCharType="separate"/>
      </w:r>
      <w:r>
        <w:t xml:space="preserve">12</w:t>
      </w:r>
      <w:r>
        <w:fldChar w:fldCharType="end"/>
      </w:r>
      <w:r>
        <w:rPr>
          <w:bCs/>
        </w:rPr>
        <w:fldChar w:fldCharType="end"/>
      </w:r>
      <w:r/>
    </w:p>
    <w:p>
      <w:pPr>
        <w:pStyle w:val="1597"/>
        <w:tabs>
          <w:tab w:val="right" w:pos="9638" w:leader="dot"/>
        </w:tabs>
      </w:pPr>
      <w:r>
        <w:rPr>
          <w:bCs/>
        </w:rPr>
        <w:fldChar w:fldCharType="begin"/>
      </w:r>
      <w:r>
        <w:rPr>
          <w:bCs/>
        </w:rPr>
        <w:instrText xml:space="preserve"> HYPERLINK \l _Toc24901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_Toc24901 \h </w:instrText>
      </w:r>
      <w:r>
        <w:fldChar w:fldCharType="separate"/>
      </w:r>
      <w:r>
        <w:t xml:space="preserve">12</w:t>
      </w:r>
      <w:r>
        <w:fldChar w:fldCharType="end"/>
      </w:r>
      <w:r>
        <w:rPr>
          <w:bCs/>
        </w:rPr>
        <w:fldChar w:fldCharType="end"/>
      </w:r>
      <w:r/>
    </w:p>
    <w:p>
      <w:pPr>
        <w:pStyle w:val="1597"/>
        <w:tabs>
          <w:tab w:val="right" w:pos="9638" w:leader="dot"/>
        </w:tabs>
      </w:pPr>
      <w:r>
        <w:rPr>
          <w:bCs/>
        </w:rPr>
        <w:fldChar w:fldCharType="begin"/>
      </w:r>
      <w:r>
        <w:rPr>
          <w:bCs/>
        </w:rPr>
        <w:instrText xml:space="preserve"> HYPERLINK \l _Toc10671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_Toc10671 \h </w:instrText>
      </w:r>
      <w:r>
        <w:fldChar w:fldCharType="separate"/>
      </w:r>
      <w:r>
        <w:t xml:space="preserve">12</w:t>
      </w:r>
      <w:r>
        <w:fldChar w:fldCharType="end"/>
      </w:r>
      <w:r>
        <w:rPr>
          <w:bCs/>
        </w:rPr>
        <w:fldChar w:fldCharType="end"/>
      </w:r>
      <w:r/>
    </w:p>
    <w:p>
      <w:pPr>
        <w:pStyle w:val="1597"/>
        <w:tabs>
          <w:tab w:val="right" w:pos="9638" w:leader="dot"/>
        </w:tabs>
      </w:pPr>
      <w:r>
        <w:rPr>
          <w:bCs/>
        </w:rPr>
        <w:fldChar w:fldCharType="begin"/>
      </w:r>
      <w:r>
        <w:rPr>
          <w:bCs/>
        </w:rPr>
        <w:instrText xml:space="preserve"> HYPERLINK \l _Toc27952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_Toc27952 \h </w:instrText>
      </w:r>
      <w:r>
        <w:fldChar w:fldCharType="separate"/>
      </w:r>
      <w:r>
        <w:t xml:space="preserve">12</w:t>
      </w:r>
      <w:r>
        <w:fldChar w:fldCharType="end"/>
      </w:r>
      <w:r>
        <w:rPr>
          <w:bCs/>
        </w:rPr>
        <w:fldChar w:fldCharType="end"/>
      </w:r>
      <w:r/>
    </w:p>
    <w:p>
      <w:pPr>
        <w:pStyle w:val="1597"/>
        <w:tabs>
          <w:tab w:val="right" w:pos="9638" w:leader="dot"/>
        </w:tabs>
      </w:pPr>
      <w:r>
        <w:rPr>
          <w:bCs/>
        </w:rPr>
        <w:fldChar w:fldCharType="begin"/>
      </w:r>
      <w:r>
        <w:rPr>
          <w:bCs/>
        </w:rPr>
        <w:instrText xml:space="preserve"> HYPERLINK \l _Toc10206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_Toc10206 \h </w:instrText>
      </w:r>
      <w:r>
        <w:fldChar w:fldCharType="separate"/>
      </w:r>
      <w:r>
        <w:t xml:space="preserve">14</w:t>
      </w:r>
      <w:r>
        <w:fldChar w:fldCharType="end"/>
      </w:r>
      <w:r>
        <w:rPr>
          <w:bCs/>
        </w:rPr>
        <w:fldChar w:fldCharType="end"/>
      </w:r>
      <w:r/>
    </w:p>
    <w:p>
      <w:pPr>
        <w:pStyle w:val="1597"/>
        <w:tabs>
          <w:tab w:val="right" w:pos="9638" w:leader="dot"/>
        </w:tabs>
      </w:pPr>
      <w:r>
        <w:rPr>
          <w:bCs/>
        </w:rPr>
        <w:fldChar w:fldCharType="begin"/>
      </w:r>
      <w:r>
        <w:rPr>
          <w:bCs/>
        </w:rPr>
        <w:instrText xml:space="preserve"> HYPERLINK \l _Toc5619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_Toc5619 \h </w:instrText>
      </w:r>
      <w:r>
        <w:fldChar w:fldCharType="separate"/>
      </w:r>
      <w:r>
        <w:t xml:space="preserve">14</w:t>
      </w:r>
      <w:r>
        <w:fldChar w:fldCharType="end"/>
      </w:r>
      <w:r>
        <w:rPr>
          <w:bCs/>
        </w:rPr>
        <w:fldChar w:fldCharType="end"/>
      </w:r>
      <w:r/>
    </w:p>
    <w:p>
      <w:pPr>
        <w:pStyle w:val="1597"/>
        <w:tabs>
          <w:tab w:val="right" w:pos="9638" w:leader="dot"/>
        </w:tabs>
      </w:pPr>
      <w:r>
        <w:rPr>
          <w:bCs/>
        </w:rPr>
        <w:fldChar w:fldCharType="begin"/>
      </w:r>
      <w:r>
        <w:rPr>
          <w:bCs/>
        </w:rPr>
        <w:instrText xml:space="preserve"> HYPERLINK \l _Toc10306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_Toc10306 \h </w:instrText>
      </w:r>
      <w:r>
        <w:fldChar w:fldCharType="separate"/>
      </w:r>
      <w:r>
        <w:t xml:space="preserve">14</w:t>
      </w:r>
      <w:r>
        <w:fldChar w:fldCharType="end"/>
      </w:r>
      <w:r>
        <w:rPr>
          <w:bCs/>
        </w:rPr>
        <w:fldChar w:fldCharType="end"/>
      </w:r>
      <w:r/>
    </w:p>
    <w:p>
      <w:pPr>
        <w:pStyle w:val="1619"/>
        <w:tabs>
          <w:tab w:val="right" w:pos="9638" w:leader="dot"/>
        </w:tabs>
      </w:pPr>
      <w:r>
        <w:rPr>
          <w:bCs/>
        </w:rPr>
        <w:fldChar w:fldCharType="begin"/>
      </w:r>
      <w:r>
        <w:rPr>
          <w:bCs/>
        </w:rPr>
        <w:instrText xml:space="preserve"> HYPERLINK \l _Toc30431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_Toc30431 \h </w:instrText>
      </w:r>
      <w:r>
        <w:fldChar w:fldCharType="separate"/>
      </w:r>
      <w:r>
        <w:t xml:space="preserve">14</w:t>
      </w:r>
      <w:r>
        <w:fldChar w:fldCharType="end"/>
      </w:r>
      <w:r>
        <w:rPr>
          <w:bCs/>
        </w:rPr>
        <w:fldChar w:fldCharType="end"/>
      </w:r>
      <w:r/>
    </w:p>
    <w:p>
      <w:pPr>
        <w:pStyle w:val="1597"/>
        <w:tabs>
          <w:tab w:val="right" w:pos="9638" w:leader="dot"/>
        </w:tabs>
      </w:pPr>
      <w:r>
        <w:rPr>
          <w:bCs/>
        </w:rPr>
        <w:fldChar w:fldCharType="begin"/>
      </w:r>
      <w:r>
        <w:rPr>
          <w:bCs/>
        </w:rPr>
        <w:instrText xml:space="preserve"> HYPERLINK \l _Toc26846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_Toc26846 \h </w:instrText>
      </w:r>
      <w:r>
        <w:fldChar w:fldCharType="separate"/>
      </w:r>
      <w:r>
        <w:t xml:space="preserve">15</w:t>
      </w:r>
      <w:r>
        <w:fldChar w:fldCharType="end"/>
      </w:r>
      <w:r>
        <w:rPr>
          <w:bCs/>
        </w:rPr>
        <w:fldChar w:fldCharType="end"/>
      </w:r>
      <w:r/>
    </w:p>
    <w:p>
      <w:pPr>
        <w:pStyle w:val="1597"/>
        <w:tabs>
          <w:tab w:val="right" w:pos="9638" w:leader="dot"/>
        </w:tabs>
      </w:pPr>
      <w:r>
        <w:rPr>
          <w:bCs/>
        </w:rPr>
        <w:fldChar w:fldCharType="begin"/>
      </w:r>
      <w:r>
        <w:rPr>
          <w:bCs/>
        </w:rPr>
        <w:instrText xml:space="preserve"> HYPERLINK \l _Toc28176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_Toc28176 \h </w:instrText>
      </w:r>
      <w:r>
        <w:fldChar w:fldCharType="separate"/>
      </w:r>
      <w:r>
        <w:t xml:space="preserve">15</w:t>
      </w:r>
      <w:r>
        <w:fldChar w:fldCharType="end"/>
      </w:r>
      <w:r>
        <w:rPr>
          <w:bCs/>
        </w:rPr>
        <w:fldChar w:fldCharType="end"/>
      </w:r>
      <w:r/>
    </w:p>
    <w:p>
      <w:pPr>
        <w:pStyle w:val="1597"/>
        <w:tabs>
          <w:tab w:val="right" w:pos="9638" w:leader="dot"/>
        </w:tabs>
      </w:pPr>
      <w:r>
        <w:rPr>
          <w:bCs/>
        </w:rPr>
        <w:fldChar w:fldCharType="begin"/>
      </w:r>
      <w:r>
        <w:rPr>
          <w:bCs/>
        </w:rPr>
        <w:instrText xml:space="preserve"> HYPERLINK \l _Toc11994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_Toc11994 \h </w:instrText>
      </w:r>
      <w:r>
        <w:fldChar w:fldCharType="separate"/>
      </w:r>
      <w:r>
        <w:t xml:space="preserve">15</w:t>
      </w:r>
      <w:r>
        <w:fldChar w:fldCharType="end"/>
      </w:r>
      <w:r>
        <w:rPr>
          <w:bCs/>
        </w:rPr>
        <w:fldChar w:fldCharType="end"/>
      </w:r>
      <w:r/>
    </w:p>
    <w:p>
      <w:pPr>
        <w:pStyle w:val="1597"/>
        <w:tabs>
          <w:tab w:val="right" w:pos="9638" w:leader="dot"/>
        </w:tabs>
      </w:pPr>
      <w:r>
        <w:rPr>
          <w:bCs/>
        </w:rPr>
        <w:fldChar w:fldCharType="begin"/>
      </w:r>
      <w:r>
        <w:rPr>
          <w:bCs/>
        </w:rPr>
        <w:instrText xml:space="preserve"> HYPERLINK \l _Toc5513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_Toc5513 \h </w:instrText>
      </w:r>
      <w:r>
        <w:fldChar w:fldCharType="separate"/>
      </w:r>
      <w:r>
        <w:t xml:space="preserve">15</w:t>
      </w:r>
      <w:r>
        <w:fldChar w:fldCharType="end"/>
      </w:r>
      <w:r>
        <w:rPr>
          <w:bCs/>
        </w:rPr>
        <w:fldChar w:fldCharType="end"/>
      </w:r>
      <w:r/>
    </w:p>
    <w:p>
      <w:pPr>
        <w:pStyle w:val="1619"/>
        <w:tabs>
          <w:tab w:val="right" w:pos="9638" w:leader="dot"/>
        </w:tabs>
      </w:pPr>
      <w:r>
        <w:rPr>
          <w:bCs/>
        </w:rPr>
        <w:fldChar w:fldCharType="begin"/>
      </w:r>
      <w:r>
        <w:rPr>
          <w:bCs/>
        </w:rPr>
        <w:instrText xml:space="preserve"> HYPERLINK \l _Toc22468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_Toc22468 \h </w:instrText>
      </w:r>
      <w:r>
        <w:fldChar w:fldCharType="separate"/>
      </w:r>
      <w:r>
        <w:t xml:space="preserve">16</w:t>
      </w:r>
      <w:r>
        <w:fldChar w:fldCharType="end"/>
      </w:r>
      <w:r>
        <w:rPr>
          <w:bCs/>
        </w:rPr>
        <w:fldChar w:fldCharType="end"/>
      </w:r>
      <w:r/>
    </w:p>
    <w:p>
      <w:pPr>
        <w:pStyle w:val="1597"/>
        <w:tabs>
          <w:tab w:val="right" w:pos="9638" w:leader="dot"/>
        </w:tabs>
      </w:pPr>
      <w:r>
        <w:rPr>
          <w:bCs/>
        </w:rPr>
        <w:fldChar w:fldCharType="begin"/>
      </w:r>
      <w:r>
        <w:rPr>
          <w:bCs/>
        </w:rPr>
        <w:instrText xml:space="preserve"> HYPERLINK \l _Toc6637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_Toc6637 \h </w:instrText>
      </w:r>
      <w:r>
        <w:fldChar w:fldCharType="separate"/>
      </w:r>
      <w:r>
        <w:t xml:space="preserve">16</w:t>
      </w:r>
      <w:r>
        <w:fldChar w:fldCharType="end"/>
      </w:r>
      <w:r>
        <w:rPr>
          <w:bCs/>
        </w:rPr>
        <w:fldChar w:fldCharType="end"/>
      </w:r>
      <w:r/>
    </w:p>
    <w:p>
      <w:pPr>
        <w:pStyle w:val="1597"/>
        <w:tabs>
          <w:tab w:val="right" w:pos="9638" w:leader="dot"/>
        </w:tabs>
      </w:pPr>
      <w:r>
        <w:rPr>
          <w:bCs/>
        </w:rPr>
        <w:fldChar w:fldCharType="begin"/>
      </w:r>
      <w:r>
        <w:rPr>
          <w:bCs/>
        </w:rPr>
        <w:instrText xml:space="preserve"> HYPERLINK \l _Toc13778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_Toc13778 \h </w:instrText>
      </w:r>
      <w:r>
        <w:fldChar w:fldCharType="separate"/>
      </w:r>
      <w:r>
        <w:t xml:space="preserve">16</w:t>
      </w:r>
      <w:r>
        <w:fldChar w:fldCharType="end"/>
      </w:r>
      <w:r>
        <w:rPr>
          <w:bCs/>
        </w:rPr>
        <w:fldChar w:fldCharType="end"/>
      </w:r>
      <w:r/>
    </w:p>
    <w:p>
      <w:pPr>
        <w:pStyle w:val="1597"/>
        <w:tabs>
          <w:tab w:val="right" w:pos="9638" w:leader="dot"/>
        </w:tabs>
      </w:pPr>
      <w:r>
        <w:rPr>
          <w:bCs/>
        </w:rPr>
        <w:fldChar w:fldCharType="begin"/>
      </w:r>
      <w:r>
        <w:rPr>
          <w:bCs/>
        </w:rPr>
        <w:instrText xml:space="preserve"> HYPERLINK \l _Toc1073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_Toc1073 \h </w:instrText>
      </w:r>
      <w:r>
        <w:fldChar w:fldCharType="separate"/>
      </w:r>
      <w:r>
        <w:t xml:space="preserve">16</w:t>
      </w:r>
      <w:r>
        <w:fldChar w:fldCharType="end"/>
      </w:r>
      <w:r>
        <w:rPr>
          <w:bCs/>
        </w:rPr>
        <w:fldChar w:fldCharType="end"/>
      </w:r>
      <w:r/>
    </w:p>
    <w:p>
      <w:pPr>
        <w:pStyle w:val="1597"/>
        <w:tabs>
          <w:tab w:val="right" w:pos="9638" w:leader="dot"/>
        </w:tabs>
      </w:pPr>
      <w:r>
        <w:rPr>
          <w:bCs/>
        </w:rPr>
        <w:fldChar w:fldCharType="begin"/>
      </w:r>
      <w:r>
        <w:rPr>
          <w:bCs/>
        </w:rPr>
        <w:instrText xml:space="preserve"> HYPERLINK \l _Toc5977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_Toc5977 \h </w:instrText>
      </w:r>
      <w:r>
        <w:fldChar w:fldCharType="separate"/>
      </w:r>
      <w:r>
        <w:t xml:space="preserve">18</w:t>
      </w:r>
      <w:r>
        <w:fldChar w:fldCharType="end"/>
      </w:r>
      <w:r>
        <w:rPr>
          <w:bCs/>
        </w:rPr>
        <w:fldChar w:fldCharType="end"/>
      </w:r>
      <w:r/>
    </w:p>
    <w:p>
      <w:pPr>
        <w:pStyle w:val="1597"/>
        <w:tabs>
          <w:tab w:val="right" w:pos="9638" w:leader="dot"/>
        </w:tabs>
      </w:pPr>
      <w:r>
        <w:rPr>
          <w:bCs/>
        </w:rPr>
        <w:fldChar w:fldCharType="begin"/>
      </w:r>
      <w:r>
        <w:rPr>
          <w:bCs/>
        </w:rPr>
        <w:instrText xml:space="preserve"> HYPERLINK \l _Toc30147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_Toc30147 \h </w:instrText>
      </w:r>
      <w:r>
        <w:fldChar w:fldCharType="separate"/>
      </w:r>
      <w:r>
        <w:t xml:space="preserve">19</w:t>
      </w:r>
      <w:r>
        <w:fldChar w:fldCharType="end"/>
      </w:r>
      <w:r>
        <w:rPr>
          <w:bCs/>
        </w:rPr>
        <w:fldChar w:fldCharType="end"/>
      </w:r>
      <w:r/>
    </w:p>
    <w:p>
      <w:pPr>
        <w:pStyle w:val="1597"/>
        <w:tabs>
          <w:tab w:val="right" w:pos="9638" w:leader="dot"/>
        </w:tabs>
      </w:pPr>
      <w:r>
        <w:rPr>
          <w:bCs/>
        </w:rPr>
        <w:fldChar w:fldCharType="begin"/>
      </w:r>
      <w:r>
        <w:rPr>
          <w:bCs/>
        </w:rPr>
        <w:instrText xml:space="preserve"> HYPERLINK \l _Toc6865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_Toc6865 \h </w:instrText>
      </w:r>
      <w:r>
        <w:fldChar w:fldCharType="separate"/>
      </w:r>
      <w:r>
        <w:t xml:space="preserve">19</w:t>
      </w:r>
      <w:r>
        <w:fldChar w:fldCharType="end"/>
      </w:r>
      <w:r>
        <w:rPr>
          <w:bCs/>
        </w:rPr>
        <w:fldChar w:fldCharType="end"/>
      </w:r>
      <w:r/>
    </w:p>
    <w:p>
      <w:pPr>
        <w:pStyle w:val="1597"/>
        <w:tabs>
          <w:tab w:val="right" w:pos="9638" w:leader="dot"/>
        </w:tabs>
      </w:pPr>
      <w:r>
        <w:rPr>
          <w:bCs/>
        </w:rPr>
        <w:fldChar w:fldCharType="begin"/>
      </w:r>
      <w:r>
        <w:rPr>
          <w:bCs/>
        </w:rPr>
        <w:instrText xml:space="preserve"> HYPERLINK \l _Toc4851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_Toc4851 \h </w:instrText>
      </w:r>
      <w:r>
        <w:fldChar w:fldCharType="separate"/>
      </w:r>
      <w:r>
        <w:t xml:space="preserve">20</w:t>
      </w:r>
      <w:r>
        <w:fldChar w:fldCharType="end"/>
      </w:r>
      <w:r>
        <w:rPr>
          <w:bCs/>
        </w:rPr>
        <w:fldChar w:fldCharType="end"/>
      </w:r>
      <w:r/>
    </w:p>
    <w:p>
      <w:pPr>
        <w:pStyle w:val="1597"/>
        <w:tabs>
          <w:tab w:val="right" w:pos="9638" w:leader="dot"/>
        </w:tabs>
      </w:pPr>
      <w:r>
        <w:rPr>
          <w:bCs/>
        </w:rPr>
        <w:fldChar w:fldCharType="begin"/>
      </w:r>
      <w:r>
        <w:rPr>
          <w:bCs/>
        </w:rPr>
        <w:instrText xml:space="preserve"> HYPERLINK \l _Toc15388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_Toc15388 \h </w:instrText>
      </w:r>
      <w:r>
        <w:fldChar w:fldCharType="separate"/>
      </w:r>
      <w:r>
        <w:t xml:space="preserve">20</w:t>
      </w:r>
      <w:r>
        <w:fldChar w:fldCharType="end"/>
      </w:r>
      <w:r>
        <w:rPr>
          <w:bCs/>
        </w:rPr>
        <w:fldChar w:fldCharType="end"/>
      </w:r>
      <w:r/>
    </w:p>
    <w:p>
      <w:pPr>
        <w:pStyle w:val="1619"/>
        <w:tabs>
          <w:tab w:val="right" w:pos="9638" w:leader="dot"/>
        </w:tabs>
      </w:pPr>
      <w:r>
        <w:rPr>
          <w:bCs/>
        </w:rPr>
        <w:fldChar w:fldCharType="begin"/>
      </w:r>
      <w:r>
        <w:rPr>
          <w:bCs/>
        </w:rPr>
        <w:instrText xml:space="preserve"> HYPERLINK \l _Toc30117 </w:instrText>
      </w:r>
      <w:r>
        <w:rPr>
          <w:bCs/>
        </w:rPr>
        <w:fldChar w:fldCharType="separate"/>
      </w:r>
      <w:r>
        <w:rPr>
          <w:rFonts w:hint="eastAsia" w:ascii="宋体" w:hAnsi="宋体" w:cs="宋体"/>
          <w:bCs/>
          <w:szCs w:val="21"/>
        </w:rPr>
        <w:t xml:space="preserve">六、授标</w:t>
      </w:r>
      <w:r>
        <w:tab/>
      </w:r>
      <w:r>
        <w:fldChar w:fldCharType="begin"/>
      </w:r>
      <w:r>
        <w:instrText xml:space="preserve"> PAGEREF _Toc30117 \h </w:instrText>
      </w:r>
      <w:r>
        <w:fldChar w:fldCharType="separate"/>
      </w:r>
      <w:r>
        <w:t xml:space="preserve">21</w:t>
      </w:r>
      <w:r>
        <w:fldChar w:fldCharType="end"/>
      </w:r>
      <w:r>
        <w:rPr>
          <w:bCs/>
        </w:rPr>
        <w:fldChar w:fldCharType="end"/>
      </w:r>
      <w:r/>
    </w:p>
    <w:p>
      <w:pPr>
        <w:pStyle w:val="1597"/>
        <w:tabs>
          <w:tab w:val="right" w:pos="9638" w:leader="dot"/>
        </w:tabs>
      </w:pPr>
      <w:r>
        <w:rPr>
          <w:bCs/>
        </w:rPr>
        <w:fldChar w:fldCharType="begin"/>
      </w:r>
      <w:r>
        <w:rPr>
          <w:bCs/>
        </w:rPr>
        <w:instrText xml:space="preserve"> HYPERLINK \l _Toc11503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_Toc11503 \h </w:instrText>
      </w:r>
      <w:r>
        <w:fldChar w:fldCharType="separate"/>
      </w:r>
      <w:r>
        <w:t xml:space="preserve">21</w:t>
      </w:r>
      <w:r>
        <w:fldChar w:fldCharType="end"/>
      </w:r>
      <w:r>
        <w:rPr>
          <w:bCs/>
        </w:rPr>
        <w:fldChar w:fldCharType="end"/>
      </w:r>
      <w:r/>
    </w:p>
    <w:p>
      <w:pPr>
        <w:pStyle w:val="1597"/>
        <w:tabs>
          <w:tab w:val="right" w:pos="9638" w:leader="dot"/>
        </w:tabs>
      </w:pPr>
      <w:r>
        <w:rPr>
          <w:bCs/>
        </w:rPr>
        <w:fldChar w:fldCharType="begin"/>
      </w:r>
      <w:r>
        <w:rPr>
          <w:bCs/>
        </w:rPr>
        <w:instrText xml:space="preserve"> HYPERLINK \l _Toc4757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_Toc4757 \h </w:instrText>
      </w:r>
      <w:r>
        <w:fldChar w:fldCharType="separate"/>
      </w:r>
      <w:r>
        <w:t xml:space="preserve">21</w:t>
      </w:r>
      <w:r>
        <w:fldChar w:fldCharType="end"/>
      </w:r>
      <w:r>
        <w:rPr>
          <w:bCs/>
        </w:rPr>
        <w:fldChar w:fldCharType="end"/>
      </w:r>
      <w:r/>
    </w:p>
    <w:p>
      <w:pPr>
        <w:pStyle w:val="1597"/>
        <w:tabs>
          <w:tab w:val="right" w:pos="9638" w:leader="dot"/>
        </w:tabs>
      </w:pPr>
      <w:r>
        <w:rPr>
          <w:bCs/>
        </w:rPr>
        <w:fldChar w:fldCharType="begin"/>
      </w:r>
      <w:r>
        <w:rPr>
          <w:bCs/>
        </w:rPr>
        <w:instrText xml:space="preserve"> HYPERLINK \l _Toc22919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_Toc22919 \h </w:instrText>
      </w:r>
      <w:r>
        <w:fldChar w:fldCharType="separate"/>
      </w:r>
      <w:r>
        <w:t xml:space="preserve">21</w:t>
      </w:r>
      <w:r>
        <w:fldChar w:fldCharType="end"/>
      </w:r>
      <w:r>
        <w:rPr>
          <w:bCs/>
        </w:rPr>
        <w:fldChar w:fldCharType="end"/>
      </w:r>
      <w:r/>
    </w:p>
    <w:p>
      <w:pPr>
        <w:pStyle w:val="1597"/>
        <w:tabs>
          <w:tab w:val="right" w:pos="9638" w:leader="dot"/>
        </w:tabs>
      </w:pPr>
      <w:r>
        <w:rPr>
          <w:bCs/>
        </w:rPr>
        <w:fldChar w:fldCharType="begin"/>
      </w:r>
      <w:r>
        <w:rPr>
          <w:bCs/>
        </w:rPr>
        <w:instrText xml:space="preserve"> HYPERLINK \l _Toc3506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_Toc3506 \h </w:instrText>
      </w:r>
      <w:r>
        <w:fldChar w:fldCharType="separate"/>
      </w:r>
      <w:r>
        <w:t xml:space="preserve">22</w:t>
      </w:r>
      <w:r>
        <w:fldChar w:fldCharType="end"/>
      </w:r>
      <w:r>
        <w:rPr>
          <w:bCs/>
        </w:rPr>
        <w:fldChar w:fldCharType="end"/>
      </w:r>
      <w:r/>
    </w:p>
    <w:p>
      <w:pPr>
        <w:pStyle w:val="1619"/>
        <w:tabs>
          <w:tab w:val="right" w:pos="9638" w:leader="dot"/>
        </w:tabs>
      </w:pPr>
      <w:r>
        <w:rPr>
          <w:bCs/>
        </w:rPr>
        <w:fldChar w:fldCharType="begin"/>
      </w:r>
      <w:r>
        <w:rPr>
          <w:bCs/>
        </w:rPr>
        <w:instrText xml:space="preserve"> HYPERLINK \l _Toc17433 </w:instrText>
      </w:r>
      <w:r>
        <w:rPr>
          <w:bCs/>
        </w:rPr>
        <w:fldChar w:fldCharType="separate"/>
      </w:r>
      <w:r>
        <w:rPr>
          <w:rFonts w:hint="eastAsia" w:ascii="宋体" w:hAnsi="宋体" w:cs="宋体"/>
          <w:bCs/>
          <w:szCs w:val="21"/>
        </w:rPr>
        <w:t xml:space="preserve">七、质疑</w:t>
      </w:r>
      <w:r>
        <w:tab/>
      </w:r>
      <w:r>
        <w:fldChar w:fldCharType="begin"/>
      </w:r>
      <w:r>
        <w:instrText xml:space="preserve"> PAGEREF _Toc17433 \h </w:instrText>
      </w:r>
      <w:r>
        <w:fldChar w:fldCharType="separate"/>
      </w:r>
      <w:r>
        <w:t xml:space="preserve">22</w:t>
      </w:r>
      <w:r>
        <w:fldChar w:fldCharType="end"/>
      </w:r>
      <w:r>
        <w:rPr>
          <w:bCs/>
        </w:rPr>
        <w:fldChar w:fldCharType="end"/>
      </w:r>
      <w:r/>
    </w:p>
    <w:p>
      <w:pPr>
        <w:pStyle w:val="1597"/>
        <w:tabs>
          <w:tab w:val="right" w:pos="9638" w:leader="dot"/>
        </w:tabs>
      </w:pPr>
      <w:r>
        <w:rPr>
          <w:bCs/>
        </w:rPr>
        <w:fldChar w:fldCharType="begin"/>
      </w:r>
      <w:r>
        <w:rPr>
          <w:bCs/>
        </w:rPr>
        <w:instrText xml:space="preserve"> HYPERLINK \l _Toc7774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_Toc7774 \h </w:instrText>
      </w:r>
      <w:r>
        <w:fldChar w:fldCharType="separate"/>
      </w:r>
      <w:r>
        <w:t xml:space="preserve">22</w:t>
      </w:r>
      <w:r>
        <w:fldChar w:fldCharType="end"/>
      </w:r>
      <w:r>
        <w:rPr>
          <w:bCs/>
        </w:rPr>
        <w:fldChar w:fldCharType="end"/>
      </w:r>
      <w:r/>
    </w:p>
    <w:p>
      <w:pPr>
        <w:pStyle w:val="1612"/>
        <w:tabs>
          <w:tab w:val="right" w:pos="9638" w:leader="dot"/>
        </w:tabs>
      </w:pPr>
      <w:r>
        <w:rPr>
          <w:bCs/>
        </w:rPr>
        <w:fldChar w:fldCharType="begin"/>
      </w:r>
      <w:r>
        <w:rPr>
          <w:bCs/>
        </w:rPr>
        <w:instrText xml:space="preserve"> HYPERLINK \l _Toc29844 </w:instrText>
      </w:r>
      <w:r>
        <w:rPr>
          <w:bCs/>
        </w:rPr>
        <w:fldChar w:fldCharType="separate"/>
      </w:r>
      <w:r>
        <w:rPr>
          <w:szCs w:val="28"/>
        </w:rPr>
        <w:t xml:space="preserve">第三章 评标标准</w:t>
      </w:r>
      <w:r>
        <w:tab/>
      </w:r>
      <w:r>
        <w:fldChar w:fldCharType="begin"/>
      </w:r>
      <w:r>
        <w:instrText xml:space="preserve"> PAGEREF _Toc29844 \h </w:instrText>
      </w:r>
      <w:r>
        <w:fldChar w:fldCharType="separate"/>
      </w:r>
      <w:r>
        <w:t xml:space="preserve">24</w:t>
      </w:r>
      <w:r>
        <w:fldChar w:fldCharType="end"/>
      </w:r>
      <w:r>
        <w:rPr>
          <w:bCs/>
        </w:rPr>
        <w:fldChar w:fldCharType="end"/>
      </w:r>
      <w:r/>
    </w:p>
    <w:p>
      <w:pPr>
        <w:pStyle w:val="1612"/>
        <w:tabs>
          <w:tab w:val="right" w:pos="9638" w:leader="dot"/>
        </w:tabs>
      </w:pPr>
      <w:r>
        <w:rPr>
          <w:bCs/>
        </w:rPr>
        <w:fldChar w:fldCharType="begin"/>
      </w:r>
      <w:r>
        <w:rPr>
          <w:bCs/>
        </w:rPr>
        <w:instrText xml:space="preserve"> HYPERLINK \l _Toc26203 </w:instrText>
      </w:r>
      <w:r>
        <w:rPr>
          <w:bCs/>
        </w:rPr>
        <w:fldChar w:fldCharType="separate"/>
      </w:r>
      <w:r>
        <w:rPr>
          <w:szCs w:val="28"/>
        </w:rPr>
        <w:t xml:space="preserve">第四章 招标技术规格及要求</w:t>
      </w:r>
      <w:r>
        <w:tab/>
      </w:r>
      <w:r>
        <w:fldChar w:fldCharType="begin"/>
      </w:r>
      <w:r>
        <w:instrText xml:space="preserve"> PAGEREF _Toc26203 \h </w:instrText>
      </w:r>
      <w:r>
        <w:fldChar w:fldCharType="separate"/>
      </w:r>
      <w:r>
        <w:t xml:space="preserve">50</w:t>
      </w:r>
      <w:r>
        <w:fldChar w:fldCharType="end"/>
      </w:r>
      <w:r>
        <w:rPr>
          <w:bCs/>
        </w:rPr>
        <w:fldChar w:fldCharType="end"/>
      </w:r>
      <w:r/>
    </w:p>
    <w:p>
      <w:pPr>
        <w:pStyle w:val="1612"/>
        <w:tabs>
          <w:tab w:val="right" w:pos="9638" w:leader="dot"/>
        </w:tabs>
      </w:pPr>
      <w:r>
        <w:rPr>
          <w:bCs/>
        </w:rPr>
        <w:fldChar w:fldCharType="begin"/>
      </w:r>
      <w:r>
        <w:rPr>
          <w:bCs/>
        </w:rPr>
        <w:instrText xml:space="preserve"> HYPERLINK \l _Toc25093 </w:instrText>
      </w:r>
      <w:r>
        <w:rPr>
          <w:bCs/>
        </w:rPr>
        <w:fldChar w:fldCharType="separate"/>
      </w:r>
      <w:r>
        <w:rPr>
          <w:szCs w:val="28"/>
        </w:rPr>
        <w:t xml:space="preserve">第五章 拟签订的合同文本</w:t>
      </w:r>
      <w:r>
        <w:tab/>
      </w:r>
      <w:r>
        <w:fldChar w:fldCharType="begin"/>
      </w:r>
      <w:r>
        <w:instrText xml:space="preserve"> PAGEREF _Toc25093 \h </w:instrText>
      </w:r>
      <w:r>
        <w:fldChar w:fldCharType="separate"/>
      </w:r>
      <w:r>
        <w:t xml:space="preserve">84</w:t>
      </w:r>
      <w:r>
        <w:fldChar w:fldCharType="end"/>
      </w:r>
      <w:r>
        <w:rPr>
          <w:bCs/>
        </w:rPr>
        <w:fldChar w:fldCharType="end"/>
      </w:r>
      <w:r/>
    </w:p>
    <w:p>
      <w:pPr>
        <w:pStyle w:val="1612"/>
        <w:tabs>
          <w:tab w:val="right" w:pos="9638" w:leader="dot"/>
        </w:tabs>
      </w:pPr>
      <w:r>
        <w:rPr>
          <w:bCs/>
        </w:rPr>
        <w:fldChar w:fldCharType="begin"/>
      </w:r>
      <w:r>
        <w:rPr>
          <w:bCs/>
        </w:rPr>
        <w:instrText xml:space="preserve"> HYPERLINK \l _Toc23244 </w:instrText>
      </w:r>
      <w:r>
        <w:rPr>
          <w:bCs/>
        </w:rPr>
        <w:fldChar w:fldCharType="separate"/>
      </w:r>
      <w:r>
        <w:rPr>
          <w:szCs w:val="28"/>
        </w:rPr>
        <w:t xml:space="preserve">第六章 投标文件格式及附件</w:t>
      </w:r>
      <w:r>
        <w:tab/>
      </w:r>
      <w:r>
        <w:fldChar w:fldCharType="begin"/>
      </w:r>
      <w:r>
        <w:instrText xml:space="preserve"> PAGEREF _Toc23244 \h </w:instrText>
      </w:r>
      <w:r>
        <w:fldChar w:fldCharType="separate"/>
      </w:r>
      <w:r>
        <w:t xml:space="preserve">90</w:t>
      </w:r>
      <w:r>
        <w:fldChar w:fldCharType="end"/>
      </w:r>
      <w:r>
        <w:rPr>
          <w:bCs/>
        </w:rPr>
        <w:fldChar w:fldCharType="end"/>
      </w:r>
      <w:r/>
    </w:p>
    <w:p>
      <w:pPr>
        <w:pStyle w:val="1619"/>
        <w:tabs>
          <w:tab w:val="right" w:pos="9638" w:leader="dot"/>
        </w:tabs>
      </w:pPr>
      <w:r>
        <w:rPr>
          <w:bCs/>
        </w:rPr>
        <w:fldChar w:fldCharType="begin"/>
      </w:r>
      <w:r>
        <w:rPr>
          <w:bCs/>
        </w:rPr>
        <w:instrText xml:space="preserve"> HYPERLINK \l _Toc6214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_Toc6214 \h </w:instrText>
      </w:r>
      <w:r>
        <w:fldChar w:fldCharType="separate"/>
      </w:r>
      <w:r>
        <w:t xml:space="preserve">92</w:t>
      </w:r>
      <w:r>
        <w:fldChar w:fldCharType="end"/>
      </w:r>
      <w:r>
        <w:rPr>
          <w:bCs/>
        </w:rPr>
        <w:fldChar w:fldCharType="end"/>
      </w:r>
      <w:r/>
    </w:p>
    <w:p>
      <w:pPr>
        <w:pStyle w:val="1619"/>
        <w:tabs>
          <w:tab w:val="right" w:pos="9638" w:leader="dot"/>
        </w:tabs>
      </w:pPr>
      <w:r>
        <w:rPr>
          <w:bCs/>
        </w:rPr>
        <w:fldChar w:fldCharType="begin"/>
      </w:r>
      <w:r>
        <w:rPr>
          <w:bCs/>
        </w:rPr>
        <w:instrText xml:space="preserve"> HYPERLINK \l _Toc25048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_Toc25048 \h </w:instrText>
      </w:r>
      <w:r>
        <w:fldChar w:fldCharType="separate"/>
      </w:r>
      <w:r>
        <w:t xml:space="preserve">93</w:t>
      </w:r>
      <w:r>
        <w:fldChar w:fldCharType="end"/>
      </w:r>
      <w:r>
        <w:rPr>
          <w:bCs/>
        </w:rPr>
        <w:fldChar w:fldCharType="end"/>
      </w:r>
      <w:r/>
    </w:p>
    <w:p>
      <w:pPr>
        <w:pStyle w:val="1619"/>
        <w:tabs>
          <w:tab w:val="right" w:pos="9638" w:leader="dot"/>
        </w:tabs>
      </w:pPr>
      <w:r>
        <w:rPr>
          <w:bCs/>
        </w:rPr>
        <w:fldChar w:fldCharType="begin"/>
      </w:r>
      <w:r>
        <w:rPr>
          <w:bCs/>
        </w:rPr>
        <w:instrText xml:space="preserve"> HYPERLINK \l _Toc21198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_Toc21198 \h </w:instrText>
      </w:r>
      <w:r>
        <w:fldChar w:fldCharType="separate"/>
      </w:r>
      <w:r>
        <w:t xml:space="preserve">94</w:t>
      </w:r>
      <w:r>
        <w:fldChar w:fldCharType="end"/>
      </w:r>
      <w:r>
        <w:rPr>
          <w:bCs/>
        </w:rPr>
        <w:fldChar w:fldCharType="end"/>
      </w:r>
      <w:r/>
    </w:p>
    <w:p>
      <w:pPr>
        <w:pStyle w:val="1619"/>
        <w:tabs>
          <w:tab w:val="right" w:pos="9638" w:leader="dot"/>
        </w:tabs>
      </w:pPr>
      <w:r>
        <w:rPr>
          <w:bCs/>
        </w:rPr>
        <w:fldChar w:fldCharType="begin"/>
      </w:r>
      <w:r>
        <w:rPr>
          <w:bCs/>
        </w:rPr>
        <w:instrText xml:space="preserve"> HYPERLINK \l _Toc23511 </w:instrText>
      </w:r>
      <w:r>
        <w:rPr>
          <w:bCs/>
        </w:rPr>
        <w:fldChar w:fldCharType="separate"/>
      </w:r>
      <w:r>
        <w:rPr>
          <w:bCs/>
          <w:szCs w:val="22"/>
        </w:rPr>
        <w:t xml:space="preserve">附件二 开标一览表</w:t>
      </w:r>
      <w:r>
        <w:tab/>
      </w:r>
      <w:r>
        <w:fldChar w:fldCharType="begin"/>
      </w:r>
      <w:r>
        <w:instrText xml:space="preserve"> PAGEREF _Toc23511 \h </w:instrText>
      </w:r>
      <w:r>
        <w:fldChar w:fldCharType="separate"/>
      </w:r>
      <w:r>
        <w:t xml:space="preserve">95</w:t>
      </w:r>
      <w:r>
        <w:fldChar w:fldCharType="end"/>
      </w:r>
      <w:r>
        <w:rPr>
          <w:bCs/>
        </w:rPr>
        <w:fldChar w:fldCharType="end"/>
      </w:r>
      <w:r/>
    </w:p>
    <w:p>
      <w:pPr>
        <w:pStyle w:val="1619"/>
        <w:tabs>
          <w:tab w:val="right" w:pos="9638" w:leader="dot"/>
        </w:tabs>
      </w:pPr>
      <w:r>
        <w:rPr>
          <w:bCs/>
        </w:rPr>
        <w:fldChar w:fldCharType="begin"/>
      </w:r>
      <w:r>
        <w:rPr>
          <w:bCs/>
        </w:rPr>
        <w:instrText xml:space="preserve"> HYPERLINK \l _Toc7726 </w:instrText>
      </w:r>
      <w:r>
        <w:rPr>
          <w:bCs/>
        </w:rPr>
        <w:fldChar w:fldCharType="separate"/>
      </w:r>
      <w:r>
        <w:rPr>
          <w:bCs/>
          <w:szCs w:val="22"/>
        </w:rPr>
        <w:t xml:space="preserve">附件三 分项报价表</w:t>
      </w:r>
      <w:r>
        <w:tab/>
      </w:r>
      <w:r>
        <w:fldChar w:fldCharType="begin"/>
      </w:r>
      <w:r>
        <w:instrText xml:space="preserve"> PAGEREF _Toc7726 \h </w:instrText>
      </w:r>
      <w:r>
        <w:fldChar w:fldCharType="separate"/>
      </w:r>
      <w:r>
        <w:t xml:space="preserve">96</w:t>
      </w:r>
      <w:r>
        <w:fldChar w:fldCharType="end"/>
      </w:r>
      <w:r>
        <w:rPr>
          <w:bCs/>
        </w:rPr>
        <w:fldChar w:fldCharType="end"/>
      </w:r>
      <w:r/>
    </w:p>
    <w:p>
      <w:pPr>
        <w:pStyle w:val="1619"/>
        <w:tabs>
          <w:tab w:val="right" w:pos="9638" w:leader="dot"/>
        </w:tabs>
      </w:pPr>
      <w:r>
        <w:rPr>
          <w:bCs/>
        </w:rPr>
        <w:fldChar w:fldCharType="begin"/>
      </w:r>
      <w:r>
        <w:rPr>
          <w:bCs/>
        </w:rPr>
        <w:instrText xml:space="preserve"> HYPERLINK \l _Toc11080 </w:instrText>
      </w:r>
      <w:r>
        <w:rPr>
          <w:bCs/>
        </w:rPr>
        <w:fldChar w:fldCharType="separate"/>
      </w:r>
      <w:r>
        <w:rPr>
          <w:bCs/>
          <w:szCs w:val="22"/>
        </w:rPr>
        <w:t xml:space="preserve">附件四 商务条款偏离表</w:t>
      </w:r>
      <w:r>
        <w:tab/>
      </w:r>
      <w:r>
        <w:fldChar w:fldCharType="begin"/>
      </w:r>
      <w:r>
        <w:instrText xml:space="preserve"> PAGEREF _Toc11080 \h </w:instrText>
      </w:r>
      <w:r>
        <w:fldChar w:fldCharType="separate"/>
      </w:r>
      <w:r>
        <w:t xml:space="preserve">97</w:t>
      </w:r>
      <w:r>
        <w:fldChar w:fldCharType="end"/>
      </w:r>
      <w:r>
        <w:rPr>
          <w:bCs/>
        </w:rPr>
        <w:fldChar w:fldCharType="end"/>
      </w:r>
      <w:r/>
    </w:p>
    <w:p>
      <w:pPr>
        <w:pStyle w:val="1619"/>
        <w:tabs>
          <w:tab w:val="right" w:pos="9638" w:leader="dot"/>
        </w:tabs>
      </w:pPr>
      <w:r>
        <w:rPr>
          <w:bCs/>
        </w:rPr>
        <w:fldChar w:fldCharType="begin"/>
      </w:r>
      <w:r>
        <w:rPr>
          <w:bCs/>
        </w:rPr>
        <w:instrText xml:space="preserve"> HYPERLINK \l _Toc588 </w:instrText>
      </w:r>
      <w:r>
        <w:rPr>
          <w:bCs/>
        </w:rPr>
        <w:fldChar w:fldCharType="separate"/>
      </w:r>
      <w:r>
        <w:rPr>
          <w:bCs/>
          <w:szCs w:val="22"/>
        </w:rPr>
        <w:t xml:space="preserve">附件五 技术条款偏离表</w:t>
      </w:r>
      <w:r>
        <w:tab/>
      </w:r>
      <w:r>
        <w:fldChar w:fldCharType="begin"/>
      </w:r>
      <w:r>
        <w:instrText xml:space="preserve"> PAGEREF _Toc588 \h </w:instrText>
      </w:r>
      <w:r>
        <w:fldChar w:fldCharType="separate"/>
      </w:r>
      <w:r>
        <w:t xml:space="preserve">98</w:t>
      </w:r>
      <w:r>
        <w:fldChar w:fldCharType="end"/>
      </w:r>
      <w:r>
        <w:rPr>
          <w:bCs/>
        </w:rPr>
        <w:fldChar w:fldCharType="end"/>
      </w:r>
      <w:r/>
    </w:p>
    <w:p>
      <w:pPr>
        <w:pStyle w:val="1619"/>
        <w:tabs>
          <w:tab w:val="right" w:pos="9638" w:leader="dot"/>
        </w:tabs>
      </w:pPr>
      <w:r>
        <w:rPr>
          <w:bCs/>
        </w:rPr>
        <w:fldChar w:fldCharType="begin"/>
      </w:r>
      <w:r>
        <w:rPr>
          <w:bCs/>
        </w:rPr>
        <w:instrText xml:space="preserve"> HYPERLINK \l _Toc21048 </w:instrText>
      </w:r>
      <w:r>
        <w:rPr>
          <w:bCs/>
        </w:rPr>
        <w:fldChar w:fldCharType="separate"/>
      </w:r>
      <w:r>
        <w:rPr>
          <w:bCs/>
          <w:szCs w:val="22"/>
        </w:rPr>
        <w:t xml:space="preserve">附件六 政府采购政策</w:t>
      </w:r>
      <w:r>
        <w:tab/>
      </w:r>
      <w:r>
        <w:fldChar w:fldCharType="begin"/>
      </w:r>
      <w:r>
        <w:instrText xml:space="preserve"> PAGEREF _Toc21048 \h </w:instrText>
      </w:r>
      <w:r>
        <w:fldChar w:fldCharType="separate"/>
      </w:r>
      <w:r>
        <w:t xml:space="preserve">99</w:t>
      </w:r>
      <w:r>
        <w:fldChar w:fldCharType="end"/>
      </w:r>
      <w:r>
        <w:rPr>
          <w:bCs/>
        </w:rPr>
        <w:fldChar w:fldCharType="end"/>
      </w:r>
      <w:r/>
    </w:p>
    <w:p>
      <w:pPr>
        <w:pStyle w:val="1597"/>
        <w:tabs>
          <w:tab w:val="right" w:pos="9638" w:leader="dot"/>
        </w:tabs>
      </w:pPr>
      <w:r>
        <w:rPr>
          <w:bCs/>
        </w:rPr>
        <w:fldChar w:fldCharType="begin"/>
      </w:r>
      <w:r>
        <w:rPr>
          <w:bCs/>
        </w:rPr>
        <w:instrText xml:space="preserve"> HYPERLINK \l _Toc13248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_Toc13248 \h </w:instrText>
      </w:r>
      <w:r>
        <w:fldChar w:fldCharType="separate"/>
      </w:r>
      <w:r>
        <w:t xml:space="preserve">99</w:t>
      </w:r>
      <w:r>
        <w:fldChar w:fldCharType="end"/>
      </w:r>
      <w:r>
        <w:rPr>
          <w:bCs/>
        </w:rPr>
        <w:fldChar w:fldCharType="end"/>
      </w:r>
      <w:r/>
    </w:p>
    <w:p>
      <w:pPr>
        <w:pStyle w:val="1597"/>
        <w:tabs>
          <w:tab w:val="right" w:pos="9638" w:leader="dot"/>
        </w:tabs>
      </w:pPr>
      <w:r>
        <w:rPr>
          <w:bCs/>
        </w:rPr>
        <w:fldChar w:fldCharType="begin"/>
      </w:r>
      <w:r>
        <w:rPr>
          <w:bCs/>
        </w:rPr>
        <w:instrText xml:space="preserve"> HYPERLINK \l _Toc27312 </w:instrText>
      </w:r>
      <w:r>
        <w:rPr>
          <w:bCs/>
        </w:rPr>
        <w:fldChar w:fldCharType="separate"/>
      </w:r>
      <w:r>
        <w:rPr>
          <w:bCs/>
          <w:szCs w:val="21"/>
        </w:rPr>
        <w:t xml:space="preserve">（二）残疾人福利性单位声明函</w:t>
      </w:r>
      <w:r>
        <w:tab/>
      </w:r>
      <w:r>
        <w:fldChar w:fldCharType="begin"/>
      </w:r>
      <w:r>
        <w:instrText xml:space="preserve"> PAGEREF _Toc27312 \h </w:instrText>
      </w:r>
      <w:r>
        <w:fldChar w:fldCharType="separate"/>
      </w:r>
      <w:r>
        <w:t xml:space="preserve">101</w:t>
      </w:r>
      <w:r>
        <w:fldChar w:fldCharType="end"/>
      </w:r>
      <w:r>
        <w:rPr>
          <w:bCs/>
        </w:rPr>
        <w:fldChar w:fldCharType="end"/>
      </w:r>
      <w:r/>
    </w:p>
    <w:p>
      <w:pPr>
        <w:pStyle w:val="1619"/>
        <w:tabs>
          <w:tab w:val="right" w:pos="9638" w:leader="dot"/>
        </w:tabs>
      </w:pPr>
      <w:r>
        <w:rPr>
          <w:bCs/>
        </w:rPr>
        <w:fldChar w:fldCharType="begin"/>
      </w:r>
      <w:r>
        <w:rPr>
          <w:bCs/>
        </w:rPr>
        <w:instrText xml:space="preserve"> HYPERLINK \l _Toc1269 </w:instrText>
      </w:r>
      <w:r>
        <w:rPr>
          <w:bCs/>
        </w:rP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_Toc1269 \h </w:instrText>
      </w:r>
      <w:r>
        <w:fldChar w:fldCharType="separate"/>
      </w:r>
      <w:r>
        <w:t xml:space="preserve">103</w:t>
      </w:r>
      <w:r>
        <w:fldChar w:fldCharType="end"/>
      </w:r>
      <w:r>
        <w:rPr>
          <w:bCs/>
        </w:rPr>
        <w:fldChar w:fldCharType="end"/>
      </w:r>
      <w:r/>
    </w:p>
    <w:p>
      <w:pPr>
        <w:pStyle w:val="1619"/>
        <w:tabs>
          <w:tab w:val="right" w:pos="9638" w:leader="dot"/>
        </w:tabs>
      </w:pPr>
      <w:r>
        <w:rPr>
          <w:bCs/>
        </w:rPr>
        <w:fldChar w:fldCharType="begin"/>
      </w:r>
      <w:r>
        <w:rPr>
          <w:bCs/>
        </w:rPr>
        <w:instrText xml:space="preserve"> HYPERLINK \l _Toc17365 </w:instrText>
      </w:r>
      <w:r>
        <w:rPr>
          <w:bCs/>
        </w:rPr>
        <w:fldChar w:fldCharType="separate"/>
      </w:r>
      <w:r>
        <w:rPr>
          <w:bCs/>
          <w:szCs w:val="22"/>
          <w:lang w:val="zh-CN"/>
        </w:rPr>
        <w:t xml:space="preserve">附件</w:t>
      </w:r>
      <w:r>
        <w:rPr>
          <w:rFonts w:hint="eastAsia"/>
          <w:bCs/>
          <w:szCs w:val="22"/>
        </w:rPr>
        <w:t xml:space="preserve">七</w:t>
      </w:r>
      <w:r>
        <w:rPr>
          <w:bCs/>
          <w:szCs w:val="22"/>
        </w:rPr>
        <w:t xml:space="preserve"> </w:t>
      </w:r>
      <w:r>
        <w:rPr>
          <w:bCs/>
          <w:szCs w:val="22"/>
          <w:lang w:val="zh-CN"/>
        </w:rPr>
        <w:t xml:space="preserve">资格证明文件</w:t>
      </w:r>
      <w:r>
        <w:tab/>
      </w:r>
      <w:r>
        <w:fldChar w:fldCharType="begin"/>
      </w:r>
      <w:r>
        <w:instrText xml:space="preserve"> PAGEREF _Toc17365 \h </w:instrText>
      </w:r>
      <w:r>
        <w:fldChar w:fldCharType="separate"/>
      </w:r>
      <w:r>
        <w:t xml:space="preserve">104</w:t>
      </w:r>
      <w:r>
        <w:fldChar w:fldCharType="end"/>
      </w:r>
      <w:r>
        <w:rPr>
          <w:bCs/>
        </w:rPr>
        <w:fldChar w:fldCharType="end"/>
      </w:r>
      <w:r/>
    </w:p>
    <w:p>
      <w:pPr>
        <w:pStyle w:val="1597"/>
        <w:tabs>
          <w:tab w:val="right" w:pos="9638" w:leader="dot"/>
        </w:tabs>
      </w:pPr>
      <w:r>
        <w:rPr>
          <w:bCs/>
        </w:rPr>
        <w:fldChar w:fldCharType="begin"/>
      </w:r>
      <w:r>
        <w:rPr>
          <w:bCs/>
        </w:rPr>
        <w:instrText xml:space="preserve"> HYPERLINK \l _Toc15706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_Toc15706 \h </w:instrText>
      </w:r>
      <w:r>
        <w:fldChar w:fldCharType="separate"/>
      </w:r>
      <w:r>
        <w:t xml:space="preserve">104</w:t>
      </w:r>
      <w:r>
        <w:fldChar w:fldCharType="end"/>
      </w:r>
      <w:r>
        <w:rPr>
          <w:bCs/>
        </w:rPr>
        <w:fldChar w:fldCharType="end"/>
      </w:r>
      <w:r/>
    </w:p>
    <w:p>
      <w:pPr>
        <w:pStyle w:val="1597"/>
        <w:tabs>
          <w:tab w:val="right" w:pos="9638" w:leader="dot"/>
        </w:tabs>
      </w:pPr>
      <w:r>
        <w:rPr>
          <w:bCs/>
        </w:rPr>
        <w:fldChar w:fldCharType="begin"/>
      </w:r>
      <w:r>
        <w:rPr>
          <w:bCs/>
        </w:rPr>
        <w:instrText xml:space="preserve"> HYPERLINK \l _Toc20681 </w:instrText>
      </w:r>
      <w:r>
        <w:rPr>
          <w:bCs/>
        </w:rPr>
        <w:fldChar w:fldCharType="separate"/>
      </w:r>
      <w:r>
        <w:rPr>
          <w:bCs/>
          <w:szCs w:val="21"/>
          <w:lang w:val="zh-CN"/>
        </w:rPr>
        <w:t xml:space="preserve">2、法人代表授权书</w:t>
      </w:r>
      <w:r>
        <w:tab/>
      </w:r>
      <w:r>
        <w:fldChar w:fldCharType="begin"/>
      </w:r>
      <w:r>
        <w:instrText xml:space="preserve"> PAGEREF _Toc20681 \h </w:instrText>
      </w:r>
      <w:r>
        <w:fldChar w:fldCharType="separate"/>
      </w:r>
      <w:r>
        <w:t xml:space="preserve">105</w:t>
      </w:r>
      <w:r>
        <w:fldChar w:fldCharType="end"/>
      </w:r>
      <w:r>
        <w:rPr>
          <w:bCs/>
        </w:rPr>
        <w:fldChar w:fldCharType="end"/>
      </w:r>
      <w:r/>
    </w:p>
    <w:p>
      <w:pPr>
        <w:pStyle w:val="1597"/>
        <w:tabs>
          <w:tab w:val="right" w:pos="9638" w:leader="dot"/>
        </w:tabs>
      </w:pPr>
      <w:r>
        <w:rPr>
          <w:bCs/>
        </w:rPr>
        <w:fldChar w:fldCharType="begin"/>
      </w:r>
      <w:r>
        <w:rPr>
          <w:bCs/>
        </w:rPr>
        <w:instrText xml:space="preserve"> HYPERLINK \l _Toc28466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_Toc28466 \h </w:instrText>
      </w:r>
      <w:r>
        <w:fldChar w:fldCharType="separate"/>
      </w:r>
      <w:r>
        <w:t xml:space="preserve">106</w:t>
      </w:r>
      <w:r>
        <w:fldChar w:fldCharType="end"/>
      </w:r>
      <w:r>
        <w:rPr>
          <w:bCs/>
        </w:rPr>
        <w:fldChar w:fldCharType="end"/>
      </w:r>
      <w:r/>
    </w:p>
    <w:p>
      <w:pPr>
        <w:pStyle w:val="1597"/>
        <w:tabs>
          <w:tab w:val="right" w:pos="9638" w:leader="dot"/>
        </w:tabs>
      </w:pPr>
      <w:r>
        <w:rPr>
          <w:bCs/>
        </w:rPr>
        <w:fldChar w:fldCharType="begin"/>
      </w:r>
      <w:r>
        <w:rPr>
          <w:bCs/>
        </w:rPr>
        <w:instrText xml:space="preserve"> HYPERLINK \l _Toc16330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_Toc16330 \h </w:instrText>
      </w:r>
      <w:r>
        <w:fldChar w:fldCharType="separate"/>
      </w:r>
      <w:r>
        <w:t xml:space="preserve">107</w:t>
      </w:r>
      <w:r>
        <w:fldChar w:fldCharType="end"/>
      </w:r>
      <w:r>
        <w:rPr>
          <w:bCs/>
        </w:rPr>
        <w:fldChar w:fldCharType="end"/>
      </w:r>
      <w:r/>
    </w:p>
    <w:p>
      <w:pPr>
        <w:pStyle w:val="1597"/>
        <w:tabs>
          <w:tab w:val="right" w:pos="9638" w:leader="dot"/>
        </w:tabs>
      </w:pPr>
      <w:r>
        <w:rPr>
          <w:bCs/>
        </w:rPr>
        <w:fldChar w:fldCharType="begin"/>
      </w:r>
      <w:r>
        <w:rPr>
          <w:bCs/>
        </w:rPr>
        <w:instrText xml:space="preserve"> HYPERLINK \l _Toc26811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_Toc26811 \h </w:instrText>
      </w:r>
      <w:r>
        <w:fldChar w:fldCharType="separate"/>
      </w:r>
      <w:r>
        <w:t xml:space="preserve">108</w:t>
      </w:r>
      <w:r>
        <w:fldChar w:fldCharType="end"/>
      </w:r>
      <w:r>
        <w:rPr>
          <w:bCs/>
        </w:rPr>
        <w:fldChar w:fldCharType="end"/>
      </w:r>
      <w:r/>
    </w:p>
    <w:p>
      <w:pPr>
        <w:pStyle w:val="1597"/>
        <w:tabs>
          <w:tab w:val="right" w:pos="9638" w:leader="dot"/>
        </w:tabs>
      </w:pPr>
      <w:r>
        <w:rPr>
          <w:bCs/>
        </w:rPr>
        <w:fldChar w:fldCharType="begin"/>
      </w:r>
      <w:r>
        <w:rPr>
          <w:bCs/>
        </w:rPr>
        <w:instrText xml:space="preserve"> HYPERLINK \l _Toc810 </w:instrText>
      </w:r>
      <w:r>
        <w:rPr>
          <w:bCs/>
        </w:rPr>
        <w:fldChar w:fldCharType="separate"/>
      </w:r>
      <w:r>
        <w:rPr>
          <w:bCs/>
          <w:szCs w:val="21"/>
        </w:rPr>
        <w:t xml:space="preserve">6、依法缴纳税收的记录</w:t>
      </w:r>
      <w:r>
        <w:tab/>
      </w:r>
      <w:r>
        <w:fldChar w:fldCharType="begin"/>
      </w:r>
      <w:r>
        <w:instrText xml:space="preserve"> PAGEREF _Toc810 \h </w:instrText>
      </w:r>
      <w:r>
        <w:fldChar w:fldCharType="separate"/>
      </w:r>
      <w:r>
        <w:t xml:space="preserve">109</w:t>
      </w:r>
      <w:r>
        <w:fldChar w:fldCharType="end"/>
      </w:r>
      <w:r>
        <w:rPr>
          <w:bCs/>
        </w:rPr>
        <w:fldChar w:fldCharType="end"/>
      </w:r>
      <w:r/>
    </w:p>
    <w:p>
      <w:pPr>
        <w:pStyle w:val="1597"/>
        <w:tabs>
          <w:tab w:val="right" w:pos="9638" w:leader="dot"/>
        </w:tabs>
      </w:pPr>
      <w:r>
        <w:rPr>
          <w:bCs/>
        </w:rPr>
        <w:fldChar w:fldCharType="begin"/>
      </w:r>
      <w:r>
        <w:rPr>
          <w:bCs/>
        </w:rPr>
        <w:instrText xml:space="preserve"> HYPERLINK \l _Toc970 </w:instrText>
      </w:r>
      <w:r>
        <w:rPr>
          <w:bCs/>
        </w:rPr>
        <w:fldChar w:fldCharType="separate"/>
      </w:r>
      <w:r>
        <w:rPr>
          <w:bCs/>
          <w:szCs w:val="21"/>
        </w:rPr>
        <w:t xml:space="preserve">7、依法缴纳社会保障资金的记录</w:t>
      </w:r>
      <w:r>
        <w:tab/>
      </w:r>
      <w:r>
        <w:fldChar w:fldCharType="begin"/>
      </w:r>
      <w:r>
        <w:instrText xml:space="preserve"> PAGEREF _Toc970 \h </w:instrText>
      </w:r>
      <w:r>
        <w:fldChar w:fldCharType="separate"/>
      </w:r>
      <w:r>
        <w:t xml:space="preserve">110</w:t>
      </w:r>
      <w:r>
        <w:fldChar w:fldCharType="end"/>
      </w:r>
      <w:r>
        <w:rPr>
          <w:bCs/>
        </w:rPr>
        <w:fldChar w:fldCharType="end"/>
      </w:r>
      <w:r/>
    </w:p>
    <w:p>
      <w:pPr>
        <w:pStyle w:val="1597"/>
        <w:tabs>
          <w:tab w:val="right" w:pos="9638" w:leader="dot"/>
        </w:tabs>
      </w:pPr>
      <w:r>
        <w:rPr>
          <w:bCs/>
        </w:rPr>
        <w:fldChar w:fldCharType="begin"/>
      </w:r>
      <w:r>
        <w:rPr>
          <w:bCs/>
        </w:rPr>
        <w:instrText xml:space="preserve"> HYPERLINK \l _Toc8972 </w:instrText>
      </w:r>
      <w:r>
        <w:rPr>
          <w:bCs/>
        </w:rPr>
        <w:fldChar w:fldCharType="separate"/>
      </w:r>
      <w:r>
        <w:rPr>
          <w:bCs/>
          <w:szCs w:val="21"/>
        </w:rPr>
        <w:t xml:space="preserve">8、针对本项目的特定资格要求</w:t>
      </w:r>
      <w:r>
        <w:tab/>
      </w:r>
      <w:r>
        <w:fldChar w:fldCharType="begin"/>
      </w:r>
      <w:r>
        <w:instrText xml:space="preserve"> PAGEREF _Toc8972 \h </w:instrText>
      </w:r>
      <w:r>
        <w:fldChar w:fldCharType="separate"/>
      </w:r>
      <w:r>
        <w:t xml:space="preserve">111</w:t>
      </w:r>
      <w:r>
        <w:fldChar w:fldCharType="end"/>
      </w:r>
      <w:r>
        <w:rPr>
          <w:bCs/>
        </w:rPr>
        <w:fldChar w:fldCharType="end"/>
      </w:r>
      <w:r/>
    </w:p>
    <w:p>
      <w:pPr>
        <w:pStyle w:val="1597"/>
        <w:tabs>
          <w:tab w:val="right" w:pos="9638" w:leader="dot"/>
        </w:tabs>
      </w:pPr>
      <w:r>
        <w:rPr>
          <w:bCs/>
        </w:rPr>
        <w:fldChar w:fldCharType="begin"/>
      </w:r>
      <w:r>
        <w:rPr>
          <w:bCs/>
        </w:rPr>
        <w:instrText xml:space="preserve"> HYPERLINK \l _Toc28434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_Toc28434 \h </w:instrText>
      </w:r>
      <w:r>
        <w:fldChar w:fldCharType="separate"/>
      </w:r>
      <w:r>
        <w:t xml:space="preserve">112</w:t>
      </w:r>
      <w:r>
        <w:fldChar w:fldCharType="end"/>
      </w:r>
      <w:r>
        <w:rPr>
          <w:bCs/>
        </w:rPr>
        <w:fldChar w:fldCharType="end"/>
      </w:r>
      <w:r/>
    </w:p>
    <w:p>
      <w:pPr>
        <w:pStyle w:val="1597"/>
        <w:tabs>
          <w:tab w:val="right" w:pos="9638" w:leader="dot"/>
        </w:tabs>
      </w:pPr>
      <w:r>
        <w:rPr>
          <w:bCs/>
        </w:rPr>
        <w:fldChar w:fldCharType="begin"/>
      </w:r>
      <w:r>
        <w:rPr>
          <w:bCs/>
        </w:rPr>
        <w:instrText xml:space="preserve"> HYPERLINK \l _Toc9743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_Toc9743 \h </w:instrText>
      </w:r>
      <w:r>
        <w:fldChar w:fldCharType="separate"/>
      </w:r>
      <w:r>
        <w:t xml:space="preserve">113</w:t>
      </w:r>
      <w:r>
        <w:fldChar w:fldCharType="end"/>
      </w:r>
      <w:r>
        <w:rPr>
          <w:bCs/>
        </w:rPr>
        <w:fldChar w:fldCharType="end"/>
      </w:r>
      <w:r/>
    </w:p>
    <w:p>
      <w:pPr>
        <w:pStyle w:val="1597"/>
        <w:tabs>
          <w:tab w:val="right" w:pos="9638" w:leader="dot"/>
        </w:tabs>
      </w:pPr>
      <w:r>
        <w:rPr>
          <w:bCs/>
        </w:rPr>
        <w:fldChar w:fldCharType="begin"/>
      </w:r>
      <w:r>
        <w:rPr>
          <w:bCs/>
        </w:rPr>
        <w:instrText xml:space="preserve"> HYPERLINK \l _Toc9886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_Toc9886 \h </w:instrText>
      </w:r>
      <w:r>
        <w:fldChar w:fldCharType="separate"/>
      </w:r>
      <w:r>
        <w:t xml:space="preserve">114</w:t>
      </w:r>
      <w:r>
        <w:fldChar w:fldCharType="end"/>
      </w:r>
      <w:r>
        <w:rPr>
          <w:bCs/>
        </w:rPr>
        <w:fldChar w:fldCharType="end"/>
      </w:r>
      <w:r/>
    </w:p>
    <w:p>
      <w:pPr>
        <w:pStyle w:val="1597"/>
        <w:tabs>
          <w:tab w:val="right" w:pos="9638" w:leader="dot"/>
        </w:tabs>
      </w:pPr>
      <w:r>
        <w:rPr>
          <w:bCs/>
        </w:rPr>
        <w:fldChar w:fldCharType="begin"/>
      </w:r>
      <w:r>
        <w:rPr>
          <w:bCs/>
        </w:rPr>
        <w:instrText xml:space="preserve"> HYPERLINK \l _Toc4172 </w:instrText>
      </w:r>
      <w:r>
        <w:rPr>
          <w:bCs/>
        </w:rPr>
        <w:fldChar w:fldCharType="separate"/>
      </w:r>
      <w:r>
        <w:rPr>
          <w:rFonts w:hint="eastAsia" w:ascii="宋体" w:hAnsi="宋体" w:cs="宋体"/>
          <w:szCs w:val="21"/>
        </w:rPr>
        <w:t xml:space="preserve">参考格式：</w:t>
      </w:r>
      <w:r>
        <w:tab/>
      </w:r>
      <w:r>
        <w:fldChar w:fldCharType="begin"/>
      </w:r>
      <w:r>
        <w:instrText xml:space="preserve"> PAGEREF _Toc4172 \h </w:instrText>
      </w:r>
      <w:r>
        <w:fldChar w:fldCharType="separate"/>
      </w:r>
      <w:r>
        <w:t xml:space="preserve">114</w:t>
      </w:r>
      <w:r>
        <w:fldChar w:fldCharType="end"/>
      </w:r>
      <w:r>
        <w:rPr>
          <w:bCs/>
        </w:rPr>
        <w:fldChar w:fldCharType="end"/>
      </w:r>
      <w:r/>
    </w:p>
    <w:p>
      <w:pPr>
        <w:pStyle w:val="1619"/>
        <w:tabs>
          <w:tab w:val="right" w:pos="9638" w:leader="dot"/>
        </w:tabs>
      </w:pPr>
      <w:r>
        <w:rPr>
          <w:bCs/>
        </w:rPr>
        <w:fldChar w:fldCharType="begin"/>
      </w:r>
      <w:r>
        <w:rPr>
          <w:bCs/>
        </w:rPr>
        <w:instrText xml:space="preserve"> HYPERLINK \l _Toc13144 </w:instrText>
      </w:r>
      <w:r>
        <w:rPr>
          <w:bCs/>
        </w:rPr>
        <w:fldChar w:fldCharType="separate"/>
      </w:r>
      <w:r>
        <w:rPr>
          <w:bCs/>
          <w:szCs w:val="22"/>
          <w:lang w:val="zh-CN"/>
        </w:rPr>
        <w:t xml:space="preserve">附件</w:t>
      </w:r>
      <w:r>
        <w:rPr>
          <w:rFonts w:hint="eastAsia"/>
          <w:bCs/>
          <w:szCs w:val="22"/>
        </w:rPr>
        <w:t xml:space="preserve">八</w:t>
      </w:r>
      <w:r>
        <w:rPr>
          <w:bCs/>
          <w:szCs w:val="22"/>
          <w:lang w:val="zh-CN"/>
        </w:rPr>
        <w:t xml:space="preserve"> 供应商认为应提供的其他材料</w:t>
      </w:r>
      <w:r>
        <w:tab/>
      </w:r>
      <w:r>
        <w:fldChar w:fldCharType="begin"/>
      </w:r>
      <w:r>
        <w:instrText xml:space="preserve"> PAGEREF _Toc13144 \h </w:instrText>
      </w:r>
      <w:r>
        <w:fldChar w:fldCharType="separate"/>
      </w:r>
      <w:r>
        <w:t xml:space="preserve">115</w:t>
      </w:r>
      <w:r>
        <w:fldChar w:fldCharType="end"/>
      </w:r>
      <w:r>
        <w:rPr>
          <w:bCs/>
        </w:rPr>
        <w:fldChar w:fldCharType="end"/>
      </w:r>
      <w:r/>
    </w:p>
    <w:p>
      <w:pPr>
        <w:pStyle w:val="1559"/>
        <w:spacing w:line="440" w:lineRule="exact"/>
        <w:rPr>
          <w:bCs/>
          <w:sz w:val="24"/>
        </w:rPr>
      </w:pPr>
      <w:r>
        <w:rPr>
          <w:bCs/>
        </w:rPr>
        <w:fldChar w:fldCharType="end"/>
      </w:r>
      <w:r>
        <w:rPr>
          <w:bCs/>
          <w:sz w:val="24"/>
        </w:rPr>
      </w:r>
      <w:r/>
    </w:p>
    <w:p>
      <w:pPr>
        <w:pStyle w:val="1559"/>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559"/>
        <w:jc w:val="center"/>
        <w:spacing w:line="360" w:lineRule="auto"/>
        <w:rPr>
          <w:b/>
          <w:sz w:val="44"/>
        </w:rPr>
        <w:outlineLvl w:val="0"/>
      </w:pPr>
      <w:r/>
      <w:bookmarkStart w:id="2" w:name="_Toc30069"/>
      <w:r>
        <w:rPr>
          <w:b/>
          <w:sz w:val="28"/>
          <w:szCs w:val="28"/>
        </w:rPr>
        <w:t xml:space="preserve">第一章 投标邀请（招标公告）</w:t>
      </w:r>
      <w:bookmarkEnd w:id="0"/>
      <w:r/>
      <w:bookmarkEnd w:id="1"/>
      <w:r/>
      <w:bookmarkEnd w:id="2"/>
      <w:r>
        <w:rPr>
          <w:b/>
          <w:sz w:val="44"/>
        </w:rPr>
      </w:r>
      <w:r/>
    </w:p>
    <w:p>
      <w:pPr>
        <w:pStyle w:val="1559"/>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559"/>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江苏省计量院2026年社会公用计量标准设备更新</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0</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0</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559"/>
        <w:spacing w:line="360" w:lineRule="auto"/>
        <w:rPr>
          <w:rFonts w:hint="eastAsia" w:ascii="宋体" w:hAnsi="宋体" w:cs="宋体"/>
          <w:b/>
          <w:szCs w:val="21"/>
        </w:rPr>
      </w:pPr>
      <w:r/>
      <w:bookmarkStart w:id="3" w:name="_Toc28359002"/>
      <w:r/>
      <w:bookmarkStart w:id="4" w:name="_Toc28359079"/>
      <w:r/>
      <w:bookmarkStart w:id="5" w:name="_Toc35393621"/>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JSZC-320000-SMDY-G2026-0089</w:t>
      </w:r>
      <w:r>
        <w:rPr>
          <w:rFonts w:hint="eastAsia" w:ascii="宋体" w:hAnsi="宋体" w:cs="宋体"/>
          <w:szCs w:val="21"/>
        </w:rPr>
        <w:t xml:space="preserve">（2640SUMEC/ZWGG2156）</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2.项目名称：江苏省计量院2026年社会公用计量标准设备更新项目</w:t>
      </w:r>
      <w:r>
        <w:rPr>
          <w:rFonts w:hint="eastAsia" w:ascii="宋体" w:hAnsi="宋体" w:cs="宋体"/>
          <w:szCs w:val="21"/>
        </w:rPr>
      </w:r>
      <w:r/>
    </w:p>
    <w:p>
      <w:pPr>
        <w:pStyle w:val="1559"/>
        <w:ind w:firstLine="420"/>
        <w:spacing w:line="360" w:lineRule="auto"/>
        <w:rPr>
          <w:rFonts w:hint="eastAsia" w:ascii="宋体" w:hAnsi="宋体" w:cs="宋体"/>
          <w:szCs w:val="21"/>
        </w:rPr>
      </w:pPr>
      <w:r/>
      <w:bookmarkEnd w:id="7"/>
      <w:r>
        <w:rPr>
          <w:rFonts w:hint="eastAsia" w:ascii="宋体" w:hAnsi="宋体" w:cs="宋体"/>
          <w:szCs w:val="21"/>
        </w:rPr>
        <w:t xml:space="preserve">3.预算金额：人民币</w:t>
      </w:r>
      <w:r>
        <w:rPr>
          <w:rFonts w:hint="eastAsia" w:ascii="宋体" w:hAnsi="宋体" w:cs="宋体"/>
          <w:szCs w:val="21"/>
          <w:lang w:val="en-US" w:eastAsia="zh-CN"/>
        </w:rPr>
        <w:t xml:space="preserve">286.89</w:t>
      </w:r>
      <w:r>
        <w:rPr>
          <w:rFonts w:hint="eastAsia" w:ascii="宋体" w:hAnsi="宋体" w:cs="宋体"/>
          <w:szCs w:val="21"/>
        </w:rPr>
        <w:t xml:space="preserve">万元，其中分包</w:t>
      </w:r>
      <w:r>
        <w:rPr>
          <w:rFonts w:hint="eastAsia" w:ascii="宋体" w:hAnsi="宋体" w:cs="宋体"/>
          <w:szCs w:val="21"/>
          <w:lang w:val="en-US" w:eastAsia="zh-CN"/>
        </w:rPr>
        <w:t xml:space="preserve">1</w:t>
      </w:r>
      <w:r>
        <w:rPr>
          <w:rFonts w:hint="eastAsia" w:ascii="宋体" w:hAnsi="宋体" w:cs="宋体"/>
          <w:szCs w:val="21"/>
        </w:rPr>
        <w:t xml:space="preserve">人民币19.64万元</w:t>
      </w:r>
      <w:r>
        <w:rPr>
          <w:rFonts w:hint="eastAsia" w:ascii="宋体" w:hAnsi="宋体" w:cs="宋体"/>
          <w:szCs w:val="21"/>
          <w:lang w:eastAsia="zh-CN"/>
        </w:rPr>
        <w:t xml:space="preserve">，</w:t>
      </w:r>
      <w:r>
        <w:rPr>
          <w:rFonts w:hint="eastAsia" w:ascii="宋体" w:hAnsi="宋体" w:cs="宋体"/>
          <w:szCs w:val="21"/>
        </w:rPr>
        <w:t xml:space="preserve">分包</w:t>
      </w:r>
      <w:r>
        <w:rPr>
          <w:rFonts w:hint="eastAsia" w:ascii="宋体" w:hAnsi="宋体" w:cs="宋体"/>
          <w:szCs w:val="21"/>
          <w:lang w:val="en-US" w:eastAsia="zh-CN"/>
        </w:rPr>
        <w:t xml:space="preserve">2</w:t>
      </w:r>
      <w:r>
        <w:rPr>
          <w:rFonts w:hint="eastAsia" w:ascii="宋体" w:hAnsi="宋体" w:cs="宋体"/>
          <w:szCs w:val="21"/>
        </w:rPr>
        <w:t xml:space="preserve">人民币69.8万元</w:t>
      </w:r>
      <w:r>
        <w:rPr>
          <w:rFonts w:hint="eastAsia" w:ascii="宋体" w:hAnsi="宋体" w:cs="宋体"/>
          <w:szCs w:val="21"/>
          <w:lang w:eastAsia="zh-CN"/>
        </w:rPr>
        <w:t xml:space="preserve">，</w:t>
      </w:r>
      <w:r>
        <w:rPr>
          <w:rFonts w:hint="eastAsia" w:ascii="宋体" w:hAnsi="宋体" w:cs="宋体"/>
          <w:szCs w:val="21"/>
        </w:rPr>
        <w:t xml:space="preserve">分包</w:t>
      </w:r>
      <w:r>
        <w:rPr>
          <w:rFonts w:hint="eastAsia" w:ascii="宋体" w:hAnsi="宋体" w:cs="宋体"/>
          <w:szCs w:val="21"/>
          <w:lang w:val="en-US" w:eastAsia="zh-CN"/>
        </w:rPr>
        <w:t xml:space="preserve">3</w:t>
      </w:r>
      <w:r>
        <w:rPr>
          <w:rFonts w:hint="eastAsia" w:ascii="宋体" w:hAnsi="宋体" w:cs="宋体"/>
          <w:szCs w:val="21"/>
        </w:rPr>
        <w:t xml:space="preserve">人民币48.4万元</w:t>
      </w:r>
      <w:r>
        <w:rPr>
          <w:rFonts w:hint="eastAsia" w:ascii="宋体" w:hAnsi="宋体" w:cs="宋体"/>
          <w:szCs w:val="21"/>
          <w:lang w:eastAsia="zh-CN"/>
        </w:rPr>
        <w:t xml:space="preserve">，</w:t>
      </w:r>
      <w:r>
        <w:rPr>
          <w:rFonts w:hint="eastAsia" w:ascii="宋体" w:hAnsi="宋体" w:cs="宋体"/>
          <w:szCs w:val="21"/>
        </w:rPr>
        <w:t xml:space="preserve">分包</w:t>
      </w:r>
      <w:r>
        <w:rPr>
          <w:rFonts w:hint="eastAsia" w:ascii="宋体" w:hAnsi="宋体" w:cs="宋体"/>
          <w:szCs w:val="21"/>
          <w:lang w:val="en-US" w:eastAsia="zh-CN"/>
        </w:rPr>
        <w:t xml:space="preserve">4</w:t>
      </w:r>
      <w:r>
        <w:rPr>
          <w:rFonts w:hint="eastAsia" w:ascii="宋体" w:hAnsi="宋体" w:cs="宋体"/>
          <w:szCs w:val="21"/>
        </w:rPr>
        <w:t xml:space="preserve">人民币58.05万元</w:t>
      </w:r>
      <w:r>
        <w:rPr>
          <w:rFonts w:hint="eastAsia" w:ascii="宋体" w:hAnsi="宋体" w:cs="宋体"/>
          <w:szCs w:val="21"/>
          <w:lang w:eastAsia="zh-CN"/>
        </w:rPr>
        <w:t xml:space="preserve">，</w:t>
      </w:r>
      <w:r>
        <w:rPr>
          <w:rFonts w:hint="eastAsia" w:ascii="宋体" w:hAnsi="宋体" w:cs="宋体"/>
          <w:szCs w:val="21"/>
        </w:rPr>
        <w:t xml:space="preserve">分包</w:t>
      </w:r>
      <w:r>
        <w:rPr>
          <w:rFonts w:hint="eastAsia" w:ascii="宋体" w:hAnsi="宋体" w:cs="宋体"/>
          <w:szCs w:val="21"/>
          <w:lang w:val="en-US" w:eastAsia="zh-CN"/>
        </w:rPr>
        <w:t xml:space="preserve">5</w:t>
      </w:r>
      <w:r>
        <w:rPr>
          <w:rFonts w:hint="eastAsia" w:ascii="宋体" w:hAnsi="宋体" w:cs="宋体"/>
          <w:szCs w:val="21"/>
        </w:rPr>
        <w:t xml:space="preserve">人民币31万元</w:t>
      </w:r>
      <w:r>
        <w:rPr>
          <w:rFonts w:hint="eastAsia" w:ascii="宋体" w:hAnsi="宋体" w:cs="宋体"/>
          <w:szCs w:val="21"/>
          <w:lang w:eastAsia="zh-CN"/>
        </w:rPr>
        <w:t xml:space="preserve">，</w:t>
      </w:r>
      <w:r>
        <w:rPr>
          <w:rFonts w:hint="eastAsia" w:ascii="宋体" w:hAnsi="宋体" w:cs="宋体"/>
          <w:szCs w:val="21"/>
        </w:rPr>
        <w:t xml:space="preserve">分包</w:t>
      </w:r>
      <w:r>
        <w:rPr>
          <w:rFonts w:hint="eastAsia" w:ascii="宋体" w:hAnsi="宋体" w:cs="宋体"/>
          <w:szCs w:val="21"/>
          <w:lang w:val="en-US" w:eastAsia="zh-CN"/>
        </w:rPr>
        <w:t xml:space="preserve">6</w:t>
      </w:r>
      <w:r>
        <w:rPr>
          <w:rFonts w:hint="eastAsia" w:ascii="宋体" w:hAnsi="宋体" w:cs="宋体"/>
          <w:szCs w:val="21"/>
        </w:rPr>
        <w:t xml:space="preserve">人民币60万元</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4.最高限价：</w:t>
      </w:r>
      <w:r>
        <w:rPr>
          <w:rFonts w:hint="eastAsia" w:ascii="宋体" w:hAnsi="宋体" w:cs="宋体"/>
          <w:szCs w:val="21"/>
          <w:lang w:eastAsia="zh-CN"/>
        </w:rPr>
        <w:t xml:space="preserve">人民币286.89万元</w:t>
      </w:r>
      <w:r>
        <w:rPr>
          <w:rFonts w:hint="eastAsia" w:ascii="宋体" w:hAnsi="宋体" w:cs="宋体"/>
          <w:szCs w:val="21"/>
        </w:rPr>
        <w:t xml:space="preserve">，具体产品最高限价详见采购需求</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95"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50"/>
        <w:gridCol w:w="675"/>
        <w:gridCol w:w="2929"/>
        <w:gridCol w:w="994"/>
        <w:gridCol w:w="1138"/>
        <w:gridCol w:w="2178"/>
        <w:gridCol w:w="1081"/>
      </w:tblGrid>
      <w:tr>
        <w:trPr>
          <w:trHeight w:val="7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559"/>
              <w:jc w:val="center"/>
              <w:rPr>
                <w:rFonts w:hint="eastAsia" w:ascii="宋体" w:hAnsi="宋体" w:cs="宋体"/>
              </w:rPr>
            </w:pPr>
            <w:r>
              <w:rPr>
                <w:rFonts w:hint="eastAsia" w:ascii="宋体" w:hAnsi="宋体" w:cs="宋体"/>
              </w:rPr>
              <w:t xml:space="preserve">分包号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rPr>
                <w:rFonts w:hint="eastAsia" w:ascii="宋体" w:hAnsi="宋体" w:cs="宋体"/>
              </w:rPr>
            </w:pPr>
            <w:r>
              <w:rPr>
                <w:rFonts w:hint="eastAsia" w:ascii="宋体" w:hAnsi="宋体" w:cs="宋体"/>
              </w:rPr>
              <w:t xml:space="preserve">品目号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rPr>
                <w:rFonts w:hint="eastAsia" w:ascii="宋体" w:hAnsi="宋体" w:cs="宋体"/>
              </w:rPr>
            </w:pPr>
            <w:r>
              <w:rPr>
                <w:rFonts w:hint="eastAsia" w:ascii="宋体" w:hAnsi="宋体" w:cs="宋体"/>
              </w:rPr>
              <w:t xml:space="preserve">品目名称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rPr>
                <w:rFonts w:hint="eastAsia" w:ascii="宋体" w:hAnsi="宋体" w:cs="宋体"/>
              </w:rPr>
            </w:pPr>
            <w:r>
              <w:rPr>
                <w:rFonts w:hint="eastAsia" w:ascii="宋体" w:hAnsi="宋体" w:cs="宋体"/>
              </w:rPr>
              <w:t xml:space="preserve">数量</w:t>
            </w:r>
            <w:r>
              <w:rPr>
                <w:rFonts w:hint="eastAsia" w:ascii="宋体" w:hAnsi="宋体" w:cs="宋体"/>
              </w:rPr>
            </w:r>
            <w:r/>
          </w:p>
          <w:p>
            <w:pPr>
              <w:pStyle w:val="1559"/>
              <w:jc w:val="center"/>
              <w:rPr>
                <w:rFonts w:hint="eastAsia" w:ascii="宋体" w:hAnsi="宋体" w:cs="宋体"/>
              </w:rPr>
            </w:pPr>
            <w:r>
              <w:rPr>
                <w:rFonts w:hint="eastAsia" w:ascii="宋体" w:hAnsi="宋体" w:cs="宋体"/>
              </w:rPr>
              <w:t xml:space="preserve">（套/台）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rPr>
                <w:rFonts w:hint="eastAsia" w:ascii="宋体" w:hAnsi="宋体" w:cs="宋体"/>
              </w:rPr>
            </w:pPr>
            <w:r>
              <w:rPr>
                <w:rFonts w:hint="eastAsia" w:ascii="宋体" w:hAnsi="宋体" w:cs="宋体"/>
              </w:rPr>
              <w:t xml:space="preserve">最高限价（万元）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1559"/>
              <w:jc w:val="center"/>
              <w:rPr>
                <w:rFonts w:hint="eastAsia" w:ascii="宋体" w:hAnsi="宋体" w:cs="宋体"/>
              </w:rPr>
            </w:pPr>
            <w:r>
              <w:rPr>
                <w:rFonts w:hint="eastAsia" w:ascii="宋体" w:hAnsi="宋体" w:cs="宋体"/>
              </w:rPr>
              <w:t xml:space="preserve">合同履行期限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1559"/>
              <w:jc w:val="center"/>
              <w:rPr>
                <w:rFonts w:hint="eastAsia" w:ascii="宋体" w:hAnsi="宋体" w:cs="宋体"/>
              </w:rPr>
            </w:pPr>
            <w:r>
              <w:rPr>
                <w:rFonts w:hint="eastAsia" w:ascii="宋体" w:hAnsi="宋体" w:cs="宋体"/>
              </w:rPr>
              <w:t xml:space="preserve">是否接受进口产品</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559"/>
              <w:jc w:val="center"/>
              <w:rPr>
                <w:rFonts w:hint="eastAsia" w:ascii="宋体" w:hAnsi="宋体" w:eastAsia="宋体" w:cs="宋体"/>
                <w:lang w:eastAsia="zh-CN"/>
              </w:rPr>
            </w:pPr>
            <w:r>
              <w:rPr>
                <w:rFonts w:hint="eastAsia" w:ascii="宋体" w:hAnsi="宋体" w:cs="宋体"/>
                <w:lang w:val="en-US" w:eastAsia="zh-CN"/>
              </w:rPr>
              <w:t xml:space="preserve">1</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钟罩式气体流量标准装置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19.6</w:t>
            </w:r>
            <w:r>
              <w:rPr>
                <w:rFonts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7</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559"/>
              <w:jc w:val="center"/>
              <w:rPr>
                <w:rFonts w:hint="eastAsia" w:ascii="宋体" w:hAnsi="宋体" w:eastAsia="宋体" w:cs="宋体"/>
                <w:lang w:eastAsia="zh-CN"/>
              </w:rPr>
            </w:pPr>
            <w:r>
              <w:rPr>
                <w:rFonts w:hint="eastAsia" w:ascii="宋体" w:hAnsi="宋体" w:cs="宋体"/>
                <w:lang w:val="en-US" w:eastAsia="zh-CN"/>
              </w:rPr>
              <w:t xml:space="preserve">2</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rPr>
                <w:rFonts w:hint="eastAsia" w:ascii="宋体" w:hAnsi="宋体" w:cs="宋体"/>
                <w:szCs w:val="21"/>
              </w:rPr>
            </w:pPr>
            <w:r>
              <w:rPr>
                <w:rFonts w:hint="eastAsia" w:ascii="宋体" w:hAnsi="宋体" w:cs="宋体"/>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rPr>
                <w:rFonts w:hint="eastAsia" w:ascii="宋体" w:hAnsi="宋体" w:cs="宋体"/>
                <w:szCs w:val="21"/>
              </w:rPr>
            </w:pPr>
            <w:r>
              <w:rPr>
                <w:rFonts w:hint="eastAsia" w:ascii="宋体" w:hAnsi="宋体" w:cs="宋体"/>
              </w:rPr>
              <w:t xml:space="preserve">电压比例标准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rPr>
                <w:rFonts w:hint="eastAsia" w:ascii="宋体" w:hAnsi="宋体" w:cs="宋体"/>
                <w:szCs w:val="21"/>
              </w:rPr>
            </w:pPr>
            <w:r>
              <w:rPr>
                <w:rFonts w:hint="eastAsia" w:ascii="宋体" w:hAnsi="宋体" w:cs="宋体"/>
              </w:rPr>
              <w:t xml:space="preserve">1台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rPr>
                <w:rFonts w:hint="eastAsia" w:ascii="宋体" w:hAnsi="宋体" w:cs="宋体"/>
                <w:szCs w:val="21"/>
              </w:rPr>
            </w:pPr>
            <w:r>
              <w:rPr>
                <w:rFonts w:hint="eastAsia" w:ascii="宋体" w:hAnsi="宋体" w:cs="宋体"/>
              </w:rPr>
              <w:t xml:space="preserve">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rPr>
                <w:rFonts w:hint="eastAsia" w:ascii="宋体" w:hAnsi="宋体" w:cs="宋体"/>
                <w:szCs w:val="21"/>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rPr>
                <w:rFonts w:hint="eastAsia" w:ascii="宋体" w:hAnsi="宋体" w:cs="宋体"/>
                <w:szCs w:val="21"/>
              </w:rPr>
            </w:pPr>
            <w:r>
              <w:rPr>
                <w:rFonts w:hint="eastAsia" w:ascii="宋体" w:hAnsi="宋体" w:cs="宋体"/>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55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rPr>
                <w:rFonts w:hint="eastAsia" w:ascii="宋体" w:hAnsi="宋体" w:cs="宋体"/>
                <w:szCs w:val="21"/>
              </w:rPr>
            </w:pPr>
            <w:r>
              <w:rPr>
                <w:rFonts w:hint="eastAsia" w:ascii="宋体" w:hAnsi="宋体" w:cs="宋体"/>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rPr>
                <w:rFonts w:hint="eastAsia" w:ascii="宋体" w:hAnsi="宋体" w:cs="宋体"/>
                <w:szCs w:val="21"/>
              </w:rPr>
            </w:pPr>
            <w:r>
              <w:rPr>
                <w:rFonts w:hint="eastAsia" w:ascii="宋体" w:hAnsi="宋体" w:cs="宋体"/>
              </w:rPr>
              <w:t xml:space="preserve">数字式高阻检定仪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rPr>
                <w:rFonts w:hint="eastAsia" w:ascii="宋体" w:hAnsi="宋体" w:cs="宋体"/>
                <w:szCs w:val="21"/>
              </w:rPr>
            </w:pPr>
            <w:r>
              <w:rPr>
                <w:rFonts w:hint="eastAsia" w:ascii="宋体" w:hAnsi="宋体" w:cs="宋体"/>
              </w:rPr>
              <w:t xml:space="preserve">1台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rPr>
                <w:rFonts w:hint="eastAsia" w:ascii="宋体" w:hAnsi="宋体" w:cs="宋体"/>
                <w:szCs w:val="21"/>
              </w:rPr>
            </w:pPr>
            <w:r>
              <w:rPr>
                <w:rFonts w:hint="eastAsia" w:ascii="宋体" w:hAnsi="宋体" w:cs="宋体"/>
              </w:rPr>
              <w:t xml:space="preserve">4.80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rPr>
                <w:rFonts w:hint="eastAsia" w:ascii="宋体" w:hAnsi="宋体" w:cs="宋体"/>
                <w:szCs w:val="21"/>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rPr>
                <w:rFonts w:hint="eastAsia" w:ascii="宋体" w:hAnsi="宋体" w:cs="宋体"/>
                <w:szCs w:val="21"/>
                <w:highlight w:val="yellow"/>
              </w:rPr>
            </w:pPr>
            <w:r>
              <w:rPr>
                <w:rFonts w:hint="eastAsia" w:ascii="宋体" w:hAnsi="宋体" w:cs="宋体"/>
              </w:rPr>
              <w:t xml:space="preserve">否</w:t>
            </w:r>
            <w:r>
              <w:rPr>
                <w:rFonts w:hint="eastAsia" w:ascii="宋体" w:hAnsi="宋体" w:cs="宋体"/>
                <w:szCs w:val="21"/>
                <w:highlight w:val="yellow"/>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55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rPr>
                <w:rFonts w:hint="eastAsia" w:ascii="宋体" w:hAnsi="宋体" w:cs="宋体"/>
                <w:szCs w:val="21"/>
              </w:rPr>
            </w:pPr>
            <w:r>
              <w:rPr>
                <w:rFonts w:hint="eastAsia" w:ascii="宋体" w:hAnsi="宋体" w:cs="宋体"/>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rPr>
                <w:rFonts w:ascii="宋体" w:hAnsi="宋体" w:cs="宋体"/>
              </w:rPr>
            </w:pPr>
            <w:r>
              <w:rPr>
                <w:rFonts w:hint="eastAsia" w:ascii="宋体" w:hAnsi="宋体" w:cs="宋体"/>
              </w:rPr>
              <w:t xml:space="preserve">0.02级三相电能表检定装置</w:t>
            </w:r>
            <w:r>
              <w:rPr>
                <w:rFonts w:ascii="宋体" w:hAnsi="宋体" w:cs="宋体"/>
              </w:rPr>
            </w:r>
            <w:r/>
          </w:p>
          <w:p>
            <w:pPr>
              <w:pStyle w:val="1559"/>
              <w:jc w:val="center"/>
              <w:rPr>
                <w:rFonts w:hint="eastAsia" w:ascii="宋体" w:hAnsi="宋体" w:cs="宋体"/>
                <w:szCs w:val="21"/>
              </w:rPr>
            </w:pPr>
            <w:r>
              <w:rPr>
                <w:rFonts w:hint="eastAsia" w:ascii="宋体" w:hAnsi="宋体" w:cs="宋体"/>
                <w:b/>
                <w:bCs/>
                <w:color w:val="ff0000"/>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rPr>
                <w:rFonts w:hint="eastAsia" w:ascii="宋体" w:hAnsi="宋体" w:cs="宋体"/>
                <w:szCs w:val="21"/>
              </w:rPr>
            </w:pPr>
            <w:r>
              <w:rPr>
                <w:rFonts w:hint="eastAsia" w:ascii="宋体" w:hAnsi="宋体" w:cs="宋体"/>
              </w:rPr>
              <w:t xml:space="preserve">1套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rPr>
                <w:rFonts w:hint="eastAsia" w:ascii="宋体" w:hAnsi="宋体" w:cs="宋体"/>
                <w:szCs w:val="21"/>
              </w:rPr>
            </w:pPr>
            <w:r>
              <w:rPr>
                <w:rFonts w:hint="eastAsia" w:ascii="宋体" w:hAnsi="宋体" w:cs="宋体"/>
              </w:rPr>
              <w:t xml:space="preserve">60.00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rPr>
                <w:rFonts w:hint="eastAsia" w:ascii="宋体" w:hAnsi="宋体" w:cs="宋体"/>
                <w:szCs w:val="21"/>
              </w:rPr>
            </w:pPr>
            <w:r>
              <w:rPr>
                <w:rFonts w:hint="eastAsia" w:ascii="宋体" w:hAnsi="宋体" w:cs="宋体"/>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rPr>
                <w:rFonts w:hint="eastAsia" w:ascii="宋体" w:hAnsi="宋体" w:cs="宋体"/>
                <w:szCs w:val="21"/>
                <w:highlight w:val="yellow"/>
              </w:rPr>
            </w:pPr>
            <w:r>
              <w:rPr>
                <w:rFonts w:hint="eastAsia" w:ascii="宋体" w:hAnsi="宋体" w:cs="宋体"/>
              </w:rPr>
              <w:t xml:space="preserve">否</w:t>
            </w:r>
            <w:r>
              <w:rPr>
                <w:rFonts w:hint="eastAsia" w:ascii="宋体" w:hAnsi="宋体" w:cs="宋体"/>
                <w:szCs w:val="21"/>
                <w:highlight w:val="yellow"/>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559"/>
              <w:jc w:val="center"/>
              <w:rPr>
                <w:rFonts w:hint="eastAsia" w:ascii="宋体" w:hAnsi="宋体" w:eastAsia="宋体" w:cs="宋体"/>
                <w:lang w:eastAsia="zh-CN"/>
              </w:rPr>
            </w:pPr>
            <w:r>
              <w:rPr>
                <w:rFonts w:hint="eastAsia" w:ascii="宋体" w:hAnsi="宋体" w:cs="宋体"/>
                <w:lang w:val="en-US" w:eastAsia="zh-CN"/>
              </w:rPr>
              <w:t xml:space="preserve">3</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cs="宋体"/>
                <w:b/>
                <w:bCs/>
                <w:color w:val="ff0000"/>
              </w:rPr>
            </w:pPr>
            <w:r>
              <w:rPr>
                <w:rFonts w:hint="eastAsia" w:ascii="宋体" w:hAnsi="宋体" w:cs="宋体"/>
                <w:szCs w:val="21"/>
              </w:rPr>
              <w:t xml:space="preserve">数字多用表</w:t>
            </w:r>
            <w:r>
              <w:rPr>
                <w:rFonts w:hint="eastAsia" w:ascii="宋体" w:hAnsi="宋体" w:cs="宋体"/>
                <w:b/>
                <w:bCs/>
                <w:color w:val="ff0000"/>
                <w:szCs w:val="21"/>
              </w:rPr>
              <w:t xml:space="preserve">（核心产品）</w:t>
            </w:r>
            <w:r>
              <w:rPr>
                <w:rFonts w:hint="eastAsia" w:ascii="宋体" w:hAnsi="宋体" w:cs="宋体"/>
                <w:b/>
                <w:bCs/>
                <w:color w:val="ff0000"/>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cs="宋体"/>
              </w:rPr>
            </w:pPr>
            <w:r>
              <w:rPr>
                <w:rFonts w:hint="eastAsia" w:ascii="宋体" w:hAnsi="宋体" w:cs="宋体"/>
                <w:szCs w:val="21"/>
              </w:rPr>
              <w:t xml:space="preserve">30.00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cs="宋体"/>
              </w:rPr>
            </w:pPr>
            <w:r>
              <w:rPr>
                <w:rFonts w:hint="eastAsia" w:ascii="宋体" w:hAnsi="宋体" w:cs="宋体"/>
                <w:szCs w:val="21"/>
              </w:rPr>
              <w:t xml:space="preserve">合同签订后9个月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90"/>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55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cs="宋体"/>
              </w:rPr>
            </w:pPr>
            <w:r>
              <w:rPr>
                <w:rFonts w:hint="eastAsia" w:ascii="宋体" w:hAnsi="宋体" w:cs="宋体"/>
                <w:szCs w:val="21"/>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cs="宋体"/>
                <w:b/>
                <w:bCs/>
                <w:color w:val="ff0000"/>
              </w:rPr>
            </w:pPr>
            <w:r>
              <w:rPr>
                <w:rFonts w:hint="eastAsia" w:ascii="宋体" w:hAnsi="宋体" w:cs="宋体"/>
                <w:szCs w:val="21"/>
              </w:rPr>
              <w:t xml:space="preserve">数字式高阻检定仪</w:t>
            </w:r>
            <w:r>
              <w:rPr>
                <w:rFonts w:hint="eastAsia" w:ascii="宋体" w:hAnsi="宋体" w:cs="宋体"/>
                <w:b/>
                <w:bCs/>
                <w:color w:val="ff0000"/>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cs="宋体"/>
              </w:rPr>
            </w:pPr>
            <w:r>
              <w:rPr>
                <w:rFonts w:hint="eastAsia" w:ascii="宋体" w:hAnsi="宋体" w:cs="宋体"/>
                <w:szCs w:val="21"/>
              </w:rPr>
              <w:t xml:space="preserve">18.40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9</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559"/>
              <w:jc w:val="center"/>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声校准器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cs="宋体"/>
                <w:szCs w:val="21"/>
              </w:rPr>
            </w:pPr>
            <w:r>
              <w:rPr>
                <w:rFonts w:ascii="宋体" w:hAnsi="宋体" w:cs="宋体"/>
                <w:szCs w:val="21"/>
              </w:rPr>
              <w:t xml:space="preserve">7.80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55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声校准器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4.0</w:t>
            </w:r>
            <w:r>
              <w:rPr>
                <w:rFonts w:ascii="宋体" w:hAnsi="宋体" w:cs="宋体"/>
                <w:szCs w:val="21"/>
              </w:rPr>
              <w:t xml:space="preserve">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55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多通道声分析仪</w:t>
            </w:r>
            <w:r>
              <w:rPr>
                <w:rFonts w:hint="eastAsia" w:ascii="宋体" w:hAnsi="宋体" w:cs="宋体"/>
                <w:b/>
                <w:bCs/>
                <w:color w:val="ff0000"/>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46.25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559"/>
              <w:jc w:val="center"/>
              <w:rPr>
                <w:rFonts w:hint="eastAsia" w:ascii="宋体" w:hAnsi="宋体" w:eastAsia="宋体" w:cs="宋体"/>
                <w:lang w:eastAsia="zh-CN"/>
              </w:rPr>
            </w:pPr>
            <w:r>
              <w:rPr>
                <w:rFonts w:hint="eastAsia" w:ascii="宋体" w:hAnsi="宋体" w:cs="宋体"/>
                <w:lang w:val="en-US" w:eastAsia="zh-CN"/>
              </w:rPr>
              <w:t xml:space="preserve">5</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铷原子频率标准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10.00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55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频标比对器</w:t>
            </w:r>
            <w:r>
              <w:rPr>
                <w:rFonts w:hint="eastAsia" w:ascii="宋体" w:hAnsi="宋体" w:cs="宋体"/>
                <w:b/>
                <w:bCs/>
                <w:color w:val="ff0000"/>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16.00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cs="宋体"/>
                <w:szCs w:val="21"/>
                <w:highlight w:val="yellow"/>
              </w:rPr>
            </w:pPr>
            <w:r>
              <w:rPr>
                <w:rFonts w:hint="eastAsia" w:ascii="宋体" w:hAnsi="宋体" w:cs="宋体"/>
                <w:szCs w:val="21"/>
              </w:rPr>
              <w:t xml:space="preserve">否</w:t>
            </w:r>
            <w:r>
              <w:rPr>
                <w:rFonts w:hint="eastAsia" w:ascii="宋体" w:hAnsi="宋体" w:cs="宋体"/>
                <w:szCs w:val="21"/>
                <w:highlight w:val="yellow"/>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559"/>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通用计数器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cs="宋体"/>
                <w:szCs w:val="21"/>
                <w:highlight w:val="yellow"/>
              </w:rPr>
            </w:pPr>
            <w:r>
              <w:rPr>
                <w:rFonts w:hint="eastAsia" w:ascii="宋体" w:hAnsi="宋体" w:cs="宋体"/>
                <w:szCs w:val="21"/>
              </w:rPr>
              <w:t xml:space="preserve">否</w:t>
            </w:r>
            <w:r>
              <w:rPr>
                <w:rFonts w:hint="eastAsia" w:ascii="宋体" w:hAnsi="宋体" w:cs="宋体"/>
                <w:szCs w:val="21"/>
                <w:highlight w:val="yellow"/>
              </w:rPr>
            </w:r>
            <w:r/>
          </w:p>
        </w:tc>
      </w:tr>
      <w:tr>
        <w:trPr>
          <w:trHeight w:val="429"/>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559"/>
              <w:jc w:val="center"/>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rPr>
                <w:rFonts w:hint="eastAsia" w:ascii="宋体" w:hAnsi="宋体" w:cs="宋体"/>
                <w:szCs w:val="21"/>
              </w:rPr>
            </w:pPr>
            <w:r>
              <w:rPr>
                <w:rFonts w:hint="eastAsia" w:ascii="宋体" w:hAnsi="宋体" w:cs="宋体"/>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rPr>
                <w:rFonts w:hint="eastAsia" w:ascii="宋体" w:hAnsi="宋体" w:cs="宋体"/>
                <w:szCs w:val="21"/>
              </w:rPr>
            </w:pPr>
            <w:r>
              <w:rPr>
                <w:rFonts w:hint="eastAsia" w:ascii="宋体" w:hAnsi="宋体" w:eastAsia="宋体" w:cs="宋体"/>
                <w:szCs w:val="21"/>
              </w:rPr>
              <w:t xml:space="preserve">0.01级三相标准功率电能表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rPr>
                <w:rFonts w:hint="eastAsia" w:ascii="宋体" w:hAnsi="宋体" w:cs="宋体"/>
                <w:szCs w:val="21"/>
              </w:rPr>
            </w:pPr>
            <w:r>
              <w:rPr>
                <w:rFonts w:hint="eastAsia" w:ascii="宋体" w:hAnsi="宋体" w:cs="宋体"/>
              </w:rPr>
              <w:t xml:space="preserve">1台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rPr>
                <w:rFonts w:hint="eastAsia" w:ascii="宋体" w:hAnsi="宋体" w:cs="宋体"/>
                <w:szCs w:val="21"/>
              </w:rPr>
            </w:pPr>
            <w:r>
              <w:rPr>
                <w:rFonts w:hint="eastAsia" w:ascii="宋体" w:hAnsi="宋体" w:cs="宋体"/>
              </w:rPr>
              <w:t xml:space="preserve">60.00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rPr>
                <w:rFonts w:hint="eastAsia" w:ascii="宋体" w:hAnsi="宋体" w:cs="宋体"/>
                <w:szCs w:val="21"/>
              </w:rPr>
            </w:pPr>
            <w:r>
              <w:rPr>
                <w:rFonts w:hint="eastAsia" w:ascii="宋体" w:hAnsi="宋体" w:cs="宋体"/>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rPr>
                <w:rFonts w:hint="eastAsia" w:ascii="宋体" w:hAnsi="宋体" w:cs="宋体"/>
                <w:szCs w:val="21"/>
              </w:rPr>
            </w:pPr>
            <w:r>
              <w:rPr>
                <w:rFonts w:hint="eastAsia" w:ascii="宋体" w:hAnsi="宋体" w:cs="宋体"/>
              </w:rPr>
              <w:t xml:space="preserve">否</w:t>
            </w:r>
            <w:r>
              <w:rPr>
                <w:rFonts w:hint="eastAsia" w:ascii="宋体" w:hAnsi="宋体" w:cs="宋体"/>
                <w:szCs w:val="21"/>
              </w:rPr>
            </w:r>
            <w:r/>
          </w:p>
        </w:tc>
      </w:tr>
    </w:tbl>
    <w:p>
      <w:pPr>
        <w:pStyle w:val="1559"/>
        <w:ind w:firstLine="420"/>
        <w:spacing w:line="360" w:lineRule="auto"/>
        <w:rPr>
          <w:rFonts w:hint="eastAsia" w:ascii="宋体" w:hAnsi="宋体" w:cs="宋体"/>
          <w:szCs w:val="21"/>
        </w:rPr>
      </w:pPr>
      <w:r>
        <w:rPr>
          <w:rFonts w:hint="eastAsia" w:ascii="宋体" w:hAnsi="宋体" w:cs="宋体"/>
          <w:szCs w:val="21"/>
        </w:rPr>
        <w:t xml:space="preserve">6.合同履行期限（交货期）：见采购需求</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559"/>
        <w:spacing w:line="360" w:lineRule="auto"/>
        <w:rPr>
          <w:rFonts w:hint="eastAsia" w:ascii="宋体" w:hAnsi="宋体" w:cs="宋体"/>
          <w:b/>
          <w:bCs/>
          <w:szCs w:val="21"/>
        </w:rPr>
      </w:pPr>
      <w:r/>
      <w:bookmarkStart w:id="8" w:name="_Toc35393622"/>
      <w:r/>
      <w:bookmarkStart w:id="9" w:name="_Toc28359080"/>
      <w:r/>
      <w:bookmarkStart w:id="10" w:name="_Toc35393791"/>
      <w:r/>
      <w:bookmarkStart w:id="11" w:name="_Toc28359003"/>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559"/>
        <w:spacing w:line="360" w:lineRule="auto"/>
        <w:widowControl/>
        <w:rPr>
          <w:rFonts w:hint="eastAsia" w:ascii="宋体" w:hAnsi="宋体" w:cs="宋体"/>
          <w:b/>
          <w:bCs/>
          <w:szCs w:val="21"/>
        </w:rPr>
      </w:pPr>
      <w:r/>
      <w:bookmarkStart w:id="12" w:name="_Toc28359081"/>
      <w:r/>
      <w:bookmarkStart w:id="13" w:name="_Toc28359004"/>
      <w:r>
        <w:rPr>
          <w:rFonts w:hint="eastAsia" w:ascii="宋体" w:hAnsi="宋体" w:cs="宋体"/>
          <w:b/>
          <w:bCs/>
          <w:szCs w:val="21"/>
        </w:rPr>
        <w:t xml:space="preserve">（一）满足《中华人民共和国政府采购法》第二十二条规定：</w:t>
      </w:r>
      <w:r>
        <w:rPr>
          <w:rFonts w:hint="eastAsia" w:ascii="宋体" w:hAnsi="宋体" w:cs="宋体"/>
          <w:b/>
          <w:bCs/>
          <w:szCs w:val="21"/>
        </w:rPr>
      </w:r>
      <w:r/>
    </w:p>
    <w:p>
      <w:pPr>
        <w:pStyle w:val="1559"/>
        <w:ind w:firstLine="4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559"/>
        <w:ind w:firstLine="420"/>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559"/>
        <w:ind w:firstLine="420"/>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rPr>
          <w:rFonts w:hint="eastAsia" w:ascii="宋体" w:cs="宋体"/>
          <w:szCs w:val="21"/>
        </w:rPr>
      </w:r>
      <w:r/>
    </w:p>
    <w:p>
      <w:pPr>
        <w:pStyle w:val="1559"/>
        <w:ind w:firstLine="420"/>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559"/>
        <w:ind w:firstLine="420"/>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559"/>
        <w:ind w:firstLine="420"/>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559"/>
        <w:ind w:firstLine="420"/>
        <w:spacing w:line="480" w:lineRule="exact"/>
        <w:widowControl/>
        <w:rPr>
          <w:rFonts w:hint="eastAsia"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559"/>
        <w:spacing w:line="360" w:lineRule="auto"/>
        <w:widowControl/>
        <w:rPr>
          <w:rFonts w:hint="eastAsia" w:ascii="宋体" w:hAnsi="宋体" w:cs="宋体"/>
          <w:b/>
          <w:bCs/>
          <w:szCs w:val="21"/>
        </w:rPr>
      </w:pPr>
      <w:r>
        <w:rPr>
          <w:rFonts w:hint="eastAsia" w:ascii="宋体" w:hAnsi="宋体" w:cs="宋体"/>
          <w:b/>
          <w:bCs/>
          <w:szCs w:val="21"/>
        </w:rPr>
        <w:t xml:space="preserve">（三）本项目的特定资格要求：</w:t>
      </w:r>
      <w:r>
        <w:rPr>
          <w:rFonts w:hint="eastAsia" w:ascii="宋体" w:hAnsi="宋体" w:cs="宋体"/>
          <w:b/>
          <w:bCs/>
          <w:szCs w:val="21"/>
        </w:rPr>
      </w:r>
      <w:r/>
    </w:p>
    <w:p>
      <w:pPr>
        <w:pStyle w:val="1559"/>
        <w:ind w:firstLine="420"/>
        <w:spacing w:line="360" w:lineRule="auto"/>
        <w:widowControl/>
        <w:rPr>
          <w:rFonts w:hint="eastAsia" w:ascii="宋体" w:hAnsi="宋体" w:cs="宋体"/>
          <w:szCs w:val="21"/>
        </w:rPr>
      </w:pPr>
      <w:r>
        <w:rPr>
          <w:rFonts w:hint="eastAsia" w:ascii="宋体" w:hAnsi="宋体" w:cs="宋体"/>
          <w:szCs w:val="21"/>
        </w:rPr>
        <w:t xml:space="preserve">1.本次采购不接受进口产品投标。【注：本文件所称进口产品是指通过中国海关报关验放进入中国境内且产自关境外的产品】</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2.拒绝下述供应商参加本次采购活动的情形：</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rPr>
          <w:rFonts w:hint="eastAsia" w:ascii="宋体" w:hAnsi="宋体" w:cs="宋体"/>
          <w:szCs w:val="21"/>
        </w:rPr>
      </w:r>
      <w:r/>
    </w:p>
    <w:p>
      <w:pPr>
        <w:pStyle w:val="1559"/>
        <w:spacing w:line="360" w:lineRule="auto"/>
        <w:widowControl/>
        <w:rPr>
          <w:rFonts w:hint="eastAsia"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82"/>
      <w:r/>
      <w:bookmarkStart w:id="17" w:name="_Toc28359005"/>
      <w:r/>
      <w:bookmarkStart w:id="18" w:name="_Toc35393624"/>
      <w:r/>
      <w:bookmarkStart w:id="19" w:name="_Toc35393793"/>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559"/>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559"/>
        <w:ind w:firstLine="420"/>
        <w:spacing w:line="360" w:lineRule="auto"/>
        <w:rPr>
          <w:rFonts w:hint="eastAsia" w:ascii="宋体" w:hAnsi="宋体" w:cs="宋体"/>
          <w:szCs w:val="21"/>
        </w:rPr>
      </w:pPr>
      <w:r/>
      <w:bookmarkStart w:id="20" w:name="_Toc35393794"/>
      <w:r/>
      <w:bookmarkStart w:id="21" w:name="_Toc28359084"/>
      <w:r/>
      <w:bookmarkStart w:id="22" w:name="_Toc35393625"/>
      <w:r/>
      <w:bookmarkStart w:id="23" w:name="_Toc28359007"/>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10</w:t>
      </w:r>
      <w:r>
        <w:rPr>
          <w:rFonts w:hint="eastAsia" w:ascii="宋体" w:hAnsi="宋体" w:cs="宋体"/>
          <w:szCs w:val="21"/>
        </w:rPr>
        <w:t xml:space="preserve">月</w:t>
      </w:r>
      <w:r>
        <w:rPr>
          <w:rFonts w:hint="eastAsia" w:ascii="宋体" w:hAnsi="宋体" w:cs="宋体"/>
          <w:szCs w:val="21"/>
          <w:lang w:val="en-US" w:eastAsia="zh-CN"/>
        </w:rPr>
        <w:t xml:space="preserve">29</w:t>
      </w:r>
      <w:r>
        <w:rPr>
          <w:rFonts w:hint="eastAsia" w:ascii="宋体" w:hAnsi="宋体" w:cs="宋体"/>
          <w:szCs w:val="21"/>
        </w:rPr>
        <w:t xml:space="preserve">日</w:t>
      </w:r>
      <w:r>
        <w:rPr>
          <w:rFonts w:hint="eastAsia" w:ascii="宋体" w:hAnsi="宋体" w:cs="宋体"/>
          <w:szCs w:val="21"/>
          <w:lang w:val="en-US" w:eastAsia="zh-CN"/>
        </w:rPr>
        <w:t xml:space="preserve">09</w:t>
      </w:r>
      <w:r>
        <w:rPr>
          <w:rFonts w:hint="eastAsia" w:ascii="宋体" w:hAnsi="宋体" w:cs="宋体"/>
          <w:szCs w:val="21"/>
        </w:rPr>
        <w:t xml:space="preserve">点</w:t>
      </w:r>
      <w:r>
        <w:rPr>
          <w:rFonts w:hint="eastAsia" w:ascii="宋体" w:hAnsi="宋体" w:cs="宋体"/>
          <w:szCs w:val="21"/>
          <w:lang w:val="en-US" w:eastAsia="zh-CN"/>
        </w:rPr>
        <w:t xml:space="preserve">3</w:t>
      </w:r>
      <w:r>
        <w:rPr>
          <w:rFonts w:hint="eastAsia" w:ascii="宋体" w:hAnsi="宋体" w:cs="宋体"/>
          <w:szCs w:val="21"/>
        </w:rPr>
        <w:t xml:space="preserve">0分（北京时间）</w:t>
      </w:r>
      <w:r>
        <w:rPr>
          <w:rFonts w:hint="eastAsia" w:ascii="宋体" w:hAnsi="宋体" w:cs="宋体"/>
          <w:szCs w:val="21"/>
        </w:rPr>
      </w:r>
      <w:r/>
    </w:p>
    <w:p>
      <w:pPr>
        <w:pStyle w:val="1559"/>
        <w:ind w:firstLine="4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559"/>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559"/>
        <w:spacing w:line="360" w:lineRule="auto"/>
        <w:rPr>
          <w:rFonts w:hint="eastAsia" w:ascii="宋体" w:hAnsi="宋体" w:cs="宋体"/>
          <w:b/>
          <w:bCs/>
          <w:szCs w:val="21"/>
        </w:rPr>
      </w:pPr>
      <w:r/>
      <w:bookmarkStart w:id="24" w:name="_Toc35393626"/>
      <w:r/>
      <w:bookmarkStart w:id="25" w:name="_Toc35393795"/>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559"/>
        <w:ind w:firstLine="420"/>
        <w:spacing w:line="360" w:lineRule="auto"/>
        <w:rPr>
          <w:rFonts w:hint="eastAsia" w:ascii="宋体" w:hAnsi="宋体" w:cs="宋体"/>
          <w:szCs w:val="21"/>
        </w:rPr>
      </w:pPr>
      <w:r/>
      <w:bookmarkStart w:id="26" w:name="_Toc35393627"/>
      <w:r/>
      <w:bookmarkStart w:id="27" w:name="_Toc35393796"/>
      <w:r/>
      <w:bookmarkStart w:id="28" w:name="_Toc28359008"/>
      <w:r/>
      <w:bookmarkStart w:id="29" w:name="_Toc28359085"/>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2.项目编号：</w:t>
      </w:r>
      <w:r>
        <w:rPr>
          <w:rFonts w:hint="eastAsia" w:ascii="宋体" w:hAnsi="宋体" w:cs="宋体"/>
          <w:szCs w:val="21"/>
          <w:lang w:eastAsia="zh-CN"/>
        </w:rPr>
        <w:t xml:space="preserve">JSZC-320000-SMDY-G2026-0089</w:t>
      </w:r>
      <w:r>
        <w:rPr>
          <w:rFonts w:hint="eastAsia" w:ascii="宋体" w:hAnsi="宋体" w:cs="宋体"/>
          <w:szCs w:val="21"/>
        </w:rPr>
        <w:t xml:space="preserve">（2640SUMEC/ZWGG2156）</w:t>
      </w:r>
      <w:r>
        <w:rPr>
          <w:rFonts w:hint="eastAsia" w:ascii="宋体" w:hAnsi="宋体" w:cs="宋体"/>
          <w:szCs w:val="21"/>
        </w:rPr>
      </w:r>
      <w:r/>
    </w:p>
    <w:p>
      <w:pPr>
        <w:pStyle w:val="1559"/>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559"/>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559"/>
        <w:ind w:left="1037" w:hanging="399"/>
        <w:jc w:val="left"/>
        <w:spacing w:line="360" w:lineRule="auto"/>
        <w:rPr>
          <w:rFonts w:hint="eastAsia" w:ascii="宋体" w:hAnsi="宋体" w:cs="宋体"/>
          <w:szCs w:val="21"/>
        </w:rPr>
      </w:pPr>
      <w:r>
        <w:rPr>
          <w:rFonts w:hint="eastAsia" w:ascii="宋体" w:hAnsi="宋体" w:cs="宋体"/>
          <w:szCs w:val="21"/>
        </w:rPr>
        <w:t xml:space="preserve">名 称：江苏省计量科学研究院（江苏省能源计量数据中心）</w:t>
      </w:r>
      <w:r>
        <w:rPr>
          <w:rFonts w:hint="eastAsia" w:ascii="宋体" w:hAnsi="宋体" w:cs="宋体"/>
          <w:szCs w:val="21"/>
        </w:rPr>
      </w:r>
      <w:r/>
    </w:p>
    <w:p>
      <w:pPr>
        <w:pStyle w:val="1559"/>
        <w:ind w:left="1037" w:hanging="399"/>
        <w:jc w:val="left"/>
        <w:spacing w:line="360" w:lineRule="auto"/>
        <w:rPr>
          <w:rFonts w:hint="eastAsia" w:ascii="宋体" w:hAnsi="宋体" w:cs="宋体"/>
          <w:szCs w:val="21"/>
        </w:rPr>
      </w:pPr>
      <w:r/>
      <w:bookmarkStart w:id="30" w:name="_Toc28359086"/>
      <w:r/>
      <w:bookmarkStart w:id="31" w:name="_Toc28359009"/>
      <w:r>
        <w:rPr>
          <w:rFonts w:hint="eastAsia" w:ascii="宋体" w:hAnsi="宋体" w:cs="宋体"/>
          <w:szCs w:val="21"/>
        </w:rPr>
        <w:t xml:space="preserve">地址：南京市栖霞区文澜路95号</w:t>
      </w:r>
      <w:r>
        <w:rPr>
          <w:rFonts w:hint="eastAsia" w:ascii="宋体" w:hAnsi="宋体" w:cs="宋体"/>
          <w:szCs w:val="21"/>
        </w:rPr>
      </w:r>
      <w:r/>
    </w:p>
    <w:p>
      <w:pPr>
        <w:pStyle w:val="1559"/>
        <w:ind w:left="1037" w:hanging="399"/>
        <w:jc w:val="left"/>
        <w:spacing w:line="360" w:lineRule="auto"/>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559"/>
        <w:ind w:left="1037" w:hanging="399"/>
        <w:jc w:val="left"/>
        <w:spacing w:line="360" w:lineRule="auto"/>
        <w:rPr>
          <w:rFonts w:hint="eastAsia" w:ascii="宋体" w:hAnsi="宋体" w:cs="宋体"/>
          <w:szCs w:val="21"/>
        </w:rPr>
      </w:pPr>
      <w:r>
        <w:rPr>
          <w:rFonts w:hint="eastAsia" w:ascii="宋体" w:hAnsi="宋体" w:cs="宋体"/>
          <w:szCs w:val="21"/>
        </w:rPr>
        <w:t xml:space="preserve">电话：025-86435533</w:t>
      </w:r>
      <w:r>
        <w:rPr>
          <w:rFonts w:hint="eastAsia" w:ascii="宋体" w:hAnsi="宋体" w:cs="宋体"/>
          <w:szCs w:val="21"/>
        </w:rPr>
      </w:r>
      <w:r/>
    </w:p>
    <w:p>
      <w:pPr>
        <w:pStyle w:val="1559"/>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559"/>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559"/>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559"/>
        <w:ind w:firstLine="638"/>
        <w:spacing w:line="360" w:lineRule="auto"/>
        <w:rPr>
          <w:rFonts w:ascii="宋体" w:hAnsi="宋体" w:cs="宋体"/>
          <w:szCs w:val="21"/>
        </w:rPr>
      </w:pPr>
      <w:r>
        <w:rPr>
          <w:rFonts w:hint="eastAsia" w:ascii="宋体" w:hAnsi="宋体" w:cs="宋体"/>
          <w:szCs w:val="21"/>
        </w:rPr>
        <w:t xml:space="preserve">联系方式：</w:t>
      </w:r>
      <w:bookmarkStart w:id="32" w:name="_Toc28359010"/>
      <w:r/>
      <w:bookmarkStart w:id="33" w:name="_Toc28359087"/>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025-84532585、杨慧 025-84532526</w:t>
      </w:r>
      <w:r>
        <w:rPr>
          <w:rFonts w:ascii="宋体" w:hAnsi="宋体" w:cs="宋体"/>
          <w:szCs w:val="21"/>
        </w:rPr>
      </w:r>
      <w:r/>
    </w:p>
    <w:p>
      <w:pPr>
        <w:pStyle w:val="1559"/>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598"/>
        <w:ind w:firstLine="638"/>
        <w:spacing w:line="360" w:lineRule="auto"/>
        <w:rPr>
          <w:rFonts w:hint="eastAsia" w:hAnsi="宋体" w:cs="宋体"/>
          <w:color w:val="000000"/>
          <w:szCs w:val="21"/>
        </w:rPr>
      </w:pPr>
      <w:r>
        <w:rPr>
          <w:rFonts w:hint="eastAsia" w:hAnsi="宋体" w:cs="宋体"/>
          <w:szCs w:val="21"/>
        </w:rPr>
        <w:t xml:space="preserve">项目联系人：王嘉卉 </w:t>
      </w:r>
      <w:r>
        <w:rPr>
          <w:rFonts w:hint="eastAsia" w:hAnsi="宋体" w:cs="宋体"/>
          <w:color w:val="000000"/>
          <w:szCs w:val="21"/>
        </w:rPr>
      </w:r>
      <w:r/>
    </w:p>
    <w:p>
      <w:pPr>
        <w:pStyle w:val="1598"/>
        <w:ind w:firstLine="638"/>
        <w:spacing w:line="360" w:lineRule="auto"/>
        <w:rPr>
          <w:rFonts w:hint="eastAsia" w:hAnsi="宋体" w:cs="宋体"/>
          <w:szCs w:val="21"/>
        </w:rPr>
      </w:pPr>
      <w:r>
        <w:rPr>
          <w:rFonts w:hint="eastAsia" w:hAnsi="宋体" w:cs="宋体"/>
          <w:szCs w:val="21"/>
        </w:rPr>
        <w:t xml:space="preserve">电　话：025-84532585</w:t>
      </w:r>
      <w:r>
        <w:rPr>
          <w:rFonts w:hint="eastAsia" w:hAnsi="宋体" w:cs="宋体"/>
          <w:szCs w:val="21"/>
        </w:rPr>
      </w:r>
      <w:r/>
    </w:p>
    <w:p>
      <w:pPr>
        <w:pStyle w:val="1559"/>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559"/>
        <w:jc w:val="center"/>
        <w:spacing w:line="440" w:lineRule="exact"/>
        <w:rPr>
          <w:b/>
          <w:sz w:val="28"/>
          <w:szCs w:val="28"/>
        </w:rPr>
        <w:outlineLvl w:val="0"/>
      </w:pPr>
      <w:r/>
      <w:bookmarkStart w:id="34" w:name="_Toc28996"/>
      <w:r/>
      <w:bookmarkStart w:id="35" w:name="_Toc519"/>
      <w:r/>
      <w:bookmarkStart w:id="36" w:name="_Toc29461"/>
      <w:r>
        <w:rPr>
          <w:b/>
          <w:sz w:val="28"/>
          <w:szCs w:val="28"/>
        </w:rPr>
        <w:t xml:space="preserve">第二章 投标人须知</w:t>
      </w:r>
      <w:bookmarkEnd w:id="34"/>
      <w:r/>
      <w:bookmarkEnd w:id="35"/>
      <w:r/>
      <w:bookmarkEnd w:id="36"/>
      <w:r>
        <w:rPr>
          <w:b/>
          <w:sz w:val="28"/>
          <w:szCs w:val="28"/>
        </w:rPr>
      </w:r>
      <w:r/>
    </w:p>
    <w:p>
      <w:pPr>
        <w:pStyle w:val="1559"/>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559"/>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559"/>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559"/>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559"/>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采购人：江苏省计量科学研究院（江苏省能源计量数据中心）</w:t>
            </w:r>
            <w:r>
              <w:rPr>
                <w:rFonts w:hint="eastAsia" w:ascii="宋体" w:hAnsi="宋体" w:cs="宋体"/>
                <w:szCs w:val="21"/>
              </w:rPr>
            </w:r>
            <w:r/>
          </w:p>
          <w:p>
            <w:pPr>
              <w:pStyle w:val="1559"/>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559"/>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电话：025-86435533 </w:t>
            </w:r>
            <w:r>
              <w:rPr>
                <w:rFonts w:hint="eastAsia" w:ascii="宋体" w:hAnsi="宋体" w:cs="宋体"/>
                <w:szCs w:val="21"/>
              </w:rPr>
            </w:r>
            <w:r/>
          </w:p>
          <w:p>
            <w:pPr>
              <w:pStyle w:val="1559"/>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地址：南京市栖霞区文澜路95号</w:t>
            </w:r>
            <w:r>
              <w:rPr>
                <w:rFonts w:hint="eastAsia" w:ascii="宋体" w:hAnsi="宋体" w:cs="宋体"/>
                <w:szCs w:val="21"/>
              </w:rPr>
            </w:r>
            <w:r/>
          </w:p>
        </w:tc>
      </w:tr>
      <w:tr>
        <w:trPr>
          <w:trHeight w:val="240"/>
        </w:trPr>
        <w:tc>
          <w:tcPr>
            <w:tcW w:w="881" w:type="dxa"/>
            <w:vAlign w:val="center"/>
            <w:textDirection w:val="lrTb"/>
            <w:noWrap w:val="false"/>
          </w:tcPr>
          <w:p>
            <w:pPr>
              <w:pStyle w:val="1559"/>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559"/>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技术咨询联系人：王嘉卉 025-84532585、杨慧 025-84532526</w:t>
            </w:r>
            <w:r>
              <w:rPr>
                <w:rFonts w:hint="eastAsia" w:ascii="宋体" w:hAnsi="宋体" w:cs="宋体"/>
                <w:szCs w:val="21"/>
              </w:rPr>
            </w:r>
            <w:r/>
          </w:p>
          <w:p>
            <w:pPr>
              <w:pStyle w:val="1559"/>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559"/>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559"/>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江苏省计量院2026年社会公用计量标准设备更新项目</w:t>
            </w:r>
            <w:r>
              <w:rPr>
                <w:rFonts w:hint="eastAsia" w:ascii="宋体" w:hAnsi="宋体" w:cs="宋体"/>
                <w:szCs w:val="21"/>
              </w:rPr>
            </w:r>
            <w:r/>
          </w:p>
          <w:p>
            <w:pPr>
              <w:pStyle w:val="1559"/>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JSZC-320000-SMDY-G2026-0089</w:t>
            </w:r>
            <w:r>
              <w:rPr>
                <w:rFonts w:hint="eastAsia" w:ascii="宋体" w:hAnsi="宋体" w:cs="宋体"/>
                <w:szCs w:val="21"/>
              </w:rPr>
              <w:t xml:space="preserve">（2640SUMEC/ZWGG2156）</w:t>
            </w:r>
            <w:r>
              <w:rPr>
                <w:rFonts w:hint="eastAsia" w:ascii="宋体" w:hAnsi="宋体" w:cs="宋体"/>
                <w:szCs w:val="21"/>
              </w:rPr>
            </w:r>
            <w:r/>
          </w:p>
        </w:tc>
      </w:tr>
      <w:tr>
        <w:trPr>
          <w:trHeight w:val="240"/>
        </w:trPr>
        <w:tc>
          <w:tcPr>
            <w:tcW w:w="881" w:type="dxa"/>
            <w:vAlign w:val="center"/>
            <w:textDirection w:val="lrTb"/>
            <w:noWrap w:val="false"/>
          </w:tcPr>
          <w:p>
            <w:pPr>
              <w:pStyle w:val="1559"/>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559"/>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559"/>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559"/>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559"/>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559"/>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559"/>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559"/>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1367"/>
        </w:trPr>
        <w:tc>
          <w:tcPr>
            <w:tcW w:w="881" w:type="dxa"/>
            <w:vAlign w:val="center"/>
            <w:textDirection w:val="lrTb"/>
            <w:noWrap w:val="false"/>
          </w:tcPr>
          <w:p>
            <w:pPr>
              <w:pStyle w:val="1559"/>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559"/>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559"/>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559"/>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559"/>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628"/>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cs="宋体"/>
                <w:sz w:val="21"/>
              </w:rPr>
            </w:r>
            <w:r/>
          </w:p>
          <w:p>
            <w:pPr>
              <w:pStyle w:val="1628"/>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559"/>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623"/>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55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559"/>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559"/>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559"/>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559"/>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559"/>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55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559"/>
              <w:jc w:val="left"/>
              <w:spacing w:line="360" w:lineRule="auto"/>
              <w:rPr>
                <w:rFonts w:hint="eastAsia" w:ascii="宋体" w:hAnsi="宋体" w:cs="宋体"/>
                <w:b/>
                <w:bCs/>
                <w:szCs w:val="21"/>
              </w:rPr>
            </w:pPr>
            <w:r>
              <w:rPr>
                <w:rFonts w:hint="eastAsia" w:ascii="宋体" w:hAnsi="宋体" w:cs="宋体"/>
                <w:b/>
                <w:bCs/>
                <w:szCs w:val="21"/>
              </w:rPr>
              <w:t xml:space="preserve">核心产品：</w:t>
            </w:r>
            <w:r>
              <w:rPr>
                <w:rFonts w:hint="eastAsia" w:ascii="宋体" w:hAnsi="宋体" w:cs="宋体"/>
                <w:b/>
                <w:bCs/>
                <w:szCs w:val="21"/>
              </w:rPr>
            </w:r>
            <w:r/>
          </w:p>
          <w:p>
            <w:pPr>
              <w:pStyle w:val="1559"/>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分包</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w:t>
            </w:r>
            <w:r>
              <w:rPr>
                <w:rFonts w:hint="eastAsia" w:ascii="宋体" w:hAnsi="宋体" w:cs="宋体"/>
                <w:szCs w:val="21"/>
                <w:highlight w:val="none"/>
              </w:rPr>
              <w:t xml:space="preserve">本分包为单一产品</w:t>
            </w:r>
            <w:r>
              <w:rPr>
                <w:rFonts w:hint="eastAsia" w:ascii="宋体" w:hAnsi="宋体" w:cs="宋体"/>
                <w:b/>
                <w:bCs/>
                <w:szCs w:val="21"/>
                <w:highlight w:val="none"/>
              </w:rPr>
              <w:br w:type="textWrapping" w:clear="all"/>
            </w:r>
            <w:r>
              <w:rPr>
                <w:rFonts w:hint="eastAsia" w:ascii="宋体" w:hAnsi="宋体" w:cs="宋体"/>
                <w:b/>
                <w:bCs/>
                <w:szCs w:val="21"/>
                <w:highlight w:val="none"/>
              </w:rPr>
              <w:t xml:space="preserve">分包</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w:t>
            </w:r>
            <w:r>
              <w:rPr>
                <w:rFonts w:hint="eastAsia" w:ascii="宋体" w:hAnsi="宋体" w:cs="宋体"/>
                <w:szCs w:val="21"/>
                <w:highlight w:val="none"/>
              </w:rPr>
              <w:t xml:space="preserve">0.02级三相电能表检定装置</w:t>
            </w:r>
            <w:r>
              <w:rPr>
                <w:rFonts w:hint="eastAsia" w:ascii="宋体" w:hAnsi="宋体" w:cs="宋体"/>
                <w:b/>
                <w:bCs/>
                <w:szCs w:val="21"/>
                <w:highlight w:val="none"/>
              </w:rPr>
            </w:r>
            <w:r/>
          </w:p>
          <w:p>
            <w:pPr>
              <w:pStyle w:val="1559"/>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分包</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w:t>
            </w:r>
            <w:r>
              <w:rPr>
                <w:rFonts w:hint="eastAsia" w:ascii="宋体" w:hAnsi="宋体" w:cs="宋体"/>
                <w:szCs w:val="21"/>
                <w:highlight w:val="none"/>
              </w:rPr>
              <w:t xml:space="preserve">数字多用表</w:t>
            </w:r>
            <w:r>
              <w:rPr>
                <w:rFonts w:hint="eastAsia" w:ascii="宋体" w:hAnsi="宋体" w:cs="宋体"/>
                <w:b/>
                <w:bCs/>
                <w:szCs w:val="21"/>
                <w:highlight w:val="none"/>
              </w:rPr>
            </w:r>
            <w:r/>
          </w:p>
          <w:p>
            <w:pPr>
              <w:pStyle w:val="1559"/>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分包</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w:t>
            </w:r>
            <w:r>
              <w:rPr>
                <w:rFonts w:hint="eastAsia" w:ascii="宋体" w:hAnsi="宋体" w:cs="宋体"/>
                <w:szCs w:val="21"/>
                <w:highlight w:val="none"/>
              </w:rPr>
              <w:t xml:space="preserve">多通道声分析仪</w:t>
            </w:r>
            <w:r>
              <w:rPr>
                <w:rFonts w:hint="eastAsia" w:ascii="宋体" w:hAnsi="宋体" w:cs="宋体"/>
                <w:b/>
                <w:bCs/>
                <w:szCs w:val="21"/>
                <w:highlight w:val="none"/>
              </w:rPr>
            </w:r>
            <w:r/>
          </w:p>
          <w:p>
            <w:pPr>
              <w:pStyle w:val="1559"/>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分包</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w:t>
            </w:r>
            <w:r>
              <w:rPr>
                <w:rFonts w:hint="eastAsia" w:ascii="宋体" w:hAnsi="宋体" w:cs="宋体"/>
                <w:szCs w:val="21"/>
                <w:highlight w:val="none"/>
              </w:rPr>
              <w:t xml:space="preserve">频标比对器</w:t>
            </w:r>
            <w:r>
              <w:rPr>
                <w:rFonts w:hint="eastAsia" w:ascii="宋体" w:hAnsi="宋体" w:cs="宋体"/>
                <w:b/>
                <w:bCs/>
                <w:szCs w:val="21"/>
                <w:highlight w:val="none"/>
              </w:rPr>
            </w:r>
            <w:r/>
          </w:p>
          <w:p>
            <w:pPr>
              <w:pStyle w:val="1559"/>
              <w:jc w:val="left"/>
              <w:spacing w:line="360" w:lineRule="auto"/>
              <w:rPr>
                <w:rFonts w:ascii="宋体" w:hAnsi="宋体" w:cs="宋体"/>
                <w:b/>
                <w:bCs/>
                <w:szCs w:val="21"/>
                <w:highlight w:val="none"/>
              </w:rPr>
            </w:pPr>
            <w:r>
              <w:rPr>
                <w:rFonts w:hint="eastAsia" w:ascii="宋体" w:hAnsi="宋体" w:cs="宋体"/>
                <w:b/>
                <w:bCs/>
                <w:szCs w:val="21"/>
                <w:highlight w:val="none"/>
              </w:rPr>
              <w:t xml:space="preserve">分包</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w:t>
            </w:r>
            <w:r>
              <w:rPr>
                <w:rFonts w:hint="eastAsia" w:ascii="宋体" w:hAnsi="宋体" w:cs="宋体"/>
                <w:szCs w:val="21"/>
                <w:highlight w:val="none"/>
              </w:rPr>
              <w:t xml:space="preserve">本分包为单一产品</w:t>
            </w:r>
            <w:r>
              <w:rPr>
                <w:rFonts w:ascii="宋体" w:hAnsi="宋体" w:cs="宋体"/>
                <w:b/>
                <w:bCs/>
                <w:szCs w:val="21"/>
                <w:highlight w:val="none"/>
              </w:rPr>
            </w:r>
            <w:r/>
          </w:p>
          <w:p>
            <w:pPr>
              <w:pStyle w:val="1559"/>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767"/>
        </w:trPr>
        <w:tc>
          <w:tcPr>
            <w:tcW w:w="881" w:type="dxa"/>
            <w:vAlign w:val="center"/>
            <w:textDirection w:val="lrTb"/>
            <w:noWrap w:val="false"/>
          </w:tcPr>
          <w:p>
            <w:pPr>
              <w:pStyle w:val="155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559"/>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55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559"/>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559"/>
              <w:spacing w:line="360" w:lineRule="auto"/>
              <w:shd w:val="clear" w:color="auto" w:fill="ffffff"/>
              <w:widowControl/>
              <w:rPr>
                <w:rFonts w:hint="eastAsia" w:ascii="宋体" w:hAnsi="宋体" w:cs="宋体"/>
                <w:bCs/>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每包的招标代理服务费，招标代理服务费一次付清。</w:t>
            </w:r>
            <w:r>
              <w:rPr>
                <w:rFonts w:hint="eastAsia" w:ascii="宋体" w:hAnsi="宋体" w:cs="宋体"/>
                <w:bCs/>
                <w:szCs w:val="21"/>
              </w:rPr>
            </w:r>
            <w:r/>
          </w:p>
          <w:p>
            <w:pPr>
              <w:pStyle w:val="1628"/>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628"/>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628"/>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559"/>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55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559"/>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559"/>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559"/>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559"/>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559"/>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559"/>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559"/>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559"/>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559"/>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559"/>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559"/>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559"/>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559"/>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559"/>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559"/>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559"/>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559"/>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559"/>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559"/>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559"/>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559"/>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w:t>
            </w:r>
            <w:r>
              <w:rPr>
                <w:rFonts w:hint="eastAsia" w:ascii="宋体" w:hAnsi="宋体" w:cs="宋体"/>
                <w:szCs w:val="21"/>
              </w:rPr>
              <w:t xml:space="preserve">产品最高限价</w:t>
            </w:r>
            <w:r>
              <w:rPr>
                <w:rFonts w:hint="eastAsia" w:ascii="宋体" w:hAnsi="宋体" w:cs="宋体"/>
                <w:color w:val="000000"/>
                <w:szCs w:val="21"/>
              </w:rPr>
              <w:t xml:space="preserve">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559"/>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559"/>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559"/>
        <w:ind w:firstLine="420"/>
        <w:spacing w:line="360" w:lineRule="auto"/>
        <w:shd w:val="clear" w:color="auto" w:fill="ffffff"/>
        <w:widowControl/>
        <w:rPr>
          <w:rFonts w:hint="eastAsia" w:ascii="宋体" w:hAnsi="宋体" w:cs="宋体"/>
          <w:color w:val="000000"/>
          <w:szCs w:val="21"/>
        </w:rPr>
        <w:outlineLvl w:val="1"/>
      </w:pPr>
      <w:r/>
      <w:bookmarkStart w:id="37" w:name="_Toc1580"/>
      <w:r>
        <w:rPr>
          <w:rFonts w:hint="eastAsia" w:ascii="宋体" w:hAnsi="宋体" w:cs="宋体"/>
          <w:b/>
          <w:bCs/>
          <w:color w:val="000000"/>
          <w:szCs w:val="21"/>
        </w:rPr>
        <w:t xml:space="preserve"> </w:t>
      </w:r>
      <w:bookmarkStart w:id="38" w:name="_Toc19726"/>
      <w:r/>
      <w:bookmarkStart w:id="39" w:name="_Toc19894"/>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559"/>
        <w:ind w:firstLine="420"/>
        <w:spacing w:line="360" w:lineRule="auto"/>
        <w:rPr>
          <w:rFonts w:hint="eastAsia" w:ascii="宋体" w:hAnsi="宋体" w:cs="宋体"/>
          <w:b/>
          <w:szCs w:val="21"/>
          <w:lang w:val="zh-CN"/>
        </w:rPr>
        <w:outlineLvl w:val="2"/>
      </w:pPr>
      <w:r/>
      <w:bookmarkStart w:id="40" w:name="_Toc3951"/>
      <w:r/>
      <w:bookmarkStart w:id="41" w:name="_Toc10292"/>
      <w:r/>
      <w:bookmarkStart w:id="42" w:name="_Toc5219"/>
      <w:r/>
      <w:bookmarkStart w:id="43" w:name="_Toc458694821"/>
      <w:r/>
      <w:bookmarkStart w:id="44" w:name="_Toc24947"/>
      <w:r/>
      <w:bookmarkStart w:id="45" w:name="_Toc20823276"/>
      <w:r/>
      <w:bookmarkStart w:id="46" w:name="_Toc16938520"/>
      <w:r/>
      <w:bookmarkStart w:id="47" w:name="_Toc513029204"/>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559"/>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559"/>
        <w:ind w:firstLine="420"/>
        <w:spacing w:line="360" w:lineRule="auto"/>
        <w:rPr>
          <w:rFonts w:hint="eastAsia" w:ascii="宋体" w:hAnsi="宋体" w:cs="宋体"/>
          <w:b/>
          <w:szCs w:val="21"/>
          <w:lang w:val="zh-CN"/>
        </w:rPr>
        <w:outlineLvl w:val="2"/>
      </w:pPr>
      <w:r/>
      <w:bookmarkStart w:id="48" w:name="_Toc10994"/>
      <w:r/>
      <w:bookmarkStart w:id="49" w:name="_Toc29347"/>
      <w:r/>
      <w:bookmarkStart w:id="50" w:name="_Toc6911"/>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559"/>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江苏省计量科学研究院（江苏省能源计量数据中心）</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559"/>
        <w:ind w:firstLine="422"/>
        <w:spacing w:line="360" w:lineRule="auto"/>
        <w:rPr>
          <w:rFonts w:hint="eastAsia" w:ascii="宋体" w:hAnsi="宋体" w:cs="宋体"/>
          <w:bCs/>
          <w:szCs w:val="21"/>
        </w:rPr>
        <w:outlineLvl w:val="2"/>
      </w:pPr>
      <w:r/>
      <w:bookmarkStart w:id="51" w:name="_Toc31346"/>
      <w:r>
        <w:rPr>
          <w:rFonts w:hint="eastAsia" w:ascii="宋体" w:hAnsi="宋体" w:cs="宋体"/>
          <w:b/>
          <w:szCs w:val="21"/>
        </w:rPr>
        <w:t xml:space="preserve">3.政策功能</w:t>
      </w:r>
      <w:bookmarkEnd w:id="51"/>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559"/>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559"/>
        <w:ind w:firstLine="420"/>
        <w:spacing w:line="360" w:lineRule="auto"/>
        <w:rPr>
          <w:rFonts w:hint="eastAsia" w:ascii="宋体" w:hAnsi="宋体" w:cs="宋体"/>
          <w:szCs w:val="21"/>
          <w:lang w:val="zh-CN"/>
        </w:rPr>
      </w:pPr>
      <w:r/>
      <w:bookmarkStart w:id="52" w:name="_Toc21421"/>
      <w:r/>
      <w:bookmarkStart w:id="53" w:name="_Toc1972"/>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559"/>
        <w:ind w:firstLine="420"/>
        <w:spacing w:line="360" w:lineRule="auto"/>
        <w:rPr>
          <w:rFonts w:hint="eastAsia" w:ascii="宋体" w:hAnsi="宋体" w:cs="宋体"/>
          <w:szCs w:val="21"/>
          <w:lang w:val="zh-CN"/>
        </w:rPr>
      </w:pPr>
      <w:r/>
      <w:bookmarkStart w:id="54" w:name="_Toc30765"/>
      <w:r/>
      <w:bookmarkStart w:id="5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559"/>
        <w:ind w:firstLine="420"/>
        <w:spacing w:line="360" w:lineRule="auto"/>
        <w:rPr>
          <w:rFonts w:hint="eastAsia" w:ascii="宋体" w:hAnsi="宋体" w:cs="宋体"/>
          <w:szCs w:val="21"/>
          <w:lang w:val="zh-CN"/>
        </w:rPr>
      </w:pPr>
      <w:r/>
      <w:bookmarkStart w:id="56" w:name="_Toc22036"/>
      <w:r/>
      <w:bookmarkStart w:id="5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559"/>
        <w:ind w:firstLine="420"/>
        <w:spacing w:line="360" w:lineRule="auto"/>
        <w:rPr>
          <w:rFonts w:hint="eastAsia" w:ascii="宋体" w:hAnsi="宋体" w:cs="宋体"/>
          <w:szCs w:val="21"/>
          <w:lang w:val="zh-CN"/>
        </w:rPr>
      </w:pPr>
      <w:r/>
      <w:bookmarkStart w:id="58" w:name="_Toc29291"/>
      <w:r/>
      <w:bookmarkStart w:id="59"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559"/>
        <w:ind w:firstLine="420"/>
        <w:spacing w:line="360" w:lineRule="auto"/>
        <w:rPr>
          <w:rFonts w:hint="eastAsia" w:ascii="宋体" w:hAnsi="宋体" w:cs="宋体"/>
          <w:bCs/>
          <w:szCs w:val="21"/>
        </w:rPr>
        <w:outlineLvl w:val="2"/>
      </w:pPr>
      <w:r/>
      <w:bookmarkStart w:id="60" w:name="_Toc28481"/>
      <w:r/>
      <w:bookmarkStart w:id="61" w:name="_Toc2242"/>
      <w:r/>
      <w:bookmarkStart w:id="62" w:name="_Toc14793"/>
      <w:r/>
      <w:bookmarkStart w:id="63" w:name="_Toc927"/>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559"/>
        <w:ind w:firstLine="420"/>
        <w:spacing w:line="360" w:lineRule="auto"/>
        <w:rPr>
          <w:rFonts w:hint="eastAsia" w:ascii="宋体" w:hAnsi="宋体" w:cs="宋体"/>
          <w:b/>
          <w:szCs w:val="21"/>
          <w:lang w:val="zh-CN"/>
        </w:rPr>
        <w:outlineLvl w:val="2"/>
      </w:pPr>
      <w:r/>
      <w:bookmarkStart w:id="64" w:name="_Toc17530"/>
      <w:r/>
      <w:bookmarkStart w:id="65" w:name="_Toc4759"/>
      <w:r/>
      <w:bookmarkStart w:id="66" w:name="_Toc16938523"/>
      <w:r/>
      <w:bookmarkStart w:id="67" w:name="_Toc17711"/>
      <w:r/>
      <w:bookmarkStart w:id="68" w:name="_Toc462564067"/>
      <w:r/>
      <w:bookmarkStart w:id="69" w:name="_Toc513029207"/>
      <w:r/>
      <w:bookmarkStart w:id="70" w:name="_Toc13991"/>
      <w:r/>
      <w:bookmarkStart w:id="71" w:name="_Toc20823279"/>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559"/>
        <w:ind w:firstLine="420"/>
        <w:spacing w:line="360" w:lineRule="auto"/>
        <w:rPr>
          <w:rFonts w:hint="eastAsia" w:ascii="宋体" w:hAnsi="宋体" w:cs="宋体"/>
          <w:b/>
          <w:szCs w:val="21"/>
          <w:lang w:val="zh-CN"/>
        </w:rPr>
        <w:outlineLvl w:val="2"/>
      </w:pPr>
      <w:r/>
      <w:bookmarkStart w:id="72" w:name="_Toc29233"/>
      <w:r/>
      <w:bookmarkStart w:id="73" w:name="_Toc344"/>
      <w:r/>
      <w:bookmarkStart w:id="74" w:name="_Toc20613"/>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559"/>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b/>
          <w:bCs/>
          <w:color w:val="000000"/>
          <w:szCs w:val="21"/>
        </w:rPr>
        <w:outlineLvl w:val="1"/>
      </w:pPr>
      <w:r/>
      <w:bookmarkStart w:id="75" w:name="_Toc20823281"/>
      <w:r/>
      <w:bookmarkStart w:id="76" w:name="_Toc18405"/>
      <w:r/>
      <w:bookmarkStart w:id="77" w:name="_Toc15606"/>
      <w:r/>
      <w:bookmarkStart w:id="78" w:name="_Toc15035"/>
      <w:r/>
      <w:bookmarkStart w:id="79" w:name="_Toc120614215"/>
      <w:r/>
      <w:bookmarkStart w:id="80" w:name="_Toc513029209"/>
      <w:r/>
      <w:bookmarkStart w:id="81" w:name="_Toc16938525"/>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559"/>
        <w:ind w:firstLine="420"/>
        <w:spacing w:line="360" w:lineRule="auto"/>
        <w:rPr>
          <w:rFonts w:hint="eastAsia" w:ascii="宋体" w:hAnsi="宋体" w:cs="宋体"/>
          <w:b/>
          <w:szCs w:val="21"/>
          <w:lang w:val="zh-CN"/>
        </w:rPr>
        <w:outlineLvl w:val="2"/>
      </w:pPr>
      <w:r/>
      <w:bookmarkStart w:id="82" w:name="_Toc31631"/>
      <w:r/>
      <w:bookmarkStart w:id="83" w:name="_Toc513029210"/>
      <w:r/>
      <w:bookmarkStart w:id="84" w:name="_Toc16370"/>
      <w:r/>
      <w:bookmarkStart w:id="85" w:name="_Toc16938526"/>
      <w:r/>
      <w:bookmarkStart w:id="86" w:name="_Toc20823282"/>
      <w:r/>
      <w:bookmarkStart w:id="87" w:name="_Toc23346"/>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559"/>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55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55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55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55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55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559"/>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559"/>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559"/>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559"/>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562"/>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5040"/>
      <w:r/>
      <w:bookmarkStart w:id="89" w:name="_Toc4414"/>
      <w:r/>
      <w:bookmarkStart w:id="90" w:name="_Toc14415"/>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559"/>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559"/>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559"/>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559"/>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559"/>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b/>
          <w:bCs/>
          <w:szCs w:val="21"/>
        </w:rPr>
        <w:outlineLvl w:val="1"/>
      </w:pPr>
      <w:r/>
      <w:bookmarkStart w:id="92" w:name="_Toc22449"/>
      <w:r/>
      <w:bookmarkStart w:id="93" w:name="_Toc26883"/>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562"/>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24901"/>
      <w:r/>
      <w:bookmarkStart w:id="96" w:name="_Toc1751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559"/>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559"/>
        <w:ind w:firstLine="420"/>
        <w:spacing w:line="360" w:lineRule="auto"/>
        <w:rPr>
          <w:rFonts w:hint="eastAsia" w:ascii="宋体" w:hAnsi="宋体" w:cs="宋体"/>
          <w:b/>
          <w:szCs w:val="21"/>
          <w:lang w:val="zh-CN"/>
        </w:rPr>
        <w:outlineLvl w:val="2"/>
      </w:pPr>
      <w:r/>
      <w:bookmarkStart w:id="98" w:name="_Toc30894"/>
      <w:r/>
      <w:bookmarkStart w:id="99" w:name="_Toc10671"/>
      <w:r/>
      <w:bookmarkStart w:id="100" w:name="_Toc31000"/>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559"/>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559"/>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562"/>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27952"/>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bookmarkStart w:id="104" w:name="_Toc12595"/>
      <w:r/>
      <w:bookmarkStart w:id="105" w:name="_Toc32484"/>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56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10206"/>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559"/>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559"/>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559"/>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56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5619"/>
      <w:r/>
      <w:bookmarkStart w:id="109" w:name="_Toc10832"/>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559"/>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56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10306"/>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559"/>
        <w:ind w:firstLine="420"/>
        <w:spacing w:line="360" w:lineRule="auto"/>
        <w:rPr>
          <w:rFonts w:hint="eastAsia" w:ascii="宋体" w:hAnsi="宋体" w:cs="宋体"/>
          <w:bCs/>
          <w:szCs w:val="21"/>
        </w:rPr>
      </w:pPr>
      <w:r/>
      <w:bookmarkStart w:id="113" w:name="_Toc27455"/>
      <w:r/>
      <w:bookmarkStart w:id="114"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b/>
          <w:bCs/>
          <w:color w:val="000000"/>
          <w:szCs w:val="21"/>
        </w:rPr>
        <w:outlineLvl w:val="1"/>
      </w:pPr>
      <w:r/>
      <w:bookmarkStart w:id="115" w:name="_Toc30431"/>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559"/>
        <w:ind w:firstLine="422"/>
        <w:spacing w:line="360" w:lineRule="auto"/>
        <w:tabs>
          <w:tab w:val="left" w:pos="480" w:leader="none"/>
        </w:tabs>
        <w:rPr>
          <w:rFonts w:hint="eastAsia" w:ascii="宋体" w:hAnsi="宋体" w:cs="宋体"/>
          <w:b/>
          <w:bCs/>
          <w:szCs w:val="21"/>
        </w:rPr>
        <w:outlineLvl w:val="2"/>
      </w:pPr>
      <w:r/>
      <w:bookmarkStart w:id="116" w:name="_Toc20823297"/>
      <w:r/>
      <w:bookmarkStart w:id="117" w:name="_Toc16938541"/>
      <w:r/>
      <w:bookmarkStart w:id="118" w:name="_Toc513029225"/>
      <w:r/>
      <w:bookmarkStart w:id="119" w:name="_Toc462564084"/>
      <w:r/>
      <w:bookmarkStart w:id="120" w:name="_Toc26846"/>
      <w:r/>
      <w:bookmarkStart w:id="121" w:name="_Toc14747"/>
      <w:r/>
      <w:bookmarkStart w:id="122" w:name="_Toc21766"/>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507"/>
      <w:r/>
      <w:bookmarkStart w:id="124" w:name="_Toc513029226"/>
      <w:r/>
      <w:bookmarkStart w:id="125" w:name="_Toc16938542"/>
      <w:r/>
      <w:bookmarkStart w:id="126" w:name="_Toc20823298"/>
      <w:r/>
      <w:bookmarkStart w:id="127" w:name="_Toc14201"/>
      <w:r/>
      <w:bookmarkStart w:id="128" w:name="_Toc11996"/>
      <w:r>
        <w:rPr>
          <w:rFonts w:hint="eastAsia" w:ascii="宋体" w:hAnsi="宋体" w:cs="宋体"/>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7"/>
      <w:r/>
      <w:bookmarkEnd w:id="128"/>
      <w:r>
        <w:rPr>
          <w:rFonts w:hint="eastAsia" w:ascii="宋体" w:hAnsi="宋体" w:cs="宋体"/>
          <w:szCs w:val="21"/>
        </w:rPr>
        <w:t xml:space="preserve">解密</w:t>
      </w:r>
      <w:bookmarkEnd w:id="123"/>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559"/>
        <w:ind w:firstLine="422"/>
        <w:spacing w:line="360" w:lineRule="auto"/>
        <w:tabs>
          <w:tab w:val="left" w:pos="480" w:leader="none"/>
        </w:tabs>
        <w:rPr>
          <w:rFonts w:hint="eastAsia" w:ascii="宋体" w:hAnsi="宋体" w:cs="宋体"/>
          <w:b/>
          <w:bCs/>
          <w:szCs w:val="21"/>
        </w:rPr>
        <w:outlineLvl w:val="2"/>
      </w:pPr>
      <w:r/>
      <w:bookmarkStart w:id="129" w:name="_Toc28176"/>
      <w:r>
        <w:rPr>
          <w:rFonts w:hint="eastAsia" w:ascii="宋体" w:hAnsi="宋体" w:cs="宋体"/>
          <w:b/>
          <w:bCs/>
          <w:szCs w:val="21"/>
        </w:rPr>
        <w:t xml:space="preserve">15.投标截止</w:t>
      </w:r>
      <w:bookmarkEnd w:id="124"/>
      <w:r/>
      <w:bookmarkEnd w:id="125"/>
      <w:r/>
      <w:bookmarkEnd w:id="126"/>
      <w:r>
        <w:rPr>
          <w:rFonts w:hint="eastAsia" w:ascii="宋体" w:hAnsi="宋体" w:cs="宋体"/>
          <w:b/>
          <w:bCs/>
          <w:szCs w:val="21"/>
        </w:rPr>
        <w:t xml:space="preserve">时间</w:t>
      </w:r>
      <w:bookmarkEnd w:id="129"/>
      <w:r>
        <w:rPr>
          <w:rFonts w:hint="eastAsia" w:ascii="宋体" w:hAnsi="宋体" w:cs="宋体"/>
          <w:b/>
          <w:bCs/>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559"/>
        <w:ind w:firstLine="422"/>
        <w:spacing w:line="360" w:lineRule="auto"/>
        <w:tabs>
          <w:tab w:val="left" w:pos="480" w:leader="none"/>
        </w:tabs>
        <w:rPr>
          <w:rFonts w:hint="eastAsia" w:ascii="宋体" w:hAnsi="宋体" w:cs="宋体"/>
          <w:b/>
          <w:bCs/>
          <w:color w:val="000000"/>
          <w:szCs w:val="21"/>
        </w:rPr>
        <w:outlineLvl w:val="2"/>
      </w:pPr>
      <w:r/>
      <w:bookmarkStart w:id="130" w:name="_Toc513029227"/>
      <w:r/>
      <w:bookmarkStart w:id="131" w:name="_Toc20823299"/>
      <w:r/>
      <w:bookmarkStart w:id="132" w:name="_Toc11994"/>
      <w:r/>
      <w:bookmarkStart w:id="133" w:name="_Toc16938543"/>
      <w:r>
        <w:rPr>
          <w:rFonts w:hint="eastAsia" w:ascii="宋体" w:hAnsi="宋体" w:cs="宋体"/>
          <w:b/>
          <w:bCs/>
          <w:color w:val="000000"/>
          <w:szCs w:val="21"/>
        </w:rPr>
        <w:t xml:space="preserve">16.投标文件</w:t>
      </w:r>
      <w:bookmarkEnd w:id="130"/>
      <w:r/>
      <w:bookmarkEnd w:id="131"/>
      <w:r/>
      <w:bookmarkEnd w:id="133"/>
      <w:r>
        <w:rPr>
          <w:rFonts w:hint="eastAsia" w:ascii="宋体" w:hAnsi="宋体" w:cs="宋体"/>
          <w:b/>
          <w:bCs/>
          <w:color w:val="000000"/>
          <w:szCs w:val="21"/>
        </w:rPr>
        <w:t xml:space="preserve">的拒收</w:t>
      </w:r>
      <w:bookmarkEnd w:id="132"/>
      <w:r>
        <w:rPr>
          <w:rFonts w:hint="eastAsia" w:ascii="宋体" w:hAnsi="宋体" w:cs="宋体"/>
          <w:b/>
          <w:bCs/>
          <w:color w:val="000000"/>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559"/>
        <w:ind w:firstLine="422"/>
        <w:spacing w:line="360" w:lineRule="auto"/>
        <w:tabs>
          <w:tab w:val="left" w:pos="480" w:leader="none"/>
        </w:tabs>
        <w:rPr>
          <w:rFonts w:hint="eastAsia" w:ascii="宋体" w:hAnsi="宋体" w:cs="宋体"/>
          <w:szCs w:val="21"/>
        </w:rPr>
        <w:outlineLvl w:val="2"/>
      </w:pPr>
      <w:r/>
      <w:bookmarkStart w:id="134" w:name="_Toc16938544"/>
      <w:r/>
      <w:bookmarkStart w:id="135" w:name="_Toc20823300"/>
      <w:r/>
      <w:bookmarkStart w:id="136" w:name="_Toc513029228"/>
      <w:r/>
      <w:bookmarkStart w:id="137" w:name="_Toc5513"/>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Pr>
          <w:rFonts w:hint="eastAsia" w:ascii="宋体" w:hAnsi="宋体" w:cs="宋体"/>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55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120614218"/>
      <w:r/>
      <w:bookmarkStart w:id="139" w:name="_Toc20823301"/>
      <w:r/>
      <w:bookmarkStart w:id="140" w:name="_Toc24233"/>
      <w:r/>
      <w:bookmarkStart w:id="141" w:name="_Toc16938545"/>
      <w:r/>
      <w:bookmarkStart w:id="142" w:name="_Toc7027"/>
      <w:r/>
      <w:bookmarkStart w:id="143" w:name="_Toc22468"/>
      <w:r/>
      <w:bookmarkStart w:id="144" w:name="_Toc513029229"/>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56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15345"/>
      <w:r/>
      <w:bookmarkStart w:id="146" w:name="_Toc13829"/>
      <w:r/>
      <w:bookmarkStart w:id="147" w:name="_Toc3679"/>
      <w:r/>
      <w:bookmarkStart w:id="148" w:name="_Toc6637"/>
      <w:r/>
      <w:bookmarkStart w:id="149" w:name="_Toc201"/>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559"/>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562"/>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3778"/>
      <w:r/>
      <w:bookmarkStart w:id="154" w:name="_Toc18343"/>
      <w:r/>
      <w:bookmarkStart w:id="155" w:name="_Toc513029231"/>
      <w:r/>
      <w:bookmarkStart w:id="156" w:name="_Toc16938547"/>
      <w:r/>
      <w:bookmarkStart w:id="157" w:name="_Toc29284"/>
      <w:r/>
      <w:bookmarkStart w:id="158" w:name="_Toc20823303"/>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562"/>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1073"/>
      <w:r/>
      <w:bookmarkStart w:id="162" w:name="_Toc26401"/>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559"/>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559"/>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559"/>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559"/>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559"/>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559"/>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559"/>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w:t>
      </w:r>
      <w:r>
        <w:rPr>
          <w:rFonts w:hint="eastAsia" w:ascii="宋体" w:hAnsi="宋体" w:cs="宋体"/>
          <w:b/>
          <w:szCs w:val="21"/>
          <w:lang w:eastAsia="zh-CN"/>
        </w:rPr>
        <w:t xml:space="preserve">，</w:t>
      </w:r>
      <w:r>
        <w:rPr>
          <w:rFonts w:hint="eastAsia" w:ascii="宋体" w:hAnsi="宋体" w:cs="宋体"/>
          <w:b/>
          <w:szCs w:val="21"/>
        </w:rPr>
        <w:t xml:space="preserve">不得寻求外部的证据。</w:t>
      </w:r>
      <w:r>
        <w:rPr>
          <w:rFonts w:hint="eastAsia" w:ascii="宋体" w:hAnsi="宋体" w:cs="宋体"/>
          <w:b/>
          <w:szCs w:val="21"/>
        </w:rPr>
      </w:r>
      <w:r/>
    </w:p>
    <w:p>
      <w:pPr>
        <w:pStyle w:val="1562"/>
        <w:ind w:left="0" w:firstLine="422"/>
        <w:jc w:val="both"/>
        <w:spacing w:line="360" w:lineRule="auto"/>
        <w:tabs>
          <w:tab w:val="left" w:pos="480" w:leader="none"/>
        </w:tabs>
        <w:rPr>
          <w:rFonts w:hint="eastAsia" w:ascii="宋体" w:hAnsi="宋体" w:eastAsia="宋体" w:cs="宋体"/>
          <w:b/>
          <w:bCs/>
          <w:sz w:val="21"/>
          <w:szCs w:val="21"/>
        </w:rPr>
      </w:pPr>
      <w:r/>
      <w:bookmarkStart w:id="166" w:name="_Toc5977"/>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562"/>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30147"/>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559"/>
        <w:ind w:firstLine="420"/>
        <w:spacing w:line="360" w:lineRule="auto"/>
        <w:rPr>
          <w:rFonts w:hint="eastAsia" w:ascii="宋体" w:hAnsi="宋体" w:cs="宋体"/>
          <w:szCs w:val="21"/>
        </w:rPr>
      </w:pPr>
      <w:r/>
      <w:bookmarkEnd w:id="165"/>
      <w:r/>
      <w:bookmarkStart w:id="169" w:name="_Toc12358"/>
      <w:r/>
      <w:bookmarkStart w:id="170" w:name="_Toc28875"/>
      <w:r/>
      <w:bookmarkStart w:id="171" w:name="_Toc2198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562"/>
        <w:ind w:left="0" w:firstLine="422"/>
        <w:jc w:val="both"/>
        <w:spacing w:line="360" w:lineRule="auto"/>
        <w:tabs>
          <w:tab w:val="left" w:pos="480" w:leader="none"/>
        </w:tabs>
        <w:rPr>
          <w:rFonts w:hint="eastAsia" w:ascii="宋体" w:hAnsi="宋体" w:eastAsia="宋体" w:cs="宋体"/>
          <w:b/>
          <w:bCs/>
          <w:sz w:val="21"/>
          <w:szCs w:val="21"/>
        </w:rPr>
      </w:pPr>
      <w:r/>
      <w:bookmarkStart w:id="173" w:name="_Toc6865"/>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559"/>
        <w:ind w:firstLine="420"/>
        <w:spacing w:line="360" w:lineRule="auto"/>
        <w:rPr>
          <w:rFonts w:hint="eastAsia" w:ascii="宋体" w:hAnsi="宋体" w:cs="宋体"/>
          <w:bCs/>
          <w:szCs w:val="21"/>
        </w:rPr>
      </w:pPr>
      <w:r/>
      <w:bookmarkEnd w:id="172"/>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56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4851"/>
      <w:r/>
      <w:bookmarkStart w:id="178" w:name="_Toc2116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562"/>
        <w:ind w:left="0" w:firstLine="422"/>
        <w:jc w:val="both"/>
        <w:spacing w:line="360" w:lineRule="auto"/>
        <w:tabs>
          <w:tab w:val="left" w:pos="480" w:leader="none"/>
        </w:tabs>
        <w:rPr>
          <w:rFonts w:hint="eastAsia" w:ascii="宋体" w:hAnsi="宋体" w:eastAsia="宋体" w:cs="宋体"/>
          <w:b/>
          <w:bCs/>
          <w:sz w:val="21"/>
          <w:szCs w:val="21"/>
        </w:rPr>
      </w:pPr>
      <w:r/>
      <w:bookmarkStart w:id="179" w:name="_Toc15388"/>
      <w:r/>
      <w:bookmarkStart w:id="180" w:name="_Toc323"/>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559"/>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30117"/>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562"/>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11503"/>
      <w:r/>
      <w:bookmarkStart w:id="185" w:name="_Toc6735"/>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559"/>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55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562"/>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17252"/>
      <w:r/>
      <w:bookmarkStart w:id="188" w:name="_Toc21169"/>
      <w:r/>
      <w:bookmarkStart w:id="189" w:name="_Toc32182"/>
      <w:r/>
      <w:bookmarkStart w:id="190" w:name="_Toc4757"/>
      <w:r/>
      <w:bookmarkStart w:id="191" w:name="_Toc19713"/>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w:t>
      </w:r>
      <w:r>
        <w:rPr>
          <w:rFonts w:hint="eastAsia" w:ascii="宋体" w:hAnsi="宋体" w:cs="宋体"/>
          <w:bCs/>
          <w:szCs w:val="21"/>
          <w:lang w:eastAsia="zh-CN"/>
        </w:rPr>
        <w:t xml:space="preserve">，</w:t>
      </w:r>
      <w:r>
        <w:rPr>
          <w:rFonts w:hint="eastAsia" w:ascii="宋体" w:hAnsi="宋体" w:cs="宋体"/>
          <w:bCs/>
          <w:szCs w:val="21"/>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szCs w:val="21"/>
          <w:lang w:eastAsia="zh-CN"/>
        </w:rPr>
        <w:t xml:space="preserve">，</w:t>
      </w:r>
      <w:r>
        <w:rPr>
          <w:rFonts w:hint="eastAsia" w:ascii="宋体" w:hAnsi="宋体" w:cs="宋体"/>
          <w:bCs/>
          <w:szCs w:val="21"/>
        </w:rPr>
        <w:t xml:space="preserve">因未及时下载而造成的不利后果由中标人自行承担。</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562"/>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8003"/>
      <w:r/>
      <w:bookmarkStart w:id="194" w:name="_Toc2049"/>
      <w:r/>
      <w:bookmarkStart w:id="195" w:name="_Toc22919"/>
      <w:r/>
      <w:bookmarkStart w:id="196" w:name="_Toc15484"/>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562"/>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5509"/>
      <w:r/>
      <w:bookmarkStart w:id="200" w:name="_Toc11230"/>
      <w:r/>
      <w:bookmarkStart w:id="201" w:name="_Toc3506"/>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559"/>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559"/>
        <w:ind w:firstLine="420"/>
        <w:spacing w:line="360" w:lineRule="auto"/>
        <w:shd w:val="clear" w:color="auto" w:fill="ffffff"/>
        <w:widowControl/>
        <w:rPr>
          <w:rFonts w:hint="eastAsia" w:ascii="宋体" w:hAnsi="宋体" w:cs="宋体"/>
          <w:b/>
          <w:bCs/>
          <w:color w:val="000000"/>
          <w:szCs w:val="21"/>
        </w:rPr>
        <w:outlineLvl w:val="1"/>
      </w:pPr>
      <w:r/>
      <w:bookmarkStart w:id="204" w:name="_Toc17433"/>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562"/>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7774"/>
      <w:r/>
      <w:bookmarkStart w:id="206" w:name="_Toc16085"/>
      <w:r/>
      <w:bookmarkStart w:id="207" w:name="_Toc29529"/>
      <w:r/>
      <w:bookmarkStart w:id="208" w:name="_Toc4679"/>
      <w:r/>
      <w:bookmarkStart w:id="209" w:name="_Toc19917"/>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559"/>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559"/>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559"/>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559"/>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559"/>
        <w:ind w:firstLine="420"/>
        <w:spacing w:line="440" w:lineRule="exact"/>
        <w:rPr>
          <w:bCs/>
          <w:szCs w:val="21"/>
        </w:rPr>
      </w:pPr>
      <w:r>
        <w:rPr>
          <w:bCs/>
          <w:szCs w:val="21"/>
        </w:rPr>
      </w:r>
      <w:r/>
    </w:p>
    <w:p>
      <w:pPr>
        <w:pStyle w:val="1559"/>
        <w:jc w:val="center"/>
        <w:spacing w:line="440" w:lineRule="exact"/>
        <w:rPr>
          <w:b/>
          <w:sz w:val="28"/>
          <w:szCs w:val="28"/>
        </w:rPr>
        <w:outlineLvl w:val="0"/>
      </w:pPr>
      <w:r/>
      <w:bookmarkStart w:id="210" w:name="_Toc189726853"/>
      <w:r/>
      <w:bookmarkEnd w:id="210"/>
      <w:r/>
      <w:bookmarkStart w:id="211" w:name="_Hlk297273538"/>
      <w:r/>
      <w:bookmarkEnd w:id="211"/>
      <w:r/>
      <w:bookmarkStart w:id="212" w:name="_Toc25032666"/>
      <w:r/>
      <w:bookmarkEnd w:id="212"/>
      <w:r/>
      <w:bookmarkStart w:id="213" w:name="_Toc521839351"/>
      <w:r/>
      <w:bookmarkEnd w:id="213"/>
      <w:r/>
      <w:bookmarkStart w:id="214" w:name="_Toc522347554"/>
      <w:r/>
      <w:bookmarkEnd w:id="214"/>
      <w:r/>
      <w:bookmarkStart w:id="215" w:name="_Toc142623417"/>
      <w:r/>
      <w:bookmarkEnd w:id="215"/>
      <w:r/>
      <w:bookmarkStart w:id="216" w:name="_Toc163629751"/>
      <w:r/>
      <w:bookmarkEnd w:id="216"/>
      <w:r/>
      <w:bookmarkStart w:id="217" w:name="_Toc12622"/>
      <w:r/>
      <w:bookmarkStart w:id="218" w:name="_Toc16918"/>
      <w:r>
        <w:rPr>
          <w:b/>
          <w:sz w:val="28"/>
          <w:szCs w:val="28"/>
        </w:rPr>
        <w:br w:type="page" w:clear="all"/>
      </w:r>
      <w:bookmarkStart w:id="219" w:name="_Toc29844"/>
      <w:r>
        <w:rPr>
          <w:b/>
          <w:sz w:val="28"/>
          <w:szCs w:val="28"/>
        </w:rPr>
        <w:t xml:space="preserve">第三章 评标标准</w:t>
      </w:r>
      <w:bookmarkEnd w:id="217"/>
      <w:r/>
      <w:bookmarkEnd w:id="218"/>
      <w:r/>
      <w:bookmarkEnd w:id="219"/>
      <w:r>
        <w:rPr>
          <w:b/>
          <w:sz w:val="28"/>
          <w:szCs w:val="28"/>
        </w:rPr>
      </w:r>
      <w:r/>
    </w:p>
    <w:p>
      <w:pPr>
        <w:pStyle w:val="1559"/>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559"/>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559"/>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559"/>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559"/>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559"/>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559"/>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559"/>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559"/>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55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55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55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55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55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559"/>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559"/>
        <w:ind w:firstLine="420"/>
        <w:spacing w:line="360" w:lineRule="auto"/>
        <w:rPr>
          <w:rFonts w:hint="eastAsia" w:ascii="宋体" w:hAnsi="宋体" w:cs="宋体"/>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ascii="宋体" w:hAnsi="宋体" w:cs="宋体"/>
          <w:szCs w:val="21"/>
        </w:rPr>
      </w:r>
      <w:r/>
    </w:p>
    <w:p>
      <w:pPr>
        <w:pStyle w:val="1559"/>
        <w:keepLines w:val="0"/>
        <w:keepNext w:val="0"/>
        <w:pageBreakBefore w:val="0"/>
        <w:spacing w:line="480" w:lineRule="exact"/>
        <w:rPr>
          <w:rFonts w:hint="eastAsia" w:ascii="宋体" w:hAnsi="宋体" w:eastAsia="宋体" w:cs="宋体"/>
          <w:b/>
          <w:bCs/>
          <w:szCs w:val="21"/>
          <w:lang w:eastAsia="zh-CN"/>
        </w:rPr>
        <w:outlineLvl w:val="1"/>
      </w:pPr>
      <w:r/>
      <w:bookmarkStart w:id="220" w:name="_Toc32640"/>
      <w:r/>
      <w:bookmarkStart w:id="221" w:name="_Toc26246"/>
      <w:r>
        <w:rPr>
          <w:rFonts w:hint="eastAsia" w:ascii="宋体" w:hAnsi="宋体" w:cs="宋体"/>
          <w:b/>
          <w:bCs/>
          <w:szCs w:val="21"/>
        </w:rPr>
        <w:t xml:space="preserve">分包</w:t>
      </w:r>
      <w:bookmarkEnd w:id="220"/>
      <w:r/>
      <w:bookmarkEnd w:id="221"/>
      <w:r>
        <w:rPr>
          <w:rFonts w:hint="eastAsia" w:ascii="宋体" w:hAnsi="宋体" w:cs="宋体"/>
          <w:b/>
          <w:bCs/>
          <w:szCs w:val="21"/>
          <w:lang w:val="en-US" w:eastAsia="zh-CN"/>
        </w:rPr>
        <w:t xml:space="preserve">1</w:t>
      </w:r>
      <w:r>
        <w:rPr>
          <w:rFonts w:hint="eastAsia" w:ascii="宋体" w:hAnsi="宋体" w:eastAsia="宋体" w:cs="宋体"/>
          <w:b/>
          <w:bCs/>
          <w:szCs w:val="21"/>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5"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5"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5"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559"/>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w:t>
            </w:r>
            <w:r>
              <w:rPr>
                <w:rFonts w:hint="eastAsia" w:ascii="宋体" w:hAnsi="宋体" w:cs="宋体"/>
                <w:b/>
                <w:bCs/>
                <w:szCs w:val="21"/>
                <w:highlight w:val="none"/>
              </w:rPr>
              <w:t xml:space="preserve">标注“</w:t>
            </w:r>
            <w:r>
              <w:rPr>
                <w:rFonts w:hint="eastAsia" w:ascii="宋体" w:hAnsi="宋体" w:cs="宋体"/>
                <w:b/>
                <w:bCs/>
                <w:szCs w:val="21"/>
                <w:highlight w:val="none"/>
              </w:rPr>
              <w:t xml:space="preserve">★”的条款为实质性要求，有一项负偏离，作无效投标处理，</w:t>
            </w:r>
            <w:r>
              <w:rPr>
                <w:rFonts w:hint="eastAsia" w:ascii="宋体" w:hAnsi="宋体" w:cs="宋体"/>
                <w:szCs w:val="21"/>
                <w:highlight w:val="none"/>
              </w:rPr>
              <w:t xml:space="preserve">其他非重要技术条款每有一项负偏离扣1.18分，扣完为止。所有技术参数中，简单复制招标文件并标注响应或无偏离而又无相关完整技术支持资料证实，评审时评</w:t>
            </w:r>
            <w:r>
              <w:rPr>
                <w:rFonts w:hint="eastAsia" w:ascii="宋体" w:hAnsi="宋体" w:cs="宋体"/>
                <w:szCs w:val="21"/>
              </w:rPr>
              <w:t xml:space="preserve">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559"/>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的无需提供。</w:t>
            </w:r>
            <w:r>
              <w:rPr>
                <w:rFonts w:ascii="Calibri" w:hAnsi="Calibri"/>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5"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highlight w:val="cyan"/>
              </w:rPr>
            </w:pPr>
            <w:r>
              <w:rPr>
                <w:rFonts w:hint="eastAsia" w:ascii="宋体" w:hAnsi="宋体" w:cs="宋体"/>
                <w:szCs w:val="21"/>
              </w:rPr>
              <w:t xml:space="preserve">4.1</w:t>
            </w:r>
            <w:r>
              <w:rPr>
                <w:rFonts w:ascii="宋体" w:hAnsi="宋体" w:cs="宋体"/>
                <w:szCs w:val="21"/>
                <w:highlight w:val="cyan"/>
              </w:rPr>
            </w:r>
            <w:r/>
          </w:p>
        </w:tc>
        <w:tc>
          <w:tcPr>
            <w:tcW w:w="815"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5" w:type="dxa"/>
            <w:vAlign w:val="center"/>
            <w:vMerge w:val="continue"/>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5"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5" w:type="dxa"/>
            <w:vAlign w:val="center"/>
            <w:vMerge w:val="continue"/>
            <w:textDirection w:val="lrTb"/>
            <w:noWrap/>
          </w:tcPr>
          <w:p>
            <w:pPr>
              <w:pStyle w:val="1559"/>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5" w:type="dxa"/>
            <w:vAlign w:val="center"/>
            <w:textDirection w:val="lrTb"/>
            <w:noWrap/>
          </w:tcPr>
          <w:p>
            <w:pPr>
              <w:pStyle w:val="1559"/>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559"/>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23</w:t>
            </w:r>
            <w:r>
              <w:rPr>
                <w:rFonts w:hint="eastAsia" w:ascii="宋体" w:hAnsi="宋体" w:cs="宋体"/>
                <w:szCs w:val="21"/>
              </w:rPr>
              <w:t xml:space="preserve">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4</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5"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5" w:type="dxa"/>
            <w:vAlign w:val="center"/>
            <w:vMerge w:val="continue"/>
            <w:textDirection w:val="lrTb"/>
            <w:noWrap/>
          </w:tcPr>
          <w:p>
            <w:pPr>
              <w:pStyle w:val="1559"/>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559"/>
        <w:keepLines w:val="0"/>
        <w:keepNext w:val="0"/>
        <w:pageBreakBefore w:val="0"/>
        <w:spacing w:line="480" w:lineRule="exact"/>
        <w:rPr>
          <w:rFonts w:ascii="宋体" w:hAnsi="宋体" w:cs="宋体"/>
          <w:b/>
          <w:bCs/>
          <w:szCs w:val="21"/>
        </w:rPr>
      </w:pPr>
      <w:r>
        <w:rPr>
          <w:rFonts w:ascii="宋体" w:hAnsi="宋体" w:cs="宋体"/>
          <w:b/>
          <w:bCs/>
          <w:szCs w:val="21"/>
        </w:rPr>
      </w:r>
      <w:r/>
    </w:p>
    <w:p>
      <w:pPr>
        <w:pStyle w:val="1559"/>
        <w:keepLines w:val="0"/>
        <w:keepNext w:val="0"/>
        <w:pageBreakBefore w:val="0"/>
        <w:spacing w:line="480" w:lineRule="exact"/>
        <w:rPr>
          <w:rFonts w:ascii="宋体" w:hAnsi="宋体" w:cs="宋体"/>
          <w:b/>
          <w:bCs/>
          <w:szCs w:val="21"/>
        </w:rPr>
      </w:pPr>
      <w:r>
        <w:rPr>
          <w:rFonts w:ascii="宋体" w:hAnsi="宋体" w:cs="宋体"/>
          <w:b/>
          <w:bCs/>
          <w:szCs w:val="21"/>
        </w:rPr>
      </w:r>
      <w:r/>
    </w:p>
    <w:p>
      <w:pPr>
        <w:pStyle w:val="1559"/>
        <w:keepLines w:val="0"/>
        <w:keepNext w:val="0"/>
        <w:pageBreakBefore w:val="0"/>
        <w:spacing w:line="480" w:lineRule="exact"/>
        <w:rPr>
          <w:rFonts w:hint="eastAsia" w:ascii="宋体" w:hAnsi="宋体" w:eastAsia="宋体" w:cs="宋体"/>
          <w:b/>
          <w:bCs/>
          <w:szCs w:val="21"/>
          <w:lang w:eastAsia="zh-CN"/>
        </w:rPr>
        <w:outlineLvl w:val="1"/>
      </w:pPr>
      <w:r/>
      <w:bookmarkStart w:id="222" w:name="_Toc3605"/>
      <w:r/>
      <w:bookmarkStart w:id="223" w:name="_Toc12000"/>
      <w:r>
        <w:rPr>
          <w:rFonts w:hint="eastAsia" w:ascii="宋体" w:hAnsi="宋体" w:cs="宋体"/>
          <w:b/>
          <w:bCs/>
          <w:szCs w:val="21"/>
        </w:rPr>
        <w:t xml:space="preserve">分包</w:t>
      </w:r>
      <w:bookmarkEnd w:id="222"/>
      <w:r/>
      <w:bookmarkEnd w:id="223"/>
      <w:r>
        <w:rPr>
          <w:rFonts w:hint="eastAsia" w:ascii="宋体" w:hAnsi="宋体" w:cs="宋体"/>
          <w:b/>
          <w:bCs/>
          <w:szCs w:val="21"/>
          <w:lang w:val="en-US" w:eastAsia="zh-CN"/>
        </w:rPr>
        <w:t xml:space="preserve">2</w:t>
      </w:r>
      <w:r>
        <w:rPr>
          <w:rFonts w:hint="eastAsia" w:ascii="宋体" w:hAnsi="宋体" w:eastAsia="宋体" w:cs="宋体"/>
          <w:b/>
          <w:bCs/>
          <w:szCs w:val="21"/>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559"/>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★”的条款为实质性要求，有一项负偏离，作无效投标处理，</w:t>
            </w:r>
            <w:r>
              <w:rPr>
                <w:rFonts w:hint="eastAsia" w:ascii="宋体" w:hAnsi="宋体" w:cs="宋体"/>
                <w:szCs w:val="21"/>
              </w:rPr>
              <w:t xml:space="preserve">其他非重要技术条款每有一项负偏离扣1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559"/>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highlight w:val="cyan"/>
              </w:rPr>
            </w:pPr>
            <w:r>
              <w:rPr>
                <w:rFonts w:hint="eastAsia" w:ascii="宋体" w:hAnsi="宋体" w:cs="宋体"/>
                <w:szCs w:val="21"/>
              </w:rPr>
              <w:t xml:space="preserve">4.1</w:t>
            </w:r>
            <w:r>
              <w:rPr>
                <w:rFonts w:ascii="宋体" w:hAnsi="宋体" w:cs="宋体"/>
                <w:szCs w:val="21"/>
                <w:highlight w:val="cyan"/>
              </w:rPr>
            </w:r>
            <w:r/>
          </w:p>
        </w:tc>
        <w:tc>
          <w:tcPr>
            <w:tcW w:w="816"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559"/>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559"/>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559"/>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w:t>
            </w:r>
            <w:r>
              <w:rPr>
                <w:rFonts w:hint="eastAsia" w:ascii="宋体" w:hAnsi="宋体" w:cs="宋体"/>
                <w:szCs w:val="21"/>
              </w:rPr>
              <w:t xml:space="preserve">3年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2</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559"/>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559"/>
        <w:keepLines w:val="0"/>
        <w:keepNext w:val="0"/>
        <w:pageBreakBefore w:val="0"/>
        <w:spacing w:line="480" w:lineRule="exact"/>
        <w:rPr>
          <w:rFonts w:ascii="宋体" w:hAnsi="宋体" w:cs="宋体"/>
          <w:b/>
          <w:bCs/>
          <w:szCs w:val="21"/>
        </w:rPr>
      </w:pPr>
      <w:r>
        <w:rPr>
          <w:rFonts w:ascii="宋体" w:hAnsi="宋体" w:cs="宋体"/>
          <w:b/>
          <w:bCs/>
          <w:szCs w:val="21"/>
        </w:rPr>
      </w:r>
      <w:r/>
    </w:p>
    <w:p>
      <w:pPr>
        <w:pStyle w:val="1559"/>
        <w:keepLines w:val="0"/>
        <w:keepNext w:val="0"/>
        <w:pageBreakBefore w:val="0"/>
        <w:spacing w:line="480" w:lineRule="exact"/>
        <w:rPr>
          <w:rFonts w:ascii="宋体" w:hAnsi="宋体" w:cs="宋体"/>
          <w:b/>
          <w:bCs/>
          <w:szCs w:val="21"/>
        </w:rPr>
      </w:pPr>
      <w:r>
        <w:rPr>
          <w:rFonts w:ascii="宋体" w:hAnsi="宋体" w:cs="宋体"/>
          <w:b/>
          <w:bCs/>
          <w:szCs w:val="21"/>
        </w:rPr>
      </w:r>
      <w:r/>
    </w:p>
    <w:p>
      <w:pPr>
        <w:pStyle w:val="1559"/>
        <w:keepLines w:val="0"/>
        <w:keepNext w:val="0"/>
        <w:pageBreakBefore w:val="0"/>
        <w:spacing w:line="480" w:lineRule="exact"/>
        <w:rPr>
          <w:rFonts w:hint="eastAsia" w:ascii="宋体" w:hAnsi="宋体" w:eastAsia="宋体" w:cs="宋体"/>
          <w:b/>
          <w:bCs/>
          <w:szCs w:val="21"/>
          <w:lang w:eastAsia="zh-CN"/>
        </w:rPr>
        <w:outlineLvl w:val="1"/>
      </w:pPr>
      <w:r/>
      <w:bookmarkStart w:id="224" w:name="_Toc18570"/>
      <w:r/>
      <w:bookmarkStart w:id="225" w:name="_Toc20324"/>
      <w:r>
        <w:rPr>
          <w:rFonts w:hint="eastAsia" w:ascii="宋体" w:hAnsi="宋体" w:cs="宋体"/>
          <w:b/>
          <w:bCs/>
          <w:szCs w:val="21"/>
        </w:rPr>
        <w:t xml:space="preserve">分包</w:t>
      </w:r>
      <w:bookmarkEnd w:id="224"/>
      <w:r/>
      <w:bookmarkEnd w:id="225"/>
      <w:r>
        <w:rPr>
          <w:rFonts w:hint="eastAsia" w:ascii="宋体" w:hAnsi="宋体" w:cs="宋体"/>
          <w:b/>
          <w:bCs/>
          <w:szCs w:val="21"/>
          <w:lang w:val="en-US" w:eastAsia="zh-CN"/>
        </w:rPr>
        <w:t xml:space="preserve">3</w:t>
      </w:r>
      <w:r>
        <w:rPr>
          <w:rFonts w:hint="eastAsia" w:ascii="宋体" w:hAnsi="宋体" w:eastAsia="宋体" w:cs="宋体"/>
          <w:b/>
          <w:bCs/>
          <w:szCs w:val="21"/>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559"/>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★”的条款为实质性要求，有一项负偏离，作无效投标处理</w:t>
            </w:r>
            <w:r>
              <w:rPr>
                <w:rFonts w:hint="eastAsia" w:ascii="宋体" w:hAnsi="宋体" w:cs="宋体"/>
                <w:b/>
                <w:bCs/>
                <w:szCs w:val="21"/>
                <w:lang w:eastAsia="zh-CN"/>
              </w:rPr>
              <w:t xml:space="preserve">，</w:t>
            </w:r>
            <w:r>
              <w:rPr>
                <w:rFonts w:hint="eastAsia" w:ascii="宋体" w:hAnsi="宋体" w:cs="宋体"/>
                <w:szCs w:val="21"/>
              </w:rPr>
              <w:t xml:space="preserve">其他非重要技术条款每有一项负偏离扣1.38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559"/>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highlight w:val="cyan"/>
              </w:rPr>
            </w:pPr>
            <w:r>
              <w:rPr>
                <w:rFonts w:hint="eastAsia" w:ascii="宋体" w:hAnsi="宋体" w:cs="宋体"/>
                <w:szCs w:val="21"/>
              </w:rPr>
              <w:t xml:space="preserve">4.1</w:t>
            </w:r>
            <w:r>
              <w:rPr>
                <w:rFonts w:ascii="宋体" w:hAnsi="宋体" w:cs="宋体"/>
                <w:szCs w:val="21"/>
                <w:highlight w:val="cyan"/>
              </w:rPr>
            </w:r>
            <w:r/>
          </w:p>
        </w:tc>
        <w:tc>
          <w:tcPr>
            <w:tcW w:w="816"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559"/>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559"/>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559"/>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w:t>
            </w:r>
            <w:r>
              <w:rPr>
                <w:rFonts w:hint="eastAsia" w:ascii="宋体" w:hAnsi="宋体" w:cs="宋体"/>
                <w:szCs w:val="21"/>
              </w:rPr>
              <w:t xml:space="preserve">3年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4</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559"/>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559"/>
        <w:keepLines w:val="0"/>
        <w:keepNext w:val="0"/>
        <w:pageBreakBefore w:val="0"/>
        <w:spacing w:line="480" w:lineRule="exact"/>
        <w:rPr>
          <w:rFonts w:ascii="宋体" w:hAnsi="宋体" w:cs="宋体"/>
          <w:b/>
          <w:bCs/>
          <w:szCs w:val="21"/>
        </w:rPr>
      </w:pPr>
      <w:r>
        <w:rPr>
          <w:rFonts w:ascii="宋体" w:hAnsi="宋体" w:cs="宋体"/>
          <w:b/>
          <w:bCs/>
          <w:szCs w:val="21"/>
        </w:rPr>
      </w:r>
      <w:r/>
    </w:p>
    <w:p>
      <w:pPr>
        <w:pStyle w:val="1559"/>
        <w:keepLines w:val="0"/>
        <w:keepNext w:val="0"/>
        <w:pageBreakBefore w:val="0"/>
        <w:spacing w:line="480" w:lineRule="exact"/>
        <w:rPr>
          <w:rFonts w:hint="eastAsia" w:ascii="宋体" w:hAnsi="宋体" w:eastAsia="宋体" w:cs="宋体"/>
          <w:b/>
          <w:bCs/>
          <w:szCs w:val="21"/>
          <w:lang w:eastAsia="zh-CN"/>
        </w:rPr>
        <w:outlineLvl w:val="1"/>
      </w:pPr>
      <w:r/>
      <w:bookmarkStart w:id="226" w:name="_Toc10881"/>
      <w:r/>
      <w:bookmarkStart w:id="227" w:name="_Toc17103"/>
      <w:r>
        <w:rPr>
          <w:rFonts w:hint="eastAsia" w:ascii="宋体" w:hAnsi="宋体" w:cs="宋体"/>
          <w:b/>
          <w:bCs/>
          <w:szCs w:val="21"/>
        </w:rPr>
        <w:t xml:space="preserve">分包</w:t>
      </w:r>
      <w:bookmarkEnd w:id="226"/>
      <w:r/>
      <w:bookmarkEnd w:id="227"/>
      <w:r>
        <w:rPr>
          <w:rFonts w:hint="eastAsia" w:ascii="宋体" w:hAnsi="宋体" w:cs="宋体"/>
          <w:b/>
          <w:bCs/>
          <w:szCs w:val="21"/>
          <w:lang w:val="en-US" w:eastAsia="zh-CN"/>
        </w:rPr>
        <w:t xml:space="preserve">4</w:t>
      </w:r>
      <w:r>
        <w:rPr>
          <w:rFonts w:hint="eastAsia" w:ascii="宋体" w:hAnsi="宋体" w:eastAsia="宋体" w:cs="宋体"/>
          <w:b/>
          <w:bCs/>
          <w:szCs w:val="21"/>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559"/>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★”的条款为实质性要求，有一项负偏离，作无效投标处理</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标注</w:t>
            </w:r>
            <w:r>
              <w:rPr>
                <w:rFonts w:hint="eastAsia" w:ascii="宋体" w:hAnsi="宋体" w:cs="宋体"/>
                <w:b/>
                <w:bCs/>
                <w:szCs w:val="21"/>
              </w:rPr>
              <w:t xml:space="preserve">“</w:t>
            </w:r>
            <w:r>
              <w:rPr>
                <w:rFonts w:hint="eastAsia" w:ascii="仿宋" w:hAnsi="仿宋" w:eastAsia="仿宋" w:cs="仿宋"/>
                <w:b/>
                <w:bCs/>
                <w:szCs w:val="21"/>
              </w:rPr>
              <w:t xml:space="preserve">▲</w:t>
            </w:r>
            <w:r>
              <w:rPr>
                <w:rFonts w:hint="eastAsia" w:ascii="宋体" w:hAnsi="宋体" w:cs="宋体"/>
                <w:b/>
                <w:bCs/>
                <w:szCs w:val="21"/>
              </w:rPr>
              <w:t xml:space="preserve">”的条款为</w:t>
            </w:r>
            <w:r>
              <w:rPr>
                <w:rFonts w:hint="eastAsia" w:ascii="宋体" w:hAnsi="宋体" w:cs="宋体"/>
                <w:b/>
                <w:bCs/>
                <w:szCs w:val="21"/>
                <w:lang w:val="en-US" w:eastAsia="zh-CN"/>
              </w:rPr>
              <w:t xml:space="preserve">重要参数，负偏离一项扣2分</w:t>
            </w:r>
            <w:r>
              <w:rPr>
                <w:rFonts w:hint="eastAsia" w:ascii="宋体" w:hAnsi="宋体" w:cs="宋体"/>
                <w:b/>
                <w:bCs/>
                <w:szCs w:val="21"/>
              </w:rPr>
              <w:t xml:space="preserve">，</w:t>
            </w:r>
            <w:r>
              <w:rPr>
                <w:rFonts w:hint="eastAsia" w:ascii="宋体" w:hAnsi="宋体" w:cs="宋体"/>
                <w:szCs w:val="21"/>
              </w:rPr>
              <w:t xml:space="preserve">其他非重要技术条款每有一项负偏离扣</w:t>
            </w:r>
            <w:r>
              <w:rPr>
                <w:rFonts w:hint="eastAsia" w:ascii="宋体" w:hAnsi="宋体" w:cs="宋体"/>
                <w:szCs w:val="21"/>
                <w:lang w:val="en-US" w:eastAsia="zh-CN"/>
              </w:rPr>
              <w:t xml:space="preserve">0.95</w:t>
            </w:r>
            <w:r>
              <w:rPr>
                <w:rFonts w:hint="eastAsia" w:ascii="宋体" w:hAnsi="宋体" w:cs="宋体"/>
                <w:szCs w:val="21"/>
              </w:rPr>
              <w:t xml:space="preserve">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559"/>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lang w:val="en-US" w:eastAsia="zh-CN"/>
              </w:rPr>
              <w:t xml:space="preserve">和</w:t>
            </w:r>
            <w:r>
              <w:rPr>
                <w:rFonts w:hint="eastAsia" w:ascii="宋体" w:hAnsi="宋体" w:cs="宋体"/>
                <w:b/>
                <w:bCs/>
                <w:szCs w:val="21"/>
              </w:rPr>
              <w:t xml:space="preserve">“</w:t>
            </w:r>
            <w:r>
              <w:rPr>
                <w:rFonts w:hint="eastAsia" w:ascii="仿宋" w:hAnsi="仿宋" w:eastAsia="仿宋" w:cs="仿宋"/>
                <w:b/>
                <w:bCs/>
                <w:szCs w:val="21"/>
              </w:rPr>
              <w:t xml:space="preserve">▲</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bCs/>
                <w:szCs w:val="21"/>
              </w:rPr>
              <w:t xml:space="preserve">“</w:t>
            </w:r>
            <w:r>
              <w:rPr>
                <w:rFonts w:hint="eastAsia" w:ascii="仿宋" w:hAnsi="仿宋" w:eastAsia="仿宋" w:cs="仿宋"/>
                <w:b/>
                <w:bCs/>
                <w:szCs w:val="21"/>
              </w:rPr>
              <w:t xml:space="preserve">▲</w:t>
            </w:r>
            <w:r>
              <w:rPr>
                <w:rFonts w:hint="eastAsia" w:ascii="宋体" w:hAnsi="宋体" w:cs="宋体"/>
                <w:b/>
                <w:bCs/>
                <w:szCs w:val="21"/>
              </w:rPr>
              <w:t xml:space="preserve">”</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highlight w:val="cyan"/>
              </w:rPr>
            </w:pPr>
            <w:r>
              <w:rPr>
                <w:rFonts w:hint="eastAsia" w:ascii="宋体" w:hAnsi="宋体" w:cs="宋体"/>
                <w:szCs w:val="21"/>
              </w:rPr>
              <w:t xml:space="preserve">4.1</w:t>
            </w:r>
            <w:r>
              <w:rPr>
                <w:rFonts w:ascii="宋体" w:hAnsi="宋体" w:cs="宋体"/>
                <w:szCs w:val="21"/>
                <w:highlight w:val="cyan"/>
              </w:rPr>
            </w:r>
            <w:r/>
          </w:p>
        </w:tc>
        <w:tc>
          <w:tcPr>
            <w:tcW w:w="816"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559"/>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559"/>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559"/>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w:t>
            </w:r>
            <w:r>
              <w:rPr>
                <w:rFonts w:hint="eastAsia" w:ascii="宋体" w:hAnsi="宋体" w:cs="宋体"/>
                <w:szCs w:val="21"/>
              </w:rPr>
              <w:t xml:space="preserve">3年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2</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559"/>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559"/>
        <w:keepLines w:val="0"/>
        <w:keepNext w:val="0"/>
        <w:pageBreakBefore w:val="0"/>
        <w:spacing w:line="480" w:lineRule="exact"/>
        <w:rPr>
          <w:rFonts w:ascii="宋体" w:hAnsi="宋体" w:cs="宋体"/>
          <w:b/>
          <w:bCs/>
          <w:szCs w:val="21"/>
        </w:rPr>
      </w:pPr>
      <w:r>
        <w:rPr>
          <w:rFonts w:ascii="宋体" w:hAnsi="宋体" w:cs="宋体"/>
          <w:b/>
          <w:bCs/>
          <w:szCs w:val="21"/>
        </w:rPr>
      </w:r>
      <w:r/>
    </w:p>
    <w:p>
      <w:pPr>
        <w:pStyle w:val="1559"/>
        <w:keepLines w:val="0"/>
        <w:keepNext w:val="0"/>
        <w:pageBreakBefore w:val="0"/>
        <w:spacing w:line="480" w:lineRule="exact"/>
        <w:rPr>
          <w:rFonts w:hint="eastAsia" w:ascii="宋体" w:hAnsi="宋体" w:eastAsia="宋体" w:cs="宋体"/>
          <w:b/>
          <w:bCs/>
          <w:szCs w:val="21"/>
          <w:lang w:eastAsia="zh-CN"/>
        </w:rPr>
        <w:outlineLvl w:val="1"/>
      </w:pPr>
      <w:r/>
      <w:bookmarkStart w:id="228" w:name="_Toc9286"/>
      <w:r/>
      <w:bookmarkStart w:id="229" w:name="_Toc2096"/>
      <w:r>
        <w:rPr>
          <w:rFonts w:hint="eastAsia" w:ascii="宋体" w:hAnsi="宋体" w:cs="宋体"/>
          <w:b/>
          <w:bCs/>
          <w:szCs w:val="21"/>
        </w:rPr>
        <w:t xml:space="preserve">分包</w:t>
      </w:r>
      <w:bookmarkEnd w:id="228"/>
      <w:r/>
      <w:bookmarkEnd w:id="229"/>
      <w:r>
        <w:rPr>
          <w:rFonts w:hint="eastAsia" w:ascii="宋体" w:hAnsi="宋体" w:cs="宋体"/>
          <w:b/>
          <w:bCs/>
          <w:szCs w:val="21"/>
          <w:lang w:val="en-US" w:eastAsia="zh-CN"/>
        </w:rPr>
        <w:t xml:space="preserve">5</w:t>
      </w:r>
      <w:r>
        <w:rPr>
          <w:rFonts w:hint="eastAsia" w:ascii="宋体" w:hAnsi="宋体" w:eastAsia="宋体" w:cs="宋体"/>
          <w:b/>
          <w:bCs/>
          <w:szCs w:val="21"/>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559"/>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★”的条款为实质性要求，有一项负偏离，作无效投标处理，</w:t>
            </w:r>
            <w:r>
              <w:rPr>
                <w:rFonts w:hint="eastAsia" w:ascii="宋体" w:hAnsi="宋体" w:cs="宋体"/>
                <w:szCs w:val="21"/>
              </w:rPr>
              <w:t xml:space="preserve">其他非重要技术条款每有一项负偏离扣1.38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559"/>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highlight w:val="cyan"/>
              </w:rPr>
            </w:pPr>
            <w:r>
              <w:rPr>
                <w:rFonts w:hint="eastAsia" w:ascii="宋体" w:hAnsi="宋体" w:cs="宋体"/>
                <w:szCs w:val="21"/>
              </w:rPr>
              <w:t xml:space="preserve">4.1</w:t>
            </w:r>
            <w:r>
              <w:rPr>
                <w:rFonts w:ascii="宋体" w:hAnsi="宋体" w:cs="宋体"/>
                <w:szCs w:val="21"/>
                <w:highlight w:val="cyan"/>
              </w:rPr>
            </w:r>
            <w:r/>
          </w:p>
        </w:tc>
        <w:tc>
          <w:tcPr>
            <w:tcW w:w="816"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559"/>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rHeight w:val="2920"/>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559"/>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559"/>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w:t>
            </w:r>
            <w:r>
              <w:rPr>
                <w:rFonts w:hint="eastAsia" w:ascii="宋体" w:hAnsi="宋体" w:cs="宋体"/>
                <w:szCs w:val="21"/>
              </w:rPr>
              <w:t xml:space="preserve">3年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4</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559"/>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559"/>
        <w:keepLines w:val="0"/>
        <w:keepNext w:val="0"/>
        <w:pageBreakBefore w:val="0"/>
        <w:spacing w:line="480" w:lineRule="exact"/>
        <w:rPr>
          <w:rFonts w:ascii="宋体" w:hAnsi="宋体" w:cs="宋体"/>
          <w:b/>
          <w:bCs/>
          <w:szCs w:val="21"/>
        </w:rPr>
      </w:pPr>
      <w:r>
        <w:rPr>
          <w:rFonts w:ascii="宋体" w:hAnsi="宋体" w:cs="宋体"/>
          <w:b/>
          <w:bCs/>
          <w:szCs w:val="21"/>
        </w:rPr>
      </w:r>
      <w:r/>
    </w:p>
    <w:p>
      <w:pPr>
        <w:pStyle w:val="1559"/>
        <w:keepLines w:val="0"/>
        <w:keepNext w:val="0"/>
        <w:pageBreakBefore w:val="0"/>
        <w:spacing w:line="480" w:lineRule="exact"/>
        <w:rPr>
          <w:rFonts w:hint="eastAsia" w:ascii="宋体" w:hAnsi="宋体" w:eastAsia="宋体" w:cs="宋体"/>
          <w:b/>
          <w:bCs/>
          <w:szCs w:val="21"/>
          <w:lang w:eastAsia="zh-CN"/>
        </w:rPr>
        <w:outlineLvl w:val="1"/>
      </w:pPr>
      <w:r/>
      <w:bookmarkStart w:id="230" w:name="_Toc24811"/>
      <w:r/>
      <w:bookmarkStart w:id="231" w:name="_Toc4571"/>
      <w:r>
        <w:rPr>
          <w:rFonts w:hint="eastAsia" w:ascii="宋体" w:hAnsi="宋体" w:cs="宋体"/>
          <w:b/>
          <w:bCs/>
          <w:szCs w:val="21"/>
        </w:rPr>
        <w:t xml:space="preserve">分包</w:t>
      </w:r>
      <w:bookmarkEnd w:id="230"/>
      <w:r/>
      <w:bookmarkEnd w:id="231"/>
      <w:r>
        <w:rPr>
          <w:rFonts w:hint="eastAsia" w:ascii="宋体" w:hAnsi="宋体" w:cs="宋体"/>
          <w:b/>
          <w:bCs/>
          <w:szCs w:val="21"/>
          <w:lang w:val="en-US" w:eastAsia="zh-CN"/>
        </w:rPr>
        <w:t xml:space="preserve">6</w:t>
      </w:r>
      <w:r>
        <w:rPr>
          <w:rFonts w:hint="eastAsia" w:ascii="宋体" w:hAnsi="宋体" w:eastAsia="宋体" w:cs="宋体"/>
          <w:b/>
          <w:bCs/>
          <w:szCs w:val="21"/>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5"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5"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5"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559"/>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★”的条款为实质性要求，有一项负偏离，作无效投标处理，</w:t>
            </w:r>
            <w:r>
              <w:rPr>
                <w:rFonts w:hint="eastAsia" w:ascii="宋体" w:hAnsi="宋体" w:cs="宋体"/>
                <w:szCs w:val="21"/>
              </w:rPr>
              <w:t xml:space="preserve">其他非重要技术条款每有一项负偏离扣1.74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559"/>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的无需提供。</w:t>
            </w:r>
            <w:r>
              <w:rPr>
                <w:rFonts w:ascii="Calibri" w:hAnsi="Calibri"/>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5"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4.1</w:t>
            </w:r>
            <w:r>
              <w:rPr>
                <w:rFonts w:ascii="宋体" w:hAnsi="宋体" w:cs="宋体"/>
                <w:szCs w:val="21"/>
              </w:rPr>
            </w:r>
            <w:r/>
          </w:p>
        </w:tc>
        <w:tc>
          <w:tcPr>
            <w:tcW w:w="815"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559"/>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5" w:type="dxa"/>
            <w:vAlign w:val="center"/>
            <w:vMerge w:val="continue"/>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559"/>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5"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5" w:type="dxa"/>
            <w:vAlign w:val="center"/>
            <w:vMerge w:val="continue"/>
            <w:textDirection w:val="lrTb"/>
            <w:noWrap/>
          </w:tcPr>
          <w:p>
            <w:pPr>
              <w:pStyle w:val="1559"/>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5" w:type="dxa"/>
            <w:vAlign w:val="center"/>
            <w:textDirection w:val="lrTb"/>
            <w:noWrap/>
          </w:tcPr>
          <w:p>
            <w:pPr>
              <w:pStyle w:val="1559"/>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559"/>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w:t>
            </w:r>
            <w:r>
              <w:rPr>
                <w:rFonts w:hint="eastAsia" w:ascii="宋体" w:hAnsi="宋体" w:cs="宋体"/>
                <w:szCs w:val="21"/>
              </w:rPr>
              <w:t xml:space="preserve">3年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4</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5" w:type="dxa"/>
            <w:vAlign w:val="center"/>
            <w:vMerge w:val="restart"/>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5" w:type="dxa"/>
            <w:vAlign w:val="center"/>
            <w:vMerge w:val="continue"/>
            <w:textDirection w:val="lrTb"/>
            <w:noWrap/>
          </w:tcPr>
          <w:p>
            <w:pPr>
              <w:pStyle w:val="1559"/>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559"/>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399" w:type="dxa"/>
            <w:vAlign w:val="center"/>
            <w:textDirection w:val="lrTb"/>
            <w:noWrap/>
          </w:tcPr>
          <w:p>
            <w:pPr>
              <w:pStyle w:val="1559"/>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559"/>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rPr>
          <w:rFonts w:hint="eastAsia" w:ascii="宋体" w:hAnsi="宋体" w:cs="宋体"/>
          <w:szCs w:val="21"/>
        </w:rPr>
      </w:r>
      <w:r/>
    </w:p>
    <w:p>
      <w:pPr>
        <w:pStyle w:val="1559"/>
        <w:jc w:val="center"/>
        <w:spacing w:line="440" w:lineRule="exact"/>
        <w:rPr>
          <w:b/>
          <w:sz w:val="28"/>
          <w:szCs w:val="28"/>
        </w:rPr>
        <w:outlineLvl w:val="0"/>
      </w:pPr>
      <w:r>
        <w:rPr>
          <w:b/>
          <w:sz w:val="28"/>
          <w:szCs w:val="28"/>
        </w:rPr>
        <w:br w:type="page" w:clear="all"/>
      </w:r>
      <w:bookmarkStart w:id="232" w:name="_Toc252"/>
      <w:r/>
      <w:bookmarkStart w:id="233" w:name="_Toc17106"/>
      <w:r/>
      <w:bookmarkStart w:id="234" w:name="_Toc26203"/>
      <w:r>
        <w:rPr>
          <w:b/>
          <w:sz w:val="28"/>
          <w:szCs w:val="28"/>
        </w:rPr>
        <w:t xml:space="preserve">第四章 招标</w:t>
      </w:r>
      <w:bookmarkEnd w:id="232"/>
      <w:r/>
      <w:bookmarkEnd w:id="233"/>
      <w:r>
        <w:rPr>
          <w:b/>
          <w:sz w:val="28"/>
          <w:szCs w:val="28"/>
        </w:rPr>
        <w:t xml:space="preserve">技术规格及要求</w:t>
      </w:r>
      <w:bookmarkEnd w:id="234"/>
      <w:r>
        <w:rPr>
          <w:b/>
          <w:sz w:val="28"/>
          <w:szCs w:val="28"/>
        </w:rPr>
      </w:r>
      <w:r/>
    </w:p>
    <w:p>
      <w:pPr>
        <w:pStyle w:val="1559"/>
        <w:spacing w:line="360" w:lineRule="auto"/>
        <w:rPr>
          <w:rFonts w:hint="eastAsia" w:ascii="宋体" w:hAnsi="宋体" w:cs="宋体"/>
          <w:b/>
          <w:bCs/>
          <w:szCs w:val="21"/>
        </w:rPr>
      </w:pPr>
      <w:r/>
      <w:bookmarkStart w:id="235" w:name="_Toc2516"/>
      <w:r/>
      <w:bookmarkStart w:id="236"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559"/>
        <w:ind w:firstLine="420"/>
        <w:spacing w:line="360" w:lineRule="auto"/>
        <w:rPr>
          <w:rFonts w:hint="eastAsia" w:ascii="宋体" w:hAnsi="宋体" w:eastAsia="宋体" w:cs="宋体"/>
          <w:szCs w:val="21"/>
        </w:rPr>
      </w:pPr>
      <w:r>
        <w:rPr>
          <w:rFonts w:hint="eastAsia" w:ascii="宋体" w:hAnsi="宋体" w:eastAsia="宋体" w:cs="宋体"/>
          <w:szCs w:val="21"/>
        </w:rPr>
        <w:t xml:space="preserve">1.项目编号：</w:t>
      </w:r>
      <w:r>
        <w:rPr>
          <w:rFonts w:hint="eastAsia" w:ascii="宋体" w:hAnsi="宋体" w:eastAsia="宋体" w:cs="宋体"/>
          <w:szCs w:val="21"/>
          <w:lang w:eastAsia="zh-CN"/>
        </w:rPr>
        <w:t xml:space="preserve">JSZC-320000-SMDY-G2026-0089</w:t>
      </w:r>
      <w:r>
        <w:rPr>
          <w:rFonts w:hint="eastAsia" w:ascii="宋体" w:hAnsi="宋体" w:eastAsia="宋体" w:cs="宋体"/>
          <w:szCs w:val="21"/>
        </w:rPr>
        <w:t xml:space="preserve">（2640SUMEC/ZWGG2156）</w:t>
      </w:r>
      <w:r>
        <w:rPr>
          <w:rFonts w:hint="eastAsia" w:ascii="宋体" w:hAnsi="宋体" w:eastAsia="宋体" w:cs="宋体"/>
          <w:szCs w:val="21"/>
        </w:rPr>
      </w:r>
      <w:r/>
    </w:p>
    <w:p>
      <w:pPr>
        <w:pStyle w:val="1559"/>
        <w:ind w:firstLine="420"/>
        <w:spacing w:line="360" w:lineRule="auto"/>
        <w:rPr>
          <w:rFonts w:hint="eastAsia" w:ascii="宋体" w:hAnsi="宋体" w:eastAsia="宋体" w:cs="宋体"/>
          <w:szCs w:val="21"/>
        </w:rPr>
      </w:pPr>
      <w:r>
        <w:rPr>
          <w:rFonts w:hint="eastAsia" w:ascii="宋体" w:hAnsi="宋体" w:eastAsia="宋体" w:cs="宋体"/>
          <w:szCs w:val="21"/>
        </w:rPr>
        <w:t xml:space="preserve">2.项目名称：江苏省计量院2026年社会公用计量标准设备更新项目</w:t>
      </w:r>
      <w:r>
        <w:rPr>
          <w:rFonts w:hint="eastAsia" w:ascii="宋体" w:hAnsi="宋体" w:eastAsia="宋体" w:cs="宋体"/>
          <w:szCs w:val="21"/>
        </w:rPr>
      </w:r>
      <w:r/>
    </w:p>
    <w:p>
      <w:pPr>
        <w:pStyle w:val="1559"/>
        <w:ind w:firstLine="420"/>
        <w:spacing w:line="360" w:lineRule="auto"/>
        <w:rPr>
          <w:rFonts w:hint="eastAsia" w:ascii="宋体" w:hAnsi="宋体" w:eastAsia="宋体" w:cs="宋体"/>
          <w:szCs w:val="21"/>
        </w:rPr>
      </w:pPr>
      <w:r>
        <w:rPr>
          <w:rFonts w:hint="eastAsia" w:ascii="宋体" w:hAnsi="宋体" w:eastAsia="宋体" w:cs="宋体"/>
          <w:szCs w:val="21"/>
        </w:rPr>
        <w:t xml:space="preserve">3.预算金额：人民币</w:t>
      </w:r>
      <w:r>
        <w:rPr>
          <w:rFonts w:hint="eastAsia" w:ascii="宋体" w:hAnsi="宋体" w:eastAsia="宋体" w:cs="宋体"/>
          <w:szCs w:val="21"/>
          <w:lang w:val="en-US" w:eastAsia="zh-CN"/>
        </w:rPr>
        <w:t xml:space="preserve">286.89</w:t>
      </w:r>
      <w:r>
        <w:rPr>
          <w:rFonts w:hint="eastAsia" w:ascii="宋体" w:hAnsi="宋体" w:eastAsia="宋体" w:cs="宋体"/>
          <w:szCs w:val="21"/>
        </w:rPr>
        <w:t xml:space="preserve">万元，其中分包</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人民币19.64万元</w:t>
      </w:r>
      <w:r>
        <w:rPr>
          <w:rFonts w:hint="eastAsia" w:ascii="宋体" w:hAnsi="宋体" w:eastAsia="宋体" w:cs="宋体"/>
          <w:szCs w:val="21"/>
          <w:lang w:eastAsia="zh-CN"/>
        </w:rPr>
        <w:t xml:space="preserve">，</w:t>
      </w:r>
      <w:r>
        <w:rPr>
          <w:rFonts w:hint="eastAsia" w:ascii="宋体" w:hAnsi="宋体" w:eastAsia="宋体" w:cs="宋体"/>
          <w:szCs w:val="21"/>
        </w:rPr>
        <w:t xml:space="preserve">分包</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人民币69.8万元</w:t>
      </w:r>
      <w:r>
        <w:rPr>
          <w:rFonts w:hint="eastAsia" w:ascii="宋体" w:hAnsi="宋体" w:eastAsia="宋体" w:cs="宋体"/>
          <w:szCs w:val="21"/>
          <w:lang w:eastAsia="zh-CN"/>
        </w:rPr>
        <w:t xml:space="preserve">，</w:t>
      </w:r>
      <w:r>
        <w:rPr>
          <w:rFonts w:hint="eastAsia" w:ascii="宋体" w:hAnsi="宋体" w:eastAsia="宋体" w:cs="宋体"/>
          <w:szCs w:val="21"/>
        </w:rPr>
        <w:t xml:space="preserve">分包</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人民币48.4万元</w:t>
      </w:r>
      <w:r>
        <w:rPr>
          <w:rFonts w:hint="eastAsia" w:ascii="宋体" w:hAnsi="宋体" w:eastAsia="宋体" w:cs="宋体"/>
          <w:szCs w:val="21"/>
          <w:lang w:eastAsia="zh-CN"/>
        </w:rPr>
        <w:t xml:space="preserve">，</w:t>
      </w:r>
      <w:r>
        <w:rPr>
          <w:rFonts w:hint="eastAsia" w:ascii="宋体" w:hAnsi="宋体" w:eastAsia="宋体" w:cs="宋体"/>
          <w:szCs w:val="21"/>
        </w:rPr>
        <w:t xml:space="preserve">分包</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人民币58.05万元</w:t>
      </w:r>
      <w:r>
        <w:rPr>
          <w:rFonts w:hint="eastAsia" w:ascii="宋体" w:hAnsi="宋体" w:eastAsia="宋体" w:cs="宋体"/>
          <w:szCs w:val="21"/>
          <w:lang w:eastAsia="zh-CN"/>
        </w:rPr>
        <w:t xml:space="preserve">，</w:t>
      </w:r>
      <w:r>
        <w:rPr>
          <w:rFonts w:hint="eastAsia" w:ascii="宋体" w:hAnsi="宋体" w:eastAsia="宋体" w:cs="宋体"/>
          <w:szCs w:val="21"/>
        </w:rPr>
        <w:t xml:space="preserve">分包</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人民币31万元</w:t>
      </w:r>
      <w:r>
        <w:rPr>
          <w:rFonts w:hint="eastAsia" w:ascii="宋体" w:hAnsi="宋体" w:eastAsia="宋体" w:cs="宋体"/>
          <w:szCs w:val="21"/>
          <w:lang w:eastAsia="zh-CN"/>
        </w:rPr>
        <w:t xml:space="preserve">，</w:t>
      </w:r>
      <w:r>
        <w:rPr>
          <w:rFonts w:hint="eastAsia" w:ascii="宋体" w:hAnsi="宋体" w:eastAsia="宋体" w:cs="宋体"/>
          <w:szCs w:val="21"/>
        </w:rPr>
        <w:t xml:space="preserve">分包</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人民币60万元</w:t>
      </w:r>
      <w:r>
        <w:rPr>
          <w:rFonts w:hint="eastAsia" w:ascii="宋体" w:hAnsi="宋体" w:eastAsia="宋体" w:cs="宋体"/>
          <w:szCs w:val="21"/>
        </w:rPr>
      </w:r>
      <w:r/>
    </w:p>
    <w:p>
      <w:pPr>
        <w:pStyle w:val="1559"/>
        <w:ind w:firstLine="420"/>
        <w:spacing w:line="360" w:lineRule="auto"/>
        <w:rPr>
          <w:rFonts w:hint="eastAsia" w:ascii="宋体" w:hAnsi="宋体" w:eastAsia="宋体" w:cs="宋体"/>
          <w:szCs w:val="21"/>
        </w:rPr>
      </w:pPr>
      <w:r>
        <w:rPr>
          <w:rFonts w:hint="eastAsia" w:ascii="宋体" w:hAnsi="宋体" w:eastAsia="宋体" w:cs="宋体"/>
          <w:szCs w:val="21"/>
        </w:rPr>
        <w:t xml:space="preserve">4.最高限价：</w:t>
      </w:r>
      <w:r>
        <w:rPr>
          <w:rFonts w:hint="eastAsia" w:ascii="宋体" w:hAnsi="宋体" w:eastAsia="宋体" w:cs="宋体"/>
          <w:szCs w:val="21"/>
          <w:lang w:eastAsia="zh-CN"/>
        </w:rPr>
        <w:t xml:space="preserve">人民币286.89万元</w:t>
      </w:r>
      <w:r>
        <w:rPr>
          <w:rFonts w:hint="eastAsia" w:ascii="宋体" w:hAnsi="宋体" w:eastAsia="宋体" w:cs="宋体"/>
          <w:szCs w:val="21"/>
        </w:rPr>
        <w:t xml:space="preserve">，具体产品最高限价详见采购需求</w:t>
      </w:r>
      <w:r>
        <w:rPr>
          <w:rFonts w:hint="eastAsia" w:ascii="宋体" w:hAnsi="宋体" w:eastAsia="宋体" w:cs="宋体"/>
          <w:szCs w:val="21"/>
        </w:rPr>
      </w:r>
      <w:r/>
    </w:p>
    <w:p>
      <w:pPr>
        <w:pStyle w:val="1559"/>
        <w:ind w:firstLine="420"/>
        <w:spacing w:line="360" w:lineRule="auto"/>
        <w:rPr>
          <w:rFonts w:hint="eastAsia" w:ascii="宋体" w:hAnsi="宋体" w:eastAsia="宋体" w:cs="宋体"/>
          <w:szCs w:val="21"/>
        </w:rPr>
      </w:pPr>
      <w:r>
        <w:rPr>
          <w:rFonts w:hint="eastAsia" w:ascii="宋体" w:hAnsi="宋体" w:eastAsia="宋体" w:cs="宋体"/>
          <w:szCs w:val="21"/>
        </w:rPr>
        <w:t xml:space="preserve">5.采购需求：</w:t>
      </w:r>
      <w:r>
        <w:rPr>
          <w:rFonts w:hint="eastAsia" w:ascii="宋体" w:hAnsi="宋体" w:eastAsia="宋体" w:cs="宋体"/>
          <w:szCs w:val="21"/>
        </w:rPr>
      </w:r>
      <w:r/>
    </w:p>
    <w:tbl>
      <w:tblPr>
        <w:tblW w:w="4995"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50"/>
        <w:gridCol w:w="675"/>
        <w:gridCol w:w="2929"/>
        <w:gridCol w:w="994"/>
        <w:gridCol w:w="1138"/>
        <w:gridCol w:w="2178"/>
        <w:gridCol w:w="1081"/>
      </w:tblGrid>
      <w:tr>
        <w:trPr>
          <w:trHeight w:val="7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rPr>
              <w:t xml:space="preserve">分包号</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rPr>
              <w:t xml:space="preserve">品目号</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rPr>
            </w:pPr>
            <w:r>
              <w:rPr>
                <w:rFonts w:hint="eastAsia" w:ascii="宋体" w:hAnsi="宋体" w:eastAsia="宋体" w:cs="宋体"/>
              </w:rPr>
              <w:t xml:space="preserve">品目名称</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rPr>
            </w:pPr>
            <w:r>
              <w:rPr>
                <w:rFonts w:hint="eastAsia" w:ascii="宋体" w:hAnsi="宋体" w:eastAsia="宋体" w:cs="宋体"/>
              </w:rPr>
              <w:t xml:space="preserve">数量</w:t>
            </w:r>
            <w:r>
              <w:rPr>
                <w:rFonts w:hint="eastAsia" w:ascii="宋体" w:hAnsi="宋体" w:eastAsia="宋体" w:cs="宋体"/>
              </w:rPr>
            </w:r>
            <w:r/>
          </w:p>
          <w:p>
            <w:pPr>
              <w:pStyle w:val="1559"/>
              <w:jc w:val="center"/>
              <w:spacing w:line="360" w:lineRule="auto"/>
              <w:rPr>
                <w:rFonts w:hint="eastAsia" w:ascii="宋体" w:hAnsi="宋体" w:eastAsia="宋体" w:cs="宋体"/>
              </w:rPr>
            </w:pPr>
            <w:r>
              <w:rPr>
                <w:rFonts w:hint="eastAsia" w:ascii="宋体" w:hAnsi="宋体" w:eastAsia="宋体" w:cs="宋体"/>
              </w:rPr>
              <w:t xml:space="preserve">（套/台）</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rPr>
            </w:pPr>
            <w:r>
              <w:rPr>
                <w:rFonts w:hint="eastAsia" w:ascii="宋体" w:hAnsi="宋体" w:eastAsia="宋体" w:cs="宋体"/>
              </w:rPr>
              <w:t xml:space="preserve">最高限价（万元）</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1559"/>
              <w:jc w:val="center"/>
              <w:spacing w:line="360" w:lineRule="auto"/>
              <w:rPr>
                <w:rFonts w:hint="eastAsia" w:ascii="宋体" w:hAnsi="宋体" w:eastAsia="宋体" w:cs="宋体"/>
              </w:rPr>
            </w:pPr>
            <w:r>
              <w:rPr>
                <w:rFonts w:hint="eastAsia" w:ascii="宋体" w:hAnsi="宋体" w:eastAsia="宋体" w:cs="宋体"/>
              </w:rPr>
              <w:t xml:space="preserve">合同履行期限</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pStyle w:val="1559"/>
              <w:jc w:val="center"/>
              <w:spacing w:line="360" w:lineRule="auto"/>
              <w:rPr>
                <w:rFonts w:hint="eastAsia" w:ascii="宋体" w:hAnsi="宋体" w:eastAsia="宋体" w:cs="宋体"/>
              </w:rPr>
            </w:pPr>
            <w:r>
              <w:rPr>
                <w:rFonts w:hint="eastAsia" w:ascii="宋体" w:hAnsi="宋体" w:eastAsia="宋体" w:cs="宋体"/>
              </w:rPr>
              <w:t xml:space="preserve">是否接受进口产品</w:t>
            </w:r>
            <w:r>
              <w:rPr>
                <w:rFonts w:hint="eastAsia" w:ascii="宋体" w:hAnsi="宋体" w:eastAsia="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559"/>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1</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钟罩式气体流量标准装置</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1套</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19.6</w:t>
            </w:r>
            <w:r>
              <w:rPr>
                <w:rFonts w:ascii="宋体" w:hAnsi="宋体" w:eastAsia="宋体" w:cs="宋体"/>
                <w:szCs w:val="21"/>
              </w:rPr>
              <w:t xml:space="preserve">4</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合同签订后</w:t>
            </w:r>
            <w:r>
              <w:rPr>
                <w:rFonts w:ascii="宋体" w:hAnsi="宋体" w:eastAsia="宋体" w:cs="宋体"/>
                <w:szCs w:val="21"/>
              </w:rPr>
              <w:t xml:space="preserve">7</w:t>
            </w:r>
            <w:r>
              <w:rPr>
                <w:rFonts w:hint="eastAsia" w:ascii="宋体" w:hAnsi="宋体" w:eastAsia="宋体" w:cs="宋体"/>
                <w:szCs w:val="21"/>
              </w:rPr>
              <w:t xml:space="preserve">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否</w:t>
            </w:r>
            <w:r>
              <w:rPr>
                <w:rFonts w:hint="eastAsia" w:ascii="宋体" w:hAnsi="宋体" w:eastAsia="宋体" w:cs="宋体"/>
                <w:szCs w:val="21"/>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559"/>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2</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1</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电压比例标准</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1台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5.00</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合同签订后</w:t>
            </w:r>
            <w:r>
              <w:rPr>
                <w:rFonts w:ascii="宋体" w:hAnsi="宋体" w:eastAsia="宋体" w:cs="宋体"/>
              </w:rPr>
              <w:t xml:space="preserve">6</w:t>
            </w:r>
            <w:r>
              <w:rPr>
                <w:rFonts w:hint="eastAsia" w:ascii="宋体" w:hAnsi="宋体" w:eastAsia="宋体" w:cs="宋体"/>
              </w:rPr>
              <w:t xml:space="preserve">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否</w:t>
            </w:r>
            <w:r>
              <w:rPr>
                <w:rFonts w:hint="eastAsia" w:ascii="宋体" w:hAnsi="宋体" w:eastAsia="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2</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数字式高阻检定仪</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1台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4.80</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合同签订后</w:t>
            </w:r>
            <w:r>
              <w:rPr>
                <w:rFonts w:ascii="宋体" w:hAnsi="宋体" w:eastAsia="宋体" w:cs="宋体"/>
              </w:rPr>
              <w:t xml:space="preserve">6</w:t>
            </w:r>
            <w:r>
              <w:rPr>
                <w:rFonts w:hint="eastAsia" w:ascii="宋体" w:hAnsi="宋体" w:eastAsia="宋体" w:cs="宋体"/>
              </w:rPr>
              <w:t xml:space="preserve">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szCs w:val="21"/>
                <w:highlight w:val="yellow"/>
              </w:rPr>
            </w:pPr>
            <w:r>
              <w:rPr>
                <w:rFonts w:hint="eastAsia" w:ascii="宋体" w:hAnsi="宋体" w:eastAsia="宋体" w:cs="宋体"/>
              </w:rPr>
              <w:t xml:space="preserve">否</w:t>
            </w:r>
            <w:r>
              <w:rPr>
                <w:rFonts w:hint="eastAsia" w:ascii="宋体" w:hAnsi="宋体" w:eastAsia="宋体" w:cs="宋体"/>
                <w:szCs w:val="21"/>
                <w:highlight w:val="yellow"/>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3</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ascii="宋体" w:hAnsi="宋体" w:eastAsia="宋体" w:cs="宋体"/>
              </w:rPr>
            </w:pPr>
            <w:r>
              <w:rPr>
                <w:rFonts w:hint="eastAsia" w:ascii="宋体" w:hAnsi="宋体" w:eastAsia="宋体" w:cs="宋体"/>
              </w:rPr>
              <w:t xml:space="preserve">0.02级三相电能表检定装置</w:t>
            </w:r>
            <w:r>
              <w:rPr>
                <w:rFonts w:ascii="宋体" w:hAnsi="宋体" w:eastAsia="宋体" w:cs="宋体"/>
              </w:rPr>
            </w:r>
            <w:r/>
          </w:p>
          <w:p>
            <w:pPr>
              <w:pStyle w:val="1559"/>
              <w:jc w:val="center"/>
              <w:spacing w:line="360" w:lineRule="auto"/>
              <w:rPr>
                <w:rFonts w:hint="eastAsia" w:ascii="宋体" w:hAnsi="宋体" w:eastAsia="宋体" w:cs="宋体"/>
                <w:szCs w:val="21"/>
              </w:rPr>
            </w:pPr>
            <w:r>
              <w:rPr>
                <w:rFonts w:hint="eastAsia" w:ascii="宋体" w:hAnsi="宋体" w:eastAsia="宋体" w:cs="宋体"/>
                <w:b/>
                <w:bCs/>
                <w:color w:val="ff0000"/>
              </w:rPr>
              <w:t xml:space="preserve">（核心产品）</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1套</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60.00</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合同签订后6个月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szCs w:val="21"/>
                <w:highlight w:val="yellow"/>
              </w:rPr>
            </w:pPr>
            <w:r>
              <w:rPr>
                <w:rFonts w:hint="eastAsia" w:ascii="宋体" w:hAnsi="宋体" w:eastAsia="宋体" w:cs="宋体"/>
              </w:rPr>
              <w:t xml:space="preserve">否</w:t>
            </w:r>
            <w:r>
              <w:rPr>
                <w:rFonts w:hint="eastAsia" w:ascii="宋体" w:hAnsi="宋体" w:eastAsia="宋体" w:cs="宋体"/>
                <w:szCs w:val="21"/>
                <w:highlight w:val="yellow"/>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559"/>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3</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szCs w:val="21"/>
              </w:rPr>
              <w:t xml:space="preserve">1</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b/>
                <w:bCs/>
                <w:color w:val="ff0000"/>
              </w:rPr>
            </w:pPr>
            <w:r>
              <w:rPr>
                <w:rFonts w:hint="eastAsia" w:ascii="宋体" w:hAnsi="宋体" w:eastAsia="宋体" w:cs="宋体"/>
                <w:szCs w:val="21"/>
              </w:rPr>
              <w:t xml:space="preserve">数字多用表</w:t>
            </w:r>
            <w:r>
              <w:rPr>
                <w:rFonts w:hint="eastAsia" w:ascii="宋体" w:hAnsi="宋体" w:eastAsia="宋体" w:cs="宋体"/>
                <w:b/>
                <w:bCs/>
                <w:color w:val="ff0000"/>
                <w:szCs w:val="21"/>
              </w:rPr>
              <w:t xml:space="preserve">（核心产品）</w:t>
            </w:r>
            <w:r>
              <w:rPr>
                <w:rFonts w:hint="eastAsia" w:ascii="宋体" w:hAnsi="宋体" w:eastAsia="宋体" w:cs="宋体"/>
                <w:b/>
                <w:bCs/>
                <w:color w:val="ff0000"/>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rPr>
            </w:pPr>
            <w:r>
              <w:rPr>
                <w:rFonts w:hint="eastAsia" w:ascii="宋体" w:hAnsi="宋体" w:eastAsia="宋体" w:cs="宋体"/>
                <w:szCs w:val="21"/>
              </w:rPr>
              <w:t xml:space="preserve">1</w:t>
            </w:r>
            <w:r>
              <w:rPr>
                <w:rFonts w:hint="eastAsia" w:ascii="宋体" w:hAnsi="宋体" w:eastAsia="宋体" w:cs="宋体"/>
              </w:rPr>
              <w:t xml:space="preserve">台</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rPr>
            </w:pPr>
            <w:r>
              <w:rPr>
                <w:rFonts w:hint="eastAsia" w:ascii="宋体" w:hAnsi="宋体" w:eastAsia="宋体" w:cs="宋体"/>
                <w:szCs w:val="21"/>
              </w:rPr>
              <w:t xml:space="preserve">30.00</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szCs w:val="21"/>
              </w:rPr>
              <w:t xml:space="preserve">合同签订后9个月</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szCs w:val="21"/>
              </w:rPr>
              <w:t xml:space="preserve">否</w:t>
            </w:r>
            <w:r>
              <w:rPr>
                <w:rFonts w:hint="eastAsia" w:ascii="宋体" w:hAnsi="宋体" w:eastAsia="宋体" w:cs="宋体"/>
              </w:rPr>
            </w:r>
            <w:r/>
          </w:p>
        </w:tc>
      </w:tr>
      <w:tr>
        <w:trPr>
          <w:trHeight w:val="90"/>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szCs w:val="21"/>
              </w:rPr>
              <w:t xml:space="preserve">2</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b/>
                <w:bCs/>
                <w:color w:val="ff0000"/>
              </w:rPr>
            </w:pPr>
            <w:r>
              <w:rPr>
                <w:rFonts w:hint="eastAsia" w:ascii="宋体" w:hAnsi="宋体" w:eastAsia="宋体" w:cs="宋体"/>
                <w:szCs w:val="21"/>
              </w:rPr>
              <w:t xml:space="preserve">数字式高阻检定仪</w:t>
            </w:r>
            <w:r>
              <w:rPr>
                <w:rFonts w:hint="eastAsia" w:ascii="宋体" w:hAnsi="宋体" w:eastAsia="宋体" w:cs="宋体"/>
                <w:b/>
                <w:bCs/>
                <w:color w:val="ff0000"/>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rPr>
            </w:pPr>
            <w:r>
              <w:rPr>
                <w:rFonts w:hint="eastAsia" w:ascii="宋体" w:hAnsi="宋体" w:eastAsia="宋体" w:cs="宋体"/>
                <w:szCs w:val="21"/>
              </w:rPr>
              <w:t xml:space="preserve">1</w:t>
            </w:r>
            <w:r>
              <w:rPr>
                <w:rFonts w:hint="eastAsia" w:ascii="宋体" w:hAnsi="宋体" w:eastAsia="宋体" w:cs="宋体"/>
              </w:rPr>
              <w:t xml:space="preserve">台</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rPr>
            </w:pPr>
            <w:r>
              <w:rPr>
                <w:rFonts w:hint="eastAsia" w:ascii="宋体" w:hAnsi="宋体" w:eastAsia="宋体" w:cs="宋体"/>
                <w:szCs w:val="21"/>
              </w:rPr>
              <w:t xml:space="preserve">18.40</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szCs w:val="21"/>
              </w:rPr>
              <w:t xml:space="preserve">合同签订后</w:t>
            </w:r>
            <w:r>
              <w:rPr>
                <w:rFonts w:ascii="宋体" w:hAnsi="宋体" w:eastAsia="宋体" w:cs="宋体"/>
                <w:szCs w:val="21"/>
              </w:rPr>
              <w:t xml:space="preserve">9</w:t>
            </w:r>
            <w:r>
              <w:rPr>
                <w:rFonts w:hint="eastAsia" w:ascii="宋体" w:hAnsi="宋体" w:eastAsia="宋体" w:cs="宋体"/>
                <w:szCs w:val="21"/>
              </w:rPr>
              <w:t xml:space="preserve">个月</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szCs w:val="21"/>
              </w:rPr>
              <w:t xml:space="preserve">否</w:t>
            </w:r>
            <w:r>
              <w:rPr>
                <w:rFonts w:hint="eastAsia" w:ascii="宋体" w:hAnsi="宋体" w:eastAsia="宋体" w:cs="宋体"/>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559"/>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4</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声校准器</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rPr>
              <w:t xml:space="preserve">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szCs w:val="21"/>
              </w:rPr>
            </w:pPr>
            <w:r>
              <w:rPr>
                <w:rFonts w:ascii="宋体" w:hAnsi="宋体" w:eastAsia="宋体" w:cs="宋体"/>
                <w:szCs w:val="21"/>
              </w:rPr>
              <w:t xml:space="preserve">7.80</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合同签订后</w:t>
            </w:r>
            <w:r>
              <w:rPr>
                <w:rFonts w:ascii="宋体" w:hAnsi="宋体" w:eastAsia="宋体" w:cs="宋体"/>
                <w:szCs w:val="21"/>
              </w:rPr>
              <w:t xml:space="preserve">6</w:t>
            </w:r>
            <w:r>
              <w:rPr>
                <w:rFonts w:hint="eastAsia" w:ascii="宋体" w:hAnsi="宋体" w:eastAsia="宋体" w:cs="宋体"/>
                <w:szCs w:val="21"/>
              </w:rPr>
              <w:t xml:space="preserve">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否</w:t>
            </w:r>
            <w:r>
              <w:rPr>
                <w:rFonts w:hint="eastAsia" w:ascii="宋体" w:hAnsi="宋体" w:eastAsia="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声校准器</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rPr>
              <w:t xml:space="preserve">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4.0</w:t>
            </w:r>
            <w:r>
              <w:rPr>
                <w:rFonts w:ascii="宋体" w:hAnsi="宋体" w:eastAsia="宋体" w:cs="宋体"/>
                <w:szCs w:val="21"/>
              </w:rPr>
              <w:t xml:space="preserve">0</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合同签订后</w:t>
            </w:r>
            <w:r>
              <w:rPr>
                <w:rFonts w:ascii="宋体" w:hAnsi="宋体" w:eastAsia="宋体" w:cs="宋体"/>
                <w:szCs w:val="21"/>
              </w:rPr>
              <w:t xml:space="preserve">6</w:t>
            </w:r>
            <w:r>
              <w:rPr>
                <w:rFonts w:hint="eastAsia" w:ascii="宋体" w:hAnsi="宋体" w:eastAsia="宋体" w:cs="宋体"/>
                <w:szCs w:val="21"/>
              </w:rPr>
              <w:t xml:space="preserve">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否</w:t>
            </w:r>
            <w:r>
              <w:rPr>
                <w:rFonts w:hint="eastAsia" w:ascii="宋体" w:hAnsi="宋体" w:eastAsia="宋体" w:cs="宋体"/>
                <w:szCs w:val="21"/>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多通道声分析仪</w:t>
            </w:r>
            <w:r>
              <w:rPr>
                <w:rFonts w:hint="eastAsia" w:ascii="宋体" w:hAnsi="宋体" w:eastAsia="宋体" w:cs="宋体"/>
                <w:b/>
                <w:bCs/>
                <w:color w:val="ff0000"/>
                <w:szCs w:val="21"/>
              </w:rPr>
              <w:t xml:space="preserve">（核心产品）</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rPr>
              <w:t xml:space="preserve">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46.25</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合同签订后</w:t>
            </w:r>
            <w:r>
              <w:rPr>
                <w:rFonts w:ascii="宋体" w:hAnsi="宋体" w:eastAsia="宋体" w:cs="宋体"/>
                <w:szCs w:val="21"/>
              </w:rPr>
              <w:t xml:space="preserve">6</w:t>
            </w:r>
            <w:r>
              <w:rPr>
                <w:rFonts w:hint="eastAsia" w:ascii="宋体" w:hAnsi="宋体" w:eastAsia="宋体" w:cs="宋体"/>
                <w:szCs w:val="21"/>
              </w:rPr>
              <w:t xml:space="preserve">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否</w:t>
            </w:r>
            <w:r>
              <w:rPr>
                <w:rFonts w:hint="eastAsia" w:ascii="宋体" w:hAnsi="宋体" w:eastAsia="宋体" w:cs="宋体"/>
                <w:szCs w:val="21"/>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559"/>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5</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铷原子频率标准</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rPr>
              <w:t xml:space="preserve">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10.00</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合同签订后</w:t>
            </w:r>
            <w:r>
              <w:rPr>
                <w:rFonts w:ascii="宋体" w:hAnsi="宋体" w:eastAsia="宋体" w:cs="宋体"/>
                <w:szCs w:val="21"/>
              </w:rPr>
              <w:t xml:space="preserve">6</w:t>
            </w:r>
            <w:r>
              <w:rPr>
                <w:rFonts w:hint="eastAsia" w:ascii="宋体" w:hAnsi="宋体" w:eastAsia="宋体" w:cs="宋体"/>
                <w:szCs w:val="21"/>
              </w:rPr>
              <w:t xml:space="preserve">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否</w:t>
            </w:r>
            <w:r>
              <w:rPr>
                <w:rFonts w:hint="eastAsia" w:ascii="宋体" w:hAnsi="宋体" w:eastAsia="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频标比对器</w:t>
            </w:r>
            <w:r>
              <w:rPr>
                <w:rFonts w:hint="eastAsia" w:ascii="宋体" w:hAnsi="宋体" w:eastAsia="宋体" w:cs="宋体"/>
                <w:b/>
                <w:bCs/>
                <w:color w:val="ff0000"/>
                <w:szCs w:val="21"/>
              </w:rPr>
              <w:t xml:space="preserve">（核心产品）</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rPr>
              <w:t xml:space="preserve">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16.00</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合同签订后</w:t>
            </w:r>
            <w:r>
              <w:rPr>
                <w:rFonts w:ascii="宋体" w:hAnsi="宋体" w:eastAsia="宋体" w:cs="宋体"/>
                <w:szCs w:val="21"/>
              </w:rPr>
              <w:t xml:space="preserve">6</w:t>
            </w:r>
            <w:r>
              <w:rPr>
                <w:rFonts w:hint="eastAsia" w:ascii="宋体" w:hAnsi="宋体" w:eastAsia="宋体" w:cs="宋体"/>
                <w:szCs w:val="21"/>
              </w:rPr>
              <w:t xml:space="preserve">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szCs w:val="21"/>
                <w:highlight w:val="yellow"/>
              </w:rPr>
            </w:pPr>
            <w:r>
              <w:rPr>
                <w:rFonts w:hint="eastAsia" w:ascii="宋体" w:hAnsi="宋体" w:eastAsia="宋体" w:cs="宋体"/>
                <w:szCs w:val="21"/>
              </w:rPr>
              <w:t xml:space="preserve">否</w:t>
            </w:r>
            <w:r>
              <w:rPr>
                <w:rFonts w:hint="eastAsia" w:ascii="宋体" w:hAnsi="宋体" w:eastAsia="宋体" w:cs="宋体"/>
                <w:szCs w:val="21"/>
                <w:highlight w:val="yellow"/>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559"/>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通用计数器</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rPr>
              <w:t xml:space="preserve">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5.00</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合同签订后</w:t>
            </w:r>
            <w:r>
              <w:rPr>
                <w:rFonts w:ascii="宋体" w:hAnsi="宋体" w:eastAsia="宋体" w:cs="宋体"/>
                <w:szCs w:val="21"/>
              </w:rPr>
              <w:t xml:space="preserve">6</w:t>
            </w:r>
            <w:r>
              <w:rPr>
                <w:rFonts w:hint="eastAsia" w:ascii="宋体" w:hAnsi="宋体" w:eastAsia="宋体" w:cs="宋体"/>
                <w:szCs w:val="21"/>
              </w:rPr>
              <w:t xml:space="preserve">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szCs w:val="21"/>
                <w:highlight w:val="yellow"/>
              </w:rPr>
            </w:pPr>
            <w:r>
              <w:rPr>
                <w:rFonts w:hint="eastAsia" w:ascii="宋体" w:hAnsi="宋体" w:eastAsia="宋体" w:cs="宋体"/>
                <w:szCs w:val="21"/>
              </w:rPr>
              <w:t xml:space="preserve">否</w:t>
            </w:r>
            <w:r>
              <w:rPr>
                <w:rFonts w:hint="eastAsia" w:ascii="宋体" w:hAnsi="宋体" w:eastAsia="宋体" w:cs="宋体"/>
                <w:szCs w:val="21"/>
                <w:highlight w:val="yellow"/>
              </w:rPr>
            </w:r>
            <w:r/>
          </w:p>
        </w:tc>
      </w:tr>
      <w:tr>
        <w:trPr>
          <w:trHeight w:val="429"/>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559"/>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6</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1</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szCs w:val="21"/>
              </w:rPr>
              <w:t xml:space="preserve">0.01级三相标准功率电能表</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1台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60.00</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合同签订后6个月</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pStyle w:val="1559"/>
              <w:jc w:val="center"/>
              <w:spacing w:line="360" w:lineRule="auto"/>
              <w:rPr>
                <w:rFonts w:hint="eastAsia" w:ascii="宋体" w:hAnsi="宋体" w:eastAsia="宋体" w:cs="宋体"/>
                <w:szCs w:val="21"/>
              </w:rPr>
            </w:pPr>
            <w:r>
              <w:rPr>
                <w:rFonts w:hint="eastAsia" w:ascii="宋体" w:hAnsi="宋体" w:eastAsia="宋体" w:cs="宋体"/>
              </w:rPr>
              <w:t xml:space="preserve">否</w:t>
            </w:r>
            <w:r>
              <w:rPr>
                <w:rFonts w:hint="eastAsia" w:ascii="宋体" w:hAnsi="宋体" w:eastAsia="宋体" w:cs="宋体"/>
                <w:szCs w:val="21"/>
              </w:rPr>
            </w:r>
            <w:r/>
          </w:p>
        </w:tc>
      </w:tr>
    </w:tbl>
    <w:p>
      <w:pPr>
        <w:pStyle w:val="1559"/>
        <w:ind w:firstLine="420"/>
        <w:spacing w:line="360" w:lineRule="auto"/>
        <w:rPr>
          <w:rFonts w:hint="eastAsia" w:ascii="宋体" w:hAnsi="宋体" w:eastAsia="宋体" w:cs="宋体"/>
          <w:szCs w:val="21"/>
        </w:rPr>
      </w:pPr>
      <w:r>
        <w:rPr>
          <w:rFonts w:hint="eastAsia" w:ascii="宋体" w:hAnsi="宋体" w:eastAsia="宋体" w:cs="宋体"/>
          <w:szCs w:val="21"/>
        </w:rPr>
        <w:t xml:space="preserve">6.合同履行期限（交货期）：见采购需求</w:t>
      </w:r>
      <w:r>
        <w:rPr>
          <w:rFonts w:hint="eastAsia" w:ascii="宋体" w:hAnsi="宋体" w:eastAsia="宋体" w:cs="宋体"/>
          <w:szCs w:val="21"/>
        </w:rPr>
      </w:r>
      <w:r/>
    </w:p>
    <w:p>
      <w:pPr>
        <w:pStyle w:val="1559"/>
        <w:ind w:firstLine="420"/>
        <w:spacing w:line="360" w:lineRule="auto"/>
        <w:rPr>
          <w:rFonts w:hint="eastAsia" w:ascii="宋体" w:hAnsi="宋体" w:cs="宋体"/>
          <w:szCs w:val="21"/>
        </w:rPr>
      </w:pPr>
      <w:r>
        <w:rPr>
          <w:rFonts w:hint="eastAsia" w:ascii="宋体" w:hAnsi="宋体" w:eastAsia="宋体" w:cs="宋体"/>
          <w:szCs w:val="21"/>
        </w:rPr>
        <w:t xml:space="preserve">7.本项目不接受联合体投标，中标后不允许转包、分包。</w:t>
      </w:r>
      <w:r>
        <w:rPr>
          <w:rFonts w:hint="eastAsia" w:ascii="宋体" w:hAnsi="宋体" w:cs="宋体"/>
          <w:szCs w:val="21"/>
        </w:rPr>
      </w:r>
      <w:r/>
    </w:p>
    <w:p>
      <w:pPr>
        <w:pStyle w:val="1559"/>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559"/>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559"/>
        <w:jc w:val="left"/>
        <w:spacing w:line="360" w:lineRule="auto"/>
        <w:tabs>
          <w:tab w:val="left" w:pos="2325" w:leader="none"/>
        </w:tabs>
        <w:rPr>
          <w:rFonts w:ascii="宋体" w:hAnsi="宋体" w:cs="宋体"/>
          <w:b/>
          <w:bCs/>
          <w:color w:val="ff0000"/>
          <w:szCs w:val="21"/>
        </w:rPr>
      </w:pPr>
      <w:r/>
      <w:bookmarkEnd w:id="235"/>
      <w:r/>
      <w:bookmarkStart w:id="237" w:name="_Toc16186"/>
      <w:r>
        <w:rPr>
          <w:rFonts w:hint="eastAsia" w:ascii="宋体" w:hAnsi="宋体" w:cs="宋体"/>
          <w:b/>
          <w:bCs/>
          <w:szCs w:val="21"/>
        </w:rPr>
        <w:t xml:space="preserve">二、</w:t>
      </w:r>
      <w:r>
        <w:rPr>
          <w:rFonts w:hint="eastAsia" w:ascii="宋体" w:hAnsi="宋体" w:cs="宋体"/>
          <w:b/>
          <w:bCs/>
          <w:color w:val="000000"/>
          <w:szCs w:val="21"/>
        </w:rPr>
        <w:t xml:space="preserve">技术要求</w:t>
      </w:r>
      <w:r>
        <w:rPr>
          <w:rFonts w:hint="eastAsia" w:ascii="宋体" w:hAnsi="宋体" w:cs="宋体"/>
          <w:b/>
          <w:bCs/>
          <w:color w:val="ff0000"/>
          <w:szCs w:val="21"/>
        </w:rPr>
        <w:t xml:space="preserve">（技术及商务响应评分项）</w:t>
      </w:r>
      <w:r>
        <w:rPr>
          <w:rFonts w:ascii="宋体" w:hAnsi="宋体" w:cs="宋体"/>
          <w:b/>
          <w:bCs/>
          <w:color w:val="ff0000"/>
          <w:szCs w:val="21"/>
        </w:rPr>
      </w:r>
      <w:r/>
    </w:p>
    <w:p>
      <w:pPr>
        <w:pStyle w:val="1559"/>
        <w:jc w:val="left"/>
        <w:spacing w:line="360" w:lineRule="auto"/>
        <w:tabs>
          <w:tab w:val="left" w:pos="2325" w:leader="none"/>
        </w:tabs>
        <w:rPr>
          <w:rFonts w:ascii="宋体" w:hAnsi="宋体" w:cs="宋体"/>
          <w:b/>
          <w:bCs/>
          <w:szCs w:val="21"/>
        </w:rPr>
      </w:pPr>
      <w:r>
        <w:rPr>
          <w:rFonts w:hint="eastAsia" w:ascii="宋体" w:hAnsi="宋体" w:cs="宋体"/>
          <w:b/>
          <w:bCs/>
          <w:szCs w:val="21"/>
        </w:rPr>
        <w:t xml:space="preserve">注：1.本部分所称卖方为供应商，买方为采购人</w:t>
      </w:r>
      <w:r>
        <w:rPr>
          <w:rFonts w:ascii="宋体" w:hAnsi="宋体" w:cs="宋体"/>
          <w:b/>
          <w:bCs/>
          <w:szCs w:val="21"/>
        </w:rPr>
      </w:r>
      <w:r/>
    </w:p>
    <w:p>
      <w:pPr>
        <w:pStyle w:val="1559"/>
        <w:jc w:val="left"/>
        <w:spacing w:line="360" w:lineRule="auto"/>
        <w:tabs>
          <w:tab w:val="left" w:pos="2325" w:leader="none"/>
        </w:tabs>
        <w:rPr>
          <w:rFonts w:ascii="宋体" w:hAnsi="宋体" w:cs="宋体"/>
          <w:b/>
          <w:bCs/>
          <w:szCs w:val="21"/>
        </w:rPr>
      </w:pPr>
      <w:r>
        <w:rPr>
          <w:rFonts w:hint="eastAsia" w:ascii="宋体" w:hAnsi="宋体" w:cs="宋体"/>
          <w:b/>
          <w:bCs/>
          <w:color w:val="000000"/>
          <w:szCs w:val="21"/>
        </w:rPr>
        <w:t xml:space="preserve">2.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r>
        <w:rPr>
          <w:rFonts w:ascii="宋体" w:hAnsi="宋体" w:cs="宋体"/>
          <w:b/>
          <w:bCs/>
          <w:szCs w:val="21"/>
        </w:rPr>
      </w:r>
      <w:r/>
    </w:p>
    <w:p>
      <w:pPr>
        <w:pStyle w:val="1559"/>
        <w:jc w:val="center"/>
        <w:spacing w:line="360" w:lineRule="auto"/>
        <w:tabs>
          <w:tab w:val="left" w:pos="4500" w:leader="none"/>
          <w:tab w:val="left" w:pos="4680" w:leader="none"/>
        </w:tabs>
        <w:rPr>
          <w:rFonts w:hint="eastAsia" w:ascii="宋体" w:hAnsi="宋体" w:eastAsia="宋体" w:cs="宋体"/>
          <w:b/>
          <w:szCs w:val="21"/>
          <w:lang w:eastAsia="zh-CN"/>
        </w:rPr>
        <w:outlineLvl w:val="1"/>
      </w:pPr>
      <w:r/>
      <w:bookmarkEnd w:id="237"/>
      <w:r/>
      <w:bookmarkStart w:id="238" w:name="_Toc16420"/>
      <w:r/>
      <w:bookmarkStart w:id="239" w:name="_Toc14652"/>
      <w:r>
        <w:rPr>
          <w:rFonts w:hint="eastAsia" w:ascii="宋体" w:hAnsi="宋体" w:cs="宋体"/>
          <w:b/>
          <w:szCs w:val="21"/>
        </w:rPr>
        <w:t xml:space="preserve">分包</w:t>
      </w:r>
      <w:bookmarkEnd w:id="238"/>
      <w:r/>
      <w:bookmarkEnd w:id="239"/>
      <w:r>
        <w:rPr>
          <w:rFonts w:hint="eastAsia" w:ascii="宋体" w:hAnsi="宋体" w:cs="宋体"/>
          <w:b/>
          <w:szCs w:val="21"/>
          <w:lang w:val="en-US" w:eastAsia="zh-CN"/>
        </w:rPr>
        <w:t xml:space="preserve">1</w:t>
      </w:r>
      <w:r>
        <w:rPr>
          <w:rFonts w:hint="eastAsia" w:ascii="宋体" w:hAnsi="宋体" w:eastAsia="宋体" w:cs="宋体"/>
          <w:b/>
          <w:szCs w:val="21"/>
          <w:lang w:eastAsia="zh-CN"/>
        </w:rPr>
      </w:r>
      <w:r/>
    </w:p>
    <w:p>
      <w:pPr>
        <w:pStyle w:val="1559"/>
        <w:jc w:val="center"/>
        <w:spacing w:line="360" w:lineRule="auto"/>
        <w:tabs>
          <w:tab w:val="left" w:pos="4500" w:leader="none"/>
          <w:tab w:val="left" w:pos="4680" w:leader="none"/>
        </w:tabs>
        <w:rPr>
          <w:rFonts w:ascii="宋体" w:hAnsi="宋体" w:cs="宋体"/>
          <w:b/>
          <w:bCs/>
          <w:szCs w:val="21"/>
        </w:rPr>
        <w:outlineLvl w:val="1"/>
      </w:pPr>
      <w:r/>
      <w:bookmarkStart w:id="240" w:name="_Toc5040"/>
      <w:r/>
      <w:bookmarkStart w:id="241" w:name="_Toc15452"/>
      <w:r>
        <w:rPr>
          <w:rFonts w:hint="eastAsia" w:ascii="宋体" w:hAnsi="宋体" w:cs="宋体"/>
          <w:b/>
          <w:szCs w:val="21"/>
        </w:rPr>
        <w:t xml:space="preserve">品目</w:t>
      </w:r>
      <w:r>
        <w:rPr>
          <w:rFonts w:hint="eastAsia" w:ascii="宋体" w:hAnsi="宋体" w:cs="宋体"/>
          <w:b/>
          <w:bCs/>
          <w:szCs w:val="21"/>
        </w:rPr>
        <w:t xml:space="preserve">1 钟罩式气体流量标准装置</w:t>
      </w:r>
      <w:bookmarkEnd w:id="240"/>
      <w:r/>
      <w:bookmarkEnd w:id="241"/>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6"/>
        <w:gridCol w:w="3023"/>
        <w:gridCol w:w="2215"/>
        <w:gridCol w:w="3266"/>
      </w:tblGrid>
      <w:tr>
        <w:trPr>
          <w:trHeight w:val="389"/>
        </w:trPr>
        <w:tc>
          <w:tcPr>
            <w:tcW w:w="683"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序号</w:t>
            </w:r>
            <w:r>
              <w:rPr>
                <w:rFonts w:ascii="宋体" w:hAnsi="宋体" w:cs="宋体"/>
              </w:rPr>
            </w:r>
            <w:r/>
          </w:p>
        </w:tc>
        <w:tc>
          <w:tcPr>
            <w:tcW w:w="1534"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设备名称</w:t>
            </w:r>
            <w:r>
              <w:rPr>
                <w:rFonts w:ascii="宋体" w:hAnsi="宋体" w:cs="宋体"/>
              </w:rPr>
            </w:r>
            <w:r/>
          </w:p>
        </w:tc>
        <w:tc>
          <w:tcPr>
            <w:tcW w:w="1124"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数 量</w:t>
            </w:r>
            <w:r>
              <w:rPr>
                <w:rFonts w:ascii="宋体" w:hAnsi="宋体" w:cs="宋体"/>
              </w:rPr>
            </w:r>
            <w:r/>
          </w:p>
        </w:tc>
        <w:tc>
          <w:tcPr>
            <w:tcW w:w="1657"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合同履行期限（交货期）</w:t>
            </w:r>
            <w:r>
              <w:rPr>
                <w:rFonts w:ascii="宋体" w:hAnsi="宋体" w:cs="宋体"/>
              </w:rPr>
            </w:r>
            <w:r/>
          </w:p>
        </w:tc>
      </w:tr>
      <w:tr>
        <w:trPr>
          <w:cantSplit/>
          <w:trHeight w:val="454"/>
        </w:trPr>
        <w:tc>
          <w:tcPr>
            <w:tcW w:w="683"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534"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钟罩式气体流量标准装置</w:t>
            </w:r>
            <w:r>
              <w:rPr>
                <w:rFonts w:ascii="宋体" w:hAnsi="宋体" w:cs="宋体"/>
              </w:rPr>
            </w:r>
            <w:r/>
          </w:p>
        </w:tc>
        <w:tc>
          <w:tcPr>
            <w:tcW w:w="1124" w:type="dxa"/>
            <w:vAlign w:val="center"/>
            <w:textDirection w:val="lrTb"/>
            <w:noWrap w:val="false"/>
          </w:tcPr>
          <w:p>
            <w:pPr>
              <w:pStyle w:val="1559"/>
              <w:jc w:val="center"/>
              <w:spacing w:line="360" w:lineRule="auto"/>
              <w:rPr>
                <w:rFonts w:hint="eastAsia" w:ascii="宋体" w:hAnsi="宋体" w:cs="宋体"/>
              </w:rPr>
            </w:pPr>
            <w:r>
              <w:rPr>
                <w:rFonts w:hint="eastAsia" w:ascii="宋体" w:hAnsi="宋体" w:cs="宋体"/>
              </w:rPr>
              <w:t xml:space="preserve">1套</w:t>
            </w:r>
            <w:r>
              <w:rPr>
                <w:rFonts w:hint="eastAsia" w:ascii="宋体" w:hAnsi="宋体" w:cs="宋体"/>
              </w:rPr>
            </w:r>
            <w:r/>
          </w:p>
        </w:tc>
        <w:tc>
          <w:tcPr>
            <w:tcW w:w="1657"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合同签订后</w:t>
            </w:r>
            <w:r>
              <w:rPr>
                <w:rFonts w:ascii="宋体" w:hAnsi="宋体" w:cs="宋体"/>
              </w:rPr>
              <w:t xml:space="preserve">7</w:t>
            </w:r>
            <w:r>
              <w:rPr>
                <w:rFonts w:hint="eastAsia" w:ascii="宋体" w:hAnsi="宋体" w:cs="宋体"/>
              </w:rPr>
              <w:t xml:space="preserve">个月</w:t>
            </w:r>
            <w:r>
              <w:rPr>
                <w:rFonts w:ascii="宋体" w:hAnsi="宋体" w:cs="宋体"/>
              </w:rPr>
            </w:r>
            <w:r/>
          </w:p>
        </w:tc>
      </w:tr>
    </w:tbl>
    <w:p>
      <w:pPr>
        <w:pStyle w:val="1559"/>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★1．钟罩式气体流量标准装置总体技术指标：容积：500 L；流量范围：(0.2～30) m</w:t>
      </w:r>
      <w:r>
        <w:rPr>
          <w:rFonts w:ascii="宋体" w:hAnsi="宋体" w:cs="宋体"/>
          <w:szCs w:val="21"/>
          <w:vertAlign w:val="superscript"/>
        </w:rPr>
        <w:t xml:space="preserve">3</w:t>
      </w:r>
      <w:r>
        <w:rPr>
          <w:rFonts w:hint="eastAsia" w:ascii="宋体" w:hAnsi="宋体" w:cs="宋体"/>
          <w:szCs w:val="21"/>
        </w:rPr>
        <w:t xml:space="preserve">/h；压力波动：≤20 Pa；扩展不确定度：</w:t>
      </w:r>
      <w:r>
        <w:rPr>
          <w:rFonts w:hint="eastAsia" w:ascii="宋体" w:hAnsi="宋体" w:cs="宋体"/>
          <w:i/>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≤0.2%(</w:t>
      </w:r>
      <w:r>
        <w:rPr>
          <w:rFonts w:hint="eastAsia" w:ascii="宋体" w:hAnsi="宋体" w:cs="宋体"/>
          <w:i/>
          <w:szCs w:val="21"/>
        </w:rPr>
        <w:t xml:space="preserve">k</w:t>
      </w:r>
      <w:r>
        <w:rPr>
          <w:rFonts w:hint="eastAsia" w:ascii="宋体" w:hAnsi="宋体" w:cs="宋体"/>
          <w:szCs w:val="21"/>
        </w:rPr>
        <w:t xml:space="preserve">=2)；准确度等级0.2级。</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2. 钟罩式气体流量标准装置高度≤4.2 m；工作压力：≥1 kPa；</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3.钟罩装置需配备液位补偿装置、压力调节装置、光栅尺、标尺。密封液：白油。</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4.钟罩罩体及液槽材质：不锈钢，</w:t>
      </w:r>
      <w:r>
        <w:rPr>
          <w:rFonts w:hint="eastAsia"/>
        </w:rPr>
        <w:t xml:space="preserve">钟罩铭牌或标识上应</w:t>
      </w:r>
      <w:r>
        <w:rPr>
          <w:rFonts w:hint="eastAsia" w:ascii="宋体" w:hAnsi="宋体" w:cs="宋体"/>
          <w:szCs w:val="21"/>
        </w:rPr>
        <w:t xml:space="preserve">明确标识不锈钢材料牌号或提供其他不锈钢牌号证明。</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5.罩体圆度需满足JJG 165-2024《钟罩式气体流量标准装置检定规程》附录C中的要求。</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6.钟罩装置需配备计时器，计时器分辨力优于0.01 s。</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7.水平台位：测量口径DN6～DN50的水平台及管路1套，包含配套阀门组满足气体流量计的快速连接检测，配备信号采集装置。</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8.垂直台位：测量口径DN15～DN50的垂直台及管路1套，包含配套阀门组满足气体流量计的快速连接检测。</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9.漩涡气泵：功率250 W，电压AC220 V，频率50 Hz。</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10.配置用于测量钟罩压力及被检表前压力的压力传感器2只，量程：(80～110) kPa</w:t>
      </w:r>
      <w:r>
        <w:rPr>
          <w:rFonts w:hint="eastAsia" w:ascii="宋体" w:hAnsi="宋体" w:cs="宋体"/>
          <w:szCs w:val="21"/>
          <w:lang w:eastAsia="zh-CN"/>
        </w:rPr>
        <w:t xml:space="preserve">，</w:t>
      </w:r>
      <w:r>
        <w:rPr>
          <w:rFonts w:hint="eastAsia" w:ascii="宋体" w:hAnsi="宋体" w:cs="宋体"/>
          <w:szCs w:val="21"/>
        </w:rPr>
        <w:t xml:space="preserve">准确度等级：0.075级（MPE：≤±0.075%）。</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11.配置用于测量温度的温度传感器4只，量程：（0～50） ℃，分度值：≤0.1 ℃，扩展不确定度：</w:t>
      </w:r>
      <w:r>
        <w:rPr>
          <w:rFonts w:hint="eastAsia" w:ascii="宋体" w:hAnsi="宋体" w:cs="宋体"/>
          <w:i/>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≤0.1 ℃(</w:t>
      </w:r>
      <w:r>
        <w:rPr>
          <w:rFonts w:hint="eastAsia" w:ascii="宋体" w:hAnsi="宋体" w:cs="宋体"/>
          <w:i/>
          <w:szCs w:val="21"/>
        </w:rPr>
        <w:t xml:space="preserve">k</w:t>
      </w:r>
      <w:r>
        <w:rPr>
          <w:rFonts w:hint="eastAsia" w:ascii="宋体" w:hAnsi="宋体" w:cs="宋体"/>
          <w:szCs w:val="21"/>
        </w:rPr>
        <w:t xml:space="preserve">=2)。</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12．配备用于直径测量的π尺1套，满足以下技术指标：</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100 mm≤ D</w:t>
      </w:r>
      <w:r>
        <w:rPr>
          <w:szCs w:val="21"/>
        </w:rPr>
        <w:t xml:space="preserve"> &lt;</w:t>
      </w:r>
      <w:r>
        <w:rPr>
          <w:rFonts w:hint="eastAsia" w:ascii="宋体" w:hAnsi="宋体" w:cs="宋体"/>
          <w:szCs w:val="21"/>
        </w:rPr>
        <w:t xml:space="preserve">500 mm，MPE: ±0.05 mm，分度值≤0.01 </w:t>
      </w:r>
      <w:r>
        <w:rPr>
          <w:rFonts w:hint="eastAsia" w:ascii="宋体" w:hAnsi="宋体" w:cs="宋体"/>
          <w:szCs w:val="21"/>
          <w:lang w:val="en-GB"/>
        </w:rPr>
        <w:t xml:space="preserve">mm</w:t>
      </w:r>
      <w:r>
        <w:rPr>
          <w:rFonts w:hint="eastAsia" w:ascii="宋体" w:hAnsi="宋体" w:cs="宋体"/>
          <w:szCs w:val="21"/>
        </w:rPr>
        <w:t xml:space="preserve">；</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500 mm≤ D</w:t>
      </w:r>
      <w:r>
        <w:rPr>
          <w:rFonts w:hint="eastAsia"/>
          <w:szCs w:val="21"/>
        </w:rPr>
        <w:t xml:space="preserve"> &lt;</w:t>
      </w:r>
      <w:r>
        <w:rPr>
          <w:rFonts w:hint="eastAsia" w:ascii="宋体" w:hAnsi="宋体" w:cs="宋体"/>
          <w:szCs w:val="21"/>
        </w:rPr>
        <w:t xml:space="preserve">1100 mm，MPE: ±0.06 mm，分度值≤0.02 </w:t>
      </w:r>
      <w:r>
        <w:rPr>
          <w:rFonts w:hint="eastAsia" w:ascii="宋体" w:hAnsi="宋体" w:cs="宋体"/>
          <w:szCs w:val="21"/>
          <w:lang w:val="en-GB"/>
        </w:rPr>
        <w:t xml:space="preserve">mm</w:t>
      </w:r>
      <w:r>
        <w:rPr>
          <w:rFonts w:hint="eastAsia" w:ascii="宋体" w:hAnsi="宋体" w:cs="宋体"/>
          <w:szCs w:val="21"/>
        </w:rPr>
        <w:t xml:space="preserve">；</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1100 mm≤ D </w:t>
      </w:r>
      <w:r>
        <w:rPr>
          <w:rFonts w:hint="eastAsia"/>
          <w:szCs w:val="21"/>
        </w:rPr>
        <w:t xml:space="preserve">&lt;</w:t>
      </w:r>
      <w:r>
        <w:rPr>
          <w:rFonts w:hint="eastAsia" w:ascii="宋体" w:hAnsi="宋体" w:cs="宋体"/>
          <w:szCs w:val="21"/>
        </w:rPr>
        <w:t xml:space="preserve">2100 mm，MPE: ±0.08 mm，分度值≤0.02 </w:t>
      </w:r>
      <w:r>
        <w:rPr>
          <w:rFonts w:hint="eastAsia" w:ascii="宋体" w:hAnsi="宋体" w:cs="宋体"/>
          <w:szCs w:val="21"/>
          <w:lang w:val="en-GB"/>
        </w:rPr>
        <w:t xml:space="preserve">mm</w:t>
      </w:r>
      <w:r>
        <w:rPr>
          <w:rFonts w:hint="eastAsia" w:ascii="宋体" w:hAnsi="宋体" w:cs="宋体"/>
          <w:szCs w:val="21"/>
        </w:rPr>
        <w:t xml:space="preserve">；</w:t>
      </w:r>
      <w:r>
        <w:rPr>
          <w:rFonts w:ascii="宋体" w:hAnsi="宋体" w:cs="宋体"/>
          <w:szCs w:val="21"/>
        </w:rPr>
      </w:r>
      <w:r/>
    </w:p>
    <w:p>
      <w:pPr>
        <w:pStyle w:val="1559"/>
        <w:ind w:firstLine="420"/>
        <w:spacing w:line="480" w:lineRule="exact"/>
        <w:rPr>
          <w:rFonts w:ascii="宋体" w:hAnsi="宋体" w:cs="宋体"/>
          <w:szCs w:val="21"/>
          <w:lang w:val="en-GB"/>
        </w:rPr>
      </w:pPr>
      <w:r>
        <w:rPr>
          <w:rFonts w:hint="eastAsia" w:ascii="宋体" w:hAnsi="宋体" w:cs="宋体"/>
          <w:szCs w:val="21"/>
        </w:rPr>
        <w:t xml:space="preserve">2100 mm≤ D ≤3000 mm，MPE: ±0.10 mm，分度值≤0.02 </w:t>
      </w:r>
      <w:r>
        <w:rPr>
          <w:rFonts w:hint="eastAsia" w:ascii="宋体" w:hAnsi="宋体" w:cs="宋体"/>
          <w:szCs w:val="21"/>
          <w:lang w:val="en-GB"/>
        </w:rPr>
        <w:t xml:space="preserve">mm</w:t>
      </w:r>
      <w:r>
        <w:rPr>
          <w:rFonts w:hint="eastAsia" w:ascii="宋体" w:hAnsi="宋体" w:cs="宋体"/>
          <w:szCs w:val="21"/>
        </w:rPr>
        <w:t xml:space="preserve">。</w:t>
      </w:r>
      <w:r>
        <w:rPr>
          <w:rFonts w:ascii="宋体" w:hAnsi="宋体" w:cs="宋体"/>
          <w:szCs w:val="21"/>
          <w:lang w:val="en-GB"/>
        </w:rPr>
      </w:r>
      <w:r/>
    </w:p>
    <w:p>
      <w:pPr>
        <w:pStyle w:val="1559"/>
        <w:ind w:firstLine="420"/>
        <w:spacing w:line="480" w:lineRule="exact"/>
        <w:rPr>
          <w:rFonts w:ascii="宋体" w:hAnsi="宋体" w:cs="宋体"/>
          <w:szCs w:val="21"/>
        </w:rPr>
      </w:pPr>
      <w:r>
        <w:rPr>
          <w:rFonts w:hint="eastAsia" w:ascii="宋体" w:hAnsi="宋体" w:cs="宋体"/>
          <w:szCs w:val="21"/>
        </w:rPr>
        <w:t xml:space="preserve">13．工控机及满足自动检测的控制软件：硬盘容量不小于1 TB，显示器不小于24 寸，配备数据输出设备。整套系统应能实现全自动检测。试验数据和分析数据结果可以和Excel软件直接动态连接，可以方便的快速完成试验报告，具有数据存盘、证书打印、分析统计等功能。</w:t>
      </w:r>
      <w:r>
        <w:rPr>
          <w:rFonts w:ascii="宋体" w:hAnsi="宋体" w:cs="宋体"/>
          <w:szCs w:val="21"/>
        </w:rPr>
      </w:r>
      <w:r/>
    </w:p>
    <w:p>
      <w:pPr>
        <w:pStyle w:val="1559"/>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1.验收依据：</w:t>
      </w:r>
      <w:r>
        <w:rPr>
          <w:rFonts w:ascii="宋体" w:hAnsi="宋体" w:cs="宋体"/>
          <w:szCs w:val="21"/>
        </w:rPr>
      </w:r>
      <w:r/>
    </w:p>
    <w:p>
      <w:pPr>
        <w:pStyle w:val="1559"/>
        <w:ind w:firstLine="638"/>
        <w:spacing w:line="480" w:lineRule="exact"/>
        <w:rPr>
          <w:rFonts w:ascii="宋体" w:hAnsi="宋体" w:cs="宋体"/>
          <w:szCs w:val="21"/>
        </w:rPr>
      </w:pPr>
      <w:r>
        <w:rPr>
          <w:rFonts w:hint="eastAsia" w:ascii="宋体" w:hAnsi="宋体" w:cs="宋体"/>
          <w:szCs w:val="21"/>
        </w:rPr>
        <w:t xml:space="preserve">压力传感器：JJG 882-2019《压力变送器检定规程》；</w:t>
      </w:r>
      <w:r>
        <w:rPr>
          <w:rFonts w:ascii="宋体" w:hAnsi="宋体" w:cs="宋体"/>
          <w:szCs w:val="21"/>
        </w:rPr>
      </w:r>
      <w:r/>
    </w:p>
    <w:p>
      <w:pPr>
        <w:pStyle w:val="1559"/>
        <w:ind w:firstLine="638"/>
        <w:spacing w:line="480" w:lineRule="exact"/>
        <w:rPr>
          <w:rFonts w:ascii="宋体" w:hAnsi="宋体" w:cs="宋体"/>
          <w:szCs w:val="21"/>
        </w:rPr>
      </w:pPr>
      <w:r>
        <w:rPr>
          <w:rFonts w:hint="eastAsia" w:ascii="宋体" w:hAnsi="宋体" w:cs="宋体"/>
          <w:szCs w:val="21"/>
        </w:rPr>
        <w:t xml:space="preserve">铂电阻传感器：JJG 229-2010《工业铂、铜热电阻检定规程》；</w:t>
      </w:r>
      <w:r>
        <w:rPr>
          <w:rFonts w:ascii="宋体" w:hAnsi="宋体" w:cs="宋体"/>
          <w:szCs w:val="21"/>
        </w:rPr>
      </w:r>
      <w:r/>
    </w:p>
    <w:p>
      <w:pPr>
        <w:pStyle w:val="1559"/>
        <w:ind w:firstLine="638"/>
        <w:spacing w:line="480" w:lineRule="exact"/>
        <w:rPr>
          <w:rFonts w:ascii="宋体" w:hAnsi="宋体" w:cs="宋体"/>
          <w:szCs w:val="21"/>
        </w:rPr>
      </w:pPr>
      <w:r>
        <w:rPr>
          <w:rFonts w:hint="eastAsia" w:ascii="宋体" w:hAnsi="宋体" w:cs="宋体"/>
          <w:szCs w:val="21"/>
        </w:rPr>
        <w:t xml:space="preserve">π尺：JJF </w:t>
      </w:r>
      <w:bookmarkStart w:id="242" w:name="OLE_LINK5"/>
      <w:r>
        <w:rPr>
          <w:rFonts w:hint="eastAsia" w:ascii="宋体" w:hAnsi="宋体" w:cs="宋体"/>
          <w:szCs w:val="21"/>
        </w:rPr>
        <w:t xml:space="preserve">1423-2013</w:t>
      </w:r>
      <w:bookmarkEnd w:id="242"/>
      <w:r>
        <w:rPr>
          <w:rFonts w:hint="eastAsia" w:ascii="宋体" w:hAnsi="宋体" w:cs="宋体"/>
          <w:szCs w:val="21"/>
        </w:rPr>
        <w:t xml:space="preserve">《π尺校准规范》；</w:t>
      </w:r>
      <w:r>
        <w:rPr>
          <w:rFonts w:ascii="宋体" w:hAnsi="宋体" w:cs="宋体"/>
          <w:szCs w:val="21"/>
        </w:rPr>
      </w:r>
      <w:r/>
    </w:p>
    <w:p>
      <w:pPr>
        <w:pStyle w:val="1559"/>
        <w:ind w:firstLine="638"/>
        <w:spacing w:line="480" w:lineRule="exact"/>
        <w:rPr>
          <w:rFonts w:ascii="宋体" w:hAnsi="宋体" w:cs="宋体"/>
          <w:szCs w:val="21"/>
        </w:rPr>
      </w:pPr>
      <w:r>
        <w:rPr>
          <w:rFonts w:hint="eastAsia" w:ascii="宋体" w:hAnsi="宋体" w:cs="宋体"/>
          <w:szCs w:val="21"/>
        </w:rPr>
        <w:t xml:space="preserve">钟罩式气体流量标准装置：JJG 165-2024《钟罩式气体流量标准装置检定规程》、仪器设备说明书、本技术文件。</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2．卖方负责将以上设备送检至省级及以上计量技术机构并出具检定和校准证书（验收依据为检定规程的需出具检定证书），检测费用由卖方承担。</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3．江苏省计量科学研究院依据上述证书和本技术文件对该设备的技术指标和功能进行最终验收。</w:t>
      </w:r>
      <w:r>
        <w:rPr>
          <w:rFonts w:ascii="宋体" w:hAnsi="宋体" w:cs="宋体"/>
          <w:szCs w:val="21"/>
        </w:rPr>
      </w:r>
      <w:r/>
    </w:p>
    <w:p>
      <w:pPr>
        <w:pStyle w:val="1559"/>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★1.钟罩式气体流量标准装置的质保期为最终验收合格之日起2年。</w:t>
      </w:r>
      <w:r>
        <w:rPr>
          <w:rFonts w:ascii="宋体" w:hAnsi="宋体" w:cs="宋体"/>
          <w:szCs w:val="21"/>
        </w:rPr>
      </w:r>
      <w:r/>
    </w:p>
    <w:p>
      <w:pPr>
        <w:pStyle w:val="1559"/>
        <w:jc w:val="center"/>
        <w:spacing w:line="360" w:lineRule="auto"/>
        <w:tabs>
          <w:tab w:val="left" w:pos="4500" w:leader="none"/>
          <w:tab w:val="left" w:pos="4680" w:leader="none"/>
        </w:tabs>
        <w:rPr>
          <w:rFonts w:hint="eastAsia" w:ascii="宋体" w:hAnsi="宋体" w:eastAsia="宋体" w:cs="宋体"/>
          <w:b/>
          <w:szCs w:val="21"/>
          <w:lang w:eastAsia="zh-CN"/>
        </w:rPr>
        <w:outlineLvl w:val="1"/>
      </w:pPr>
      <w:r/>
      <w:bookmarkStart w:id="243" w:name="_Toc18325"/>
      <w:r/>
      <w:bookmarkStart w:id="244" w:name="_Toc21008"/>
      <w:r>
        <w:rPr>
          <w:rFonts w:hint="eastAsia" w:ascii="宋体" w:hAnsi="宋体" w:cs="宋体"/>
          <w:b/>
          <w:szCs w:val="21"/>
        </w:rPr>
        <w:t xml:space="preserve">分包</w:t>
      </w:r>
      <w:bookmarkEnd w:id="243"/>
      <w:r/>
      <w:bookmarkEnd w:id="244"/>
      <w:r>
        <w:rPr>
          <w:rFonts w:hint="eastAsia" w:ascii="宋体" w:hAnsi="宋体" w:cs="宋体"/>
          <w:b/>
          <w:szCs w:val="21"/>
          <w:lang w:val="en-US" w:eastAsia="zh-CN"/>
        </w:rPr>
        <w:t xml:space="preserve">2</w:t>
      </w:r>
      <w:r>
        <w:rPr>
          <w:rFonts w:hint="eastAsia" w:ascii="宋体" w:hAnsi="宋体" w:eastAsia="宋体" w:cs="宋体"/>
          <w:b/>
          <w:szCs w:val="21"/>
          <w:lang w:eastAsia="zh-CN"/>
        </w:rPr>
      </w:r>
      <w:r/>
    </w:p>
    <w:p>
      <w:pPr>
        <w:pStyle w:val="1559"/>
        <w:jc w:val="center"/>
        <w:spacing w:line="480" w:lineRule="exact"/>
        <w:tabs>
          <w:tab w:val="left" w:pos="4500" w:leader="none"/>
          <w:tab w:val="left" w:pos="4680" w:leader="none"/>
        </w:tabs>
        <w:rPr>
          <w:rFonts w:ascii="宋体" w:hAnsi="宋体" w:cs="宋体"/>
          <w:b/>
          <w:bCs/>
          <w:szCs w:val="21"/>
        </w:rPr>
        <w:outlineLvl w:val="1"/>
      </w:pPr>
      <w:r/>
      <w:bookmarkStart w:id="245" w:name="_Toc16505"/>
      <w:r/>
      <w:bookmarkStart w:id="246" w:name="_Toc26347"/>
      <w:r>
        <w:rPr>
          <w:rFonts w:hint="eastAsia" w:ascii="宋体" w:hAnsi="宋体" w:cs="宋体"/>
          <w:b/>
          <w:szCs w:val="21"/>
        </w:rPr>
        <w:t xml:space="preserve">品目</w:t>
      </w:r>
      <w:r>
        <w:rPr>
          <w:rFonts w:hint="eastAsia" w:ascii="宋体" w:hAnsi="宋体" w:cs="宋体"/>
          <w:b/>
          <w:bCs/>
          <w:szCs w:val="21"/>
        </w:rPr>
        <w:t xml:space="preserve">1 电压比例标准</w:t>
      </w:r>
      <w:bookmarkEnd w:id="245"/>
      <w:r/>
      <w:bookmarkEnd w:id="246"/>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2"/>
        <w:gridCol w:w="3097"/>
        <w:gridCol w:w="2071"/>
        <w:gridCol w:w="3070"/>
      </w:tblGrid>
      <w:tr>
        <w:trPr>
          <w:trHeight w:val="389"/>
        </w:trPr>
        <w:tc>
          <w:tcPr>
            <w:tcW w:w="818"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572"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1051"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558"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trHeight w:val="454"/>
        </w:trPr>
        <w:tc>
          <w:tcPr>
            <w:tcW w:w="818"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572"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电压比例标准</w:t>
            </w:r>
            <w:r>
              <w:rPr>
                <w:rFonts w:ascii="宋体" w:hAnsi="宋体" w:cs="宋体"/>
                <w:szCs w:val="21"/>
              </w:rPr>
            </w:r>
            <w:r/>
          </w:p>
        </w:tc>
        <w:tc>
          <w:tcPr>
            <w:tcW w:w="1051"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558"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ascii="宋体" w:hAnsi="宋体" w:cs="宋体"/>
                <w:szCs w:val="21"/>
              </w:rPr>
            </w:r>
            <w:r/>
          </w:p>
        </w:tc>
      </w:tr>
    </w:tbl>
    <w:p>
      <w:pPr>
        <w:pStyle w:val="1559"/>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1.交、直流电压范围测量（0.1～20）kV</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2.交、直流电压最大允许误差±0.2% </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3.交、直流电流测量范围（0.001～400）mA</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4.交、直流电流最大允许误差±0.5%</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5.电压保持时间测量范围（1～999.99）s</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6.电压保持时间最大允许误差±0.5%</w:t>
      </w:r>
      <w:r>
        <w:rPr>
          <w:rFonts w:ascii="宋体" w:hAnsi="宋体" w:cs="宋体"/>
          <w:szCs w:val="21"/>
        </w:rPr>
      </w:r>
      <w:r/>
    </w:p>
    <w:p>
      <w:pPr>
        <w:pStyle w:val="1559"/>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1.验收依据：DL/T  973-2005 《数字高压表检定规程》，JJF 1587-2016 《数字多用表校准规范》，JJF 2195-2025 《秒表校准规范》。</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559"/>
        <w:spacing w:line="480" w:lineRule="exact"/>
        <w:rPr>
          <w:rFonts w:hint="eastAsia" w:ascii="宋体" w:hAnsi="宋体" w:cs="宋体"/>
          <w:szCs w:val="21"/>
        </w:rPr>
      </w:pPr>
      <w:r>
        <w:rPr>
          <w:rFonts w:hint="eastAsia" w:ascii="宋体" w:hAnsi="宋体" w:cs="宋体"/>
          <w:b/>
          <w:bCs/>
          <w:szCs w:val="21"/>
        </w:rPr>
        <w:t xml:space="preserve">（四）质保期</w:t>
      </w:r>
      <w:r>
        <w:rPr>
          <w:rFonts w:hint="eastAsia"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★1.电压比例标准的质保期为最终验收合格之日起1年。</w:t>
      </w:r>
      <w:r>
        <w:rPr>
          <w:rFonts w:ascii="宋体" w:hAnsi="宋体" w:cs="宋体"/>
          <w:szCs w:val="21"/>
        </w:rPr>
      </w:r>
      <w:r/>
    </w:p>
    <w:p>
      <w:pPr>
        <w:pStyle w:val="1559"/>
        <w:jc w:val="center"/>
        <w:spacing w:line="480" w:lineRule="exact"/>
        <w:tabs>
          <w:tab w:val="left" w:pos="4500" w:leader="none"/>
          <w:tab w:val="left" w:pos="4680" w:leader="none"/>
        </w:tabs>
        <w:rPr>
          <w:rFonts w:ascii="宋体" w:hAnsi="宋体" w:cs="宋体"/>
          <w:b/>
          <w:bCs/>
          <w:szCs w:val="21"/>
        </w:rPr>
        <w:outlineLvl w:val="1"/>
      </w:pPr>
      <w:r/>
      <w:bookmarkStart w:id="247" w:name="_Toc19674"/>
      <w:r/>
      <w:bookmarkStart w:id="248" w:name="_Toc30613"/>
      <w:r>
        <w:rPr>
          <w:rFonts w:hint="eastAsia" w:ascii="宋体" w:hAnsi="宋体" w:cs="宋体"/>
          <w:b/>
          <w:szCs w:val="21"/>
        </w:rPr>
        <w:t xml:space="preserve">品目</w:t>
      </w:r>
      <w:r>
        <w:rPr>
          <w:rFonts w:hint="eastAsia" w:ascii="宋体" w:hAnsi="宋体" w:cs="宋体"/>
          <w:b/>
          <w:bCs/>
          <w:szCs w:val="21"/>
        </w:rPr>
        <w:t xml:space="preserve">2 数字式高阻检定仪</w:t>
      </w:r>
      <w:bookmarkEnd w:id="247"/>
      <w:r/>
      <w:bookmarkEnd w:id="248"/>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3522"/>
        <w:gridCol w:w="1376"/>
        <w:gridCol w:w="3341"/>
      </w:tblGrid>
      <w:tr>
        <w:trPr>
          <w:trHeight w:val="389"/>
        </w:trPr>
        <w:tc>
          <w:tcPr>
            <w:tcW w:w="818" w:type="dxa"/>
            <w:vAlign w:val="center"/>
            <w:textDirection w:val="lrTb"/>
            <w:noWrap w:val="false"/>
          </w:tcPr>
          <w:p>
            <w:pPr>
              <w:pStyle w:val="1559"/>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87"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698"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695"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18"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87"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数字式高阻检定仪</w:t>
            </w:r>
            <w:r>
              <w:rPr>
                <w:rFonts w:ascii="宋体" w:hAnsi="宋体" w:cs="宋体"/>
                <w:szCs w:val="21"/>
              </w:rPr>
            </w:r>
            <w:r/>
          </w:p>
        </w:tc>
        <w:tc>
          <w:tcPr>
            <w:tcW w:w="698" w:type="dxa"/>
            <w:vAlign w:val="center"/>
            <w:textDirection w:val="lrTb"/>
            <w:noWrap w:val="false"/>
          </w:tcPr>
          <w:p>
            <w:pPr>
              <w:pStyle w:val="1559"/>
              <w:jc w:val="center"/>
              <w:keepNext/>
              <w:spacing w:line="480" w:lineRule="exact"/>
              <w:rPr>
                <w:rFonts w:ascii="宋体" w:hAnsi="宋体" w:cs="宋体"/>
                <w:szCs w:val="21"/>
              </w:rPr>
              <w:outlineLvl w:val="0"/>
            </w:pPr>
            <w:r/>
            <w:bookmarkStart w:id="249" w:name="_Toc22682"/>
            <w:r/>
            <w:bookmarkStart w:id="250" w:name="_Toc12347"/>
            <w:r>
              <w:rPr>
                <w:rFonts w:hint="eastAsia" w:ascii="宋体" w:hAnsi="宋体" w:cs="宋体"/>
                <w:szCs w:val="21"/>
              </w:rPr>
              <w:t xml:space="preserve">1</w:t>
            </w:r>
            <w:bookmarkEnd w:id="249"/>
            <w:r>
              <w:rPr>
                <w:rFonts w:hint="eastAsia" w:ascii="宋体" w:hAnsi="宋体" w:cs="宋体"/>
                <w:szCs w:val="21"/>
              </w:rPr>
              <w:t xml:space="preserve">台</w:t>
            </w:r>
            <w:bookmarkEnd w:id="250"/>
            <w:r>
              <w:rPr>
                <w:rFonts w:ascii="宋体" w:hAnsi="宋体" w:cs="宋体"/>
                <w:szCs w:val="21"/>
              </w:rPr>
            </w:r>
            <w:r/>
          </w:p>
        </w:tc>
        <w:tc>
          <w:tcPr>
            <w:tcW w:w="1695"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ascii="宋体" w:hAnsi="宋体" w:cs="宋体"/>
                <w:szCs w:val="21"/>
              </w:rPr>
            </w:r>
            <w:r/>
          </w:p>
        </w:tc>
      </w:tr>
    </w:tbl>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0"/>
        <w:jc w:val="left"/>
        <w:spacing w:line="480" w:lineRule="exact"/>
        <w:widowControl/>
        <w:rPr>
          <w:rFonts w:ascii="宋体" w:hAnsi="宋体" w:cs="宋体"/>
          <w:szCs w:val="21"/>
        </w:rPr>
      </w:pPr>
      <w:r>
        <w:rPr>
          <w:rFonts w:hint="eastAsia" w:ascii="宋体" w:hAnsi="宋体" w:cs="宋体"/>
          <w:szCs w:val="21"/>
        </w:rPr>
        <w:t xml:space="preserve">1.电阻：可调电阻部分：100Ω～10MΩ，MPE: ±0.1%</w:t>
      </w:r>
      <w:r>
        <w:rPr>
          <w:rFonts w:ascii="宋体" w:hAnsi="宋体" w:cs="宋体"/>
          <w:szCs w:val="21"/>
        </w:rPr>
      </w:r>
      <w:r/>
    </w:p>
    <w:p>
      <w:pPr>
        <w:pStyle w:val="1559"/>
        <w:ind w:firstLine="420"/>
        <w:jc w:val="left"/>
        <w:spacing w:line="480" w:lineRule="exact"/>
        <w:widowControl/>
        <w:rPr>
          <w:rFonts w:ascii="宋体" w:hAnsi="宋体" w:cs="宋体"/>
          <w:szCs w:val="21"/>
        </w:rPr>
      </w:pPr>
      <w:r>
        <w:rPr>
          <w:rFonts w:hint="eastAsia" w:ascii="宋体" w:hAnsi="宋体" w:cs="宋体"/>
          <w:szCs w:val="21"/>
        </w:rPr>
        <w:t xml:space="preserve">                      &gt;10MΩ～100MΩ，MPE: ±0.5%</w:t>
      </w:r>
      <w:r>
        <w:rPr>
          <w:rFonts w:ascii="宋体" w:hAnsi="宋体" w:cs="宋体"/>
          <w:szCs w:val="21"/>
        </w:rPr>
      </w:r>
      <w:r/>
    </w:p>
    <w:p>
      <w:pPr>
        <w:pStyle w:val="1559"/>
        <w:ind w:firstLine="2738"/>
        <w:jc w:val="left"/>
        <w:spacing w:line="480" w:lineRule="exact"/>
        <w:widowControl/>
        <w:rPr>
          <w:rFonts w:ascii="宋体" w:hAnsi="宋体" w:cs="宋体"/>
          <w:szCs w:val="21"/>
        </w:rPr>
      </w:pPr>
      <w:r>
        <w:rPr>
          <w:rFonts w:hint="eastAsia" w:ascii="宋体" w:hAnsi="宋体" w:cs="宋体"/>
          <w:szCs w:val="21"/>
        </w:rPr>
        <w:t xml:space="preserve">&gt;100MΩ～10GΩ，MPE: ±1%</w:t>
      </w:r>
      <w:r>
        <w:rPr>
          <w:rFonts w:ascii="宋体" w:hAnsi="宋体" w:cs="宋体"/>
          <w:szCs w:val="21"/>
        </w:rPr>
      </w:r>
      <w:r/>
    </w:p>
    <w:p>
      <w:pPr>
        <w:pStyle w:val="1559"/>
        <w:ind w:firstLine="2738"/>
        <w:jc w:val="left"/>
        <w:spacing w:line="480" w:lineRule="exact"/>
        <w:widowControl/>
        <w:rPr>
          <w:rFonts w:ascii="宋体" w:hAnsi="宋体" w:cs="宋体"/>
          <w:szCs w:val="21"/>
        </w:rPr>
      </w:pPr>
      <w:r>
        <w:rPr>
          <w:rFonts w:hint="eastAsia" w:ascii="宋体" w:hAnsi="宋体" w:cs="宋体"/>
          <w:szCs w:val="21"/>
        </w:rPr>
        <w:t xml:space="preserve">&gt;10GΩ～100GΩ，MPE: ±2%</w:t>
      </w:r>
      <w:r>
        <w:rPr>
          <w:rFonts w:ascii="宋体" w:hAnsi="宋体" w:cs="宋体"/>
          <w:szCs w:val="21"/>
        </w:rPr>
      </w:r>
      <w:r/>
    </w:p>
    <w:p>
      <w:pPr>
        <w:pStyle w:val="1559"/>
        <w:ind w:firstLine="420"/>
        <w:jc w:val="left"/>
        <w:spacing w:line="480" w:lineRule="exact"/>
        <w:widowControl/>
        <w:rPr>
          <w:rFonts w:ascii="宋体" w:hAnsi="宋体" w:cs="宋体"/>
          <w:szCs w:val="21"/>
        </w:rPr>
      </w:pPr>
      <w:r>
        <w:rPr>
          <w:rFonts w:hint="eastAsia" w:ascii="宋体" w:hAnsi="宋体" w:cs="宋体"/>
          <w:szCs w:val="21"/>
        </w:rPr>
        <w:t xml:space="preserve">2.电阻：固定电阻部分：100GΩ、400 GΩ、900 GΩ、1900 GΩ，MPE: ±2%</w:t>
      </w:r>
      <w:r>
        <w:rPr>
          <w:rFonts w:ascii="宋体" w:hAnsi="宋体" w:cs="宋体"/>
          <w:szCs w:val="21"/>
        </w:rPr>
      </w:r>
      <w:r/>
    </w:p>
    <w:p>
      <w:pPr>
        <w:pStyle w:val="1559"/>
        <w:ind w:firstLine="420"/>
        <w:jc w:val="left"/>
        <w:spacing w:line="480" w:lineRule="exact"/>
        <w:widowControl/>
        <w:rPr>
          <w:rFonts w:ascii="宋体" w:hAnsi="宋体" w:cs="宋体"/>
          <w:szCs w:val="21"/>
        </w:rPr>
      </w:pPr>
      <w:r>
        <w:rPr>
          <w:rFonts w:hint="eastAsia" w:ascii="宋体" w:hAnsi="宋体" w:cs="宋体"/>
          <w:szCs w:val="21"/>
        </w:rPr>
        <w:t xml:space="preserve">3.电压测量范围：（0.5～5）kV，</w:t>
      </w:r>
      <w:bookmarkStart w:id="251" w:name="OLE_LINK4"/>
      <w:r>
        <w:rPr>
          <w:rFonts w:hint="eastAsia" w:ascii="宋体" w:hAnsi="宋体" w:cs="宋体"/>
          <w:szCs w:val="21"/>
        </w:rPr>
        <w:t xml:space="preserve">MPE:±</w:t>
      </w:r>
      <w:bookmarkEnd w:id="251"/>
      <w:r>
        <w:rPr>
          <w:rFonts w:hint="eastAsia" w:ascii="宋体" w:hAnsi="宋体" w:cs="宋体"/>
          <w:szCs w:val="21"/>
        </w:rPr>
        <w:t xml:space="preserve">1%</w:t>
      </w:r>
      <w:r>
        <w:rPr>
          <w:rFonts w:ascii="宋体" w:hAnsi="宋体" w:cs="宋体"/>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jc w:val="left"/>
        <w:spacing w:line="480" w:lineRule="exact"/>
        <w:widowControl/>
        <w:rPr>
          <w:rFonts w:ascii="宋体" w:hAnsi="宋体" w:cs="宋体"/>
          <w:szCs w:val="21"/>
        </w:rPr>
      </w:pPr>
      <w:r>
        <w:rPr>
          <w:rFonts w:hint="eastAsia" w:ascii="宋体" w:hAnsi="宋体" w:cs="宋体"/>
          <w:szCs w:val="21"/>
        </w:rPr>
        <w:t xml:space="preserve">1.验收依据：JJG 1072-2011《直流高压高值电阻器检定规程》，DL/T 973-2005《数字高压表检定规程》。</w:t>
      </w:r>
      <w:r>
        <w:rPr>
          <w:rFonts w:ascii="宋体" w:hAnsi="宋体" w:cs="宋体"/>
          <w:szCs w:val="21"/>
        </w:rPr>
      </w:r>
      <w:r/>
    </w:p>
    <w:p>
      <w:pPr>
        <w:pStyle w:val="1559"/>
        <w:ind w:firstLine="420"/>
        <w:jc w:val="left"/>
        <w:spacing w:line="480" w:lineRule="exact"/>
        <w:widowControl/>
        <w:rPr>
          <w:rFonts w:hint="eastAsia"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hint="eastAsia" w:ascii="宋体" w:hAnsi="宋体" w:cs="宋体"/>
          <w:szCs w:val="21"/>
        </w:rPr>
      </w:r>
      <w:r/>
    </w:p>
    <w:p>
      <w:pPr>
        <w:pStyle w:val="1559"/>
        <w:ind w:firstLine="420"/>
        <w:jc w:val="left"/>
        <w:spacing w:line="480" w:lineRule="exact"/>
        <w:widowControl/>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559"/>
        <w:spacing w:line="480" w:lineRule="exact"/>
        <w:tabs>
          <w:tab w:val="left" w:pos="4500" w:leader="none"/>
          <w:tab w:val="left" w:pos="4680" w:leader="none"/>
        </w:tabs>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★1.数字式高阻检定仪的质保期为最终验收合格之日起1年。</w:t>
      </w:r>
      <w:r>
        <w:rPr>
          <w:rFonts w:ascii="宋体" w:hAnsi="宋体" w:cs="宋体"/>
          <w:szCs w:val="21"/>
        </w:rPr>
      </w:r>
      <w:r/>
    </w:p>
    <w:p>
      <w:pPr>
        <w:pStyle w:val="1559"/>
        <w:ind w:firstLine="422"/>
        <w:jc w:val="center"/>
        <w:spacing w:line="480" w:lineRule="exact"/>
        <w:rPr>
          <w:rFonts w:ascii="宋体" w:hAnsi="宋体" w:cs="宋体"/>
          <w:b/>
          <w:bCs/>
          <w:szCs w:val="21"/>
        </w:rPr>
        <w:outlineLvl w:val="1"/>
      </w:pPr>
      <w:r/>
      <w:bookmarkStart w:id="252" w:name="_Toc8044"/>
      <w:r/>
      <w:bookmarkStart w:id="253" w:name="_Toc32383"/>
      <w:r>
        <w:rPr>
          <w:rFonts w:hint="eastAsia" w:ascii="宋体" w:hAnsi="宋体" w:cs="宋体"/>
          <w:b/>
          <w:szCs w:val="21"/>
        </w:rPr>
        <w:t xml:space="preserve">品目</w:t>
      </w:r>
      <w:r>
        <w:rPr>
          <w:rFonts w:hint="eastAsia" w:ascii="宋体" w:hAnsi="宋体" w:cs="宋体"/>
          <w:b/>
          <w:bCs/>
          <w:szCs w:val="21"/>
        </w:rPr>
        <w:t xml:space="preserve">3 </w:t>
      </w:r>
      <w:bookmarkEnd w:id="252"/>
      <w:r>
        <w:rPr>
          <w:rFonts w:hint="eastAsia" w:ascii="宋体" w:hAnsi="宋体" w:cs="宋体"/>
          <w:b/>
          <w:bCs/>
          <w:szCs w:val="21"/>
        </w:rPr>
        <w:t xml:space="preserve">0.02级三相电能表检定装置</w:t>
      </w:r>
      <w:bookmarkEnd w:id="253"/>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4882"/>
        <w:gridCol w:w="1181"/>
        <w:gridCol w:w="2755"/>
      </w:tblGrid>
      <w:tr>
        <w:trPr>
          <w:trHeight w:val="389"/>
        </w:trPr>
        <w:tc>
          <w:tcPr>
            <w:tcW w:w="524" w:type="dxa"/>
            <w:vAlign w:val="center"/>
            <w:textDirection w:val="lrTb"/>
            <w:noWrap w:val="false"/>
          </w:tcPr>
          <w:p>
            <w:pPr>
              <w:pStyle w:val="1559"/>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477"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599"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398"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524"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477"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0</w:t>
            </w:r>
            <w:r>
              <w:rPr>
                <w:rFonts w:ascii="宋体" w:hAnsi="宋体" w:cs="宋体"/>
                <w:szCs w:val="21"/>
              </w:rPr>
              <w:t xml:space="preserve">.02</w:t>
            </w:r>
            <w:r>
              <w:rPr>
                <w:rFonts w:hint="eastAsia" w:ascii="宋体" w:hAnsi="宋体" w:cs="宋体"/>
                <w:szCs w:val="21"/>
              </w:rPr>
              <w:t xml:space="preserve">级三相电能表检定装置，不得低于以下配置：</w:t>
            </w:r>
            <w:r>
              <w:rPr>
                <w:rFonts w:ascii="宋体" w:hAnsi="宋体" w:cs="宋体"/>
                <w:szCs w:val="21"/>
              </w:rPr>
            </w:r>
            <w:r/>
          </w:p>
        </w:tc>
        <w:tc>
          <w:tcPr>
            <w:tcW w:w="599" w:type="dxa"/>
            <w:vAlign w:val="center"/>
            <w:textDirection w:val="lrTb"/>
            <w:noWrap w:val="false"/>
          </w:tcPr>
          <w:p>
            <w:pPr>
              <w:pStyle w:val="1559"/>
              <w:jc w:val="center"/>
              <w:keepNext/>
              <w:spacing w:line="480" w:lineRule="exact"/>
              <w:rPr>
                <w:rFonts w:ascii="宋体" w:hAnsi="宋体" w:cs="宋体"/>
                <w:szCs w:val="21"/>
              </w:rPr>
              <w:outlineLvl w:val="0"/>
            </w:pPr>
            <w:r/>
            <w:bookmarkStart w:id="254" w:name="_Toc22150"/>
            <w:r/>
            <w:bookmarkStart w:id="255" w:name="_Toc17067"/>
            <w:r>
              <w:rPr>
                <w:rFonts w:hint="eastAsia" w:ascii="宋体" w:hAnsi="宋体" w:cs="宋体"/>
                <w:szCs w:val="21"/>
              </w:rPr>
              <w:t xml:space="preserve">1套</w:t>
            </w:r>
            <w:bookmarkEnd w:id="254"/>
            <w:r/>
            <w:bookmarkEnd w:id="255"/>
            <w:r>
              <w:rPr>
                <w:rFonts w:ascii="宋体" w:hAnsi="宋体" w:cs="宋体"/>
                <w:szCs w:val="21"/>
              </w:rPr>
            </w:r>
            <w:r/>
          </w:p>
        </w:tc>
        <w:tc>
          <w:tcPr>
            <w:tcW w:w="1398" w:type="dxa"/>
            <w:vAlign w:val="center"/>
            <w:vMerge w:val="restart"/>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签订合同后6个月</w:t>
            </w:r>
            <w:r>
              <w:rPr>
                <w:rFonts w:ascii="宋体" w:hAnsi="宋体" w:cs="宋体"/>
                <w:szCs w:val="21"/>
              </w:rPr>
            </w:r>
            <w:r/>
          </w:p>
        </w:tc>
      </w:tr>
      <w:tr>
        <w:trPr>
          <w:cantSplit/>
          <w:trHeight w:val="454"/>
        </w:trPr>
        <w:tc>
          <w:tcPr>
            <w:tcW w:w="524"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2477"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三相标准功率源</w:t>
            </w:r>
            <w:r>
              <w:rPr>
                <w:rFonts w:ascii="宋体" w:hAnsi="宋体" w:cs="宋体"/>
                <w:szCs w:val="21"/>
              </w:rPr>
            </w:r>
            <w:r/>
          </w:p>
        </w:tc>
        <w:tc>
          <w:tcPr>
            <w:tcW w:w="599"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398" w:type="dxa"/>
            <w:vAlign w:val="center"/>
            <w:vMerge w:val="continue"/>
            <w:textDirection w:val="lrTb"/>
            <w:noWrap w:val="false"/>
          </w:tcPr>
          <w:p>
            <w:pPr>
              <w:pStyle w:val="1559"/>
              <w:jc w:val="center"/>
              <w:spacing w:line="480" w:lineRule="exact"/>
              <w:rPr>
                <w:rFonts w:ascii="宋体" w:hAnsi="宋体" w:cs="宋体"/>
                <w:szCs w:val="21"/>
              </w:rPr>
            </w:pPr>
            <w:r>
              <w:rPr>
                <w:rFonts w:ascii="宋体" w:hAnsi="宋体" w:cs="宋体"/>
                <w:szCs w:val="21"/>
              </w:rPr>
            </w:r>
            <w:r/>
          </w:p>
        </w:tc>
      </w:tr>
      <w:tr>
        <w:trPr>
          <w:cantSplit/>
          <w:trHeight w:val="454"/>
        </w:trPr>
        <w:tc>
          <w:tcPr>
            <w:tcW w:w="524"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2477"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三相标准电能表</w:t>
            </w:r>
            <w:r>
              <w:rPr>
                <w:rFonts w:ascii="宋体" w:hAnsi="宋体" w:cs="宋体"/>
                <w:szCs w:val="21"/>
              </w:rPr>
            </w:r>
            <w:r/>
          </w:p>
        </w:tc>
        <w:tc>
          <w:tcPr>
            <w:tcW w:w="599"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398" w:type="dxa"/>
            <w:vAlign w:val="center"/>
            <w:vMerge w:val="continue"/>
            <w:textDirection w:val="lrTb"/>
            <w:noWrap w:val="false"/>
          </w:tcPr>
          <w:p>
            <w:pPr>
              <w:pStyle w:val="1559"/>
              <w:jc w:val="center"/>
              <w:spacing w:line="480" w:lineRule="exact"/>
              <w:rPr>
                <w:rFonts w:ascii="宋体" w:hAnsi="宋体" w:cs="宋体"/>
                <w:szCs w:val="21"/>
              </w:rPr>
            </w:pPr>
            <w:r>
              <w:rPr>
                <w:rFonts w:ascii="宋体" w:hAnsi="宋体" w:cs="宋体"/>
                <w:szCs w:val="21"/>
              </w:rPr>
            </w:r>
            <w:r/>
          </w:p>
        </w:tc>
      </w:tr>
      <w:tr>
        <w:trPr>
          <w:cantSplit/>
          <w:trHeight w:val="454"/>
        </w:trPr>
        <w:tc>
          <w:tcPr>
            <w:tcW w:w="524"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2477"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时钟测试仪</w:t>
            </w:r>
            <w:r>
              <w:rPr>
                <w:rFonts w:ascii="宋体" w:hAnsi="宋体" w:cs="宋体"/>
                <w:szCs w:val="21"/>
              </w:rPr>
            </w:r>
            <w:r/>
          </w:p>
        </w:tc>
        <w:tc>
          <w:tcPr>
            <w:tcW w:w="599"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398" w:type="dxa"/>
            <w:vAlign w:val="center"/>
            <w:vMerge w:val="continue"/>
            <w:textDirection w:val="lrTb"/>
            <w:noWrap w:val="false"/>
          </w:tcPr>
          <w:p>
            <w:pPr>
              <w:pStyle w:val="1559"/>
              <w:jc w:val="center"/>
              <w:spacing w:line="480" w:lineRule="exact"/>
              <w:rPr>
                <w:rFonts w:ascii="宋体" w:hAnsi="宋体" w:cs="宋体"/>
                <w:szCs w:val="21"/>
              </w:rPr>
            </w:pPr>
            <w:r>
              <w:rPr>
                <w:rFonts w:ascii="宋体" w:hAnsi="宋体" w:cs="宋体"/>
                <w:szCs w:val="21"/>
              </w:rPr>
            </w:r>
            <w:r/>
          </w:p>
        </w:tc>
      </w:tr>
      <w:tr>
        <w:trPr>
          <w:cantSplit/>
          <w:trHeight w:val="454"/>
        </w:trPr>
        <w:tc>
          <w:tcPr>
            <w:tcW w:w="524"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2477"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实现自动检测必备的测试软件和控制机</w:t>
            </w:r>
            <w:r>
              <w:rPr>
                <w:rFonts w:ascii="宋体" w:hAnsi="宋体" w:cs="宋体"/>
                <w:szCs w:val="21"/>
              </w:rPr>
            </w:r>
            <w:r/>
          </w:p>
        </w:tc>
        <w:tc>
          <w:tcPr>
            <w:tcW w:w="599"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398" w:type="dxa"/>
            <w:vAlign w:val="center"/>
            <w:vMerge w:val="continue"/>
            <w:textDirection w:val="lrTb"/>
            <w:noWrap w:val="false"/>
          </w:tcPr>
          <w:p>
            <w:pPr>
              <w:pStyle w:val="1559"/>
              <w:jc w:val="center"/>
              <w:spacing w:line="480" w:lineRule="exact"/>
              <w:rPr>
                <w:rFonts w:ascii="宋体" w:hAnsi="宋体" w:cs="宋体"/>
                <w:szCs w:val="21"/>
              </w:rPr>
            </w:pPr>
            <w:r>
              <w:rPr>
                <w:rFonts w:ascii="宋体" w:hAnsi="宋体" w:cs="宋体"/>
                <w:szCs w:val="21"/>
              </w:rPr>
            </w:r>
            <w:r/>
          </w:p>
        </w:tc>
      </w:tr>
    </w:tbl>
    <w:p>
      <w:pPr>
        <w:pStyle w:val="1559"/>
        <w:jc w:val="left"/>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1.三相标准功率源</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★1.1 测量范围：交流电压：3×（57.7～380）V；交流电流：3×（0.3mA～150A）。</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★1.2 电能准确度等级：0.02级；谐波电能准确度等级：0.2级。</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★1.3 交流功率稳定度：≤0.01%/120s。</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1.4 调节范围：各档量程在0～120％内连续可调，调节细度优于0.01％。</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1.5 最大输出容量：每相不小于40VA /表位。</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1.6 谐波输出：装置能够输出2～50次谐波电压、谐波电流，可任意9种谐波叠加；可输出各种奇次谐波（45°、90°、135°、270°相位触发波形）、脉冲串（间谐波）触发波形、方顶波、尖顶波等波形和正反交替波波形</w:t>
      </w:r>
      <w:r>
        <w:rPr>
          <w:rFonts w:hint="eastAsia" w:ascii="宋体" w:hAnsi="宋体" w:cs="宋体"/>
          <w:szCs w:val="21"/>
          <w:lang w:eastAsia="zh-CN"/>
        </w:rPr>
        <w:t xml:space="preserve">，</w:t>
      </w:r>
      <w:r>
        <w:rPr>
          <w:rFonts w:hint="eastAsia" w:ascii="宋体" w:hAnsi="宋体" w:cs="宋体"/>
          <w:szCs w:val="21"/>
        </w:rPr>
        <w:t xml:space="preserve">满足JJG 1106-2015《工作用静止式谐波有功电能表》中的要求。</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1.7 能同时检定8块三相电能表和2块单相电能表，能直接压接被检电能表，并根据JJG 596-2026《安装式交流电能表检定规程》中规定的检定项目实现全自动检定，具备数据存储和调用功能，生成符合要求的电子原始记录。</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1.8 每个表位具备光脉冲、电脉冲及蓝牙通讯接口，实现电能误差自动计算。</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2.三相标准电能表</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★2.1测量范围：交流电压：3×（57.7～380）V；交流电流：3×（0.3mA～200A）。</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★2.2 电能准确度等级：0.02级；谐波电能准确度等级：0.2级。</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★3.时钟测试仪：时间偏差：±1s；相对频率偏差：±1×10</w:t>
      </w:r>
      <w:r>
        <w:rPr>
          <w:rFonts w:ascii="宋体" w:hAnsi="宋体" w:cs="宋体"/>
          <w:szCs w:val="21"/>
          <w:vertAlign w:val="superscript"/>
        </w:rPr>
        <w:t xml:space="preserve">-7</w:t>
      </w:r>
      <w:r>
        <w:rPr>
          <w:rFonts w:hint="eastAsia" w:ascii="宋体" w:hAnsi="宋体" w:cs="宋体"/>
          <w:szCs w:val="21"/>
        </w:rPr>
        <w:t xml:space="preserve">。</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4.实现自动检测必备的测试软件和控制机</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4.1 应能实现全自动检定JJG 596-2026中规定的潜动、起动、固有误差、仪表常数、时间示值误差、电能示值误差、需量误差、剩余电能量递减准确度检定项目。</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4.2 应能显示和保存重要检测过程量和检测结果，通过内置的规范要求数据集，研判检测结果的规范性。具备测试数据分析、超差提醒、记录的生成与导出等功能。</w:t>
      </w:r>
      <w:r>
        <w:rPr>
          <w:rFonts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4.3 控制机不低于以下配置：处理器：物理核心≥16 核，线程≥24 线程，基础主频≥2.1GHz，≥32GB DDR5 4800MHz 内存，≥1TB NVMe M.2 高速固态硬盘存储容量。</w:t>
      </w:r>
      <w:r>
        <w:rPr>
          <w:rFonts w:hint="eastAsia" w:ascii="宋体" w:hAnsi="宋体" w:cs="宋体"/>
          <w:szCs w:val="21"/>
        </w:rPr>
      </w:r>
      <w:r/>
    </w:p>
    <w:p>
      <w:pPr>
        <w:pStyle w:val="1559"/>
        <w:ind w:left="1" w:hanging="200"/>
        <w:jc w:val="left"/>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1.验收依据：JJG 597-2025《交流电能表检定装置检定规程》、JJG 1085-2013《标准电能表检定规程》、JJG 1106-2015《工作用静止式谐波有功电能表检定规程》、制造厂商提供的用户手册中的技术要求、本技术文件。</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2.卖方负责将设备送检至上海市计量测试技术研究院有限公司进行检定/校准，并出具检定/校准证书。检测费用由卖方承担。</w:t>
      </w:r>
      <w:r>
        <w:rPr>
          <w:rFonts w:ascii="宋体" w:hAnsi="宋体" w:cs="宋体"/>
          <w:szCs w:val="21"/>
        </w:rPr>
      </w:r>
      <w:r/>
    </w:p>
    <w:p>
      <w:pPr>
        <w:pStyle w:val="1559"/>
        <w:jc w:val="left"/>
        <w:spacing w:line="480" w:lineRule="exact"/>
        <w:rPr>
          <w:rFonts w:ascii="宋体" w:hAnsi="宋体" w:cs="宋体"/>
          <w:szCs w:val="21"/>
        </w:rPr>
      </w:pPr>
      <w:r>
        <w:rPr>
          <w:rFonts w:hint="eastAsia" w:ascii="宋体" w:hAnsi="宋体" w:cs="宋体"/>
          <w:szCs w:val="21"/>
        </w:rPr>
        <w:t xml:space="preserve">    3.江苏省计量科学研究院根据以上证书、用户手册和本技术文件对整套设备的技术指标和功能进行最终验收。</w:t>
      </w:r>
      <w:r>
        <w:rPr>
          <w:rFonts w:ascii="宋体" w:hAnsi="宋体" w:cs="宋体"/>
          <w:szCs w:val="21"/>
        </w:rPr>
      </w:r>
      <w:r/>
    </w:p>
    <w:p>
      <w:pPr>
        <w:pStyle w:val="1559"/>
        <w:jc w:val="left"/>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 0</w:t>
      </w:r>
      <w:r>
        <w:rPr>
          <w:rFonts w:ascii="宋体" w:hAnsi="宋体" w:cs="宋体"/>
          <w:szCs w:val="21"/>
        </w:rPr>
        <w:t xml:space="preserve">.02</w:t>
      </w:r>
      <w:r>
        <w:rPr>
          <w:rFonts w:hint="eastAsia" w:ascii="宋体" w:hAnsi="宋体" w:cs="宋体"/>
          <w:szCs w:val="21"/>
        </w:rPr>
        <w:t xml:space="preserve">级三相电能表检定装置的整机质保期为验收合格之日起2年。</w:t>
      </w:r>
      <w:r>
        <w:rPr>
          <w:rFonts w:ascii="宋体" w:hAnsi="宋体" w:cs="宋体"/>
          <w:szCs w:val="21"/>
        </w:rPr>
      </w:r>
      <w:r/>
    </w:p>
    <w:p>
      <w:pPr>
        <w:pStyle w:val="1559"/>
        <w:jc w:val="center"/>
        <w:spacing w:line="360" w:lineRule="auto"/>
        <w:tabs>
          <w:tab w:val="left" w:pos="4500" w:leader="none"/>
          <w:tab w:val="left" w:pos="4680" w:leader="none"/>
        </w:tabs>
        <w:rPr>
          <w:rFonts w:hint="eastAsia" w:ascii="宋体" w:hAnsi="宋体" w:eastAsia="宋体" w:cs="宋体"/>
          <w:b/>
          <w:szCs w:val="21"/>
          <w:lang w:eastAsia="zh-CN"/>
        </w:rPr>
        <w:outlineLvl w:val="1"/>
      </w:pPr>
      <w:r/>
      <w:bookmarkStart w:id="256" w:name="_Toc29437"/>
      <w:r/>
      <w:bookmarkStart w:id="257" w:name="_Toc24754"/>
      <w:r>
        <w:rPr>
          <w:rFonts w:hint="eastAsia" w:ascii="宋体" w:hAnsi="宋体" w:cs="宋体"/>
          <w:b/>
          <w:szCs w:val="21"/>
        </w:rPr>
        <w:t xml:space="preserve">分包</w:t>
      </w:r>
      <w:bookmarkEnd w:id="256"/>
      <w:r/>
      <w:bookmarkEnd w:id="257"/>
      <w:r>
        <w:rPr>
          <w:rFonts w:hint="eastAsia" w:ascii="宋体" w:hAnsi="宋体" w:cs="宋体"/>
          <w:b/>
          <w:szCs w:val="21"/>
          <w:lang w:val="en-US" w:eastAsia="zh-CN"/>
        </w:rPr>
        <w:t xml:space="preserve">3</w:t>
      </w:r>
      <w:r>
        <w:rPr>
          <w:rFonts w:hint="eastAsia" w:ascii="宋体" w:hAnsi="宋体" w:eastAsia="宋体" w:cs="宋体"/>
          <w:b/>
          <w:szCs w:val="21"/>
          <w:lang w:eastAsia="zh-CN"/>
        </w:rPr>
      </w:r>
      <w:r/>
    </w:p>
    <w:p>
      <w:pPr>
        <w:pStyle w:val="1559"/>
        <w:jc w:val="center"/>
        <w:spacing w:line="360" w:lineRule="auto"/>
        <w:tabs>
          <w:tab w:val="left" w:pos="4500" w:leader="none"/>
          <w:tab w:val="left" w:pos="4680" w:leader="none"/>
        </w:tabs>
        <w:rPr>
          <w:rFonts w:ascii="宋体" w:hAnsi="宋体" w:cs="宋体"/>
          <w:b/>
          <w:bCs/>
          <w:szCs w:val="21"/>
        </w:rPr>
        <w:outlineLvl w:val="1"/>
      </w:pPr>
      <w:r/>
      <w:bookmarkStart w:id="258" w:name="_Toc27385"/>
      <w:r/>
      <w:bookmarkStart w:id="259" w:name="_Toc8365"/>
      <w:r>
        <w:rPr>
          <w:rFonts w:hint="eastAsia" w:ascii="宋体" w:hAnsi="宋体" w:cs="宋体"/>
          <w:b/>
          <w:szCs w:val="21"/>
        </w:rPr>
        <w:t xml:space="preserve">品目</w:t>
      </w:r>
      <w:r>
        <w:rPr>
          <w:rFonts w:hint="eastAsia" w:ascii="宋体" w:hAnsi="宋体" w:cs="宋体"/>
          <w:b/>
          <w:bCs/>
          <w:szCs w:val="21"/>
        </w:rPr>
        <w:t xml:space="preserve">1 数字多用表</w:t>
      </w:r>
      <w:bookmarkEnd w:id="258"/>
      <w:r/>
      <w:bookmarkEnd w:id="259"/>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6"/>
        <w:gridCol w:w="3023"/>
        <w:gridCol w:w="2215"/>
        <w:gridCol w:w="3266"/>
      </w:tblGrid>
      <w:tr>
        <w:trPr>
          <w:trHeight w:val="389"/>
        </w:trPr>
        <w:tc>
          <w:tcPr>
            <w:tcW w:w="683"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序号</w:t>
            </w:r>
            <w:r>
              <w:rPr>
                <w:rFonts w:ascii="宋体" w:hAnsi="宋体" w:cs="宋体"/>
              </w:rPr>
            </w:r>
            <w:r/>
          </w:p>
        </w:tc>
        <w:tc>
          <w:tcPr>
            <w:tcW w:w="1534"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设备名称</w:t>
            </w:r>
            <w:r>
              <w:rPr>
                <w:rFonts w:ascii="宋体" w:hAnsi="宋体" w:cs="宋体"/>
              </w:rPr>
            </w:r>
            <w:r/>
          </w:p>
        </w:tc>
        <w:tc>
          <w:tcPr>
            <w:tcW w:w="1124"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数 量</w:t>
            </w:r>
            <w:r>
              <w:rPr>
                <w:rFonts w:ascii="宋体" w:hAnsi="宋体" w:cs="宋体"/>
              </w:rPr>
            </w:r>
            <w:r/>
          </w:p>
        </w:tc>
        <w:tc>
          <w:tcPr>
            <w:tcW w:w="1657"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合同履行期限（交货期）</w:t>
            </w:r>
            <w:r>
              <w:rPr>
                <w:rFonts w:ascii="宋体" w:hAnsi="宋体" w:cs="宋体"/>
              </w:rPr>
            </w:r>
            <w:r/>
          </w:p>
        </w:tc>
      </w:tr>
      <w:tr>
        <w:trPr>
          <w:cantSplit/>
          <w:trHeight w:val="454"/>
        </w:trPr>
        <w:tc>
          <w:tcPr>
            <w:tcW w:w="683"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534"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数字多用表</w:t>
            </w:r>
            <w:r>
              <w:rPr>
                <w:rFonts w:ascii="宋体" w:hAnsi="宋体" w:cs="宋体"/>
              </w:rPr>
            </w:r>
            <w:r/>
          </w:p>
        </w:tc>
        <w:tc>
          <w:tcPr>
            <w:tcW w:w="1124" w:type="dxa"/>
            <w:vAlign w:val="center"/>
            <w:textDirection w:val="lrTb"/>
            <w:noWrap w:val="false"/>
          </w:tcPr>
          <w:p>
            <w:pPr>
              <w:pStyle w:val="1559"/>
              <w:jc w:val="center"/>
              <w:spacing w:line="360" w:lineRule="auto"/>
              <w:rPr>
                <w:rFonts w:hint="eastAsia" w:ascii="宋体" w:hAnsi="宋体" w:cs="宋体"/>
              </w:rPr>
            </w:pPr>
            <w:r>
              <w:rPr>
                <w:rFonts w:hint="eastAsia" w:ascii="宋体" w:hAnsi="宋体" w:cs="宋体"/>
              </w:rPr>
              <w:t xml:space="preserve">1台</w:t>
            </w:r>
            <w:r>
              <w:rPr>
                <w:rFonts w:hint="eastAsia" w:ascii="宋体" w:hAnsi="宋体" w:cs="宋体"/>
              </w:rPr>
            </w:r>
            <w:r/>
          </w:p>
        </w:tc>
        <w:tc>
          <w:tcPr>
            <w:tcW w:w="1657" w:type="dxa"/>
            <w:vAlign w:val="center"/>
            <w:textDirection w:val="lrTb"/>
            <w:noWrap w:val="false"/>
          </w:tcPr>
          <w:p>
            <w:pPr>
              <w:pStyle w:val="1559"/>
              <w:jc w:val="center"/>
              <w:spacing w:line="360" w:lineRule="auto"/>
              <w:rPr>
                <w:rFonts w:ascii="宋体" w:hAnsi="宋体" w:cs="宋体"/>
              </w:rPr>
            </w:pPr>
            <w:r>
              <w:rPr>
                <w:rFonts w:hint="eastAsia" w:ascii="宋体" w:hAnsi="宋体" w:cs="宋体"/>
              </w:rPr>
              <w:t xml:space="preserve">合同签订后9个月</w:t>
            </w:r>
            <w:r>
              <w:rPr>
                <w:rFonts w:ascii="宋体" w:hAnsi="宋体" w:cs="宋体"/>
              </w:rPr>
            </w:r>
            <w:r/>
          </w:p>
        </w:tc>
      </w:tr>
    </w:tbl>
    <w:p>
      <w:pPr>
        <w:pStyle w:val="1559"/>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★1.测量范围： </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DCV：10mV～1000V；DCI：100μA～30A；ACV：10mV～1000V（50Hz～1MHz）；ACI：100μA～30A（40Hz～10kHz）；R：1Ω～10GΩ。</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★2.最大允许误差：</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DCV：±（2.7×10</w:t>
      </w:r>
      <w:r>
        <w:rPr>
          <w:rFonts w:hint="eastAsia" w:ascii="宋体" w:hAnsi="宋体" w:cs="宋体"/>
          <w:szCs w:val="21"/>
          <w:vertAlign w:val="superscript"/>
        </w:rPr>
        <w:t xml:space="preserve">-6</w:t>
      </w:r>
      <w:r>
        <w:rPr>
          <w:rFonts w:hint="eastAsia" w:ascii="宋体" w:hAnsi="宋体" w:cs="宋体"/>
          <w:szCs w:val="21"/>
        </w:rPr>
        <w:t xml:space="preserve">读数＋0.1×10</w:t>
      </w:r>
      <w:r>
        <w:rPr>
          <w:rFonts w:hint="eastAsia" w:ascii="宋体" w:hAnsi="宋体" w:cs="宋体"/>
          <w:szCs w:val="21"/>
          <w:vertAlign w:val="superscript"/>
        </w:rPr>
        <w:t xml:space="preserve">-6</w:t>
      </w:r>
      <w:r>
        <w:rPr>
          <w:rFonts w:hint="eastAsia" w:ascii="宋体" w:hAnsi="宋体" w:cs="宋体"/>
          <w:szCs w:val="21"/>
        </w:rPr>
        <w:t xml:space="preserve">量程）～ ±（5.1×10</w:t>
      </w:r>
      <w:r>
        <w:rPr>
          <w:rFonts w:hint="eastAsia" w:ascii="宋体" w:hAnsi="宋体" w:cs="宋体"/>
          <w:szCs w:val="21"/>
          <w:vertAlign w:val="superscript"/>
        </w:rPr>
        <w:t xml:space="preserve">-6</w:t>
      </w:r>
      <w:r>
        <w:rPr>
          <w:rFonts w:hint="eastAsia" w:ascii="宋体" w:hAnsi="宋体" w:cs="宋体"/>
          <w:szCs w:val="21"/>
        </w:rPr>
        <w:t xml:space="preserve">读数＋2.0×10</w:t>
      </w:r>
      <w:r>
        <w:rPr>
          <w:rFonts w:hint="eastAsia" w:ascii="宋体" w:hAnsi="宋体" w:cs="宋体"/>
          <w:szCs w:val="21"/>
          <w:vertAlign w:val="superscript"/>
        </w:rPr>
        <w:t xml:space="preserve">-6</w:t>
      </w:r>
      <w:r>
        <w:rPr>
          <w:rFonts w:hint="eastAsia" w:ascii="宋体" w:hAnsi="宋体" w:cs="宋体"/>
          <w:szCs w:val="21"/>
        </w:rPr>
        <w:t xml:space="preserve">量程）；</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DCI：±（6.5×10</w:t>
      </w:r>
      <w:r>
        <w:rPr>
          <w:rFonts w:hint="eastAsia" w:ascii="宋体" w:hAnsi="宋体" w:cs="宋体"/>
          <w:szCs w:val="21"/>
          <w:vertAlign w:val="superscript"/>
        </w:rPr>
        <w:t xml:space="preserve">-6</w:t>
      </w:r>
      <w:r>
        <w:rPr>
          <w:rFonts w:hint="eastAsia" w:ascii="宋体" w:hAnsi="宋体" w:cs="宋体"/>
          <w:szCs w:val="21"/>
        </w:rPr>
        <w:t xml:space="preserve">读数＋4×10</w:t>
      </w:r>
      <w:r>
        <w:rPr>
          <w:rFonts w:hint="eastAsia" w:ascii="宋体" w:hAnsi="宋体" w:cs="宋体"/>
          <w:szCs w:val="21"/>
          <w:vertAlign w:val="superscript"/>
        </w:rPr>
        <w:t xml:space="preserve">-6</w:t>
      </w:r>
      <w:r>
        <w:rPr>
          <w:rFonts w:hint="eastAsia" w:ascii="宋体" w:hAnsi="宋体" w:cs="宋体"/>
          <w:szCs w:val="21"/>
        </w:rPr>
        <w:t xml:space="preserve">量程）～ ±（4.9×10</w:t>
      </w:r>
      <w:r>
        <w:rPr>
          <w:rFonts w:hint="eastAsia" w:ascii="宋体" w:hAnsi="宋体" w:cs="宋体"/>
          <w:szCs w:val="21"/>
          <w:vertAlign w:val="superscript"/>
        </w:rPr>
        <w:t xml:space="preserve">-4</w:t>
      </w:r>
      <w:r>
        <w:rPr>
          <w:rFonts w:hint="eastAsia" w:ascii="宋体" w:hAnsi="宋体" w:cs="宋体"/>
          <w:szCs w:val="21"/>
        </w:rPr>
        <w:t xml:space="preserve">读数＋1.5×10</w:t>
      </w:r>
      <w:r>
        <w:rPr>
          <w:rFonts w:hint="eastAsia" w:ascii="宋体" w:hAnsi="宋体" w:cs="宋体"/>
          <w:szCs w:val="21"/>
          <w:vertAlign w:val="superscript"/>
        </w:rPr>
        <w:t xml:space="preserve">-4</w:t>
      </w:r>
      <w:r>
        <w:rPr>
          <w:rFonts w:hint="eastAsia" w:ascii="宋体" w:hAnsi="宋体" w:cs="宋体"/>
          <w:szCs w:val="21"/>
        </w:rPr>
        <w:t xml:space="preserve">量程）；</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ACV：±（6.0×10</w:t>
      </w:r>
      <w:r>
        <w:rPr>
          <w:rFonts w:hint="eastAsia" w:ascii="宋体" w:hAnsi="宋体" w:cs="宋体"/>
          <w:szCs w:val="21"/>
          <w:vertAlign w:val="superscript"/>
        </w:rPr>
        <w:t xml:space="preserve">-5</w:t>
      </w:r>
      <w:r>
        <w:rPr>
          <w:rFonts w:hint="eastAsia" w:ascii="宋体" w:hAnsi="宋体" w:cs="宋体"/>
          <w:szCs w:val="21"/>
        </w:rPr>
        <w:t xml:space="preserve">读数＋5×10</w:t>
      </w:r>
      <w:r>
        <w:rPr>
          <w:rFonts w:hint="eastAsia" w:ascii="宋体" w:hAnsi="宋体" w:cs="宋体"/>
          <w:szCs w:val="21"/>
          <w:vertAlign w:val="superscript"/>
        </w:rPr>
        <w:t xml:space="preserve">-6</w:t>
      </w:r>
      <w:r>
        <w:rPr>
          <w:rFonts w:hint="eastAsia" w:ascii="宋体" w:hAnsi="宋体" w:cs="宋体"/>
          <w:szCs w:val="21"/>
        </w:rPr>
        <w:t xml:space="preserve">量程）～ ±（2.0×10</w:t>
      </w:r>
      <w:r>
        <w:rPr>
          <w:rFonts w:hint="eastAsia" w:ascii="宋体" w:hAnsi="宋体" w:cs="宋体"/>
          <w:szCs w:val="21"/>
          <w:vertAlign w:val="superscript"/>
        </w:rPr>
        <w:t xml:space="preserve">-2</w:t>
      </w:r>
      <w:r>
        <w:rPr>
          <w:rFonts w:hint="eastAsia" w:ascii="宋体" w:hAnsi="宋体" w:cs="宋体"/>
          <w:szCs w:val="21"/>
        </w:rPr>
        <w:t xml:space="preserve">读数＋0.5×10</w:t>
      </w:r>
      <w:r>
        <w:rPr>
          <w:rFonts w:hint="eastAsia" w:ascii="宋体" w:hAnsi="宋体" w:cs="宋体"/>
          <w:szCs w:val="21"/>
          <w:vertAlign w:val="superscript"/>
        </w:rPr>
        <w:t xml:space="preserve">-2</w:t>
      </w:r>
      <w:r>
        <w:rPr>
          <w:rFonts w:hint="eastAsia" w:ascii="宋体" w:hAnsi="宋体" w:cs="宋体"/>
          <w:szCs w:val="21"/>
        </w:rPr>
        <w:t xml:space="preserve">量程）； </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ACI：±（2.5×10</w:t>
      </w:r>
      <w:r>
        <w:rPr>
          <w:rFonts w:hint="eastAsia" w:ascii="宋体" w:hAnsi="宋体" w:cs="宋体"/>
          <w:szCs w:val="21"/>
          <w:vertAlign w:val="superscript"/>
        </w:rPr>
        <w:t xml:space="preserve">-4</w:t>
      </w:r>
      <w:r>
        <w:rPr>
          <w:rFonts w:hint="eastAsia" w:ascii="宋体" w:hAnsi="宋体" w:cs="宋体"/>
          <w:szCs w:val="21"/>
        </w:rPr>
        <w:t xml:space="preserve">读数+5.0×10</w:t>
      </w:r>
      <w:r>
        <w:rPr>
          <w:rFonts w:hint="eastAsia" w:ascii="宋体" w:hAnsi="宋体" w:cs="宋体"/>
          <w:szCs w:val="21"/>
          <w:vertAlign w:val="superscript"/>
        </w:rPr>
        <w:t xml:space="preserve">-5</w:t>
      </w:r>
      <w:r>
        <w:rPr>
          <w:rFonts w:hint="eastAsia" w:ascii="宋体" w:hAnsi="宋体" w:cs="宋体"/>
          <w:szCs w:val="21"/>
        </w:rPr>
        <w:t xml:space="preserve">量程）～ ±（1.2×10</w:t>
      </w:r>
      <w:r>
        <w:rPr>
          <w:rFonts w:hint="eastAsia" w:ascii="宋体" w:hAnsi="宋体" w:cs="宋体"/>
          <w:szCs w:val="21"/>
          <w:vertAlign w:val="superscript"/>
        </w:rPr>
        <w:t xml:space="preserve">-3</w:t>
      </w:r>
      <w:r>
        <w:rPr>
          <w:rFonts w:hint="eastAsia" w:ascii="宋体" w:hAnsi="宋体" w:cs="宋体"/>
          <w:szCs w:val="21"/>
        </w:rPr>
        <w:t xml:space="preserve">读数+4.0×10</w:t>
      </w:r>
      <w:r>
        <w:rPr>
          <w:rFonts w:hint="eastAsia" w:ascii="宋体" w:hAnsi="宋体" w:cs="宋体"/>
          <w:szCs w:val="21"/>
          <w:vertAlign w:val="superscript"/>
        </w:rPr>
        <w:t xml:space="preserve">-4</w:t>
      </w:r>
      <w:r>
        <w:rPr>
          <w:rFonts w:hint="eastAsia" w:ascii="宋体" w:hAnsi="宋体" w:cs="宋体"/>
          <w:szCs w:val="21"/>
        </w:rPr>
        <w:t xml:space="preserve">量程）； </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R：±（7.0×10</w:t>
      </w:r>
      <w:r>
        <w:rPr>
          <w:rFonts w:hint="eastAsia" w:ascii="宋体" w:hAnsi="宋体" w:cs="宋体"/>
          <w:szCs w:val="21"/>
          <w:vertAlign w:val="superscript"/>
        </w:rPr>
        <w:t xml:space="preserve">-6</w:t>
      </w:r>
      <w:r>
        <w:rPr>
          <w:rFonts w:hint="eastAsia" w:ascii="宋体" w:hAnsi="宋体" w:cs="宋体"/>
          <w:szCs w:val="21"/>
        </w:rPr>
        <w:t xml:space="preserve">读数+5.0×10</w:t>
      </w:r>
      <w:r>
        <w:rPr>
          <w:rFonts w:hint="eastAsia" w:ascii="宋体" w:hAnsi="宋体" w:cs="宋体"/>
          <w:szCs w:val="21"/>
          <w:vertAlign w:val="superscript"/>
        </w:rPr>
        <w:t xml:space="preserve">-7</w:t>
      </w:r>
      <w:r>
        <w:rPr>
          <w:rFonts w:hint="eastAsia" w:ascii="宋体" w:hAnsi="宋体" w:cs="宋体"/>
          <w:szCs w:val="21"/>
        </w:rPr>
        <w:t xml:space="preserve">量程）～±（5.3×10</w:t>
      </w:r>
      <w:r>
        <w:rPr>
          <w:rFonts w:hint="eastAsia" w:ascii="宋体" w:hAnsi="宋体" w:cs="宋体"/>
          <w:szCs w:val="21"/>
          <w:vertAlign w:val="superscript"/>
        </w:rPr>
        <w:t xml:space="preserve">-4</w:t>
      </w:r>
      <w:r>
        <w:rPr>
          <w:rFonts w:hint="eastAsia" w:ascii="宋体" w:hAnsi="宋体" w:cs="宋体"/>
          <w:szCs w:val="21"/>
        </w:rPr>
        <w:t xml:space="preserve">读数+1.0×10</w:t>
      </w:r>
      <w:r>
        <w:rPr>
          <w:rFonts w:hint="eastAsia" w:ascii="宋体" w:hAnsi="宋体" w:cs="宋体"/>
          <w:szCs w:val="21"/>
          <w:vertAlign w:val="superscript"/>
        </w:rPr>
        <w:t xml:space="preserve">-3</w:t>
      </w:r>
      <w:r>
        <w:rPr>
          <w:rFonts w:hint="eastAsia" w:ascii="宋体" w:hAnsi="宋体" w:cs="宋体"/>
          <w:szCs w:val="21"/>
        </w:rPr>
        <w:t xml:space="preserve">量程）。</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3.至少8位半数字显示，大尺寸液晶触摸屏，显示直观，操作便捷。</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4.应能够自动切换量程和手动切换量程两种模式；能直接测量交直流电压、交直流电流、电阻、频率等。</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5.应能实现自动检测，配置USB、以太网、CAN等通讯接口，提供通讯协议便于组建自动化测试系统。控制系统不低于以下配置：四核，16G内存，512G存储容量。</w:t>
      </w:r>
      <w:r>
        <w:rPr>
          <w:rFonts w:ascii="宋体" w:hAnsi="宋体" w:cs="宋体"/>
          <w:szCs w:val="21"/>
        </w:rPr>
      </w:r>
      <w:r/>
    </w:p>
    <w:p>
      <w:pPr>
        <w:pStyle w:val="1559"/>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1.验收依据：JJF 1587-2016《数字多用表校准规范》、厂家用户手册中的技术要求、本技术文件。</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2.卖方负责将设备送检至中国计量科学研究院进行检定/校准，并出具检定/校准证书，检测费用由卖方承担。</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559"/>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★1.数字多用表的质保期为验收合格之日起2年。</w:t>
      </w:r>
      <w:r>
        <w:rPr>
          <w:rFonts w:ascii="宋体" w:hAnsi="宋体" w:cs="宋体"/>
          <w:szCs w:val="21"/>
        </w:rPr>
      </w:r>
      <w:r/>
    </w:p>
    <w:p>
      <w:pPr>
        <w:pStyle w:val="1559"/>
        <w:jc w:val="center"/>
        <w:spacing w:line="360" w:lineRule="auto"/>
        <w:tabs>
          <w:tab w:val="left" w:pos="4500" w:leader="none"/>
          <w:tab w:val="left" w:pos="4680" w:leader="none"/>
        </w:tabs>
        <w:rPr>
          <w:rFonts w:ascii="宋体" w:hAnsi="宋体" w:cs="宋体"/>
          <w:b/>
          <w:bCs/>
          <w:szCs w:val="21"/>
        </w:rPr>
        <w:outlineLvl w:val="1"/>
      </w:pPr>
      <w:r/>
      <w:bookmarkStart w:id="260" w:name="_Toc8913"/>
      <w:r/>
      <w:bookmarkStart w:id="261" w:name="_Toc17787"/>
      <w:r>
        <w:rPr>
          <w:rFonts w:hint="eastAsia" w:ascii="宋体" w:hAnsi="宋体" w:cs="宋体"/>
          <w:b/>
          <w:szCs w:val="21"/>
        </w:rPr>
        <w:t xml:space="preserve">品目</w:t>
      </w:r>
      <w:r>
        <w:rPr>
          <w:rFonts w:hint="eastAsia" w:ascii="宋体" w:hAnsi="宋体" w:cs="宋体"/>
          <w:b/>
          <w:bCs/>
          <w:szCs w:val="21"/>
        </w:rPr>
        <w:t xml:space="preserve">2 数字式高阻检定仪</w:t>
      </w:r>
      <w:bookmarkEnd w:id="260"/>
      <w:r/>
      <w:bookmarkEnd w:id="261"/>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5"/>
        <w:gridCol w:w="2868"/>
        <w:gridCol w:w="1734"/>
        <w:gridCol w:w="3603"/>
      </w:tblGrid>
      <w:tr>
        <w:trPr>
          <w:trHeight w:val="445"/>
        </w:trPr>
        <w:tc>
          <w:tcPr>
            <w:tcW w:w="835" w:type="dxa"/>
            <w:vAlign w:val="center"/>
            <w:textDirection w:val="lrTb"/>
            <w:noWrap w:val="false"/>
          </w:tcPr>
          <w:p>
            <w:pPr>
              <w:pStyle w:val="1559"/>
              <w:jc w:val="center"/>
              <w:rPr>
                <w:rFonts w:ascii="宋体" w:hAnsi="宋体" w:cs="宋体"/>
              </w:rPr>
            </w:pPr>
            <w:r>
              <w:rPr>
                <w:rFonts w:hint="eastAsia" w:ascii="宋体" w:hAnsi="宋体" w:cs="宋体"/>
              </w:rPr>
              <w:t xml:space="preserve">序号</w:t>
            </w:r>
            <w:r>
              <w:rPr>
                <w:rFonts w:ascii="宋体" w:hAnsi="宋体" w:cs="宋体"/>
              </w:rPr>
            </w:r>
            <w:r/>
          </w:p>
        </w:tc>
        <w:tc>
          <w:tcPr>
            <w:tcW w:w="1455" w:type="dxa"/>
            <w:vAlign w:val="center"/>
            <w:textDirection w:val="lrTb"/>
            <w:noWrap w:val="false"/>
          </w:tcPr>
          <w:p>
            <w:pPr>
              <w:pStyle w:val="1559"/>
              <w:jc w:val="center"/>
              <w:rPr>
                <w:rFonts w:ascii="宋体" w:hAnsi="宋体" w:cs="宋体"/>
              </w:rPr>
            </w:pPr>
            <w:r>
              <w:rPr>
                <w:rFonts w:hint="eastAsia" w:ascii="宋体" w:hAnsi="宋体" w:cs="宋体"/>
              </w:rPr>
              <w:t xml:space="preserve">设备名称</w:t>
            </w:r>
            <w:r>
              <w:rPr>
                <w:rFonts w:ascii="宋体" w:hAnsi="宋体" w:cs="宋体"/>
              </w:rPr>
            </w:r>
            <w:r/>
          </w:p>
        </w:tc>
        <w:tc>
          <w:tcPr>
            <w:tcW w:w="880" w:type="dxa"/>
            <w:vAlign w:val="center"/>
            <w:textDirection w:val="lrTb"/>
            <w:noWrap w:val="false"/>
          </w:tcPr>
          <w:p>
            <w:pPr>
              <w:pStyle w:val="1559"/>
              <w:jc w:val="center"/>
              <w:rPr>
                <w:rFonts w:ascii="宋体" w:hAnsi="宋体" w:cs="宋体"/>
              </w:rPr>
            </w:pPr>
            <w:r>
              <w:rPr>
                <w:rFonts w:hint="eastAsia" w:ascii="宋体" w:hAnsi="宋体" w:cs="宋体"/>
              </w:rPr>
              <w:t xml:space="preserve">数 量</w:t>
            </w:r>
            <w:r>
              <w:rPr>
                <w:rFonts w:ascii="宋体" w:hAnsi="宋体" w:cs="宋体"/>
              </w:rPr>
            </w:r>
            <w:r/>
          </w:p>
        </w:tc>
        <w:tc>
          <w:tcPr>
            <w:tcW w:w="1828" w:type="dxa"/>
            <w:vAlign w:val="center"/>
            <w:textDirection w:val="lrTb"/>
            <w:noWrap w:val="false"/>
          </w:tcPr>
          <w:p>
            <w:pPr>
              <w:pStyle w:val="1559"/>
              <w:jc w:val="center"/>
              <w:rPr>
                <w:rFonts w:ascii="宋体" w:hAnsi="宋体" w:cs="宋体"/>
              </w:rPr>
            </w:pPr>
            <w:r>
              <w:rPr>
                <w:rFonts w:hint="eastAsia" w:ascii="宋体" w:hAnsi="宋体" w:cs="宋体"/>
              </w:rPr>
              <w:t xml:space="preserve">合同履行期限（交货期）</w:t>
            </w:r>
            <w:r>
              <w:rPr>
                <w:rFonts w:ascii="宋体" w:hAnsi="宋体" w:cs="宋体"/>
              </w:rPr>
            </w:r>
            <w:r/>
          </w:p>
        </w:tc>
      </w:tr>
      <w:tr>
        <w:trPr>
          <w:cantSplit/>
          <w:trHeight w:val="555"/>
        </w:trPr>
        <w:tc>
          <w:tcPr>
            <w:tcW w:w="835" w:type="dxa"/>
            <w:vAlign w:val="center"/>
            <w:textDirection w:val="lrTb"/>
            <w:noWrap w:val="false"/>
          </w:tcPr>
          <w:p>
            <w:pPr>
              <w:pStyle w:val="1559"/>
              <w:jc w:val="center"/>
              <w:rPr>
                <w:rFonts w:ascii="宋体" w:hAnsi="宋体" w:cs="宋体"/>
              </w:rPr>
            </w:pPr>
            <w:r>
              <w:rPr>
                <w:rFonts w:hint="eastAsia" w:ascii="宋体" w:hAnsi="宋体" w:cs="宋体"/>
              </w:rPr>
              <w:t xml:space="preserve">1</w:t>
            </w:r>
            <w:r>
              <w:rPr>
                <w:rFonts w:ascii="宋体" w:hAnsi="宋体" w:cs="宋体"/>
              </w:rPr>
            </w:r>
            <w:r/>
          </w:p>
        </w:tc>
        <w:tc>
          <w:tcPr>
            <w:tcW w:w="1455" w:type="dxa"/>
            <w:vAlign w:val="center"/>
            <w:textDirection w:val="lrTb"/>
            <w:noWrap w:val="false"/>
          </w:tcPr>
          <w:p>
            <w:pPr>
              <w:pStyle w:val="1559"/>
              <w:jc w:val="center"/>
              <w:rPr>
                <w:rFonts w:ascii="宋体" w:hAnsi="宋体" w:cs="宋体"/>
              </w:rPr>
            </w:pPr>
            <w:r>
              <w:rPr>
                <w:rFonts w:hint="eastAsia" w:ascii="宋体" w:hAnsi="宋体" w:cs="宋体"/>
              </w:rPr>
              <w:t xml:space="preserve">数字式高阻检定仪</w:t>
            </w:r>
            <w:r>
              <w:rPr>
                <w:rFonts w:ascii="宋体" w:hAnsi="宋体" w:cs="宋体"/>
              </w:rPr>
            </w:r>
            <w:r/>
          </w:p>
        </w:tc>
        <w:tc>
          <w:tcPr>
            <w:tcW w:w="880" w:type="dxa"/>
            <w:vAlign w:val="center"/>
            <w:textDirection w:val="lrTb"/>
            <w:noWrap w:val="false"/>
          </w:tcPr>
          <w:p>
            <w:pPr>
              <w:pStyle w:val="1559"/>
              <w:jc w:val="center"/>
              <w:rPr>
                <w:rFonts w:ascii="宋体" w:hAnsi="宋体" w:cs="宋体"/>
              </w:rPr>
            </w:pPr>
            <w:r>
              <w:rPr>
                <w:rFonts w:hint="eastAsia" w:ascii="宋体" w:hAnsi="宋体" w:cs="宋体"/>
              </w:rPr>
              <w:t xml:space="preserve">1台</w:t>
            </w:r>
            <w:r>
              <w:rPr>
                <w:rFonts w:ascii="宋体" w:hAnsi="宋体" w:cs="宋体"/>
              </w:rPr>
            </w:r>
            <w:r/>
          </w:p>
        </w:tc>
        <w:tc>
          <w:tcPr>
            <w:tcW w:w="1828" w:type="dxa"/>
            <w:vAlign w:val="center"/>
            <w:textDirection w:val="lrTb"/>
            <w:noWrap w:val="false"/>
          </w:tcPr>
          <w:p>
            <w:pPr>
              <w:pStyle w:val="1559"/>
              <w:jc w:val="center"/>
              <w:rPr>
                <w:rFonts w:ascii="宋体" w:hAnsi="宋体" w:cs="宋体"/>
              </w:rPr>
            </w:pPr>
            <w:r>
              <w:rPr>
                <w:rFonts w:hint="eastAsia" w:ascii="宋体" w:hAnsi="宋体" w:cs="宋体"/>
              </w:rPr>
              <w:t xml:space="preserve">合同签订后</w:t>
            </w:r>
            <w:r>
              <w:rPr>
                <w:rFonts w:ascii="宋体" w:hAnsi="宋体" w:cs="宋体"/>
              </w:rPr>
              <w:t xml:space="preserve">9</w:t>
            </w:r>
            <w:r>
              <w:rPr>
                <w:rFonts w:hint="eastAsia" w:ascii="宋体" w:hAnsi="宋体" w:cs="宋体"/>
              </w:rPr>
              <w:t xml:space="preserve">个月</w:t>
            </w:r>
            <w:r>
              <w:rPr>
                <w:rFonts w:ascii="宋体" w:hAnsi="宋体" w:cs="宋体"/>
              </w:rPr>
            </w:r>
            <w:r/>
          </w:p>
        </w:tc>
      </w:tr>
    </w:tbl>
    <w:p>
      <w:pPr>
        <w:pStyle w:val="1559"/>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★1.电阻：测量范围：100Ω～10TΩ，最大允许误差：±0.02% 。</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★2.电压：测量范围：（10～10000）V，最大允许误差：±0.02% 。</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3.应能实现全自动化检测，包括测试参数配置、数据采集、结果分析及异常判定。</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4.可自动生成符合检定规程的检校记录和报告。</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5.需配置USB、以太网、CAN等通讯接口，提供通讯协议便于组建自动化测试系统。</w:t>
      </w:r>
      <w:r>
        <w:rPr>
          <w:rFonts w:ascii="宋体" w:hAnsi="宋体" w:cs="宋体"/>
          <w:szCs w:val="21"/>
        </w:rPr>
      </w:r>
      <w:r/>
    </w:p>
    <w:p>
      <w:pPr>
        <w:pStyle w:val="1559"/>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1.验收依据：JJG 1072-2011 《直流高压高值电阻器检定规程》、JJF 1597-2016 《直流稳定电源校准规范》、仪器用户说明书、本技术文件。</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559"/>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★1.数字式高阻检定仪的质保期为验收合格之日起3年。</w:t>
      </w:r>
      <w:r>
        <w:rPr>
          <w:rFonts w:ascii="宋体" w:hAnsi="宋体" w:cs="宋体"/>
          <w:szCs w:val="21"/>
        </w:rPr>
      </w:r>
      <w:r/>
    </w:p>
    <w:p>
      <w:pPr>
        <w:pStyle w:val="1559"/>
        <w:jc w:val="center"/>
        <w:spacing w:line="360" w:lineRule="auto"/>
        <w:tabs>
          <w:tab w:val="left" w:pos="4500" w:leader="none"/>
          <w:tab w:val="left" w:pos="4680" w:leader="none"/>
        </w:tabs>
        <w:rPr>
          <w:rFonts w:hint="eastAsia" w:ascii="宋体" w:hAnsi="宋体" w:eastAsia="宋体" w:cs="宋体"/>
          <w:b/>
          <w:szCs w:val="21"/>
          <w:lang w:eastAsia="zh-CN"/>
        </w:rPr>
        <w:outlineLvl w:val="1"/>
      </w:pPr>
      <w:r/>
      <w:bookmarkStart w:id="262" w:name="_Toc10858"/>
      <w:r/>
      <w:bookmarkStart w:id="263" w:name="_Toc18134"/>
      <w:r>
        <w:rPr>
          <w:rFonts w:hint="eastAsia" w:ascii="宋体" w:hAnsi="宋体" w:cs="宋体"/>
          <w:b/>
          <w:szCs w:val="21"/>
        </w:rPr>
        <w:t xml:space="preserve">分包</w:t>
      </w:r>
      <w:bookmarkEnd w:id="262"/>
      <w:r/>
      <w:bookmarkEnd w:id="263"/>
      <w:r>
        <w:rPr>
          <w:rFonts w:hint="eastAsia" w:ascii="宋体" w:hAnsi="宋体" w:cs="宋体"/>
          <w:b/>
          <w:szCs w:val="21"/>
          <w:lang w:val="en-US" w:eastAsia="zh-CN"/>
        </w:rPr>
        <w:t xml:space="preserve">4</w:t>
      </w:r>
      <w:r>
        <w:rPr>
          <w:rFonts w:hint="eastAsia" w:ascii="宋体" w:hAnsi="宋体" w:eastAsia="宋体" w:cs="宋体"/>
          <w:b/>
          <w:szCs w:val="21"/>
          <w:lang w:eastAsia="zh-CN"/>
        </w:rPr>
      </w:r>
      <w:r/>
    </w:p>
    <w:p>
      <w:pPr>
        <w:pStyle w:val="1559"/>
        <w:jc w:val="center"/>
        <w:spacing w:line="360" w:lineRule="auto"/>
        <w:tabs>
          <w:tab w:val="left" w:pos="4500" w:leader="none"/>
          <w:tab w:val="left" w:pos="4680" w:leader="none"/>
        </w:tabs>
        <w:rPr>
          <w:rFonts w:ascii="宋体" w:hAnsi="宋体" w:cs="宋体"/>
          <w:b/>
          <w:bCs/>
          <w:szCs w:val="21"/>
        </w:rPr>
        <w:outlineLvl w:val="1"/>
      </w:pPr>
      <w:r/>
      <w:bookmarkStart w:id="264" w:name="_Toc6665"/>
      <w:r/>
      <w:bookmarkStart w:id="265" w:name="_Toc10408"/>
      <w:r>
        <w:rPr>
          <w:rFonts w:hint="eastAsia" w:ascii="宋体" w:hAnsi="宋体" w:cs="宋体"/>
          <w:b/>
          <w:szCs w:val="21"/>
        </w:rPr>
        <w:t xml:space="preserve">品目</w:t>
      </w:r>
      <w:r>
        <w:rPr>
          <w:rFonts w:hint="eastAsia" w:ascii="宋体" w:hAnsi="宋体" w:cs="宋体"/>
          <w:b/>
          <w:bCs/>
          <w:szCs w:val="21"/>
        </w:rPr>
        <w:t xml:space="preserve">1 声校准器</w:t>
      </w:r>
      <w:bookmarkEnd w:id="264"/>
      <w:r/>
      <w:bookmarkEnd w:id="265"/>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3425"/>
        <w:gridCol w:w="1539"/>
        <w:gridCol w:w="3275"/>
      </w:tblGrid>
      <w:tr>
        <w:trPr>
          <w:trHeight w:val="389"/>
        </w:trPr>
        <w:tc>
          <w:tcPr>
            <w:tcW w:w="818" w:type="dxa"/>
            <w:vAlign w:val="center"/>
            <w:textDirection w:val="lrTb"/>
            <w:noWrap w:val="false"/>
          </w:tcPr>
          <w:p>
            <w:pPr>
              <w:pStyle w:val="1559"/>
              <w:ind w:right="141"/>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38"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781"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662"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9"/>
        </w:trPr>
        <w:tc>
          <w:tcPr>
            <w:tcW w:w="818"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38"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声校准器</w:t>
            </w:r>
            <w:r>
              <w:rPr>
                <w:rFonts w:ascii="宋体" w:hAnsi="宋体" w:cs="宋体"/>
                <w:szCs w:val="21"/>
              </w:rPr>
            </w:r>
            <w:r/>
          </w:p>
        </w:tc>
        <w:tc>
          <w:tcPr>
            <w:tcW w:w="781"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1662"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ascii="宋体" w:hAnsi="宋体" w:cs="宋体"/>
                <w:szCs w:val="21"/>
              </w:rPr>
            </w:r>
            <w:r/>
          </w:p>
        </w:tc>
      </w:tr>
    </w:tbl>
    <w:p>
      <w:pPr>
        <w:pStyle w:val="1559"/>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1.应至少包含250Hz，124dB点；</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★2.接受限：声压级：0.10dB；频率：0.7%；总失真+噪声：2.0%。（以上要求为160Hz～1250Hz点内满足。）</w:t>
      </w:r>
      <w:r>
        <w:rPr>
          <w:rFonts w:ascii="宋体" w:hAnsi="宋体" w:cs="宋体"/>
          <w:szCs w:val="21"/>
        </w:rPr>
      </w:r>
      <w:r/>
    </w:p>
    <w:p>
      <w:pPr>
        <w:pStyle w:val="1559"/>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1.验收依据：JJG 176-2022《声校准器检定规程》、制造厂商提供的用户手册中的技术要求、本技术文件。</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2.卖方负责将设备送检至中国计量科学研究院进行检定，并出具检定证书，检定费用由卖方承担。</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559"/>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★1.声校准器的质保期为验收合格之日起3年。</w:t>
      </w:r>
      <w:r>
        <w:rPr>
          <w:rFonts w:ascii="宋体" w:hAnsi="宋体" w:cs="宋体"/>
          <w:szCs w:val="21"/>
        </w:rPr>
      </w:r>
      <w:r/>
    </w:p>
    <w:p>
      <w:pPr>
        <w:pStyle w:val="1559"/>
        <w:jc w:val="center"/>
        <w:spacing w:line="360" w:lineRule="auto"/>
        <w:tabs>
          <w:tab w:val="left" w:pos="4500" w:leader="none"/>
          <w:tab w:val="left" w:pos="4680" w:leader="none"/>
        </w:tabs>
        <w:rPr>
          <w:rFonts w:ascii="宋体" w:hAnsi="宋体" w:cs="宋体"/>
          <w:b/>
          <w:bCs/>
          <w:szCs w:val="21"/>
        </w:rPr>
        <w:outlineLvl w:val="1"/>
      </w:pPr>
      <w:r/>
      <w:bookmarkStart w:id="266" w:name="_Toc23665"/>
      <w:r/>
      <w:bookmarkStart w:id="267" w:name="_Toc20890"/>
      <w:r>
        <w:rPr>
          <w:rFonts w:hint="eastAsia" w:ascii="宋体" w:hAnsi="宋体" w:cs="宋体"/>
          <w:b/>
          <w:szCs w:val="21"/>
        </w:rPr>
        <w:t xml:space="preserve">品目</w:t>
      </w:r>
      <w:r>
        <w:rPr>
          <w:rFonts w:hint="eastAsia" w:ascii="宋体" w:hAnsi="宋体" w:cs="宋体"/>
          <w:b/>
          <w:bCs/>
          <w:szCs w:val="21"/>
        </w:rPr>
        <w:t xml:space="preserve">2 声校准器</w:t>
      </w:r>
      <w:bookmarkEnd w:id="266"/>
      <w:r/>
      <w:bookmarkEnd w:id="267"/>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2"/>
        <w:gridCol w:w="3237"/>
        <w:gridCol w:w="1507"/>
        <w:gridCol w:w="3494"/>
      </w:tblGrid>
      <w:tr>
        <w:trPr>
          <w:trHeight w:val="389"/>
        </w:trPr>
        <w:tc>
          <w:tcPr>
            <w:tcW w:w="818" w:type="dxa"/>
            <w:vAlign w:val="center"/>
            <w:textDirection w:val="lrTb"/>
            <w:noWrap w:val="false"/>
          </w:tcPr>
          <w:p>
            <w:pPr>
              <w:pStyle w:val="1559"/>
              <w:ind w:right="141"/>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43"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765"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773"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18"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43"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声校准器</w:t>
            </w:r>
            <w:r>
              <w:rPr>
                <w:rFonts w:ascii="宋体" w:hAnsi="宋体" w:cs="宋体"/>
                <w:szCs w:val="21"/>
              </w:rPr>
            </w:r>
            <w:r/>
          </w:p>
        </w:tc>
        <w:tc>
          <w:tcPr>
            <w:tcW w:w="765" w:type="dxa"/>
            <w:vAlign w:val="center"/>
            <w:textDirection w:val="lrTb"/>
            <w:noWrap w:val="false"/>
          </w:tcPr>
          <w:p>
            <w:pPr>
              <w:pStyle w:val="1559"/>
              <w:jc w:val="center"/>
              <w:spacing w:line="360" w:lineRule="auto"/>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1773"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合同签订后6个月</w:t>
            </w:r>
            <w:r>
              <w:rPr>
                <w:rFonts w:ascii="宋体" w:hAnsi="宋体" w:cs="宋体"/>
                <w:szCs w:val="21"/>
              </w:rPr>
            </w:r>
            <w:r/>
          </w:p>
        </w:tc>
      </w:tr>
    </w:tbl>
    <w:p>
      <w:pPr>
        <w:pStyle w:val="1559"/>
        <w:spacing w:line="360" w:lineRule="auto"/>
        <w:tabs>
          <w:tab w:val="left" w:pos="4500" w:leader="none"/>
          <w:tab w:val="left" w:pos="4680" w:leader="none"/>
        </w:tabs>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2"/>
        <w:jc w:val="left"/>
        <w:spacing w:line="360" w:lineRule="auto"/>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1.频率范围优于20Hz～16kHz，声压级应包含94dB，频率点应包含相应频带内的所有1/3倍频程点。</w:t>
      </w:r>
      <w:r>
        <w:rPr>
          <w:rFonts w:ascii="宋体" w:hAnsi="宋体" w:cs="宋体"/>
          <w:szCs w:val="21"/>
        </w:rPr>
      </w:r>
      <w:r/>
    </w:p>
    <w:p>
      <w:pPr>
        <w:pStyle w:val="1559"/>
        <w:ind w:firstLine="420"/>
        <w:jc w:val="left"/>
        <w:spacing w:line="360" w:lineRule="auto"/>
        <w:widowControl/>
        <w:rPr>
          <w:rFonts w:ascii="宋体" w:hAnsi="宋体" w:cs="宋体"/>
          <w:szCs w:val="21"/>
        </w:rPr>
      </w:pPr>
      <w:r>
        <w:rPr>
          <w:rFonts w:hint="eastAsia" w:ascii="宋体" w:hAnsi="宋体" w:cs="宋体"/>
          <w:szCs w:val="21"/>
        </w:rPr>
        <w:t xml:space="preserve">2.包含声学检定/校准所需要的单个猝发音和重复猝发音电信号输出，对自由场、压力场、扩散场等不同类型的传声器有合理的修正补偿机制。</w:t>
      </w:r>
      <w:r>
        <w:rPr>
          <w:rFonts w:ascii="宋体" w:hAnsi="宋体" w:cs="宋体"/>
          <w:szCs w:val="21"/>
        </w:rPr>
      </w:r>
      <w:r/>
    </w:p>
    <w:p>
      <w:pPr>
        <w:pStyle w:val="1559"/>
        <w:ind w:firstLine="420"/>
        <w:jc w:val="left"/>
        <w:spacing w:line="360" w:lineRule="auto"/>
        <w:widowControl/>
        <w:rPr>
          <w:rFonts w:ascii="宋体" w:hAnsi="宋体" w:cs="宋体"/>
          <w:szCs w:val="21"/>
        </w:rPr>
      </w:pPr>
      <w:r>
        <w:rPr>
          <w:rFonts w:hint="eastAsia" w:ascii="宋体" w:hAnsi="宋体" w:cs="宋体"/>
          <w:szCs w:val="21"/>
        </w:rPr>
        <w:t xml:space="preserve">★3.接受限如下表：</w:t>
      </w:r>
      <w:r>
        <w:rPr>
          <w:rFonts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2"/>
        <w:gridCol w:w="2132"/>
        <w:gridCol w:w="2132"/>
        <w:gridCol w:w="2132"/>
      </w:tblGrid>
      <w:tr>
        <w:trPr>
          <w:trHeight w:val="329" w:hRule="exact"/>
        </w:trPr>
        <w:tc>
          <w:tcPr>
            <w:tcW w:w="2132" w:type="dxa"/>
            <w:vAlign w:val="center"/>
            <w:vMerge w:val="restart"/>
            <w:textDirection w:val="lrTb"/>
            <w:noWrap w:val="false"/>
          </w:tcPr>
          <w:p>
            <w:pPr>
              <w:pStyle w:val="1559"/>
              <w:jc w:val="center"/>
              <w:rPr>
                <w:rFonts w:ascii="宋体" w:hAnsi="宋体" w:cs="宋体"/>
                <w:szCs w:val="21"/>
              </w:rPr>
            </w:pPr>
            <w:r>
              <w:rPr>
                <w:rFonts w:hint="eastAsia" w:ascii="宋体" w:hAnsi="宋体" w:cs="宋体"/>
                <w:szCs w:val="21"/>
              </w:rPr>
              <w:t xml:space="preserve">标称频率/Hz</w:t>
            </w:r>
            <w:r>
              <w:rPr>
                <w:rFonts w:ascii="宋体" w:hAnsi="宋体" w:cs="宋体"/>
                <w:szCs w:val="21"/>
              </w:rPr>
            </w:r>
            <w:r/>
          </w:p>
        </w:tc>
        <w:tc>
          <w:tcPr>
            <w:gridSpan w:val="3"/>
            <w:tcW w:w="6396"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接受限</w:t>
            </w:r>
            <w:r>
              <w:rPr>
                <w:rFonts w:ascii="宋体" w:hAnsi="宋体" w:cs="宋体"/>
                <w:szCs w:val="21"/>
              </w:rPr>
            </w:r>
            <w:r/>
          </w:p>
        </w:tc>
      </w:tr>
      <w:tr>
        <w:trPr>
          <w:trHeight w:val="420" w:hRule="exact"/>
        </w:trPr>
        <w:tc>
          <w:tcPr>
            <w:tcW w:w="2132" w:type="dxa"/>
            <w:vAlign w:val="center"/>
            <w:vMerge w:val="continue"/>
            <w:textDirection w:val="lrTb"/>
            <w:noWrap w:val="false"/>
          </w:tcPr>
          <w:p>
            <w:pPr>
              <w:pStyle w:val="1559"/>
              <w:jc w:val="center"/>
              <w:rPr>
                <w:rFonts w:ascii="宋体" w:hAnsi="宋体" w:cs="宋体"/>
                <w:szCs w:val="21"/>
              </w:rPr>
            </w:pPr>
            <w:r>
              <w:rPr>
                <w:rFonts w:ascii="宋体" w:hAnsi="宋体" w:cs="宋体"/>
                <w:szCs w:val="21"/>
              </w:rPr>
            </w:r>
            <w:r/>
          </w:p>
        </w:tc>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声压级/dB</w:t>
            </w:r>
            <w:r>
              <w:rPr>
                <w:rFonts w:ascii="宋体" w:hAnsi="宋体" w:cs="宋体"/>
                <w:szCs w:val="21"/>
              </w:rPr>
            </w:r>
            <w:r/>
          </w:p>
        </w:tc>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频率/%</w:t>
            </w:r>
            <w:r>
              <w:rPr>
                <w:rFonts w:ascii="宋体" w:hAnsi="宋体" w:cs="宋体"/>
                <w:szCs w:val="21"/>
              </w:rPr>
            </w:r>
            <w:r/>
          </w:p>
        </w:tc>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总失真+噪声/%</w:t>
            </w:r>
            <w:r>
              <w:rPr>
                <w:rFonts w:ascii="宋体" w:hAnsi="宋体" w:cs="宋体"/>
                <w:szCs w:val="21"/>
              </w:rPr>
            </w:r>
            <w:r/>
          </w:p>
        </w:tc>
      </w:tr>
      <w:tr>
        <w:trPr>
          <w:trHeight w:val="426" w:hRule="exact"/>
        </w:trPr>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31.5～160</w:t>
            </w:r>
            <w:r>
              <w:rPr>
                <w:rFonts w:ascii="宋体" w:hAnsi="宋体" w:cs="宋体"/>
                <w:szCs w:val="21"/>
              </w:rPr>
            </w:r>
            <w:r/>
          </w:p>
        </w:tc>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0.30</w:t>
            </w:r>
            <w:r>
              <w:rPr>
                <w:rFonts w:ascii="宋体" w:hAnsi="宋体" w:cs="宋体"/>
                <w:szCs w:val="21"/>
              </w:rPr>
            </w:r>
            <w:r/>
          </w:p>
        </w:tc>
        <w:tc>
          <w:tcPr>
            <w:tcW w:w="2132" w:type="dxa"/>
            <w:vAlign w:val="center"/>
            <w:vMerge w:val="restart"/>
            <w:textDirection w:val="lrTb"/>
            <w:noWrap w:val="false"/>
          </w:tcPr>
          <w:p>
            <w:pPr>
              <w:pStyle w:val="1559"/>
              <w:jc w:val="center"/>
              <w:rPr>
                <w:rFonts w:ascii="宋体" w:hAnsi="宋体" w:cs="宋体"/>
                <w:szCs w:val="21"/>
              </w:rPr>
            </w:pPr>
            <w:r>
              <w:rPr>
                <w:rFonts w:hint="eastAsia" w:ascii="宋体" w:hAnsi="宋体" w:cs="宋体"/>
                <w:szCs w:val="21"/>
              </w:rPr>
              <w:t xml:space="preserve">0.7</w:t>
            </w:r>
            <w:r>
              <w:rPr>
                <w:rFonts w:ascii="宋体" w:hAnsi="宋体" w:cs="宋体"/>
                <w:szCs w:val="21"/>
              </w:rPr>
            </w:r>
            <w:r/>
          </w:p>
        </w:tc>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rHeight w:val="431" w:hRule="exact"/>
        </w:trPr>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160～1250</w:t>
            </w:r>
            <w:r>
              <w:rPr>
                <w:rFonts w:ascii="宋体" w:hAnsi="宋体" w:cs="宋体"/>
                <w:szCs w:val="21"/>
              </w:rPr>
            </w:r>
            <w:r/>
          </w:p>
        </w:tc>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0.25</w:t>
            </w:r>
            <w:r>
              <w:rPr>
                <w:rFonts w:ascii="宋体" w:hAnsi="宋体" w:cs="宋体"/>
                <w:szCs w:val="21"/>
              </w:rPr>
            </w:r>
            <w:r/>
          </w:p>
        </w:tc>
        <w:tc>
          <w:tcPr>
            <w:tcW w:w="2132" w:type="dxa"/>
            <w:vAlign w:val="center"/>
            <w:vMerge w:val="continue"/>
            <w:textDirection w:val="lrTb"/>
            <w:noWrap w:val="false"/>
          </w:tcPr>
          <w:p>
            <w:pPr>
              <w:pStyle w:val="1559"/>
              <w:jc w:val="center"/>
              <w:rPr>
                <w:rFonts w:ascii="宋体" w:hAnsi="宋体" w:cs="宋体"/>
                <w:szCs w:val="21"/>
              </w:rPr>
            </w:pPr>
            <w:r>
              <w:rPr>
                <w:rFonts w:ascii="宋体" w:hAnsi="宋体" w:cs="宋体"/>
                <w:szCs w:val="21"/>
              </w:rPr>
            </w:r>
            <w:r/>
          </w:p>
        </w:tc>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2.5</w:t>
            </w:r>
            <w:r>
              <w:rPr>
                <w:rFonts w:ascii="宋体" w:hAnsi="宋体" w:cs="宋体"/>
                <w:szCs w:val="21"/>
              </w:rPr>
            </w:r>
            <w:r/>
          </w:p>
        </w:tc>
      </w:tr>
      <w:tr>
        <w:trPr>
          <w:trHeight w:val="423" w:hRule="exact"/>
        </w:trPr>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＞1250～4000</w:t>
            </w:r>
            <w:r>
              <w:rPr>
                <w:rFonts w:ascii="宋体" w:hAnsi="宋体" w:cs="宋体"/>
                <w:szCs w:val="21"/>
              </w:rPr>
            </w:r>
            <w:r/>
          </w:p>
        </w:tc>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0.35</w:t>
            </w:r>
            <w:r>
              <w:rPr>
                <w:rFonts w:ascii="宋体" w:hAnsi="宋体" w:cs="宋体"/>
                <w:szCs w:val="21"/>
              </w:rPr>
            </w:r>
            <w:r/>
          </w:p>
        </w:tc>
        <w:tc>
          <w:tcPr>
            <w:tcW w:w="2132" w:type="dxa"/>
            <w:vAlign w:val="center"/>
            <w:vMerge w:val="continue"/>
            <w:textDirection w:val="lrTb"/>
            <w:noWrap w:val="false"/>
          </w:tcPr>
          <w:p>
            <w:pPr>
              <w:pStyle w:val="1559"/>
              <w:jc w:val="center"/>
              <w:rPr>
                <w:rFonts w:ascii="宋体" w:hAnsi="宋体" w:cs="宋体"/>
                <w:szCs w:val="21"/>
              </w:rPr>
            </w:pPr>
            <w:r>
              <w:rPr>
                <w:rFonts w:ascii="宋体" w:hAnsi="宋体" w:cs="宋体"/>
                <w:szCs w:val="21"/>
              </w:rPr>
            </w:r>
            <w:r/>
          </w:p>
        </w:tc>
        <w:tc>
          <w:tcPr>
            <w:tcW w:w="2132" w:type="dxa"/>
            <w:vAlign w:val="center"/>
            <w:vMerge w:val="restart"/>
            <w:textDirection w:val="lrTb"/>
            <w:noWrap w:val="false"/>
          </w:tcPr>
          <w:p>
            <w:pPr>
              <w:pStyle w:val="1559"/>
              <w:jc w:val="center"/>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rHeight w:val="430" w:hRule="exact"/>
        </w:trPr>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＞4000～8000</w:t>
            </w:r>
            <w:r>
              <w:rPr>
                <w:rFonts w:ascii="宋体" w:hAnsi="宋体" w:cs="宋体"/>
                <w:szCs w:val="21"/>
              </w:rPr>
            </w:r>
            <w:r/>
          </w:p>
        </w:tc>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0.45</w:t>
            </w:r>
            <w:r>
              <w:rPr>
                <w:rFonts w:ascii="宋体" w:hAnsi="宋体" w:cs="宋体"/>
                <w:szCs w:val="21"/>
              </w:rPr>
            </w:r>
            <w:r/>
          </w:p>
        </w:tc>
        <w:tc>
          <w:tcPr>
            <w:tcW w:w="2132" w:type="dxa"/>
            <w:vAlign w:val="center"/>
            <w:vMerge w:val="continue"/>
            <w:textDirection w:val="lrTb"/>
            <w:noWrap w:val="false"/>
          </w:tcPr>
          <w:p>
            <w:pPr>
              <w:pStyle w:val="1559"/>
              <w:rPr>
                <w:rFonts w:ascii="宋体" w:hAnsi="宋体" w:cs="宋体"/>
                <w:szCs w:val="21"/>
              </w:rPr>
            </w:pPr>
            <w:r>
              <w:rPr>
                <w:rFonts w:ascii="宋体" w:hAnsi="宋体" w:cs="宋体"/>
                <w:szCs w:val="21"/>
              </w:rPr>
            </w:r>
            <w:r/>
          </w:p>
        </w:tc>
        <w:tc>
          <w:tcPr>
            <w:tcW w:w="2132" w:type="dxa"/>
            <w:vAlign w:val="center"/>
            <w:vMerge w:val="continue"/>
            <w:textDirection w:val="lrTb"/>
            <w:noWrap w:val="false"/>
          </w:tcPr>
          <w:p>
            <w:pPr>
              <w:pStyle w:val="1559"/>
              <w:rPr>
                <w:rFonts w:ascii="宋体" w:hAnsi="宋体" w:cs="宋体"/>
                <w:szCs w:val="21"/>
              </w:rPr>
            </w:pPr>
            <w:r>
              <w:rPr>
                <w:rFonts w:ascii="宋体" w:hAnsi="宋体" w:cs="宋体"/>
                <w:szCs w:val="21"/>
              </w:rPr>
            </w:r>
            <w:r/>
          </w:p>
        </w:tc>
      </w:tr>
      <w:tr>
        <w:trPr>
          <w:trHeight w:val="422" w:hRule="exact"/>
        </w:trPr>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＞8000～16000</w:t>
            </w:r>
            <w:r>
              <w:rPr>
                <w:rFonts w:ascii="宋体" w:hAnsi="宋体" w:cs="宋体"/>
                <w:szCs w:val="21"/>
              </w:rPr>
            </w:r>
            <w:r/>
          </w:p>
        </w:tc>
        <w:tc>
          <w:tcPr>
            <w:tcW w:w="213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0.50</w:t>
            </w:r>
            <w:r>
              <w:rPr>
                <w:rFonts w:ascii="宋体" w:hAnsi="宋体" w:cs="宋体"/>
                <w:szCs w:val="21"/>
              </w:rPr>
            </w:r>
            <w:r/>
          </w:p>
        </w:tc>
        <w:tc>
          <w:tcPr>
            <w:tcW w:w="2132" w:type="dxa"/>
            <w:vAlign w:val="center"/>
            <w:vMerge w:val="continue"/>
            <w:textDirection w:val="lrTb"/>
            <w:noWrap w:val="false"/>
          </w:tcPr>
          <w:p>
            <w:pPr>
              <w:pStyle w:val="1559"/>
              <w:rPr>
                <w:rFonts w:ascii="宋体" w:hAnsi="宋体" w:cs="宋体"/>
                <w:szCs w:val="21"/>
              </w:rPr>
            </w:pPr>
            <w:r>
              <w:rPr>
                <w:rFonts w:ascii="宋体" w:hAnsi="宋体" w:cs="宋体"/>
                <w:szCs w:val="21"/>
              </w:rPr>
            </w:r>
            <w:r/>
          </w:p>
        </w:tc>
        <w:tc>
          <w:tcPr>
            <w:tcW w:w="2132" w:type="dxa"/>
            <w:vAlign w:val="center"/>
            <w:vMerge w:val="continue"/>
            <w:textDirection w:val="lrTb"/>
            <w:noWrap w:val="false"/>
          </w:tcPr>
          <w:p>
            <w:pPr>
              <w:pStyle w:val="1559"/>
              <w:rPr>
                <w:rFonts w:ascii="宋体" w:hAnsi="宋体" w:cs="宋体"/>
                <w:szCs w:val="21"/>
              </w:rPr>
            </w:pPr>
            <w:r>
              <w:rPr>
                <w:rFonts w:ascii="宋体" w:hAnsi="宋体" w:cs="宋体"/>
                <w:szCs w:val="21"/>
              </w:rPr>
            </w:r>
            <w:r/>
          </w:p>
        </w:tc>
      </w:tr>
    </w:tbl>
    <w:p>
      <w:pPr>
        <w:pStyle w:val="1559"/>
        <w:spacing w:line="360" w:lineRule="auto"/>
        <w:tabs>
          <w:tab w:val="left" w:pos="4500" w:leader="none"/>
          <w:tab w:val="left" w:pos="4680" w:leader="none"/>
        </w:tabs>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jc w:val="left"/>
        <w:spacing w:line="360" w:lineRule="auto"/>
        <w:widowControl/>
        <w:rPr>
          <w:rFonts w:ascii="宋体" w:hAnsi="宋体" w:cs="宋体"/>
          <w:szCs w:val="21"/>
        </w:rPr>
      </w:pPr>
      <w:r>
        <w:rPr>
          <w:rFonts w:hint="eastAsia" w:ascii="宋体" w:hAnsi="宋体" w:cs="宋体"/>
          <w:szCs w:val="21"/>
        </w:rPr>
        <w:t xml:space="preserve">1.验收依据：JJG 176-2022《声校准器检定规程》、制造厂商提供的用户手册中的技术要求、本技术文件。</w:t>
      </w:r>
      <w:r>
        <w:rPr>
          <w:rFonts w:ascii="宋体" w:hAnsi="宋体" w:cs="宋体"/>
          <w:szCs w:val="21"/>
        </w:rPr>
      </w:r>
      <w:r/>
    </w:p>
    <w:p>
      <w:pPr>
        <w:pStyle w:val="1559"/>
        <w:ind w:firstLine="420"/>
        <w:jc w:val="left"/>
        <w:spacing w:line="360" w:lineRule="auto"/>
        <w:widowControl/>
        <w:rPr>
          <w:rFonts w:ascii="宋体" w:hAnsi="宋体" w:cs="宋体"/>
          <w:szCs w:val="21"/>
        </w:rPr>
      </w:pPr>
      <w:r>
        <w:rPr>
          <w:rFonts w:hint="eastAsia" w:ascii="宋体" w:hAnsi="宋体" w:cs="宋体"/>
          <w:szCs w:val="21"/>
        </w:rPr>
        <w:t xml:space="preserve">2.卖方负责将设备送检至中国计量科学研究院进行检定，并出具检定证书，检定费用由卖方承担。</w:t>
      </w:r>
      <w:r>
        <w:rPr>
          <w:rFonts w:ascii="宋体" w:hAnsi="宋体" w:cs="宋体"/>
          <w:szCs w:val="21"/>
        </w:rPr>
      </w:r>
      <w:r/>
    </w:p>
    <w:p>
      <w:pPr>
        <w:pStyle w:val="1559"/>
        <w:ind w:firstLine="420"/>
        <w:jc w:val="left"/>
        <w:spacing w:line="360" w:lineRule="auto"/>
        <w:widowControl/>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559"/>
        <w:spacing w:line="360" w:lineRule="auto"/>
        <w:tabs>
          <w:tab w:val="left" w:pos="4500" w:leader="none"/>
          <w:tab w:val="left" w:pos="4680" w:leader="none"/>
        </w:tabs>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559"/>
        <w:ind w:firstLine="420"/>
        <w:spacing w:line="360" w:lineRule="auto"/>
        <w:rPr>
          <w:rFonts w:ascii="宋体" w:hAnsi="宋体" w:cs="宋体"/>
          <w:szCs w:val="21"/>
        </w:rPr>
      </w:pPr>
      <w:r>
        <w:rPr>
          <w:rFonts w:hint="eastAsia" w:ascii="宋体" w:hAnsi="宋体" w:cs="宋体"/>
          <w:szCs w:val="21"/>
        </w:rPr>
        <w:t xml:space="preserve">★1.声校准器的质保期为验收合格之日起3年。</w:t>
      </w:r>
      <w:r>
        <w:rPr>
          <w:rFonts w:ascii="宋体" w:hAnsi="宋体" w:cs="宋体"/>
          <w:szCs w:val="21"/>
        </w:rPr>
      </w:r>
      <w:r/>
    </w:p>
    <w:p>
      <w:pPr>
        <w:pStyle w:val="1559"/>
        <w:ind w:firstLine="422"/>
        <w:jc w:val="center"/>
        <w:spacing w:line="480" w:lineRule="exact"/>
        <w:rPr>
          <w:rFonts w:ascii="宋体" w:hAnsi="宋体" w:cs="宋体"/>
          <w:b/>
          <w:bCs/>
          <w:szCs w:val="21"/>
        </w:rPr>
        <w:outlineLvl w:val="1"/>
      </w:pPr>
      <w:r/>
      <w:bookmarkStart w:id="268" w:name="_Toc4187"/>
      <w:r/>
      <w:bookmarkStart w:id="269" w:name="_Toc9086"/>
      <w:r>
        <w:rPr>
          <w:rFonts w:hint="eastAsia" w:ascii="宋体" w:hAnsi="宋体" w:cs="宋体"/>
          <w:b/>
          <w:szCs w:val="21"/>
        </w:rPr>
        <w:t xml:space="preserve">品目</w:t>
      </w:r>
      <w:r>
        <w:rPr>
          <w:rFonts w:hint="eastAsia" w:ascii="宋体" w:hAnsi="宋体" w:cs="宋体"/>
          <w:b/>
          <w:bCs/>
          <w:szCs w:val="21"/>
        </w:rPr>
        <w:t xml:space="preserve">3 多通道声分析仪</w:t>
      </w:r>
      <w:bookmarkEnd w:id="268"/>
      <w:r/>
      <w:bookmarkEnd w:id="269"/>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3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4182"/>
        <w:gridCol w:w="1326"/>
        <w:gridCol w:w="3002"/>
      </w:tblGrid>
      <w:tr>
        <w:trPr>
          <w:trHeight w:val="389"/>
        </w:trPr>
        <w:tc>
          <w:tcPr>
            <w:tcW w:w="627" w:type="dxa"/>
            <w:vAlign w:val="center"/>
            <w:textDirection w:val="lrTb"/>
            <w:noWrap w:val="false"/>
          </w:tcPr>
          <w:p>
            <w:pPr>
              <w:pStyle w:val="1559"/>
              <w:ind w:right="141"/>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148"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681"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542"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627"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148" w:type="dxa"/>
            <w:vAlign w:val="center"/>
            <w:textDirection w:val="lrTb"/>
            <w:noWrap w:val="false"/>
          </w:tcPr>
          <w:p>
            <w:pPr>
              <w:pStyle w:val="1559"/>
              <w:jc w:val="center"/>
              <w:spacing w:line="360" w:lineRule="auto"/>
              <w:rPr>
                <w:rFonts w:ascii="宋体" w:hAnsi="宋体" w:cs="宋体"/>
                <w:szCs w:val="21"/>
              </w:rPr>
            </w:pPr>
            <w:r/>
            <w:bookmarkStart w:id="270" w:name="OLE_LINK1"/>
            <w:r>
              <w:rPr>
                <w:rFonts w:hint="eastAsia" w:ascii="宋体" w:hAnsi="宋体" w:cs="宋体"/>
                <w:szCs w:val="21"/>
              </w:rPr>
              <w:t xml:space="preserve">多通道声分析仪</w:t>
            </w:r>
            <w:bookmarkEnd w:id="270"/>
            <w:r>
              <w:rPr>
                <w:rFonts w:hint="eastAsia" w:ascii="宋体" w:hAnsi="宋体" w:cs="宋体"/>
                <w:szCs w:val="21"/>
              </w:rPr>
              <w:t xml:space="preserve">，不得低于以下配置：</w:t>
            </w:r>
            <w:r>
              <w:rPr>
                <w:rFonts w:ascii="宋体" w:hAnsi="宋体" w:cs="宋体"/>
                <w:szCs w:val="21"/>
              </w:rPr>
            </w:r>
            <w:r/>
          </w:p>
        </w:tc>
        <w:tc>
          <w:tcPr>
            <w:tcW w:w="681" w:type="dxa"/>
            <w:vAlign w:val="center"/>
            <w:textDirection w:val="lrTb"/>
            <w:noWrap w:val="false"/>
          </w:tcPr>
          <w:p>
            <w:pPr>
              <w:pStyle w:val="1559"/>
              <w:jc w:val="center"/>
              <w:keepNext/>
              <w:spacing w:line="360" w:lineRule="auto"/>
              <w:rPr>
                <w:rFonts w:hint="eastAsia" w:ascii="宋体" w:hAnsi="宋体" w:cs="宋体"/>
                <w:szCs w:val="21"/>
              </w:rPr>
              <w:outlineLvl w:val="0"/>
            </w:pPr>
            <w:r/>
            <w:bookmarkStart w:id="271" w:name="_Toc30957"/>
            <w:r/>
            <w:bookmarkStart w:id="272" w:name="_Toc7504"/>
            <w:r>
              <w:rPr>
                <w:rFonts w:hint="eastAsia" w:ascii="宋体" w:hAnsi="宋体" w:cs="宋体"/>
                <w:szCs w:val="21"/>
              </w:rPr>
              <w:t xml:space="preserve">1</w:t>
            </w:r>
            <w:bookmarkEnd w:id="272"/>
            <w:r>
              <w:rPr>
                <w:rFonts w:hint="eastAsia" w:ascii="宋体" w:hAnsi="宋体" w:cs="宋体"/>
                <w:szCs w:val="21"/>
              </w:rPr>
              <w:t xml:space="preserve">台</w:t>
            </w:r>
            <w:bookmarkEnd w:id="271"/>
            <w:r>
              <w:rPr>
                <w:rFonts w:hint="eastAsia" w:ascii="宋体" w:hAnsi="宋体" w:cs="宋体"/>
                <w:szCs w:val="21"/>
              </w:rPr>
            </w:r>
            <w:r/>
          </w:p>
        </w:tc>
        <w:tc>
          <w:tcPr>
            <w:tcW w:w="1542" w:type="dxa"/>
            <w:vAlign w:val="center"/>
            <w:vMerge w:val="restart"/>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ascii="宋体" w:hAnsi="宋体" w:cs="宋体"/>
                <w:szCs w:val="21"/>
              </w:rPr>
            </w:r>
            <w:r/>
          </w:p>
        </w:tc>
      </w:tr>
      <w:tr>
        <w:trPr>
          <w:cantSplit/>
          <w:trHeight w:val="454"/>
        </w:trPr>
        <w:tc>
          <w:tcPr>
            <w:tcW w:w="627"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2148"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采集仪模块</w:t>
            </w:r>
            <w:r>
              <w:rPr>
                <w:rFonts w:ascii="宋体" w:hAnsi="宋体" w:cs="宋体"/>
                <w:szCs w:val="21"/>
              </w:rPr>
            </w:r>
            <w:r/>
          </w:p>
        </w:tc>
        <w:tc>
          <w:tcPr>
            <w:tcW w:w="681"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542" w:type="dxa"/>
            <w:vAlign w:val="center"/>
            <w:vMerge w:val="continue"/>
            <w:textDirection w:val="lrTb"/>
            <w:noWrap w:val="false"/>
          </w:tcPr>
          <w:p>
            <w:pPr>
              <w:pStyle w:val="1559"/>
              <w:jc w:val="center"/>
              <w:spacing w:line="360" w:lineRule="auto"/>
              <w:rPr>
                <w:rFonts w:ascii="宋体" w:hAnsi="宋体" w:cs="宋体"/>
                <w:szCs w:val="21"/>
              </w:rPr>
            </w:pPr>
            <w:r>
              <w:rPr>
                <w:rFonts w:ascii="宋体" w:hAnsi="宋体" w:cs="宋体"/>
                <w:szCs w:val="21"/>
              </w:rPr>
            </w:r>
            <w:r/>
          </w:p>
        </w:tc>
      </w:tr>
      <w:tr>
        <w:trPr>
          <w:cantSplit/>
          <w:trHeight w:val="454"/>
        </w:trPr>
        <w:tc>
          <w:tcPr>
            <w:tcW w:w="627"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2148" w:type="dxa"/>
            <w:vAlign w:val="center"/>
            <w:textDirection w:val="lrTb"/>
            <w:noWrap w:val="false"/>
          </w:tcPr>
          <w:p>
            <w:pPr>
              <w:pStyle w:val="1559"/>
              <w:jc w:val="center"/>
              <w:spacing w:line="360" w:lineRule="auto"/>
              <w:rPr>
                <w:rFonts w:ascii="宋体" w:hAnsi="宋体" w:cs="宋体"/>
                <w:szCs w:val="21"/>
              </w:rPr>
            </w:pPr>
            <w:r/>
            <w:bookmarkStart w:id="273" w:name="OLE_LINK8"/>
            <w:r>
              <w:rPr>
                <w:rFonts w:hint="eastAsia" w:ascii="宋体" w:hAnsi="宋体" w:cs="宋体"/>
                <w:szCs w:val="21"/>
              </w:rPr>
              <w:t xml:space="preserve">信号发生器模块</w:t>
            </w:r>
            <w:bookmarkEnd w:id="273"/>
            <w:r>
              <w:rPr>
                <w:rFonts w:ascii="宋体" w:hAnsi="宋体" w:cs="宋体"/>
                <w:szCs w:val="21"/>
              </w:rPr>
            </w:r>
            <w:r/>
          </w:p>
        </w:tc>
        <w:tc>
          <w:tcPr>
            <w:tcW w:w="681"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542" w:type="dxa"/>
            <w:vAlign w:val="center"/>
            <w:vMerge w:val="continue"/>
            <w:textDirection w:val="lrTb"/>
            <w:noWrap w:val="false"/>
          </w:tcPr>
          <w:p>
            <w:pPr>
              <w:pStyle w:val="1559"/>
              <w:jc w:val="center"/>
              <w:spacing w:line="360" w:lineRule="auto"/>
              <w:rPr>
                <w:rFonts w:ascii="宋体" w:hAnsi="宋体" w:cs="宋体"/>
                <w:szCs w:val="21"/>
              </w:rPr>
            </w:pPr>
            <w:r>
              <w:rPr>
                <w:rFonts w:ascii="宋体" w:hAnsi="宋体" w:cs="宋体"/>
                <w:szCs w:val="21"/>
              </w:rPr>
            </w:r>
            <w:r/>
          </w:p>
        </w:tc>
      </w:tr>
      <w:tr>
        <w:trPr>
          <w:cantSplit/>
          <w:trHeight w:val="454"/>
        </w:trPr>
        <w:tc>
          <w:tcPr>
            <w:tcW w:w="627"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2148" w:type="dxa"/>
            <w:vAlign w:val="center"/>
            <w:textDirection w:val="lrTb"/>
            <w:noWrap w:val="false"/>
          </w:tcPr>
          <w:p>
            <w:pPr>
              <w:pStyle w:val="1559"/>
              <w:jc w:val="center"/>
              <w:spacing w:line="360" w:lineRule="auto"/>
              <w:rPr>
                <w:rFonts w:ascii="宋体" w:hAnsi="宋体" w:cs="宋体"/>
                <w:szCs w:val="21"/>
              </w:rPr>
            </w:pPr>
            <w:r/>
            <w:bookmarkStart w:id="274" w:name="OLE_LINK12"/>
            <w:r>
              <w:rPr>
                <w:rFonts w:hint="eastAsia" w:ascii="宋体" w:hAnsi="宋体" w:cs="宋体"/>
                <w:szCs w:val="21"/>
              </w:rPr>
              <w:t xml:space="preserve">衰减器模块</w:t>
            </w:r>
            <w:bookmarkEnd w:id="274"/>
            <w:r>
              <w:rPr>
                <w:rFonts w:ascii="宋体" w:hAnsi="宋体" w:cs="宋体"/>
                <w:szCs w:val="21"/>
              </w:rPr>
            </w:r>
            <w:r/>
          </w:p>
        </w:tc>
        <w:tc>
          <w:tcPr>
            <w:tcW w:w="681"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542" w:type="dxa"/>
            <w:vAlign w:val="center"/>
            <w:vMerge w:val="continue"/>
            <w:textDirection w:val="lrTb"/>
            <w:noWrap w:val="false"/>
          </w:tcPr>
          <w:p>
            <w:pPr>
              <w:pStyle w:val="1559"/>
              <w:jc w:val="center"/>
              <w:spacing w:line="360" w:lineRule="auto"/>
              <w:rPr>
                <w:rFonts w:ascii="宋体" w:hAnsi="宋体" w:cs="宋体"/>
                <w:szCs w:val="21"/>
              </w:rPr>
            </w:pPr>
            <w:r>
              <w:rPr>
                <w:rFonts w:ascii="宋体" w:hAnsi="宋体" w:cs="宋体"/>
                <w:szCs w:val="21"/>
              </w:rPr>
            </w:r>
            <w:r/>
          </w:p>
        </w:tc>
      </w:tr>
      <w:tr>
        <w:trPr>
          <w:cantSplit/>
          <w:trHeight w:val="454"/>
        </w:trPr>
        <w:tc>
          <w:tcPr>
            <w:tcW w:w="627"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2148"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低噪声传声器</w:t>
            </w:r>
            <w:r>
              <w:rPr>
                <w:rFonts w:ascii="宋体" w:hAnsi="宋体" w:cs="宋体"/>
                <w:szCs w:val="21"/>
              </w:rPr>
            </w:r>
            <w:r/>
          </w:p>
        </w:tc>
        <w:tc>
          <w:tcPr>
            <w:tcW w:w="681"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542" w:type="dxa"/>
            <w:vAlign w:val="center"/>
            <w:vMerge w:val="continue"/>
            <w:textDirection w:val="lrTb"/>
            <w:noWrap w:val="false"/>
          </w:tcPr>
          <w:p>
            <w:pPr>
              <w:pStyle w:val="1559"/>
              <w:jc w:val="center"/>
              <w:spacing w:line="360" w:lineRule="auto"/>
              <w:rPr>
                <w:rFonts w:ascii="宋体" w:hAnsi="宋体" w:cs="宋体"/>
                <w:szCs w:val="21"/>
              </w:rPr>
            </w:pPr>
            <w:r>
              <w:rPr>
                <w:rFonts w:ascii="宋体" w:hAnsi="宋体" w:cs="宋体"/>
                <w:szCs w:val="21"/>
              </w:rPr>
            </w:r>
            <w:r/>
          </w:p>
        </w:tc>
      </w:tr>
      <w:tr>
        <w:trPr>
          <w:cantSplit/>
          <w:trHeight w:val="454"/>
        </w:trPr>
        <w:tc>
          <w:tcPr>
            <w:tcW w:w="627"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W w:w="2148"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自由场传声器</w:t>
            </w:r>
            <w:r>
              <w:rPr>
                <w:rFonts w:ascii="宋体" w:hAnsi="宋体" w:cs="宋体"/>
                <w:szCs w:val="21"/>
              </w:rPr>
            </w:r>
            <w:r/>
          </w:p>
        </w:tc>
        <w:tc>
          <w:tcPr>
            <w:tcW w:w="681"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542" w:type="dxa"/>
            <w:vAlign w:val="center"/>
            <w:vMerge w:val="continue"/>
            <w:textDirection w:val="lrTb"/>
            <w:noWrap w:val="false"/>
          </w:tcPr>
          <w:p>
            <w:pPr>
              <w:pStyle w:val="1559"/>
              <w:jc w:val="center"/>
              <w:spacing w:line="360" w:lineRule="auto"/>
              <w:rPr>
                <w:rFonts w:ascii="宋体" w:hAnsi="宋体" w:cs="宋体"/>
                <w:szCs w:val="21"/>
              </w:rPr>
            </w:pPr>
            <w:r>
              <w:rPr>
                <w:rFonts w:ascii="宋体" w:hAnsi="宋体" w:cs="宋体"/>
                <w:szCs w:val="21"/>
              </w:rPr>
            </w:r>
            <w:r/>
          </w:p>
        </w:tc>
      </w:tr>
      <w:tr>
        <w:trPr>
          <w:cantSplit/>
          <w:trHeight w:val="454"/>
        </w:trPr>
        <w:tc>
          <w:tcPr>
            <w:tcW w:w="627"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W w:w="2148"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压力场传声器</w:t>
            </w:r>
            <w:r>
              <w:rPr>
                <w:rFonts w:ascii="宋体" w:hAnsi="宋体" w:cs="宋体"/>
                <w:szCs w:val="21"/>
              </w:rPr>
            </w:r>
            <w:r/>
          </w:p>
        </w:tc>
        <w:tc>
          <w:tcPr>
            <w:tcW w:w="681"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542" w:type="dxa"/>
            <w:vAlign w:val="center"/>
            <w:vMerge w:val="continue"/>
            <w:textDirection w:val="lrTb"/>
            <w:noWrap w:val="false"/>
          </w:tcPr>
          <w:p>
            <w:pPr>
              <w:pStyle w:val="1559"/>
              <w:jc w:val="center"/>
              <w:spacing w:line="360" w:lineRule="auto"/>
              <w:rPr>
                <w:rFonts w:ascii="宋体" w:hAnsi="宋体" w:cs="宋体"/>
                <w:szCs w:val="21"/>
              </w:rPr>
            </w:pPr>
            <w:r>
              <w:rPr>
                <w:rFonts w:ascii="宋体" w:hAnsi="宋体" w:cs="宋体"/>
                <w:szCs w:val="21"/>
              </w:rPr>
            </w:r>
            <w:r/>
          </w:p>
        </w:tc>
      </w:tr>
      <w:tr>
        <w:trPr>
          <w:cantSplit/>
          <w:trHeight w:val="454"/>
        </w:trPr>
        <w:tc>
          <w:tcPr>
            <w:tcW w:w="627"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W w:w="2148"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传声器前置放大器</w:t>
            </w:r>
            <w:r>
              <w:rPr>
                <w:rFonts w:ascii="宋体" w:hAnsi="宋体" w:cs="宋体"/>
                <w:szCs w:val="21"/>
              </w:rPr>
            </w:r>
            <w:r/>
          </w:p>
        </w:tc>
        <w:tc>
          <w:tcPr>
            <w:tcW w:w="681" w:type="dxa"/>
            <w:vAlign w:val="center"/>
            <w:textDirection w:val="lrTb"/>
            <w:noWrap w:val="false"/>
          </w:tcPr>
          <w:p>
            <w:pPr>
              <w:pStyle w:val="1559"/>
              <w:jc w:val="center"/>
              <w:spacing w:line="360" w:lineRule="auto"/>
              <w:rPr>
                <w:rFonts w:ascii="宋体" w:hAnsi="宋体" w:cs="宋体"/>
                <w:szCs w:val="21"/>
              </w:rPr>
            </w:pPr>
            <w:r>
              <w:rPr>
                <w:rFonts w:hint="eastAsia" w:ascii="宋体" w:hAnsi="宋体" w:cs="宋体"/>
                <w:szCs w:val="21"/>
              </w:rPr>
              <w:t xml:space="preserve">3套</w:t>
            </w:r>
            <w:r>
              <w:rPr>
                <w:rFonts w:ascii="宋体" w:hAnsi="宋体" w:cs="宋体"/>
                <w:szCs w:val="21"/>
              </w:rPr>
            </w:r>
            <w:r/>
          </w:p>
        </w:tc>
        <w:tc>
          <w:tcPr>
            <w:tcW w:w="1542" w:type="dxa"/>
            <w:vAlign w:val="center"/>
            <w:vMerge w:val="continue"/>
            <w:textDirection w:val="lrTb"/>
            <w:noWrap w:val="false"/>
          </w:tcPr>
          <w:p>
            <w:pPr>
              <w:pStyle w:val="1559"/>
              <w:jc w:val="center"/>
              <w:spacing w:line="360" w:lineRule="auto"/>
              <w:rPr>
                <w:rFonts w:ascii="宋体" w:hAnsi="宋体" w:cs="宋体"/>
                <w:szCs w:val="21"/>
              </w:rPr>
            </w:pPr>
            <w:r>
              <w:rPr>
                <w:rFonts w:ascii="宋体" w:hAnsi="宋体" w:cs="宋体"/>
                <w:szCs w:val="21"/>
              </w:rPr>
            </w:r>
            <w:r/>
          </w:p>
        </w:tc>
      </w:tr>
    </w:tbl>
    <w:p>
      <w:pPr>
        <w:pStyle w:val="1559"/>
        <w:jc w:val="left"/>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1.采集仪模块</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★1.1频率范围优于1Hz～100kHz，采样频率不小于256kHz；</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1.2通道数应为2～4路，动态范围大于130dB，频率响应优于±0.2dB。</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2.信号发生器模块</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2.1频率范围优于1Hz～80kHz；</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2.2输出电压不小于20Vrms，幅频特性优于±0.2dB，通道数应为2路。</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3.衰减器模块：</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3.1频率范围优于10Hz～50kHz；</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3.2总衰减量不低于100dB，衰减误差优于±0.1dB/10dB，±0.2dB/全量程。</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4.低噪声传声器：频率范围优于20Hz～20kHz，与采集仪模块组成的系统测量下限低于10dB(A)，</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5.自由场传声器：频率范围优于20Hz～20kHz，声压级测量范围优于20dB～130dB。</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6.压力场传声器：频率范围优于20Hz～20kHz，声压级测量范围优于20dB～130dB。</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7.整体功能要求：</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7.1采集仪、信号发生器、衰减器模块应整合于一台配备显示屏及软件操作平台的小型便携箱中。设备可自带电源也可采用外接供电方式，应优先满足便携使用场景，兼顾实验室内固定操作需求，可独立使用也可外接台式机操作。应确保风扇等外设的运行噪声不会对低噪声环境下的测量造成干扰。</w:t>
      </w:r>
      <w:r>
        <w:rPr>
          <w:rFonts w:hint="eastAsia"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★7.2基础测量功能应包含声压级（等效连续声级、最大值、最小值）、频率、电压、声压级时间历程等参数测量功能，包含FFT分析仪、CPB分析仪，支持一定时长的噪声监测，基础测量应能独立手动运行。</w:t>
      </w:r>
      <w:r>
        <w:rPr>
          <w:rFonts w:ascii="宋体" w:hAnsi="宋体" w:cs="宋体"/>
          <w:szCs w:val="21"/>
        </w:rPr>
      </w:r>
      <w:r/>
    </w:p>
    <w:p>
      <w:pPr>
        <w:pStyle w:val="1559"/>
        <w:ind w:firstLine="420"/>
        <w:jc w:val="left"/>
        <w:spacing w:line="480" w:lineRule="exact"/>
        <w:rPr>
          <w:rFonts w:ascii="宋体" w:hAnsi="宋体" w:cs="宋体"/>
          <w:b/>
          <w:bCs/>
          <w:szCs w:val="21"/>
        </w:rPr>
      </w:pPr>
      <w:r>
        <w:rPr>
          <w:rFonts w:hint="eastAsia" w:ascii="宋体" w:hAnsi="宋体" w:cs="宋体"/>
          <w:szCs w:val="21"/>
        </w:rPr>
        <w:t xml:space="preserve">7.3信号源模块应包含声学检测常用的正弦、单个猝发音、重复猝发音、粉红噪声、白噪声、扫频信号、扫幅信号等信号，应能提供JJF 1288-2011《多通道声分析仪校准规范》中6.2 2）款要求的标准混响时间电信号，混响时间范围优于（0.3～20）s，时间最大允许误差不超过±0.1%。</w:t>
      </w:r>
      <w:r>
        <w:rPr>
          <w:rFonts w:ascii="宋体" w:hAnsi="宋体" w:cs="宋体"/>
          <w:b/>
          <w:bCs/>
          <w:szCs w:val="21"/>
        </w:rPr>
      </w:r>
      <w:r/>
    </w:p>
    <w:p>
      <w:pPr>
        <w:pStyle w:val="1559"/>
        <w:ind w:firstLine="420"/>
        <w:jc w:val="left"/>
        <w:spacing w:line="480" w:lineRule="exact"/>
        <w:rPr>
          <w:rFonts w:hint="eastAsia" w:ascii="宋体" w:hAnsi="宋体" w:cs="宋体"/>
          <w:b/>
          <w:bCs/>
          <w:szCs w:val="21"/>
        </w:rPr>
      </w:pPr>
      <w:r>
        <w:rPr>
          <w:rFonts w:hint="eastAsia" w:ascii="宋体" w:hAnsi="宋体" w:cs="宋体"/>
          <w:szCs w:val="21"/>
        </w:rPr>
        <w:t xml:space="preserve">▲7.4应支持常见声学测量设备（含声级计、声校准器、噪声统计分析仪、噪声剂量计、户外噪声监测仪、声暴露计、多通道声分析仪、前置放大器、测量放大器、带通滤波器、无指向性声源）按照现行规程规范的自动检定/校准功能，允许同一规程规范内的检定/校准项目的自由组合。</w:t>
      </w:r>
      <w:r>
        <w:rPr>
          <w:rFonts w:hint="eastAsia" w:ascii="宋体" w:hAnsi="宋体" w:cs="宋体"/>
          <w:b/>
          <w:bCs/>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7.5应包含谐波失真测量功能，具备谐波失真与总失真测量能力，支持自定义测量模板，并可测量THD_F、THD_R、SNR、SINAD、SFDR、THD+N_F、THD+N_R等指标。</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▲7.6应支持混响时间测量，测量方法含脉冲响应积分法和中断声源法，声源类型含发令枪、MLS信号、粉红噪声和白噪声，可实时查看声压级衰减曲线，支持对不合理数据的筛查与调整。</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7.7应搭配数据管理平台对实验数据进行科学的管理，提供被检仪器相关数据的比较和对照。</w:t>
      </w:r>
      <w:r>
        <w:rPr>
          <w:rFonts w:hint="eastAsia" w:ascii="宋体" w:hAnsi="宋体" w:cs="宋体"/>
          <w:szCs w:val="21"/>
        </w:rPr>
      </w:r>
      <w:r/>
    </w:p>
    <w:p>
      <w:pPr>
        <w:pStyle w:val="1559"/>
        <w:ind w:firstLine="420"/>
        <w:jc w:val="left"/>
        <w:spacing w:line="480" w:lineRule="exact"/>
        <w:rPr>
          <w:rFonts w:hint="eastAsia" w:ascii="宋体" w:hAnsi="宋体" w:cs="宋体"/>
          <w:szCs w:val="21"/>
        </w:rPr>
      </w:pPr>
      <w:r>
        <w:rPr>
          <w:rFonts w:hint="eastAsia" w:ascii="宋体" w:hAnsi="宋体" w:cs="宋体"/>
          <w:szCs w:val="21"/>
        </w:rPr>
        <w:t xml:space="preserve">7.8应支持数据导出与图形输出，支持导出通用格式（Word/Excel），测量过程中可随时导出数据以便查看与计算；可输出常规图形（如声压级-频率曲线、声压级-时间曲线）。</w:t>
      </w:r>
      <w:r>
        <w:rPr>
          <w:rFonts w:hint="eastAsia"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7.9应包含满足系统使用要求的PC机，应包含实际测量必要的配件如无指向声源校准用转台、声级计/传声器/声源支架，BNC/LEMO转换接头及必要的线缆等配件。</w:t>
      </w:r>
      <w:r>
        <w:rPr>
          <w:rFonts w:ascii="宋体" w:hAnsi="宋体" w:cs="宋体"/>
          <w:szCs w:val="21"/>
        </w:rPr>
      </w:r>
      <w:r/>
    </w:p>
    <w:p>
      <w:pPr>
        <w:pStyle w:val="1559"/>
        <w:jc w:val="left"/>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1.验收依据：</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采集仪模块、信号发生器模块、衰减器模块：</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JJF 1288-2011《多通道声分析仪校准规范》、JJG 834-2006《动态信号分析仪》、</w:t>
      </w:r>
      <w:r>
        <w:fldChar w:fldCharType="begin"/>
      </w:r>
      <w:r>
        <w:instrText xml:space="preserve"> HYPERLINK "https://jjg.spc.org.cn/resmea/standard/detail.html?standno=JJG+607-2003&amp;pageindex=1&amp;rows=10" \t "https://jjg.spc.org.cn/resmea/standard/_blank" </w:instrText>
      </w:r>
      <w:r>
        <w:fldChar w:fldCharType="separate"/>
      </w:r>
      <w:r>
        <w:rPr>
          <w:rFonts w:hint="eastAsia" w:ascii="宋体" w:hAnsi="宋体" w:cs="宋体"/>
          <w:szCs w:val="21"/>
        </w:rPr>
        <w:t xml:space="preserve">JJG 607-2003</w:t>
      </w:r>
      <w:r>
        <w:rPr>
          <w:rFonts w:hint="eastAsia" w:ascii="宋体" w:hAnsi="宋体" w:cs="宋体"/>
          <w:szCs w:val="21"/>
        </w:rPr>
        <w:fldChar w:fldCharType="end"/>
      </w:r>
      <w:r>
        <w:rPr>
          <w:rFonts w:hint="eastAsia" w:ascii="宋体" w:hAnsi="宋体" w:cs="宋体"/>
          <w:szCs w:val="21"/>
        </w:rPr>
        <w:t xml:space="preserve">《声频信号发生器》、JJG 199-1996《猝发音信号源》、制造厂商提供的用户手册、本技术文件。</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传声器：</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JJG175-2015《</w:t>
      </w:r>
      <w:r>
        <w:fldChar w:fldCharType="begin"/>
      </w:r>
      <w:r>
        <w:instrText xml:space="preserve"> HYPERLINK "https://jjg.spc.org.cn/resmea/standard/detail.html?standno=JJG+175-2015&amp;pageindex=1&amp;rows=10" \t "https://jjg.spc.org.cn/resmea/standard/_blank" </w:instrText>
      </w:r>
      <w:r>
        <w:fldChar w:fldCharType="separate"/>
      </w:r>
      <w:r>
        <w:rPr>
          <w:rFonts w:hint="eastAsia" w:ascii="宋体" w:hAnsi="宋体" w:cs="宋体"/>
          <w:szCs w:val="21"/>
        </w:rPr>
        <w:t xml:space="preserve">工作标准传声器(静电激励器法)</w:t>
      </w:r>
      <w:r>
        <w:rPr>
          <w:rFonts w:hint="eastAsia" w:ascii="宋体" w:hAnsi="宋体" w:cs="宋体"/>
          <w:szCs w:val="21"/>
        </w:rPr>
        <w:fldChar w:fldCharType="end"/>
      </w:r>
      <w:r>
        <w:rPr>
          <w:rFonts w:hint="eastAsia" w:ascii="宋体" w:hAnsi="宋体" w:cs="宋体"/>
          <w:szCs w:val="21"/>
        </w:rPr>
        <w:t xml:space="preserve">》、JJG 1019-2017《</w:t>
      </w:r>
      <w:r>
        <w:fldChar w:fldCharType="begin"/>
      </w:r>
      <w:r>
        <w:instrText xml:space="preserve"> HYPERLINK "https://jjg.spc.org.cn/resmea/standard/detail.html?standno=JJG+175-2015&amp;pageindex=1&amp;rows=10" \t "https://jjg.spc.org.cn/resmea/standard/_blank" </w:instrText>
      </w:r>
      <w:r>
        <w:fldChar w:fldCharType="separate"/>
      </w:r>
      <w:r>
        <w:rPr>
          <w:rFonts w:hint="eastAsia" w:ascii="宋体" w:hAnsi="宋体" w:cs="宋体"/>
          <w:szCs w:val="21"/>
        </w:rPr>
        <w:t xml:space="preserve">工作标准传声器(耦合腔比较法)</w:t>
      </w:r>
      <w:r>
        <w:rPr>
          <w:rFonts w:hint="eastAsia" w:ascii="宋体" w:hAnsi="宋体" w:cs="宋体"/>
          <w:szCs w:val="21"/>
        </w:rPr>
        <w:fldChar w:fldCharType="end"/>
      </w:r>
      <w:r>
        <w:rPr>
          <w:rFonts w:hint="eastAsia" w:ascii="宋体" w:hAnsi="宋体" w:cs="宋体"/>
          <w:szCs w:val="21"/>
        </w:rPr>
        <w:t xml:space="preserve">》、JJG 1172-2019《</w:t>
      </w:r>
      <w:r>
        <w:fldChar w:fldCharType="begin"/>
      </w:r>
      <w:r>
        <w:instrText xml:space="preserve"> HYPERLINK "https://jjg.spc.org.cn/resmea/standard/detail.html?standno=JJG+175-2015&amp;pageindex=1&amp;rows=10" \t "https://jjg.spc.org.cn/resmea/standard/_blank" </w:instrText>
      </w:r>
      <w:r>
        <w:fldChar w:fldCharType="separate"/>
      </w:r>
      <w:r>
        <w:rPr>
          <w:rFonts w:hint="eastAsia" w:ascii="宋体" w:hAnsi="宋体" w:cs="宋体"/>
          <w:szCs w:val="21"/>
        </w:rPr>
        <w:t xml:space="preserve">工作标准传声器(自由场比较法)</w:t>
      </w:r>
      <w:r>
        <w:rPr>
          <w:rFonts w:hint="eastAsia" w:ascii="宋体" w:hAnsi="宋体" w:cs="宋体"/>
          <w:szCs w:val="21"/>
        </w:rPr>
        <w:fldChar w:fldCharType="end"/>
      </w:r>
      <w:r>
        <w:rPr>
          <w:rFonts w:hint="eastAsia" w:ascii="宋体" w:hAnsi="宋体" w:cs="宋体"/>
          <w:szCs w:val="21"/>
        </w:rPr>
        <w:t xml:space="preserve">》、制造厂商提供的用户手册、本技术文件。</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2.卖方负责将设备送检至中国计量科学研究院进行检定/校准，并出具检定/校准证书，检测费用由卖方承担。</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559"/>
        <w:jc w:val="left"/>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★1.多通道声分析仪的整机质保期为验收合格之日起3年。</w:t>
      </w:r>
      <w:r>
        <w:rPr>
          <w:rFonts w:ascii="宋体" w:hAnsi="宋体" w:cs="宋体"/>
          <w:szCs w:val="21"/>
        </w:rPr>
      </w:r>
      <w:r/>
    </w:p>
    <w:p>
      <w:pPr>
        <w:pStyle w:val="1559"/>
        <w:jc w:val="center"/>
        <w:spacing w:line="480" w:lineRule="exact"/>
        <w:tabs>
          <w:tab w:val="left" w:pos="4500" w:leader="none"/>
          <w:tab w:val="left" w:pos="4680" w:leader="none"/>
        </w:tabs>
        <w:rPr>
          <w:rFonts w:hint="eastAsia" w:ascii="宋体" w:hAnsi="宋体" w:eastAsia="宋体" w:cs="宋体"/>
          <w:b/>
          <w:szCs w:val="21"/>
          <w:lang w:eastAsia="zh-CN"/>
        </w:rPr>
        <w:outlineLvl w:val="1"/>
      </w:pPr>
      <w:r/>
      <w:bookmarkStart w:id="275" w:name="_Toc4391"/>
      <w:r/>
      <w:bookmarkStart w:id="276" w:name="_Toc8287"/>
      <w:r>
        <w:rPr>
          <w:rFonts w:hint="eastAsia" w:ascii="宋体" w:hAnsi="宋体" w:cs="宋体"/>
          <w:b/>
          <w:szCs w:val="21"/>
        </w:rPr>
        <w:t xml:space="preserve">分包</w:t>
      </w:r>
      <w:bookmarkEnd w:id="275"/>
      <w:r/>
      <w:bookmarkEnd w:id="276"/>
      <w:r>
        <w:rPr>
          <w:rFonts w:hint="eastAsia" w:ascii="宋体" w:hAnsi="宋体" w:cs="宋体"/>
          <w:b/>
          <w:szCs w:val="21"/>
          <w:lang w:val="en-US" w:eastAsia="zh-CN"/>
        </w:rPr>
        <w:t xml:space="preserve">5</w:t>
      </w:r>
      <w:r>
        <w:rPr>
          <w:rFonts w:hint="eastAsia" w:ascii="宋体" w:hAnsi="宋体" w:eastAsia="宋体" w:cs="宋体"/>
          <w:b/>
          <w:szCs w:val="21"/>
          <w:lang w:eastAsia="zh-CN"/>
        </w:rPr>
      </w:r>
      <w:r/>
    </w:p>
    <w:p>
      <w:pPr>
        <w:pStyle w:val="1559"/>
        <w:jc w:val="center"/>
        <w:spacing w:line="480" w:lineRule="exact"/>
        <w:tabs>
          <w:tab w:val="left" w:pos="4500" w:leader="none"/>
          <w:tab w:val="left" w:pos="4680" w:leader="none"/>
        </w:tabs>
        <w:rPr>
          <w:rFonts w:ascii="宋体" w:hAnsi="宋体" w:cs="宋体"/>
          <w:b/>
          <w:bCs/>
          <w:szCs w:val="21"/>
        </w:rPr>
        <w:outlineLvl w:val="1"/>
      </w:pPr>
      <w:r/>
      <w:bookmarkStart w:id="277" w:name="_Toc20825"/>
      <w:r/>
      <w:bookmarkStart w:id="278" w:name="_Toc27982"/>
      <w:r>
        <w:rPr>
          <w:rFonts w:hint="eastAsia" w:ascii="宋体" w:hAnsi="宋体" w:cs="宋体"/>
          <w:b/>
          <w:szCs w:val="21"/>
        </w:rPr>
        <w:t xml:space="preserve">品目</w:t>
      </w:r>
      <w:r>
        <w:rPr>
          <w:rFonts w:hint="eastAsia" w:ascii="宋体" w:hAnsi="宋体" w:cs="宋体"/>
          <w:b/>
          <w:bCs/>
          <w:szCs w:val="21"/>
        </w:rPr>
        <w:t xml:space="preserve">1 铷原子频率标准</w:t>
      </w:r>
      <w:bookmarkEnd w:id="277"/>
      <w:r/>
      <w:bookmarkEnd w:id="278"/>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5"/>
        <w:gridCol w:w="3350"/>
        <w:gridCol w:w="1632"/>
        <w:gridCol w:w="3043"/>
      </w:tblGrid>
      <w:tr>
        <w:trPr>
          <w:trHeight w:val="571"/>
        </w:trPr>
        <w:tc>
          <w:tcPr>
            <w:tcW w:w="926" w:type="dxa"/>
            <w:vAlign w:val="center"/>
            <w:textDirection w:val="lrTb"/>
            <w:noWrap w:val="false"/>
          </w:tcPr>
          <w:p>
            <w:pPr>
              <w:pStyle w:val="1559"/>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00"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828"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544"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618"/>
        </w:trPr>
        <w:tc>
          <w:tcPr>
            <w:tcW w:w="926"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00"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铷原子频率标准</w:t>
            </w:r>
            <w:r>
              <w:rPr>
                <w:rFonts w:ascii="宋体" w:hAnsi="宋体" w:cs="宋体"/>
                <w:szCs w:val="21"/>
              </w:rPr>
            </w:r>
            <w:r/>
          </w:p>
        </w:tc>
        <w:tc>
          <w:tcPr>
            <w:tcW w:w="828" w:type="dxa"/>
            <w:vAlign w:val="center"/>
            <w:textDirection w:val="lrTb"/>
            <w:noWrap w:val="false"/>
          </w:tcPr>
          <w:p>
            <w:pPr>
              <w:pStyle w:val="1559"/>
              <w:jc w:val="center"/>
              <w:keepNext/>
              <w:spacing w:line="480" w:lineRule="exact"/>
              <w:rPr>
                <w:rFonts w:hint="eastAsia" w:ascii="宋体" w:hAnsi="宋体" w:cs="宋体"/>
                <w:szCs w:val="21"/>
              </w:rPr>
              <w:outlineLvl w:val="0"/>
            </w:pPr>
            <w:r/>
            <w:bookmarkStart w:id="279" w:name="_Toc14865"/>
            <w:r/>
            <w:bookmarkStart w:id="280" w:name="_Toc19737"/>
            <w:r>
              <w:rPr>
                <w:rFonts w:hint="eastAsia" w:ascii="宋体" w:hAnsi="宋体" w:cs="宋体"/>
                <w:szCs w:val="21"/>
              </w:rPr>
              <w:t xml:space="preserve">1台</w:t>
            </w:r>
            <w:bookmarkEnd w:id="279"/>
            <w:r/>
            <w:bookmarkEnd w:id="280"/>
            <w:r>
              <w:rPr>
                <w:rFonts w:hint="eastAsia" w:ascii="宋体" w:hAnsi="宋体" w:cs="宋体"/>
                <w:szCs w:val="21"/>
              </w:rPr>
            </w:r>
            <w:r/>
          </w:p>
        </w:tc>
        <w:tc>
          <w:tcPr>
            <w:tcW w:w="1544"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ascii="宋体" w:hAnsi="宋体" w:cs="宋体"/>
                <w:szCs w:val="21"/>
              </w:rPr>
            </w:r>
            <w:r/>
          </w:p>
        </w:tc>
      </w:tr>
    </w:tbl>
    <w:p>
      <w:pPr>
        <w:pStyle w:val="1559"/>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2"/>
        <w:spacing w:line="480" w:lineRule="exact"/>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1.频率：10MHz信号输出，输出波形为正弦波，1s频率稳定度：3×10</w:t>
      </w:r>
      <w:r>
        <w:rPr>
          <w:rFonts w:hint="eastAsia" w:ascii="宋体" w:hAnsi="宋体" w:cs="宋体"/>
          <w:szCs w:val="21"/>
          <w:vertAlign w:val="superscript"/>
        </w:rPr>
        <w:t xml:space="preserve">–</w:t>
      </w:r>
      <w:r>
        <w:rPr>
          <w:rFonts w:ascii="宋体" w:hAnsi="宋体" w:cs="宋体"/>
          <w:szCs w:val="21"/>
          <w:vertAlign w:val="superscript"/>
        </w:rPr>
        <w:t xml:space="preserve">12</w:t>
      </w:r>
      <w:r>
        <w:rPr>
          <w:rFonts w:hint="eastAsia" w:ascii="宋体" w:hAnsi="宋体" w:cs="宋体"/>
          <w:szCs w:val="21"/>
        </w:rPr>
        <w:t xml:space="preserve">，相对频率偏差：±1×10</w:t>
      </w:r>
      <w:r>
        <w:rPr>
          <w:rFonts w:hint="eastAsia" w:ascii="宋体" w:hAnsi="宋体" w:cs="宋体"/>
          <w:szCs w:val="21"/>
          <w:vertAlign w:val="superscript"/>
        </w:rPr>
        <w:t xml:space="preserve">–</w:t>
      </w:r>
      <w:r>
        <w:rPr>
          <w:rFonts w:ascii="宋体" w:hAnsi="宋体" w:cs="宋体"/>
          <w:szCs w:val="21"/>
          <w:vertAlign w:val="superscript"/>
        </w:rPr>
        <w:t xml:space="preserve">12</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2.1PPS信号输出：脉宽≥10us</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3.相位噪声：≤-155dbc/Hz@1kHz</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4.铷钟需配置有天线，可以接收GPS和北斗授时信号并可显示标准时间；</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5.应可接收外输入1PPS信号，并与其保持同步；</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6.需内置高稳晶振作为时钟源，并具有独立时间保持功能。</w:t>
      </w:r>
      <w:r>
        <w:rPr>
          <w:rFonts w:ascii="宋体" w:hAnsi="宋体" w:cs="宋体"/>
          <w:szCs w:val="21"/>
        </w:rPr>
      </w:r>
      <w:r/>
    </w:p>
    <w:p>
      <w:pPr>
        <w:pStyle w:val="1559"/>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1.验收依据：JJF 1957-2021《</w:t>
      </w:r>
      <w:r>
        <w:fldChar w:fldCharType="begin"/>
      </w:r>
      <w:r>
        <w:instrText xml:space="preserve"> HYPERLINK "https://jjg.spc.org.cn/resmea/standard/detail.html?standno=JJF+1957-2021&amp;pageindex=1&amp;rows=10" \t "_blank" </w:instrText>
      </w:r>
      <w:r>
        <w:fldChar w:fldCharType="separate"/>
      </w:r>
      <w:r>
        <w:rPr>
          <w:rFonts w:hint="eastAsia" w:ascii="宋体" w:hAnsi="宋体" w:cs="宋体"/>
          <w:szCs w:val="21"/>
        </w:rPr>
        <w:t xml:space="preserve">铷原子频率标准校准规范</w:t>
      </w:r>
      <w:r>
        <w:rPr>
          <w:rFonts w:hint="eastAsia" w:ascii="宋体" w:hAnsi="宋体" w:cs="宋体"/>
          <w:szCs w:val="21"/>
        </w:rPr>
        <w:fldChar w:fldCharType="end"/>
      </w:r>
      <w:r>
        <w:rPr>
          <w:rFonts w:hint="eastAsia" w:ascii="宋体" w:hAnsi="宋体" w:cs="宋体"/>
          <w:szCs w:val="21"/>
        </w:rPr>
        <w:t xml:space="preserve">》、厂家用户手册中的技术要求、本技术文件。</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2.卖方负责将设备送检至上海市测试技术研究院有限公司进行校准，并出具校准证书，检测费用由卖方承担。</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559"/>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★1.铷原子频率标准的质保期为验收合格之日起3年。</w:t>
      </w:r>
      <w:r>
        <w:rPr>
          <w:rFonts w:ascii="宋体" w:hAnsi="宋体" w:cs="宋体"/>
          <w:szCs w:val="21"/>
        </w:rPr>
      </w:r>
      <w:r/>
    </w:p>
    <w:p>
      <w:pPr>
        <w:pStyle w:val="1559"/>
        <w:jc w:val="center"/>
        <w:spacing w:line="480" w:lineRule="exact"/>
        <w:tabs>
          <w:tab w:val="left" w:pos="4500" w:leader="none"/>
          <w:tab w:val="left" w:pos="4680" w:leader="none"/>
        </w:tabs>
        <w:rPr>
          <w:rFonts w:ascii="宋体" w:hAnsi="宋体" w:cs="宋体"/>
          <w:b/>
          <w:bCs/>
          <w:szCs w:val="21"/>
        </w:rPr>
        <w:outlineLvl w:val="1"/>
      </w:pPr>
      <w:r/>
      <w:bookmarkStart w:id="281" w:name="_Toc30764"/>
      <w:r/>
      <w:bookmarkStart w:id="282" w:name="_Toc16161"/>
      <w:r>
        <w:rPr>
          <w:rFonts w:hint="eastAsia" w:ascii="宋体" w:hAnsi="宋体" w:cs="宋体"/>
          <w:b/>
          <w:szCs w:val="21"/>
        </w:rPr>
        <w:t xml:space="preserve">品目</w:t>
      </w:r>
      <w:r>
        <w:rPr>
          <w:rFonts w:hint="eastAsia" w:ascii="宋体" w:hAnsi="宋体" w:cs="宋体"/>
          <w:b/>
          <w:bCs/>
          <w:szCs w:val="21"/>
        </w:rPr>
        <w:t xml:space="preserve">2 频标比对器</w:t>
      </w:r>
      <w:bookmarkEnd w:id="281"/>
      <w:r/>
      <w:bookmarkEnd w:id="282"/>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6"/>
        <w:gridCol w:w="3171"/>
        <w:gridCol w:w="1719"/>
        <w:gridCol w:w="3226"/>
      </w:tblGrid>
      <w:tr>
        <w:trPr>
          <w:trHeight w:val="389"/>
        </w:trPr>
        <w:tc>
          <w:tcPr>
            <w:tcW w:w="881" w:type="dxa"/>
            <w:vAlign w:val="center"/>
            <w:textDirection w:val="lrTb"/>
            <w:noWrap w:val="false"/>
          </w:tcPr>
          <w:p>
            <w:pPr>
              <w:pStyle w:val="1559"/>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09"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872"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637"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81"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09"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频标比对器</w:t>
            </w:r>
            <w:r>
              <w:rPr>
                <w:rFonts w:ascii="宋体" w:hAnsi="宋体" w:cs="宋体"/>
                <w:szCs w:val="21"/>
              </w:rPr>
            </w:r>
            <w:r/>
          </w:p>
        </w:tc>
        <w:tc>
          <w:tcPr>
            <w:tcW w:w="872" w:type="dxa"/>
            <w:vAlign w:val="center"/>
            <w:textDirection w:val="lrTb"/>
            <w:noWrap w:val="false"/>
          </w:tcPr>
          <w:p>
            <w:pPr>
              <w:pStyle w:val="1559"/>
              <w:jc w:val="center"/>
              <w:keepNext/>
              <w:spacing w:line="480" w:lineRule="exact"/>
              <w:rPr>
                <w:rFonts w:hint="eastAsia" w:ascii="宋体" w:hAnsi="宋体" w:cs="宋体"/>
                <w:szCs w:val="21"/>
              </w:rPr>
              <w:outlineLvl w:val="0"/>
            </w:pPr>
            <w:r/>
            <w:bookmarkStart w:id="283" w:name="_Toc17726"/>
            <w:r/>
            <w:bookmarkStart w:id="284" w:name="_Toc14468"/>
            <w:r>
              <w:rPr>
                <w:rFonts w:hint="eastAsia" w:ascii="宋体" w:hAnsi="宋体" w:cs="宋体"/>
                <w:szCs w:val="21"/>
              </w:rPr>
              <w:t xml:space="preserve">1台</w:t>
            </w:r>
            <w:bookmarkEnd w:id="283"/>
            <w:r/>
            <w:bookmarkEnd w:id="284"/>
            <w:r>
              <w:rPr>
                <w:rFonts w:hint="eastAsia" w:ascii="宋体" w:hAnsi="宋体" w:cs="宋体"/>
                <w:szCs w:val="21"/>
              </w:rPr>
            </w:r>
            <w:r/>
          </w:p>
        </w:tc>
        <w:tc>
          <w:tcPr>
            <w:tcW w:w="1637"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ascii="宋体" w:hAnsi="宋体" w:cs="宋体"/>
                <w:szCs w:val="21"/>
              </w:rPr>
            </w:r>
            <w:r/>
          </w:p>
        </w:tc>
      </w:tr>
    </w:tbl>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2"/>
        <w:jc w:val="left"/>
        <w:spacing w:line="480" w:lineRule="exac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1.比对不确定度：1ms≤1×10</w:t>
      </w:r>
      <w:r>
        <w:rPr>
          <w:rFonts w:hint="eastAsia" w:ascii="宋体" w:hAnsi="宋体" w:cs="宋体"/>
          <w:szCs w:val="21"/>
          <w:vertAlign w:val="superscript"/>
        </w:rPr>
        <w:t xml:space="preserve">–10</w:t>
      </w:r>
      <w:r>
        <w:rPr>
          <w:rFonts w:hint="eastAsia" w:ascii="宋体" w:hAnsi="宋体" w:cs="宋体"/>
          <w:szCs w:val="21"/>
        </w:rPr>
        <w:t xml:space="preserve">，10ms≤1×10</w:t>
      </w:r>
      <w:r>
        <w:rPr>
          <w:rFonts w:hint="eastAsia" w:ascii="宋体" w:hAnsi="宋体" w:cs="宋体"/>
          <w:szCs w:val="21"/>
          <w:vertAlign w:val="superscript"/>
        </w:rPr>
        <w:t xml:space="preserve">–11</w:t>
      </w:r>
      <w:r>
        <w:rPr>
          <w:rFonts w:hint="eastAsia" w:ascii="宋体" w:hAnsi="宋体" w:cs="宋体"/>
          <w:szCs w:val="21"/>
        </w:rPr>
        <w:t xml:space="preserve">，100ms≤1×10</w:t>
      </w:r>
      <w:r>
        <w:rPr>
          <w:rFonts w:hint="eastAsia" w:ascii="宋体" w:hAnsi="宋体" w:cs="宋体"/>
          <w:szCs w:val="21"/>
          <w:vertAlign w:val="superscript"/>
        </w:rPr>
        <w:t xml:space="preserve">–12</w:t>
      </w:r>
      <w:r>
        <w:rPr>
          <w:rFonts w:hint="eastAsia" w:ascii="宋体" w:hAnsi="宋体" w:cs="宋体"/>
          <w:szCs w:val="21"/>
        </w:rPr>
        <w:t xml:space="preserve">，1s≤5×10</w:t>
      </w:r>
      <w:r>
        <w:rPr>
          <w:rFonts w:hint="eastAsia" w:ascii="宋体" w:hAnsi="宋体" w:cs="宋体"/>
          <w:szCs w:val="21"/>
          <w:vertAlign w:val="superscript"/>
        </w:rPr>
        <w:t xml:space="preserve">–13</w:t>
      </w:r>
      <w:r>
        <w:rPr>
          <w:rFonts w:hint="eastAsia" w:ascii="宋体" w:hAnsi="宋体" w:cs="宋体"/>
          <w:szCs w:val="21"/>
        </w:rPr>
        <w:t xml:space="preserve">，10s≤2×10</w:t>
      </w:r>
      <w:r>
        <w:rPr>
          <w:rFonts w:hint="eastAsia" w:ascii="宋体" w:hAnsi="宋体" w:cs="宋体"/>
          <w:szCs w:val="21"/>
          <w:vertAlign w:val="superscript"/>
        </w:rPr>
        <w:t xml:space="preserve">–14</w:t>
      </w:r>
      <w:r>
        <w:rPr>
          <w:rFonts w:hint="eastAsia" w:ascii="宋体" w:hAnsi="宋体" w:cs="宋体"/>
          <w:szCs w:val="21"/>
        </w:rPr>
        <w:t xml:space="preserve">，100s≤2×10</w:t>
      </w:r>
      <w:r>
        <w:rPr>
          <w:rFonts w:hint="eastAsia" w:ascii="宋体" w:hAnsi="宋体" w:cs="宋体"/>
          <w:szCs w:val="21"/>
          <w:vertAlign w:val="superscript"/>
        </w:rPr>
        <w:t xml:space="preserve">–15</w:t>
      </w:r>
      <w:r>
        <w:rPr>
          <w:rFonts w:hint="eastAsia" w:ascii="宋体" w:hAnsi="宋体" w:cs="宋体"/>
          <w:szCs w:val="21"/>
        </w:rPr>
        <w:t xml:space="preserve">，灵敏度：（3～18）dBm</w:t>
      </w:r>
      <w:r>
        <w:rPr>
          <w:rFonts w:ascii="宋体" w:hAnsi="宋体" w:cs="宋体"/>
          <w:szCs w:val="21"/>
        </w:rPr>
      </w:r>
      <w:r/>
    </w:p>
    <w:p>
      <w:pPr>
        <w:pStyle w:val="1559"/>
        <w:ind w:firstLine="420"/>
        <w:jc w:val="left"/>
        <w:spacing w:line="480" w:lineRule="exact"/>
        <w:widowControl/>
        <w:rPr>
          <w:rFonts w:ascii="宋体" w:hAnsi="宋体" w:cs="宋体"/>
          <w:szCs w:val="21"/>
        </w:rPr>
      </w:pPr>
      <w:r>
        <w:rPr>
          <w:rFonts w:hint="eastAsia" w:ascii="宋体" w:hAnsi="宋体" w:cs="宋体"/>
          <w:szCs w:val="21"/>
        </w:rPr>
        <w:t xml:space="preserve">2.最大频率偏差：±1×10</w:t>
      </w:r>
      <w:r>
        <w:rPr>
          <w:rFonts w:hint="eastAsia" w:ascii="宋体" w:hAnsi="宋体" w:cs="宋体"/>
          <w:szCs w:val="21"/>
          <w:vertAlign w:val="superscript"/>
        </w:rPr>
        <w:t xml:space="preserve">–6</w:t>
      </w:r>
      <w:r>
        <w:rPr>
          <w:rFonts w:ascii="宋体" w:hAnsi="宋体" w:cs="宋体"/>
          <w:szCs w:val="21"/>
        </w:rPr>
      </w:r>
      <w:r/>
    </w:p>
    <w:p>
      <w:pPr>
        <w:pStyle w:val="1559"/>
        <w:ind w:firstLine="420"/>
        <w:jc w:val="left"/>
        <w:spacing w:line="480" w:lineRule="exact"/>
        <w:widowControl/>
        <w:rPr>
          <w:rFonts w:ascii="宋体" w:hAnsi="宋体" w:cs="宋体"/>
          <w:szCs w:val="21"/>
        </w:rPr>
      </w:pPr>
      <w:r>
        <w:rPr>
          <w:rFonts w:hint="eastAsia" w:ascii="宋体" w:hAnsi="宋体" w:cs="宋体"/>
          <w:szCs w:val="21"/>
        </w:rPr>
        <w:t xml:space="preserve">3.应能同时计算8个输入通道的频率偏差、频率稳定度、开机特性、频率漂移率等数据结果。</w:t>
      </w:r>
      <w:r>
        <w:rPr>
          <w:rFonts w:ascii="宋体" w:hAnsi="宋体" w:cs="宋体"/>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jc w:val="left"/>
        <w:spacing w:line="480" w:lineRule="exact"/>
        <w:widowControl/>
        <w:rPr>
          <w:rFonts w:ascii="宋体" w:hAnsi="宋体" w:cs="宋体"/>
          <w:szCs w:val="21"/>
        </w:rPr>
      </w:pPr>
      <w:r>
        <w:rPr>
          <w:rFonts w:hint="eastAsia" w:ascii="宋体" w:hAnsi="宋体" w:cs="宋体"/>
          <w:szCs w:val="21"/>
        </w:rPr>
        <w:t xml:space="preserve">1.验收依据：JJF 2197-2025《</w:t>
      </w:r>
      <w:r>
        <w:fldChar w:fldCharType="begin"/>
      </w:r>
      <w:r>
        <w:instrText xml:space="preserve"> HYPERLINK "https://jjg.spc.org.cn/resmea/standard/detail.html?standno=JJF+1957-2021&amp;pageindex=1&amp;rows=10" \t "_blank" </w:instrText>
      </w:r>
      <w:r>
        <w:fldChar w:fldCharType="separate"/>
      </w:r>
      <w:r>
        <w:rPr>
          <w:rFonts w:hint="eastAsia" w:ascii="宋体" w:hAnsi="宋体" w:cs="宋体"/>
          <w:szCs w:val="21"/>
        </w:rPr>
        <w:t xml:space="preserve">频率比对器校准规范</w:t>
      </w:r>
      <w:r>
        <w:rPr>
          <w:rFonts w:hint="eastAsia" w:ascii="宋体" w:hAnsi="宋体" w:cs="宋体"/>
          <w:szCs w:val="21"/>
        </w:rPr>
        <w:fldChar w:fldCharType="end"/>
      </w:r>
      <w:r>
        <w:rPr>
          <w:rFonts w:hint="eastAsia" w:ascii="宋体" w:hAnsi="宋体" w:cs="宋体"/>
          <w:szCs w:val="21"/>
        </w:rPr>
        <w:t xml:space="preserve">》、厂家用户手册、本技术文件。</w:t>
      </w:r>
      <w:r>
        <w:rPr>
          <w:rFonts w:ascii="宋体" w:hAnsi="宋体" w:cs="宋体"/>
          <w:szCs w:val="21"/>
        </w:rPr>
      </w:r>
      <w:r/>
    </w:p>
    <w:p>
      <w:pPr>
        <w:pStyle w:val="1559"/>
        <w:ind w:firstLine="420"/>
        <w:jc w:val="left"/>
        <w:spacing w:line="480" w:lineRule="exact"/>
        <w:widowControl/>
        <w:rPr>
          <w:rFonts w:ascii="宋体" w:hAnsi="宋体" w:cs="宋体"/>
          <w:szCs w:val="21"/>
        </w:rPr>
      </w:pPr>
      <w:r>
        <w:rPr>
          <w:rFonts w:hint="eastAsia" w:ascii="宋体" w:hAnsi="宋体" w:cs="宋体"/>
          <w:szCs w:val="21"/>
        </w:rPr>
        <w:t xml:space="preserve">2.卖方负责将设备送检至上海市测试技术研究院有限公司进行校准，并出具校准证书，检测费用由卖方承担。</w:t>
      </w:r>
      <w:r>
        <w:rPr>
          <w:rFonts w:ascii="宋体" w:hAnsi="宋体" w:cs="宋体"/>
          <w:szCs w:val="21"/>
        </w:rPr>
      </w:r>
      <w:r/>
    </w:p>
    <w:p>
      <w:pPr>
        <w:pStyle w:val="1559"/>
        <w:ind w:firstLine="420"/>
        <w:jc w:val="left"/>
        <w:spacing w:line="480" w:lineRule="exact"/>
        <w:widowControl/>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559"/>
        <w:spacing w:line="480" w:lineRule="exact"/>
        <w:tabs>
          <w:tab w:val="left" w:pos="4500" w:leader="none"/>
          <w:tab w:val="left" w:pos="4680" w:leader="none"/>
        </w:tabs>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★1.频标比对器的质保期为验收合格之日起3年。</w:t>
      </w:r>
      <w:r>
        <w:rPr>
          <w:rFonts w:ascii="宋体" w:hAnsi="宋体" w:cs="宋体"/>
          <w:szCs w:val="21"/>
        </w:rPr>
      </w:r>
      <w:r/>
    </w:p>
    <w:p>
      <w:pPr>
        <w:pStyle w:val="1559"/>
        <w:ind w:firstLine="422"/>
        <w:jc w:val="center"/>
        <w:spacing w:line="480" w:lineRule="exact"/>
        <w:rPr>
          <w:rFonts w:ascii="宋体" w:hAnsi="宋体" w:cs="宋体"/>
          <w:b/>
          <w:bCs/>
          <w:szCs w:val="21"/>
        </w:rPr>
        <w:outlineLvl w:val="1"/>
      </w:pPr>
      <w:r/>
      <w:bookmarkStart w:id="285" w:name="_Toc11516"/>
      <w:r/>
      <w:bookmarkStart w:id="286" w:name="_Toc7472"/>
      <w:r>
        <w:rPr>
          <w:rFonts w:hint="eastAsia" w:ascii="宋体" w:hAnsi="宋体" w:cs="宋体"/>
          <w:b/>
          <w:szCs w:val="21"/>
        </w:rPr>
        <w:t xml:space="preserve">品目</w:t>
      </w:r>
      <w:r>
        <w:rPr>
          <w:rFonts w:hint="eastAsia" w:ascii="宋体" w:hAnsi="宋体" w:cs="宋体"/>
          <w:b/>
          <w:bCs/>
          <w:szCs w:val="21"/>
        </w:rPr>
        <w:t xml:space="preserve">3 通用计数器</w:t>
      </w:r>
      <w:bookmarkEnd w:id="285"/>
      <w:r/>
      <w:bookmarkEnd w:id="286"/>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2"/>
        <w:gridCol w:w="2896"/>
        <w:gridCol w:w="1874"/>
        <w:gridCol w:w="3208"/>
      </w:tblGrid>
      <w:tr>
        <w:trPr>
          <w:trHeight w:val="389"/>
        </w:trPr>
        <w:tc>
          <w:tcPr>
            <w:tcW w:w="950" w:type="dxa"/>
            <w:vAlign w:val="center"/>
            <w:textDirection w:val="lrTb"/>
            <w:noWrap w:val="false"/>
          </w:tcPr>
          <w:p>
            <w:pPr>
              <w:pStyle w:val="1559"/>
              <w:jc w:val="center"/>
              <w:spacing w:line="480" w:lineRule="exact"/>
              <w:rPr>
                <w:rFonts w:ascii="宋体" w:hAnsi="宋体" w:cs="宋体"/>
              </w:rPr>
            </w:pPr>
            <w:r>
              <w:rPr>
                <w:rFonts w:hint="eastAsia" w:ascii="宋体" w:hAnsi="宋体" w:cs="宋体"/>
              </w:rPr>
              <w:t xml:space="preserve">序号</w:t>
            </w:r>
            <w:r>
              <w:rPr>
                <w:rFonts w:ascii="宋体" w:hAnsi="宋体" w:cs="宋体"/>
              </w:rPr>
            </w:r>
            <w:r/>
          </w:p>
        </w:tc>
        <w:tc>
          <w:tcPr>
            <w:tcW w:w="1470" w:type="dxa"/>
            <w:vAlign w:val="center"/>
            <w:textDirection w:val="lrTb"/>
            <w:noWrap w:val="false"/>
          </w:tcPr>
          <w:p>
            <w:pPr>
              <w:pStyle w:val="1559"/>
              <w:jc w:val="center"/>
              <w:spacing w:line="480" w:lineRule="exact"/>
              <w:rPr>
                <w:rFonts w:ascii="宋体" w:hAnsi="宋体" w:cs="宋体"/>
              </w:rPr>
            </w:pPr>
            <w:r>
              <w:rPr>
                <w:rFonts w:hint="eastAsia" w:ascii="宋体" w:hAnsi="宋体" w:cs="宋体"/>
              </w:rPr>
              <w:t xml:space="preserve">设备名称</w:t>
            </w:r>
            <w:r>
              <w:rPr>
                <w:rFonts w:ascii="宋体" w:hAnsi="宋体" w:cs="宋体"/>
              </w:rPr>
            </w:r>
            <w:r/>
          </w:p>
        </w:tc>
        <w:tc>
          <w:tcPr>
            <w:tcW w:w="951" w:type="dxa"/>
            <w:vAlign w:val="center"/>
            <w:textDirection w:val="lrTb"/>
            <w:noWrap w:val="false"/>
          </w:tcPr>
          <w:p>
            <w:pPr>
              <w:pStyle w:val="1559"/>
              <w:jc w:val="center"/>
              <w:spacing w:line="480" w:lineRule="exact"/>
              <w:rPr>
                <w:rFonts w:ascii="宋体" w:hAnsi="宋体" w:cs="宋体"/>
              </w:rPr>
            </w:pPr>
            <w:r>
              <w:rPr>
                <w:rFonts w:hint="eastAsia" w:ascii="宋体" w:hAnsi="宋体" w:cs="宋体"/>
              </w:rPr>
              <w:t xml:space="preserve">数 量</w:t>
            </w:r>
            <w:r>
              <w:rPr>
                <w:rFonts w:ascii="宋体" w:hAnsi="宋体" w:cs="宋体"/>
              </w:rPr>
            </w:r>
            <w:r/>
          </w:p>
        </w:tc>
        <w:tc>
          <w:tcPr>
            <w:tcW w:w="1628" w:type="dxa"/>
            <w:vAlign w:val="center"/>
            <w:textDirection w:val="lrTb"/>
            <w:noWrap w:val="false"/>
          </w:tcPr>
          <w:p>
            <w:pPr>
              <w:pStyle w:val="1559"/>
              <w:jc w:val="center"/>
              <w:spacing w:line="480" w:lineRule="exact"/>
              <w:rPr>
                <w:rFonts w:ascii="宋体" w:hAnsi="宋体" w:cs="宋体"/>
              </w:rPr>
            </w:pPr>
            <w:r>
              <w:rPr>
                <w:rFonts w:hint="eastAsia" w:ascii="宋体" w:hAnsi="宋体" w:cs="宋体"/>
              </w:rPr>
              <w:t xml:space="preserve">合同履行期限（交货期）</w:t>
            </w:r>
            <w:r>
              <w:rPr>
                <w:rFonts w:ascii="宋体" w:hAnsi="宋体" w:cs="宋体"/>
              </w:rPr>
            </w:r>
            <w:r/>
          </w:p>
        </w:tc>
      </w:tr>
      <w:tr>
        <w:trPr>
          <w:cantSplit/>
          <w:trHeight w:val="454"/>
        </w:trPr>
        <w:tc>
          <w:tcPr>
            <w:tcW w:w="950" w:type="dxa"/>
            <w:vAlign w:val="center"/>
            <w:textDirection w:val="lrTb"/>
            <w:noWrap w:val="false"/>
          </w:tcPr>
          <w:p>
            <w:pPr>
              <w:pStyle w:val="1559"/>
              <w:jc w:val="center"/>
              <w:spacing w:line="480" w:lineRule="exact"/>
              <w:rPr>
                <w:rFonts w:ascii="宋体" w:hAnsi="宋体" w:cs="宋体"/>
              </w:rPr>
            </w:pPr>
            <w:r>
              <w:rPr>
                <w:rFonts w:hint="eastAsia" w:ascii="宋体" w:hAnsi="宋体" w:cs="宋体"/>
              </w:rPr>
              <w:t xml:space="preserve">1</w:t>
            </w:r>
            <w:r>
              <w:rPr>
                <w:rFonts w:ascii="宋体" w:hAnsi="宋体" w:cs="宋体"/>
              </w:rPr>
            </w:r>
            <w:r/>
          </w:p>
        </w:tc>
        <w:tc>
          <w:tcPr>
            <w:tcW w:w="1470" w:type="dxa"/>
            <w:vAlign w:val="center"/>
            <w:textDirection w:val="lrTb"/>
            <w:noWrap w:val="false"/>
          </w:tcPr>
          <w:p>
            <w:pPr>
              <w:pStyle w:val="1559"/>
              <w:jc w:val="center"/>
              <w:spacing w:line="480" w:lineRule="exact"/>
              <w:rPr>
                <w:rFonts w:ascii="宋体" w:hAnsi="宋体" w:cs="宋体"/>
              </w:rPr>
            </w:pPr>
            <w:r>
              <w:rPr>
                <w:rFonts w:hint="eastAsia" w:ascii="宋体" w:hAnsi="宋体" w:cs="宋体"/>
              </w:rPr>
              <w:t xml:space="preserve">通用计数器</w:t>
            </w:r>
            <w:r>
              <w:rPr>
                <w:rFonts w:ascii="宋体" w:hAnsi="宋体" w:cs="宋体"/>
              </w:rPr>
            </w:r>
            <w:r/>
          </w:p>
        </w:tc>
        <w:tc>
          <w:tcPr>
            <w:tcW w:w="951" w:type="dxa"/>
            <w:vAlign w:val="center"/>
            <w:textDirection w:val="lrTb"/>
            <w:noWrap w:val="false"/>
          </w:tcPr>
          <w:p>
            <w:pPr>
              <w:pStyle w:val="1559"/>
              <w:jc w:val="center"/>
              <w:spacing w:line="480" w:lineRule="exact"/>
              <w:rPr>
                <w:rFonts w:hint="eastAsia" w:ascii="宋体" w:hAnsi="宋体" w:cs="宋体"/>
              </w:rPr>
            </w:pPr>
            <w:r>
              <w:rPr>
                <w:rFonts w:hint="eastAsia" w:ascii="宋体" w:hAnsi="宋体" w:cs="宋体"/>
              </w:rPr>
              <w:t xml:space="preserve">1台</w:t>
            </w:r>
            <w:r>
              <w:rPr>
                <w:rFonts w:hint="eastAsia" w:ascii="宋体" w:hAnsi="宋体" w:cs="宋体"/>
              </w:rPr>
            </w:r>
            <w:r/>
          </w:p>
        </w:tc>
        <w:tc>
          <w:tcPr>
            <w:tcW w:w="1628" w:type="dxa"/>
            <w:vAlign w:val="center"/>
            <w:textDirection w:val="lrTb"/>
            <w:noWrap w:val="false"/>
          </w:tcPr>
          <w:p>
            <w:pPr>
              <w:pStyle w:val="1559"/>
              <w:jc w:val="center"/>
              <w:spacing w:line="480" w:lineRule="exact"/>
              <w:rPr>
                <w:rFonts w:ascii="宋体" w:hAnsi="宋体" w:cs="宋体"/>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ascii="宋体" w:hAnsi="宋体" w:cs="宋体"/>
              </w:rPr>
            </w:r>
            <w:r/>
          </w:p>
        </w:tc>
      </w:tr>
    </w:tbl>
    <w:p>
      <w:pPr>
        <w:pStyle w:val="1559"/>
        <w:jc w:val="left"/>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1.应具有频率、周期、时间间隔、脉冲宽度、占空比等测量功能；有10 MHz输出，并可外接频标；</w:t>
      </w:r>
      <w:r>
        <w:rPr>
          <w:rFonts w:ascii="宋体" w:hAnsi="宋体" w:cs="宋体"/>
          <w:szCs w:val="21"/>
        </w:rPr>
      </w:r>
      <w:r/>
    </w:p>
    <w:p>
      <w:pPr>
        <w:pStyle w:val="1559"/>
        <w:ind w:firstLine="422"/>
        <w:jc w:val="left"/>
        <w:spacing w:line="480" w:lineRule="exact"/>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2.频率测量范围满足0.1Hz～18GHz，频率偏差：±5</w:t>
      </w:r>
      <w:r>
        <w:rPr>
          <w:rFonts w:ascii="Wingdings 2" w:hAnsi="Wingdings 2" w:eastAsia="Wingdings 2" w:cs="Wingdings 2"/>
          <w:szCs w:val="21"/>
        </w:rPr>
        <w:t xml:space="preserve">Í</w:t>
      </w:r>
      <w:r>
        <w:rPr>
          <w:rFonts w:hint="eastAsia" w:ascii="宋体" w:hAnsi="宋体" w:cs="宋体"/>
          <w:szCs w:val="21"/>
        </w:rPr>
        <w:t xml:space="preserve">10</w:t>
      </w:r>
      <w:r>
        <w:rPr>
          <w:rFonts w:ascii="宋体" w:hAnsi="宋体" w:cs="宋体"/>
          <w:szCs w:val="21"/>
          <w:vertAlign w:val="superscript"/>
        </w:rPr>
        <w:t xml:space="preserve">-9</w:t>
      </w:r>
      <w:r>
        <w:rPr>
          <w:rFonts w:hint="eastAsia" w:ascii="宋体" w:hAnsi="宋体" w:cs="宋体"/>
          <w:szCs w:val="21"/>
        </w:rPr>
        <w:t xml:space="preserve">。</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3.动态范围应满足40mVrms～5Vrms，频率分辨率不低于10位/s。</w:t>
      </w:r>
      <w:r>
        <w:rPr>
          <w:rFonts w:ascii="宋体" w:hAnsi="宋体" w:cs="宋体"/>
          <w:szCs w:val="21"/>
        </w:rPr>
      </w:r>
      <w:r/>
    </w:p>
    <w:p>
      <w:pPr>
        <w:pStyle w:val="1559"/>
        <w:ind w:left="-1"/>
        <w:jc w:val="left"/>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1.验收依据：JJF 2196-2025《通用计数器校准规范》、厂家用户手册、本技术文件。</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559"/>
        <w:jc w:val="left"/>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★1.通用计数器的质保期为验收合格之日起2年。</w:t>
      </w:r>
      <w:r>
        <w:rPr>
          <w:rFonts w:ascii="宋体" w:hAnsi="宋体" w:cs="宋体"/>
          <w:szCs w:val="21"/>
        </w:rPr>
      </w:r>
      <w:r/>
    </w:p>
    <w:p>
      <w:pPr>
        <w:pStyle w:val="1559"/>
        <w:jc w:val="center"/>
        <w:spacing w:line="480" w:lineRule="exact"/>
        <w:tabs>
          <w:tab w:val="left" w:pos="4500" w:leader="none"/>
          <w:tab w:val="left" w:pos="4680" w:leader="none"/>
        </w:tabs>
        <w:rPr>
          <w:rFonts w:hint="eastAsia" w:ascii="宋体" w:hAnsi="宋体" w:eastAsia="宋体" w:cs="宋体"/>
          <w:b/>
          <w:szCs w:val="21"/>
          <w:lang w:eastAsia="zh-CN"/>
        </w:rPr>
        <w:outlineLvl w:val="1"/>
      </w:pPr>
      <w:r/>
      <w:bookmarkStart w:id="287" w:name="_Toc7028"/>
      <w:r/>
      <w:bookmarkStart w:id="288" w:name="_Toc32002"/>
      <w:r>
        <w:rPr>
          <w:rFonts w:hint="eastAsia" w:ascii="宋体" w:hAnsi="宋体" w:cs="宋体"/>
          <w:b/>
          <w:szCs w:val="21"/>
        </w:rPr>
        <w:t xml:space="preserve">分包</w:t>
      </w:r>
      <w:bookmarkEnd w:id="287"/>
      <w:r/>
      <w:bookmarkEnd w:id="288"/>
      <w:r>
        <w:rPr>
          <w:rFonts w:hint="eastAsia" w:ascii="宋体" w:hAnsi="宋体" w:cs="宋体"/>
          <w:b/>
          <w:szCs w:val="21"/>
          <w:lang w:val="en-US" w:eastAsia="zh-CN"/>
        </w:rPr>
        <w:t xml:space="preserve">6</w:t>
      </w:r>
      <w:r>
        <w:rPr>
          <w:rFonts w:hint="eastAsia" w:ascii="宋体" w:hAnsi="宋体" w:eastAsia="宋体" w:cs="宋体"/>
          <w:b/>
          <w:szCs w:val="21"/>
          <w:lang w:eastAsia="zh-CN"/>
        </w:rPr>
      </w:r>
      <w:r/>
    </w:p>
    <w:p>
      <w:pPr>
        <w:pStyle w:val="1559"/>
        <w:ind w:firstLine="422"/>
        <w:jc w:val="center"/>
        <w:spacing w:line="480" w:lineRule="exact"/>
        <w:rPr>
          <w:rFonts w:ascii="宋体" w:hAnsi="宋体" w:cs="宋体"/>
          <w:b/>
          <w:bCs/>
          <w:szCs w:val="21"/>
        </w:rPr>
        <w:outlineLvl w:val="1"/>
      </w:pPr>
      <w:r/>
      <w:bookmarkStart w:id="289" w:name="_Toc25378"/>
      <w:r/>
      <w:bookmarkStart w:id="290" w:name="_Toc30521"/>
      <w:r>
        <w:rPr>
          <w:rFonts w:hint="eastAsia" w:ascii="宋体" w:hAnsi="宋体" w:cs="宋体"/>
          <w:b/>
          <w:szCs w:val="21"/>
        </w:rPr>
        <w:t xml:space="preserve">品目</w:t>
      </w:r>
      <w:r>
        <w:rPr>
          <w:rFonts w:hint="eastAsia" w:ascii="宋体" w:hAnsi="宋体" w:cs="宋体"/>
          <w:b/>
          <w:bCs/>
          <w:szCs w:val="21"/>
        </w:rPr>
        <w:t xml:space="preserve">1 </w:t>
      </w:r>
      <w:r>
        <w:rPr>
          <w:rFonts w:ascii="宋体" w:hAnsi="宋体" w:cs="宋体"/>
          <w:b/>
          <w:bCs/>
          <w:szCs w:val="21"/>
        </w:rPr>
        <w:t xml:space="preserve"> </w:t>
      </w:r>
      <w:bookmarkEnd w:id="289"/>
      <w:r>
        <w:rPr>
          <w:rFonts w:hint="eastAsia" w:ascii="宋体" w:hAnsi="宋体" w:cs="宋体"/>
          <w:b/>
          <w:bCs/>
          <w:szCs w:val="21"/>
        </w:rPr>
        <w:t xml:space="preserve">0.01级三相标准功率电能表</w:t>
      </w:r>
      <w:bookmarkEnd w:id="290"/>
      <w:r>
        <w:rPr>
          <w:rFonts w:ascii="宋体" w:hAnsi="宋体" w:cs="宋体"/>
          <w:b/>
          <w:bCs/>
          <w:szCs w:val="21"/>
        </w:rPr>
      </w:r>
      <w:r/>
    </w:p>
    <w:p>
      <w:pPr>
        <w:pStyle w:val="1559"/>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4870"/>
        <w:gridCol w:w="1190"/>
        <w:gridCol w:w="2866"/>
      </w:tblGrid>
      <w:tr>
        <w:trPr>
          <w:trHeight w:val="389"/>
        </w:trPr>
        <w:tc>
          <w:tcPr>
            <w:tcW w:w="469" w:type="dxa"/>
            <w:vAlign w:val="center"/>
            <w:textDirection w:val="lrTb"/>
            <w:noWrap w:val="false"/>
          </w:tcPr>
          <w:p>
            <w:pPr>
              <w:pStyle w:val="1559"/>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471"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604"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454"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469"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471"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0</w:t>
            </w:r>
            <w:r>
              <w:rPr>
                <w:rFonts w:ascii="宋体" w:hAnsi="宋体" w:cs="宋体"/>
                <w:szCs w:val="21"/>
              </w:rPr>
              <w:t xml:space="preserve">.01</w:t>
            </w:r>
            <w:r>
              <w:rPr>
                <w:rFonts w:hint="eastAsia" w:ascii="宋体" w:hAnsi="宋体" w:cs="宋体"/>
                <w:szCs w:val="21"/>
              </w:rPr>
              <w:t xml:space="preserve">级三相标准功率电能表，不得低于以下配置：</w:t>
            </w:r>
            <w:r>
              <w:rPr>
                <w:rFonts w:ascii="宋体" w:hAnsi="宋体" w:cs="宋体"/>
                <w:szCs w:val="21"/>
              </w:rPr>
            </w:r>
            <w:r/>
          </w:p>
        </w:tc>
        <w:tc>
          <w:tcPr>
            <w:tcW w:w="604" w:type="dxa"/>
            <w:vAlign w:val="center"/>
            <w:textDirection w:val="lrTb"/>
            <w:noWrap w:val="false"/>
          </w:tcPr>
          <w:p>
            <w:pPr>
              <w:pStyle w:val="1559"/>
              <w:jc w:val="center"/>
              <w:keepNext/>
              <w:spacing w:line="480" w:lineRule="exact"/>
              <w:rPr>
                <w:rFonts w:ascii="宋体" w:hAnsi="宋体" w:cs="宋体"/>
                <w:szCs w:val="21"/>
              </w:rPr>
              <w:outlineLvl w:val="0"/>
            </w:pPr>
            <w:r/>
            <w:bookmarkStart w:id="291" w:name="_Toc1607"/>
            <w:r/>
            <w:bookmarkStart w:id="292" w:name="_Toc12803"/>
            <w:r>
              <w:rPr>
                <w:rFonts w:hint="eastAsia" w:ascii="宋体" w:hAnsi="宋体" w:cs="宋体"/>
                <w:szCs w:val="21"/>
              </w:rPr>
              <w:t xml:space="preserve">1</w:t>
            </w:r>
            <w:bookmarkEnd w:id="291"/>
            <w:r>
              <w:rPr>
                <w:rFonts w:hint="eastAsia" w:ascii="宋体" w:hAnsi="宋体" w:cs="宋体"/>
                <w:szCs w:val="21"/>
              </w:rPr>
              <w:t xml:space="preserve">台</w:t>
            </w:r>
            <w:bookmarkEnd w:id="292"/>
            <w:r>
              <w:rPr>
                <w:rFonts w:ascii="宋体" w:hAnsi="宋体" w:cs="宋体"/>
                <w:szCs w:val="21"/>
              </w:rPr>
            </w:r>
            <w:r/>
          </w:p>
        </w:tc>
        <w:tc>
          <w:tcPr>
            <w:tcW w:w="1454" w:type="dxa"/>
            <w:vAlign w:val="center"/>
            <w:vMerge w:val="restart"/>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签订合同后6个月</w:t>
            </w:r>
            <w:r>
              <w:rPr>
                <w:rFonts w:ascii="宋体" w:hAnsi="宋体" w:cs="宋体"/>
                <w:szCs w:val="21"/>
              </w:rPr>
            </w:r>
            <w:r/>
          </w:p>
        </w:tc>
      </w:tr>
      <w:tr>
        <w:trPr>
          <w:cantSplit/>
          <w:trHeight w:val="454"/>
        </w:trPr>
        <w:tc>
          <w:tcPr>
            <w:tcW w:w="469"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2471"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三相多功能标准电能表</w:t>
            </w:r>
            <w:r>
              <w:rPr>
                <w:rFonts w:ascii="宋体" w:hAnsi="宋体" w:cs="宋体"/>
                <w:szCs w:val="21"/>
              </w:rPr>
            </w:r>
            <w:r/>
          </w:p>
        </w:tc>
        <w:tc>
          <w:tcPr>
            <w:tcW w:w="604"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454" w:type="dxa"/>
            <w:vAlign w:val="center"/>
            <w:vMerge w:val="continue"/>
            <w:textDirection w:val="lrTb"/>
            <w:noWrap w:val="false"/>
          </w:tcPr>
          <w:p>
            <w:pPr>
              <w:pStyle w:val="1559"/>
              <w:jc w:val="center"/>
              <w:spacing w:line="480" w:lineRule="exact"/>
              <w:rPr>
                <w:rFonts w:ascii="宋体" w:hAnsi="宋体" w:cs="宋体"/>
                <w:szCs w:val="21"/>
              </w:rPr>
            </w:pPr>
            <w:r>
              <w:rPr>
                <w:rFonts w:ascii="宋体" w:hAnsi="宋体" w:cs="宋体"/>
                <w:szCs w:val="21"/>
              </w:rPr>
            </w:r>
            <w:r/>
          </w:p>
        </w:tc>
      </w:tr>
      <w:tr>
        <w:trPr>
          <w:cantSplit/>
          <w:trHeight w:val="454"/>
        </w:trPr>
        <w:tc>
          <w:tcPr>
            <w:tcW w:w="469"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2471"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实现自动检测必备的测试软件和控制机</w:t>
            </w:r>
            <w:r>
              <w:rPr>
                <w:rFonts w:ascii="宋体" w:hAnsi="宋体" w:cs="宋体"/>
                <w:szCs w:val="21"/>
              </w:rPr>
            </w:r>
            <w:r/>
          </w:p>
        </w:tc>
        <w:tc>
          <w:tcPr>
            <w:tcW w:w="604" w:type="dxa"/>
            <w:vAlign w:val="center"/>
            <w:textDirection w:val="lrTb"/>
            <w:noWrap w:val="false"/>
          </w:tcPr>
          <w:p>
            <w:pPr>
              <w:pStyle w:val="1559"/>
              <w:jc w:val="center"/>
              <w:spacing w:line="480" w:lineRule="exact"/>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454" w:type="dxa"/>
            <w:vAlign w:val="center"/>
            <w:vMerge w:val="continue"/>
            <w:textDirection w:val="lrTb"/>
            <w:noWrap w:val="false"/>
          </w:tcPr>
          <w:p>
            <w:pPr>
              <w:pStyle w:val="1559"/>
              <w:jc w:val="center"/>
              <w:spacing w:line="480" w:lineRule="exact"/>
              <w:rPr>
                <w:rFonts w:ascii="宋体" w:hAnsi="宋体" w:cs="宋体"/>
                <w:szCs w:val="21"/>
              </w:rPr>
            </w:pPr>
            <w:r>
              <w:rPr>
                <w:rFonts w:ascii="宋体" w:hAnsi="宋体" w:cs="宋体"/>
                <w:szCs w:val="21"/>
              </w:rPr>
            </w:r>
            <w:r/>
          </w:p>
        </w:tc>
      </w:tr>
    </w:tbl>
    <w:p>
      <w:pPr>
        <w:pStyle w:val="1559"/>
        <w:jc w:val="left"/>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★1.测量范围：交流电压：3×（57.7～380）V；交流电流：3×（0.3mA～200A）。</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★2.电能准确度等级：0.01级；谐波电能准确度等级：0.1级。</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★3.交流功率及交流电能的稳定度：优于50 ppm/年。</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4.频率测量范围：45Hz～70Hz，分辨力：0.00001Hz，最大允许误差：± 0.005%。</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5.相位测量：范围：0～360°，分辨力：0.0001°，最大允许误差：± 0.003°（50Hz）。</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6.在三相Y/V等各种接线方式下，同时测量交流回路中的电压、电流、频率、相位、谐波、有功功率/电能、无功功率/电能、累计电能、视在功率、功率因数等参数。</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7.可测量第2～255次（50Hz/60Hz）谐波，分析各次谐波含量、总谐波失真，绘制谐波直方图。可实时分析并显示电压、电流、有功、无功和视在功率的谐波；可实时分析并显示至255次谐波的各次谐波含量、总谐波失真(THD)、谐波失真度(k)；显示谐波频域频谱，显示谐波时域波形。</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8.电能计量应支持脉冲法、累积电能法。应能测量正向、反向、总电能及谐波电能。</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9.实现自动检测必备的测试软件和控制机</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9.1 应能实现全自动化检测，包括测试参数配置、数据采集、结果分析及异常判定。可自动生成符合行业规范的检校记录和报告。</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9.2 应具备多协议兼容性，适配主流的通信协议，确保与不同品牌、型号的检测设备匹配。</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9.3 控制机不低于以下配置：处理器：物理核心≥16 核，线程≥24 线程，基础主频≥2.1GHz，≥32GB DDR5 4800MHz 内存，≥1TB NVMe M.2 高速固态硬盘存储容量。</w:t>
      </w:r>
      <w:r>
        <w:rPr>
          <w:rFonts w:ascii="宋体" w:hAnsi="宋体" w:cs="宋体"/>
          <w:szCs w:val="21"/>
        </w:rPr>
      </w:r>
      <w:r/>
    </w:p>
    <w:p>
      <w:pPr>
        <w:pStyle w:val="1559"/>
        <w:ind w:left="1" w:hanging="200"/>
        <w:jc w:val="left"/>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1.验收依据：JJG 1085-2013《标准电能表检定规程》、制造厂商提供的用户手册中的技术要求、本技术文件。</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2.卖方负责将设备送检至中国计量科学研究院进行检定/校准，并出具检定/校准证书，检测费用由卖方承担。</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559"/>
        <w:jc w:val="left"/>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 0.01级</w:t>
      </w:r>
      <w:r>
        <w:rPr>
          <w:rFonts w:hint="eastAsia" w:ascii="宋体" w:hAnsi="宋体" w:cs="宋体"/>
          <w:szCs w:val="21"/>
        </w:rPr>
        <w:t xml:space="preserve">三相标准功率电能表的质保期为验收合格之日起2年。</w:t>
      </w:r>
      <w:r>
        <w:rPr>
          <w:rFonts w:ascii="宋体" w:hAnsi="宋体" w:cs="宋体"/>
          <w:szCs w:val="21"/>
        </w:rPr>
      </w:r>
      <w:r/>
    </w:p>
    <w:p>
      <w:pPr>
        <w:pStyle w:val="1559"/>
        <w:jc w:val="left"/>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r>
      <w:r/>
    </w:p>
    <w:p>
      <w:pPr>
        <w:pStyle w:val="1559"/>
        <w:spacing w:line="440" w:lineRule="exact"/>
        <w:rPr>
          <w:rFonts w:hint="eastAsia" w:ascii="宋体" w:hAnsi="宋体" w:cs="宋体"/>
          <w:bCs/>
          <w:szCs w:val="21"/>
          <w:lang w:bidi="ar"/>
        </w:rPr>
      </w:pPr>
      <w:r>
        <w:rPr>
          <w:rFonts w:hint="eastAsia" w:ascii="宋体" w:hAnsi="宋体" w:cs="宋体"/>
          <w:b/>
          <w:bCs/>
          <w:szCs w:val="21"/>
        </w:rPr>
        <w:t xml:space="preserve">★三、付款方式</w:t>
      </w:r>
      <w:r>
        <w:rPr>
          <w:rFonts w:hint="eastAsia" w:ascii="宋体" w:hAnsi="宋体" w:cs="宋体"/>
          <w:b/>
          <w:bCs/>
          <w:color w:val="ff0000"/>
          <w:szCs w:val="21"/>
        </w:rPr>
        <w:t xml:space="preserve">（技术及商务响应评分项）</w:t>
      </w:r>
      <w:r>
        <w:rPr>
          <w:rFonts w:hint="eastAsia" w:ascii="宋体" w:hAnsi="宋体" w:cs="宋体"/>
          <w:b/>
          <w:bCs/>
          <w:szCs w:val="21"/>
        </w:rPr>
        <w:t xml:space="preserve">：</w:t>
      </w:r>
      <w:r>
        <w:rPr>
          <w:rFonts w:hint="eastAsia" w:ascii="宋体" w:hAnsi="宋体" w:cs="宋体"/>
          <w:bCs/>
          <w:szCs w:val="21"/>
          <w:lang w:bidi="ar"/>
        </w:rPr>
        <w:t xml:space="preserve">合同签订生</w:t>
      </w:r>
      <w:r>
        <w:rPr>
          <w:rFonts w:hint="eastAsia" w:ascii="宋体" w:hAnsi="宋体" w:cs="宋体"/>
          <w:bCs/>
          <w:color w:val="000000"/>
          <w:szCs w:val="21"/>
          <w:lang w:bidi="ar"/>
        </w:rPr>
        <w:t xml:space="preserve">效后一个月内，采购</w:t>
      </w:r>
      <w:r>
        <w:rPr>
          <w:rFonts w:hint="eastAsia" w:ascii="宋体" w:hAnsi="宋体" w:cs="宋体"/>
          <w:bCs/>
          <w:szCs w:val="21"/>
          <w:lang w:bidi="ar"/>
        </w:rPr>
        <w:t xml:space="preserve">人</w:t>
      </w:r>
      <w:r>
        <w:rPr>
          <w:rFonts w:hint="eastAsia" w:ascii="宋体" w:hAnsi="宋体" w:cs="宋体"/>
          <w:szCs w:val="21"/>
        </w:rPr>
        <w:t xml:space="preserve">向供应商支付</w:t>
      </w:r>
      <w:r>
        <w:rPr>
          <w:rFonts w:hint="eastAsia" w:ascii="宋体" w:hAnsi="宋体" w:cs="宋体"/>
          <w:bCs/>
          <w:szCs w:val="21"/>
          <w:lang w:bidi="ar"/>
        </w:rPr>
        <w:t xml:space="preserve">合同金额35%的预付款，设备、材料全部运抵采购人指定地点，安装结束，调试完毕，并验收合格</w:t>
      </w:r>
      <w:r>
        <w:rPr>
          <w:rFonts w:hint="eastAsia" w:ascii="宋体" w:hAnsi="宋体" w:cs="宋体"/>
          <w:bCs/>
          <w:szCs w:val="21"/>
          <w:lang w:eastAsia="zh-CN" w:bidi="ar"/>
        </w:rPr>
        <w:t xml:space="preserve">、</w:t>
      </w:r>
      <w:r>
        <w:rPr>
          <w:rFonts w:hint="eastAsia" w:ascii="宋体" w:hAnsi="宋体" w:cs="宋体"/>
          <w:bCs/>
          <w:szCs w:val="21"/>
          <w:lang w:bidi="ar"/>
        </w:rPr>
        <w:t xml:space="preserve">供应商向采购人开具合同金额10%的银行保函（作为履约保证金）后，采购人向供应商支付合同金额65%的货款，保函在合同履行完毕后无息退回。如供应商未能履行合同规定的义务，采购人有权从履约保证金中取得补偿。</w:t>
      </w:r>
      <w:r>
        <w:rPr>
          <w:rFonts w:hint="eastAsia" w:ascii="宋体" w:hAnsi="宋体" w:cs="宋体"/>
          <w:bCs/>
          <w:szCs w:val="21"/>
          <w:lang w:bidi="ar"/>
        </w:rPr>
      </w:r>
      <w:r/>
    </w:p>
    <w:p>
      <w:pPr>
        <w:pStyle w:val="1559"/>
        <w:ind w:firstLine="422"/>
        <w:spacing w:line="440" w:lineRule="exact"/>
        <w:rPr>
          <w:rFonts w:ascii="宋体" w:hAnsi="宋体" w:cs="宋体"/>
          <w:b/>
          <w:color w:val="000000"/>
          <w:szCs w:val="21"/>
          <w:lang w:bidi="ar"/>
        </w:rPr>
      </w:pPr>
      <w:r>
        <w:rPr>
          <w:rFonts w:hint="eastAsia" w:ascii="宋体" w:hAnsi="宋体" w:cs="宋体"/>
          <w:b/>
          <w:szCs w:val="21"/>
          <w:lang w:bidi="ar"/>
        </w:rPr>
        <w:t xml:space="preserve">因供应商原因没有按期提供银行保函和发票的，致使采购人未能及时付款所产生的责任由供应商</w:t>
      </w:r>
      <w:r>
        <w:rPr>
          <w:rFonts w:hint="eastAsia" w:ascii="宋体" w:hAnsi="宋体" w:cs="宋体"/>
          <w:b/>
          <w:szCs w:val="21"/>
          <w:lang w:val="en-US" w:eastAsia="zh-CN" w:bidi="ar"/>
        </w:rPr>
        <w:t xml:space="preserve">承担</w:t>
      </w:r>
      <w:r>
        <w:rPr>
          <w:rFonts w:hint="eastAsia" w:ascii="宋体" w:hAnsi="宋体" w:cs="宋体"/>
          <w:b/>
          <w:szCs w:val="21"/>
          <w:lang w:bidi="ar"/>
        </w:rPr>
        <w:t xml:space="preserve">，采</w:t>
      </w:r>
      <w:r>
        <w:rPr>
          <w:rFonts w:hint="eastAsia" w:ascii="宋体" w:hAnsi="宋体" w:cs="宋体"/>
          <w:b/>
          <w:color w:val="000000"/>
          <w:szCs w:val="21"/>
          <w:lang w:bidi="ar"/>
        </w:rPr>
        <w:t xml:space="preserve">购人不承担违约责任。</w:t>
      </w:r>
      <w:r>
        <w:rPr>
          <w:rFonts w:ascii="宋体" w:hAnsi="宋体" w:cs="宋体"/>
          <w:b/>
          <w:color w:val="000000"/>
          <w:szCs w:val="21"/>
          <w:lang w:bidi="ar"/>
        </w:rPr>
      </w:r>
      <w:r/>
    </w:p>
    <w:p>
      <w:pPr>
        <w:pStyle w:val="1559"/>
        <w:ind w:firstLine="422"/>
        <w:spacing w:line="440" w:lineRule="exact"/>
        <w:rPr>
          <w:rFonts w:hint="eastAsia" w:ascii="宋体" w:hAnsi="宋体" w:cs="宋体"/>
          <w:b/>
          <w:szCs w:val="21"/>
          <w:lang w:bidi="ar"/>
        </w:rPr>
      </w:pPr>
      <w:r>
        <w:rPr>
          <w:rFonts w:hint="eastAsia" w:ascii="宋体" w:hAnsi="宋体" w:cs="宋体"/>
          <w:b/>
          <w:bCs/>
          <w:color w:val="000000"/>
          <w:szCs w:val="21"/>
          <w:lang w:bidi="ar"/>
        </w:rPr>
        <w:t xml:space="preserve">若产品存在质量问题，则不受该付款条件约束，应按照本合同条款其他要求以及民法典有关规定执行。</w:t>
      </w:r>
      <w:r>
        <w:rPr>
          <w:rFonts w:hint="eastAsia" w:ascii="宋体" w:hAnsi="宋体" w:cs="宋体"/>
          <w:b/>
          <w:szCs w:val="21"/>
          <w:lang w:bidi="ar"/>
        </w:rPr>
      </w:r>
      <w:r/>
    </w:p>
    <w:p>
      <w:pPr>
        <w:pStyle w:val="1559"/>
        <w:jc w:val="left"/>
        <w:spacing w:line="360" w:lineRule="auto"/>
        <w:rPr>
          <w:rFonts w:hint="eastAsia" w:ascii="宋体" w:cs="宋体"/>
          <w:b/>
          <w:bCs/>
          <w:szCs w:val="21"/>
        </w:rPr>
      </w:pPr>
      <w:r>
        <w:rPr>
          <w:rFonts w:hint="eastAsia" w:ascii="宋体" w:cs="宋体"/>
          <w:b/>
          <w:bCs/>
          <w:szCs w:val="21"/>
        </w:rPr>
      </w:r>
      <w:r/>
    </w:p>
    <w:p>
      <w:pPr>
        <w:pStyle w:val="1559"/>
        <w:spacing w:line="480" w:lineRule="exact"/>
        <w:rPr>
          <w:rFonts w:ascii="宋体" w:hAnsi="宋体" w:cs="宋体"/>
          <w:b/>
          <w:bCs/>
          <w:szCs w:val="21"/>
        </w:rPr>
      </w:pPr>
      <w:r>
        <w:rPr>
          <w:rFonts w:hint="eastAsia" w:ascii="宋体" w:hAnsi="宋体" w:cs="宋体"/>
          <w:b/>
          <w:bCs/>
          <w:szCs w:val="21"/>
        </w:rPr>
        <w:t xml:space="preserve">四、安装调试</w:t>
      </w:r>
      <w:r>
        <w:rPr>
          <w:rFonts w:hint="eastAsia" w:ascii="宋体" w:hAnsi="宋体" w:cs="宋体"/>
          <w:b/>
          <w:bCs/>
          <w:color w:val="ff0000"/>
          <w:szCs w:val="21"/>
        </w:rPr>
        <w:t xml:space="preserve">（技术及商务响应评分项）</w:t>
      </w:r>
      <w:r>
        <w:rPr>
          <w:rFonts w:ascii="宋体" w:hAnsi="宋体" w:cs="宋体"/>
          <w:b/>
          <w:bCs/>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1.卖方向买方提供设备供货清单，由买方确认。当货物到达买方指定的交货地点后，买卖双方依据设备供货清单共同对设备进行开箱验收，并对设备的数量、品质进行逐项检查。如买方发现所提供设备的品质和技术规范不符合合同要求时，或有明显损坏，买方有权向卖方提出退、换和索赔；</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2.在设备到达交货地点后，卖方应尽快安排技术人员完成整套设备的安装和调试，同时协助买方合理安排试验环境和条件的布置。卖方承担安装调试相关全部费用。</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3.在安装调试过程中如有任何软、硬件故障发生，卖方必须更换不合格的部件，并重新进行安装测试，由此引起的全部费用由卖方承担。</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4.在安装、调试过程中，卖方应向买方提供完整的技术说明书、用户手册及维修手册等相关技术文档资料，对买方技术人员所提出的技术问题给予满意的答复。</w:t>
      </w:r>
      <w:r>
        <w:rPr>
          <w:rFonts w:ascii="宋体" w:hAnsi="宋体" w:cs="宋体"/>
          <w:szCs w:val="21"/>
        </w:rPr>
      </w:r>
      <w:r/>
    </w:p>
    <w:p>
      <w:pPr>
        <w:pStyle w:val="1559"/>
        <w:spacing w:line="480" w:lineRule="exact"/>
        <w:rPr>
          <w:rFonts w:hint="eastAsia" w:ascii="宋体" w:hAnsi="宋体" w:cs="宋体"/>
          <w:b/>
          <w:bCs/>
          <w:szCs w:val="21"/>
        </w:rPr>
      </w:pPr>
      <w:r>
        <w:rPr>
          <w:rFonts w:hint="eastAsia" w:ascii="宋体" w:hAnsi="宋体" w:cs="宋体"/>
          <w:b/>
          <w:bCs/>
          <w:szCs w:val="21"/>
        </w:rPr>
      </w:r>
      <w:r/>
    </w:p>
    <w:p>
      <w:pPr>
        <w:pStyle w:val="1559"/>
        <w:spacing w:line="480" w:lineRule="exact"/>
        <w:rPr>
          <w:rFonts w:ascii="宋体" w:hAnsi="宋体" w:cs="宋体"/>
          <w:b/>
          <w:bCs/>
          <w:szCs w:val="21"/>
        </w:rPr>
      </w:pPr>
      <w:r>
        <w:rPr>
          <w:rFonts w:hint="eastAsia" w:ascii="宋体" w:hAnsi="宋体" w:cs="宋体"/>
          <w:b/>
          <w:bCs/>
          <w:szCs w:val="21"/>
        </w:rPr>
        <w:t xml:space="preserve">五、人员培训要求</w:t>
      </w:r>
      <w:r>
        <w:rPr>
          <w:rFonts w:hint="eastAsia" w:ascii="宋体" w:hAnsi="宋体" w:cs="宋体"/>
          <w:b/>
          <w:bCs/>
          <w:color w:val="ff0000"/>
          <w:szCs w:val="21"/>
        </w:rPr>
        <w:t xml:space="preserve">（技术及商务响应评分项）</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1.卖方应派技术工程师到买方现场对买方人员进行技术培训，使买方人员能掌握有关系统设备的使用、维护和管理，达到能独立进行操作、日常测试、运行维护等工作的目的。</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2.培训内容包括：基本理论和方法、仪器使用、仪器维护、安全注意事项以及其他相关内容。培训时应提供详细的培训文件。</w:t>
      </w:r>
      <w:r>
        <w:rPr>
          <w:rFonts w:ascii="宋体" w:hAnsi="宋体" w:cs="宋体"/>
          <w:szCs w:val="21"/>
        </w:rPr>
      </w:r>
      <w:r/>
    </w:p>
    <w:p>
      <w:pPr>
        <w:pStyle w:val="1559"/>
        <w:ind w:firstLine="420"/>
        <w:spacing w:line="480" w:lineRule="exact"/>
        <w:rPr>
          <w:rFonts w:hint="eastAsia" w:ascii="宋体" w:hAnsi="宋体" w:cs="宋体"/>
          <w:szCs w:val="21"/>
        </w:rPr>
      </w:pPr>
      <w:r>
        <w:rPr>
          <w:rFonts w:hint="eastAsia" w:ascii="宋体" w:hAnsi="宋体" w:cs="宋体"/>
          <w:szCs w:val="21"/>
        </w:rPr>
        <w:t xml:space="preserve">3.所发生的培训费用由卖方承担。</w:t>
      </w:r>
      <w:r>
        <w:rPr>
          <w:rFonts w:hint="eastAsia" w:ascii="宋体" w:hAnsi="宋体" w:cs="宋体"/>
          <w:szCs w:val="21"/>
        </w:rPr>
      </w:r>
      <w:r/>
    </w:p>
    <w:p>
      <w:pPr>
        <w:pStyle w:val="1559"/>
        <w:spacing w:line="480" w:lineRule="exact"/>
        <w:rPr>
          <w:rFonts w:hint="eastAsia" w:ascii="宋体" w:hAnsi="宋体" w:cs="宋体"/>
          <w:b/>
          <w:bCs/>
          <w:szCs w:val="21"/>
        </w:rPr>
      </w:pPr>
      <w:r>
        <w:rPr>
          <w:rFonts w:hint="eastAsia" w:ascii="宋体" w:hAnsi="宋体" w:cs="宋体"/>
          <w:b/>
          <w:bCs/>
          <w:szCs w:val="21"/>
        </w:rPr>
      </w:r>
      <w:r/>
    </w:p>
    <w:p>
      <w:pPr>
        <w:pStyle w:val="1559"/>
        <w:spacing w:line="480" w:lineRule="exact"/>
        <w:rPr>
          <w:rFonts w:ascii="宋体" w:hAnsi="宋体" w:cs="宋体"/>
          <w:b/>
          <w:bCs/>
          <w:szCs w:val="21"/>
        </w:rPr>
      </w:pPr>
      <w:r>
        <w:rPr>
          <w:rFonts w:hint="eastAsia" w:ascii="宋体" w:hAnsi="宋体" w:cs="宋体"/>
          <w:b/>
          <w:bCs/>
          <w:szCs w:val="21"/>
        </w:rPr>
        <w:t xml:space="preserve">六、技术支持以及售后服务</w:t>
      </w:r>
      <w:r>
        <w:rPr>
          <w:rFonts w:hint="eastAsia" w:ascii="宋体" w:hAnsi="宋体" w:cs="宋体"/>
          <w:b/>
          <w:bCs/>
          <w:color w:val="ff0000"/>
          <w:szCs w:val="21"/>
        </w:rPr>
        <w:t xml:space="preserve">（技术及商务响应评分项）</w:t>
      </w:r>
      <w:r>
        <w:rPr>
          <w:rFonts w:ascii="宋体" w:hAnsi="宋体" w:cs="宋体"/>
          <w:b/>
          <w:bCs/>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★1.质保期：详见各产品具体要求。</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2.在质保期内，卖方负责为买方的设备提供免费维护、保养和免费更换损坏的和有缺陷的零部件、配件。设备各部件发生非人为故障，卖方应免费更换同种品牌不低于原价位、规格、型号的部件。质保期之后，卖方提供终身优惠服务和技术支持，原则上卖方技术人员上门维修只收取更换的零部件费，不另收取工时费。</w:t>
      </w:r>
      <w:r>
        <w:rPr>
          <w:rFonts w:ascii="宋体" w:hAnsi="宋体" w:cs="宋体"/>
          <w:szCs w:val="21"/>
        </w:rPr>
      </w:r>
      <w:r/>
    </w:p>
    <w:p>
      <w:pPr>
        <w:pStyle w:val="1559"/>
        <w:ind w:firstLine="420"/>
        <w:spacing w:line="480" w:lineRule="exact"/>
        <w:rPr>
          <w:rFonts w:ascii="宋体" w:hAnsi="宋体" w:cs="宋体"/>
          <w:szCs w:val="21"/>
        </w:rPr>
      </w:pPr>
      <w:r>
        <w:rPr>
          <w:rFonts w:hint="eastAsia" w:ascii="宋体" w:hAnsi="宋体" w:cs="宋体"/>
          <w:szCs w:val="21"/>
        </w:rPr>
        <w:t xml:space="preserve">3.设备出现故障需要修理时，卖方须在接到故障信息后24小时内回应，通过电话、传真及邮件的方式指导采购人排除故障；若故障仍不能排除，在48小时内上门调试维修排故。所换零件按成本价收取。</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4.卖方提供备用设备服务，如买方仪器发生故障，无法在短时间内修复，而买方急需使用仪器，如卖方有类似的设备</w:t>
      </w:r>
      <w:r>
        <w:rPr>
          <w:rFonts w:hint="eastAsia" w:ascii="宋体" w:hAnsi="宋体" w:cs="宋体"/>
          <w:szCs w:val="21"/>
          <w:lang w:eastAsia="zh-CN"/>
        </w:rPr>
        <w:t xml:space="preserve">，</w:t>
      </w:r>
      <w:r>
        <w:rPr>
          <w:rFonts w:hint="eastAsia" w:ascii="宋体" w:hAnsi="宋体" w:cs="宋体"/>
          <w:szCs w:val="21"/>
        </w:rPr>
        <w:t xml:space="preserve"> 卖方将无偿提供计量合格的备用设备，直到产品修理完成为止。</w:t>
      </w:r>
      <w:r>
        <w:rPr>
          <w:rFonts w:ascii="宋体" w:hAnsi="宋体" w:cs="宋体"/>
          <w:szCs w:val="21"/>
        </w:rPr>
      </w:r>
      <w:r/>
    </w:p>
    <w:p>
      <w:pPr>
        <w:pStyle w:val="1559"/>
        <w:ind w:firstLine="420"/>
        <w:jc w:val="left"/>
        <w:spacing w:line="480" w:lineRule="exact"/>
        <w:rPr>
          <w:rFonts w:ascii="宋体" w:hAnsi="宋体" w:cs="宋体"/>
          <w:szCs w:val="21"/>
        </w:rPr>
      </w:pPr>
      <w:r>
        <w:rPr>
          <w:rFonts w:hint="eastAsia" w:ascii="宋体" w:hAnsi="宋体" w:cs="宋体"/>
          <w:szCs w:val="21"/>
        </w:rPr>
        <w:t xml:space="preserve">5.卖方提供系统软件终生免费升级服务；如相应计量规程规范发生变更，免费升级软件。</w:t>
      </w:r>
      <w:r>
        <w:rPr>
          <w:rFonts w:ascii="宋体" w:hAnsi="宋体" w:cs="宋体"/>
          <w:szCs w:val="21"/>
        </w:rPr>
      </w:r>
      <w:r/>
    </w:p>
    <w:p>
      <w:pPr>
        <w:pStyle w:val="1559"/>
        <w:jc w:val="left"/>
        <w:spacing w:line="480" w:lineRule="exact"/>
        <w:tabs>
          <w:tab w:val="left" w:pos="1680" w:leader="none"/>
        </w:tabs>
        <w:rPr>
          <w:rFonts w:hint="eastAsia" w:ascii="宋体" w:hAnsi="宋体" w:cs="宋体"/>
          <w:szCs w:val="21"/>
        </w:rPr>
      </w:pPr>
      <w:r>
        <w:rPr>
          <w:rFonts w:hint="eastAsia" w:ascii="宋体" w:hAnsi="宋体" w:cs="宋体"/>
          <w:b/>
          <w:szCs w:val="21"/>
        </w:rPr>
        <w:br w:type="textWrapping" w:clear="all"/>
      </w:r>
      <w:r>
        <w:rPr>
          <w:rFonts w:hint="eastAsia" w:ascii="宋体" w:hAnsi="宋体" w:cs="宋体"/>
          <w:b/>
          <w:szCs w:val="21"/>
        </w:rPr>
        <w:t xml:space="preserve">七、方案要求</w:t>
      </w:r>
      <w:r>
        <w:rPr>
          <w:rFonts w:hint="eastAsia" w:ascii="宋体" w:hAnsi="宋体" w:cs="宋体"/>
          <w:b/>
          <w:bCs/>
          <w:color w:val="ff0000"/>
          <w:szCs w:val="21"/>
        </w:rPr>
        <w:t xml:space="preserve">（非技术及商务响应评分项）</w:t>
      </w:r>
      <w:r>
        <w:rPr>
          <w:rFonts w:hint="eastAsia" w:ascii="宋体" w:hAnsi="宋体" w:cs="宋体"/>
          <w:szCs w:val="21"/>
        </w:rPr>
        <w:t xml:space="preserve">：</w:t>
      </w:r>
      <w:r>
        <w:rPr>
          <w:rFonts w:hint="eastAsia" w:ascii="宋体" w:hAnsi="宋体" w:cs="宋体"/>
          <w:szCs w:val="21"/>
        </w:rPr>
      </w:r>
      <w:r/>
    </w:p>
    <w:p>
      <w:pPr>
        <w:pStyle w:val="1559"/>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1.实施方案：投标人需根据对本项目的理解提供项目总体实施方案，包但不限于整体组织架构、风险控制管理、质量保障措施、安全管理措施、文档管理措施、供货计划、设备安装计划安排、改造方案等。</w:t>
      </w:r>
      <w:r>
        <w:rPr>
          <w:rFonts w:hint="eastAsia" w:ascii="宋体" w:hAnsi="宋体" w:cs="宋体"/>
          <w:szCs w:val="21"/>
        </w:rPr>
      </w:r>
      <w:r/>
    </w:p>
    <w:p>
      <w:pPr>
        <w:pStyle w:val="1559"/>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2.技术支撑方案：投标人需提供详细技术支撑和实施计划方案，包括但不限于人员配置、产品质量控制、安装调试验收项目进度等方面。</w:t>
      </w:r>
      <w:r>
        <w:rPr>
          <w:rFonts w:hint="eastAsia" w:ascii="宋体" w:hAnsi="宋体" w:cs="宋体"/>
          <w:szCs w:val="21"/>
        </w:rPr>
      </w:r>
      <w:r/>
    </w:p>
    <w:p>
      <w:pPr>
        <w:pStyle w:val="1559"/>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3.售后服务方案：投标人需提供详细的售后服务方案，包括但不限于服务体系、服务内容、故障解决方案、响应时间、专业技术人员保障及服务电话、备品备件保证、质保期外维保方案等方面。</w:t>
      </w:r>
      <w:r>
        <w:rPr>
          <w:rFonts w:hint="eastAsia" w:ascii="宋体" w:hAnsi="宋体" w:cs="宋体"/>
          <w:szCs w:val="21"/>
        </w:rPr>
      </w:r>
      <w:r/>
    </w:p>
    <w:p>
      <w:pPr>
        <w:pStyle w:val="1559"/>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4.培训方案：投标人需提供详细的培训方案，包括但不限于培训目标、培训方法、培训内容、培训师资力量、培训时间、拟提供的培训资料等方面。</w:t>
      </w:r>
      <w:r>
        <w:rPr>
          <w:rFonts w:hint="eastAsia" w:ascii="宋体" w:hAnsi="宋体" w:cs="宋体"/>
          <w:szCs w:val="21"/>
        </w:rPr>
      </w:r>
      <w:r/>
    </w:p>
    <w:p>
      <w:pPr>
        <w:pStyle w:val="1559"/>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559"/>
        <w:jc w:val="center"/>
        <w:spacing w:line="440" w:lineRule="exact"/>
        <w:rPr>
          <w:b/>
          <w:sz w:val="28"/>
          <w:szCs w:val="28"/>
        </w:rPr>
        <w:outlineLvl w:val="0"/>
      </w:pPr>
      <w:r/>
      <w:bookmarkStart w:id="293" w:name="_Toc25093"/>
      <w:r>
        <w:rPr>
          <w:b/>
          <w:sz w:val="28"/>
          <w:szCs w:val="28"/>
        </w:rPr>
        <w:t xml:space="preserve">第五章 拟签订的合同文本</w:t>
      </w:r>
      <w:bookmarkEnd w:id="236"/>
      <w:r/>
      <w:bookmarkEnd w:id="293"/>
      <w:r>
        <w:rPr>
          <w:b/>
          <w:sz w:val="28"/>
          <w:szCs w:val="28"/>
        </w:rPr>
      </w:r>
      <w:r/>
    </w:p>
    <w:p>
      <w:pPr>
        <w:pStyle w:val="1559"/>
        <w:jc w:val="center"/>
        <w:spacing w:line="440" w:lineRule="exact"/>
        <w:rPr>
          <w:b/>
          <w:sz w:val="28"/>
          <w:szCs w:val="28"/>
        </w:rPr>
      </w:pPr>
      <w:r/>
      <w:bookmarkStart w:id="294" w:name="_Toc6085"/>
      <w:r>
        <w:rPr>
          <w:b/>
          <w:sz w:val="28"/>
          <w:szCs w:val="28"/>
        </w:rPr>
        <w:t xml:space="preserve">（参考格式，本合同内容条款在正式签署前可具体补充细化，仅作参考，最终合同以采购人法务审查通过的版本为准）</w:t>
      </w:r>
      <w:bookmarkEnd w:id="294"/>
      <w:r>
        <w:rPr>
          <w:b/>
          <w:sz w:val="28"/>
          <w:szCs w:val="28"/>
        </w:rPr>
      </w:r>
      <w:r/>
    </w:p>
    <w:p>
      <w:pPr>
        <w:pStyle w:val="1559"/>
        <w:jc w:val="center"/>
        <w:rPr>
          <w:b/>
          <w:sz w:val="24"/>
          <w:u w:val="single"/>
        </w:rPr>
      </w:pPr>
      <w:r>
        <w:rPr>
          <w:b/>
          <w:sz w:val="24"/>
          <w:u w:val="single"/>
        </w:rPr>
      </w:r>
      <w:r/>
    </w:p>
    <w:p>
      <w:pPr>
        <w:pStyle w:val="1559"/>
        <w:jc w:val="center"/>
        <w:rPr>
          <w:b/>
          <w:sz w:val="24"/>
        </w:rPr>
      </w:pPr>
      <w:r>
        <w:rPr>
          <w:b/>
          <w:sz w:val="24"/>
          <w:u w:val="single"/>
        </w:rPr>
        <w:t xml:space="preserve">（采购人）（项目名称）</w:t>
      </w:r>
      <w:r>
        <w:rPr>
          <w:b/>
          <w:sz w:val="24"/>
        </w:rPr>
        <w:t xml:space="preserve">采购合同</w:t>
      </w:r>
      <w:r>
        <w:rPr>
          <w:b/>
          <w:sz w:val="24"/>
        </w:rPr>
      </w:r>
      <w:r/>
    </w:p>
    <w:p>
      <w:pPr>
        <w:pStyle w:val="1559"/>
        <w:jc w:val="center"/>
        <w:rPr>
          <w:b/>
          <w:sz w:val="24"/>
        </w:rPr>
      </w:pPr>
      <w:r>
        <w:rPr>
          <w:b/>
          <w:sz w:val="24"/>
        </w:rPr>
        <w:t xml:space="preserve">（货物类模板）</w:t>
      </w:r>
      <w:r>
        <w:rPr>
          <w:b/>
          <w:sz w:val="24"/>
        </w:rPr>
      </w:r>
      <w:r/>
    </w:p>
    <w:p>
      <w:pPr>
        <w:pStyle w:val="1559"/>
        <w:jc w:val="center"/>
        <w:rPr>
          <w:szCs w:val="21"/>
        </w:rPr>
      </w:pPr>
      <w:r>
        <w:rPr>
          <w:szCs w:val="21"/>
        </w:rPr>
      </w:r>
      <w:r/>
    </w:p>
    <w:p>
      <w:pPr>
        <w:pStyle w:val="1559"/>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买方（甲方）：江苏省计量科学研究院（江苏省能源计量数据中心）</w:t>
      </w:r>
      <w:r>
        <w:rPr>
          <w:rFonts w:hint="eastAsia" w:ascii="宋体" w:hAnsi="宋体" w:cs="宋体"/>
          <w:szCs w:val="21"/>
        </w:rPr>
      </w:r>
      <w:r/>
    </w:p>
    <w:p>
      <w:pPr>
        <w:pStyle w:val="155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卖方（乙方）： </w:t>
      </w:r>
      <w:r>
        <w:rPr>
          <w:rFonts w:hint="eastAsia" w:ascii="宋体" w:hAnsi="宋体" w:cs="宋体"/>
          <w:szCs w:val="21"/>
        </w:rPr>
      </w:r>
      <w:r/>
    </w:p>
    <w:p>
      <w:pPr>
        <w:pStyle w:val="155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采购代理机构： </w:t>
      </w:r>
      <w:r>
        <w:rPr>
          <w:rFonts w:hint="eastAsia" w:ascii="宋体" w:hAnsi="宋体" w:cs="宋体"/>
          <w:szCs w:val="21"/>
        </w:rPr>
      </w:r>
      <w:r/>
    </w:p>
    <w:p>
      <w:pPr>
        <w:pStyle w:val="155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一、说明：</w:t>
      </w:r>
      <w:r>
        <w:rPr>
          <w:rFonts w:hint="eastAsia" w:ascii="宋体" w:hAnsi="宋体" w:cs="宋体"/>
          <w:szCs w:val="21"/>
        </w:rPr>
      </w:r>
      <w:r/>
    </w:p>
    <w:p>
      <w:pPr>
        <w:pStyle w:val="155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受买方委托，采购代理机构于2026年 月 日组织了江苏省计量科学研究院（江苏省能源计量数据中心）所需</w:t>
      </w:r>
      <w:r>
        <w:rPr>
          <w:rFonts w:hint="eastAsia" w:ascii="宋体" w:hAnsi="宋体" w:cs="宋体"/>
          <w:szCs w:val="21"/>
        </w:rPr>
        <w:t xml:space="preserve">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 ）的评审活动，经评委认真严格地评审，确定由卖方成交。</w:t>
      </w:r>
      <w:r>
        <w:rPr>
          <w:rFonts w:hint="eastAsia" w:ascii="宋体" w:hAnsi="宋体" w:cs="宋体"/>
          <w:szCs w:val="21"/>
        </w:rPr>
      </w:r>
      <w:r/>
    </w:p>
    <w:p>
      <w:pPr>
        <w:pStyle w:val="155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rPr>
          <w:rFonts w:hint="eastAsia" w:ascii="宋体" w:hAnsi="宋体" w:cs="宋体"/>
          <w:szCs w:val="21"/>
        </w:rPr>
      </w:r>
      <w:r/>
    </w:p>
    <w:p>
      <w:pPr>
        <w:pStyle w:val="155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合同由买卖双方签订，并依据本项目采购文件规定，按下列合同条款买方同意购入，卖方同意卖出下列设备及服务。</w:t>
      </w:r>
      <w:r>
        <w:rPr>
          <w:rFonts w:hint="eastAsia" w:ascii="宋体" w:hAnsi="宋体" w:cs="宋体"/>
          <w:szCs w:val="21"/>
        </w:rPr>
      </w:r>
      <w:r/>
    </w:p>
    <w:p>
      <w:pPr>
        <w:pStyle w:val="1559"/>
        <w:contextualSpacing/>
        <w:ind w:left="720" w:firstLine="480"/>
        <w:jc w:val="left"/>
        <w:spacing w:before="100" w:after="100" w:line="360" w:lineRule="auto"/>
        <w:widowControl/>
        <w:tabs>
          <w:tab w:val="left" w:pos="4785" w:leader="none"/>
        </w:tabs>
        <w:rPr>
          <w:rFonts w:hint="eastAsia" w:ascii="宋体" w:hAnsi="宋体" w:cs="宋体"/>
          <w:szCs w:val="21"/>
        </w:rPr>
      </w:pPr>
      <w:r>
        <w:rPr>
          <w:rFonts w:hint="eastAsia" w:ascii="宋体" w:hAnsi="宋体" w:cs="宋体"/>
          <w:szCs w:val="21"/>
        </w:rPr>
        <w:t xml:space="preserve">1.设备名称、型号规格、数量及服务内容。</w:t>
      </w:r>
      <w:r>
        <w:rPr>
          <w:rFonts w:hint="eastAsia" w:ascii="宋体" w:hAnsi="宋体" w:cs="宋体"/>
          <w:szCs w:val="21"/>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86"/>
        <w:gridCol w:w="1225"/>
        <w:gridCol w:w="928"/>
        <w:gridCol w:w="943"/>
        <w:gridCol w:w="1549"/>
        <w:gridCol w:w="1375"/>
      </w:tblGrid>
      <w:tr>
        <w:trPr>
          <w:trHeight w:val="19"/>
        </w:trPr>
        <w:tc>
          <w:tcPr>
            <w:tcW w:w="452" w:type="dxa"/>
            <w:vAlign w:val="center"/>
            <w:textDirection w:val="lrTb"/>
            <w:noWrap w:val="false"/>
          </w:tcPr>
          <w:p>
            <w:pPr>
              <w:pStyle w:val="1559"/>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29" w:type="dxa"/>
            <w:vAlign w:val="center"/>
            <w:textDirection w:val="lrTb"/>
            <w:noWrap w:val="false"/>
          </w:tcPr>
          <w:p>
            <w:pPr>
              <w:pStyle w:val="1559"/>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产品名称</w:t>
            </w:r>
            <w:r>
              <w:rPr>
                <w:rFonts w:hint="eastAsia" w:ascii="宋体" w:hAnsi="宋体" w:cs="宋体"/>
                <w:szCs w:val="21"/>
              </w:rPr>
            </w:r>
            <w:r/>
          </w:p>
        </w:tc>
        <w:tc>
          <w:tcPr>
            <w:tcW w:w="655" w:type="dxa"/>
            <w:vAlign w:val="center"/>
            <w:textDirection w:val="lrTb"/>
            <w:noWrap w:val="false"/>
          </w:tcPr>
          <w:p>
            <w:pPr>
              <w:pStyle w:val="1559"/>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494" w:type="dxa"/>
            <w:vAlign w:val="center"/>
            <w:textDirection w:val="lrTb"/>
            <w:noWrap w:val="false"/>
          </w:tcPr>
          <w:p>
            <w:pPr>
              <w:pStyle w:val="1559"/>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504" w:type="dxa"/>
            <w:vAlign w:val="center"/>
            <w:textDirection w:val="lrTb"/>
            <w:noWrap w:val="false"/>
          </w:tcPr>
          <w:p>
            <w:pPr>
              <w:pStyle w:val="1559"/>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28" w:type="dxa"/>
            <w:vAlign w:val="center"/>
            <w:textDirection w:val="lrTb"/>
            <w:noWrap w:val="false"/>
          </w:tcPr>
          <w:p>
            <w:pPr>
              <w:pStyle w:val="1559"/>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735" w:type="dxa"/>
            <w:vAlign w:val="center"/>
            <w:textDirection w:val="lrTb"/>
            <w:noWrap w:val="false"/>
          </w:tcPr>
          <w:p>
            <w:pPr>
              <w:pStyle w:val="1559"/>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452" w:type="dxa"/>
            <w:vAlign w:val="center"/>
            <w:textDirection w:val="lrTb"/>
            <w:noWrap w:val="false"/>
          </w:tcPr>
          <w:p>
            <w:pPr>
              <w:pStyle w:val="1559"/>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452"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559"/>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5484" w:type="dxa"/>
            <w:vAlign w:val="center"/>
            <w:textDirection w:val="lrTb"/>
            <w:noWrap w:val="false"/>
          </w:tcPr>
          <w:p>
            <w:pPr>
              <w:pStyle w:val="1559"/>
              <w:ind w:firstLine="482"/>
              <w:jc w:val="center"/>
              <w:spacing w:line="360" w:lineRule="auto"/>
              <w:tabs>
                <w:tab w:val="left" w:pos="-235" w:leader="none"/>
              </w:tabs>
              <w:rPr>
                <w:rFonts w:hint="eastAsia" w:ascii="宋体" w:hAnsi="宋体" w:cs="宋体"/>
                <w:szCs w:val="21"/>
              </w:rPr>
            </w:pPr>
            <w:r>
              <w:rPr>
                <w:rFonts w:hint="eastAsia" w:ascii="宋体" w:hAnsi="宋体" w:cs="宋体"/>
                <w:b/>
                <w:bCs/>
                <w:szCs w:val="21"/>
              </w:rPr>
              <w:t xml:space="preserve">合计（元）</w:t>
            </w:r>
            <w:r>
              <w:rPr>
                <w:rFonts w:hint="eastAsia" w:ascii="宋体" w:hAnsi="宋体" w:cs="宋体"/>
                <w:szCs w:val="21"/>
              </w:rPr>
            </w:r>
            <w:r/>
          </w:p>
        </w:tc>
        <w:tc>
          <w:tcPr>
            <w:gridSpan w:val="3"/>
            <w:tcW w:w="3867" w:type="dxa"/>
            <w:vAlign w:val="center"/>
            <w:textDirection w:val="lrTb"/>
            <w:noWrap w:val="false"/>
          </w:tcPr>
          <w:p>
            <w:pPr>
              <w:pStyle w:val="1559"/>
              <w:ind w:firstLine="482"/>
              <w:spacing w:line="360" w:lineRule="auto"/>
              <w:tabs>
                <w:tab w:val="left" w:pos="-235"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r>
            <w:r/>
          </w:p>
        </w:tc>
      </w:tr>
    </w:tbl>
    <w:p>
      <w:pPr>
        <w:pStyle w:val="1559"/>
        <w:ind w:left="108" w:firstLine="420"/>
        <w:jc w:val="left"/>
        <w:spacing w:before="120" w:after="120"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u w:val="single"/>
        </w:rPr>
        <w:t xml:space="preserve">人民币           </w:t>
      </w:r>
      <w:r>
        <w:rPr>
          <w:rFonts w:hint="eastAsia" w:ascii="宋体" w:hAnsi="宋体" w:cs="宋体"/>
          <w:szCs w:val="21"/>
        </w:rPr>
        <w:t xml:space="preserve">。</w:t>
      </w:r>
      <w:r>
        <w:rPr>
          <w:rFonts w:hint="eastAsia" w:ascii="宋体" w:hAnsi="宋体" w:cs="宋体"/>
          <w:bCs/>
          <w:szCs w:val="21"/>
        </w:rPr>
        <w:t xml:space="preserve">（含税）</w:t>
      </w:r>
      <w:r>
        <w:rPr>
          <w:rFonts w:hint="eastAsia" w:ascii="宋体" w:hAnsi="宋体" w:cs="宋体"/>
          <w:bCs/>
          <w:szCs w:val="21"/>
        </w:rPr>
      </w:r>
      <w:r/>
    </w:p>
    <w:p>
      <w:pPr>
        <w:pStyle w:val="1559"/>
        <w:ind w:left="108" w:firstLine="1470"/>
        <w:jc w:val="left"/>
        <w:spacing w:before="120" w:after="120"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u w:val="single"/>
        </w:rPr>
        <w:t xml:space="preserve">￥            元。</w:t>
      </w:r>
      <w:r>
        <w:rPr>
          <w:rFonts w:hint="eastAsia" w:ascii="宋体" w:hAnsi="宋体" w:cs="宋体"/>
          <w:bCs/>
          <w:szCs w:val="21"/>
        </w:rPr>
      </w:r>
      <w:r/>
    </w:p>
    <w:p>
      <w:pPr>
        <w:pStyle w:val="1559"/>
        <w:ind w:firstLine="420"/>
        <w:spacing w:before="120" w:after="120"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bCs/>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szCs w:val="21"/>
        </w:rPr>
        <w:t xml:space="preserve">。</w:t>
      </w:r>
      <w:r>
        <w:rPr>
          <w:rFonts w:hint="eastAsia" w:ascii="宋体" w:hAnsi="宋体" w:cs="宋体"/>
          <w:szCs w:val="21"/>
        </w:rPr>
      </w:r>
      <w:r/>
    </w:p>
    <w:p>
      <w:pPr>
        <w:pStyle w:val="1559"/>
        <w:ind w:left="108" w:firstLine="420"/>
        <w:jc w:val="left"/>
        <w:spacing w:before="120" w:after="120" w:line="360" w:lineRule="auto"/>
        <w:tabs>
          <w:tab w:val="left" w:pos="4785" w:leader="none"/>
        </w:tabs>
        <w:rPr>
          <w:rFonts w:hint="eastAsia" w:ascii="宋体" w:hAnsi="宋体" w:cs="宋体"/>
          <w:szCs w:val="21"/>
          <w:highlight w:val="none"/>
        </w:rPr>
      </w:pPr>
      <w:r>
        <w:rPr>
          <w:rFonts w:hint="eastAsia" w:ascii="宋体" w:hAnsi="宋体" w:cs="宋体"/>
          <w:szCs w:val="21"/>
        </w:rPr>
        <w:t xml:space="preserve">2.2 在安装、调试、验收过程中，如发现有漏项、缺件，卖方应无条件、无偿补齐，所发生的一切</w:t>
      </w:r>
      <w:r>
        <w:rPr>
          <w:rFonts w:hint="eastAsia" w:ascii="宋体" w:hAnsi="宋体" w:cs="宋体"/>
          <w:szCs w:val="21"/>
          <w:highlight w:val="none"/>
        </w:rPr>
        <w:t xml:space="preserve">费用，视为已包含在卖方投标时的投标报价之中，且并不因此而影响交付买方使用的时间。</w:t>
      </w:r>
      <w:r>
        <w:rPr>
          <w:rFonts w:hint="eastAsia" w:ascii="宋体" w:hAnsi="宋体" w:cs="宋体"/>
          <w:szCs w:val="21"/>
          <w:highlight w:val="none"/>
        </w:rPr>
      </w:r>
      <w:r/>
    </w:p>
    <w:p>
      <w:pPr>
        <w:pStyle w:val="1559"/>
        <w:ind w:left="108" w:firstLine="420"/>
        <w:jc w:val="left"/>
        <w:spacing w:before="120" w:after="120" w:line="360" w:lineRule="auto"/>
        <w:tabs>
          <w:tab w:val="left" w:pos="4785" w:leader="none"/>
        </w:tabs>
        <w:rPr>
          <w:rFonts w:hint="eastAsia" w:ascii="宋体" w:hAnsi="宋体" w:cs="宋体"/>
          <w:szCs w:val="21"/>
          <w:highlight w:val="none"/>
        </w:rPr>
      </w:pPr>
      <w:r>
        <w:rPr>
          <w:rFonts w:hint="eastAsia" w:ascii="宋体" w:hAnsi="宋体" w:cs="宋体"/>
          <w:szCs w:val="21"/>
          <w:highlight w:val="none"/>
        </w:rPr>
        <w:t xml:space="preserve">3. 交付使用时间：</w:t>
      </w:r>
      <w:r>
        <w:rPr>
          <w:rFonts w:hint="eastAsia" w:ascii="宋体" w:hAnsi="宋体" w:cs="宋体"/>
          <w:b/>
          <w:bCs/>
          <w:szCs w:val="21"/>
          <w:highlight w:val="none"/>
          <w:u w:val="single"/>
        </w:rPr>
        <w:t xml:space="preserve">合同签订生效后X个月内，</w:t>
      </w:r>
      <w:r>
        <w:rPr>
          <w:rFonts w:hint="eastAsia" w:ascii="宋体" w:hAnsi="宋体" w:cs="宋体"/>
          <w:bCs/>
          <w:szCs w:val="21"/>
          <w:highlight w:val="none"/>
        </w:rPr>
        <w:t xml:space="preserve">全部设备、材料运抵买方现场，安装、调试结束，并取得计量检测合格证书，一起交付买方准备验收。</w:t>
      </w:r>
      <w:r>
        <w:rPr>
          <w:rFonts w:hint="eastAsia" w:ascii="宋体" w:hAnsi="宋体" w:cs="宋体"/>
          <w:szCs w:val="21"/>
          <w:highlight w:val="none"/>
        </w:rPr>
      </w:r>
      <w:r/>
    </w:p>
    <w:p>
      <w:pPr>
        <w:pStyle w:val="1559"/>
        <w:ind w:firstLine="525"/>
        <w:spacing w:before="120" w:after="120"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江苏省计量科学研究院（江苏省能源计量数据中心）</w:t>
      </w:r>
      <w:r>
        <w:rPr>
          <w:rFonts w:hint="eastAsia" w:ascii="宋体" w:hAnsi="宋体" w:cs="宋体"/>
          <w:szCs w:val="21"/>
          <w:u w:val="single"/>
        </w:rPr>
        <w:t xml:space="preserve">。</w:t>
      </w:r>
      <w:r>
        <w:rPr>
          <w:rFonts w:hint="eastAsia" w:ascii="宋体" w:hAnsi="宋体" w:cs="宋体"/>
          <w:szCs w:val="21"/>
        </w:rPr>
      </w:r>
      <w:r/>
    </w:p>
    <w:p>
      <w:pPr>
        <w:pStyle w:val="1559"/>
        <w:ind w:firstLine="525"/>
        <w:spacing w:before="120" w:after="120" w:line="360" w:lineRule="auto"/>
        <w:tabs>
          <w:tab w:val="left" w:pos="-235" w:leader="none"/>
        </w:tabs>
        <w:rPr>
          <w:rFonts w:hint="eastAsia" w:ascii="宋体" w:hAnsi="宋体" w:cs="宋体"/>
          <w:b/>
          <w:szCs w:val="21"/>
          <w:u w:val="single"/>
        </w:rPr>
      </w:pPr>
      <w:r>
        <w:rPr>
          <w:rFonts w:hint="eastAsia" w:ascii="宋体" w:hAnsi="宋体" w:cs="宋体"/>
          <w:szCs w:val="21"/>
        </w:rPr>
        <w:t xml:space="preserve">5. 交货地点：</w:t>
      </w:r>
      <w:r>
        <w:rPr>
          <w:rFonts w:hint="eastAsia" w:ascii="宋体" w:hAnsi="宋体" w:cs="宋体"/>
          <w:b/>
          <w:szCs w:val="21"/>
          <w:u w:val="single"/>
        </w:rPr>
        <w:t xml:space="preserve">买方指定地点。</w:t>
      </w:r>
      <w:r>
        <w:rPr>
          <w:rFonts w:hint="eastAsia" w:ascii="宋体" w:hAnsi="宋体" w:cs="宋体"/>
          <w:b/>
          <w:szCs w:val="21"/>
          <w:u w:val="single"/>
        </w:rPr>
      </w:r>
      <w:r/>
    </w:p>
    <w:p>
      <w:pPr>
        <w:pStyle w:val="1559"/>
        <w:ind w:firstLine="525"/>
        <w:spacing w:before="120" w:after="120"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szCs w:val="21"/>
          <w:u w:val="single"/>
        </w:rPr>
        <w:t xml:space="preserve">招标文件、投标文件、双方签订的技术协议、国家的相关标准和规范。</w:t>
      </w:r>
      <w:r>
        <w:rPr>
          <w:rFonts w:hint="eastAsia" w:ascii="宋体" w:hAnsi="宋体" w:cs="宋体"/>
          <w:szCs w:val="21"/>
          <w:u w:val="single"/>
        </w:rPr>
      </w:r>
      <w:r/>
    </w:p>
    <w:p>
      <w:pPr>
        <w:pStyle w:val="155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rPr>
          <w:rFonts w:hint="eastAsia" w:ascii="宋体" w:hAnsi="宋体" w:cs="宋体"/>
          <w:szCs w:val="21"/>
        </w:rPr>
      </w:r>
      <w:r/>
    </w:p>
    <w:p>
      <w:pPr>
        <w:pStyle w:val="155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8. 买方付款方式及期限：</w:t>
      </w:r>
      <w:r>
        <w:rPr>
          <w:rFonts w:hint="eastAsia" w:ascii="宋体" w:hAnsi="宋体" w:cs="宋体"/>
          <w:szCs w:val="21"/>
        </w:rPr>
      </w:r>
      <w:r/>
    </w:p>
    <w:p>
      <w:pPr>
        <w:pStyle w:val="1559"/>
        <w:ind w:left="108" w:firstLine="420"/>
        <w:jc w:val="left"/>
        <w:spacing w:before="120" w:after="120" w:line="360" w:lineRule="auto"/>
        <w:tabs>
          <w:tab w:val="left" w:pos="4785" w:leader="none"/>
        </w:tabs>
        <w:rPr>
          <w:rFonts w:hint="eastAsia" w:ascii="宋体" w:hAnsi="宋体" w:cs="宋体"/>
          <w:color w:val="000000"/>
          <w:szCs w:val="21"/>
          <w:highlight w:val="none"/>
        </w:rPr>
      </w:pPr>
      <w:r>
        <w:rPr>
          <w:rFonts w:hint="eastAsia" w:ascii="宋体" w:hAnsi="宋体" w:cs="宋体"/>
          <w:szCs w:val="21"/>
          <w:highlight w:val="none"/>
        </w:rPr>
        <w:t xml:space="preserve">合同签订生效后一个月内，买方向卖方支</w:t>
      </w:r>
      <w:r>
        <w:rPr>
          <w:rFonts w:hint="eastAsia" w:ascii="宋体" w:hAnsi="宋体" w:cs="宋体"/>
          <w:color w:val="000000"/>
          <w:szCs w:val="21"/>
          <w:highlight w:val="none"/>
        </w:rPr>
        <w:t xml:space="preserve">付合同金额35%的预付款；设备、材料全部运抵买方指定地点，并安装结束，调试完毕，全部设备验收合格</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卖方向买方开具合同金额10%的银行保函（作为履约保证金）后，买方向卖方支付合同金额65%的货款。</w:t>
      </w:r>
      <w:r>
        <w:rPr>
          <w:rFonts w:hint="eastAsia" w:ascii="宋体" w:hAnsi="宋体" w:cs="宋体"/>
          <w:color w:val="000000"/>
          <w:szCs w:val="21"/>
          <w:highlight w:val="none"/>
          <w:lang w:val="en-US" w:eastAsia="zh-CN"/>
        </w:rPr>
        <w:t xml:space="preserve">履约保证金</w:t>
      </w:r>
      <w:r>
        <w:rPr>
          <w:rFonts w:hint="eastAsia" w:ascii="宋体" w:hAnsi="宋体" w:cs="宋体"/>
          <w:color w:val="000000"/>
          <w:szCs w:val="21"/>
          <w:highlight w:val="none"/>
        </w:rPr>
        <w:t xml:space="preserve">在设备验收合格并稳定运行满一年后无息退回。如卖方未能履行合同规定的义务，买方有权从履约保证金中取得补偿。</w:t>
      </w:r>
      <w:r>
        <w:rPr>
          <w:rFonts w:hint="eastAsia" w:ascii="宋体" w:hAnsi="宋体" w:cs="宋体"/>
          <w:color w:val="000000"/>
          <w:szCs w:val="21"/>
          <w:highlight w:val="none"/>
        </w:rPr>
      </w:r>
      <w:r/>
    </w:p>
    <w:p>
      <w:pPr>
        <w:pStyle w:val="1559"/>
        <w:ind w:left="108" w:firstLine="420"/>
        <w:jc w:val="left"/>
        <w:spacing w:before="120" w:after="120" w:line="360" w:lineRule="auto"/>
        <w:tabs>
          <w:tab w:val="left" w:pos="478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因卖方原因没有按期提供银行保函和发票的，致使买方未能及时付款所产生的责任由卖方负责，买方不承担违约责任。</w:t>
      </w:r>
      <w:r>
        <w:rPr>
          <w:rFonts w:hint="eastAsia" w:ascii="宋体" w:hAnsi="宋体" w:cs="宋体"/>
          <w:color w:val="000000"/>
          <w:szCs w:val="21"/>
          <w:highlight w:val="none"/>
        </w:rPr>
      </w:r>
      <w:r/>
    </w:p>
    <w:p>
      <w:pPr>
        <w:pStyle w:val="155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szCs w:val="21"/>
        </w:rPr>
        <w:t xml:space="preserve">若产品存在质量问题，则不受该付款条件约束，应按照本合同条款其他要求以及</w:t>
      </w:r>
      <w:r>
        <w:rPr>
          <w:rFonts w:hint="eastAsia" w:ascii="宋体" w:hAnsi="宋体" w:cs="宋体"/>
          <w:szCs w:val="21"/>
        </w:rPr>
        <w:t xml:space="preserve">民法典</w:t>
      </w:r>
      <w:r>
        <w:rPr>
          <w:rFonts w:hint="eastAsia" w:ascii="宋体" w:hAnsi="宋体" w:cs="宋体"/>
          <w:szCs w:val="21"/>
        </w:rPr>
        <w:t xml:space="preserve">有关规定执行。</w:t>
      </w:r>
      <w:r>
        <w:rPr>
          <w:rFonts w:hint="eastAsia" w:ascii="宋体" w:hAnsi="宋体" w:cs="宋体"/>
          <w:szCs w:val="21"/>
        </w:rPr>
      </w:r>
      <w:r/>
    </w:p>
    <w:p>
      <w:pPr>
        <w:pStyle w:val="1559"/>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9. 验收</w:t>
      </w:r>
      <w:r>
        <w:rPr>
          <w:rFonts w:hint="eastAsia" w:ascii="宋体" w:hAnsi="宋体" w:cs="宋体"/>
          <w:szCs w:val="21"/>
        </w:rPr>
      </w:r>
      <w:r/>
    </w:p>
    <w:p>
      <w:pPr>
        <w:pStyle w:val="1559"/>
        <w:ind w:left="8" w:firstLine="569"/>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10.1 卖方所供设备、材料及安装的质量保证期：</w:t>
      </w:r>
      <w:r>
        <w:rPr>
          <w:rFonts w:hint="eastAsia" w:ascii="宋体" w:hAnsi="宋体" w:cs="宋体"/>
          <w:szCs w:val="21"/>
          <w:u w:val="single"/>
        </w:rPr>
        <w:t xml:space="preserve">详见投标文件要求</w:t>
      </w:r>
      <w:r>
        <w:rPr>
          <w:rFonts w:hint="eastAsia" w:ascii="宋体" w:hAnsi="宋体" w:cs="宋体"/>
          <w:szCs w:val="21"/>
        </w:rPr>
        <w:t xml:space="preserve">。质保期过后，实行终身有偿售后服务。</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质保期满后，如设备出现故障，卖方在接买方通知后，仍应在上述时间内响应、派人赶到买方现场，帮助排除故障、修复或更换零部件，需购买零部件时，酌情收取成本费。</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按投标文件及双方签订的《技术协议》中的要求提供相关资料。</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12.1卖方应当按照买方指定的地点交货，需要运输的货物，卖方应当妥善保障货物在运输过程中的安全。</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12.2卖方将货物运输至买方指定的地点后，应当及时通知买方进行接收，由买方进行检验。</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12.3在货物验收合格之前毁损、灭失的风险由卖方承担，因买方原因造成货物毁损、灭失的除外。</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 卖方的违约责任</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13.1卖方未按合同规定的质量要求交货，买方有权拒收，由此造成的直接损失和间接损失由卖方赔偿。</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13.3货物有合格证及说明书等资料的，在交付货物时，卖方应当一并交付合格证及说明书等资料，未交付的买方有权拒绝接收。因此造成的损失由卖方承担。</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13.4卖方不能交付或不能完成合同，买方有权解除本合同并要求卖方双倍返还买方已支付的货款。</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13.6 货物经买方验收不符合要求的，卖方应当在买方指定的时间内调换，调换后仍不符合要求的，买方有权解除合同并要求卖方赔偿因此造成的损失。</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13.7卖方履行义务不符合合同约定时，买方将扣减10%合同款。</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13.8在合同约定的质保期内，卖方未能履行合同约定的义务，卖方应按合同总价的10%支付违约金，导致买方遭受损失的，卖方应承担因此造成的全部损失。</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 买方的违约责任：</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14.1买方未按合同规定的时间和要求向卖方提供技术资料等，卖方交付时间顺延。</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16. 卖方在设备安装、调试、验收过程中，买方提供下列条件和配合，超出下列范围的由卖方自理：无</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18. 合同的生效：本合同一式肆份，各份具有同等法律效力，自买卖双方签字、盖章并加盖骑缝章之日起生效。</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三、廉洁条款</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四、保密条款</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五、送达条款</w:t>
      </w:r>
      <w:r>
        <w:rPr>
          <w:rFonts w:hint="eastAsia" w:ascii="宋体" w:hAnsi="宋体" w:cs="宋体"/>
          <w:szCs w:val="21"/>
        </w:rPr>
      </w:r>
      <w:r/>
    </w:p>
    <w:p>
      <w:pPr>
        <w:pStyle w:val="1559"/>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cs="宋体"/>
          <w:szCs w:val="21"/>
        </w:rPr>
      </w:r>
      <w:r/>
    </w:p>
    <w:p>
      <w:pPr>
        <w:pStyle w:val="1559"/>
        <w:ind w:firstLine="480"/>
        <w:jc w:val="left"/>
        <w:spacing w:before="120" w:after="120" w:line="440" w:lineRule="exact"/>
        <w:widowControl/>
        <w:rPr>
          <w:rFonts w:ascii="宋体" w:hAnsi="宋体" w:cs="宋体"/>
          <w:sz w:val="24"/>
          <w:szCs w:val="24"/>
        </w:rPr>
      </w:pPr>
      <w:r>
        <w:rPr>
          <w:rFonts w:ascii="宋体" w:hAnsi="宋体" w:cs="宋体"/>
          <w:sz w:val="24"/>
          <w:szCs w:val="24"/>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559"/>
              <w:ind w:firstLine="420"/>
              <w:spacing w:before="120" w:after="120" w:line="400" w:lineRule="exact"/>
              <w:rPr>
                <w:rFonts w:ascii="宋体" w:hAnsi="宋体" w:cs="宋体"/>
                <w:szCs w:val="21"/>
              </w:rPr>
            </w:pPr>
            <w:r>
              <w:rPr>
                <w:rFonts w:hint="eastAsia" w:ascii="宋体" w:hAnsi="宋体" w:cs="宋体"/>
                <w:szCs w:val="21"/>
              </w:rPr>
              <w:t xml:space="preserve">买方（盖章）：</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t xml:space="preserve"> </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联系方式：</w:t>
            </w:r>
            <w:r>
              <w:rPr>
                <w:rFonts w:ascii="宋体" w:hAnsi="宋体" w:cs="宋体"/>
                <w:szCs w:val="21"/>
              </w:rPr>
            </w:r>
            <w:r/>
          </w:p>
          <w:p>
            <w:pPr>
              <w:pStyle w:val="1559"/>
              <w:ind w:firstLine="420"/>
              <w:spacing w:before="120" w:after="120" w:line="400" w:lineRule="exact"/>
              <w:rPr>
                <w:rFonts w:ascii="宋体" w:hAnsi="宋体" w:cs="宋体"/>
                <w:szCs w:val="21"/>
              </w:rPr>
            </w:pPr>
            <w:r>
              <w:rPr>
                <w:rFonts w:ascii="宋体" w:hAnsi="宋体" w:cs="宋体"/>
                <w:szCs w:val="21"/>
              </w:rPr>
            </w:r>
            <w:r/>
          </w:p>
          <w:p>
            <w:pPr>
              <w:pStyle w:val="1559"/>
              <w:ind w:firstLine="420"/>
              <w:spacing w:before="120" w:after="120" w:line="400" w:lineRule="exact"/>
              <w:rPr>
                <w:rFonts w:ascii="宋体" w:hAnsi="宋体" w:cs="宋体"/>
                <w:szCs w:val="21"/>
              </w:rPr>
            </w:pPr>
            <w:r>
              <w:rPr>
                <w:rFonts w:ascii="宋体" w:hAnsi="宋体" w:cs="宋体"/>
                <w:szCs w:val="21"/>
              </w:rPr>
            </w:r>
            <w:r/>
          </w:p>
          <w:p>
            <w:pPr>
              <w:pStyle w:val="1559"/>
              <w:ind w:firstLine="420"/>
              <w:spacing w:before="120" w:after="120" w:line="400" w:lineRule="exact"/>
              <w:rPr>
                <w:rFonts w:ascii="宋体" w:hAnsi="宋体" w:cs="宋体"/>
                <w:szCs w:val="21"/>
              </w:rPr>
            </w:pP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c>
          <w:tcPr>
            <w:tcW w:w="4684" w:type="dxa"/>
            <w:vAlign w:val="top"/>
            <w:textDirection w:val="lrTb"/>
            <w:noWrap w:val="false"/>
          </w:tcPr>
          <w:p>
            <w:pPr>
              <w:pStyle w:val="1559"/>
              <w:ind w:firstLine="420"/>
              <w:spacing w:before="120" w:after="120" w:line="400" w:lineRule="exact"/>
              <w:rPr>
                <w:rFonts w:ascii="宋体" w:hAnsi="宋体" w:cs="宋体"/>
                <w:szCs w:val="21"/>
              </w:rPr>
            </w:pPr>
            <w:r>
              <w:rPr>
                <w:rFonts w:hint="eastAsia" w:ascii="宋体" w:hAnsi="宋体" w:cs="宋体"/>
                <w:szCs w:val="21"/>
              </w:rPr>
              <w:t xml:space="preserve">卖方（盖章）：</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开户银行：</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税号：</w:t>
            </w:r>
            <w:r>
              <w:rPr>
                <w:rFonts w:ascii="宋体" w:hAnsi="宋体" w:cs="宋体"/>
                <w:szCs w:val="21"/>
              </w:rPr>
            </w:r>
            <w:r/>
          </w:p>
          <w:p>
            <w:pPr>
              <w:pStyle w:val="1559"/>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r>
    </w:tbl>
    <w:p>
      <w:pPr>
        <w:pStyle w:val="1559"/>
        <w:jc w:val="center"/>
        <w:spacing w:line="360" w:lineRule="auto"/>
        <w:rPr>
          <w:rFonts w:hint="eastAsia" w:ascii="宋体" w:hAnsi="宋体" w:cs="宋体"/>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Cs w:val="21"/>
        </w:rPr>
      </w:r>
      <w:r/>
    </w:p>
    <w:p>
      <w:pPr>
        <w:pStyle w:val="1559"/>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559"/>
        <w:jc w:val="center"/>
        <w:spacing w:line="360" w:lineRule="auto"/>
        <w:rPr>
          <w:rFonts w:hint="eastAsia" w:ascii="宋体" w:hAnsi="宋体" w:cs="宋体"/>
          <w:b/>
          <w:szCs w:val="21"/>
        </w:rPr>
      </w:pPr>
      <w:r>
        <w:rPr>
          <w:rFonts w:hint="eastAsia" w:ascii="宋体" w:hAnsi="宋体" w:cs="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9"/>
        <w:gridCol w:w="4945"/>
      </w:tblGrid>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r>
            <w:r/>
          </w:p>
        </w:tc>
      </w:tr>
      <w:tr>
        <w:trPr>
          <w:trHeight w:val="2577"/>
        </w:trPr>
        <w:tc>
          <w:tcPr>
            <w:tcW w:w="2491"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r>
            <w:r/>
          </w:p>
          <w:p>
            <w:pPr>
              <w:pStyle w:val="1559"/>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2508" w:type="dxa"/>
            <w:vAlign w:val="center"/>
            <w:textDirection w:val="lrTb"/>
            <w:noWrap w:val="false"/>
          </w:tcPr>
          <w:p>
            <w:pPr>
              <w:pStyle w:val="1559"/>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r>
            <w:r/>
          </w:p>
          <w:p>
            <w:pPr>
              <w:pStyle w:val="1559"/>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559"/>
        <w:jc w:val="left"/>
        <w:spacing w:line="360" w:lineRule="auto"/>
        <w:widowControl/>
        <w:rPr>
          <w:rFonts w:hint="eastAsia" w:ascii="宋体" w:hAnsi="宋体" w:cs="宋体"/>
          <w:b/>
          <w:szCs w:val="21"/>
        </w:rPr>
      </w:pPr>
      <w:r>
        <w:rPr>
          <w:rFonts w:hint="eastAsia" w:ascii="宋体" w:hAnsi="宋体" w:cs="宋体"/>
          <w:szCs w:val="21"/>
        </w:rPr>
        <w:t xml:space="preserve">注：售后服务事项填不下时可另加附页。</w:t>
      </w:r>
      <w:r>
        <w:rPr>
          <w:rFonts w:hint="eastAsia" w:ascii="宋体" w:hAnsi="宋体" w:cs="宋体"/>
          <w:b/>
          <w:szCs w:val="21"/>
        </w:rPr>
      </w:r>
      <w:r/>
    </w:p>
    <w:p>
      <w:pPr>
        <w:pStyle w:val="1559"/>
        <w:jc w:val="center"/>
        <w:spacing w:line="440" w:lineRule="exact"/>
        <w:rPr>
          <w:b/>
          <w:sz w:val="28"/>
          <w:szCs w:val="28"/>
        </w:rPr>
      </w:pPr>
      <w:r>
        <w:rPr>
          <w:b/>
          <w:sz w:val="28"/>
          <w:szCs w:val="28"/>
        </w:rPr>
      </w:r>
      <w:r/>
    </w:p>
    <w:p>
      <w:pPr>
        <w:pStyle w:val="1559"/>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559"/>
        <w:jc w:val="center"/>
        <w:spacing w:line="440" w:lineRule="exact"/>
        <w:rPr>
          <w:b/>
          <w:sz w:val="28"/>
          <w:szCs w:val="28"/>
        </w:rPr>
        <w:outlineLvl w:val="0"/>
      </w:pPr>
      <w:r/>
      <w:bookmarkStart w:id="295" w:name="_Toc23244"/>
      <w:r/>
      <w:bookmarkStart w:id="296" w:name="_Toc26078"/>
      <w:r/>
      <w:bookmarkStart w:id="297" w:name="_Toc19"/>
      <w:r>
        <w:rPr>
          <w:b/>
          <w:sz w:val="28"/>
          <w:szCs w:val="28"/>
        </w:rPr>
        <w:t xml:space="preserve">第六章 投标文件格式及附件</w:t>
      </w:r>
      <w:bookmarkEnd w:id="295"/>
      <w:r/>
      <w:bookmarkEnd w:id="296"/>
      <w:r/>
      <w:bookmarkEnd w:id="297"/>
      <w:r>
        <w:rPr>
          <w:b/>
          <w:sz w:val="28"/>
          <w:szCs w:val="28"/>
        </w:rPr>
      </w:r>
      <w:r/>
    </w:p>
    <w:p>
      <w:pPr>
        <w:pStyle w:val="1559"/>
        <w:spacing w:line="360" w:lineRule="auto"/>
        <w:rPr>
          <w:b/>
          <w:bCs/>
          <w:szCs w:val="21"/>
        </w:rPr>
      </w:pPr>
      <w:r>
        <w:rPr>
          <w:b/>
          <w:bCs/>
          <w:szCs w:val="21"/>
        </w:rPr>
        <w:t xml:space="preserve">注：</w:t>
      </w:r>
      <w:r>
        <w:rPr>
          <w:b/>
          <w:bCs/>
          <w:szCs w:val="21"/>
        </w:rPr>
      </w:r>
      <w:r/>
    </w:p>
    <w:p>
      <w:pPr>
        <w:pStyle w:val="1559"/>
        <w:jc w:val="left"/>
        <w:spacing w:line="360" w:lineRule="auto"/>
        <w:rPr>
          <w:rFonts w:hint="eastAsia" w:ascii="宋体" w:hAnsi="宋体" w:cs="宋体"/>
          <w:szCs w:val="21"/>
        </w:rPr>
      </w:pPr>
      <w:r>
        <w:rPr>
          <w:rFonts w:hint="eastAsia" w:ascii="宋体" w:hAnsi="宋体" w:cs="宋体"/>
          <w:szCs w:val="21"/>
        </w:rPr>
        <w:t xml:space="preserve">1.本部分内容仅提供格式参考。 </w:t>
      </w:r>
      <w:r>
        <w:rPr>
          <w:rFonts w:hint="eastAsia" w:ascii="宋体" w:hAnsi="宋体" w:cs="宋体"/>
          <w:szCs w:val="21"/>
        </w:rPr>
      </w:r>
      <w:r/>
    </w:p>
    <w:p>
      <w:pPr>
        <w:pStyle w:val="1559"/>
        <w:jc w:val="left"/>
        <w:spacing w:line="360" w:lineRule="auto"/>
        <w:rPr>
          <w:rFonts w:hint="eastAsia" w:ascii="宋体" w:hAnsi="宋体" w:cs="宋体"/>
          <w:szCs w:val="21"/>
        </w:rPr>
      </w:pPr>
      <w:r>
        <w:rPr>
          <w:rFonts w:hint="eastAsia" w:ascii="宋体" w:hAnsi="宋体" w:cs="宋体"/>
          <w:szCs w:val="21"/>
        </w:rPr>
        <w:t xml:space="preserve">2.供应商应按照以下文件的要求格式、内容制作投标文件，并编制目录及页码，混乱的编排导致投标文件被误读或查找不到，后果由供应商承担。 </w:t>
      </w:r>
      <w:r>
        <w:rPr>
          <w:rFonts w:hint="eastAsia" w:ascii="宋体" w:hAnsi="宋体" w:cs="宋体"/>
          <w:szCs w:val="21"/>
        </w:rPr>
      </w:r>
      <w:r/>
    </w:p>
    <w:p>
      <w:pPr>
        <w:pStyle w:val="1559"/>
        <w:jc w:val="left"/>
        <w:spacing w:line="360" w:lineRule="auto"/>
        <w:rPr>
          <w:rFonts w:hint="eastAsia" w:ascii="宋体" w:hAnsi="宋体" w:cs="宋体"/>
          <w:szCs w:val="21"/>
        </w:rPr>
      </w:pPr>
      <w:r>
        <w:rPr>
          <w:rFonts w:hint="eastAsia" w:ascii="宋体" w:hAnsi="宋体" w:cs="宋体"/>
          <w:szCs w:val="21"/>
        </w:rPr>
        <w:t xml:space="preserve">3.所附表格中要求回答的全部问题和信息都必须正面回答。 </w:t>
      </w:r>
      <w:r>
        <w:rPr>
          <w:rFonts w:hint="eastAsia" w:ascii="宋体" w:hAnsi="宋体" w:cs="宋体"/>
          <w:szCs w:val="21"/>
        </w:rPr>
      </w:r>
      <w:r/>
    </w:p>
    <w:p>
      <w:pPr>
        <w:pStyle w:val="1559"/>
        <w:jc w:val="left"/>
        <w:spacing w:line="360" w:lineRule="auto"/>
        <w:rPr>
          <w:rFonts w:hint="eastAsia" w:ascii="宋体" w:hAnsi="宋体" w:cs="宋体"/>
          <w:szCs w:val="21"/>
        </w:rPr>
      </w:pPr>
      <w:r>
        <w:rPr>
          <w:rFonts w:hint="eastAsia" w:ascii="宋体" w:hAnsi="宋体" w:cs="宋体"/>
          <w:szCs w:val="21"/>
        </w:rPr>
        <w:t xml:space="preserve">4.供应商提交的材料不予退还。 </w:t>
      </w:r>
      <w:r>
        <w:rPr>
          <w:rFonts w:hint="eastAsia" w:ascii="宋体" w:hAnsi="宋体" w:cs="宋体"/>
          <w:szCs w:val="21"/>
        </w:rPr>
      </w:r>
      <w:r/>
    </w:p>
    <w:p>
      <w:pPr>
        <w:pStyle w:val="1559"/>
        <w:jc w:val="left"/>
        <w:spacing w:line="360" w:lineRule="auto"/>
        <w:rPr>
          <w:rFonts w:hint="eastAsia" w:ascii="宋体" w:hAnsi="宋体" w:cs="宋体"/>
          <w:szCs w:val="21"/>
        </w:rPr>
      </w:pPr>
      <w:r>
        <w:rPr>
          <w:rFonts w:hint="eastAsia" w:ascii="宋体" w:hAnsi="宋体" w:cs="宋体"/>
          <w:szCs w:val="21"/>
        </w:rPr>
        <w:t xml:space="preserve">5.全部文件应按投标人须知以及前附表中规定的语言和份数提交。 </w:t>
      </w:r>
      <w:r>
        <w:rPr>
          <w:rFonts w:hint="eastAsia" w:ascii="宋体" w:hAnsi="宋体" w:cs="宋体"/>
          <w:szCs w:val="21"/>
        </w:rPr>
      </w:r>
      <w:r/>
    </w:p>
    <w:p>
      <w:pPr>
        <w:pStyle w:val="1559"/>
        <w:jc w:val="left"/>
        <w:spacing w:line="440" w:lineRule="exact"/>
        <w:rPr>
          <w:rFonts w:hint="eastAsia" w:ascii="宋体" w:hAnsi="宋体" w:cs="宋体"/>
          <w:sz w:val="24"/>
        </w:rPr>
      </w:pPr>
      <w:r>
        <w:rPr>
          <w:rFonts w:hint="eastAsia" w:ascii="宋体" w:hAnsi="宋体" w:cs="宋体"/>
          <w:szCs w:val="21"/>
        </w:rPr>
        <w:t xml:space="preserve">6.投标文件应按照投标文件格式逐项填写，无相应内容可填的项应填写“无”“未测试”“没有相应指标”等明确的回答文字。</w:t>
      </w:r>
      <w:r>
        <w:rPr>
          <w:rFonts w:hint="eastAsia" w:ascii="宋体" w:hAnsi="宋体" w:cs="宋体"/>
          <w:sz w:val="24"/>
        </w:rPr>
      </w:r>
      <w:r/>
    </w:p>
    <w:p>
      <w:pPr>
        <w:pStyle w:val="1559"/>
        <w:jc w:val="center"/>
        <w:rPr>
          <w:szCs w:val="24"/>
        </w:rPr>
      </w:pPr>
      <w:r/>
      <w:r/>
      <w:r/>
      <w:r>
        <w:rPr>
          <w:szCs w:val="24"/>
        </w:rPr>
      </w:r>
      <w:r/>
    </w:p>
    <w:p>
      <w:pPr>
        <w:pStyle w:val="1559"/>
        <w:rPr>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559"/>
        <w:jc w:val="left"/>
        <w:widowControl/>
      </w:pPr>
      <w:r>
        <w:rPr>
          <w:b/>
          <w:bCs/>
          <w:color w:val="000000"/>
          <w:sz w:val="28"/>
          <w:szCs w:val="28"/>
          <w:lang w:bidi="ar"/>
        </w:rPr>
        <w:t xml:space="preserve">投标文件封面格式 </w:t>
      </w:r>
      <w:r/>
    </w:p>
    <w:p>
      <w:pPr>
        <w:pStyle w:val="1559"/>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559"/>
        <w:jc w:val="center"/>
        <w:spacing w:line="500" w:lineRule="exact"/>
        <w:rPr>
          <w:b/>
          <w:sz w:val="44"/>
          <w:szCs w:val="44"/>
        </w:rPr>
      </w:pPr>
      <w:r>
        <w:rPr>
          <w:b/>
          <w:sz w:val="44"/>
          <w:szCs w:val="44"/>
        </w:rPr>
      </w:r>
      <w:r/>
    </w:p>
    <w:p>
      <w:pPr>
        <w:pStyle w:val="1745"/>
        <w:ind w:firstLine="883"/>
        <w:rPr>
          <w:b/>
          <w:sz w:val="44"/>
          <w:szCs w:val="44"/>
        </w:rPr>
      </w:pPr>
      <w:r>
        <w:rPr>
          <w:b/>
          <w:sz w:val="44"/>
          <w:szCs w:val="44"/>
        </w:rPr>
      </w:r>
      <w:r/>
    </w:p>
    <w:p>
      <w:pPr>
        <w:pStyle w:val="1745"/>
        <w:ind w:firstLine="883"/>
        <w:rPr>
          <w:b/>
          <w:sz w:val="44"/>
          <w:szCs w:val="44"/>
        </w:rPr>
      </w:pPr>
      <w:r>
        <w:rPr>
          <w:b/>
          <w:sz w:val="44"/>
          <w:szCs w:val="44"/>
        </w:rPr>
      </w:r>
      <w:r/>
    </w:p>
    <w:p>
      <w:pPr>
        <w:pStyle w:val="1559"/>
        <w:jc w:val="center"/>
        <w:spacing w:line="500" w:lineRule="exact"/>
        <w:rPr>
          <w:rFonts w:hint="eastAsia"/>
          <w:b/>
          <w:sz w:val="48"/>
          <w:szCs w:val="48"/>
        </w:rPr>
      </w:pPr>
      <w:r>
        <w:rPr>
          <w:rFonts w:hint="eastAsia"/>
          <w:b/>
          <w:sz w:val="48"/>
          <w:szCs w:val="48"/>
        </w:rPr>
        <w:t xml:space="preserve">江苏省计量科学研究院</w:t>
      </w:r>
      <w:r>
        <w:rPr>
          <w:rFonts w:hint="eastAsia"/>
          <w:b/>
          <w:sz w:val="48"/>
          <w:szCs w:val="48"/>
        </w:rPr>
      </w:r>
      <w:r/>
    </w:p>
    <w:p>
      <w:pPr>
        <w:pStyle w:val="1559"/>
        <w:jc w:val="center"/>
        <w:spacing w:line="500" w:lineRule="exact"/>
        <w:rPr>
          <w:rFonts w:hint="eastAsia"/>
          <w:b/>
          <w:sz w:val="48"/>
          <w:szCs w:val="48"/>
        </w:rPr>
      </w:pPr>
      <w:r>
        <w:rPr>
          <w:rFonts w:hint="eastAsia"/>
          <w:b/>
          <w:sz w:val="48"/>
          <w:szCs w:val="48"/>
        </w:rPr>
        <w:t xml:space="preserve">（江苏省能源计量数据中心）</w:t>
      </w:r>
      <w:r>
        <w:rPr>
          <w:rFonts w:hint="eastAsia"/>
          <w:b/>
          <w:sz w:val="48"/>
          <w:szCs w:val="48"/>
        </w:rPr>
      </w:r>
      <w:r/>
    </w:p>
    <w:p>
      <w:pPr>
        <w:pStyle w:val="1559"/>
        <w:jc w:val="center"/>
        <w:spacing w:line="500" w:lineRule="exact"/>
        <w:rPr>
          <w:rFonts w:hint="eastAsia"/>
          <w:b/>
          <w:sz w:val="48"/>
          <w:szCs w:val="48"/>
        </w:rPr>
      </w:pPr>
      <w:r>
        <w:rPr>
          <w:rFonts w:hint="eastAsia"/>
          <w:b/>
          <w:sz w:val="48"/>
          <w:szCs w:val="48"/>
        </w:rPr>
      </w:r>
      <w:r/>
    </w:p>
    <w:p>
      <w:pPr>
        <w:pStyle w:val="1559"/>
        <w:jc w:val="center"/>
        <w:spacing w:line="500" w:lineRule="exact"/>
        <w:rPr>
          <w:rFonts w:hint="eastAsia"/>
          <w:b/>
          <w:sz w:val="48"/>
          <w:szCs w:val="48"/>
        </w:rPr>
      </w:pPr>
      <w:r>
        <w:rPr>
          <w:rFonts w:hint="eastAsia"/>
          <w:b/>
          <w:sz w:val="48"/>
          <w:szCs w:val="48"/>
        </w:rPr>
      </w:r>
      <w:r/>
    </w:p>
    <w:p>
      <w:pPr>
        <w:pStyle w:val="1559"/>
        <w:jc w:val="center"/>
        <w:spacing w:line="500" w:lineRule="exact"/>
        <w:rPr>
          <w:rFonts w:hint="eastAsia"/>
          <w:b/>
          <w:color w:val="000000"/>
          <w:spacing w:val="80"/>
          <w:sz w:val="72"/>
        </w:rPr>
      </w:pPr>
      <w:r>
        <w:rPr>
          <w:rFonts w:hint="eastAsia"/>
          <w:b/>
          <w:sz w:val="48"/>
          <w:szCs w:val="48"/>
        </w:rPr>
        <w:t xml:space="preserve">江苏省计量院2026年社会公用计量标准设备更新项目</w:t>
      </w:r>
      <w:r>
        <w:rPr>
          <w:rFonts w:hint="eastAsia"/>
          <w:b/>
          <w:color w:val="000000"/>
          <w:spacing w:val="80"/>
          <w:sz w:val="72"/>
        </w:rPr>
      </w:r>
      <w:r/>
    </w:p>
    <w:p>
      <w:pPr>
        <w:pStyle w:val="1745"/>
        <w:ind w:firstLine="1766"/>
        <w:rPr>
          <w:b/>
          <w:color w:val="000000"/>
          <w:spacing w:val="80"/>
          <w:sz w:val="72"/>
        </w:rPr>
      </w:pPr>
      <w:r>
        <w:rPr>
          <w:b/>
          <w:color w:val="000000"/>
          <w:spacing w:val="80"/>
          <w:sz w:val="72"/>
        </w:rPr>
      </w:r>
      <w:r/>
    </w:p>
    <w:p>
      <w:pPr>
        <w:pStyle w:val="1745"/>
        <w:ind w:firstLine="1766"/>
        <w:rPr>
          <w:b/>
          <w:color w:val="000000"/>
          <w:spacing w:val="80"/>
          <w:sz w:val="72"/>
        </w:rPr>
      </w:pPr>
      <w:r>
        <w:rPr>
          <w:b/>
          <w:color w:val="000000"/>
          <w:spacing w:val="80"/>
          <w:sz w:val="72"/>
        </w:rPr>
      </w:r>
      <w:r/>
    </w:p>
    <w:p>
      <w:pPr>
        <w:pStyle w:val="1559"/>
        <w:jc w:val="center"/>
        <w:spacing w:before="100" w:beforeAutospacing="1" w:after="100" w:afterAutospacing="1" w:line="500" w:lineRule="exact"/>
        <w:rPr>
          <w:b/>
          <w:sz w:val="60"/>
          <w:szCs w:val="60"/>
        </w:rPr>
      </w:pPr>
      <w:r>
        <w:rPr>
          <w:b/>
          <w:sz w:val="60"/>
          <w:szCs w:val="60"/>
        </w:rPr>
        <w:t xml:space="preserve">投标文件</w:t>
      </w:r>
      <w:r>
        <w:rPr>
          <w:b/>
          <w:sz w:val="60"/>
          <w:szCs w:val="60"/>
        </w:rPr>
      </w:r>
      <w:r/>
    </w:p>
    <w:p>
      <w:pPr>
        <w:pStyle w:val="1559"/>
        <w:ind w:firstLine="1285"/>
        <w:spacing w:line="360" w:lineRule="auto"/>
        <w:rPr>
          <w:b/>
          <w:sz w:val="32"/>
          <w:szCs w:val="32"/>
        </w:rPr>
      </w:pPr>
      <w:r>
        <w:rPr>
          <w:b/>
          <w:sz w:val="32"/>
          <w:szCs w:val="32"/>
        </w:rPr>
      </w:r>
      <w:r/>
    </w:p>
    <w:p>
      <w:pPr>
        <w:pStyle w:val="1559"/>
        <w:spacing w:line="500" w:lineRule="exact"/>
        <w:rPr>
          <w:color w:val="000000"/>
          <w:sz w:val="32"/>
        </w:rPr>
      </w:pPr>
      <w:r>
        <w:rPr>
          <w:color w:val="000000"/>
          <w:sz w:val="32"/>
        </w:rPr>
      </w:r>
      <w:r/>
    </w:p>
    <w:p>
      <w:pPr>
        <w:pStyle w:val="1559"/>
        <w:spacing w:line="360" w:lineRule="auto"/>
        <w:rPr>
          <w:b/>
          <w:sz w:val="32"/>
          <w:szCs w:val="32"/>
        </w:rPr>
      </w:pPr>
      <w:r>
        <w:rPr>
          <w:b/>
          <w:sz w:val="32"/>
          <w:szCs w:val="32"/>
        </w:rPr>
      </w:r>
      <w:r/>
    </w:p>
    <w:p>
      <w:pPr>
        <w:pStyle w:val="1559"/>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JSZC-320000-SMDY-G2026-0089</w:t>
      </w:r>
      <w:r>
        <w:rPr>
          <w:b/>
          <w:sz w:val="32"/>
          <w:szCs w:val="32"/>
        </w:rPr>
        <w:t xml:space="preserve">（</w:t>
      </w:r>
      <w:r>
        <w:rPr>
          <w:rFonts w:hint="eastAsia"/>
          <w:b/>
          <w:sz w:val="32"/>
          <w:szCs w:val="32"/>
        </w:rPr>
        <w:t xml:space="preserve">2640SUMEC/ZWGG2156</w:t>
      </w:r>
      <w:r>
        <w:rPr>
          <w:b/>
          <w:sz w:val="32"/>
          <w:szCs w:val="32"/>
        </w:rPr>
        <w:t xml:space="preserve">）</w:t>
      </w:r>
      <w:r>
        <w:rPr>
          <w:b/>
          <w:sz w:val="32"/>
          <w:szCs w:val="32"/>
          <w:highlight w:val="yellow"/>
        </w:rPr>
      </w:r>
      <w:r/>
    </w:p>
    <w:p>
      <w:pPr>
        <w:pStyle w:val="1559"/>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559"/>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559"/>
        <w:jc w:val="center"/>
        <w:spacing w:line="360" w:lineRule="auto"/>
        <w:rPr>
          <w:b/>
          <w:sz w:val="36"/>
          <w:szCs w:val="36"/>
        </w:rPr>
      </w:pPr>
      <w:r>
        <w:rPr>
          <w:b/>
          <w:sz w:val="36"/>
          <w:szCs w:val="36"/>
        </w:rPr>
      </w:r>
      <w:r/>
    </w:p>
    <w:p>
      <w:pPr>
        <w:pStyle w:val="1628"/>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
    </w:p>
    <w:p>
      <w:pPr>
        <w:pStyle w:val="1559"/>
        <w:spacing w:line="440" w:lineRule="exact"/>
        <w:rPr>
          <w:rFonts w:hint="eastAsia" w:ascii="宋体" w:hAnsi="宋体" w:cs="宋体"/>
          <w:b/>
          <w:bCs/>
          <w:szCs w:val="21"/>
        </w:rPr>
        <w:outlineLvl w:val="1"/>
      </w:pPr>
      <w:r/>
      <w:bookmarkStart w:id="306" w:name="_Toc21198"/>
      <w:r>
        <w:rPr>
          <w:rFonts w:hint="eastAsia" w:ascii="宋体" w:hAnsi="宋体" w:cs="宋体"/>
          <w:b/>
          <w:bCs/>
          <w:szCs w:val="21"/>
        </w:rPr>
        <w:t xml:space="preserve">附件一 投标函格式</w:t>
      </w:r>
      <w:bookmarkEnd w:id="306"/>
      <w:r>
        <w:rPr>
          <w:rFonts w:hint="eastAsia" w:ascii="宋体" w:hAnsi="宋体" w:cs="宋体"/>
          <w:b/>
          <w:bCs/>
          <w:szCs w:val="21"/>
        </w:rPr>
      </w:r>
      <w:r/>
    </w:p>
    <w:p>
      <w:pPr>
        <w:pStyle w:val="1559"/>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559"/>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559"/>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559"/>
        <w:spacing w:line="440" w:lineRule="exact"/>
        <w:rPr>
          <w:szCs w:val="21"/>
        </w:rPr>
      </w:pPr>
      <w:r>
        <w:rPr>
          <w:szCs w:val="21"/>
        </w:rPr>
      </w:r>
      <w:r/>
    </w:p>
    <w:p>
      <w:pPr>
        <w:pStyle w:val="1559"/>
        <w:spacing w:line="360" w:lineRule="auto"/>
        <w:rPr>
          <w:szCs w:val="21"/>
        </w:rPr>
      </w:pPr>
      <w:r>
        <w:rPr>
          <w:szCs w:val="21"/>
        </w:rPr>
        <w:t xml:space="preserve">投标人名称：</w:t>
      </w:r>
      <w:r>
        <w:rPr>
          <w:szCs w:val="21"/>
          <w:u w:val="single"/>
        </w:rPr>
        <w:t xml:space="preserve">                   （公章）</w:t>
      </w:r>
      <w:r>
        <w:rPr>
          <w:szCs w:val="21"/>
        </w:rPr>
      </w:r>
      <w:r/>
    </w:p>
    <w:p>
      <w:pPr>
        <w:pStyle w:val="1559"/>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559"/>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559"/>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559"/>
        <w:spacing w:line="360" w:lineRule="auto"/>
        <w:rPr>
          <w:sz w:val="24"/>
        </w:rPr>
      </w:pPr>
      <w:r>
        <w:rPr>
          <w:szCs w:val="21"/>
        </w:rPr>
        <w:t xml:space="preserve">日期：</w:t>
      </w:r>
      <w:r>
        <w:rPr>
          <w:szCs w:val="21"/>
          <w:u w:val="single"/>
        </w:rPr>
        <w:t xml:space="preserve">               </w:t>
      </w:r>
      <w:r>
        <w:rPr>
          <w:sz w:val="24"/>
        </w:rPr>
      </w:r>
      <w:r/>
    </w:p>
    <w:p>
      <w:pPr>
        <w:pStyle w:val="1559"/>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559"/>
        <w:spacing w:line="440" w:lineRule="exact"/>
        <w:rPr>
          <w:b/>
          <w:bCs/>
          <w:sz w:val="24"/>
          <w:szCs w:val="22"/>
        </w:rPr>
        <w:outlineLvl w:val="1"/>
      </w:pPr>
      <w:r/>
      <w:bookmarkStart w:id="307" w:name="_Toc23511"/>
      <w:r/>
      <w:bookmarkStart w:id="308" w:name="_Toc14605"/>
      <w:r/>
      <w:bookmarkStart w:id="309" w:name="_Toc437"/>
      <w:r>
        <w:rPr>
          <w:b/>
          <w:bCs/>
          <w:sz w:val="24"/>
          <w:szCs w:val="22"/>
        </w:rPr>
        <w:t xml:space="preserve">附件二 开标一览表</w:t>
      </w:r>
      <w:bookmarkEnd w:id="307"/>
      <w:r/>
      <w:bookmarkEnd w:id="308"/>
      <w:r/>
      <w:bookmarkEnd w:id="309"/>
      <w:r>
        <w:rPr>
          <w:b/>
          <w:bCs/>
          <w:sz w:val="24"/>
          <w:szCs w:val="22"/>
        </w:rPr>
      </w:r>
      <w:r/>
    </w:p>
    <w:p>
      <w:pPr>
        <w:pStyle w:val="1559"/>
        <w:jc w:val="center"/>
        <w:spacing w:line="440" w:lineRule="exact"/>
        <w:rPr>
          <w:b/>
          <w:sz w:val="28"/>
          <w:szCs w:val="22"/>
        </w:rPr>
      </w:pPr>
      <w:r>
        <w:rPr>
          <w:b/>
          <w:sz w:val="28"/>
          <w:szCs w:val="22"/>
        </w:rPr>
        <w:t xml:space="preserve">开标一览表</w:t>
      </w:r>
      <w:r>
        <w:rPr>
          <w:b/>
          <w:sz w:val="28"/>
          <w:szCs w:val="22"/>
        </w:rPr>
      </w:r>
      <w:r/>
    </w:p>
    <w:p>
      <w:pPr>
        <w:pStyle w:val="1559"/>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05"/>
        <w:gridCol w:w="6778"/>
      </w:tblGrid>
      <w:tr>
        <w:trPr>
          <w:cantSplit/>
          <w:trHeight w:val="986"/>
        </w:trPr>
        <w:tc>
          <w:tcPr>
            <w:tcW w:w="2605" w:type="dxa"/>
            <w:vAlign w:val="center"/>
            <w:textDirection w:val="lrTb"/>
            <w:noWrap w:val="false"/>
          </w:tcPr>
          <w:p>
            <w:pPr>
              <w:pStyle w:val="1559"/>
              <w:jc w:val="center"/>
              <w:spacing w:line="480" w:lineRule="exact"/>
              <w:rPr>
                <w:szCs w:val="21"/>
              </w:rPr>
            </w:pPr>
            <w:r>
              <w:rPr>
                <w:szCs w:val="21"/>
              </w:rPr>
              <w:t xml:space="preserve">项目名称</w:t>
            </w:r>
            <w:r>
              <w:rPr>
                <w:szCs w:val="21"/>
              </w:rPr>
            </w:r>
            <w:r/>
          </w:p>
        </w:tc>
        <w:tc>
          <w:tcPr>
            <w:tcW w:w="6778" w:type="dxa"/>
            <w:vAlign w:val="center"/>
            <w:textDirection w:val="lrTb"/>
            <w:noWrap w:val="false"/>
          </w:tcPr>
          <w:p>
            <w:pPr>
              <w:pStyle w:val="1559"/>
              <w:ind w:firstLine="105"/>
              <w:spacing w:line="480" w:lineRule="exact"/>
              <w:rPr>
                <w:szCs w:val="21"/>
              </w:rPr>
            </w:pPr>
            <w:r>
              <w:rPr>
                <w:szCs w:val="21"/>
              </w:rPr>
            </w:r>
            <w:r/>
          </w:p>
        </w:tc>
      </w:tr>
      <w:tr>
        <w:trPr>
          <w:cantSplit/>
          <w:trHeight w:val="1280"/>
        </w:trPr>
        <w:tc>
          <w:tcPr>
            <w:tcW w:w="2605" w:type="dxa"/>
            <w:vAlign w:val="center"/>
            <w:textDirection w:val="lrTb"/>
            <w:noWrap w:val="false"/>
          </w:tcPr>
          <w:p>
            <w:pPr>
              <w:pStyle w:val="1559"/>
              <w:jc w:val="center"/>
              <w:spacing w:line="480" w:lineRule="exact"/>
              <w:rPr>
                <w:szCs w:val="21"/>
              </w:rPr>
            </w:pPr>
            <w:r>
              <w:rPr>
                <w:szCs w:val="21"/>
              </w:rPr>
              <w:t xml:space="preserve">报价（总价）</w:t>
            </w:r>
            <w:r>
              <w:rPr>
                <w:szCs w:val="21"/>
              </w:rPr>
            </w:r>
            <w:r/>
          </w:p>
        </w:tc>
        <w:tc>
          <w:tcPr>
            <w:tcW w:w="6778" w:type="dxa"/>
            <w:vAlign w:val="center"/>
            <w:textDirection w:val="lrTb"/>
            <w:noWrap w:val="false"/>
          </w:tcPr>
          <w:p>
            <w:pPr>
              <w:pStyle w:val="1559"/>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559"/>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605" w:type="dxa"/>
            <w:vAlign w:val="center"/>
            <w:textDirection w:val="lrTb"/>
            <w:noWrap w:val="false"/>
          </w:tcPr>
          <w:p>
            <w:pPr>
              <w:pStyle w:val="1559"/>
              <w:jc w:val="center"/>
              <w:spacing w:line="480" w:lineRule="exact"/>
              <w:rPr>
                <w:szCs w:val="21"/>
              </w:rPr>
            </w:pPr>
            <w:r>
              <w:rPr>
                <w:szCs w:val="21"/>
              </w:rPr>
              <w:t xml:space="preserve">所投品牌</w:t>
            </w:r>
            <w:r>
              <w:rPr>
                <w:szCs w:val="21"/>
              </w:rPr>
            </w:r>
            <w:r/>
          </w:p>
          <w:p>
            <w:pPr>
              <w:pStyle w:val="1559"/>
              <w:jc w:val="center"/>
              <w:spacing w:line="480" w:lineRule="exact"/>
              <w:rPr>
                <w:rFonts w:hint="eastAsia"/>
                <w:szCs w:val="21"/>
              </w:rPr>
            </w:pPr>
            <w:r>
              <w:rPr>
                <w:rFonts w:hint="eastAsia"/>
                <w:szCs w:val="21"/>
              </w:rPr>
              <w:t xml:space="preserve">（分包内多产品的填写核心产品）</w:t>
            </w:r>
            <w:r>
              <w:rPr>
                <w:rFonts w:hint="eastAsia"/>
                <w:szCs w:val="21"/>
              </w:rPr>
            </w:r>
            <w:r/>
          </w:p>
        </w:tc>
        <w:tc>
          <w:tcPr>
            <w:tcW w:w="6778" w:type="dxa"/>
            <w:vAlign w:val="center"/>
            <w:textDirection w:val="lrTb"/>
            <w:noWrap w:val="false"/>
          </w:tcPr>
          <w:p>
            <w:pPr>
              <w:pStyle w:val="1559"/>
              <w:spacing w:line="480" w:lineRule="exact"/>
              <w:rPr>
                <w:i/>
                <w:iCs/>
                <w:szCs w:val="21"/>
              </w:rPr>
            </w:pPr>
            <w:r>
              <w:rPr>
                <w:i/>
                <w:iCs/>
                <w:szCs w:val="21"/>
              </w:rPr>
            </w:r>
            <w:r/>
          </w:p>
        </w:tc>
      </w:tr>
      <w:tr>
        <w:trPr>
          <w:cantSplit/>
          <w:trHeight w:val="724"/>
        </w:trPr>
        <w:tc>
          <w:tcPr>
            <w:tcW w:w="2605" w:type="dxa"/>
            <w:vAlign w:val="center"/>
            <w:textDirection w:val="lrTb"/>
            <w:noWrap w:val="false"/>
          </w:tcPr>
          <w:p>
            <w:pPr>
              <w:pStyle w:val="1559"/>
              <w:jc w:val="center"/>
              <w:spacing w:line="480" w:lineRule="exact"/>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szCs w:val="21"/>
              </w:rPr>
            </w:r>
            <w:r/>
          </w:p>
          <w:p>
            <w:pPr>
              <w:pStyle w:val="1559"/>
              <w:jc w:val="center"/>
              <w:spacing w:line="480" w:lineRule="exact"/>
              <w:rPr>
                <w:rFonts w:hint="eastAsia" w:ascii="宋体" w:hAnsi="宋体" w:cs="宋体"/>
                <w:szCs w:val="21"/>
              </w:rPr>
            </w:pPr>
            <w:r>
              <w:rPr>
                <w:rFonts w:hint="eastAsia"/>
                <w:szCs w:val="21"/>
              </w:rPr>
              <w:t xml:space="preserve">（分包内多产品的逐一填写）</w:t>
            </w:r>
            <w:r>
              <w:rPr>
                <w:rFonts w:hint="eastAsia" w:ascii="宋体" w:hAnsi="宋体" w:cs="宋体"/>
                <w:szCs w:val="21"/>
              </w:rPr>
            </w:r>
            <w:r/>
          </w:p>
        </w:tc>
        <w:tc>
          <w:tcPr>
            <w:tcW w:w="6778" w:type="dxa"/>
            <w:vAlign w:val="center"/>
            <w:textDirection w:val="lrTb"/>
            <w:noWrap w:val="false"/>
          </w:tcPr>
          <w:p>
            <w:pPr>
              <w:pStyle w:val="1559"/>
              <w:ind w:firstLine="105"/>
              <w:spacing w:line="480" w:lineRule="exact"/>
              <w:rPr>
                <w:rFonts w:hint="eastAsia"/>
                <w:szCs w:val="21"/>
              </w:rPr>
            </w:pPr>
            <w:r>
              <w:rPr>
                <w:rFonts w:hint="eastAsia"/>
                <w:szCs w:val="21"/>
              </w:rPr>
            </w:r>
            <w:r/>
          </w:p>
        </w:tc>
      </w:tr>
    </w:tbl>
    <w:p>
      <w:pPr>
        <w:pStyle w:val="1559"/>
        <w:spacing w:line="440" w:lineRule="exact"/>
        <w:rPr>
          <w:szCs w:val="21"/>
        </w:rPr>
      </w:pPr>
      <w:r>
        <w:rPr>
          <w:szCs w:val="21"/>
        </w:rPr>
      </w:r>
      <w:r/>
    </w:p>
    <w:p>
      <w:pPr>
        <w:pStyle w:val="1628"/>
        <w:ind w:firstLine="280"/>
      </w:pPr>
      <w:r/>
      <w:r/>
    </w:p>
    <w:p>
      <w:pPr>
        <w:pStyle w:val="1559"/>
        <w:spacing w:line="440" w:lineRule="exact"/>
        <w:rPr>
          <w:szCs w:val="21"/>
        </w:rPr>
      </w:pPr>
      <w:r>
        <w:rPr>
          <w:szCs w:val="21"/>
        </w:rPr>
        <w:t xml:space="preserve">投标人名称（公章）：</w:t>
      </w:r>
      <w:r>
        <w:rPr>
          <w:szCs w:val="21"/>
        </w:rPr>
      </w:r>
      <w:r/>
    </w:p>
    <w:p>
      <w:pPr>
        <w:pStyle w:val="1559"/>
        <w:spacing w:line="440" w:lineRule="exact"/>
        <w:rPr>
          <w:szCs w:val="21"/>
        </w:rPr>
      </w:pPr>
      <w:r>
        <w:rPr>
          <w:szCs w:val="21"/>
        </w:rPr>
        <w:t xml:space="preserve">授权代表（签字）：</w:t>
      </w:r>
      <w:r>
        <w:rPr>
          <w:szCs w:val="21"/>
        </w:rPr>
      </w:r>
      <w:r/>
    </w:p>
    <w:p>
      <w:pPr>
        <w:pStyle w:val="1559"/>
        <w:spacing w:line="440" w:lineRule="exact"/>
        <w:rPr>
          <w:szCs w:val="21"/>
        </w:rPr>
      </w:pPr>
      <w:r>
        <w:rPr>
          <w:szCs w:val="21"/>
        </w:rPr>
        <w:t xml:space="preserve">日期：</w:t>
      </w:r>
      <w:r>
        <w:rPr>
          <w:szCs w:val="21"/>
        </w:rPr>
      </w:r>
      <w:r/>
    </w:p>
    <w:p>
      <w:pPr>
        <w:pStyle w:val="1559"/>
        <w:spacing w:line="440" w:lineRule="exact"/>
        <w:rPr>
          <w:szCs w:val="21"/>
        </w:rPr>
      </w:pPr>
      <w:r>
        <w:rPr>
          <w:szCs w:val="21"/>
        </w:rPr>
      </w:r>
      <w:r/>
    </w:p>
    <w:p>
      <w:pPr>
        <w:pStyle w:val="1559"/>
        <w:spacing w:line="440" w:lineRule="exact"/>
        <w:rPr>
          <w:szCs w:val="21"/>
        </w:rPr>
      </w:pPr>
      <w:r>
        <w:rPr>
          <w:szCs w:val="21"/>
        </w:rPr>
        <w:t xml:space="preserve">注：此表中，投标总价合计应和分项报价表中的总价一致。</w:t>
      </w:r>
      <w:r>
        <w:rPr>
          <w:szCs w:val="21"/>
        </w:rPr>
      </w:r>
      <w:r/>
    </w:p>
    <w:p>
      <w:pPr>
        <w:pStyle w:val="1589"/>
        <w:rPr>
          <w:rFonts w:ascii="Times New Roman"/>
        </w:rPr>
      </w:pPr>
      <w:r>
        <w:rPr>
          <w:rFonts w:ascii="Times New Roman"/>
        </w:rPr>
      </w:r>
      <w:r/>
    </w:p>
    <w:p>
      <w:pPr>
        <w:pStyle w:val="1559"/>
        <w:jc w:val="center"/>
        <w:spacing w:line="440" w:lineRule="exact"/>
        <w:rPr>
          <w:b/>
        </w:rPr>
      </w:pPr>
      <w:r>
        <w:rPr>
          <w:b/>
        </w:rPr>
      </w:r>
      <w:r/>
    </w:p>
    <w:p>
      <w:pPr>
        <w:pStyle w:val="1559"/>
        <w:jc w:val="center"/>
        <w:spacing w:line="440" w:lineRule="exact"/>
        <w:rPr>
          <w:b/>
        </w:rPr>
      </w:pPr>
      <w:r>
        <w:rPr>
          <w:b/>
        </w:rPr>
      </w:r>
      <w:r/>
    </w:p>
    <w:p>
      <w:pPr>
        <w:pStyle w:val="1559"/>
        <w:spacing w:line="440" w:lineRule="exact"/>
        <w:rPr>
          <w:b/>
        </w:rPr>
      </w:pPr>
      <w:r>
        <w:rPr>
          <w:b/>
        </w:rPr>
      </w:r>
      <w:r/>
    </w:p>
    <w:p>
      <w:pPr>
        <w:pStyle w:val="1559"/>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310" w:name="_Toc14445"/>
      <w:r>
        <w:rPr>
          <w:b/>
          <w:bCs/>
          <w:sz w:val="24"/>
          <w:szCs w:val="22"/>
        </w:rPr>
      </w:r>
      <w:r/>
    </w:p>
    <w:p>
      <w:pPr>
        <w:pStyle w:val="1559"/>
        <w:spacing w:line="440" w:lineRule="exact"/>
        <w:rPr>
          <w:b/>
          <w:bCs/>
          <w:sz w:val="24"/>
          <w:szCs w:val="22"/>
        </w:rPr>
        <w:outlineLvl w:val="1"/>
      </w:pPr>
      <w:r/>
      <w:bookmarkEnd w:id="310"/>
      <w:r/>
      <w:bookmarkStart w:id="311" w:name="_Toc2903"/>
      <w:r/>
      <w:bookmarkStart w:id="312" w:name="_Toc7726"/>
      <w:r>
        <w:rPr>
          <w:b/>
          <w:bCs/>
          <w:sz w:val="24"/>
          <w:szCs w:val="22"/>
        </w:rPr>
        <w:t xml:space="preserve">附件三 分项报价表</w:t>
      </w:r>
      <w:bookmarkEnd w:id="311"/>
      <w:r/>
      <w:bookmarkEnd w:id="312"/>
      <w:r>
        <w:rPr>
          <w:b/>
          <w:bCs/>
          <w:sz w:val="24"/>
          <w:szCs w:val="22"/>
        </w:rPr>
      </w:r>
      <w:r/>
    </w:p>
    <w:p>
      <w:pPr>
        <w:pStyle w:val="1559"/>
        <w:jc w:val="center"/>
        <w:spacing w:line="440" w:lineRule="exact"/>
        <w:rPr>
          <w:rFonts w:hint="eastAsia"/>
          <w:b/>
          <w:sz w:val="28"/>
          <w:szCs w:val="22"/>
        </w:rPr>
      </w:pPr>
      <w:r/>
      <w:bookmarkStart w:id="313" w:name="_Toc8446"/>
      <w:r>
        <w:rPr>
          <w:b/>
          <w:sz w:val="28"/>
          <w:szCs w:val="22"/>
        </w:rPr>
        <w:t xml:space="preserve">分项报价表</w:t>
      </w:r>
      <w:bookmarkEnd w:id="313"/>
      <w:r>
        <w:rPr>
          <w:rFonts w:hint="eastAsia"/>
          <w:b/>
          <w:sz w:val="28"/>
          <w:szCs w:val="22"/>
        </w:rPr>
      </w:r>
      <w:r/>
    </w:p>
    <w:p>
      <w:pPr>
        <w:pStyle w:val="1574"/>
        <w:ind w:firstLine="0"/>
        <w:rPr>
          <w:sz w:val="21"/>
          <w:szCs w:val="21"/>
        </w:rPr>
      </w:pPr>
      <w:r>
        <w:rPr>
          <w:sz w:val="21"/>
          <w:szCs w:val="21"/>
        </w:rPr>
      </w:r>
      <w:r/>
    </w:p>
    <w:p>
      <w:pPr>
        <w:pStyle w:val="1559"/>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90"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515"/>
        <w:gridCol w:w="1473"/>
        <w:gridCol w:w="1191"/>
        <w:gridCol w:w="762"/>
        <w:gridCol w:w="1295"/>
        <w:gridCol w:w="1582"/>
        <w:gridCol w:w="1590"/>
      </w:tblGrid>
      <w:tr>
        <w:trPr/>
        <w:tc>
          <w:tcPr>
            <w:tcW w:w="426"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16" w:type="dxa"/>
            <w:vAlign w:val="center"/>
            <w:textDirection w:val="lrTb"/>
            <w:noWrap w:val="false"/>
          </w:tcPr>
          <w:p>
            <w:pPr>
              <w:pStyle w:val="1559"/>
              <w:jc w:val="center"/>
              <w:rPr>
                <w:rFonts w:hint="eastAsia"/>
              </w:rPr>
            </w:pPr>
            <w:r>
              <w:rPr>
                <w:rFonts w:hint="eastAsia"/>
              </w:rPr>
              <w:t xml:space="preserve">名 称</w:t>
            </w:r>
            <w:r>
              <w:rPr>
                <w:rFonts w:hint="eastAsia"/>
              </w:rPr>
            </w:r>
            <w:r/>
          </w:p>
        </w:tc>
        <w:tc>
          <w:tcPr>
            <w:tcW w:w="1474" w:type="dxa"/>
            <w:vAlign w:val="center"/>
            <w:textDirection w:val="lrTb"/>
            <w:noWrap w:val="false"/>
          </w:tcPr>
          <w:p>
            <w:pPr>
              <w:pStyle w:val="1559"/>
              <w:jc w:val="center"/>
              <w:rPr>
                <w:rFonts w:hint="eastAsia"/>
              </w:rPr>
            </w:pPr>
            <w:r>
              <w:rPr>
                <w:rFonts w:hint="eastAsia"/>
              </w:rPr>
              <w:t xml:space="preserve">品牌、型号</w:t>
            </w:r>
            <w:r>
              <w:rPr>
                <w:rFonts w:hint="eastAsia"/>
              </w:rPr>
            </w:r>
            <w:r/>
          </w:p>
        </w:tc>
        <w:tc>
          <w:tcPr>
            <w:tcW w:w="1191" w:type="dxa"/>
            <w:vAlign w:val="center"/>
            <w:textDirection w:val="lrTb"/>
            <w:noWrap w:val="false"/>
          </w:tcPr>
          <w:p>
            <w:pPr>
              <w:pStyle w:val="1559"/>
              <w:jc w:val="center"/>
              <w:rPr>
                <w:rFonts w:hint="eastAsia"/>
              </w:rPr>
            </w:pPr>
            <w:r>
              <w:rPr>
                <w:rFonts w:hint="eastAsia"/>
              </w:rPr>
              <w:t xml:space="preserve">数量</w:t>
            </w:r>
            <w:r>
              <w:rPr>
                <w:rFonts w:hint="eastAsia"/>
              </w:rPr>
            </w:r>
            <w:r/>
          </w:p>
        </w:tc>
        <w:tc>
          <w:tcPr>
            <w:tcW w:w="762" w:type="dxa"/>
            <w:vAlign w:val="center"/>
            <w:textDirection w:val="lrTb"/>
            <w:noWrap w:val="false"/>
          </w:tcPr>
          <w:p>
            <w:pPr>
              <w:pStyle w:val="1559"/>
              <w:jc w:val="center"/>
              <w:rPr>
                <w:rFonts w:hint="eastAsia"/>
              </w:rPr>
            </w:pPr>
            <w:r>
              <w:rPr>
                <w:rFonts w:hint="eastAsia"/>
              </w:rPr>
              <w:t xml:space="preserve">是否进口</w:t>
            </w:r>
            <w:r>
              <w:rPr>
                <w:rFonts w:hint="eastAsia"/>
              </w:rPr>
            </w:r>
            <w:r/>
          </w:p>
        </w:tc>
        <w:tc>
          <w:tcPr>
            <w:tcW w:w="1295" w:type="dxa"/>
            <w:vAlign w:val="center"/>
            <w:textDirection w:val="lrTb"/>
            <w:noWrap w:val="false"/>
          </w:tcPr>
          <w:p>
            <w:pPr>
              <w:pStyle w:val="1559"/>
              <w:jc w:val="center"/>
              <w:rPr>
                <w:rFonts w:hint="eastAsia"/>
              </w:rPr>
            </w:pPr>
            <w:r>
              <w:rPr>
                <w:rFonts w:hint="eastAsia"/>
              </w:rPr>
              <w:t xml:space="preserve">是否定制</w:t>
            </w:r>
            <w:r>
              <w:rPr>
                <w:rFonts w:hint="eastAsia"/>
              </w:rPr>
            </w:r>
            <w:r/>
          </w:p>
        </w:tc>
        <w:tc>
          <w:tcPr>
            <w:tcW w:w="1582" w:type="dxa"/>
            <w:vAlign w:val="center"/>
            <w:textDirection w:val="lrTb"/>
            <w:noWrap w:val="false"/>
          </w:tcPr>
          <w:p>
            <w:pPr>
              <w:pStyle w:val="1559"/>
              <w:jc w:val="center"/>
              <w:rPr>
                <w:rFonts w:hint="eastAsia"/>
              </w:rPr>
            </w:pPr>
            <w:r>
              <w:rPr>
                <w:rFonts w:hint="eastAsia"/>
              </w:rPr>
              <w:t xml:space="preserve">单项金额</w:t>
            </w:r>
            <w:r>
              <w:rPr>
                <w:rFonts w:hint="eastAsia"/>
              </w:rPr>
            </w:r>
            <w:r/>
          </w:p>
        </w:tc>
        <w:tc>
          <w:tcPr>
            <w:tcW w:w="1590" w:type="dxa"/>
            <w:vAlign w:val="center"/>
            <w:textDirection w:val="lrTb"/>
            <w:noWrap w:val="false"/>
          </w:tcPr>
          <w:p>
            <w:pPr>
              <w:pStyle w:val="1559"/>
              <w:jc w:val="center"/>
              <w:rPr>
                <w:rFonts w:hint="eastAsia"/>
              </w:rPr>
            </w:pPr>
            <w:r>
              <w:rPr>
                <w:rFonts w:hint="eastAsia"/>
              </w:rPr>
              <w:t xml:space="preserve">总价金额</w:t>
            </w:r>
            <w:r>
              <w:rPr>
                <w:rFonts w:hint="eastAsia"/>
              </w:rPr>
            </w:r>
            <w:r/>
          </w:p>
        </w:tc>
      </w:tr>
      <w:tr>
        <w:trPr/>
        <w:tc>
          <w:tcPr>
            <w:tcW w:w="426" w:type="dxa"/>
            <w:vAlign w:val="top"/>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16"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474" w:type="dxa"/>
            <w:vAlign w:val="center"/>
            <w:textDirection w:val="lrTb"/>
            <w:noWrap w:val="false"/>
          </w:tcPr>
          <w:p>
            <w:pPr>
              <w:pStyle w:val="1559"/>
              <w:jc w:val="center"/>
              <w:rPr>
                <w:rFonts w:hint="eastAsia" w:ascii="宋体" w:hAnsi="宋体" w:cs="宋体"/>
              </w:rPr>
            </w:pPr>
            <w:r>
              <w:rPr>
                <w:rFonts w:hint="eastAsia" w:ascii="宋体" w:hAnsi="宋体" w:cs="宋体"/>
              </w:rPr>
            </w:r>
            <w:r/>
          </w:p>
        </w:tc>
        <w:tc>
          <w:tcPr>
            <w:tcW w:w="1191"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16"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474" w:type="dxa"/>
            <w:vAlign w:val="center"/>
            <w:textDirection w:val="lrTb"/>
            <w:noWrap w:val="false"/>
          </w:tcPr>
          <w:p>
            <w:pPr>
              <w:pStyle w:val="1559"/>
              <w:jc w:val="center"/>
              <w:rPr>
                <w:rFonts w:hint="eastAsia" w:ascii="宋体" w:hAnsi="宋体" w:cs="宋体"/>
              </w:rPr>
            </w:pPr>
            <w:r>
              <w:rPr>
                <w:rFonts w:hint="eastAsia" w:ascii="宋体" w:hAnsi="宋体" w:cs="宋体"/>
              </w:rPr>
            </w:r>
            <w:r/>
          </w:p>
        </w:tc>
        <w:tc>
          <w:tcPr>
            <w:tcW w:w="1191"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16" w:type="dxa"/>
            <w:vAlign w:val="top"/>
            <w:textDirection w:val="lrTb"/>
            <w:noWrap w:val="false"/>
          </w:tcPr>
          <w:p>
            <w:pPr>
              <w:pStyle w:val="1559"/>
              <w:ind w:left="-827" w:firstLine="827"/>
              <w:spacing w:line="440" w:lineRule="exact"/>
              <w:rPr>
                <w:rFonts w:hint="eastAsia" w:ascii="宋体" w:hAnsi="宋体" w:cs="宋体"/>
                <w:szCs w:val="21"/>
              </w:rPr>
            </w:pPr>
            <w:r>
              <w:rPr>
                <w:rFonts w:hint="eastAsia" w:ascii="宋体" w:hAnsi="宋体" w:cs="宋体"/>
                <w:szCs w:val="21"/>
              </w:rPr>
            </w:r>
            <w:r/>
          </w:p>
        </w:tc>
        <w:tc>
          <w:tcPr>
            <w:tcW w:w="1474"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16"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474"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16"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474"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16"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474"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r>
      <w:tr>
        <w:trPr/>
        <w:tc>
          <w:tcPr>
            <w:gridSpan w:val="3"/>
            <w:tcW w:w="3416" w:type="dxa"/>
            <w:vAlign w:val="top"/>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5"/>
            <w:tcW w:w="6420" w:type="dxa"/>
            <w:vAlign w:val="top"/>
            <w:textDirection w:val="lrTb"/>
            <w:noWrap w:val="false"/>
          </w:tcPr>
          <w:p>
            <w:pPr>
              <w:pStyle w:val="1559"/>
              <w:spacing w:line="440" w:lineRule="exact"/>
              <w:rPr>
                <w:rFonts w:hint="eastAsia" w:ascii="宋体" w:hAnsi="宋体" w:cs="宋体"/>
                <w:szCs w:val="21"/>
              </w:rPr>
            </w:pPr>
            <w:r>
              <w:rPr>
                <w:rFonts w:hint="eastAsia" w:ascii="宋体" w:hAnsi="宋体" w:cs="宋体"/>
                <w:szCs w:val="21"/>
              </w:rPr>
            </w:r>
            <w:r/>
          </w:p>
        </w:tc>
      </w:tr>
    </w:tbl>
    <w:p>
      <w:pPr>
        <w:pStyle w:val="1559"/>
        <w:spacing w:line="440" w:lineRule="exact"/>
        <w:rPr>
          <w:rFonts w:hint="eastAsia" w:ascii="宋体" w:cs="宋体"/>
          <w:szCs w:val="21"/>
        </w:rPr>
      </w:pPr>
      <w:r>
        <w:rPr>
          <w:rFonts w:hint="eastAsia" w:ascii="宋体" w:cs="宋体"/>
          <w:szCs w:val="21"/>
        </w:rPr>
      </w:r>
      <w:r/>
    </w:p>
    <w:p>
      <w:pPr>
        <w:pStyle w:val="1559"/>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559"/>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559"/>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559"/>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rPr>
        <w:t xml:space="preserve">具体明细内容可在</w:t>
      </w:r>
      <w:r>
        <w:rPr>
          <w:rFonts w:hint="eastAsia" w:ascii="宋体" w:hAnsi="宋体" w:cs="宋体"/>
          <w:b/>
          <w:bCs/>
          <w:szCs w:val="21"/>
        </w:rPr>
        <w:t xml:space="preserve">投标产品配置清单及技术说明中填列完全。</w:t>
      </w:r>
      <w:r>
        <w:rPr>
          <w:rFonts w:hint="eastAsia" w:ascii="宋体" w:hAnsi="宋体" w:cs="宋体"/>
        </w:rPr>
      </w:r>
      <w:r/>
    </w:p>
    <w:p>
      <w:pPr>
        <w:pStyle w:val="1559"/>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559"/>
        <w:ind w:firstLine="420"/>
        <w:spacing w:line="440" w:lineRule="exact"/>
        <w:rPr>
          <w:rFonts w:hint="eastAsia" w:ascii="宋体" w:hAnsi="宋体" w:cs="宋体"/>
        </w:rPr>
      </w:pPr>
      <w:r>
        <w:rPr>
          <w:rFonts w:hint="eastAsia" w:ascii="宋体" w:hAnsi="宋体" w:cs="宋体"/>
        </w:rPr>
        <w:t xml:space="preserve">3、表中表格行数可自行添加。</w:t>
      </w:r>
      <w:r>
        <w:rPr>
          <w:rFonts w:hint="eastAsia" w:ascii="宋体" w:hAnsi="宋体" w:cs="宋体"/>
        </w:rPr>
      </w:r>
      <w:r/>
    </w:p>
    <w:p>
      <w:pPr>
        <w:pStyle w:val="1559"/>
        <w:spacing w:line="440" w:lineRule="exact"/>
        <w:rPr>
          <w:szCs w:val="21"/>
        </w:rPr>
      </w:pPr>
      <w:r>
        <w:rPr>
          <w:szCs w:val="21"/>
        </w:rPr>
      </w:r>
      <w:r/>
    </w:p>
    <w:p>
      <w:pPr>
        <w:pStyle w:val="1559"/>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559"/>
        <w:spacing w:line="440" w:lineRule="exact"/>
        <w:rPr>
          <w:sz w:val="24"/>
        </w:rPr>
      </w:pPr>
      <w:r>
        <w:rPr>
          <w:sz w:val="24"/>
        </w:rPr>
      </w:r>
      <w:r/>
    </w:p>
    <w:p>
      <w:pPr>
        <w:pStyle w:val="1559"/>
        <w:spacing w:after="156" w:line="440" w:lineRule="exact"/>
        <w:rPr>
          <w:b/>
          <w:bCs/>
          <w:sz w:val="24"/>
          <w:szCs w:val="22"/>
        </w:rPr>
        <w:outlineLvl w:val="1"/>
      </w:pPr>
      <w:r/>
      <w:bookmarkStart w:id="314" w:name="_Toc11080"/>
      <w:r/>
      <w:bookmarkStart w:id="315" w:name="_Toc3694"/>
      <w:r/>
      <w:bookmarkStart w:id="316" w:name="_Toc31558"/>
      <w:r>
        <w:rPr>
          <w:b/>
          <w:bCs/>
          <w:sz w:val="24"/>
          <w:szCs w:val="22"/>
        </w:rPr>
        <w:t xml:space="preserve">附件四 商务条款偏离表</w:t>
      </w:r>
      <w:bookmarkEnd w:id="314"/>
      <w:r/>
      <w:bookmarkEnd w:id="315"/>
      <w:r/>
      <w:bookmarkEnd w:id="316"/>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559"/>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559"/>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559"/>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559"/>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559"/>
              <w:spacing w:before="156" w:line="440" w:lineRule="exact"/>
              <w:rPr>
                <w:szCs w:val="21"/>
              </w:rPr>
            </w:pPr>
            <w:r>
              <w:rPr>
                <w:szCs w:val="21"/>
              </w:rPr>
            </w:r>
            <w:r/>
          </w:p>
        </w:tc>
        <w:tc>
          <w:tcPr>
            <w:tcW w:w="3551" w:type="dxa"/>
            <w:vAlign w:val="center"/>
            <w:textDirection w:val="lrTb"/>
            <w:noWrap w:val="false"/>
          </w:tcPr>
          <w:p>
            <w:pPr>
              <w:pStyle w:val="1559"/>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559"/>
              <w:spacing w:before="156" w:line="440" w:lineRule="exact"/>
              <w:rPr>
                <w:szCs w:val="21"/>
              </w:rPr>
            </w:pPr>
            <w:r>
              <w:rPr>
                <w:szCs w:val="21"/>
              </w:rPr>
            </w:r>
            <w:r/>
          </w:p>
        </w:tc>
        <w:tc>
          <w:tcPr>
            <w:tcW w:w="3454" w:type="dxa"/>
            <w:vAlign w:val="top"/>
            <w:textDirection w:val="lrTb"/>
            <w:noWrap w:val="false"/>
          </w:tcPr>
          <w:p>
            <w:pPr>
              <w:pStyle w:val="1559"/>
              <w:spacing w:before="156" w:line="440" w:lineRule="exact"/>
              <w:rPr>
                <w:szCs w:val="21"/>
              </w:rPr>
            </w:pPr>
            <w:r>
              <w:rPr>
                <w:szCs w:val="21"/>
              </w:rPr>
            </w:r>
            <w:r/>
          </w:p>
        </w:tc>
      </w:tr>
      <w:tr>
        <w:trPr>
          <w:trHeight w:val="719"/>
        </w:trPr>
        <w:tc>
          <w:tcPr>
            <w:tcW w:w="849" w:type="dxa"/>
            <w:vAlign w:val="top"/>
            <w:textDirection w:val="lrTb"/>
            <w:noWrap w:val="false"/>
          </w:tcPr>
          <w:p>
            <w:pPr>
              <w:pStyle w:val="1559"/>
              <w:spacing w:before="156" w:line="440" w:lineRule="exact"/>
              <w:rPr>
                <w:szCs w:val="21"/>
              </w:rPr>
            </w:pPr>
            <w:r>
              <w:rPr>
                <w:szCs w:val="21"/>
              </w:rPr>
            </w:r>
            <w:r/>
          </w:p>
        </w:tc>
        <w:tc>
          <w:tcPr>
            <w:tcW w:w="3551" w:type="dxa"/>
            <w:vAlign w:val="center"/>
            <w:textDirection w:val="lrTb"/>
            <w:noWrap w:val="false"/>
          </w:tcPr>
          <w:p>
            <w:pPr>
              <w:pStyle w:val="1559"/>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559"/>
              <w:spacing w:before="156" w:line="440" w:lineRule="exact"/>
              <w:rPr>
                <w:szCs w:val="21"/>
              </w:rPr>
            </w:pPr>
            <w:r>
              <w:rPr>
                <w:szCs w:val="21"/>
              </w:rPr>
            </w:r>
            <w:r/>
          </w:p>
        </w:tc>
        <w:tc>
          <w:tcPr>
            <w:tcW w:w="3454" w:type="dxa"/>
            <w:vAlign w:val="top"/>
            <w:textDirection w:val="lrTb"/>
            <w:noWrap w:val="false"/>
          </w:tcPr>
          <w:p>
            <w:pPr>
              <w:pStyle w:val="1559"/>
              <w:spacing w:before="156" w:line="440" w:lineRule="exact"/>
              <w:rPr>
                <w:szCs w:val="21"/>
              </w:rPr>
            </w:pPr>
            <w:r>
              <w:rPr>
                <w:szCs w:val="21"/>
              </w:rPr>
            </w:r>
            <w:r/>
          </w:p>
        </w:tc>
      </w:tr>
      <w:tr>
        <w:trPr>
          <w:trHeight w:val="540"/>
        </w:trPr>
        <w:tc>
          <w:tcPr>
            <w:tcW w:w="849" w:type="dxa"/>
            <w:vAlign w:val="top"/>
            <w:textDirection w:val="lrTb"/>
            <w:noWrap w:val="false"/>
          </w:tcPr>
          <w:p>
            <w:pPr>
              <w:pStyle w:val="1559"/>
              <w:spacing w:before="156" w:line="440" w:lineRule="exact"/>
              <w:rPr>
                <w:szCs w:val="21"/>
              </w:rPr>
            </w:pPr>
            <w:r>
              <w:rPr>
                <w:szCs w:val="21"/>
              </w:rPr>
            </w:r>
            <w:r/>
          </w:p>
        </w:tc>
        <w:tc>
          <w:tcPr>
            <w:tcW w:w="3551" w:type="dxa"/>
            <w:vAlign w:val="center"/>
            <w:textDirection w:val="lrTb"/>
            <w:noWrap w:val="false"/>
          </w:tcPr>
          <w:p>
            <w:pPr>
              <w:pStyle w:val="1559"/>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559"/>
              <w:ind w:left="43"/>
              <w:spacing w:before="156" w:line="440" w:lineRule="exact"/>
              <w:rPr>
                <w:szCs w:val="21"/>
              </w:rPr>
            </w:pPr>
            <w:r>
              <w:rPr>
                <w:szCs w:val="21"/>
              </w:rPr>
            </w:r>
            <w:r/>
          </w:p>
        </w:tc>
        <w:tc>
          <w:tcPr>
            <w:tcW w:w="3454" w:type="dxa"/>
            <w:vAlign w:val="top"/>
            <w:textDirection w:val="lrTb"/>
            <w:noWrap w:val="false"/>
          </w:tcPr>
          <w:p>
            <w:pPr>
              <w:pStyle w:val="1559"/>
              <w:ind w:left="43"/>
              <w:spacing w:before="156" w:line="440" w:lineRule="exact"/>
              <w:rPr>
                <w:szCs w:val="21"/>
              </w:rPr>
            </w:pPr>
            <w:r>
              <w:rPr>
                <w:szCs w:val="21"/>
              </w:rPr>
            </w:r>
            <w:r/>
          </w:p>
        </w:tc>
      </w:tr>
      <w:tr>
        <w:trPr>
          <w:trHeight w:val="440"/>
        </w:trPr>
        <w:tc>
          <w:tcPr>
            <w:tcW w:w="849" w:type="dxa"/>
            <w:vAlign w:val="top"/>
            <w:textDirection w:val="lrTb"/>
            <w:noWrap w:val="false"/>
          </w:tcPr>
          <w:p>
            <w:pPr>
              <w:pStyle w:val="1559"/>
              <w:spacing w:before="156" w:line="440" w:lineRule="exact"/>
              <w:rPr>
                <w:szCs w:val="21"/>
              </w:rPr>
            </w:pPr>
            <w:r>
              <w:rPr>
                <w:szCs w:val="21"/>
              </w:rPr>
            </w:r>
            <w:r/>
          </w:p>
        </w:tc>
        <w:tc>
          <w:tcPr>
            <w:tcW w:w="3551" w:type="dxa"/>
            <w:vAlign w:val="top"/>
            <w:textDirection w:val="lrTb"/>
            <w:noWrap w:val="false"/>
          </w:tcPr>
          <w:p>
            <w:pPr>
              <w:pStyle w:val="1559"/>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559"/>
              <w:ind w:left="43"/>
              <w:spacing w:before="156" w:line="440" w:lineRule="exact"/>
              <w:rPr>
                <w:szCs w:val="21"/>
              </w:rPr>
            </w:pPr>
            <w:r>
              <w:rPr>
                <w:szCs w:val="21"/>
              </w:rPr>
            </w:r>
            <w:r/>
          </w:p>
        </w:tc>
        <w:tc>
          <w:tcPr>
            <w:tcW w:w="3454" w:type="dxa"/>
            <w:vAlign w:val="top"/>
            <w:textDirection w:val="lrTb"/>
            <w:noWrap w:val="false"/>
          </w:tcPr>
          <w:p>
            <w:pPr>
              <w:pStyle w:val="1559"/>
              <w:ind w:left="43"/>
              <w:spacing w:before="156" w:line="440" w:lineRule="exact"/>
              <w:rPr>
                <w:szCs w:val="21"/>
              </w:rPr>
            </w:pPr>
            <w:r>
              <w:rPr>
                <w:szCs w:val="21"/>
              </w:rPr>
            </w:r>
            <w:r/>
          </w:p>
        </w:tc>
      </w:tr>
      <w:tr>
        <w:trPr>
          <w:trHeight w:val="460"/>
        </w:trPr>
        <w:tc>
          <w:tcPr>
            <w:tcW w:w="849" w:type="dxa"/>
            <w:vAlign w:val="top"/>
            <w:textDirection w:val="lrTb"/>
            <w:noWrap w:val="false"/>
          </w:tcPr>
          <w:p>
            <w:pPr>
              <w:pStyle w:val="1559"/>
              <w:spacing w:before="156" w:line="440" w:lineRule="exact"/>
              <w:rPr>
                <w:szCs w:val="21"/>
              </w:rPr>
            </w:pPr>
            <w:r>
              <w:rPr>
                <w:szCs w:val="21"/>
              </w:rPr>
            </w:r>
            <w:r/>
          </w:p>
        </w:tc>
        <w:tc>
          <w:tcPr>
            <w:tcW w:w="3551" w:type="dxa"/>
            <w:vAlign w:val="top"/>
            <w:textDirection w:val="lrTb"/>
            <w:noWrap w:val="false"/>
          </w:tcPr>
          <w:p>
            <w:pPr>
              <w:pStyle w:val="1559"/>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559"/>
              <w:ind w:left="43"/>
              <w:spacing w:before="156" w:line="440" w:lineRule="exact"/>
              <w:rPr>
                <w:szCs w:val="21"/>
              </w:rPr>
            </w:pPr>
            <w:r>
              <w:rPr>
                <w:szCs w:val="21"/>
              </w:rPr>
            </w:r>
            <w:r/>
          </w:p>
        </w:tc>
        <w:tc>
          <w:tcPr>
            <w:tcW w:w="3454" w:type="dxa"/>
            <w:vAlign w:val="top"/>
            <w:textDirection w:val="lrTb"/>
            <w:noWrap w:val="false"/>
          </w:tcPr>
          <w:p>
            <w:pPr>
              <w:pStyle w:val="1559"/>
              <w:ind w:left="43"/>
              <w:spacing w:before="156" w:line="440" w:lineRule="exact"/>
              <w:rPr>
                <w:szCs w:val="21"/>
              </w:rPr>
            </w:pPr>
            <w:r>
              <w:rPr>
                <w:szCs w:val="21"/>
              </w:rPr>
            </w:r>
            <w:r/>
          </w:p>
        </w:tc>
      </w:tr>
      <w:tr>
        <w:trPr>
          <w:trHeight w:val="820"/>
        </w:trPr>
        <w:tc>
          <w:tcPr>
            <w:tcW w:w="849" w:type="dxa"/>
            <w:vAlign w:val="top"/>
            <w:textDirection w:val="lrTb"/>
            <w:noWrap w:val="false"/>
          </w:tcPr>
          <w:p>
            <w:pPr>
              <w:pStyle w:val="1559"/>
              <w:spacing w:before="156" w:line="440" w:lineRule="exact"/>
              <w:rPr>
                <w:szCs w:val="21"/>
              </w:rPr>
            </w:pPr>
            <w:r>
              <w:rPr>
                <w:szCs w:val="21"/>
              </w:rPr>
            </w:r>
            <w:r/>
          </w:p>
        </w:tc>
        <w:tc>
          <w:tcPr>
            <w:tcW w:w="3551" w:type="dxa"/>
            <w:vAlign w:val="top"/>
            <w:textDirection w:val="lrTb"/>
            <w:noWrap w:val="false"/>
          </w:tcPr>
          <w:p>
            <w:pPr>
              <w:pStyle w:val="1559"/>
              <w:spacing w:before="156" w:line="440" w:lineRule="exact"/>
              <w:rPr>
                <w:szCs w:val="21"/>
              </w:rPr>
            </w:pPr>
            <w:r>
              <w:rPr>
                <w:szCs w:val="21"/>
              </w:rPr>
            </w:r>
            <w:r/>
          </w:p>
        </w:tc>
        <w:tc>
          <w:tcPr>
            <w:tcW w:w="1996" w:type="dxa"/>
            <w:vAlign w:val="top"/>
            <w:textDirection w:val="lrTb"/>
            <w:noWrap w:val="false"/>
          </w:tcPr>
          <w:p>
            <w:pPr>
              <w:pStyle w:val="1559"/>
              <w:spacing w:before="156" w:line="440" w:lineRule="exact"/>
              <w:rPr>
                <w:szCs w:val="21"/>
              </w:rPr>
            </w:pPr>
            <w:r>
              <w:rPr>
                <w:szCs w:val="21"/>
              </w:rPr>
            </w:r>
            <w:r/>
          </w:p>
        </w:tc>
        <w:tc>
          <w:tcPr>
            <w:tcW w:w="3454" w:type="dxa"/>
            <w:vAlign w:val="top"/>
            <w:textDirection w:val="lrTb"/>
            <w:noWrap w:val="false"/>
          </w:tcPr>
          <w:p>
            <w:pPr>
              <w:pStyle w:val="1559"/>
              <w:spacing w:before="156" w:line="440" w:lineRule="exact"/>
              <w:rPr>
                <w:szCs w:val="21"/>
              </w:rPr>
            </w:pPr>
            <w:r>
              <w:rPr>
                <w:szCs w:val="21"/>
              </w:rPr>
            </w:r>
            <w:r/>
          </w:p>
        </w:tc>
      </w:tr>
      <w:tr>
        <w:trPr>
          <w:trHeight w:val="340"/>
        </w:trPr>
        <w:tc>
          <w:tcPr>
            <w:tcW w:w="849" w:type="dxa"/>
            <w:vAlign w:val="top"/>
            <w:textDirection w:val="lrTb"/>
            <w:noWrap w:val="false"/>
          </w:tcPr>
          <w:p>
            <w:pPr>
              <w:pStyle w:val="1559"/>
              <w:spacing w:before="156" w:line="440" w:lineRule="exact"/>
              <w:rPr>
                <w:szCs w:val="21"/>
              </w:rPr>
            </w:pPr>
            <w:r>
              <w:rPr>
                <w:szCs w:val="21"/>
              </w:rPr>
            </w:r>
            <w:r/>
          </w:p>
        </w:tc>
        <w:tc>
          <w:tcPr>
            <w:tcW w:w="3551" w:type="dxa"/>
            <w:vAlign w:val="top"/>
            <w:textDirection w:val="lrTb"/>
            <w:noWrap w:val="false"/>
          </w:tcPr>
          <w:p>
            <w:pPr>
              <w:pStyle w:val="1559"/>
              <w:spacing w:before="156" w:line="440" w:lineRule="exact"/>
              <w:rPr>
                <w:szCs w:val="21"/>
              </w:rPr>
            </w:pPr>
            <w:r>
              <w:rPr>
                <w:szCs w:val="21"/>
              </w:rPr>
            </w:r>
            <w:r/>
          </w:p>
        </w:tc>
        <w:tc>
          <w:tcPr>
            <w:tcW w:w="1996" w:type="dxa"/>
            <w:vAlign w:val="top"/>
            <w:textDirection w:val="lrTb"/>
            <w:noWrap w:val="false"/>
          </w:tcPr>
          <w:p>
            <w:pPr>
              <w:pStyle w:val="1559"/>
              <w:spacing w:before="156" w:line="440" w:lineRule="exact"/>
              <w:rPr>
                <w:szCs w:val="21"/>
              </w:rPr>
            </w:pPr>
            <w:r>
              <w:rPr>
                <w:szCs w:val="21"/>
              </w:rPr>
            </w:r>
            <w:r/>
          </w:p>
        </w:tc>
        <w:tc>
          <w:tcPr>
            <w:tcW w:w="3454" w:type="dxa"/>
            <w:vAlign w:val="top"/>
            <w:textDirection w:val="lrTb"/>
            <w:noWrap w:val="false"/>
          </w:tcPr>
          <w:p>
            <w:pPr>
              <w:pStyle w:val="1559"/>
              <w:spacing w:before="156" w:line="440" w:lineRule="exact"/>
              <w:rPr>
                <w:szCs w:val="21"/>
              </w:rPr>
            </w:pPr>
            <w:r>
              <w:rPr>
                <w:szCs w:val="21"/>
              </w:rPr>
            </w:r>
            <w:r/>
          </w:p>
        </w:tc>
      </w:tr>
    </w:tbl>
    <w:p>
      <w:pPr>
        <w:pStyle w:val="1559"/>
        <w:spacing w:line="440" w:lineRule="exact"/>
        <w:rPr>
          <w:sz w:val="24"/>
        </w:rPr>
      </w:pPr>
      <w:r>
        <w:rPr>
          <w:sz w:val="24"/>
        </w:rPr>
      </w:r>
      <w:r/>
    </w:p>
    <w:p>
      <w:pPr>
        <w:pStyle w:val="1559"/>
        <w:spacing w:line="440" w:lineRule="exact"/>
        <w:rPr>
          <w:szCs w:val="21"/>
        </w:rPr>
      </w:pPr>
      <w:r>
        <w:rPr>
          <w:szCs w:val="21"/>
        </w:rPr>
        <w:t xml:space="preserve">投标人名称（公章）：</w:t>
      </w:r>
      <w:r>
        <w:rPr>
          <w:szCs w:val="21"/>
        </w:rPr>
      </w:r>
      <w:r/>
    </w:p>
    <w:p>
      <w:pPr>
        <w:pStyle w:val="1559"/>
        <w:spacing w:line="440" w:lineRule="exact"/>
        <w:rPr>
          <w:szCs w:val="21"/>
        </w:rPr>
      </w:pPr>
      <w:r>
        <w:rPr>
          <w:szCs w:val="21"/>
        </w:rPr>
        <w:t xml:space="preserve">授权代表（签字）：</w:t>
      </w:r>
      <w:r>
        <w:rPr>
          <w:szCs w:val="21"/>
        </w:rPr>
      </w:r>
      <w:r/>
    </w:p>
    <w:p>
      <w:pPr>
        <w:pStyle w:val="1559"/>
        <w:spacing w:line="440" w:lineRule="exact"/>
        <w:rPr>
          <w:szCs w:val="21"/>
        </w:rPr>
      </w:pPr>
      <w:r>
        <w:rPr>
          <w:szCs w:val="21"/>
        </w:rPr>
        <w:t xml:space="preserve">日期：</w:t>
      </w:r>
      <w:r>
        <w:rPr>
          <w:szCs w:val="21"/>
        </w:rPr>
      </w:r>
      <w:r/>
    </w:p>
    <w:p>
      <w:pPr>
        <w:pStyle w:val="1559"/>
        <w:spacing w:line="440" w:lineRule="exact"/>
        <w:rPr>
          <w:color w:val="000000"/>
          <w:szCs w:val="21"/>
        </w:rPr>
      </w:pPr>
      <w:r>
        <w:rPr>
          <w:color w:val="000000"/>
          <w:szCs w:val="21"/>
        </w:rPr>
      </w:r>
      <w:r/>
    </w:p>
    <w:p>
      <w:pPr>
        <w:pStyle w:val="1559"/>
        <w:spacing w:line="440" w:lineRule="exact"/>
        <w:rPr>
          <w:b/>
          <w:bCs/>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w:t>
      </w:r>
      <w:r>
        <w:rPr>
          <w:b/>
          <w:bCs/>
          <w:color w:val="000000"/>
          <w:szCs w:val="21"/>
        </w:rPr>
        <w:t xml:space="preserve">逐条响应，</w:t>
      </w:r>
      <w:r>
        <w:rPr>
          <w:b/>
          <w:bCs/>
          <w:color w:val="ff0000"/>
        </w:rPr>
        <w:t xml:space="preserve">若漏项或不逐条应答视为负偏离。</w:t>
      </w:r>
      <w:r>
        <w:rPr>
          <w:b/>
          <w:bCs/>
          <w:color w:val="000000"/>
          <w:szCs w:val="21"/>
        </w:rPr>
      </w:r>
      <w:r/>
    </w:p>
    <w:p>
      <w:pPr>
        <w:pStyle w:val="1559"/>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559"/>
        <w:ind w:firstLine="420"/>
        <w:spacing w:line="440" w:lineRule="exact"/>
        <w:rPr>
          <w:color w:val="000000"/>
          <w:szCs w:val="21"/>
        </w:rPr>
      </w:pPr>
      <w:r>
        <w:rPr>
          <w:color w:val="000000"/>
          <w:szCs w:val="21"/>
        </w:rPr>
        <w:t xml:space="preserve">3、如果行数不够，请自行增加。</w:t>
      </w:r>
      <w:r>
        <w:rPr>
          <w:color w:val="000000"/>
          <w:szCs w:val="21"/>
        </w:rPr>
      </w:r>
      <w:r/>
    </w:p>
    <w:p>
      <w:pPr>
        <w:pStyle w:val="1559"/>
        <w:ind w:firstLine="5494"/>
        <w:spacing w:line="440" w:lineRule="exact"/>
        <w:rPr>
          <w:sz w:val="24"/>
        </w:rPr>
      </w:pPr>
      <w:r>
        <w:rPr>
          <w:sz w:val="24"/>
        </w:rPr>
      </w:r>
      <w:r/>
    </w:p>
    <w:p>
      <w:pPr>
        <w:pStyle w:val="1559"/>
        <w:spacing w:line="440" w:lineRule="exact"/>
        <w:rPr>
          <w:sz w:val="24"/>
        </w:rPr>
      </w:pPr>
      <w:r>
        <w:rPr>
          <w:sz w:val="24"/>
        </w:rPr>
      </w:r>
      <w:r/>
    </w:p>
    <w:p>
      <w:pPr>
        <w:pStyle w:val="1559"/>
        <w:ind w:right="-334"/>
        <w:spacing w:line="440" w:lineRule="exact"/>
        <w:rPr>
          <w:sz w:val="24"/>
        </w:rPr>
      </w:pPr>
      <w:r>
        <w:rPr>
          <w:sz w:val="24"/>
        </w:rPr>
      </w:r>
      <w:r/>
    </w:p>
    <w:p>
      <w:pPr>
        <w:pStyle w:val="1559"/>
        <w:ind w:right="-334"/>
        <w:spacing w:line="440" w:lineRule="exact"/>
        <w:rPr>
          <w:sz w:val="24"/>
        </w:rPr>
      </w:pPr>
      <w:r>
        <w:rPr>
          <w:sz w:val="24"/>
        </w:rPr>
      </w:r>
      <w:r/>
    </w:p>
    <w:p>
      <w:pPr>
        <w:pStyle w:val="1559"/>
        <w:ind w:right="-334"/>
        <w:spacing w:line="440" w:lineRule="exact"/>
        <w:rPr>
          <w:sz w:val="24"/>
        </w:rPr>
      </w:pPr>
      <w:r>
        <w:rPr>
          <w:sz w:val="24"/>
        </w:rPr>
      </w:r>
      <w:r/>
    </w:p>
    <w:p>
      <w:pPr>
        <w:pStyle w:val="1559"/>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559"/>
        <w:spacing w:after="156" w:line="440" w:lineRule="exact"/>
        <w:rPr>
          <w:b/>
          <w:bCs/>
          <w:sz w:val="24"/>
          <w:szCs w:val="22"/>
        </w:rPr>
        <w:outlineLvl w:val="1"/>
      </w:pPr>
      <w:r/>
      <w:bookmarkStart w:id="317" w:name="_Toc588"/>
      <w:r/>
      <w:bookmarkStart w:id="318" w:name="_Toc17448"/>
      <w:r>
        <w:rPr>
          <w:b/>
          <w:bCs/>
          <w:sz w:val="24"/>
          <w:szCs w:val="22"/>
        </w:rPr>
        <w:t xml:space="preserve">附件五 技术条款偏离表</w:t>
      </w:r>
      <w:bookmarkEnd w:id="317"/>
      <w:r/>
      <w:bookmarkEnd w:id="318"/>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559"/>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559"/>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559"/>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559"/>
              <w:jc w:val="center"/>
              <w:spacing w:line="440" w:lineRule="exact"/>
              <w:rPr>
                <w:szCs w:val="21"/>
              </w:rPr>
            </w:pPr>
            <w:r>
              <w:rPr>
                <w:szCs w:val="21"/>
              </w:rPr>
            </w:r>
            <w:r/>
          </w:p>
          <w:p>
            <w:pPr>
              <w:pStyle w:val="1559"/>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559"/>
              <w:jc w:val="center"/>
              <w:spacing w:line="440" w:lineRule="exact"/>
              <w:rPr>
                <w:szCs w:val="21"/>
              </w:rPr>
            </w:pP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559"/>
              <w:jc w:val="left"/>
              <w:spacing w:line="440" w:lineRule="exact"/>
              <w:widowControl/>
              <w:rPr>
                <w:szCs w:val="21"/>
              </w:rPr>
            </w:pPr>
            <w:r>
              <w:rPr>
                <w:szCs w:val="21"/>
              </w:rPr>
            </w:r>
            <w:r/>
          </w:p>
        </w:tc>
        <w:tc>
          <w:tcPr>
            <w:tcW w:w="1134" w:type="dxa"/>
            <w:vAlign w:val="center"/>
            <w:textDirection w:val="lrTb"/>
            <w:noWrap w:val="false"/>
          </w:tcPr>
          <w:p>
            <w:pPr>
              <w:pStyle w:val="1559"/>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559"/>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559"/>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559"/>
              <w:jc w:val="center"/>
              <w:spacing w:line="440" w:lineRule="exact"/>
              <w:rPr>
                <w:szCs w:val="21"/>
              </w:rPr>
            </w:pPr>
            <w:r>
              <w:rPr>
                <w:szCs w:val="21"/>
              </w:rPr>
            </w:r>
            <w:r/>
          </w:p>
        </w:tc>
        <w:tc>
          <w:tcPr>
            <w:tcW w:w="2143" w:type="dxa"/>
            <w:vAlign w:val="top"/>
            <w:vMerge w:val="continue"/>
            <w:textDirection w:val="lrTb"/>
            <w:noWrap w:val="false"/>
          </w:tcPr>
          <w:p>
            <w:pPr>
              <w:pStyle w:val="1559"/>
              <w:jc w:val="center"/>
              <w:spacing w:line="440" w:lineRule="exact"/>
              <w:rPr>
                <w:szCs w:val="21"/>
              </w:rPr>
            </w:pPr>
            <w:r>
              <w:rPr>
                <w:szCs w:val="21"/>
              </w:rPr>
            </w:r>
            <w:r/>
          </w:p>
        </w:tc>
      </w:tr>
      <w:tr>
        <w:trPr/>
        <w:tc>
          <w:tcPr>
            <w:tcW w:w="675" w:type="dxa"/>
            <w:vAlign w:val="top"/>
            <w:textDirection w:val="lrTb"/>
            <w:noWrap w:val="false"/>
          </w:tcPr>
          <w:p>
            <w:pPr>
              <w:pStyle w:val="1559"/>
              <w:spacing w:line="440" w:lineRule="exact"/>
              <w:rPr>
                <w:szCs w:val="21"/>
              </w:rPr>
            </w:pPr>
            <w:r>
              <w:rPr>
                <w:szCs w:val="21"/>
              </w:rPr>
            </w:r>
            <w:r/>
          </w:p>
        </w:tc>
        <w:tc>
          <w:tcPr>
            <w:tcW w:w="1134"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776" w:type="dxa"/>
            <w:vAlign w:val="top"/>
            <w:textDirection w:val="lrTb"/>
            <w:noWrap w:val="false"/>
          </w:tcPr>
          <w:p>
            <w:pPr>
              <w:pStyle w:val="1559"/>
              <w:spacing w:line="440" w:lineRule="exact"/>
              <w:rPr>
                <w:szCs w:val="21"/>
              </w:rPr>
            </w:pPr>
            <w:r>
              <w:rPr>
                <w:szCs w:val="21"/>
              </w:rPr>
            </w:r>
            <w:r/>
          </w:p>
        </w:tc>
        <w:tc>
          <w:tcPr>
            <w:tcW w:w="2143" w:type="dxa"/>
            <w:vAlign w:val="top"/>
            <w:textDirection w:val="lrTb"/>
            <w:noWrap w:val="false"/>
          </w:tcPr>
          <w:p>
            <w:pPr>
              <w:pStyle w:val="1559"/>
              <w:spacing w:line="440" w:lineRule="exact"/>
              <w:rPr>
                <w:szCs w:val="21"/>
              </w:rPr>
            </w:pPr>
            <w:r>
              <w:rPr>
                <w:szCs w:val="21"/>
              </w:rPr>
            </w:r>
            <w:r/>
          </w:p>
        </w:tc>
      </w:tr>
      <w:tr>
        <w:trPr/>
        <w:tc>
          <w:tcPr>
            <w:tcW w:w="675" w:type="dxa"/>
            <w:vAlign w:val="top"/>
            <w:textDirection w:val="lrTb"/>
            <w:noWrap w:val="false"/>
          </w:tcPr>
          <w:p>
            <w:pPr>
              <w:pStyle w:val="1559"/>
              <w:spacing w:line="440" w:lineRule="exact"/>
              <w:rPr>
                <w:szCs w:val="21"/>
              </w:rPr>
            </w:pPr>
            <w:r>
              <w:rPr>
                <w:szCs w:val="21"/>
              </w:rPr>
            </w:r>
            <w:r/>
          </w:p>
        </w:tc>
        <w:tc>
          <w:tcPr>
            <w:tcW w:w="1134"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776" w:type="dxa"/>
            <w:vAlign w:val="top"/>
            <w:textDirection w:val="lrTb"/>
            <w:noWrap w:val="false"/>
          </w:tcPr>
          <w:p>
            <w:pPr>
              <w:pStyle w:val="1559"/>
              <w:spacing w:line="440" w:lineRule="exact"/>
              <w:rPr>
                <w:szCs w:val="21"/>
              </w:rPr>
            </w:pPr>
            <w:r>
              <w:rPr>
                <w:szCs w:val="21"/>
              </w:rPr>
            </w:r>
            <w:r/>
          </w:p>
        </w:tc>
        <w:tc>
          <w:tcPr>
            <w:tcW w:w="2143" w:type="dxa"/>
            <w:vAlign w:val="top"/>
            <w:textDirection w:val="lrTb"/>
            <w:noWrap w:val="false"/>
          </w:tcPr>
          <w:p>
            <w:pPr>
              <w:pStyle w:val="1559"/>
              <w:spacing w:line="440" w:lineRule="exact"/>
              <w:rPr>
                <w:szCs w:val="21"/>
              </w:rPr>
            </w:pPr>
            <w:r>
              <w:rPr>
                <w:szCs w:val="21"/>
              </w:rPr>
            </w:r>
            <w:r/>
          </w:p>
        </w:tc>
      </w:tr>
      <w:tr>
        <w:trPr/>
        <w:tc>
          <w:tcPr>
            <w:tcW w:w="675" w:type="dxa"/>
            <w:vAlign w:val="top"/>
            <w:textDirection w:val="lrTb"/>
            <w:noWrap w:val="false"/>
          </w:tcPr>
          <w:p>
            <w:pPr>
              <w:pStyle w:val="1559"/>
              <w:spacing w:line="440" w:lineRule="exact"/>
              <w:rPr>
                <w:szCs w:val="21"/>
              </w:rPr>
            </w:pPr>
            <w:r>
              <w:rPr>
                <w:szCs w:val="21"/>
              </w:rPr>
            </w:r>
            <w:r/>
          </w:p>
        </w:tc>
        <w:tc>
          <w:tcPr>
            <w:tcW w:w="1134"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776" w:type="dxa"/>
            <w:vAlign w:val="top"/>
            <w:textDirection w:val="lrTb"/>
            <w:noWrap w:val="false"/>
          </w:tcPr>
          <w:p>
            <w:pPr>
              <w:pStyle w:val="1559"/>
              <w:spacing w:line="440" w:lineRule="exact"/>
              <w:rPr>
                <w:szCs w:val="21"/>
              </w:rPr>
            </w:pPr>
            <w:r>
              <w:rPr>
                <w:szCs w:val="21"/>
              </w:rPr>
            </w:r>
            <w:r/>
          </w:p>
        </w:tc>
        <w:tc>
          <w:tcPr>
            <w:tcW w:w="2143" w:type="dxa"/>
            <w:vAlign w:val="top"/>
            <w:textDirection w:val="lrTb"/>
            <w:noWrap w:val="false"/>
          </w:tcPr>
          <w:p>
            <w:pPr>
              <w:pStyle w:val="1559"/>
              <w:spacing w:line="440" w:lineRule="exact"/>
              <w:rPr>
                <w:szCs w:val="21"/>
              </w:rPr>
            </w:pPr>
            <w:r>
              <w:rPr>
                <w:szCs w:val="21"/>
              </w:rPr>
            </w:r>
            <w:r/>
          </w:p>
        </w:tc>
      </w:tr>
      <w:tr>
        <w:trPr/>
        <w:tc>
          <w:tcPr>
            <w:tcW w:w="675" w:type="dxa"/>
            <w:vAlign w:val="top"/>
            <w:textDirection w:val="lrTb"/>
            <w:noWrap w:val="false"/>
          </w:tcPr>
          <w:p>
            <w:pPr>
              <w:pStyle w:val="1559"/>
              <w:spacing w:line="440" w:lineRule="exact"/>
              <w:rPr>
                <w:szCs w:val="21"/>
              </w:rPr>
            </w:pPr>
            <w:r>
              <w:rPr>
                <w:szCs w:val="21"/>
              </w:rPr>
            </w:r>
            <w:r/>
          </w:p>
        </w:tc>
        <w:tc>
          <w:tcPr>
            <w:tcW w:w="1134"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776" w:type="dxa"/>
            <w:vAlign w:val="top"/>
            <w:textDirection w:val="lrTb"/>
            <w:noWrap w:val="false"/>
          </w:tcPr>
          <w:p>
            <w:pPr>
              <w:pStyle w:val="1559"/>
              <w:spacing w:line="440" w:lineRule="exact"/>
              <w:rPr>
                <w:szCs w:val="21"/>
              </w:rPr>
            </w:pPr>
            <w:r>
              <w:rPr>
                <w:szCs w:val="21"/>
              </w:rPr>
            </w:r>
            <w:r/>
          </w:p>
        </w:tc>
        <w:tc>
          <w:tcPr>
            <w:tcW w:w="2143" w:type="dxa"/>
            <w:vAlign w:val="top"/>
            <w:textDirection w:val="lrTb"/>
            <w:noWrap w:val="false"/>
          </w:tcPr>
          <w:p>
            <w:pPr>
              <w:pStyle w:val="1559"/>
              <w:spacing w:line="440" w:lineRule="exact"/>
              <w:rPr>
                <w:szCs w:val="21"/>
              </w:rPr>
            </w:pPr>
            <w:r>
              <w:rPr>
                <w:szCs w:val="21"/>
              </w:rPr>
            </w:r>
            <w:r/>
          </w:p>
        </w:tc>
      </w:tr>
      <w:tr>
        <w:trPr/>
        <w:tc>
          <w:tcPr>
            <w:tcW w:w="675" w:type="dxa"/>
            <w:vAlign w:val="top"/>
            <w:textDirection w:val="lrTb"/>
            <w:noWrap w:val="false"/>
          </w:tcPr>
          <w:p>
            <w:pPr>
              <w:pStyle w:val="1559"/>
              <w:spacing w:line="440" w:lineRule="exact"/>
              <w:rPr>
                <w:szCs w:val="21"/>
              </w:rPr>
            </w:pPr>
            <w:r>
              <w:rPr>
                <w:szCs w:val="21"/>
              </w:rPr>
            </w:r>
            <w:r/>
          </w:p>
        </w:tc>
        <w:tc>
          <w:tcPr>
            <w:tcW w:w="1134"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776" w:type="dxa"/>
            <w:vAlign w:val="top"/>
            <w:textDirection w:val="lrTb"/>
            <w:noWrap w:val="false"/>
          </w:tcPr>
          <w:p>
            <w:pPr>
              <w:pStyle w:val="1559"/>
              <w:spacing w:line="440" w:lineRule="exact"/>
              <w:rPr>
                <w:szCs w:val="21"/>
              </w:rPr>
            </w:pPr>
            <w:r>
              <w:rPr>
                <w:szCs w:val="21"/>
              </w:rPr>
            </w:r>
            <w:r/>
          </w:p>
        </w:tc>
        <w:tc>
          <w:tcPr>
            <w:tcW w:w="2143" w:type="dxa"/>
            <w:vAlign w:val="top"/>
            <w:textDirection w:val="lrTb"/>
            <w:noWrap w:val="false"/>
          </w:tcPr>
          <w:p>
            <w:pPr>
              <w:pStyle w:val="1559"/>
              <w:spacing w:line="440" w:lineRule="exact"/>
              <w:rPr>
                <w:szCs w:val="21"/>
              </w:rPr>
            </w:pPr>
            <w:r>
              <w:rPr>
                <w:szCs w:val="21"/>
              </w:rPr>
            </w:r>
            <w:r/>
          </w:p>
        </w:tc>
      </w:tr>
      <w:tr>
        <w:trPr/>
        <w:tc>
          <w:tcPr>
            <w:tcW w:w="675" w:type="dxa"/>
            <w:vAlign w:val="top"/>
            <w:textDirection w:val="lrTb"/>
            <w:noWrap w:val="false"/>
          </w:tcPr>
          <w:p>
            <w:pPr>
              <w:pStyle w:val="1559"/>
              <w:spacing w:line="440" w:lineRule="exact"/>
              <w:rPr>
                <w:szCs w:val="21"/>
              </w:rPr>
            </w:pPr>
            <w:r>
              <w:rPr>
                <w:szCs w:val="21"/>
              </w:rPr>
            </w:r>
            <w:r/>
          </w:p>
        </w:tc>
        <w:tc>
          <w:tcPr>
            <w:tcW w:w="1134"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776" w:type="dxa"/>
            <w:vAlign w:val="top"/>
            <w:textDirection w:val="lrTb"/>
            <w:noWrap w:val="false"/>
          </w:tcPr>
          <w:p>
            <w:pPr>
              <w:pStyle w:val="1559"/>
              <w:spacing w:line="440" w:lineRule="exact"/>
              <w:rPr>
                <w:szCs w:val="21"/>
              </w:rPr>
            </w:pPr>
            <w:r>
              <w:rPr>
                <w:szCs w:val="21"/>
              </w:rPr>
            </w:r>
            <w:r/>
          </w:p>
        </w:tc>
        <w:tc>
          <w:tcPr>
            <w:tcW w:w="2143" w:type="dxa"/>
            <w:vAlign w:val="top"/>
            <w:textDirection w:val="lrTb"/>
            <w:noWrap w:val="false"/>
          </w:tcPr>
          <w:p>
            <w:pPr>
              <w:pStyle w:val="1559"/>
              <w:spacing w:line="440" w:lineRule="exact"/>
              <w:rPr>
                <w:szCs w:val="21"/>
              </w:rPr>
            </w:pPr>
            <w:r>
              <w:rPr>
                <w:szCs w:val="21"/>
              </w:rPr>
            </w:r>
            <w:r/>
          </w:p>
        </w:tc>
      </w:tr>
      <w:tr>
        <w:trPr/>
        <w:tc>
          <w:tcPr>
            <w:tcW w:w="675" w:type="dxa"/>
            <w:vAlign w:val="top"/>
            <w:textDirection w:val="lrTb"/>
            <w:noWrap w:val="false"/>
          </w:tcPr>
          <w:p>
            <w:pPr>
              <w:pStyle w:val="1559"/>
              <w:spacing w:line="440" w:lineRule="exact"/>
              <w:rPr>
                <w:szCs w:val="21"/>
              </w:rPr>
            </w:pPr>
            <w:r>
              <w:rPr>
                <w:szCs w:val="21"/>
              </w:rPr>
            </w:r>
            <w:r/>
          </w:p>
        </w:tc>
        <w:tc>
          <w:tcPr>
            <w:tcW w:w="1134"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776" w:type="dxa"/>
            <w:vAlign w:val="top"/>
            <w:textDirection w:val="lrTb"/>
            <w:noWrap w:val="false"/>
          </w:tcPr>
          <w:p>
            <w:pPr>
              <w:pStyle w:val="1559"/>
              <w:spacing w:line="440" w:lineRule="exact"/>
              <w:rPr>
                <w:szCs w:val="21"/>
              </w:rPr>
            </w:pPr>
            <w:r>
              <w:rPr>
                <w:szCs w:val="21"/>
              </w:rPr>
            </w:r>
            <w:r/>
          </w:p>
        </w:tc>
        <w:tc>
          <w:tcPr>
            <w:tcW w:w="2143" w:type="dxa"/>
            <w:vAlign w:val="top"/>
            <w:textDirection w:val="lrTb"/>
            <w:noWrap w:val="false"/>
          </w:tcPr>
          <w:p>
            <w:pPr>
              <w:pStyle w:val="1559"/>
              <w:spacing w:line="440" w:lineRule="exact"/>
              <w:rPr>
                <w:szCs w:val="21"/>
              </w:rPr>
            </w:pPr>
            <w:r>
              <w:rPr>
                <w:szCs w:val="21"/>
              </w:rPr>
            </w:r>
            <w:r/>
          </w:p>
        </w:tc>
      </w:tr>
      <w:tr>
        <w:trPr/>
        <w:tc>
          <w:tcPr>
            <w:tcW w:w="675" w:type="dxa"/>
            <w:vAlign w:val="top"/>
            <w:textDirection w:val="lrTb"/>
            <w:noWrap w:val="false"/>
          </w:tcPr>
          <w:p>
            <w:pPr>
              <w:pStyle w:val="1559"/>
              <w:spacing w:line="440" w:lineRule="exact"/>
              <w:rPr>
                <w:szCs w:val="21"/>
              </w:rPr>
            </w:pPr>
            <w:r>
              <w:rPr>
                <w:szCs w:val="21"/>
              </w:rPr>
            </w:r>
            <w:r/>
          </w:p>
        </w:tc>
        <w:tc>
          <w:tcPr>
            <w:tcW w:w="1134"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776" w:type="dxa"/>
            <w:vAlign w:val="top"/>
            <w:textDirection w:val="lrTb"/>
            <w:noWrap w:val="false"/>
          </w:tcPr>
          <w:p>
            <w:pPr>
              <w:pStyle w:val="1559"/>
              <w:spacing w:line="440" w:lineRule="exact"/>
              <w:rPr>
                <w:szCs w:val="21"/>
              </w:rPr>
            </w:pPr>
            <w:r>
              <w:rPr>
                <w:szCs w:val="21"/>
              </w:rPr>
            </w:r>
            <w:r/>
          </w:p>
        </w:tc>
        <w:tc>
          <w:tcPr>
            <w:tcW w:w="2143" w:type="dxa"/>
            <w:vAlign w:val="top"/>
            <w:textDirection w:val="lrTb"/>
            <w:noWrap w:val="false"/>
          </w:tcPr>
          <w:p>
            <w:pPr>
              <w:pStyle w:val="1559"/>
              <w:spacing w:line="440" w:lineRule="exact"/>
              <w:rPr>
                <w:szCs w:val="21"/>
              </w:rPr>
            </w:pPr>
            <w:r>
              <w:rPr>
                <w:szCs w:val="21"/>
              </w:rPr>
            </w:r>
            <w:r/>
          </w:p>
        </w:tc>
      </w:tr>
      <w:tr>
        <w:trPr/>
        <w:tc>
          <w:tcPr>
            <w:tcW w:w="675" w:type="dxa"/>
            <w:vAlign w:val="top"/>
            <w:textDirection w:val="lrTb"/>
            <w:noWrap w:val="false"/>
          </w:tcPr>
          <w:p>
            <w:pPr>
              <w:pStyle w:val="1559"/>
              <w:spacing w:line="440" w:lineRule="exact"/>
              <w:rPr>
                <w:szCs w:val="21"/>
              </w:rPr>
            </w:pPr>
            <w:r>
              <w:rPr>
                <w:szCs w:val="21"/>
              </w:rPr>
            </w:r>
            <w:r/>
          </w:p>
        </w:tc>
        <w:tc>
          <w:tcPr>
            <w:tcW w:w="1134"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776" w:type="dxa"/>
            <w:vAlign w:val="top"/>
            <w:textDirection w:val="lrTb"/>
            <w:noWrap w:val="false"/>
          </w:tcPr>
          <w:p>
            <w:pPr>
              <w:pStyle w:val="1559"/>
              <w:spacing w:line="440" w:lineRule="exact"/>
              <w:rPr>
                <w:szCs w:val="21"/>
              </w:rPr>
            </w:pPr>
            <w:r>
              <w:rPr>
                <w:szCs w:val="21"/>
              </w:rPr>
            </w:r>
            <w:r/>
          </w:p>
        </w:tc>
        <w:tc>
          <w:tcPr>
            <w:tcW w:w="2143" w:type="dxa"/>
            <w:vAlign w:val="top"/>
            <w:textDirection w:val="lrTb"/>
            <w:noWrap w:val="false"/>
          </w:tcPr>
          <w:p>
            <w:pPr>
              <w:pStyle w:val="1559"/>
              <w:spacing w:line="440" w:lineRule="exact"/>
              <w:rPr>
                <w:szCs w:val="21"/>
              </w:rPr>
            </w:pPr>
            <w:r>
              <w:rPr>
                <w:szCs w:val="21"/>
              </w:rPr>
            </w:r>
            <w:r/>
          </w:p>
        </w:tc>
      </w:tr>
      <w:tr>
        <w:trPr/>
        <w:tc>
          <w:tcPr>
            <w:tcW w:w="675" w:type="dxa"/>
            <w:vAlign w:val="top"/>
            <w:textDirection w:val="lrTb"/>
            <w:noWrap w:val="false"/>
          </w:tcPr>
          <w:p>
            <w:pPr>
              <w:pStyle w:val="1559"/>
              <w:spacing w:line="440" w:lineRule="exact"/>
              <w:rPr>
                <w:szCs w:val="21"/>
              </w:rPr>
            </w:pPr>
            <w:r>
              <w:rPr>
                <w:szCs w:val="21"/>
              </w:rPr>
            </w:r>
            <w:r/>
          </w:p>
        </w:tc>
        <w:tc>
          <w:tcPr>
            <w:tcW w:w="1134"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843" w:type="dxa"/>
            <w:vAlign w:val="top"/>
            <w:textDirection w:val="lrTb"/>
            <w:noWrap w:val="false"/>
          </w:tcPr>
          <w:p>
            <w:pPr>
              <w:pStyle w:val="1559"/>
              <w:spacing w:line="440" w:lineRule="exact"/>
              <w:rPr>
                <w:szCs w:val="21"/>
              </w:rPr>
            </w:pPr>
            <w:r>
              <w:rPr>
                <w:szCs w:val="21"/>
              </w:rPr>
            </w:r>
            <w:r/>
          </w:p>
        </w:tc>
        <w:tc>
          <w:tcPr>
            <w:tcW w:w="1776" w:type="dxa"/>
            <w:vAlign w:val="top"/>
            <w:textDirection w:val="lrTb"/>
            <w:noWrap w:val="false"/>
          </w:tcPr>
          <w:p>
            <w:pPr>
              <w:pStyle w:val="1559"/>
              <w:spacing w:line="440" w:lineRule="exact"/>
              <w:rPr>
                <w:szCs w:val="21"/>
              </w:rPr>
            </w:pPr>
            <w:r>
              <w:rPr>
                <w:szCs w:val="21"/>
              </w:rPr>
            </w:r>
            <w:r/>
          </w:p>
        </w:tc>
        <w:tc>
          <w:tcPr>
            <w:tcW w:w="2143" w:type="dxa"/>
            <w:vAlign w:val="top"/>
            <w:textDirection w:val="lrTb"/>
            <w:noWrap w:val="false"/>
          </w:tcPr>
          <w:p>
            <w:pPr>
              <w:pStyle w:val="1559"/>
              <w:spacing w:line="440" w:lineRule="exact"/>
              <w:rPr>
                <w:szCs w:val="21"/>
              </w:rPr>
            </w:pPr>
            <w:r>
              <w:rPr>
                <w:szCs w:val="21"/>
              </w:rPr>
            </w:r>
            <w:r/>
          </w:p>
        </w:tc>
      </w:tr>
    </w:tbl>
    <w:p>
      <w:pPr>
        <w:pStyle w:val="1559"/>
        <w:spacing w:line="440" w:lineRule="exact"/>
        <w:rPr>
          <w:szCs w:val="21"/>
        </w:rPr>
      </w:pPr>
      <w:r>
        <w:rPr>
          <w:szCs w:val="21"/>
        </w:rPr>
        <w:t xml:space="preserve">投标人名称（公章）：</w:t>
      </w:r>
      <w:r>
        <w:rPr>
          <w:szCs w:val="21"/>
        </w:rPr>
      </w:r>
      <w:r/>
    </w:p>
    <w:p>
      <w:pPr>
        <w:pStyle w:val="1559"/>
        <w:spacing w:line="440" w:lineRule="exact"/>
        <w:rPr>
          <w:szCs w:val="21"/>
        </w:rPr>
      </w:pPr>
      <w:r>
        <w:rPr>
          <w:szCs w:val="21"/>
        </w:rPr>
        <w:t xml:space="preserve">授权代表（签字）：</w:t>
      </w:r>
      <w:r>
        <w:rPr>
          <w:szCs w:val="21"/>
        </w:rPr>
      </w:r>
      <w:r/>
    </w:p>
    <w:p>
      <w:pPr>
        <w:pStyle w:val="1559"/>
        <w:spacing w:line="440" w:lineRule="exact"/>
        <w:rPr>
          <w:szCs w:val="21"/>
        </w:rPr>
      </w:pPr>
      <w:r>
        <w:rPr>
          <w:szCs w:val="21"/>
        </w:rPr>
        <w:t xml:space="preserve">日期：</w:t>
      </w:r>
      <w:r>
        <w:rPr>
          <w:szCs w:val="21"/>
        </w:rPr>
      </w:r>
      <w:r/>
    </w:p>
    <w:p>
      <w:pPr>
        <w:pStyle w:val="1559"/>
        <w:spacing w:line="440" w:lineRule="exact"/>
        <w:rPr>
          <w:color w:val="000000"/>
          <w:szCs w:val="21"/>
        </w:rPr>
      </w:pPr>
      <w:r>
        <w:rPr>
          <w:color w:val="000000"/>
          <w:szCs w:val="21"/>
        </w:rPr>
      </w:r>
      <w:r/>
    </w:p>
    <w:p>
      <w:pPr>
        <w:pStyle w:val="1559"/>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559"/>
        <w:ind w:firstLine="420"/>
        <w:spacing w:line="440" w:lineRule="exact"/>
        <w:rPr>
          <w:b/>
          <w:bCs/>
          <w:szCs w:val="21"/>
        </w:rPr>
      </w:pPr>
      <w:r>
        <w:rPr>
          <w:color w:val="000000"/>
          <w:szCs w:val="21"/>
        </w:rPr>
        <w:t xml:space="preserve">2、投标文件“</w:t>
      </w:r>
      <w:r>
        <w:rPr>
          <w:szCs w:val="21"/>
        </w:rPr>
        <w:t xml:space="preserve">响应具体情况"</w:t>
      </w:r>
      <w:r>
        <w:rPr>
          <w:rFonts w:hint="eastAsia"/>
          <w:szCs w:val="21"/>
          <w:lang w:eastAsia="zh-CN"/>
        </w:rPr>
        <w:t xml:space="preserve">，</w:t>
      </w:r>
      <w:r>
        <w:rPr>
          <w:szCs w:val="21"/>
        </w:rPr>
        <w:t xml:space="preserve">指所投</w:t>
      </w:r>
      <w:r>
        <w:rPr>
          <w:color w:val="000000"/>
          <w:szCs w:val="21"/>
        </w:rPr>
        <w:t xml:space="preserve">产品和服务</w:t>
      </w:r>
      <w:r>
        <w:rPr>
          <w:szCs w:val="21"/>
        </w:rPr>
        <w:t xml:space="preserve">的技术应答情况。“说明”栏请注明“响应/正偏离/负偏离”，并且标注针对</w:t>
      </w: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技术规格响应的证明文件在投标文件中的页码及具体位置。</w:t>
      </w:r>
      <w:r>
        <w:rPr>
          <w:b/>
          <w:bCs/>
          <w:szCs w:val="21"/>
        </w:rPr>
      </w:r>
      <w:r/>
    </w:p>
    <w:p>
      <w:pPr>
        <w:pStyle w:val="1559"/>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559"/>
        <w:ind w:firstLine="420"/>
        <w:spacing w:line="440" w:lineRule="exact"/>
        <w:rPr>
          <w:szCs w:val="21"/>
        </w:rPr>
      </w:pPr>
      <w:r>
        <w:rPr>
          <w:szCs w:val="21"/>
        </w:rPr>
        <w:t xml:space="preserve">4、如果行数不够，请自行增加。</w:t>
      </w:r>
      <w:r>
        <w:rPr>
          <w:szCs w:val="21"/>
        </w:rPr>
      </w:r>
      <w:r/>
    </w:p>
    <w:p>
      <w:pPr>
        <w:pStyle w:val="1559"/>
        <w:ind w:firstLine="482"/>
        <w:spacing w:line="360" w:lineRule="auto"/>
        <w:tabs>
          <w:tab w:val="left" w:pos="960" w:leader="none"/>
        </w:tabs>
        <w:rPr>
          <w:color w:val="ff0000"/>
          <w:szCs w:val="21"/>
        </w:rPr>
      </w:pPr>
      <w:r>
        <w:rPr>
          <w:color w:val="ff0000"/>
          <w:szCs w:val="21"/>
        </w:rPr>
      </w:r>
      <w:r/>
    </w:p>
    <w:p>
      <w:pPr>
        <w:pStyle w:val="1559"/>
        <w:spacing w:after="156" w:line="440" w:lineRule="exact"/>
        <w:rPr>
          <w:b/>
          <w:bCs/>
          <w:sz w:val="24"/>
          <w:szCs w:val="22"/>
        </w:rPr>
        <w:outlineLvl w:val="1"/>
      </w:pPr>
      <w:r/>
      <w:bookmarkStart w:id="319" w:name="_Toc20842"/>
      <w:r>
        <w:rPr>
          <w:b/>
          <w:bCs/>
          <w:sz w:val="24"/>
          <w:szCs w:val="22"/>
        </w:rPr>
        <w:br w:type="page" w:clear="all"/>
      </w:r>
      <w:bookmarkStart w:id="320" w:name="_Toc18731"/>
      <w:r/>
      <w:bookmarkStart w:id="321" w:name="_Toc21048"/>
      <w:r>
        <w:rPr>
          <w:b/>
          <w:bCs/>
          <w:sz w:val="24"/>
          <w:szCs w:val="22"/>
        </w:rPr>
        <w:t xml:space="preserve">附件六 政府采购政策</w:t>
      </w:r>
      <w:bookmarkEnd w:id="319"/>
      <w:r/>
      <w:bookmarkEnd w:id="320"/>
      <w:r/>
      <w:bookmarkEnd w:id="321"/>
      <w:r>
        <w:rPr>
          <w:b/>
          <w:bCs/>
          <w:sz w:val="24"/>
          <w:szCs w:val="22"/>
        </w:rPr>
      </w:r>
      <w:r/>
    </w:p>
    <w:p>
      <w:pPr>
        <w:pStyle w:val="1559"/>
        <w:numPr>
          <w:ilvl w:val="0"/>
          <w:numId w:val="3"/>
        </w:numPr>
        <w:jc w:val="center"/>
        <w:widowControl/>
        <w:rPr>
          <w:rFonts w:ascii="Arial" w:hAnsi="Arial" w:cs="Arial"/>
          <w:b/>
          <w:bCs/>
          <w:szCs w:val="21"/>
        </w:rPr>
        <w:outlineLvl w:val="2"/>
      </w:pPr>
      <w:r/>
      <w:bookmarkStart w:id="322" w:name="_Toc32276"/>
      <w:r/>
      <w:bookmarkStart w:id="323" w:name="_Toc21802"/>
      <w:r/>
      <w:bookmarkStart w:id="324" w:name="_Toc17125"/>
      <w:r/>
      <w:bookmarkStart w:id="325" w:name="_Toc14499"/>
      <w:r/>
      <w:bookmarkStart w:id="326" w:name="_Toc24699"/>
      <w:r/>
      <w:bookmarkStart w:id="327" w:name="_Toc15638"/>
      <w:r/>
      <w:bookmarkStart w:id="328" w:name="_Toc15908"/>
      <w:r/>
      <w:bookmarkStart w:id="329" w:name="_Toc13248"/>
      <w:r/>
      <w:bookmarkStart w:id="330" w:name="_Toc16035"/>
      <w:r>
        <w:rPr>
          <w:rFonts w:ascii="Arial" w:hAnsi="Arial" w:cs="Arial"/>
          <w:b/>
          <w:bCs/>
          <w:szCs w:val="21"/>
        </w:rPr>
        <w:t xml:space="preserve">《中小企业声明函》</w:t>
      </w:r>
      <w:bookmarkEnd w:id="322"/>
      <w:r/>
      <w:bookmarkEnd w:id="323"/>
      <w:r/>
      <w:bookmarkEnd w:id="324"/>
      <w:r/>
      <w:bookmarkEnd w:id="325"/>
      <w:r/>
      <w:bookmarkEnd w:id="326"/>
      <w:r/>
      <w:bookmarkEnd w:id="327"/>
      <w:r/>
      <w:bookmarkEnd w:id="328"/>
      <w:r/>
      <w:bookmarkEnd w:id="329"/>
      <w:r/>
      <w:bookmarkEnd w:id="330"/>
      <w:r>
        <w:rPr>
          <w:rFonts w:ascii="Arial" w:hAnsi="Arial" w:cs="Arial"/>
          <w:b/>
          <w:bCs/>
          <w:szCs w:val="21"/>
        </w:rPr>
      </w:r>
      <w:r/>
    </w:p>
    <w:p>
      <w:pPr>
        <w:pStyle w:val="1559"/>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559"/>
        <w:ind w:left="425"/>
        <w:jc w:val="center"/>
        <w:spacing w:line="360" w:lineRule="auto"/>
        <w:widowControl/>
        <w:rPr>
          <w:b/>
          <w:bCs/>
          <w:sz w:val="24"/>
          <w:szCs w:val="24"/>
        </w:rPr>
      </w:pPr>
      <w:r>
        <w:rPr>
          <w:b/>
          <w:bCs/>
          <w:sz w:val="24"/>
          <w:szCs w:val="24"/>
        </w:rPr>
      </w:r>
      <w:r/>
    </w:p>
    <w:p>
      <w:pPr>
        <w:pStyle w:val="1559"/>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559"/>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559"/>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sz w:val="22"/>
          <w:szCs w:val="22"/>
          <w:u w:val="single"/>
        </w:rPr>
        <w:t xml:space="preserve">（□</w:t>
      </w:r>
      <w:r>
        <w:rPr>
          <w:szCs w:val="21"/>
          <w:u w:val="single"/>
        </w:rPr>
        <w:t xml:space="preserve">中型企业</w:t>
      </w:r>
      <w:r>
        <w:rPr>
          <w:sz w:val="22"/>
          <w:szCs w:val="22"/>
          <w:u w:val="single"/>
        </w:rPr>
        <w:t xml:space="preserve"> □</w:t>
      </w:r>
      <w:r>
        <w:rPr>
          <w:szCs w:val="21"/>
          <w:u w:val="single"/>
        </w:rPr>
        <w:t xml:space="preserve">小型企业</w:t>
      </w:r>
      <w:r>
        <w:rPr>
          <w:sz w:val="22"/>
          <w:szCs w:val="22"/>
          <w:u w:val="single"/>
        </w:rPr>
        <w:t xml:space="preserve"> □</w:t>
      </w:r>
      <w:r>
        <w:rPr>
          <w:szCs w:val="21"/>
          <w:u w:val="single"/>
        </w:rPr>
        <w:t xml:space="preserve">微型企业</w:t>
      </w:r>
      <w:r>
        <w:rPr>
          <w:sz w:val="22"/>
          <w:szCs w:val="22"/>
          <w:u w:val="single"/>
        </w:rPr>
        <w:t xml:space="preserve">）</w:t>
      </w:r>
      <w:r>
        <w:rPr>
          <w:spacing w:val="-4"/>
          <w:szCs w:val="21"/>
        </w:rPr>
        <w:t xml:space="preserve">；</w:t>
      </w:r>
      <w:r>
        <w:rPr>
          <w:spacing w:val="-4"/>
          <w:szCs w:val="21"/>
        </w:rPr>
      </w:r>
      <w:r/>
    </w:p>
    <w:p>
      <w:pPr>
        <w:pStyle w:val="1559"/>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sz w:val="22"/>
          <w:szCs w:val="22"/>
          <w:u w:val="single"/>
        </w:rPr>
        <w:t xml:space="preserve">（□</w:t>
      </w:r>
      <w:r>
        <w:rPr>
          <w:szCs w:val="21"/>
          <w:u w:val="single"/>
        </w:rPr>
        <w:t xml:space="preserve">中型企业</w:t>
      </w:r>
      <w:r>
        <w:rPr>
          <w:sz w:val="22"/>
          <w:szCs w:val="22"/>
          <w:u w:val="single"/>
        </w:rPr>
        <w:t xml:space="preserve"> □</w:t>
      </w:r>
      <w:r>
        <w:rPr>
          <w:szCs w:val="21"/>
          <w:u w:val="single"/>
        </w:rPr>
        <w:t xml:space="preserve">小型企业</w:t>
      </w:r>
      <w:r>
        <w:rPr>
          <w:sz w:val="22"/>
          <w:szCs w:val="22"/>
          <w:u w:val="single"/>
        </w:rPr>
        <w:t xml:space="preserve"> □</w:t>
      </w:r>
      <w:r>
        <w:rPr>
          <w:szCs w:val="21"/>
          <w:u w:val="single"/>
        </w:rPr>
        <w:t xml:space="preserve">微型企业</w:t>
      </w:r>
      <w:r>
        <w:rPr>
          <w:sz w:val="22"/>
          <w:szCs w:val="22"/>
          <w:u w:val="single"/>
        </w:rPr>
        <w:t xml:space="preserve">）</w:t>
      </w:r>
      <w:r>
        <w:rPr>
          <w:spacing w:val="-4"/>
          <w:szCs w:val="21"/>
        </w:rPr>
        <w:t xml:space="preserve">；</w:t>
      </w:r>
      <w:r>
        <w:rPr>
          <w:spacing w:val="-4"/>
          <w:szCs w:val="21"/>
        </w:rPr>
      </w:r>
      <w:r/>
    </w:p>
    <w:p>
      <w:pPr>
        <w:pStyle w:val="1559"/>
        <w:ind w:firstLine="688"/>
        <w:spacing w:before="132" w:line="360" w:lineRule="auto"/>
        <w:rPr>
          <w:szCs w:val="21"/>
        </w:rPr>
      </w:pPr>
      <w:r>
        <w:rPr>
          <w:spacing w:val="-18"/>
          <w:position w:val="-7"/>
          <w:szCs w:val="21"/>
        </w:rPr>
        <w:t xml:space="preserve">……</w:t>
      </w:r>
      <w:r>
        <w:rPr>
          <w:szCs w:val="21"/>
        </w:rPr>
      </w:r>
      <w:r/>
    </w:p>
    <w:p>
      <w:pPr>
        <w:pStyle w:val="1559"/>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559"/>
        <w:ind w:firstLine="594"/>
        <w:spacing w:line="360" w:lineRule="auto"/>
        <w:rPr>
          <w:spacing w:val="-6"/>
          <w:szCs w:val="21"/>
        </w:rPr>
      </w:pPr>
      <w:r>
        <w:rPr>
          <w:spacing w:val="-6"/>
          <w:szCs w:val="21"/>
        </w:rPr>
      </w:r>
      <w:r/>
    </w:p>
    <w:p>
      <w:pPr>
        <w:pStyle w:val="1559"/>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559"/>
        <w:ind w:right="1560" w:firstLine="444"/>
        <w:jc w:val="center"/>
        <w:spacing w:line="360" w:lineRule="auto"/>
        <w:tabs>
          <w:tab w:val="left" w:pos="4860" w:leader="none"/>
        </w:tabs>
        <w:rPr>
          <w:spacing w:val="6"/>
          <w:szCs w:val="21"/>
        </w:rPr>
      </w:pPr>
      <w:r>
        <w:rPr>
          <w:spacing w:val="6"/>
          <w:szCs w:val="21"/>
        </w:rPr>
      </w:r>
      <w:r/>
    </w:p>
    <w:p>
      <w:pPr>
        <w:pStyle w:val="1559"/>
        <w:ind w:right="1560" w:firstLine="444"/>
        <w:jc w:val="center"/>
        <w:spacing w:line="360" w:lineRule="auto"/>
        <w:tabs>
          <w:tab w:val="left" w:pos="4860" w:leader="none"/>
        </w:tabs>
        <w:rPr>
          <w:spacing w:val="6"/>
          <w:szCs w:val="21"/>
        </w:rPr>
      </w:pPr>
      <w:r>
        <w:rPr>
          <w:spacing w:val="6"/>
          <w:szCs w:val="21"/>
        </w:rPr>
      </w:r>
      <w:r/>
    </w:p>
    <w:p>
      <w:pPr>
        <w:pStyle w:val="1559"/>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559"/>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559"/>
        <w:ind w:right="-20"/>
        <w:spacing w:line="360" w:lineRule="auto"/>
        <w:rPr>
          <w:rFonts w:hint="eastAsia" w:ascii="宋体" w:hAnsi="宋体" w:cs="宋体"/>
          <w:position w:val="-2"/>
          <w:sz w:val="22"/>
          <w:vertAlign w:val="superscript"/>
        </w:rPr>
      </w:pPr>
      <w:r>
        <w:rPr>
          <w:rFonts w:hint="eastAsia" w:ascii="宋体" w:hAnsi="宋体" w:cs="宋体"/>
          <w:position w:val="-2"/>
          <w:sz w:val="22"/>
          <w:vertAlign w:val="superscript"/>
        </w:rPr>
      </w:r>
      <w:r/>
    </w:p>
    <w:p>
      <w:pPr>
        <w:pStyle w:val="1559"/>
        <w:ind w:right="-20"/>
        <w:spacing w:line="360" w:lineRule="auto"/>
        <w:rPr>
          <w:rFonts w:hint="eastAsia" w:ascii="宋体" w:hAnsi="宋体" w:cs="宋体"/>
          <w:position w:val="-2"/>
          <w:sz w:val="22"/>
        </w:rPr>
      </w:pPr>
      <w:r>
        <w:rPr>
          <w:rFonts w:hint="eastAsia" w:ascii="宋体" w:hAnsi="宋体" w:cs="宋体"/>
          <w:position w:val="-2"/>
          <w:sz w:val="22"/>
          <w:vertAlign w:val="superscript"/>
        </w:rPr>
        <w:t xml:space="preserve">1</w:t>
      </w:r>
      <w:r>
        <w:rPr>
          <w:rFonts w:hint="eastAsia" w:ascii="宋体" w:hAnsi="宋体" w:cs="宋体"/>
          <w:position w:val="-2"/>
          <w:sz w:val="22"/>
        </w:rPr>
        <w:t xml:space="preserve">从业人员、营业收入、资产总额填报上一年度数据，无上一年度数据的新成立企业可不填报。</w:t>
      </w:r>
      <w:r>
        <w:rPr>
          <w:rFonts w:hint="eastAsia" w:ascii="宋体" w:hAnsi="宋体" w:cs="宋体"/>
          <w:position w:val="-2"/>
          <w:sz w:val="22"/>
        </w:rPr>
      </w:r>
      <w:r/>
    </w:p>
    <w:p>
      <w:pPr>
        <w:pStyle w:val="1559"/>
        <w:spacing w:line="360" w:lineRule="auto"/>
        <w:rPr>
          <w:b/>
          <w:bCs/>
          <w:szCs w:val="21"/>
        </w:rPr>
      </w:pPr>
      <w:r>
        <w:rPr>
          <w:b/>
          <w:bCs/>
          <w:szCs w:val="21"/>
        </w:rPr>
      </w:r>
      <w:r/>
    </w:p>
    <w:p>
      <w:pPr>
        <w:pStyle w:val="1559"/>
        <w:spacing w:line="360" w:lineRule="auto"/>
        <w:rPr>
          <w:b/>
          <w:bCs/>
          <w:szCs w:val="21"/>
        </w:rPr>
      </w:pPr>
      <w:r>
        <w:rPr>
          <w:b/>
          <w:bCs/>
          <w:szCs w:val="21"/>
        </w:rPr>
        <w:t xml:space="preserve">备注：</w:t>
      </w:r>
      <w:r>
        <w:rPr>
          <w:b/>
          <w:bCs/>
          <w:szCs w:val="21"/>
        </w:rPr>
      </w:r>
      <w:r/>
    </w:p>
    <w:p>
      <w:pPr>
        <w:pStyle w:val="1559"/>
        <w:ind w:firstLine="420"/>
        <w:jc w:val="left"/>
        <w:spacing w:line="360" w:lineRule="auto"/>
        <w:tabs>
          <w:tab w:val="left" w:pos="312" w:leader="none"/>
        </w:tabs>
        <w:rPr>
          <w:szCs w:val="21"/>
        </w:rPr>
      </w:pPr>
      <w:r>
        <w:rPr>
          <w:rFonts w:hint="eastAsia"/>
          <w:szCs w:val="21"/>
        </w:rPr>
        <w:t xml:space="preserve">1</w:t>
      </w:r>
      <w:r>
        <w:rPr>
          <w:szCs w:val="21"/>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szCs w:val="21"/>
        </w:rPr>
      </w:r>
      <w:r/>
    </w:p>
    <w:p>
      <w:pPr>
        <w:pStyle w:val="1559"/>
        <w:ind w:firstLine="420"/>
        <w:spacing w:line="360" w:lineRule="auto"/>
        <w:rPr>
          <w:szCs w:val="21"/>
        </w:rPr>
      </w:pPr>
      <w:r>
        <w:rPr>
          <w:rFonts w:hint="eastAsia"/>
          <w:szCs w:val="21"/>
        </w:rPr>
        <w:t xml:space="preserve">2.</w:t>
      </w:r>
      <w:r>
        <w:rPr>
          <w:szCs w:val="21"/>
        </w:rPr>
        <w:t xml:space="preserve">供应商提供的货物全部由符合政策要求的中小企业制造的参加本次政府采购项目需提供此声明函。</w:t>
      </w:r>
      <w:r>
        <w:rPr>
          <w:szCs w:val="21"/>
        </w:rPr>
      </w:r>
      <w:r/>
    </w:p>
    <w:p>
      <w:pPr>
        <w:pStyle w:val="1559"/>
        <w:ind w:firstLine="420"/>
        <w:spacing w:line="360" w:lineRule="auto"/>
        <w:rPr>
          <w:szCs w:val="21"/>
        </w:rPr>
      </w:pPr>
      <w:r>
        <w:rPr>
          <w:rFonts w:hint="eastAsia"/>
          <w:szCs w:val="21"/>
        </w:rPr>
        <w:t xml:space="preserve">3.</w:t>
      </w:r>
      <w:r>
        <w:rPr>
          <w:szCs w:val="21"/>
        </w:rPr>
        <w:t xml:space="preserve">专门面向中小微型企业采购的项目，供应商如不提供此声明函，则不能通过资格审查；非专门面向中小微型企业采购的项目，供应商如未按上述要求提供声明函的，价格将不做相应扣除。</w:t>
      </w:r>
      <w:r>
        <w:rPr>
          <w:szCs w:val="21"/>
        </w:rPr>
      </w:r>
      <w:r/>
    </w:p>
    <w:p>
      <w:pPr>
        <w:pStyle w:val="1559"/>
        <w:ind w:firstLine="420"/>
        <w:jc w:val="left"/>
        <w:spacing w:line="360" w:lineRule="auto"/>
        <w:tabs>
          <w:tab w:val="left" w:pos="312" w:leader="none"/>
        </w:tabs>
        <w:rPr>
          <w:szCs w:val="21"/>
        </w:rPr>
      </w:pPr>
      <w:r>
        <w:rPr>
          <w:rFonts w:hint="eastAsia"/>
          <w:szCs w:val="21"/>
        </w:rPr>
        <w:t xml:space="preserve">4.</w:t>
      </w:r>
      <w:r>
        <w:rPr>
          <w:szCs w:val="21"/>
        </w:rPr>
        <w:t xml:space="preserve">在货物采购项目中，供应商提供的货物既有中小企业制造货物，也有大型企业制造货物的，不享受本办法规定的中小企业扶持政策。</w:t>
      </w:r>
      <w:r>
        <w:rPr>
          <w:szCs w:val="21"/>
        </w:rPr>
      </w:r>
      <w:r/>
    </w:p>
    <w:p>
      <w:pPr>
        <w:pStyle w:val="1559"/>
        <w:ind w:firstLine="420"/>
        <w:jc w:val="left"/>
        <w:spacing w:line="360" w:lineRule="auto"/>
        <w:tabs>
          <w:tab w:val="left" w:pos="312" w:leader="none"/>
        </w:tabs>
        <w:rPr>
          <w:b/>
          <w:bCs/>
          <w:szCs w:val="21"/>
        </w:rPr>
      </w:pPr>
      <w:r>
        <w:rPr>
          <w:rFonts w:hint="eastAsia"/>
          <w:szCs w:val="21"/>
        </w:rPr>
        <w:t xml:space="preserve">5.</w:t>
      </w:r>
      <w:r>
        <w:rPr>
          <w:szCs w:val="21"/>
        </w:rPr>
        <w:t xml:space="preserve">中标、成交供应商享受本办法规定的中小企业扶持政策的，《中小企业声明函》将随中标、成交结果公开，</w:t>
      </w:r>
      <w:r>
        <w:rPr>
          <w:b/>
          <w:bCs/>
          <w:szCs w:val="21"/>
        </w:rPr>
        <w:t xml:space="preserve">中小企业应对其声明内容的真实性负责，声明函内容不实的，属于提供虚假材料谋取中标、成交，将依照《中华人民共和国政府采购法》等国家有关规定追究相应责任</w:t>
      </w:r>
      <w:r>
        <w:rPr>
          <w:szCs w:val="21"/>
        </w:rPr>
        <w:t xml:space="preserve">。</w:t>
      </w:r>
      <w:r>
        <w:rPr>
          <w:b/>
          <w:bCs/>
          <w:szCs w:val="21"/>
        </w:rPr>
      </w:r>
      <w:r/>
    </w:p>
    <w:p>
      <w:pPr>
        <w:pStyle w:val="1559"/>
        <w:jc w:val="left"/>
        <w:spacing w:line="360" w:lineRule="auto"/>
        <w:tabs>
          <w:tab w:val="left" w:pos="312" w:leader="none"/>
        </w:tabs>
        <w:rPr>
          <w:b/>
          <w:bCs/>
          <w:color w:val="000000"/>
          <w:sz w:val="24"/>
          <w:szCs w:val="24"/>
        </w:rPr>
        <w:sectPr>
          <w:footerReference w:type="first" r:id="rId24"/>
          <w:footnotePr/>
          <w:endnotePr/>
          <w:type w:val="nextPage"/>
          <w:pgSz w:w="11906" w:h="16838" w:orient="portrait"/>
          <w:pgMar w:top="1440" w:right="1080" w:bottom="1440" w:left="1080" w:header="851" w:footer="992" w:gutter="0"/>
          <w:cols w:num="1" w:sep="0" w:space="1701" w:equalWidth="1"/>
          <w:docGrid w:linePitch="360"/>
          <w:titlePg/>
        </w:sectPr>
      </w:pPr>
      <w:r>
        <w:rPr>
          <w:b/>
          <w:bCs/>
          <w:color w:val="000000"/>
          <w:sz w:val="24"/>
          <w:szCs w:val="24"/>
        </w:rPr>
      </w:r>
      <w:r/>
    </w:p>
    <w:p>
      <w:pPr>
        <w:pStyle w:val="1559"/>
        <w:ind w:firstLine="422"/>
        <w:jc w:val="center"/>
        <w:spacing w:line="360" w:lineRule="auto"/>
        <w:rPr>
          <w:b/>
          <w:bCs/>
          <w:color w:val="000000"/>
          <w:szCs w:val="21"/>
        </w:rPr>
        <w:outlineLvl w:val="2"/>
      </w:pPr>
      <w:r/>
      <w:bookmarkStart w:id="331" w:name="_Toc19693"/>
      <w:r/>
      <w:bookmarkStart w:id="332" w:name="_Toc27312"/>
      <w:r/>
      <w:bookmarkStart w:id="333" w:name="_Toc12269"/>
      <w:r/>
      <w:bookmarkStart w:id="334" w:name="_Toc22161"/>
      <w:r>
        <w:rPr>
          <w:b/>
          <w:bCs/>
          <w:color w:val="000000"/>
          <w:szCs w:val="21"/>
        </w:rPr>
        <w:t xml:space="preserve">（二）残疾人福利性单位声明函</w:t>
      </w:r>
      <w:bookmarkEnd w:id="331"/>
      <w:r/>
      <w:bookmarkEnd w:id="332"/>
      <w:r/>
      <w:bookmarkEnd w:id="333"/>
      <w:r/>
      <w:bookmarkEnd w:id="334"/>
      <w:r>
        <w:rPr>
          <w:b/>
          <w:bCs/>
          <w:color w:val="000000"/>
          <w:szCs w:val="21"/>
        </w:rPr>
      </w:r>
      <w:r/>
    </w:p>
    <w:p>
      <w:pPr>
        <w:pStyle w:val="1559"/>
        <w:ind w:firstLine="444"/>
        <w:jc w:val="left"/>
        <w:spacing w:line="360" w:lineRule="auto"/>
        <w:tabs>
          <w:tab w:val="left" w:pos="4860" w:leader="none"/>
        </w:tabs>
        <w:rPr>
          <w:color w:val="000000"/>
          <w:spacing w:val="6"/>
          <w:szCs w:val="21"/>
        </w:rPr>
      </w:pPr>
      <w:r>
        <w:rPr>
          <w:color w:val="000000"/>
          <w:spacing w:val="6"/>
          <w:szCs w:val="21"/>
        </w:rPr>
      </w:r>
      <w:r/>
    </w:p>
    <w:p>
      <w:pPr>
        <w:pStyle w:val="1559"/>
        <w:ind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color w:val="000000"/>
          <w:spacing w:val="6"/>
          <w:szCs w:val="21"/>
          <w:u w:val="single"/>
        </w:rPr>
        <w:t xml:space="preserve">     </w:t>
      </w:r>
      <w:r>
        <w:rPr>
          <w:color w:val="000000"/>
          <w:spacing w:val="6"/>
          <w:szCs w:val="21"/>
        </w:rPr>
        <w:t xml:space="preserve">单位的</w:t>
      </w:r>
      <w:r>
        <w:rPr>
          <w:color w:val="000000"/>
          <w:spacing w:val="6"/>
          <w:szCs w:val="21"/>
          <w:u w:val="single"/>
        </w:rPr>
        <w:t xml:space="preserve">     </w:t>
      </w:r>
      <w:r>
        <w:rPr>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rPr>
          <w:color w:val="000000"/>
          <w:spacing w:val="6"/>
          <w:szCs w:val="21"/>
        </w:rPr>
      </w:r>
      <w:r/>
    </w:p>
    <w:p>
      <w:pPr>
        <w:pStyle w:val="1559"/>
        <w:ind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rPr>
          <w:color w:val="000000"/>
          <w:spacing w:val="6"/>
          <w:szCs w:val="21"/>
        </w:rPr>
      </w:r>
      <w:r/>
    </w:p>
    <w:p>
      <w:pPr>
        <w:pStyle w:val="1559"/>
        <w:ind w:firstLine="444"/>
        <w:jc w:val="center"/>
        <w:spacing w:line="360" w:lineRule="auto"/>
        <w:tabs>
          <w:tab w:val="left" w:pos="4860" w:leader="none"/>
        </w:tabs>
        <w:rPr>
          <w:color w:val="000000"/>
          <w:spacing w:val="6"/>
          <w:szCs w:val="21"/>
        </w:rPr>
      </w:pPr>
      <w:r>
        <w:rPr>
          <w:color w:val="000000"/>
          <w:spacing w:val="6"/>
          <w:szCs w:val="21"/>
        </w:rPr>
      </w:r>
      <w:r/>
    </w:p>
    <w:p>
      <w:pPr>
        <w:pStyle w:val="1559"/>
        <w:ind w:firstLine="444"/>
        <w:jc w:val="center"/>
        <w:spacing w:line="360" w:lineRule="auto"/>
        <w:tabs>
          <w:tab w:val="left" w:pos="4860" w:leader="none"/>
        </w:tabs>
        <w:rPr>
          <w:color w:val="000000"/>
          <w:spacing w:val="6"/>
          <w:szCs w:val="21"/>
        </w:rPr>
      </w:pPr>
      <w:r>
        <w:rPr>
          <w:color w:val="000000"/>
          <w:spacing w:val="6"/>
          <w:szCs w:val="21"/>
        </w:rPr>
      </w:r>
      <w:r/>
    </w:p>
    <w:p>
      <w:pPr>
        <w:pStyle w:val="1559"/>
        <w:ind w:firstLine="444"/>
        <w:jc w:val="center"/>
        <w:spacing w:line="360" w:lineRule="auto"/>
        <w:tabs>
          <w:tab w:val="left" w:pos="4860" w:leader="none"/>
        </w:tabs>
        <w:rPr>
          <w:color w:val="000000"/>
          <w:spacing w:val="6"/>
          <w:szCs w:val="21"/>
        </w:rPr>
      </w:pPr>
      <w:r>
        <w:rPr>
          <w:color w:val="000000"/>
          <w:spacing w:val="6"/>
          <w:szCs w:val="21"/>
        </w:rPr>
      </w:r>
      <w:r/>
    </w:p>
    <w:p>
      <w:pPr>
        <w:pStyle w:val="1559"/>
        <w:ind w:firstLine="444"/>
        <w:jc w:val="right"/>
        <w:spacing w:line="360" w:lineRule="auto"/>
        <w:tabs>
          <w:tab w:val="left" w:pos="4860" w:leader="none"/>
        </w:tabs>
        <w:rPr>
          <w:color w:val="000000"/>
          <w:spacing w:val="6"/>
          <w:szCs w:val="21"/>
        </w:rPr>
      </w:pPr>
      <w:r>
        <w:rPr>
          <w:color w:val="000000"/>
          <w:spacing w:val="6"/>
          <w:szCs w:val="21"/>
        </w:rPr>
        <w:t xml:space="preserve">单位名称（盖章）：</w:t>
      </w:r>
      <w:r>
        <w:rPr>
          <w:color w:val="000000"/>
          <w:spacing w:val="6"/>
          <w:szCs w:val="21"/>
        </w:rPr>
      </w:r>
      <w:r/>
    </w:p>
    <w:p>
      <w:pPr>
        <w:pStyle w:val="1559"/>
        <w:ind w:firstLine="444"/>
        <w:jc w:val="right"/>
        <w:spacing w:line="360" w:lineRule="auto"/>
        <w:tabs>
          <w:tab w:val="left" w:pos="4860" w:leader="none"/>
        </w:tabs>
        <w:rPr>
          <w:color w:val="000000"/>
          <w:spacing w:val="6"/>
          <w:szCs w:val="21"/>
        </w:rPr>
      </w:pPr>
      <w:r>
        <w:rPr>
          <w:color w:val="000000"/>
          <w:spacing w:val="6"/>
          <w:szCs w:val="21"/>
        </w:rPr>
        <w:t xml:space="preserve">日 期：    </w:t>
      </w:r>
      <w:r>
        <w:rPr>
          <w:color w:val="000000"/>
          <w:spacing w:val="6"/>
          <w:szCs w:val="21"/>
        </w:rPr>
      </w:r>
      <w:r/>
    </w:p>
    <w:p>
      <w:pPr>
        <w:pStyle w:val="1559"/>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pStyle w:val="1559"/>
        <w:ind w:right="1560" w:firstLine="504"/>
        <w:jc w:val="center"/>
        <w:spacing w:line="360" w:lineRule="auto"/>
        <w:tabs>
          <w:tab w:val="left" w:pos="4860" w:leader="none"/>
        </w:tabs>
        <w:rPr>
          <w:color w:val="000000"/>
          <w:spacing w:val="6"/>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color w:val="000000"/>
          <w:spacing w:val="6"/>
          <w:sz w:val="24"/>
          <w:szCs w:val="24"/>
        </w:rPr>
      </w:r>
      <w:r/>
    </w:p>
    <w:p>
      <w:pPr>
        <w:pStyle w:val="1559"/>
        <w:jc w:val="center"/>
        <w:spacing w:line="360" w:lineRule="auto"/>
        <w:rPr>
          <w:rFonts w:hint="eastAsia"/>
          <w:b/>
          <w:bCs/>
          <w:szCs w:val="21"/>
        </w:rPr>
      </w:pPr>
      <w:r>
        <w:rPr>
          <w:rFonts w:hint="eastAsia"/>
          <w:b/>
          <w:bCs/>
          <w:szCs w:val="21"/>
        </w:rPr>
        <w:t xml:space="preserve">（三）采购本国产品的支持政策</w:t>
      </w:r>
      <w:r>
        <w:rPr>
          <w:rFonts w:hint="eastAsia"/>
          <w:b/>
          <w:bCs/>
          <w:szCs w:val="21"/>
        </w:rPr>
      </w:r>
      <w:r/>
    </w:p>
    <w:p>
      <w:pPr>
        <w:pStyle w:val="1559"/>
        <w:jc w:val="center"/>
        <w:keepLines/>
        <w:keepNext/>
        <w:spacing w:line="360" w:lineRule="auto"/>
        <w:rPr>
          <w:rFonts w:hint="eastAsia" w:ascii="宋体" w:hAnsi="宋体" w:cs="宋体"/>
          <w:b/>
          <w:sz w:val="24"/>
        </w:rPr>
      </w:pPr>
      <w:r>
        <w:rPr>
          <w:rFonts w:hint="eastAsia" w:ascii="宋体" w:hAnsi="宋体" w:cs="宋体"/>
          <w:b/>
          <w:sz w:val="24"/>
        </w:rPr>
      </w:r>
      <w:r/>
    </w:p>
    <w:p>
      <w:pPr>
        <w:pStyle w:val="1559"/>
        <w:jc w:val="center"/>
        <w:keepLines/>
        <w:keepNext/>
        <w:spacing w:line="360" w:lineRule="auto"/>
        <w:rPr>
          <w:rFonts w:hint="eastAsia" w:ascii="宋体" w:hAnsi="宋体" w:cs="宋体"/>
          <w:b/>
          <w:sz w:val="24"/>
        </w:rPr>
      </w:pPr>
      <w:r>
        <w:rPr>
          <w:rFonts w:hint="eastAsia" w:ascii="宋体" w:hAnsi="宋体" w:cs="宋体"/>
          <w:b/>
          <w:sz w:val="24"/>
        </w:rPr>
        <w:t xml:space="preserve">关于符合本国产品标准的声明函</w:t>
      </w:r>
      <w:r>
        <w:rPr>
          <w:rFonts w:hint="eastAsia" w:ascii="宋体" w:hAnsi="宋体" w:cs="宋体"/>
          <w:b/>
          <w:sz w:val="24"/>
        </w:rPr>
      </w:r>
      <w:r/>
    </w:p>
    <w:p>
      <w:pPr>
        <w:pStyle w:val="1559"/>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55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1.</w:t>
      </w:r>
      <w:r>
        <w:rPr>
          <w:rStyle w:val="1633"/>
          <w:rFonts w:hint="eastAsia" w:ascii="宋体" w:hAnsi="宋体" w:cs="宋体"/>
          <w:i w:val="0"/>
          <w:szCs w:val="21"/>
          <w:u w:val="single"/>
          <w:shd w:val="clear" w:color="auto" w:fill="ffffff"/>
        </w:rPr>
        <w:t xml:space="preserve">（产品名称1）</w:t>
      </w:r>
      <w:r>
        <w:rPr>
          <w:rStyle w:val="1633"/>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633"/>
          <w:rFonts w:hint="eastAsia" w:ascii="宋体" w:hAnsi="宋体" w:cs="宋体"/>
          <w:i w:val="0"/>
          <w:szCs w:val="21"/>
          <w:u w:val="single"/>
          <w:shd w:val="clear" w:color="auto" w:fill="ffffff"/>
        </w:rPr>
        <w:t xml:space="preserve">（厂名）</w:t>
      </w:r>
      <w:r>
        <w:rPr>
          <w:rStyle w:val="1633"/>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633"/>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633"/>
          <w:rFonts w:hint="eastAsia" w:ascii="宋体" w:hAnsi="宋体" w:cs="宋体"/>
          <w:i w:val="0"/>
          <w:strike/>
          <w:szCs w:val="21"/>
          <w:u w:val="single"/>
          <w:shd w:val="clear" w:color="auto" w:fill="ffffff"/>
        </w:rPr>
        <w:t xml:space="preserve">（产品名称1）</w:t>
      </w:r>
      <w:r>
        <w:rPr>
          <w:rStyle w:val="1633"/>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的中国境内生产的组件成本占比≥</w:t>
      </w:r>
      <w:r>
        <w:rPr>
          <w:rStyle w:val="1633"/>
          <w:rFonts w:hint="eastAsia" w:ascii="宋体" w:hAnsi="宋体" w:cs="宋体"/>
          <w:i w:val="0"/>
          <w:strike/>
          <w:szCs w:val="21"/>
          <w:u w:val="single"/>
          <w:shd w:val="clear" w:color="auto" w:fill="ffffff"/>
        </w:rPr>
        <w:t xml:space="preserve">（规定比例）</w:t>
      </w:r>
      <w:r>
        <w:rPr>
          <w:rStyle w:val="1633"/>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633"/>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633"/>
          <w:rFonts w:hint="eastAsia" w:ascii="宋体" w:hAnsi="宋体" w:cs="宋体"/>
          <w:i w:val="0"/>
          <w:strike/>
          <w:szCs w:val="21"/>
          <w:u w:val="single"/>
          <w:shd w:val="clear" w:color="auto" w:fill="ffffff"/>
        </w:rPr>
        <w:t xml:space="preserve">（关键组件）</w:t>
      </w:r>
      <w:r>
        <w:rPr>
          <w:rStyle w:val="1633"/>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633"/>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633"/>
          <w:rFonts w:hint="eastAsia" w:ascii="宋体" w:hAnsi="宋体" w:cs="宋体"/>
          <w:i w:val="0"/>
          <w:strike/>
          <w:szCs w:val="21"/>
          <w:u w:val="single"/>
          <w:shd w:val="clear" w:color="auto" w:fill="ffffff"/>
        </w:rPr>
        <w:t xml:space="preserve">（关键工序）</w:t>
      </w:r>
      <w:r>
        <w:rPr>
          <w:rStyle w:val="1633"/>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55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2.</w:t>
      </w:r>
      <w:r>
        <w:rPr>
          <w:rStyle w:val="1633"/>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，生产厂为</w:t>
      </w:r>
      <w:r>
        <w:rPr>
          <w:rStyle w:val="1633"/>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633"/>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633"/>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633"/>
          <w:rFonts w:hint="eastAsia" w:ascii="宋体" w:hAnsi="宋体" w:cs="宋体"/>
          <w:i w:val="0"/>
          <w:strike/>
          <w:szCs w:val="21"/>
          <w:u w:val="single"/>
          <w:shd w:val="clear" w:color="auto" w:fill="ffffff"/>
        </w:rPr>
        <w:t xml:space="preserve">（规定比例）</w:t>
      </w:r>
      <w:r>
        <w:rPr>
          <w:rFonts w:hint="eastAsia" w:ascii="宋体" w:hAnsi="宋体" w:cs="宋体"/>
          <w:szCs w:val="21"/>
          <w:shd w:val="clear" w:color="auto" w:fill="ffffff"/>
        </w:rPr>
        <w:t xml:space="preserve">。</w:t>
      </w:r>
      <w:r>
        <w:rPr>
          <w:rStyle w:val="1633"/>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633"/>
          <w:rFonts w:hint="eastAsia" w:ascii="宋体" w:hAnsi="宋体" w:cs="宋体"/>
          <w:i w:val="0"/>
          <w:strike/>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633"/>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633"/>
          <w:rFonts w:hint="eastAsia" w:ascii="宋体" w:hAnsi="宋体" w:cs="宋体"/>
          <w:i w:val="0"/>
          <w:strike/>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55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55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559"/>
        <w:jc w:val="left"/>
        <w:spacing w:before="30" w:after="30" w:line="360" w:lineRule="auto"/>
        <w:widowControl/>
        <w:rPr>
          <w:rFonts w:hint="eastAsia" w:ascii="宋体" w:hAnsi="宋体" w:cs="宋体"/>
          <w:szCs w:val="21"/>
        </w:rPr>
      </w:pPr>
      <w:r>
        <w:rPr>
          <w:rFonts w:hint="eastAsia" w:ascii="宋体" w:hAnsi="宋体" w:cs="宋体"/>
          <w:szCs w:val="21"/>
        </w:rPr>
      </w:r>
      <w:r/>
    </w:p>
    <w:p>
      <w:pPr>
        <w:pStyle w:val="1559"/>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559"/>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559"/>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559"/>
        <w:jc w:val="left"/>
        <w:spacing w:line="400" w:lineRule="exact"/>
        <w:widowControl/>
        <w:rPr>
          <w:sz w:val="22"/>
          <w:szCs w:val="24"/>
        </w:rPr>
      </w:pPr>
      <w:r>
        <w:rPr>
          <w:sz w:val="22"/>
          <w:szCs w:val="24"/>
          <w:shd w:val="clear" w:color="auto" w:fill="ffffff"/>
        </w:rPr>
        <w:t xml:space="preserve">1.产品如有型号，请在“产品名称”栏一并填写。</w:t>
      </w:r>
      <w:r>
        <w:rPr>
          <w:sz w:val="22"/>
          <w:szCs w:val="24"/>
        </w:rPr>
      </w:r>
      <w:r/>
    </w:p>
    <w:p>
      <w:pPr>
        <w:pStyle w:val="1559"/>
        <w:jc w:val="left"/>
        <w:spacing w:line="400" w:lineRule="exact"/>
        <w:widowControl/>
        <w:rPr>
          <w:sz w:val="22"/>
          <w:szCs w:val="24"/>
        </w:rPr>
      </w:pPr>
      <w:r>
        <w:rPr>
          <w:sz w:val="22"/>
          <w:szCs w:val="24"/>
          <w:shd w:val="clear" w:color="auto" w:fill="ffffff"/>
        </w:rPr>
        <w:t xml:space="preserve">2.生产厂名与厂址应与生产厂营业执照载明的相关信息保持一致。</w:t>
      </w:r>
      <w:r>
        <w:rPr>
          <w:sz w:val="22"/>
          <w:szCs w:val="24"/>
        </w:rPr>
      </w:r>
      <w:r/>
    </w:p>
    <w:p>
      <w:pPr>
        <w:pStyle w:val="1559"/>
        <w:jc w:val="left"/>
        <w:spacing w:line="400" w:lineRule="exact"/>
        <w:widowControl/>
        <w:rPr>
          <w:sz w:val="22"/>
          <w:szCs w:val="24"/>
        </w:rPr>
      </w:pPr>
      <w:r>
        <w:rPr>
          <w:sz w:val="22"/>
          <w:szCs w:val="24"/>
          <w:shd w:val="clear" w:color="auto" w:fill="ffffff"/>
        </w:rPr>
        <w:t xml:space="preserve">3.该产品的中国境内生产的组件成本占比相关要求实施前，“规定比例”栏可不填，下同。</w:t>
      </w:r>
      <w:r>
        <w:rPr>
          <w:sz w:val="22"/>
          <w:szCs w:val="24"/>
        </w:rPr>
      </w:r>
      <w:r/>
    </w:p>
    <w:p>
      <w:pPr>
        <w:pStyle w:val="1559"/>
        <w:jc w:val="left"/>
        <w:spacing w:line="400" w:lineRule="exact"/>
        <w:widowControl/>
        <w:rPr>
          <w:sz w:val="22"/>
          <w:szCs w:val="24"/>
        </w:rPr>
      </w:pPr>
      <w:r>
        <w:rPr>
          <w:sz w:val="22"/>
          <w:szCs w:val="24"/>
          <w:shd w:val="clear" w:color="auto" w:fill="ffffff"/>
        </w:rPr>
        <w:t xml:space="preserve">4.该产品的关键组件要求实施前，“关键组件”栏可不填，下同。</w:t>
      </w:r>
      <w:r>
        <w:rPr>
          <w:sz w:val="22"/>
          <w:szCs w:val="24"/>
        </w:rPr>
      </w:r>
      <w:r/>
    </w:p>
    <w:p>
      <w:pPr>
        <w:pStyle w:val="1559"/>
        <w:jc w:val="left"/>
        <w:spacing w:line="400" w:lineRule="exact"/>
        <w:widowControl/>
        <w:rPr>
          <w:sz w:val="22"/>
          <w:szCs w:val="24"/>
          <w:shd w:val="clear" w:color="auto" w:fill="ffffff"/>
        </w:rPr>
      </w:pPr>
      <w:r>
        <w:rPr>
          <w:sz w:val="22"/>
          <w:szCs w:val="24"/>
          <w:shd w:val="clear" w:color="auto" w:fill="ffffff"/>
        </w:rPr>
        <w:t xml:space="preserve">5.该产品的关键工序要求实施前，“关键工序”栏可不填，下同。</w:t>
      </w:r>
      <w:r>
        <w:rPr>
          <w:sz w:val="22"/>
          <w:szCs w:val="24"/>
          <w:shd w:val="clear" w:color="auto" w:fill="ffffff"/>
        </w:rPr>
      </w:r>
      <w:r/>
    </w:p>
    <w:p>
      <w:pPr>
        <w:pStyle w:val="1559"/>
        <w:jc w:val="left"/>
        <w:spacing w:line="400" w:lineRule="exact"/>
        <w:widowControl/>
        <w:rPr>
          <w:sz w:val="22"/>
          <w:szCs w:val="24"/>
          <w:shd w:val="clear" w:color="auto" w:fill="ffffff"/>
        </w:rPr>
      </w:pPr>
      <w:r>
        <w:rPr>
          <w:sz w:val="22"/>
          <w:szCs w:val="24"/>
          <w:shd w:val="clear" w:color="auto" w:fill="ffffff"/>
        </w:rPr>
        <w:t xml:space="preserve">6.用斜线划除的地方无需填写。</w:t>
      </w:r>
      <w:r>
        <w:rPr>
          <w:sz w:val="22"/>
          <w:szCs w:val="24"/>
          <w:shd w:val="clear" w:color="auto" w:fill="ffffff"/>
        </w:rPr>
      </w:r>
      <w:r/>
    </w:p>
    <w:p>
      <w:pPr>
        <w:pStyle w:val="1559"/>
        <w:jc w:val="left"/>
        <w:spacing w:line="400" w:lineRule="exact"/>
        <w:widowControl/>
        <w:rPr>
          <w:sz w:val="22"/>
          <w:szCs w:val="24"/>
          <w:shd w:val="clear" w:color="auto" w:fill="ffffff"/>
        </w:rPr>
      </w:pPr>
      <w:r>
        <w:rPr>
          <w:sz w:val="22"/>
          <w:szCs w:val="24"/>
          <w:shd w:val="clear" w:color="auto" w:fill="ffffff"/>
        </w:rPr>
        <w:t xml:space="preserve">7.供应商提供虚假《声明函》、虚假证明文件谋取中标、成交的，依照《中华人民共和国政府采购法》等法律法规规定追究相应责任。</w:t>
      </w:r>
      <w:r>
        <w:rPr>
          <w:sz w:val="22"/>
          <w:szCs w:val="24"/>
          <w:shd w:val="clear" w:color="auto" w:fill="ffffff"/>
        </w:rPr>
      </w:r>
      <w:r/>
    </w:p>
    <w:p>
      <w:pPr>
        <w:pStyle w:val="1559"/>
        <w:ind w:right="-5"/>
        <w:spacing w:line="360" w:lineRule="auto"/>
        <w:rPr>
          <w:spacing w:val="6"/>
          <w:sz w:val="24"/>
          <w:szCs w:val="24"/>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pPr>
      <w:r>
        <w:rPr>
          <w:sz w:val="22"/>
          <w:shd w:val="clear" w:color="auto" w:fill="ffffff"/>
        </w:rPr>
        <w:t xml:space="preserve">8.中标、成交供应商提供的《声明函》或有关证明文件将随中标、成交结果同时公告。</w:t>
      </w:r>
      <w:r>
        <w:rPr>
          <w:spacing w:val="6"/>
          <w:sz w:val="24"/>
          <w:szCs w:val="24"/>
        </w:rPr>
        <w:t xml:space="preserve"> </w:t>
      </w:r>
      <w:r>
        <w:rPr>
          <w:spacing w:val="6"/>
          <w:sz w:val="24"/>
          <w:szCs w:val="24"/>
        </w:rPr>
      </w:r>
      <w:r/>
    </w:p>
    <w:p>
      <w:pPr>
        <w:pStyle w:val="1559"/>
        <w:spacing w:after="156" w:line="440" w:lineRule="exact"/>
        <w:rPr>
          <w:rFonts w:hint="eastAsia"/>
          <w:b/>
          <w:bCs/>
          <w:sz w:val="24"/>
          <w:szCs w:val="22"/>
          <w:lang w:val="zh-TW"/>
        </w:rPr>
        <w:outlineLvl w:val="1"/>
      </w:pPr>
      <w:r/>
      <w:bookmarkStart w:id="335" w:name="_Toc1269"/>
      <w:r/>
      <w:bookmarkStart w:id="336" w:name="_Toc27191"/>
      <w:r>
        <w:rPr>
          <w:rFonts w:hint="eastAsia"/>
          <w:b/>
          <w:bCs/>
          <w:sz w:val="24"/>
          <w:szCs w:val="22"/>
        </w:rPr>
        <w:t xml:space="preserve">附：</w:t>
      </w:r>
      <w:r>
        <w:rPr>
          <w:b/>
          <w:bCs/>
          <w:sz w:val="24"/>
          <w:szCs w:val="22"/>
          <w:lang w:val="zh-TW"/>
        </w:rPr>
        <w:t xml:space="preserve">成本比例声明函（如适用）</w:t>
      </w:r>
      <w:bookmarkEnd w:id="335"/>
      <w:r/>
      <w:bookmarkEnd w:id="336"/>
      <w:r>
        <w:rPr>
          <w:b/>
          <w:bCs/>
          <w:sz w:val="24"/>
          <w:szCs w:val="22"/>
          <w:lang w:val="zh-TW"/>
        </w:rPr>
        <w:t xml:space="preserve"> </w:t>
      </w:r>
      <w:r>
        <w:rPr>
          <w:rFonts w:hint="eastAsia"/>
          <w:b/>
          <w:bCs/>
          <w:sz w:val="24"/>
          <w:szCs w:val="22"/>
          <w:lang w:val="zh-TW"/>
        </w:rPr>
      </w:r>
      <w:r/>
    </w:p>
    <w:p>
      <w:pPr>
        <w:pStyle w:val="1559"/>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rPr>
          <w:szCs w:val="21"/>
        </w:rPr>
      </w:r>
      <w:r/>
    </w:p>
    <w:p>
      <w:pPr>
        <w:pStyle w:val="1559"/>
        <w:jc w:val="center"/>
        <w:spacing w:line="360" w:lineRule="auto"/>
        <w:rPr>
          <w:sz w:val="24"/>
          <w:szCs w:val="24"/>
        </w:rPr>
      </w:pPr>
      <w:r>
        <w:rPr>
          <w:b/>
          <w:bCs/>
          <w:sz w:val="24"/>
          <w:szCs w:val="24"/>
        </w:rPr>
        <w:t xml:space="preserve">成本比例声明函</w:t>
      </w:r>
      <w:r>
        <w:rPr>
          <w:sz w:val="24"/>
          <w:szCs w:val="24"/>
        </w:rPr>
      </w:r>
      <w:r/>
    </w:p>
    <w:p>
      <w:pPr>
        <w:pStyle w:val="1559"/>
        <w:ind w:firstLine="420"/>
        <w:jc w:val="left"/>
        <w:spacing w:line="360" w:lineRule="auto"/>
        <w:rPr>
          <w:szCs w:val="21"/>
        </w:rPr>
      </w:pPr>
      <w:r>
        <w:rPr>
          <w:szCs w:val="21"/>
        </w:rPr>
      </w:r>
      <w:r/>
    </w:p>
    <w:p>
      <w:pPr>
        <w:pStyle w:val="1559"/>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rPr>
          <w:szCs w:val="21"/>
        </w:rPr>
      </w:r>
      <w:r/>
    </w:p>
    <w:p>
      <w:pPr>
        <w:pStyle w:val="1559"/>
        <w:ind w:firstLine="420"/>
        <w:jc w:val="left"/>
        <w:spacing w:line="360" w:lineRule="auto"/>
        <w:widowControl/>
        <w:rPr>
          <w:szCs w:val="21"/>
        </w:rPr>
      </w:pPr>
      <w:r>
        <w:rPr>
          <w:szCs w:val="21"/>
        </w:rPr>
        <w:t xml:space="preserve">本公司（单位）对上述声明内容的真实性负责。如有虚假，愿承担相应法律责任。 </w:t>
      </w:r>
      <w:r>
        <w:rPr>
          <w:szCs w:val="21"/>
        </w:rPr>
      </w:r>
      <w:r/>
    </w:p>
    <w:p>
      <w:pPr>
        <w:pStyle w:val="1559"/>
        <w:ind w:left="562" w:firstLine="420"/>
        <w:jc w:val="center"/>
        <w:spacing w:line="360" w:lineRule="auto"/>
        <w:widowControl/>
        <w:rPr>
          <w:szCs w:val="21"/>
        </w:rPr>
      </w:pPr>
      <w:r>
        <w:rPr>
          <w:szCs w:val="21"/>
        </w:rPr>
      </w:r>
      <w:r/>
    </w:p>
    <w:p>
      <w:pPr>
        <w:pStyle w:val="1559"/>
        <w:ind w:left="562" w:firstLine="420"/>
        <w:jc w:val="center"/>
        <w:spacing w:line="360" w:lineRule="auto"/>
        <w:widowControl/>
        <w:rPr>
          <w:szCs w:val="21"/>
        </w:rPr>
      </w:pPr>
      <w:r>
        <w:rPr>
          <w:szCs w:val="21"/>
        </w:rPr>
        <w:t xml:space="preserve">公司（单位）名称（盖章）：</w:t>
      </w:r>
      <w:r>
        <w:rPr>
          <w:szCs w:val="21"/>
        </w:rPr>
      </w:r>
      <w:r/>
    </w:p>
    <w:p>
      <w:pPr>
        <w:pStyle w:val="1559"/>
        <w:ind w:left="562" w:firstLine="420"/>
        <w:jc w:val="center"/>
        <w:spacing w:line="360" w:lineRule="auto"/>
        <w:widowControl/>
        <w:rPr>
          <w:szCs w:val="21"/>
        </w:rPr>
      </w:pPr>
      <w:r>
        <w:rPr>
          <w:szCs w:val="21"/>
        </w:rPr>
        <w:t xml:space="preserve">日期： 年 月 日</w:t>
      </w:r>
      <w:r>
        <w:rPr>
          <w:szCs w:val="21"/>
        </w:rPr>
      </w:r>
      <w:r/>
    </w:p>
    <w:p>
      <w:pPr>
        <w:pStyle w:val="1559"/>
        <w:ind w:left="562" w:firstLine="420"/>
        <w:jc w:val="left"/>
        <w:spacing w:line="360" w:lineRule="auto"/>
        <w:rPr>
          <w:szCs w:val="21"/>
        </w:rPr>
      </w:pPr>
      <w:r>
        <w:rPr>
          <w:szCs w:val="21"/>
        </w:rPr>
      </w:r>
      <w:r/>
    </w:p>
    <w:p>
      <w:pPr>
        <w:pStyle w:val="1559"/>
        <w:ind w:left="562" w:firstLine="420"/>
        <w:jc w:val="left"/>
        <w:spacing w:line="360" w:lineRule="auto"/>
        <w:rPr>
          <w:szCs w:val="21"/>
        </w:rPr>
      </w:pPr>
      <w:r>
        <w:rPr>
          <w:szCs w:val="21"/>
        </w:rPr>
      </w:r>
      <w:r/>
    </w:p>
    <w:p>
      <w:pPr>
        <w:pStyle w:val="1559"/>
        <w:ind w:firstLine="420"/>
        <w:jc w:val="left"/>
        <w:spacing w:before="229" w:line="360" w:lineRule="auto"/>
        <w:rPr>
          <w:szCs w:val="21"/>
          <w:lang w:val="zh-TW"/>
        </w:rPr>
      </w:pPr>
      <w:r>
        <w:rPr>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szCs w:val="21"/>
          <w:lang w:val="zh-TW"/>
        </w:rPr>
      </w:r>
      <w:r/>
    </w:p>
    <w:p>
      <w:pPr>
        <w:pStyle w:val="1559"/>
        <w:spacing w:line="440" w:lineRule="exact"/>
        <w:rPr>
          <w:rFonts w:hint="eastAsia"/>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rPr>
      </w:r>
      <w:r/>
    </w:p>
    <w:p>
      <w:pPr>
        <w:pStyle w:val="1559"/>
        <w:spacing w:after="156" w:line="440" w:lineRule="exact"/>
        <w:rPr>
          <w:b/>
        </w:rPr>
        <w:outlineLvl w:val="1"/>
      </w:pPr>
      <w:r/>
      <w:bookmarkStart w:id="337" w:name="_Toc17365"/>
      <w:r/>
      <w:bookmarkStart w:id="338" w:name="_Toc3450"/>
      <w:r/>
      <w:bookmarkStart w:id="339" w:name="_Toc1006"/>
      <w:r>
        <w:rPr>
          <w:b/>
          <w:bCs/>
          <w:sz w:val="24"/>
          <w:szCs w:val="22"/>
          <w:lang w:val="zh-CN"/>
        </w:rPr>
        <w:t xml:space="preserve">附件</w:t>
      </w:r>
      <w:r>
        <w:rPr>
          <w:rFonts w:hint="eastAsia"/>
          <w:b/>
          <w:bCs/>
          <w:sz w:val="24"/>
          <w:szCs w:val="22"/>
        </w:rPr>
        <w:t xml:space="preserve">七</w:t>
      </w:r>
      <w:r>
        <w:rPr>
          <w:b/>
          <w:bCs/>
          <w:sz w:val="24"/>
          <w:szCs w:val="22"/>
        </w:rPr>
        <w:t xml:space="preserve"> </w:t>
      </w:r>
      <w:r>
        <w:rPr>
          <w:b/>
          <w:bCs/>
          <w:sz w:val="24"/>
          <w:szCs w:val="22"/>
          <w:lang w:val="zh-CN"/>
        </w:rPr>
        <w:t xml:space="preserve">资格证明文件</w:t>
      </w:r>
      <w:bookmarkEnd w:id="337"/>
      <w:r/>
      <w:bookmarkEnd w:id="338"/>
      <w:r/>
      <w:bookmarkEnd w:id="339"/>
      <w:r>
        <w:rPr>
          <w:b/>
        </w:rPr>
      </w:r>
      <w:r/>
    </w:p>
    <w:p>
      <w:pPr>
        <w:pStyle w:val="1559"/>
        <w:jc w:val="left"/>
        <w:spacing w:line="360" w:lineRule="auto"/>
        <w:rPr>
          <w:b/>
          <w:bCs/>
          <w:szCs w:val="21"/>
          <w:lang w:val="zh-CN"/>
        </w:rPr>
        <w:outlineLvl w:val="2"/>
      </w:pPr>
      <w:r/>
      <w:bookmarkStart w:id="340" w:name="_Toc28163"/>
      <w:r/>
      <w:bookmarkStart w:id="341" w:name="_Toc15706"/>
      <w:r/>
      <w:bookmarkStart w:id="342" w:name="_Toc27229"/>
      <w:r>
        <w:rPr>
          <w:b/>
          <w:bCs/>
          <w:szCs w:val="21"/>
          <w:lang w:val="zh-CN"/>
        </w:rPr>
        <w:t xml:space="preserve">1、法人或其他组织的营业执照等证明文件（复印件加盖公章）</w:t>
      </w:r>
      <w:bookmarkEnd w:id="340"/>
      <w:r/>
      <w:bookmarkEnd w:id="341"/>
      <w:r/>
      <w:bookmarkEnd w:id="342"/>
      <w:r>
        <w:rPr>
          <w:b/>
          <w:bCs/>
          <w:szCs w:val="21"/>
          <w:lang w:val="zh-CN"/>
        </w:rPr>
      </w:r>
      <w:r/>
    </w:p>
    <w:p>
      <w:pPr>
        <w:pStyle w:val="1559"/>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559"/>
        <w:spacing w:line="440" w:lineRule="exact"/>
        <w:rPr>
          <w:sz w:val="24"/>
          <w:szCs w:val="24"/>
        </w:rPr>
      </w:pPr>
      <w:r>
        <w:rPr>
          <w:sz w:val="24"/>
          <w:szCs w:val="24"/>
        </w:rPr>
      </w:r>
      <w:r/>
    </w:p>
    <w:p>
      <w:pPr>
        <w:pStyle w:val="1559"/>
        <w:spacing w:line="440" w:lineRule="exact"/>
        <w:rPr>
          <w:sz w:val="24"/>
          <w:szCs w:val="24"/>
        </w:rPr>
      </w:pPr>
      <w:r>
        <w:rPr>
          <w:sz w:val="24"/>
          <w:szCs w:val="24"/>
        </w:rPr>
      </w:r>
      <w:r/>
    </w:p>
    <w:p>
      <w:pPr>
        <w:pStyle w:val="1559"/>
        <w:spacing w:line="440" w:lineRule="exact"/>
        <w:rPr>
          <w:sz w:val="24"/>
          <w:szCs w:val="24"/>
        </w:rPr>
      </w:pPr>
      <w:r>
        <w:rPr>
          <w:sz w:val="24"/>
          <w:szCs w:val="24"/>
        </w:rPr>
      </w:r>
      <w:r/>
    </w:p>
    <w:p>
      <w:pPr>
        <w:pStyle w:val="1559"/>
        <w:spacing w:line="440" w:lineRule="exact"/>
        <w:rPr>
          <w:sz w:val="24"/>
          <w:szCs w:val="24"/>
        </w:rPr>
      </w:pPr>
      <w:r>
        <w:rPr>
          <w:sz w:val="24"/>
          <w:szCs w:val="24"/>
        </w:rPr>
      </w:r>
      <w:r/>
    </w:p>
    <w:p>
      <w:pPr>
        <w:pStyle w:val="1559"/>
        <w:spacing w:line="440" w:lineRule="exact"/>
        <w:rPr>
          <w:szCs w:val="21"/>
        </w:rPr>
      </w:pPr>
      <w:r>
        <w:rPr>
          <w:szCs w:val="21"/>
        </w:rPr>
        <w:t xml:space="preserve">投标人名称（公章）：</w:t>
      </w:r>
      <w:r>
        <w:rPr>
          <w:szCs w:val="21"/>
        </w:rPr>
      </w:r>
      <w:r/>
    </w:p>
    <w:p>
      <w:pPr>
        <w:pStyle w:val="1559"/>
        <w:spacing w:line="440" w:lineRule="exact"/>
        <w:rPr>
          <w:szCs w:val="21"/>
        </w:rPr>
      </w:pPr>
      <w:r>
        <w:rPr>
          <w:szCs w:val="21"/>
        </w:rPr>
        <w:t xml:space="preserve">授权代表（签字）：</w:t>
      </w:r>
      <w:r>
        <w:rPr>
          <w:szCs w:val="21"/>
        </w:rPr>
      </w:r>
      <w:r/>
    </w:p>
    <w:p>
      <w:pPr>
        <w:pStyle w:val="1559"/>
        <w:spacing w:line="440" w:lineRule="exact"/>
        <w:rPr>
          <w:szCs w:val="21"/>
        </w:rPr>
      </w:pPr>
      <w:r>
        <w:rPr>
          <w:szCs w:val="21"/>
        </w:rPr>
        <w:t xml:space="preserve">日期：</w:t>
      </w:r>
      <w:r>
        <w:rPr>
          <w:szCs w:val="21"/>
        </w:rPr>
      </w:r>
      <w:r/>
    </w:p>
    <w:p>
      <w:pPr>
        <w:pStyle w:val="1559"/>
        <w:spacing w:line="440" w:lineRule="exact"/>
        <w:rPr>
          <w:sz w:val="24"/>
          <w:szCs w:val="24"/>
        </w:rPr>
      </w:pPr>
      <w:r>
        <w:rPr>
          <w:sz w:val="24"/>
          <w:szCs w:val="24"/>
        </w:rPr>
      </w:r>
      <w:r/>
    </w:p>
    <w:p>
      <w:pPr>
        <w:pStyle w:val="1559"/>
        <w:spacing w:line="440" w:lineRule="exact"/>
        <w:rPr>
          <w:sz w:val="24"/>
          <w:szCs w:val="24"/>
        </w:rPr>
      </w:pPr>
      <w:r>
        <w:rPr>
          <w:sz w:val="24"/>
          <w:szCs w:val="24"/>
        </w:rPr>
      </w:r>
      <w:r/>
    </w:p>
    <w:p>
      <w:pPr>
        <w:pStyle w:val="1559"/>
        <w:spacing w:line="440" w:lineRule="exact"/>
        <w:rPr>
          <w:sz w:val="24"/>
          <w:szCs w:val="24"/>
        </w:rPr>
      </w:pPr>
      <w:r>
        <w:rPr>
          <w:sz w:val="24"/>
          <w:szCs w:val="24"/>
        </w:rPr>
      </w:r>
      <w:r/>
    </w:p>
    <w:p>
      <w:pPr>
        <w:pStyle w:val="1559"/>
        <w:spacing w:line="440" w:lineRule="exact"/>
        <w:rPr>
          <w:sz w:val="24"/>
          <w:szCs w:val="24"/>
        </w:rPr>
      </w:pPr>
      <w:r>
        <w:rPr>
          <w:sz w:val="24"/>
          <w:szCs w:val="24"/>
        </w:rPr>
      </w:r>
      <w:r/>
    </w:p>
    <w:p>
      <w:pPr>
        <w:pStyle w:val="1559"/>
        <w:spacing w:line="440" w:lineRule="exact"/>
        <w:rPr>
          <w:sz w:val="24"/>
          <w:szCs w:val="24"/>
        </w:rPr>
      </w:pPr>
      <w:r>
        <w:rPr>
          <w:sz w:val="24"/>
          <w:szCs w:val="24"/>
        </w:rPr>
      </w:r>
      <w:r/>
    </w:p>
    <w:p>
      <w:pPr>
        <w:pStyle w:val="1559"/>
        <w:jc w:val="left"/>
        <w:spacing w:line="360" w:lineRule="auto"/>
        <w:rPr>
          <w:b/>
          <w:bCs/>
          <w:szCs w:val="21"/>
          <w:lang w:val="zh-CN"/>
        </w:rPr>
        <w:sectPr>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559"/>
        <w:jc w:val="left"/>
        <w:spacing w:line="360" w:lineRule="auto"/>
        <w:rPr>
          <w:b/>
          <w:bCs/>
          <w:szCs w:val="21"/>
          <w:lang w:val="zh-CN"/>
        </w:rPr>
        <w:outlineLvl w:val="2"/>
      </w:pPr>
      <w:r/>
      <w:bookmarkStart w:id="343" w:name="_Toc20681"/>
      <w:r/>
      <w:bookmarkStart w:id="344" w:name="_Toc3569"/>
      <w:r/>
      <w:bookmarkStart w:id="345" w:name="_Toc24024"/>
      <w:r>
        <w:rPr>
          <w:b/>
          <w:bCs/>
          <w:szCs w:val="21"/>
          <w:lang w:val="zh-CN"/>
        </w:rPr>
        <w:t xml:space="preserve">2、法人代表授权书</w:t>
      </w:r>
      <w:bookmarkEnd w:id="343"/>
      <w:r/>
      <w:bookmarkEnd w:id="344"/>
      <w:r/>
      <w:bookmarkEnd w:id="345"/>
      <w:r>
        <w:rPr>
          <w:b/>
          <w:bCs/>
          <w:szCs w:val="21"/>
          <w:lang w:val="zh-CN"/>
        </w:rPr>
      </w:r>
      <w:r/>
    </w:p>
    <w:p>
      <w:pPr>
        <w:pStyle w:val="1559"/>
        <w:spacing w:line="360" w:lineRule="auto"/>
        <w:rPr>
          <w:b/>
        </w:rPr>
      </w:pPr>
      <w:r>
        <w:rPr>
          <w:b/>
        </w:rPr>
        <w:t xml:space="preserve">致江苏苏美达仪器设备有限公司：</w:t>
      </w:r>
      <w:r>
        <w:rPr>
          <w:b/>
        </w:rPr>
      </w:r>
      <w:r/>
    </w:p>
    <w:p>
      <w:pPr>
        <w:pStyle w:val="1559"/>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559"/>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559"/>
        <w:spacing w:line="360" w:lineRule="auto"/>
        <w:rPr>
          <w:szCs w:val="21"/>
        </w:rPr>
      </w:pPr>
      <w:r>
        <w:rPr>
          <w:szCs w:val="21"/>
        </w:rPr>
      </w:r>
      <w:r/>
    </w:p>
    <w:p>
      <w:pPr>
        <w:pStyle w:val="1559"/>
        <w:spacing w:line="360" w:lineRule="auto"/>
        <w:rPr>
          <w:szCs w:val="21"/>
        </w:rPr>
      </w:pPr>
      <w:r>
        <w:rPr>
          <w:szCs w:val="21"/>
        </w:rPr>
        <w:t xml:space="preserve">法定代表人（签字或盖章）： </w:t>
      </w:r>
      <w:r>
        <w:rPr>
          <w:szCs w:val="21"/>
        </w:rPr>
      </w:r>
      <w:r/>
    </w:p>
    <w:p>
      <w:pPr>
        <w:pStyle w:val="1559"/>
        <w:spacing w:line="360" w:lineRule="auto"/>
        <w:rPr>
          <w:szCs w:val="21"/>
        </w:rPr>
      </w:pPr>
      <w:r>
        <w:rPr>
          <w:szCs w:val="21"/>
        </w:rPr>
        <w:t xml:space="preserve">授权代表（签字）： </w:t>
      </w:r>
      <w:r>
        <w:rPr>
          <w:szCs w:val="21"/>
        </w:rPr>
      </w:r>
      <w:r/>
    </w:p>
    <w:p>
      <w:pPr>
        <w:pStyle w:val="1559"/>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559"/>
        <w:spacing w:line="440" w:lineRule="exact"/>
        <w:rPr>
          <w:szCs w:val="21"/>
        </w:rPr>
      </w:pPr>
      <w:r>
        <w:rPr>
          <w:szCs w:val="21"/>
        </w:rPr>
        <w:t xml:space="preserve">日期：</w:t>
      </w:r>
      <w:r>
        <w:rPr>
          <w:szCs w:val="21"/>
        </w:rPr>
      </w:r>
      <w:r/>
    </w:p>
    <w:p>
      <w:pPr>
        <w:pStyle w:val="1559"/>
        <w:spacing w:line="360" w:lineRule="auto"/>
        <w:rPr>
          <w:b/>
          <w:szCs w:val="21"/>
        </w:rPr>
      </w:pPr>
      <w:r>
        <w:rPr>
          <w:color w:val="000000"/>
          <w:sz w:val="23"/>
        </w:rPr>
        <w:t xml:space="preserve"> </w:t>
      </w:r>
      <w:r>
        <w:rPr>
          <w:b/>
          <w:szCs w:val="21"/>
        </w:rPr>
      </w:r>
      <w:r/>
    </w:p>
    <w:p>
      <w:pPr>
        <w:pStyle w:val="1559"/>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59"/>
              <w:spacing w:line="440" w:lineRule="exact"/>
              <w:rPr>
                <w:b/>
              </w:rPr>
            </w:pPr>
            <w:r>
              <w:rPr>
                <w:b/>
              </w:rPr>
            </w:r>
            <w:r/>
          </w:p>
        </w:tc>
      </w:tr>
    </w:tbl>
    <w:p>
      <w:pPr>
        <w:pStyle w:val="1559"/>
        <w:spacing w:line="440" w:lineRule="exact"/>
        <w:rPr>
          <w:b/>
        </w:rPr>
      </w:pPr>
      <w:r>
        <w:rPr>
          <w:b/>
        </w:rPr>
      </w:r>
      <w:r/>
    </w:p>
    <w:p>
      <w:pPr>
        <w:pStyle w:val="1559"/>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559"/>
        <w:ind w:right="-5"/>
        <w:spacing w:line="360" w:lineRule="auto"/>
        <w:rPr>
          <w:b/>
          <w:bCs/>
          <w:szCs w:val="21"/>
          <w:lang w:val="zh-CN"/>
        </w:rPr>
        <w:outlineLvl w:val="2"/>
      </w:pPr>
      <w:r/>
      <w:bookmarkStart w:id="346" w:name="_Toc5456"/>
      <w:r/>
      <w:bookmarkStart w:id="347" w:name="_Toc28466"/>
      <w:r/>
      <w:bookmarkStart w:id="348" w:name="_Toc24273"/>
      <w:r>
        <w:rPr>
          <w:b/>
          <w:bCs/>
          <w:szCs w:val="21"/>
        </w:rPr>
        <w:t xml:space="preserve">3</w:t>
      </w:r>
      <w:r>
        <w:rPr>
          <w:b/>
          <w:bCs/>
          <w:szCs w:val="21"/>
          <w:lang w:val="zh-CN"/>
        </w:rPr>
        <w:t xml:space="preserve">、具有良好的商业信誉和健全的财务会计制度</w:t>
      </w:r>
      <w:bookmarkEnd w:id="346"/>
      <w:r/>
      <w:bookmarkEnd w:id="347"/>
      <w:r/>
      <w:bookmarkEnd w:id="348"/>
      <w:r>
        <w:rPr>
          <w:b/>
          <w:bCs/>
          <w:szCs w:val="21"/>
          <w:lang w:val="zh-CN"/>
        </w:rPr>
      </w:r>
      <w:r/>
    </w:p>
    <w:p>
      <w:pPr>
        <w:pStyle w:val="1559"/>
        <w:ind w:left="-2" w:right="-5"/>
        <w:spacing w:line="440" w:lineRule="exact"/>
        <w:rPr>
          <w:sz w:val="24"/>
        </w:rPr>
      </w:pPr>
      <w:r>
        <w:rPr>
          <w:sz w:val="24"/>
        </w:rPr>
      </w:r>
      <w:r/>
    </w:p>
    <w:p>
      <w:pPr>
        <w:pStyle w:val="1559"/>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rPr>
          <w:sz w:val="24"/>
        </w:rPr>
      </w:r>
      <w:r/>
    </w:p>
    <w:p>
      <w:pPr>
        <w:pStyle w:val="1559"/>
        <w:ind w:left="-2" w:right="-5"/>
        <w:spacing w:line="440" w:lineRule="exact"/>
        <w:rPr>
          <w:sz w:val="24"/>
        </w:rPr>
      </w:pPr>
      <w:r>
        <w:rPr>
          <w:sz w:val="24"/>
        </w:rPr>
      </w:r>
      <w:r/>
    </w:p>
    <w:p>
      <w:pPr>
        <w:pStyle w:val="1559"/>
        <w:spacing w:line="440" w:lineRule="exact"/>
        <w:rPr>
          <w:szCs w:val="21"/>
        </w:rPr>
      </w:pPr>
      <w:r>
        <w:rPr>
          <w:szCs w:val="21"/>
        </w:rPr>
        <w:t xml:space="preserve">投标人名称（公章）：</w:t>
      </w:r>
      <w:r>
        <w:rPr>
          <w:szCs w:val="21"/>
        </w:rPr>
      </w:r>
      <w:r/>
    </w:p>
    <w:p>
      <w:pPr>
        <w:pStyle w:val="1559"/>
        <w:spacing w:line="440" w:lineRule="exact"/>
        <w:rPr>
          <w:szCs w:val="21"/>
        </w:rPr>
      </w:pPr>
      <w:r>
        <w:rPr>
          <w:szCs w:val="21"/>
        </w:rPr>
        <w:t xml:space="preserve">授权代表（签字）：</w:t>
      </w:r>
      <w:r>
        <w:rPr>
          <w:szCs w:val="21"/>
        </w:rPr>
      </w:r>
      <w:r/>
    </w:p>
    <w:p>
      <w:pPr>
        <w:pStyle w:val="1559"/>
        <w:spacing w:line="440" w:lineRule="exact"/>
        <w:rPr>
          <w:szCs w:val="21"/>
        </w:rPr>
      </w:pPr>
      <w:r>
        <w:rPr>
          <w:szCs w:val="21"/>
        </w:rPr>
        <w:t xml:space="preserve">日期：</w:t>
      </w:r>
      <w:r>
        <w:rPr>
          <w:szCs w:val="21"/>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Cs w:val="21"/>
        </w:rPr>
      </w:pPr>
      <w:r>
        <w:rPr>
          <w:szCs w:val="21"/>
        </w:rPr>
        <w:t xml:space="preserve">说明： </w:t>
      </w:r>
      <w:r>
        <w:rPr>
          <w:szCs w:val="21"/>
        </w:rPr>
      </w:r>
      <w:r/>
    </w:p>
    <w:p>
      <w:pPr>
        <w:pStyle w:val="1559"/>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559"/>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559"/>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559"/>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right="-5"/>
        <w:spacing w:line="440" w:lineRule="exact"/>
        <w:rPr>
          <w:sz w:val="24"/>
        </w:rPr>
      </w:pPr>
      <w:r>
        <w:rPr>
          <w:sz w:val="24"/>
        </w:rPr>
      </w:r>
      <w:r/>
    </w:p>
    <w:p>
      <w:pPr>
        <w:pStyle w:val="1559"/>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559"/>
        <w:jc w:val="left"/>
        <w:spacing w:line="360" w:lineRule="auto"/>
        <w:rPr>
          <w:b/>
          <w:bCs/>
          <w:szCs w:val="21"/>
          <w:lang w:val="zh-CN"/>
        </w:rPr>
        <w:outlineLvl w:val="2"/>
      </w:pPr>
      <w:r/>
      <w:bookmarkStart w:id="349" w:name="_Toc15262"/>
      <w:r/>
      <w:bookmarkStart w:id="350" w:name="_Toc16330"/>
      <w:r/>
      <w:bookmarkStart w:id="351" w:name="_Toc26222"/>
      <w:r>
        <w:rPr>
          <w:b/>
          <w:bCs/>
          <w:szCs w:val="21"/>
        </w:rPr>
        <w:t xml:space="preserve">4、</w:t>
      </w:r>
      <w:r>
        <w:rPr>
          <w:b/>
          <w:bCs/>
          <w:szCs w:val="21"/>
          <w:lang w:val="zh-CN"/>
        </w:rPr>
        <w:t xml:space="preserve">具有履行合同所必需的设备和专业技术能力</w:t>
      </w:r>
      <w:bookmarkEnd w:id="349"/>
      <w:r/>
      <w:bookmarkEnd w:id="350"/>
      <w:r/>
      <w:bookmarkEnd w:id="351"/>
      <w:r>
        <w:rPr>
          <w:b/>
          <w:bCs/>
          <w:szCs w:val="21"/>
          <w:lang w:val="zh-CN"/>
        </w:rPr>
      </w:r>
      <w:r/>
    </w:p>
    <w:p>
      <w:pPr>
        <w:pStyle w:val="1559"/>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628"/>
        <w:ind w:firstLine="280"/>
      </w:pPr>
      <w:r/>
      <w:r/>
    </w:p>
    <w:p>
      <w:pPr>
        <w:pStyle w:val="1559"/>
        <w:jc w:val="left"/>
        <w:spacing w:line="440" w:lineRule="exact"/>
      </w:pPr>
      <w:r>
        <w:t xml:space="preserve">承诺函参考格式：</w:t>
      </w:r>
      <w:r/>
    </w:p>
    <w:p>
      <w:pPr>
        <w:pStyle w:val="1628"/>
        <w:ind w:firstLine="321"/>
        <w:jc w:val="center"/>
        <w:rPr>
          <w:b/>
          <w:sz w:val="32"/>
          <w:szCs w:val="32"/>
        </w:rPr>
      </w:pPr>
      <w:r>
        <w:rPr>
          <w:b/>
          <w:sz w:val="32"/>
          <w:szCs w:val="32"/>
        </w:rPr>
        <w:t xml:space="preserve">承  诺  函</w:t>
      </w:r>
      <w:r>
        <w:rPr>
          <w:b/>
          <w:sz w:val="32"/>
          <w:szCs w:val="32"/>
        </w:rPr>
      </w:r>
      <w:r/>
    </w:p>
    <w:p>
      <w:pPr>
        <w:pStyle w:val="1628"/>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559"/>
        <w:jc w:val="left"/>
        <w:spacing w:line="440" w:lineRule="exact"/>
        <w:rPr>
          <w:sz w:val="24"/>
          <w:szCs w:val="24"/>
        </w:rPr>
      </w:pPr>
      <w:r>
        <w:rPr>
          <w:sz w:val="24"/>
          <w:szCs w:val="24"/>
        </w:rPr>
      </w:r>
      <w:r/>
    </w:p>
    <w:p>
      <w:pPr>
        <w:pStyle w:val="1559"/>
        <w:jc w:val="left"/>
        <w:spacing w:line="440" w:lineRule="exact"/>
        <w:rPr>
          <w:sz w:val="24"/>
          <w:szCs w:val="24"/>
        </w:rPr>
      </w:pPr>
      <w:r>
        <w:rPr>
          <w:sz w:val="24"/>
          <w:szCs w:val="24"/>
        </w:rPr>
      </w:r>
      <w:r/>
    </w:p>
    <w:p>
      <w:pPr>
        <w:pStyle w:val="1559"/>
        <w:spacing w:line="440" w:lineRule="exact"/>
        <w:rPr>
          <w:szCs w:val="21"/>
        </w:rPr>
      </w:pPr>
      <w:r>
        <w:rPr>
          <w:szCs w:val="21"/>
        </w:rPr>
        <w:t xml:space="preserve">投标人名称（公章）：</w:t>
      </w:r>
      <w:r>
        <w:rPr>
          <w:szCs w:val="21"/>
        </w:rPr>
      </w:r>
      <w:r/>
    </w:p>
    <w:p>
      <w:pPr>
        <w:pStyle w:val="1559"/>
        <w:spacing w:line="440" w:lineRule="exact"/>
        <w:rPr>
          <w:szCs w:val="21"/>
        </w:rPr>
      </w:pPr>
      <w:r>
        <w:rPr>
          <w:szCs w:val="21"/>
        </w:rPr>
        <w:t xml:space="preserve">授权代表（签字）：</w:t>
      </w:r>
      <w:r>
        <w:rPr>
          <w:szCs w:val="21"/>
        </w:rPr>
      </w:r>
      <w:r/>
    </w:p>
    <w:p>
      <w:pPr>
        <w:pStyle w:val="1559"/>
        <w:spacing w:line="440" w:lineRule="exact"/>
        <w:rPr>
          <w:szCs w:val="21"/>
        </w:rPr>
      </w:pPr>
      <w:r>
        <w:rPr>
          <w:szCs w:val="21"/>
        </w:rPr>
        <w:t xml:space="preserve">日期：</w:t>
      </w:r>
      <w:r>
        <w:rPr>
          <w:szCs w:val="21"/>
        </w:rPr>
      </w:r>
      <w:r/>
    </w:p>
    <w:p>
      <w:pPr>
        <w:pStyle w:val="1559"/>
        <w:jc w:val="left"/>
        <w:spacing w:line="440" w:lineRule="exact"/>
        <w:rPr>
          <w:sz w:val="24"/>
          <w:szCs w:val="24"/>
        </w:rPr>
      </w:pPr>
      <w:r>
        <w:rPr>
          <w:sz w:val="24"/>
          <w:szCs w:val="24"/>
        </w:rPr>
      </w:r>
      <w:r/>
    </w:p>
    <w:p>
      <w:pPr>
        <w:pStyle w:val="1559"/>
        <w:jc w:val="left"/>
        <w:spacing w:line="440" w:lineRule="exact"/>
        <w:rPr>
          <w:sz w:val="24"/>
          <w:szCs w:val="24"/>
        </w:rPr>
      </w:pPr>
      <w:r>
        <w:rPr>
          <w:sz w:val="24"/>
          <w:szCs w:val="24"/>
        </w:rPr>
      </w:r>
      <w:r/>
    </w:p>
    <w:p>
      <w:pPr>
        <w:pStyle w:val="1559"/>
        <w:jc w:val="left"/>
        <w:spacing w:line="440" w:lineRule="exact"/>
        <w:rPr>
          <w:sz w:val="24"/>
          <w:szCs w:val="24"/>
        </w:rPr>
      </w:pPr>
      <w:r>
        <w:rPr>
          <w:sz w:val="24"/>
          <w:szCs w:val="24"/>
        </w:rPr>
      </w:r>
      <w:r/>
    </w:p>
    <w:p>
      <w:pPr>
        <w:pStyle w:val="1559"/>
        <w:jc w:val="left"/>
        <w:spacing w:line="440" w:lineRule="exact"/>
        <w:rPr>
          <w:sz w:val="24"/>
          <w:szCs w:val="24"/>
        </w:rPr>
      </w:pPr>
      <w:r>
        <w:rPr>
          <w:sz w:val="24"/>
          <w:szCs w:val="24"/>
        </w:rPr>
      </w:r>
      <w:r/>
    </w:p>
    <w:p>
      <w:pPr>
        <w:pStyle w:val="1559"/>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559"/>
        <w:jc w:val="left"/>
        <w:spacing w:line="360" w:lineRule="auto"/>
        <w:rPr>
          <w:b/>
          <w:bCs/>
          <w:szCs w:val="21"/>
        </w:rPr>
        <w:outlineLvl w:val="2"/>
      </w:pPr>
      <w:r/>
      <w:bookmarkStart w:id="352" w:name="_Toc1099"/>
      <w:r/>
      <w:bookmarkStart w:id="353" w:name="_Toc10033"/>
      <w:r/>
      <w:bookmarkStart w:id="354" w:name="_Toc26811"/>
      <w:r>
        <w:rPr>
          <w:b/>
          <w:bCs/>
          <w:szCs w:val="21"/>
        </w:rPr>
        <w:t xml:space="preserve">5、</w:t>
      </w:r>
      <w:bookmarkEnd w:id="352"/>
      <w:r/>
      <w:bookmarkEnd w:id="353"/>
      <w:r>
        <w:rPr>
          <w:b/>
          <w:bCs/>
          <w:szCs w:val="21"/>
        </w:rPr>
        <w:t xml:space="preserve">参加政府采购活动近三年内（成立时间不足三年的、自成立时间起），在经营活动中没有重大违法记录</w:t>
      </w:r>
      <w:bookmarkEnd w:id="354"/>
      <w:r>
        <w:rPr>
          <w:b/>
          <w:bCs/>
          <w:szCs w:val="21"/>
        </w:rPr>
      </w:r>
      <w:r/>
    </w:p>
    <w:p>
      <w:pPr>
        <w:pStyle w:val="1559"/>
        <w:spacing w:line="440" w:lineRule="exact"/>
        <w:tabs>
          <w:tab w:val="left" w:pos="972" w:leader="none"/>
        </w:tabs>
        <w:rPr>
          <w:szCs w:val="21"/>
        </w:rPr>
      </w:pPr>
      <w:r>
        <w:rPr>
          <w:szCs w:val="21"/>
        </w:rPr>
        <w:t xml:space="preserve">参考格式：</w:t>
      </w:r>
      <w:r>
        <w:rPr>
          <w:szCs w:val="21"/>
        </w:rPr>
        <w:tab/>
      </w:r>
      <w:r>
        <w:rPr>
          <w:szCs w:val="21"/>
        </w:rPr>
      </w:r>
      <w:r/>
    </w:p>
    <w:p>
      <w:pPr>
        <w:pStyle w:val="1559"/>
        <w:jc w:val="center"/>
        <w:rPr>
          <w:b/>
          <w:sz w:val="32"/>
          <w:szCs w:val="32"/>
        </w:rPr>
      </w:pPr>
      <w:r>
        <w:rPr>
          <w:b/>
          <w:sz w:val="32"/>
          <w:szCs w:val="32"/>
        </w:rPr>
        <w:t xml:space="preserve">无重大违法记录声明</w:t>
      </w:r>
      <w:r>
        <w:rPr>
          <w:b/>
          <w:sz w:val="32"/>
          <w:szCs w:val="32"/>
        </w:rPr>
      </w:r>
      <w:r/>
    </w:p>
    <w:p>
      <w:pPr>
        <w:pStyle w:val="1559"/>
        <w:rPr>
          <w:sz w:val="30"/>
          <w:szCs w:val="30"/>
        </w:rPr>
      </w:pPr>
      <w:r>
        <w:rPr>
          <w:sz w:val="30"/>
          <w:szCs w:val="30"/>
        </w:rPr>
      </w:r>
      <w:r/>
    </w:p>
    <w:p>
      <w:pPr>
        <w:pStyle w:val="1559"/>
        <w:ind w:firstLine="420"/>
        <w:spacing w:line="360" w:lineRule="auto"/>
      </w:pPr>
      <w:r>
        <w:rPr>
          <w:szCs w:val="21"/>
        </w:rPr>
        <w:t xml:space="preserve">江苏苏美达仪器设备有限公司</w:t>
      </w:r>
      <w:r>
        <w:t xml:space="preserve">：</w:t>
      </w:r>
      <w:r/>
    </w:p>
    <w:p>
      <w:pPr>
        <w:pStyle w:val="1559"/>
        <w:ind w:firstLine="420"/>
        <w:spacing w:line="360" w:lineRule="auto"/>
      </w:pPr>
      <w:r/>
      <w:r/>
    </w:p>
    <w:p>
      <w:pPr>
        <w:pStyle w:val="1559"/>
        <w:ind w:firstLine="420"/>
        <w:spacing w:line="360" w:lineRule="auto"/>
      </w:pPr>
      <w:r>
        <w:t xml:space="preserve">我单位</w:t>
      </w:r>
      <w:r>
        <w:rPr>
          <w:u w:val="single"/>
        </w:rPr>
        <w:t xml:space="preserve">                </w:t>
      </w:r>
      <w:r>
        <w:t xml:space="preserve">（供应商名称）郑重声明：</w:t>
      </w:r>
      <w:r/>
    </w:p>
    <w:p>
      <w:pPr>
        <w:pStyle w:val="1559"/>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559"/>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559"/>
        <w:jc w:val="left"/>
        <w:spacing w:line="440" w:lineRule="exact"/>
        <w:rPr>
          <w:sz w:val="24"/>
          <w:szCs w:val="24"/>
        </w:rPr>
      </w:pPr>
      <w:r>
        <w:rPr>
          <w:sz w:val="24"/>
          <w:szCs w:val="24"/>
        </w:rPr>
      </w:r>
      <w:r/>
    </w:p>
    <w:p>
      <w:pPr>
        <w:pStyle w:val="1559"/>
        <w:jc w:val="left"/>
        <w:spacing w:line="440" w:lineRule="exact"/>
        <w:rPr>
          <w:sz w:val="24"/>
          <w:szCs w:val="24"/>
        </w:rPr>
      </w:pPr>
      <w:r>
        <w:rPr>
          <w:sz w:val="24"/>
          <w:szCs w:val="24"/>
        </w:rPr>
      </w:r>
      <w:r/>
    </w:p>
    <w:p>
      <w:pPr>
        <w:pStyle w:val="1559"/>
        <w:spacing w:line="440" w:lineRule="exact"/>
        <w:rPr>
          <w:szCs w:val="21"/>
        </w:rPr>
      </w:pPr>
      <w:r>
        <w:rPr>
          <w:szCs w:val="21"/>
        </w:rPr>
        <w:t xml:space="preserve">投标人名称（公章）：</w:t>
      </w:r>
      <w:r>
        <w:rPr>
          <w:szCs w:val="21"/>
        </w:rPr>
      </w:r>
      <w:r/>
    </w:p>
    <w:p>
      <w:pPr>
        <w:pStyle w:val="1559"/>
        <w:spacing w:line="440" w:lineRule="exact"/>
        <w:rPr>
          <w:szCs w:val="21"/>
        </w:rPr>
      </w:pPr>
      <w:r>
        <w:rPr>
          <w:szCs w:val="21"/>
        </w:rPr>
        <w:t xml:space="preserve">授权代表（签字）：</w:t>
      </w:r>
      <w:r>
        <w:rPr>
          <w:szCs w:val="21"/>
        </w:rPr>
      </w:r>
      <w:r/>
    </w:p>
    <w:p>
      <w:pPr>
        <w:pStyle w:val="1559"/>
        <w:spacing w:line="440" w:lineRule="exact"/>
        <w:rPr>
          <w:sz w:val="24"/>
          <w:szCs w:val="24"/>
        </w:rPr>
      </w:pPr>
      <w:r>
        <w:rPr>
          <w:szCs w:val="21"/>
        </w:rPr>
        <w:t xml:space="preserve">日期：</w:t>
      </w:r>
      <w:r>
        <w:rPr>
          <w:sz w:val="24"/>
          <w:szCs w:val="24"/>
        </w:rPr>
      </w:r>
      <w:r/>
    </w:p>
    <w:p>
      <w:pPr>
        <w:pStyle w:val="1559"/>
        <w:spacing w:line="440" w:lineRule="exact"/>
        <w:rPr>
          <w:sz w:val="24"/>
          <w:szCs w:val="24"/>
        </w:rPr>
      </w:pPr>
      <w:r>
        <w:rPr>
          <w:sz w:val="24"/>
          <w:szCs w:val="24"/>
        </w:rPr>
      </w:r>
      <w:r/>
    </w:p>
    <w:p>
      <w:pPr>
        <w:pStyle w:val="1559"/>
        <w:spacing w:line="440" w:lineRule="exact"/>
        <w:rPr>
          <w:szCs w:val="21"/>
        </w:rPr>
      </w:pPr>
      <w:r>
        <w:rPr>
          <w:szCs w:val="21"/>
        </w:rPr>
      </w:r>
      <w:r/>
    </w:p>
    <w:p>
      <w:pPr>
        <w:pStyle w:val="1559"/>
        <w:spacing w:line="440" w:lineRule="exact"/>
        <w:rPr>
          <w:szCs w:val="21"/>
        </w:rPr>
      </w:pPr>
      <w:r>
        <w:rPr>
          <w:szCs w:val="21"/>
        </w:rPr>
      </w:r>
      <w:r/>
    </w:p>
    <w:p>
      <w:pPr>
        <w:pStyle w:val="1559"/>
        <w:spacing w:line="440" w:lineRule="exact"/>
        <w:rPr>
          <w:szCs w:val="21"/>
        </w:rPr>
      </w:pPr>
      <w:r>
        <w:rPr>
          <w:szCs w:val="21"/>
        </w:rPr>
      </w:r>
      <w:r/>
    </w:p>
    <w:p>
      <w:pPr>
        <w:pStyle w:val="1559"/>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559"/>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559"/>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559"/>
        <w:spacing w:line="440" w:lineRule="exact"/>
        <w:rPr>
          <w:sz w:val="24"/>
          <w:szCs w:val="24"/>
        </w:rPr>
      </w:pPr>
      <w:r>
        <w:rPr>
          <w:sz w:val="24"/>
          <w:szCs w:val="24"/>
        </w:rPr>
      </w:r>
      <w:r/>
    </w:p>
    <w:p>
      <w:pPr>
        <w:pStyle w:val="1559"/>
        <w:spacing w:line="440" w:lineRule="exact"/>
        <w:rPr>
          <w:sz w:val="24"/>
          <w:szCs w:val="24"/>
        </w:rPr>
      </w:pPr>
      <w:r>
        <w:rPr>
          <w:sz w:val="24"/>
          <w:szCs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left="-2" w:right="-5"/>
        <w:spacing w:line="440" w:lineRule="exact"/>
        <w:rPr>
          <w:sz w:val="24"/>
        </w:rPr>
      </w:pPr>
      <w:r>
        <w:rPr>
          <w:sz w:val="24"/>
        </w:rPr>
      </w:r>
      <w:r/>
    </w:p>
    <w:p>
      <w:pPr>
        <w:pStyle w:val="1559"/>
        <w:ind w:right="-5"/>
        <w:spacing w:line="440" w:lineRule="exact"/>
        <w:rPr>
          <w:sz w:val="24"/>
        </w:rPr>
      </w:pPr>
      <w:r>
        <w:rPr>
          <w:sz w:val="24"/>
        </w:rPr>
      </w:r>
      <w:r/>
    </w:p>
    <w:p>
      <w:pPr>
        <w:pStyle w:val="1559"/>
        <w:jc w:val="left"/>
        <w:spacing w:line="360" w:lineRule="auto"/>
        <w:rPr>
          <w:b/>
          <w:bCs/>
          <w:szCs w:val="21"/>
        </w:rPr>
        <w:sectPr>
          <w:footerReference w:type="first" r:id="rId27"/>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55" w:name="_Toc13811"/>
      <w:r>
        <w:rPr>
          <w:b/>
          <w:bCs/>
          <w:szCs w:val="21"/>
        </w:rPr>
      </w:r>
      <w:r/>
    </w:p>
    <w:p>
      <w:pPr>
        <w:pStyle w:val="1559"/>
        <w:jc w:val="left"/>
        <w:spacing w:line="360" w:lineRule="auto"/>
        <w:rPr>
          <w:b/>
          <w:bCs/>
          <w:szCs w:val="21"/>
        </w:rPr>
        <w:outlineLvl w:val="2"/>
      </w:pPr>
      <w:r/>
      <w:bookmarkStart w:id="356" w:name="_Toc14470"/>
      <w:r/>
      <w:bookmarkStart w:id="357" w:name="_Toc810"/>
      <w:r>
        <w:rPr>
          <w:b/>
          <w:bCs/>
          <w:szCs w:val="21"/>
        </w:rPr>
        <w:t xml:space="preserve">6、依法缴纳税收的记录</w:t>
      </w:r>
      <w:bookmarkEnd w:id="355"/>
      <w:r/>
      <w:bookmarkEnd w:id="356"/>
      <w:r/>
      <w:bookmarkEnd w:id="357"/>
      <w:r>
        <w:rPr>
          <w:b/>
          <w:bCs/>
          <w:szCs w:val="21"/>
        </w:rPr>
      </w:r>
      <w:r/>
    </w:p>
    <w:p>
      <w:pPr>
        <w:pStyle w:val="1559"/>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Cs w:val="21"/>
        </w:rPr>
      </w:pPr>
      <w:r>
        <w:rPr>
          <w:szCs w:val="21"/>
        </w:rPr>
        <w:t xml:space="preserve">投标人名称（公章）：</w:t>
      </w:r>
      <w:r>
        <w:rPr>
          <w:szCs w:val="21"/>
        </w:rPr>
      </w:r>
      <w:r/>
    </w:p>
    <w:p>
      <w:pPr>
        <w:pStyle w:val="1559"/>
        <w:spacing w:line="440" w:lineRule="exact"/>
        <w:rPr>
          <w:szCs w:val="21"/>
        </w:rPr>
      </w:pPr>
      <w:r>
        <w:rPr>
          <w:szCs w:val="21"/>
        </w:rPr>
        <w:t xml:space="preserve">授权代表（签字）：</w:t>
      </w:r>
      <w:r>
        <w:rPr>
          <w:szCs w:val="21"/>
        </w:rPr>
      </w:r>
      <w:r/>
    </w:p>
    <w:p>
      <w:pPr>
        <w:pStyle w:val="1559"/>
        <w:spacing w:line="440" w:lineRule="exact"/>
        <w:rPr>
          <w:sz w:val="24"/>
          <w:szCs w:val="24"/>
        </w:rPr>
      </w:pPr>
      <w:r>
        <w:rPr>
          <w:szCs w:val="21"/>
        </w:rPr>
        <w:t xml:space="preserve">日期：</w:t>
      </w:r>
      <w:r>
        <w:rPr>
          <w:sz w:val="24"/>
          <w:szCs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spacing w:line="440" w:lineRule="exact"/>
        <w:rPr>
          <w:sz w:val="24"/>
        </w:rPr>
      </w:pPr>
      <w:r>
        <w:rPr>
          <w:sz w:val="24"/>
        </w:rPr>
      </w:r>
      <w:r/>
    </w:p>
    <w:p>
      <w:pPr>
        <w:pStyle w:val="1559"/>
        <w:jc w:val="left"/>
        <w:spacing w:line="360" w:lineRule="auto"/>
        <w:rPr>
          <w:b/>
          <w:bCs/>
          <w:szCs w:val="21"/>
        </w:rPr>
        <w:outlineLvl w:val="2"/>
      </w:pPr>
      <w:r/>
      <w:bookmarkStart w:id="358" w:name="_Toc17181"/>
      <w:r>
        <w:rPr>
          <w:b/>
          <w:bCs/>
          <w:szCs w:val="21"/>
        </w:rPr>
        <w:br w:type="page" w:clear="all"/>
      </w:r>
      <w:bookmarkStart w:id="359" w:name="_Toc31194"/>
      <w:r/>
      <w:bookmarkStart w:id="360" w:name="_Toc970"/>
      <w:r>
        <w:rPr>
          <w:b/>
          <w:bCs/>
          <w:szCs w:val="21"/>
        </w:rPr>
        <w:t xml:space="preserve">7、依法缴纳社会保障资金的记录</w:t>
      </w:r>
      <w:bookmarkEnd w:id="358"/>
      <w:r/>
      <w:bookmarkEnd w:id="359"/>
      <w:r/>
      <w:bookmarkEnd w:id="360"/>
      <w:r>
        <w:rPr>
          <w:b/>
          <w:bCs/>
          <w:szCs w:val="21"/>
        </w:rPr>
      </w:r>
      <w:r/>
    </w:p>
    <w:p>
      <w:pPr>
        <w:pStyle w:val="1559"/>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559"/>
        <w:spacing w:after="120" w:line="440" w:lineRule="exact"/>
      </w:pPr>
      <w:r>
        <w:t xml:space="preserve">（2）依法不需要缴纳社会保障资金的，应提供相应的文件证明。 </w:t>
      </w:r>
      <w:r/>
    </w:p>
    <w:p>
      <w:pPr>
        <w:pStyle w:val="1559"/>
        <w:spacing w:line="440" w:lineRule="exact"/>
        <w:rPr>
          <w:sz w:val="24"/>
        </w:rPr>
      </w:pPr>
      <w:r>
        <w:rPr>
          <w:sz w:val="24"/>
        </w:rPr>
      </w:r>
      <w:r/>
    </w:p>
    <w:p>
      <w:pPr>
        <w:pStyle w:val="1559"/>
        <w:spacing w:line="440" w:lineRule="exact"/>
        <w:rPr>
          <w:b/>
        </w:rPr>
      </w:pPr>
      <w:r>
        <w:rPr>
          <w:b/>
        </w:rPr>
        <w:t xml:space="preserve">  </w:t>
      </w:r>
      <w:r>
        <w:rPr>
          <w:b/>
        </w:rPr>
      </w:r>
      <w:r/>
    </w:p>
    <w:p>
      <w:pPr>
        <w:pStyle w:val="1559"/>
        <w:spacing w:line="440" w:lineRule="exact"/>
        <w:rPr>
          <w:b/>
        </w:rPr>
      </w:pPr>
      <w:r>
        <w:rPr>
          <w:b/>
        </w:rPr>
      </w:r>
      <w:r/>
    </w:p>
    <w:p>
      <w:pPr>
        <w:pStyle w:val="1559"/>
        <w:spacing w:line="440" w:lineRule="exact"/>
        <w:rPr>
          <w:sz w:val="24"/>
        </w:rPr>
      </w:pPr>
      <w:r>
        <w:rPr>
          <w:sz w:val="24"/>
        </w:rPr>
      </w:r>
      <w:r/>
    </w:p>
    <w:p>
      <w:pPr>
        <w:pStyle w:val="1559"/>
        <w:spacing w:line="440" w:lineRule="exact"/>
        <w:rPr>
          <w:szCs w:val="21"/>
        </w:rPr>
      </w:pPr>
      <w:r>
        <w:rPr>
          <w:szCs w:val="21"/>
        </w:rPr>
        <w:t xml:space="preserve">投标人名称（公章）：</w:t>
      </w:r>
      <w:r>
        <w:rPr>
          <w:szCs w:val="21"/>
        </w:rPr>
      </w:r>
      <w:r/>
    </w:p>
    <w:p>
      <w:pPr>
        <w:pStyle w:val="1559"/>
        <w:spacing w:line="440" w:lineRule="exact"/>
        <w:rPr>
          <w:szCs w:val="21"/>
        </w:rPr>
      </w:pPr>
      <w:r>
        <w:rPr>
          <w:szCs w:val="21"/>
        </w:rPr>
        <w:t xml:space="preserve">授权代表（签字）：</w:t>
      </w:r>
      <w:r>
        <w:rPr>
          <w:szCs w:val="21"/>
        </w:rPr>
      </w:r>
      <w:r/>
    </w:p>
    <w:p>
      <w:pPr>
        <w:pStyle w:val="1559"/>
        <w:spacing w:line="440" w:lineRule="exact"/>
        <w:rPr>
          <w:sz w:val="24"/>
          <w:szCs w:val="24"/>
        </w:rPr>
      </w:pPr>
      <w:r>
        <w:rPr>
          <w:szCs w:val="21"/>
        </w:rPr>
        <w:t xml:space="preserve">日期：</w:t>
      </w:r>
      <w:r>
        <w:rPr>
          <w:sz w:val="24"/>
          <w:szCs w:val="24"/>
        </w:rPr>
      </w:r>
      <w:r/>
    </w:p>
    <w:p>
      <w:pPr>
        <w:pStyle w:val="1559"/>
        <w:spacing w:line="440" w:lineRule="exact"/>
        <w:rPr>
          <w:sz w:val="24"/>
        </w:rPr>
      </w:pPr>
      <w:r>
        <w:rPr>
          <w:sz w:val="24"/>
        </w:rPr>
      </w:r>
      <w:r/>
    </w:p>
    <w:p>
      <w:pPr>
        <w:pStyle w:val="1559"/>
        <w:spacing w:line="440" w:lineRule="exact"/>
        <w:rPr>
          <w:b/>
        </w:rPr>
      </w:pPr>
      <w:r>
        <w:rPr>
          <w:b/>
        </w:rPr>
      </w:r>
      <w:r/>
    </w:p>
    <w:p>
      <w:pPr>
        <w:pStyle w:val="1559"/>
        <w:jc w:val="center"/>
        <w:spacing w:line="440" w:lineRule="exact"/>
      </w:pPr>
      <w:r/>
      <w:r/>
    </w:p>
    <w:p>
      <w:pPr>
        <w:pStyle w:val="1559"/>
        <w:spacing w:line="440" w:lineRule="exact"/>
        <w:rPr>
          <w:b/>
        </w:rPr>
      </w:pPr>
      <w:r>
        <w:rPr>
          <w:b/>
        </w:rPr>
      </w:r>
      <w:r/>
    </w:p>
    <w:p>
      <w:pPr>
        <w:pStyle w:val="1559"/>
        <w:ind w:right="-5"/>
        <w:spacing w:line="440" w:lineRule="exact"/>
        <w:rPr>
          <w:b/>
        </w:rPr>
      </w:pPr>
      <w:r>
        <w:rPr>
          <w:b/>
        </w:rPr>
      </w:r>
      <w:r/>
    </w:p>
    <w:p>
      <w:pPr>
        <w:pStyle w:val="1559"/>
        <w:ind w:right="-5"/>
        <w:spacing w:line="440" w:lineRule="exact"/>
        <w:rPr>
          <w:b/>
        </w:rPr>
      </w:pPr>
      <w:r>
        <w:rPr>
          <w:b/>
        </w:rPr>
      </w:r>
      <w:r/>
    </w:p>
    <w:p>
      <w:pPr>
        <w:pStyle w:val="1559"/>
        <w:ind w:right="-5"/>
        <w:spacing w:line="440" w:lineRule="exact"/>
        <w:rPr>
          <w:b/>
        </w:rPr>
      </w:pPr>
      <w:r>
        <w:rPr>
          <w:b/>
        </w:rPr>
      </w:r>
      <w:r/>
    </w:p>
    <w:p>
      <w:pPr>
        <w:pStyle w:val="1559"/>
        <w:ind w:right="-5"/>
        <w:spacing w:line="440" w:lineRule="exact"/>
        <w:rPr>
          <w:b/>
        </w:rPr>
      </w:pPr>
      <w:r>
        <w:rPr>
          <w:b/>
        </w:rPr>
      </w:r>
      <w:r/>
    </w:p>
    <w:p>
      <w:pPr>
        <w:pStyle w:val="1559"/>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559"/>
        <w:jc w:val="left"/>
        <w:spacing w:line="360" w:lineRule="auto"/>
        <w:rPr>
          <w:b/>
          <w:bCs/>
          <w:szCs w:val="21"/>
        </w:rPr>
        <w:outlineLvl w:val="2"/>
      </w:pPr>
      <w:r/>
      <w:bookmarkStart w:id="361" w:name="_Toc9645"/>
      <w:r/>
      <w:bookmarkStart w:id="362" w:name="_Toc17743"/>
      <w:r/>
      <w:bookmarkStart w:id="363" w:name="_Toc8972"/>
      <w:r>
        <w:rPr>
          <w:b/>
          <w:bCs/>
          <w:szCs w:val="21"/>
        </w:rPr>
        <w:t xml:space="preserve">8、</w:t>
      </w:r>
      <w:bookmarkEnd w:id="361"/>
      <w:r>
        <w:rPr>
          <w:b/>
          <w:bCs/>
          <w:color w:val="000000"/>
          <w:szCs w:val="21"/>
        </w:rPr>
        <w:t xml:space="preserve">针对</w:t>
      </w:r>
      <w:r>
        <w:rPr>
          <w:b/>
          <w:bCs/>
          <w:szCs w:val="21"/>
        </w:rPr>
        <w:t xml:space="preserve">本项目的特定资格要求</w:t>
      </w:r>
      <w:bookmarkEnd w:id="362"/>
      <w:r/>
      <w:bookmarkEnd w:id="363"/>
      <w:r>
        <w:rPr>
          <w:b/>
          <w:bCs/>
          <w:szCs w:val="21"/>
        </w:rPr>
      </w:r>
      <w:r/>
    </w:p>
    <w:p>
      <w:pPr>
        <w:pStyle w:val="1559"/>
        <w:spacing w:line="440" w:lineRule="exact"/>
        <w:rPr>
          <w:szCs w:val="21"/>
        </w:rPr>
      </w:pPr>
      <w:r/>
      <w:bookmarkStart w:id="364" w:name="_Toc9807"/>
      <w:r/>
      <w:bookmarkStart w:id="365" w:name="_Toc20105"/>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559"/>
        <w:spacing w:line="440" w:lineRule="exact"/>
        <w:rPr>
          <w:szCs w:val="21"/>
        </w:rPr>
      </w:pPr>
      <w:r>
        <w:rPr>
          <w:szCs w:val="21"/>
        </w:rPr>
        <w:t xml:space="preserve">授权代表（签字）：</w:t>
      </w:r>
      <w:r>
        <w:rPr>
          <w:szCs w:val="21"/>
        </w:rPr>
      </w:r>
      <w:r/>
    </w:p>
    <w:p>
      <w:pPr>
        <w:pStyle w:val="1559"/>
        <w:spacing w:line="440" w:lineRule="exact"/>
        <w:rPr>
          <w:sz w:val="24"/>
          <w:szCs w:val="24"/>
        </w:rPr>
      </w:pPr>
      <w:r>
        <w:rPr>
          <w:szCs w:val="21"/>
        </w:rPr>
        <w:t xml:space="preserve">日期：</w:t>
      </w:r>
      <w:r>
        <w:rPr>
          <w:sz w:val="24"/>
          <w:szCs w:val="24"/>
        </w:rPr>
      </w:r>
      <w:r/>
    </w:p>
    <w:p>
      <w:pPr>
        <w:pStyle w:val="1559"/>
        <w:spacing w:line="480" w:lineRule="exact"/>
        <w:widowControl/>
        <w:rPr>
          <w:rFonts w:ascii="宋体" w:hAnsi="宋体" w:cs="宋体"/>
          <w:b/>
          <w:bCs/>
          <w:szCs w:val="21"/>
        </w:rPr>
        <w:outlineLvl w:val="2"/>
      </w:pPr>
      <w:r>
        <w:rPr>
          <w:b/>
          <w:bCs/>
          <w:szCs w:val="21"/>
        </w:rPr>
        <w:br w:type="page" w:clear="all"/>
      </w:r>
      <w:bookmarkStart w:id="366" w:name="_Toc28434"/>
      <w:r>
        <w:rPr>
          <w:b/>
          <w:bCs/>
          <w:szCs w:val="21"/>
        </w:rPr>
        <w:t xml:space="preserve">9、</w:t>
      </w:r>
      <w:bookmarkEnd w:id="364"/>
      <w:r/>
      <w:bookmarkEnd w:id="365"/>
      <w:r/>
      <w:bookmarkStart w:id="367" w:name="_Toc6517"/>
      <w:r/>
      <w:bookmarkStart w:id="368" w:name="_Toc20191"/>
      <w:r>
        <w:rPr>
          <w:rFonts w:hint="eastAsia" w:ascii="宋体" w:hAnsi="宋体" w:cs="宋体"/>
          <w:b/>
          <w:bCs/>
          <w:szCs w:val="21"/>
        </w:rPr>
        <w:t xml:space="preserve">符合招标文件第一章“拒绝下述供应商参加本次采购活动的情形”中第 1）条的声明或证明材料（加盖单位公章）</w:t>
      </w:r>
      <w:bookmarkEnd w:id="366"/>
      <w:r/>
      <w:bookmarkEnd w:id="367"/>
      <w:r/>
      <w:bookmarkEnd w:id="368"/>
      <w:r>
        <w:rPr>
          <w:rFonts w:hint="eastAsia" w:ascii="宋体" w:hAnsi="宋体" w:cs="宋体"/>
          <w:b/>
          <w:bCs/>
          <w:szCs w:val="21"/>
        </w:rPr>
        <w:t xml:space="preserve"> </w:t>
      </w:r>
      <w:r>
        <w:rPr>
          <w:rFonts w:ascii="宋体" w:hAnsi="宋体" w:cs="宋体"/>
          <w:b/>
          <w:bCs/>
          <w:szCs w:val="21"/>
        </w:rPr>
      </w:r>
      <w:r/>
    </w:p>
    <w:p>
      <w:pPr>
        <w:pStyle w:val="1559"/>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559"/>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559"/>
        <w:ind w:left="1260"/>
        <w:rPr>
          <w:rFonts w:hint="eastAsia"/>
        </w:rPr>
      </w:pPr>
      <w:r>
        <w:rPr>
          <w:rFonts w:hint="eastAsia"/>
        </w:rPr>
      </w:r>
      <w:r/>
    </w:p>
    <w:p>
      <w:pPr>
        <w:pStyle w:val="1559"/>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559"/>
        <w:jc w:val="left"/>
        <w:spacing w:line="360" w:lineRule="auto"/>
        <w:rPr>
          <w:rFonts w:hint="eastAsia" w:ascii="宋体" w:hAnsi="宋体" w:cs="宋体"/>
          <w:b/>
          <w:bCs/>
          <w:szCs w:val="21"/>
        </w:rPr>
      </w:pPr>
      <w:r>
        <w:rPr>
          <w:rFonts w:hint="eastAsia" w:ascii="宋体" w:hAnsi="宋体" w:cs="宋体"/>
          <w:b/>
          <w:bCs/>
          <w:szCs w:val="21"/>
        </w:rPr>
      </w:r>
      <w:r/>
    </w:p>
    <w:p>
      <w:pPr>
        <w:pStyle w:val="1559"/>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559"/>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559"/>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559"/>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559"/>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559"/>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559"/>
        <w:spacing w:line="360" w:lineRule="auto"/>
        <w:rPr>
          <w:rFonts w:hint="eastAsia" w:ascii="宋体" w:hAnsi="宋体" w:cs="宋体"/>
          <w:szCs w:val="21"/>
        </w:rPr>
      </w:pPr>
      <w:r>
        <w:rPr>
          <w:rFonts w:hint="eastAsia" w:ascii="宋体" w:hAnsi="宋体" w:cs="宋体"/>
          <w:szCs w:val="21"/>
        </w:rPr>
      </w:r>
      <w:r/>
    </w:p>
    <w:p>
      <w:pPr>
        <w:pStyle w:val="1559"/>
        <w:spacing w:line="440" w:lineRule="exact"/>
        <w:rPr>
          <w:szCs w:val="21"/>
        </w:rPr>
      </w:pPr>
      <w:r>
        <w:rPr>
          <w:szCs w:val="21"/>
        </w:rPr>
        <w:t xml:space="preserve">投标人名称（公章）：</w:t>
      </w:r>
      <w:r>
        <w:rPr>
          <w:szCs w:val="21"/>
        </w:rPr>
      </w:r>
      <w:r/>
    </w:p>
    <w:p>
      <w:pPr>
        <w:pStyle w:val="1559"/>
        <w:spacing w:line="440" w:lineRule="exact"/>
        <w:rPr>
          <w:szCs w:val="21"/>
        </w:rPr>
      </w:pPr>
      <w:r>
        <w:rPr>
          <w:szCs w:val="21"/>
        </w:rPr>
        <w:t xml:space="preserve">授权代表（签字）：</w:t>
      </w:r>
      <w:r>
        <w:rPr>
          <w:szCs w:val="21"/>
        </w:rPr>
      </w:r>
      <w:r/>
    </w:p>
    <w:p>
      <w:pPr>
        <w:pStyle w:val="1559"/>
        <w:spacing w:line="440" w:lineRule="exact"/>
        <w:rPr>
          <w:sz w:val="24"/>
          <w:szCs w:val="24"/>
        </w:rPr>
      </w:pPr>
      <w:r>
        <w:rPr>
          <w:szCs w:val="21"/>
        </w:rPr>
        <w:t xml:space="preserve">日期：</w:t>
      </w:r>
      <w:r>
        <w:rPr>
          <w:sz w:val="24"/>
          <w:szCs w:val="24"/>
        </w:rPr>
      </w:r>
      <w:r/>
    </w:p>
    <w:p>
      <w:pPr>
        <w:pStyle w:val="1559"/>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559"/>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559"/>
        <w:rPr>
          <w:rFonts w:hint="eastAsia" w:ascii="宋体" w:hAnsi="宋体" w:cs="宋体"/>
          <w:b/>
          <w:bCs/>
          <w:szCs w:val="21"/>
        </w:rPr>
        <w:outlineLvl w:val="2"/>
      </w:pPr>
      <w:r/>
      <w:bookmarkStart w:id="369" w:name="_Toc9743"/>
      <w:r/>
      <w:bookmarkStart w:id="370" w:name="_Toc24244"/>
      <w:r/>
      <w:bookmarkStart w:id="371" w:name="_Toc30898"/>
      <w:r/>
      <w:bookmarkStart w:id="372" w:name="_Toc21934"/>
      <w:r/>
      <w:bookmarkStart w:id="373" w:name="_Toc10766"/>
      <w:r>
        <w:rPr>
          <w:rFonts w:hint="eastAsia" w:ascii="宋体" w:hAnsi="宋体" w:cs="宋体"/>
          <w:b/>
          <w:bCs/>
          <w:szCs w:val="21"/>
        </w:rPr>
        <w:t xml:space="preserve">10、符合招标文件第一章“拒绝下述供应商参加本次采购活动的情形”中第 2）条的声明（加盖单位公章）</w:t>
      </w:r>
      <w:bookmarkEnd w:id="369"/>
      <w:r/>
      <w:bookmarkEnd w:id="370"/>
      <w:r/>
      <w:bookmarkEnd w:id="371"/>
      <w:r/>
      <w:bookmarkEnd w:id="372"/>
      <w:r/>
      <w:bookmarkEnd w:id="373"/>
      <w:r>
        <w:rPr>
          <w:rFonts w:hint="eastAsia" w:ascii="宋体" w:hAnsi="宋体" w:cs="宋体"/>
          <w:b/>
          <w:bCs/>
          <w:szCs w:val="21"/>
        </w:rPr>
      </w:r>
      <w:r/>
    </w:p>
    <w:p>
      <w:pPr>
        <w:pStyle w:val="1559"/>
        <w:ind w:firstLine="210"/>
        <w:rPr>
          <w:rFonts w:hint="eastAsia" w:ascii="宋体" w:hAnsi="宋体" w:cs="宋体"/>
          <w:szCs w:val="21"/>
        </w:rPr>
      </w:pPr>
      <w:r>
        <w:rPr>
          <w:rFonts w:hint="eastAsia" w:ascii="宋体" w:hAnsi="宋体" w:cs="宋体"/>
          <w:szCs w:val="21"/>
        </w:rPr>
      </w:r>
      <w:r/>
    </w:p>
    <w:p>
      <w:pPr>
        <w:pStyle w:val="1559"/>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559"/>
        <w:rPr>
          <w:rFonts w:hint="eastAsia" w:ascii="宋体" w:hAnsi="宋体" w:cs="宋体"/>
          <w:szCs w:val="21"/>
        </w:rPr>
      </w:pPr>
      <w:r>
        <w:rPr>
          <w:rFonts w:hint="eastAsia" w:ascii="宋体" w:hAnsi="宋体" w:cs="宋体"/>
          <w:szCs w:val="21"/>
        </w:rPr>
      </w:r>
      <w:r/>
    </w:p>
    <w:p>
      <w:pPr>
        <w:pStyle w:val="1559"/>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559"/>
        <w:ind w:firstLine="420"/>
        <w:rPr>
          <w:rFonts w:ascii="宋体" w:hAnsi="宋体" w:cs="宋体"/>
          <w:szCs w:val="21"/>
        </w:rPr>
      </w:pPr>
      <w:r>
        <w:rPr>
          <w:rFonts w:ascii="宋体" w:hAnsi="宋体" w:cs="宋体"/>
          <w:szCs w:val="21"/>
        </w:rPr>
      </w:r>
      <w:r/>
    </w:p>
    <w:p>
      <w:pPr>
        <w:pStyle w:val="1559"/>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559"/>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559"/>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559"/>
        <w:ind w:firstLine="211"/>
        <w:rPr>
          <w:rFonts w:hint="eastAsia" w:ascii="宋体" w:hAnsi="宋体" w:cs="宋体"/>
          <w:b/>
          <w:bCs/>
          <w:szCs w:val="21"/>
        </w:rPr>
      </w:pPr>
      <w:r>
        <w:rPr>
          <w:rFonts w:hint="eastAsia" w:ascii="宋体" w:hAnsi="宋体" w:cs="宋体"/>
          <w:b/>
          <w:bCs/>
          <w:szCs w:val="21"/>
        </w:rPr>
      </w:r>
      <w:r/>
    </w:p>
    <w:p>
      <w:pPr>
        <w:pStyle w:val="1559"/>
        <w:spacing w:line="440" w:lineRule="exact"/>
        <w:rPr>
          <w:szCs w:val="21"/>
        </w:rPr>
      </w:pPr>
      <w:r/>
      <w:bookmarkStart w:id="374" w:name="_Toc24775"/>
      <w:r/>
      <w:bookmarkStart w:id="375" w:name="_Toc25559"/>
      <w:r/>
      <w:bookmarkStart w:id="376" w:name="_Toc3794"/>
      <w:r/>
      <w:bookmarkStart w:id="377" w:name="_Toc27347"/>
      <w:r/>
      <w:bookmarkStart w:id="378" w:name="_Toc5579"/>
      <w:r>
        <w:rPr>
          <w:szCs w:val="21"/>
        </w:rPr>
        <w:t xml:space="preserve">投标人名称（公章）：</w:t>
      </w:r>
      <w:r>
        <w:rPr>
          <w:szCs w:val="21"/>
        </w:rPr>
      </w:r>
      <w:r/>
    </w:p>
    <w:p>
      <w:pPr>
        <w:pStyle w:val="1559"/>
        <w:spacing w:line="440" w:lineRule="exact"/>
        <w:rPr>
          <w:szCs w:val="21"/>
        </w:rPr>
      </w:pPr>
      <w:r>
        <w:rPr>
          <w:szCs w:val="21"/>
        </w:rPr>
        <w:t xml:space="preserve">授权代表（签字）：</w:t>
      </w:r>
      <w:r>
        <w:rPr>
          <w:szCs w:val="21"/>
        </w:rPr>
      </w:r>
      <w:r/>
    </w:p>
    <w:p>
      <w:pPr>
        <w:pStyle w:val="1559"/>
        <w:spacing w:line="440" w:lineRule="exact"/>
        <w:rPr>
          <w:sz w:val="24"/>
          <w:szCs w:val="24"/>
        </w:rPr>
      </w:pPr>
      <w:r>
        <w:rPr>
          <w:szCs w:val="21"/>
        </w:rPr>
        <w:t xml:space="preserve">日期：</w:t>
      </w:r>
      <w:r>
        <w:rPr>
          <w:sz w:val="24"/>
          <w:szCs w:val="24"/>
        </w:rPr>
      </w:r>
      <w:r/>
    </w:p>
    <w:p>
      <w:pPr>
        <w:pStyle w:val="1559"/>
        <w:jc w:val="left"/>
        <w:spacing w:line="440" w:lineRule="exact"/>
        <w:rPr>
          <w:rFonts w:hint="eastAsia" w:ascii="宋体" w:hAnsi="宋体" w:cs="宋体"/>
          <w:b/>
          <w:bCs/>
          <w:szCs w:val="21"/>
        </w:rPr>
        <w:outlineLvl w:val="2"/>
      </w:pPr>
      <w:r>
        <w:rPr>
          <w:rFonts w:hint="eastAsia" w:ascii="宋体" w:hAnsi="宋体" w:cs="宋体"/>
          <w:b/>
          <w:bCs/>
          <w:szCs w:val="21"/>
        </w:rPr>
        <w:br w:type="page" w:clear="all"/>
      </w:r>
      <w:bookmarkStart w:id="379" w:name="_Toc9886"/>
      <w:r>
        <w:rPr>
          <w:rFonts w:hint="eastAsia" w:ascii="宋体" w:hAnsi="宋体" w:cs="宋体"/>
          <w:b/>
          <w:bCs/>
          <w:szCs w:val="21"/>
        </w:rPr>
        <w:t xml:space="preserve">11、本项目不接受联合体投标，中标后不允许分包、转包。</w:t>
      </w:r>
      <w:bookmarkEnd w:id="374"/>
      <w:r/>
      <w:bookmarkEnd w:id="375"/>
      <w:r/>
      <w:bookmarkEnd w:id="376"/>
      <w:r/>
      <w:bookmarkEnd w:id="377"/>
      <w:r/>
      <w:bookmarkEnd w:id="379"/>
      <w:r>
        <w:rPr>
          <w:rFonts w:hint="eastAsia" w:ascii="宋体" w:hAnsi="宋体" w:cs="宋体"/>
          <w:b/>
          <w:bCs/>
          <w:szCs w:val="21"/>
        </w:rPr>
      </w:r>
      <w:r/>
    </w:p>
    <w:p>
      <w:pPr>
        <w:pStyle w:val="1559"/>
        <w:jc w:val="left"/>
        <w:spacing w:line="440" w:lineRule="exact"/>
        <w:rPr>
          <w:rFonts w:hint="eastAsia" w:ascii="宋体" w:hAnsi="宋体" w:cs="宋体"/>
          <w:szCs w:val="21"/>
        </w:rPr>
        <w:outlineLvl w:val="2"/>
      </w:pPr>
      <w:r/>
      <w:bookmarkStart w:id="380" w:name="_Toc2936"/>
      <w:r/>
      <w:bookmarkStart w:id="381" w:name="_Toc10285"/>
      <w:r/>
      <w:bookmarkStart w:id="382" w:name="_Toc6011"/>
      <w:r/>
      <w:bookmarkStart w:id="383" w:name="_Toc4172"/>
      <w:r/>
      <w:bookmarkStart w:id="384" w:name="_Toc22262"/>
      <w:r>
        <w:rPr>
          <w:rFonts w:hint="eastAsia" w:ascii="宋体" w:hAnsi="宋体" w:cs="宋体"/>
          <w:szCs w:val="21"/>
        </w:rPr>
        <w:t xml:space="preserve">参考格式：</w:t>
      </w:r>
      <w:bookmarkEnd w:id="378"/>
      <w:r/>
      <w:bookmarkEnd w:id="380"/>
      <w:r/>
      <w:bookmarkEnd w:id="381"/>
      <w:r/>
      <w:bookmarkEnd w:id="382"/>
      <w:r/>
      <w:bookmarkEnd w:id="383"/>
      <w:r/>
      <w:bookmarkEnd w:id="384"/>
      <w:r>
        <w:rPr>
          <w:rFonts w:hint="eastAsia" w:ascii="宋体" w:hAnsi="宋体" w:cs="宋体"/>
          <w:szCs w:val="21"/>
        </w:rPr>
      </w:r>
      <w:r/>
    </w:p>
    <w:p>
      <w:pPr>
        <w:pStyle w:val="1559"/>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559"/>
        <w:rPr>
          <w:rFonts w:hint="eastAsia" w:ascii="宋体" w:hAnsi="宋体" w:cs="宋体"/>
          <w:sz w:val="24"/>
          <w:szCs w:val="22"/>
        </w:rPr>
      </w:pPr>
      <w:r>
        <w:rPr>
          <w:rFonts w:hint="eastAsia" w:ascii="宋体" w:hAnsi="宋体" w:cs="宋体"/>
          <w:sz w:val="24"/>
          <w:szCs w:val="22"/>
        </w:rPr>
      </w:r>
      <w:r/>
    </w:p>
    <w:p>
      <w:pPr>
        <w:pStyle w:val="1559"/>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559"/>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559"/>
        <w:rPr>
          <w:rFonts w:hint="eastAsia" w:ascii="宋体" w:hAnsi="宋体" w:cs="宋体"/>
          <w:sz w:val="24"/>
          <w:szCs w:val="22"/>
        </w:rPr>
      </w:pPr>
      <w:r>
        <w:rPr>
          <w:rFonts w:hint="eastAsia" w:ascii="宋体" w:hAnsi="宋体" w:cs="宋体"/>
          <w:sz w:val="24"/>
          <w:szCs w:val="22"/>
        </w:rPr>
      </w:r>
      <w:r/>
    </w:p>
    <w:p>
      <w:pPr>
        <w:pStyle w:val="1559"/>
        <w:ind w:left="-2" w:right="-5"/>
        <w:spacing w:line="360" w:lineRule="auto"/>
        <w:rPr>
          <w:rFonts w:hint="eastAsia" w:ascii="宋体" w:hAnsi="宋体" w:cs="宋体"/>
          <w:szCs w:val="21"/>
        </w:rPr>
      </w:pPr>
      <w:r>
        <w:rPr>
          <w:rFonts w:hint="eastAsia" w:ascii="宋体" w:hAnsi="宋体" w:cs="宋体"/>
          <w:szCs w:val="21"/>
        </w:rPr>
      </w:r>
      <w:r/>
    </w:p>
    <w:p>
      <w:pPr>
        <w:pStyle w:val="1559"/>
        <w:ind w:left="-2" w:right="-5"/>
        <w:spacing w:line="360" w:lineRule="auto"/>
        <w:rPr>
          <w:rFonts w:hint="eastAsia" w:ascii="宋体" w:hAnsi="宋体" w:cs="宋体"/>
          <w:szCs w:val="21"/>
        </w:rPr>
      </w:pP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559"/>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559"/>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559"/>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559"/>
        <w:spacing w:line="360" w:lineRule="auto"/>
        <w:rPr>
          <w:b/>
          <w:color w:val="000000"/>
          <w:sz w:val="24"/>
          <w:lang w:val="zh-CN"/>
        </w:rPr>
        <w:outlineLvl w:val="1"/>
      </w:pPr>
      <w:r/>
      <w:bookmarkStart w:id="385" w:name="_Toc9255"/>
      <w:r/>
      <w:bookmarkStart w:id="386" w:name="_Toc22079"/>
      <w:r/>
      <w:bookmarkStart w:id="387" w:name="_Toc13144"/>
      <w:r>
        <w:rPr>
          <w:b/>
          <w:bCs/>
          <w:sz w:val="24"/>
          <w:szCs w:val="22"/>
          <w:lang w:val="zh-CN"/>
        </w:rPr>
        <w:t xml:space="preserve">附件</w:t>
      </w:r>
      <w:r>
        <w:rPr>
          <w:rFonts w:hint="eastAsia"/>
          <w:b/>
          <w:bCs/>
          <w:sz w:val="24"/>
          <w:szCs w:val="22"/>
        </w:rPr>
        <w:t xml:space="preserve">八</w:t>
      </w:r>
      <w:r>
        <w:rPr>
          <w:b/>
          <w:bCs/>
          <w:sz w:val="24"/>
          <w:szCs w:val="22"/>
          <w:lang w:val="zh-CN"/>
        </w:rPr>
        <w:t xml:space="preserve"> 供应商认为应提供的其他材料</w:t>
      </w:r>
      <w:bookmarkEnd w:id="385"/>
      <w:r/>
      <w:bookmarkEnd w:id="386"/>
      <w:r/>
      <w:bookmarkEnd w:id="387"/>
      <w:r>
        <w:rPr>
          <w:b/>
          <w:color w:val="000000"/>
          <w:sz w:val="24"/>
          <w:lang w:val="zh-CN"/>
        </w:rPr>
      </w:r>
      <w:r/>
    </w:p>
    <w:p>
      <w:pPr>
        <w:pStyle w:val="1559"/>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559"/>
        <w:rPr>
          <w:b/>
          <w:color w:val="000000"/>
          <w:sz w:val="24"/>
          <w:lang w:val="zh-CN"/>
        </w:rPr>
      </w:pPr>
      <w:r>
        <w:rPr>
          <w:b/>
          <w:color w:val="000000"/>
          <w:sz w:val="24"/>
          <w:lang w:val="zh-CN"/>
        </w:rPr>
      </w:r>
      <w:r/>
    </w:p>
    <w:p>
      <w:pPr>
        <w:pStyle w:val="1559"/>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559"/>
        <w:spacing w:line="240" w:lineRule="atLeast"/>
        <w:rPr>
          <w:rFonts w:ascii="Arial" w:hAnsi="Arial" w:cs="Arial"/>
          <w:b/>
          <w:color w:val="000000"/>
          <w:sz w:val="24"/>
          <w:lang w:val="zh-CN"/>
        </w:rPr>
      </w:pPr>
      <w:r>
        <w:rPr>
          <w:rFonts w:ascii="Arial" w:hAnsi="Arial" w:cs="Arial"/>
          <w:b/>
          <w:color w:val="000000"/>
          <w:sz w:val="24"/>
          <w:lang w:val="zh-CN"/>
        </w:rPr>
      </w:r>
      <w:r/>
    </w:p>
    <w:p>
      <w:pPr>
        <w:pStyle w:val="1559"/>
        <w:spacing w:line="240" w:lineRule="atLeast"/>
        <w:rPr>
          <w:rFonts w:ascii="Arial" w:hAnsi="Arial" w:cs="Arial"/>
          <w:b/>
          <w:color w:val="000000"/>
          <w:sz w:val="24"/>
          <w:lang w:val="zh-CN"/>
        </w:rPr>
      </w:pPr>
      <w:r>
        <w:rPr>
          <w:rFonts w:ascii="Arial" w:hAnsi="Arial" w:cs="Arial"/>
          <w:b/>
          <w:color w:val="000000"/>
          <w:sz w:val="24"/>
          <w:lang w:val="zh-CN"/>
        </w:rPr>
      </w:r>
      <w:r/>
    </w:p>
    <w:p>
      <w:pPr>
        <w:pStyle w:val="1559"/>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tbl>
      <w:tblPr>
        <w:tblW w:w="4982"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70"/>
        <w:gridCol w:w="1666"/>
        <w:gridCol w:w="1316"/>
        <w:gridCol w:w="2053"/>
      </w:tblGrid>
      <w:tr>
        <w:trPr>
          <w:trHeight w:val="604"/>
        </w:trPr>
        <w:tc>
          <w:tcPr>
            <w:tcW w:w="620" w:type="dxa"/>
            <w:vAlign w:val="center"/>
            <w:textDirection w:val="lrTb"/>
            <w:noWrap w:val="false"/>
          </w:tcPr>
          <w:p>
            <w:pPr>
              <w:pStyle w:val="1559"/>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58" w:type="dxa"/>
            <w:vAlign w:val="center"/>
            <w:textDirection w:val="lrTb"/>
            <w:noWrap w:val="false"/>
          </w:tcPr>
          <w:p>
            <w:pPr>
              <w:pStyle w:val="1559"/>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投标产品配置情况</w:t>
            </w:r>
            <w:r>
              <w:rPr>
                <w:rFonts w:hint="eastAsia" w:ascii="宋体" w:hAnsi="宋体" w:cs="宋体"/>
                <w:szCs w:val="21"/>
              </w:rPr>
            </w:r>
            <w:r/>
          </w:p>
        </w:tc>
        <w:tc>
          <w:tcPr>
            <w:tcW w:w="900" w:type="dxa"/>
            <w:vAlign w:val="center"/>
            <w:textDirection w:val="lrTb"/>
            <w:noWrap w:val="false"/>
          </w:tcPr>
          <w:p>
            <w:pPr>
              <w:pStyle w:val="1559"/>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711" w:type="dxa"/>
            <w:vAlign w:val="center"/>
            <w:textDirection w:val="lrTb"/>
            <w:noWrap w:val="false"/>
          </w:tcPr>
          <w:p>
            <w:pPr>
              <w:pStyle w:val="1559"/>
              <w:ind w:right="-5"/>
              <w:jc w:val="center"/>
              <w:spacing w:line="440" w:lineRule="exact"/>
              <w:rPr>
                <w:rFonts w:hint="eastAsia" w:ascii="宋体" w:hAnsi="宋体" w:cs="宋体"/>
                <w:szCs w:val="21"/>
              </w:rPr>
            </w:pPr>
            <w:r>
              <w:rPr>
                <w:rFonts w:hint="eastAsia" w:ascii="宋体" w:hAnsi="宋体" w:cs="宋体"/>
                <w:szCs w:val="21"/>
              </w:rPr>
              <w:t xml:space="preserve">产地、制造商</w:t>
            </w:r>
            <w:r>
              <w:rPr>
                <w:rFonts w:hint="eastAsia" w:ascii="宋体" w:hAnsi="宋体" w:cs="宋体"/>
                <w:szCs w:val="21"/>
              </w:rPr>
            </w:r>
            <w:r/>
          </w:p>
        </w:tc>
        <w:tc>
          <w:tcPr>
            <w:tcW w:w="1109" w:type="dxa"/>
            <w:vAlign w:val="center"/>
            <w:textDirection w:val="lrTb"/>
            <w:noWrap w:val="false"/>
          </w:tcPr>
          <w:p>
            <w:pPr>
              <w:pStyle w:val="1559"/>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r>
      <w:tr>
        <w:trPr>
          <w:trHeight w:val="604"/>
        </w:trPr>
        <w:tc>
          <w:tcPr>
            <w:tcW w:w="620"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559"/>
              <w:jc w:val="center"/>
              <w:keepNext/>
              <w:spacing w:line="440" w:lineRule="exact"/>
              <w:rPr>
                <w:rFonts w:ascii="宋体" w:hAnsi="宋体" w:cs="宋体"/>
                <w:szCs w:val="21"/>
              </w:rPr>
            </w:pPr>
            <w:r>
              <w:rPr>
                <w:rFonts w:ascii="宋体" w:hAnsi="宋体" w:cs="宋体"/>
                <w:szCs w:val="21"/>
              </w:rPr>
            </w:r>
            <w:r/>
          </w:p>
        </w:tc>
        <w:tc>
          <w:tcPr>
            <w:tcW w:w="711" w:type="dxa"/>
            <w:vAlign w:val="center"/>
            <w:textDirection w:val="lrTb"/>
            <w:noWrap w:val="false"/>
          </w:tcPr>
          <w:p>
            <w:pPr>
              <w:pStyle w:val="1559"/>
              <w:jc w:val="center"/>
              <w:rPr>
                <w:rFonts w:ascii="宋体" w:hAnsi="宋体" w:cs="宋体"/>
                <w:szCs w:val="21"/>
              </w:rPr>
            </w:pPr>
            <w:r>
              <w:rPr>
                <w:rFonts w:ascii="宋体" w:hAnsi="宋体" w:cs="宋体"/>
                <w:szCs w:val="21"/>
              </w:rPr>
            </w:r>
            <w:r/>
          </w:p>
        </w:tc>
        <w:tc>
          <w:tcPr>
            <w:tcW w:w="1109"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559"/>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559"/>
              <w:jc w:val="center"/>
              <w:keepNext/>
              <w:spacing w:line="440" w:lineRule="exact"/>
              <w:rPr>
                <w:rFonts w:hint="eastAsia" w:ascii="宋体" w:hAnsi="宋体" w:cs="宋体"/>
                <w:szCs w:val="21"/>
              </w:rPr>
            </w:pPr>
            <w:r>
              <w:rPr>
                <w:rFonts w:hint="eastAsia" w:ascii="宋体" w:hAnsi="宋体" w:cs="宋体"/>
                <w:szCs w:val="21"/>
              </w:rPr>
            </w:r>
            <w:r/>
          </w:p>
        </w:tc>
      </w:tr>
    </w:tbl>
    <w:p>
      <w:pPr>
        <w:pStyle w:val="1559"/>
        <w:spacing w:line="440" w:lineRule="exact"/>
        <w:rPr>
          <w:rFonts w:hint="eastAsia" w:ascii="宋体" w:hAnsi="宋体" w:cs="宋体"/>
          <w:szCs w:val="21"/>
        </w:rPr>
      </w:pPr>
      <w:r>
        <w:rPr>
          <w:rFonts w:hint="eastAsia" w:ascii="宋体" w:hAnsi="宋体" w:cs="宋体"/>
          <w:szCs w:val="21"/>
        </w:rPr>
      </w:r>
      <w:r/>
    </w:p>
    <w:p>
      <w:pPr>
        <w:pStyle w:val="1559"/>
        <w:spacing w:line="440" w:lineRule="exact"/>
        <w:rPr>
          <w:rFonts w:hint="eastAsia" w:ascii="宋体" w:hAnsi="宋体" w:cs="宋体"/>
          <w:szCs w:val="21"/>
        </w:rPr>
      </w:pPr>
      <w:r>
        <w:rPr>
          <w:rFonts w:hint="eastAsia" w:ascii="宋体" w:hAnsi="宋体" w:cs="宋体"/>
          <w:szCs w:val="21"/>
        </w:rPr>
      </w:r>
      <w:r/>
    </w:p>
    <w:p>
      <w:pPr>
        <w:pStyle w:val="1559"/>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559"/>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559"/>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559"/>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559"/>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559"/>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559"/>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559"/>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559"/>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5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5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5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5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5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5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5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5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5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5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5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5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5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59"/>
              <w:ind w:right="-5"/>
              <w:spacing w:line="440" w:lineRule="exact"/>
              <w:rPr>
                <w:rFonts w:hint="eastAsia" w:ascii="宋体" w:hAnsi="宋体" w:cs="宋体"/>
                <w:b/>
                <w:szCs w:val="21"/>
              </w:rPr>
            </w:pPr>
            <w:r>
              <w:rPr>
                <w:rFonts w:hint="eastAsia" w:ascii="宋体" w:hAnsi="宋体" w:cs="宋体"/>
                <w:b/>
                <w:szCs w:val="21"/>
              </w:rPr>
            </w:r>
            <w:r/>
          </w:p>
          <w:p>
            <w:pPr>
              <w:pStyle w:val="1559"/>
              <w:ind w:right="-5"/>
              <w:spacing w:line="440" w:lineRule="exact"/>
              <w:rPr>
                <w:rFonts w:hint="eastAsia" w:ascii="宋体" w:hAnsi="宋体" w:cs="宋体"/>
                <w:b/>
                <w:szCs w:val="21"/>
              </w:rPr>
            </w:pPr>
            <w:r>
              <w:rPr>
                <w:rFonts w:hint="eastAsia" w:ascii="宋体" w:hAnsi="宋体" w:cs="宋体"/>
                <w:b/>
                <w:szCs w:val="21"/>
              </w:rPr>
            </w:r>
            <w:r/>
          </w:p>
        </w:tc>
      </w:tr>
    </w:tbl>
    <w:p>
      <w:pPr>
        <w:pStyle w:val="1559"/>
        <w:spacing w:line="440" w:lineRule="exact"/>
        <w:rPr>
          <w:rFonts w:hint="eastAsia" w:ascii="宋体" w:hAnsi="宋体" w:cs="宋体"/>
          <w:bCs/>
          <w:szCs w:val="21"/>
        </w:rPr>
      </w:pPr>
      <w:r>
        <w:rPr>
          <w:rFonts w:hint="eastAsia" w:ascii="宋体" w:hAnsi="宋体" w:cs="宋体"/>
          <w:bCs/>
          <w:szCs w:val="21"/>
        </w:rPr>
      </w:r>
      <w:r/>
    </w:p>
    <w:p>
      <w:pPr>
        <w:pStyle w:val="1559"/>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559"/>
        <w:spacing w:line="440" w:lineRule="exact"/>
        <w:rPr>
          <w:rFonts w:hint="eastAsia" w:ascii="宋体" w:hAnsi="宋体" w:cs="宋体"/>
          <w:b/>
          <w:szCs w:val="21"/>
        </w:rPr>
      </w:pPr>
      <w:r>
        <w:rPr>
          <w:rFonts w:hint="eastAsia" w:ascii="宋体" w:hAnsi="宋体" w:cs="宋体"/>
          <w:b/>
          <w:szCs w:val="21"/>
        </w:rPr>
      </w:r>
      <w:r/>
    </w:p>
    <w:p>
      <w:pPr>
        <w:pStyle w:val="1559"/>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559"/>
        <w:ind w:right="-5"/>
        <w:spacing w:line="440" w:lineRule="exact"/>
        <w:rPr>
          <w:rFonts w:hint="eastAsia" w:ascii="宋体" w:hAnsi="宋体" w:cs="宋体"/>
          <w:b/>
          <w:szCs w:val="21"/>
        </w:rPr>
      </w:pPr>
      <w:r>
        <w:rPr>
          <w:rFonts w:hint="eastAsia" w:ascii="宋体" w:hAnsi="宋体" w:cs="宋体"/>
          <w:b/>
          <w:szCs w:val="21"/>
        </w:rPr>
      </w:r>
      <w:r/>
    </w:p>
    <w:p>
      <w:pPr>
        <w:pStyle w:val="1559"/>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559"/>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559"/>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559"/>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559"/>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559"/>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559"/>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59"/>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59"/>
              <w:jc w:val="center"/>
              <w:rPr>
                <w:rFonts w:hint="eastAsia" w:ascii="宋体" w:hAnsi="宋体" w:cs="宋体"/>
                <w:szCs w:val="21"/>
              </w:rPr>
            </w:pPr>
            <w:r>
              <w:rPr>
                <w:rFonts w:hint="eastAsia" w:ascii="宋体" w:hAnsi="宋体" w:cs="宋体"/>
                <w:szCs w:val="21"/>
              </w:rPr>
            </w:r>
            <w:r/>
          </w:p>
        </w:tc>
      </w:tr>
    </w:tbl>
    <w:p>
      <w:pPr>
        <w:pStyle w:val="1559"/>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559"/>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559"/>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p>
    <w:sectPr>
      <w:headerReference w:type="first" r:id="rId11"/>
      <w:footerReference w:type="default" r:id="rId28"/>
      <w:footerReference w:type="first" r:id="rId29"/>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等线">
    <w:panose1 w:val="02010600030101010101"/>
  </w:font>
  <w:font w:name="楷体_GB2312">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tabs>
        <w:tab w:val="center" w:pos="4153" w:leader="none"/>
        <w:tab w:val="right" w:pos="8306" w:leader="none"/>
      </w:tabs>
      <w:rPr>
        <w:rStyle w:val="1632"/>
      </w:rPr>
    </w:pPr>
    <w:r>
      <w:rPr>
        <w:rStyle w:val="1632"/>
      </w:rPr>
    </w:r>
    <w:r/>
  </w:p>
  <w:p>
    <w:pPr>
      <w:pStyle w:val="1607"/>
      <w:tabs>
        <w:tab w:val="center" w:pos="4153" w:leader="none"/>
        <w:tab w:val="right" w:pos="8306" w:leader="none"/>
      </w:tabs>
      <w:rPr>
        <w:rStyle w:val="1632"/>
      </w:rPr>
      <w:framePr w:wrap="around" w:vAnchor="text" w:hAnchor="page" w:x="6104" w:y="52"/>
    </w:pPr>
    <w:r>
      <w:rPr>
        <w:rStyle w:val="1632"/>
      </w:rPr>
    </w:r>
    <w:r/>
  </w:p>
  <w:p>
    <w:pPr>
      <w:pStyle w:val="1607"/>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tabs>
        <w:tab w:val="center" w:pos="4819" w:leader="none"/>
        <w:tab w:val="right" w:pos="8306" w:leader="none"/>
      </w:tabs>
      <w:rPr>
        <w:rStyle w:val="1632"/>
      </w:rPr>
    </w:pPr>
    <w:r>
      <w:rPr>
        <w:rStyle w:val="1632"/>
        <w:rFonts w:hint="eastAsia"/>
      </w:rPr>
      <w:tab/>
    </w:r>
    <w:r>
      <w:rPr>
        <w:rStyle w:val="1632"/>
      </w:rPr>
    </w:r>
    <w:r/>
  </w:p>
  <w:p>
    <w:pPr>
      <w:pStyle w:val="1607"/>
      <w:tabs>
        <w:tab w:val="center" w:pos="4153" w:leader="none"/>
        <w:tab w:val="right" w:pos="8306" w:leader="none"/>
      </w:tabs>
      <w:rPr>
        <w:rStyle w:val="1632"/>
      </w:rPr>
      <w:framePr w:wrap="around" w:vAnchor="text" w:hAnchor="page" w:x="6104" w:y="52"/>
    </w:pPr>
    <w:r>
      <w:rPr>
        <w:rStyle w:val="163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59"/>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59"/>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559"/>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559"/>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59"/>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5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83</w:t>
                          </w:r>
                          <w:r>
                            <w:rPr>
                              <w:sz w:val="18"/>
                            </w:rPr>
                            <w:fldChar w:fldCharType="end"/>
                          </w:r>
                          <w:r>
                            <w:rPr>
                              <w:sz w:val="18"/>
                            </w:rPr>
                          </w:r>
                          <w:r/>
                        </w:p>
                        <w:p>
                          <w:pPr>
                            <w:pStyle w:val="1559"/>
                          </w:pPr>
                          <w:r/>
                          <w:r/>
                        </w:p>
                      </w:txbxContent>
                    </wps:txbx>
                    <wps:bodyPr wrap="none" lIns="0" tIns="0" rIns="0" bIns="0" upright="1">
                      <a:spAutoFit/>
                    </wps:bodyPr>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83</w:t>
                    </w:r>
                    <w:r>
                      <w:rPr>
                        <w:sz w:val="18"/>
                      </w:rPr>
                      <w:fldChar w:fldCharType="end"/>
                    </w:r>
                    <w:r>
                      <w:rPr>
                        <w:sz w:val="18"/>
                      </w:rPr>
                    </w:r>
                    <w:r/>
                  </w:p>
                  <w:p>
                    <w:pPr>
                      <w:pStyle w:val="1559"/>
                    </w:pPr>
                    <w:r/>
                    <w:r/>
                  </w:p>
                </w:txbxContent>
              </v:textbox>
            </v:shape>
          </w:pict>
        </mc:Fallback>
      </mc:AlternateContent>
    </w:r>
    <w:r>
      <w:rPr>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559"/>
                          </w:pPr>
                          <w:r/>
                          <w:r/>
                        </w:p>
                      </w:txbxContent>
                    </wps:txbx>
                    <wps:bodyPr wrap="none" lIns="0" tIns="0" rIns="0" bIns="0" upright="1">
                      <a:spAutoFit/>
                    </wps:bodyPr>
                  </wps:wsp>
                </a:graphicData>
              </a:graphic>
            </wp:anchor>
          </w:drawing>
        </mc:Choice>
        <mc:Fallback>
          <w:pict>
            <v:shape id="shape 7" o:spid="_x0000_s7"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559"/>
                    </w:pPr>
                    <w:r/>
                    <w:r/>
                  </w:p>
                </w:txbxContent>
              </v:textbox>
            </v:shape>
          </w:pict>
        </mc:Fallback>
      </mc:AlternateContent>
    </w:r>
    <w:r>
      <w:rPr>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1559"/>
                          </w:pPr>
                          <w:r/>
                          <w:r/>
                        </w:p>
                      </w:txbxContent>
                    </wps:txbx>
                    <wps:bodyPr wrap="none" lIns="0" tIns="0" rIns="0" bIns="0" upright="1">
                      <a:spAutoFit/>
                    </wps:bodyPr>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1559"/>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87</w:t>
                          </w:r>
                          <w:r>
                            <w:fldChar w:fldCharType="end"/>
                          </w:r>
                          <w:r/>
                        </w:p>
                        <w:p>
                          <w:pPr>
                            <w:pStyle w:val="1559"/>
                          </w:pPr>
                          <w:r/>
                          <w:r/>
                        </w:p>
                      </w:txbxContent>
                    </wps:txbx>
                    <wps:bodyPr wrap="none" lIns="0" tIns="0" rIns="0" bIns="0" upright="1">
                      <a:spAutoFit/>
                    </wps:bodyPr>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87</w:t>
                    </w:r>
                    <w:r>
                      <w:fldChar w:fldCharType="end"/>
                    </w:r>
                    <w:r/>
                  </w:p>
                  <w:p>
                    <w:pPr>
                      <w:pStyle w:val="155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07"/>
                            <w:tabs>
                              <w:tab w:val="clear" w:pos="4153" w:leader="none"/>
                              <w:tab w:val="clear" w:pos="8306" w:leader="none"/>
                            </w:tabs>
                            <w:rPr>
                              <w:rFonts w:hint="eastAsia"/>
                            </w:rPr>
                          </w:pPr>
                          <w:r>
                            <w:rPr>
                              <w:rFonts w:hint="eastAsia"/>
                            </w:rPr>
                          </w:r>
                          <w:r/>
                        </w:p>
                        <w:p>
                          <w:pPr>
                            <w:pStyle w:val="1559"/>
                          </w:pPr>
                          <w:r/>
                          <w:r/>
                        </w:p>
                      </w:txbxContent>
                    </wps:txbx>
                    <wps:bodyPr wrap="none" lIns="0" tIns="0" rIns="0" bIns="0" upright="1">
                      <a:spAutoFit/>
                    </wps:bodyPr>
                  </wps:wsp>
                </a:graphicData>
              </a:graphic>
            </wp:anchor>
          </w:drawing>
        </mc:Choice>
        <mc:Fallback>
          <w:pict>
            <v:shape id="shape 10" o:spid="_x0000_s1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07"/>
                      <w:tabs>
                        <w:tab w:val="clear" w:pos="4153" w:leader="none"/>
                        <w:tab w:val="clear" w:pos="8306" w:leader="none"/>
                      </w:tabs>
                      <w:rPr>
                        <w:rFonts w:hint="eastAsia"/>
                      </w:rPr>
                    </w:pPr>
                    <w:r>
                      <w:rPr>
                        <w:rFonts w:hint="eastAsia"/>
                      </w:rPr>
                    </w:r>
                    <w:r/>
                  </w:p>
                  <w:p>
                    <w:pPr>
                      <w:pStyle w:val="155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559"/>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559"/>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93</w:t>
                          </w:r>
                          <w:r>
                            <w:fldChar w:fldCharType="end"/>
                          </w:r>
                          <w:r/>
                        </w:p>
                        <w:p>
                          <w:pPr>
                            <w:pStyle w:val="1559"/>
                          </w:pPr>
                          <w:r/>
                          <w:r/>
                        </w:p>
                      </w:txbxContent>
                    </wps:txbx>
                    <wps:bodyPr wrap="none" lIns="0" tIns="0" rIns="0" bIns="0" upright="1">
                      <a:spAutoFit/>
                    </wps:bodyPr>
                  </wps:wsp>
                </a:graphicData>
              </a:graphic>
            </wp:anchor>
          </w:drawing>
        </mc:Choice>
        <mc:Fallback>
          <w:pict>
            <v:shape id="shape 12" o:spid="_x0000_s12"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93</w:t>
                    </w:r>
                    <w:r>
                      <w:fldChar w:fldCharType="end"/>
                    </w:r>
                    <w:r/>
                  </w:p>
                  <w:p>
                    <w:pPr>
                      <w:pStyle w:val="155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07"/>
                            <w:tabs>
                              <w:tab w:val="clear" w:pos="4153" w:leader="none"/>
                              <w:tab w:val="clear" w:pos="8306" w:leader="none"/>
                            </w:tabs>
                            <w:rPr>
                              <w:rFonts w:hint="eastAsia"/>
                            </w:rPr>
                          </w:pPr>
                          <w:r>
                            <w:rPr>
                              <w:rFonts w:hint="eastAsia"/>
                            </w:rPr>
                          </w:r>
                          <w:r/>
                        </w:p>
                        <w:p>
                          <w:pPr>
                            <w:pStyle w:val="1559"/>
                          </w:pPr>
                          <w:r/>
                          <w:r/>
                        </w:p>
                      </w:txbxContent>
                    </wps:txbx>
                    <wps:bodyPr wrap="none" lIns="0" tIns="0" rIns="0" bIns="0" upright="1">
                      <a:spAutoFit/>
                    </wps:bodyPr>
                  </wps:wsp>
                </a:graphicData>
              </a:graphic>
            </wp:anchor>
          </w:drawing>
        </mc:Choice>
        <mc:Fallback>
          <w:pict>
            <v:shape id="shape 13" o:spid="_x0000_s1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07"/>
                      <w:tabs>
                        <w:tab w:val="clear" w:pos="4153" w:leader="none"/>
                        <w:tab w:val="clear" w:pos="8306" w:leader="none"/>
                      </w:tabs>
                      <w:rPr>
                        <w:rFonts w:hint="eastAsia"/>
                      </w:rPr>
                    </w:pPr>
                    <w:r>
                      <w:rPr>
                        <w:rFonts w:hint="eastAsia"/>
                      </w:rPr>
                    </w:r>
                    <w:r/>
                  </w:p>
                  <w:p>
                    <w:pPr>
                      <w:pStyle w:val="1559"/>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pPr>
                            <w:pStyle w:val="1559"/>
                          </w:pPr>
                          <w:r/>
                          <w:r/>
                        </w:p>
                      </w:txbxContent>
                    </wps:txbx>
                    <wps:bodyPr wrap="none" lIns="0" tIns="0" rIns="0" bIns="0" upright="1">
                      <a:spAutoFit/>
                    </wps:bodyPr>
                  </wps:wsp>
                </a:graphicData>
              </a:graphic>
            </wp:anchor>
          </w:drawing>
        </mc:Choice>
        <mc:Fallback>
          <w:pict>
            <v:shape id="shape 14" o:spid="_x0000_s14"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pPr>
                      <w:pStyle w:val="1559"/>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59"/>
                          </w:pPr>
                          <w:r/>
                          <w:r/>
                        </w:p>
                      </w:txbxContent>
                    </wps:txbx>
                    <wps:bodyPr wrap="none" lIns="0" tIns="0" rIns="0" bIns="0" upright="1">
                      <a:spAutoFit/>
                    </wps:bodyPr>
                  </wps:wsp>
                </a:graphicData>
              </a:graphic>
            </wp:anchor>
          </w:drawing>
        </mc:Choice>
        <mc:Fallback>
          <w:pict>
            <v:shape id="shape 15" o:spid="_x0000_s1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59"/>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105</w:t>
                          </w:r>
                          <w:r>
                            <w:fldChar w:fldCharType="end"/>
                          </w:r>
                          <w:r/>
                        </w:p>
                        <w:p>
                          <w:pPr>
                            <w:pStyle w:val="1559"/>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105</w:t>
                    </w:r>
                    <w:r>
                      <w:fldChar w:fldCharType="end"/>
                    </w:r>
                    <w:r/>
                  </w:p>
                  <w:p>
                    <w:pPr>
                      <w:pStyle w:val="1559"/>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111</w:t>
                          </w:r>
                          <w:r>
                            <w:fldChar w:fldCharType="end"/>
                          </w:r>
                          <w:r/>
                        </w:p>
                        <w:p>
                          <w:pPr>
                            <w:pStyle w:val="1559"/>
                          </w:pPr>
                          <w:r/>
                          <w:r/>
                        </w:p>
                      </w:txbxContent>
                    </wps:txbx>
                    <wps:bodyPr wrap="none" lIns="0" tIns="0" rIns="0" bIns="0" upright="1">
                      <a:spAutoFit/>
                    </wps:bodyPr>
                  </wps:wsp>
                </a:graphicData>
              </a:graphic>
            </wp:anchor>
          </w:drawing>
        </mc:Choice>
        <mc:Fallback>
          <w:pict>
            <v:shape id="shape 17" o:spid="_x0000_s1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111</w:t>
                    </w:r>
                    <w:r>
                      <w:fldChar w:fldCharType="end"/>
                    </w:r>
                    <w:r/>
                  </w:p>
                  <w:p>
                    <w:pPr>
                      <w:pStyle w:val="1559"/>
                    </w:pPr>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114</w:t>
                          </w:r>
                          <w:r>
                            <w:fldChar w:fldCharType="end"/>
                          </w:r>
                          <w:r/>
                        </w:p>
                        <w:p>
                          <w:pPr>
                            <w:pStyle w:val="1559"/>
                          </w:pPr>
                          <w:r/>
                          <w:r/>
                        </w:p>
                      </w:txbxContent>
                    </wps:txbx>
                    <wps:bodyPr wrap="none" lIns="0" tIns="0" rIns="0" bIns="0" upright="1">
                      <a:spAutoFit/>
                    </wps:bodyPr>
                  </wps:wsp>
                </a:graphicData>
              </a:graphic>
            </wp:anchor>
          </w:drawing>
        </mc:Choice>
        <mc:Fallback>
          <w:pict>
            <v:shape id="shape 18" o:spid="_x0000_s18"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114</w:t>
                    </w:r>
                    <w:r>
                      <w:fldChar w:fldCharType="end"/>
                    </w:r>
                    <w:r/>
                  </w:p>
                  <w:p>
                    <w:pPr>
                      <w:pStyle w:val="1559"/>
                    </w:pPr>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113</w:t>
                          </w:r>
                          <w:r>
                            <w:fldChar w:fldCharType="end"/>
                          </w:r>
                          <w:r/>
                        </w:p>
                        <w:p>
                          <w:pPr>
                            <w:pStyle w:val="1559"/>
                          </w:pPr>
                          <w:r/>
                          <w:r/>
                        </w:p>
                      </w:txbxContent>
                    </wps:txbx>
                    <wps:bodyPr wrap="none" lIns="0" tIns="0" rIns="0" bIns="0" upright="1">
                      <a:spAutoFit/>
                    </wps:bodyPr>
                  </wps:wsp>
                </a:graphicData>
              </a:graphic>
            </wp:anchor>
          </w:drawing>
        </mc:Choice>
        <mc:Fallback>
          <w:pict>
            <v:shape id="shape 19" o:spid="_x0000_s19"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7"/>
                      <w:tabs>
                        <w:tab w:val="clear" w:pos="4153" w:leader="none"/>
                        <w:tab w:val="clear" w:pos="8306" w:leader="none"/>
                      </w:tabs>
                    </w:pPr>
                    <w:r>
                      <w:fldChar w:fldCharType="begin"/>
                    </w:r>
                    <w:r>
                      <w:instrText xml:space="preserve"> PAGE  \* MERGEFORMAT </w:instrText>
                    </w:r>
                    <w:r>
                      <w:fldChar w:fldCharType="separate"/>
                    </w:r>
                    <w:r>
                      <w:t xml:space="preserve">113</w:t>
                    </w:r>
                    <w:r>
                      <w:fldChar w:fldCharType="end"/>
                    </w:r>
                    <w:r/>
                  </w:p>
                  <w:p>
                    <w:pPr>
                      <w:pStyle w:val="155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0"/>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0"/>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0"/>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5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5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5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81">
    <w:name w:val="Heading 1"/>
    <w:basedOn w:val="1559"/>
    <w:next w:val="1559"/>
    <w:link w:val="1382"/>
    <w:uiPriority w:val="9"/>
    <w:qFormat/>
    <w:pPr>
      <w:keepLines/>
      <w:keepNext/>
      <w:spacing w:before="480" w:after="200"/>
      <w:outlineLvl w:val="0"/>
    </w:pPr>
    <w:rPr>
      <w:rFonts w:ascii="Arial" w:hAnsi="Arial" w:eastAsia="Arial" w:cs="Arial"/>
      <w:sz w:val="40"/>
      <w:szCs w:val="40"/>
    </w:rPr>
  </w:style>
  <w:style w:type="character" w:styleId="1382">
    <w:name w:val="Heading 1 Char"/>
    <w:link w:val="1381"/>
    <w:uiPriority w:val="9"/>
    <w:rPr>
      <w:rFonts w:ascii="Arial" w:hAnsi="Arial" w:eastAsia="Arial" w:cs="Arial"/>
      <w:sz w:val="40"/>
      <w:szCs w:val="40"/>
    </w:rPr>
  </w:style>
  <w:style w:type="paragraph" w:styleId="1383">
    <w:name w:val="Heading 2"/>
    <w:basedOn w:val="1559"/>
    <w:next w:val="1559"/>
    <w:link w:val="1384"/>
    <w:uiPriority w:val="9"/>
    <w:unhideWhenUsed/>
    <w:qFormat/>
    <w:pPr>
      <w:keepLines/>
      <w:keepNext/>
      <w:spacing w:before="360" w:after="200"/>
      <w:outlineLvl w:val="1"/>
    </w:pPr>
    <w:rPr>
      <w:rFonts w:ascii="Arial" w:hAnsi="Arial" w:eastAsia="Arial" w:cs="Arial"/>
      <w:sz w:val="34"/>
    </w:rPr>
  </w:style>
  <w:style w:type="character" w:styleId="1384">
    <w:name w:val="Heading 2 Char"/>
    <w:link w:val="1383"/>
    <w:uiPriority w:val="9"/>
    <w:rPr>
      <w:rFonts w:ascii="Arial" w:hAnsi="Arial" w:eastAsia="Arial" w:cs="Arial"/>
      <w:sz w:val="34"/>
    </w:rPr>
  </w:style>
  <w:style w:type="paragraph" w:styleId="1385">
    <w:name w:val="Heading 3"/>
    <w:basedOn w:val="1559"/>
    <w:next w:val="1559"/>
    <w:link w:val="1386"/>
    <w:uiPriority w:val="9"/>
    <w:unhideWhenUsed/>
    <w:qFormat/>
    <w:pPr>
      <w:keepLines/>
      <w:keepNext/>
      <w:spacing w:before="320" w:after="200"/>
      <w:outlineLvl w:val="2"/>
    </w:pPr>
    <w:rPr>
      <w:rFonts w:ascii="Arial" w:hAnsi="Arial" w:eastAsia="Arial" w:cs="Arial"/>
      <w:sz w:val="30"/>
      <w:szCs w:val="30"/>
    </w:rPr>
  </w:style>
  <w:style w:type="character" w:styleId="1386">
    <w:name w:val="Heading 3 Char"/>
    <w:link w:val="1385"/>
    <w:uiPriority w:val="9"/>
    <w:rPr>
      <w:rFonts w:ascii="Arial" w:hAnsi="Arial" w:eastAsia="Arial" w:cs="Arial"/>
      <w:sz w:val="30"/>
      <w:szCs w:val="30"/>
    </w:rPr>
  </w:style>
  <w:style w:type="paragraph" w:styleId="1387">
    <w:name w:val="Heading 4"/>
    <w:basedOn w:val="1559"/>
    <w:next w:val="1559"/>
    <w:link w:val="1388"/>
    <w:uiPriority w:val="9"/>
    <w:unhideWhenUsed/>
    <w:qFormat/>
    <w:pPr>
      <w:keepLines/>
      <w:keepNext/>
      <w:spacing w:before="320" w:after="200"/>
      <w:outlineLvl w:val="3"/>
    </w:pPr>
    <w:rPr>
      <w:rFonts w:ascii="Arial" w:hAnsi="Arial" w:eastAsia="Arial" w:cs="Arial"/>
      <w:b/>
      <w:bCs/>
      <w:sz w:val="26"/>
      <w:szCs w:val="26"/>
    </w:rPr>
  </w:style>
  <w:style w:type="character" w:styleId="1388">
    <w:name w:val="Heading 4 Char"/>
    <w:link w:val="1387"/>
    <w:uiPriority w:val="9"/>
    <w:rPr>
      <w:rFonts w:ascii="Arial" w:hAnsi="Arial" w:eastAsia="Arial" w:cs="Arial"/>
      <w:b/>
      <w:bCs/>
      <w:sz w:val="26"/>
      <w:szCs w:val="26"/>
    </w:rPr>
  </w:style>
  <w:style w:type="paragraph" w:styleId="1389">
    <w:name w:val="Heading 5"/>
    <w:basedOn w:val="1559"/>
    <w:next w:val="1559"/>
    <w:link w:val="1390"/>
    <w:uiPriority w:val="9"/>
    <w:unhideWhenUsed/>
    <w:qFormat/>
    <w:pPr>
      <w:keepLines/>
      <w:keepNext/>
      <w:spacing w:before="320" w:after="200"/>
      <w:outlineLvl w:val="4"/>
    </w:pPr>
    <w:rPr>
      <w:rFonts w:ascii="Arial" w:hAnsi="Arial" w:eastAsia="Arial" w:cs="Arial"/>
      <w:b/>
      <w:bCs/>
      <w:sz w:val="24"/>
      <w:szCs w:val="24"/>
    </w:rPr>
  </w:style>
  <w:style w:type="character" w:styleId="1390">
    <w:name w:val="Heading 5 Char"/>
    <w:link w:val="1389"/>
    <w:uiPriority w:val="9"/>
    <w:rPr>
      <w:rFonts w:ascii="Arial" w:hAnsi="Arial" w:eastAsia="Arial" w:cs="Arial"/>
      <w:b/>
      <w:bCs/>
      <w:sz w:val="24"/>
      <w:szCs w:val="24"/>
    </w:rPr>
  </w:style>
  <w:style w:type="paragraph" w:styleId="1391">
    <w:name w:val="Heading 6"/>
    <w:basedOn w:val="1559"/>
    <w:next w:val="1559"/>
    <w:link w:val="1392"/>
    <w:uiPriority w:val="9"/>
    <w:unhideWhenUsed/>
    <w:qFormat/>
    <w:pPr>
      <w:keepLines/>
      <w:keepNext/>
      <w:spacing w:before="320" w:after="200"/>
      <w:outlineLvl w:val="5"/>
    </w:pPr>
    <w:rPr>
      <w:rFonts w:ascii="Arial" w:hAnsi="Arial" w:eastAsia="Arial" w:cs="Arial"/>
      <w:b/>
      <w:bCs/>
      <w:sz w:val="22"/>
      <w:szCs w:val="22"/>
    </w:rPr>
  </w:style>
  <w:style w:type="character" w:styleId="1392">
    <w:name w:val="Heading 6 Char"/>
    <w:link w:val="1391"/>
    <w:uiPriority w:val="9"/>
    <w:rPr>
      <w:rFonts w:ascii="Arial" w:hAnsi="Arial" w:eastAsia="Arial" w:cs="Arial"/>
      <w:b/>
      <w:bCs/>
      <w:sz w:val="22"/>
      <w:szCs w:val="22"/>
    </w:rPr>
  </w:style>
  <w:style w:type="paragraph" w:styleId="1393">
    <w:name w:val="Heading 7"/>
    <w:basedOn w:val="1559"/>
    <w:next w:val="1559"/>
    <w:link w:val="1394"/>
    <w:uiPriority w:val="9"/>
    <w:unhideWhenUsed/>
    <w:qFormat/>
    <w:pPr>
      <w:keepLines/>
      <w:keepNext/>
      <w:spacing w:before="320" w:after="200"/>
      <w:outlineLvl w:val="6"/>
    </w:pPr>
    <w:rPr>
      <w:rFonts w:ascii="Arial" w:hAnsi="Arial" w:eastAsia="Arial" w:cs="Arial"/>
      <w:b/>
      <w:bCs/>
      <w:i/>
      <w:iCs/>
      <w:sz w:val="22"/>
      <w:szCs w:val="22"/>
    </w:rPr>
  </w:style>
  <w:style w:type="character" w:styleId="1394">
    <w:name w:val="Heading 7 Char"/>
    <w:link w:val="1393"/>
    <w:uiPriority w:val="9"/>
    <w:rPr>
      <w:rFonts w:ascii="Arial" w:hAnsi="Arial" w:eastAsia="Arial" w:cs="Arial"/>
      <w:b/>
      <w:bCs/>
      <w:i/>
      <w:iCs/>
      <w:sz w:val="22"/>
      <w:szCs w:val="22"/>
    </w:rPr>
  </w:style>
  <w:style w:type="paragraph" w:styleId="1395">
    <w:name w:val="Heading 8"/>
    <w:basedOn w:val="1559"/>
    <w:next w:val="1559"/>
    <w:link w:val="1396"/>
    <w:uiPriority w:val="9"/>
    <w:unhideWhenUsed/>
    <w:qFormat/>
    <w:pPr>
      <w:keepLines/>
      <w:keepNext/>
      <w:spacing w:before="320" w:after="200"/>
      <w:outlineLvl w:val="7"/>
    </w:pPr>
    <w:rPr>
      <w:rFonts w:ascii="Arial" w:hAnsi="Arial" w:eastAsia="Arial" w:cs="Arial"/>
      <w:i/>
      <w:iCs/>
      <w:sz w:val="22"/>
      <w:szCs w:val="22"/>
    </w:rPr>
  </w:style>
  <w:style w:type="character" w:styleId="1396">
    <w:name w:val="Heading 8 Char"/>
    <w:link w:val="1395"/>
    <w:uiPriority w:val="9"/>
    <w:rPr>
      <w:rFonts w:ascii="Arial" w:hAnsi="Arial" w:eastAsia="Arial" w:cs="Arial"/>
      <w:i/>
      <w:iCs/>
      <w:sz w:val="22"/>
      <w:szCs w:val="22"/>
    </w:rPr>
  </w:style>
  <w:style w:type="paragraph" w:styleId="1397">
    <w:name w:val="Heading 9"/>
    <w:basedOn w:val="1559"/>
    <w:next w:val="1559"/>
    <w:link w:val="1398"/>
    <w:uiPriority w:val="9"/>
    <w:unhideWhenUsed/>
    <w:qFormat/>
    <w:pPr>
      <w:keepLines/>
      <w:keepNext/>
      <w:spacing w:before="320" w:after="200"/>
      <w:outlineLvl w:val="8"/>
    </w:pPr>
    <w:rPr>
      <w:rFonts w:ascii="Arial" w:hAnsi="Arial" w:eastAsia="Arial" w:cs="Arial"/>
      <w:i/>
      <w:iCs/>
      <w:sz w:val="21"/>
      <w:szCs w:val="21"/>
    </w:rPr>
  </w:style>
  <w:style w:type="character" w:styleId="1398">
    <w:name w:val="Heading 9 Char"/>
    <w:link w:val="1397"/>
    <w:uiPriority w:val="9"/>
    <w:rPr>
      <w:rFonts w:ascii="Arial" w:hAnsi="Arial" w:eastAsia="Arial" w:cs="Arial"/>
      <w:i/>
      <w:iCs/>
      <w:sz w:val="21"/>
      <w:szCs w:val="21"/>
    </w:rPr>
  </w:style>
  <w:style w:type="paragraph" w:styleId="1399">
    <w:name w:val="List Paragraph"/>
    <w:basedOn w:val="1559"/>
    <w:uiPriority w:val="34"/>
    <w:qFormat/>
    <w:pPr>
      <w:contextualSpacing/>
      <w:ind w:left="720"/>
    </w:pPr>
  </w:style>
  <w:style w:type="paragraph" w:styleId="1400">
    <w:name w:val="No Spacing"/>
    <w:uiPriority w:val="1"/>
    <w:qFormat/>
    <w:pPr>
      <w:spacing w:before="0" w:after="0" w:line="240" w:lineRule="auto"/>
    </w:pPr>
  </w:style>
  <w:style w:type="paragraph" w:styleId="1401">
    <w:name w:val="Title"/>
    <w:basedOn w:val="1559"/>
    <w:next w:val="1559"/>
    <w:link w:val="1402"/>
    <w:uiPriority w:val="10"/>
    <w:qFormat/>
    <w:pPr>
      <w:contextualSpacing/>
      <w:spacing w:before="300" w:after="200"/>
    </w:pPr>
    <w:rPr>
      <w:sz w:val="48"/>
      <w:szCs w:val="48"/>
    </w:rPr>
  </w:style>
  <w:style w:type="character" w:styleId="1402">
    <w:name w:val="Title Char"/>
    <w:link w:val="1401"/>
    <w:uiPriority w:val="10"/>
    <w:rPr>
      <w:sz w:val="48"/>
      <w:szCs w:val="48"/>
    </w:rPr>
  </w:style>
  <w:style w:type="paragraph" w:styleId="1403">
    <w:name w:val="Subtitle"/>
    <w:basedOn w:val="1559"/>
    <w:next w:val="1559"/>
    <w:link w:val="1404"/>
    <w:uiPriority w:val="11"/>
    <w:qFormat/>
    <w:pPr>
      <w:spacing w:before="200" w:after="200"/>
    </w:pPr>
    <w:rPr>
      <w:sz w:val="24"/>
      <w:szCs w:val="24"/>
    </w:rPr>
  </w:style>
  <w:style w:type="character" w:styleId="1404">
    <w:name w:val="Subtitle Char"/>
    <w:link w:val="1403"/>
    <w:uiPriority w:val="11"/>
    <w:rPr>
      <w:sz w:val="24"/>
      <w:szCs w:val="24"/>
    </w:rPr>
  </w:style>
  <w:style w:type="paragraph" w:styleId="1405">
    <w:name w:val="Quote"/>
    <w:basedOn w:val="1559"/>
    <w:next w:val="1559"/>
    <w:link w:val="1406"/>
    <w:uiPriority w:val="29"/>
    <w:qFormat/>
    <w:pPr>
      <w:ind w:left="720" w:right="720"/>
    </w:pPr>
    <w:rPr>
      <w:i/>
    </w:rPr>
  </w:style>
  <w:style w:type="character" w:styleId="1406">
    <w:name w:val="Quote Char"/>
    <w:link w:val="1405"/>
    <w:uiPriority w:val="29"/>
    <w:rPr>
      <w:i/>
    </w:rPr>
  </w:style>
  <w:style w:type="paragraph" w:styleId="1407">
    <w:name w:val="Intense Quote"/>
    <w:basedOn w:val="1559"/>
    <w:next w:val="1559"/>
    <w:link w:val="14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08">
    <w:name w:val="Intense Quote Char"/>
    <w:link w:val="1407"/>
    <w:uiPriority w:val="30"/>
    <w:rPr>
      <w:i/>
    </w:rPr>
  </w:style>
  <w:style w:type="paragraph" w:styleId="1409">
    <w:name w:val="Header"/>
    <w:basedOn w:val="1559"/>
    <w:link w:val="1410"/>
    <w:uiPriority w:val="99"/>
    <w:unhideWhenUsed/>
    <w:pPr>
      <w:spacing w:after="0" w:line="240" w:lineRule="auto"/>
      <w:tabs>
        <w:tab w:val="center" w:pos="7143" w:leader="none"/>
        <w:tab w:val="right" w:pos="14287" w:leader="none"/>
      </w:tabs>
    </w:pPr>
  </w:style>
  <w:style w:type="character" w:styleId="1410">
    <w:name w:val="Header Char"/>
    <w:link w:val="1409"/>
    <w:uiPriority w:val="99"/>
  </w:style>
  <w:style w:type="paragraph" w:styleId="1411">
    <w:name w:val="Footer"/>
    <w:basedOn w:val="1559"/>
    <w:link w:val="1414"/>
    <w:uiPriority w:val="99"/>
    <w:unhideWhenUsed/>
    <w:pPr>
      <w:spacing w:after="0" w:line="240" w:lineRule="auto"/>
      <w:tabs>
        <w:tab w:val="center" w:pos="7143" w:leader="none"/>
        <w:tab w:val="right" w:pos="14287" w:leader="none"/>
      </w:tabs>
    </w:pPr>
  </w:style>
  <w:style w:type="character" w:styleId="1412">
    <w:name w:val="Footer Char"/>
    <w:link w:val="1411"/>
    <w:uiPriority w:val="99"/>
  </w:style>
  <w:style w:type="paragraph" w:styleId="1413">
    <w:name w:val="Caption"/>
    <w:basedOn w:val="1559"/>
    <w:next w:val="1559"/>
    <w:uiPriority w:val="35"/>
    <w:semiHidden/>
    <w:unhideWhenUsed/>
    <w:qFormat/>
    <w:pPr>
      <w:spacing w:line="276" w:lineRule="auto"/>
    </w:pPr>
    <w:rPr>
      <w:b/>
      <w:bCs/>
      <w:color w:val="4f81bd" w:themeColor="accent1"/>
      <w:sz w:val="18"/>
      <w:szCs w:val="18"/>
    </w:rPr>
  </w:style>
  <w:style w:type="character" w:styleId="1414">
    <w:name w:val="Caption Char"/>
    <w:basedOn w:val="1413"/>
    <w:link w:val="1411"/>
    <w:uiPriority w:val="99"/>
  </w:style>
  <w:style w:type="table" w:styleId="14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5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5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5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5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5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5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5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5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5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5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5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5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41">
    <w:name w:val="Hyperlink"/>
    <w:uiPriority w:val="99"/>
    <w:unhideWhenUsed/>
    <w:rPr>
      <w:color w:val="0000ff" w:themeColor="hyperlink"/>
      <w:u w:val="single"/>
    </w:rPr>
  </w:style>
  <w:style w:type="paragraph" w:styleId="1542">
    <w:name w:val="footnote text"/>
    <w:basedOn w:val="1559"/>
    <w:link w:val="1543"/>
    <w:uiPriority w:val="99"/>
    <w:semiHidden/>
    <w:unhideWhenUsed/>
    <w:pPr>
      <w:spacing w:after="40" w:line="240" w:lineRule="auto"/>
    </w:pPr>
    <w:rPr>
      <w:sz w:val="18"/>
    </w:rPr>
  </w:style>
  <w:style w:type="character" w:styleId="1543">
    <w:name w:val="Footnote Text Char"/>
    <w:link w:val="1542"/>
    <w:uiPriority w:val="99"/>
    <w:rPr>
      <w:sz w:val="18"/>
    </w:rPr>
  </w:style>
  <w:style w:type="character" w:styleId="1544">
    <w:name w:val="footnote reference"/>
    <w:uiPriority w:val="99"/>
    <w:unhideWhenUsed/>
    <w:rPr>
      <w:vertAlign w:val="superscript"/>
    </w:rPr>
  </w:style>
  <w:style w:type="paragraph" w:styleId="1545">
    <w:name w:val="endnote text"/>
    <w:basedOn w:val="1559"/>
    <w:link w:val="1546"/>
    <w:uiPriority w:val="99"/>
    <w:semiHidden/>
    <w:unhideWhenUsed/>
    <w:pPr>
      <w:spacing w:after="0" w:line="240" w:lineRule="auto"/>
    </w:pPr>
    <w:rPr>
      <w:sz w:val="20"/>
    </w:rPr>
  </w:style>
  <w:style w:type="character" w:styleId="1546">
    <w:name w:val="Endnote Text Char"/>
    <w:link w:val="1545"/>
    <w:uiPriority w:val="99"/>
    <w:rPr>
      <w:sz w:val="20"/>
    </w:rPr>
  </w:style>
  <w:style w:type="character" w:styleId="1547">
    <w:name w:val="endnote reference"/>
    <w:uiPriority w:val="99"/>
    <w:semiHidden/>
    <w:unhideWhenUsed/>
    <w:rPr>
      <w:vertAlign w:val="superscript"/>
    </w:rPr>
  </w:style>
  <w:style w:type="paragraph" w:styleId="1548">
    <w:name w:val="toc 1"/>
    <w:basedOn w:val="1559"/>
    <w:next w:val="1559"/>
    <w:uiPriority w:val="39"/>
    <w:unhideWhenUsed/>
    <w:pPr>
      <w:ind w:left="0" w:right="0" w:firstLine="0"/>
      <w:spacing w:after="57"/>
    </w:pPr>
  </w:style>
  <w:style w:type="paragraph" w:styleId="1549">
    <w:name w:val="toc 2"/>
    <w:basedOn w:val="1559"/>
    <w:next w:val="1559"/>
    <w:uiPriority w:val="39"/>
    <w:unhideWhenUsed/>
    <w:pPr>
      <w:ind w:left="283" w:right="0" w:firstLine="0"/>
      <w:spacing w:after="57"/>
    </w:pPr>
  </w:style>
  <w:style w:type="paragraph" w:styleId="1550">
    <w:name w:val="toc 3"/>
    <w:basedOn w:val="1559"/>
    <w:next w:val="1559"/>
    <w:uiPriority w:val="39"/>
    <w:unhideWhenUsed/>
    <w:pPr>
      <w:ind w:left="567" w:right="0" w:firstLine="0"/>
      <w:spacing w:after="57"/>
    </w:pPr>
  </w:style>
  <w:style w:type="paragraph" w:styleId="1551">
    <w:name w:val="toc 4"/>
    <w:basedOn w:val="1559"/>
    <w:next w:val="1559"/>
    <w:uiPriority w:val="39"/>
    <w:unhideWhenUsed/>
    <w:pPr>
      <w:ind w:left="850" w:right="0" w:firstLine="0"/>
      <w:spacing w:after="57"/>
    </w:pPr>
  </w:style>
  <w:style w:type="paragraph" w:styleId="1552">
    <w:name w:val="toc 5"/>
    <w:basedOn w:val="1559"/>
    <w:next w:val="1559"/>
    <w:uiPriority w:val="39"/>
    <w:unhideWhenUsed/>
    <w:pPr>
      <w:ind w:left="1134" w:right="0" w:firstLine="0"/>
      <w:spacing w:after="57"/>
    </w:pPr>
  </w:style>
  <w:style w:type="paragraph" w:styleId="1553">
    <w:name w:val="toc 6"/>
    <w:basedOn w:val="1559"/>
    <w:next w:val="1559"/>
    <w:uiPriority w:val="39"/>
    <w:unhideWhenUsed/>
    <w:pPr>
      <w:ind w:left="1417" w:right="0" w:firstLine="0"/>
      <w:spacing w:after="57"/>
    </w:pPr>
  </w:style>
  <w:style w:type="paragraph" w:styleId="1554">
    <w:name w:val="toc 7"/>
    <w:basedOn w:val="1559"/>
    <w:next w:val="1559"/>
    <w:uiPriority w:val="39"/>
    <w:unhideWhenUsed/>
    <w:pPr>
      <w:ind w:left="1701" w:right="0" w:firstLine="0"/>
      <w:spacing w:after="57"/>
    </w:pPr>
  </w:style>
  <w:style w:type="paragraph" w:styleId="1555">
    <w:name w:val="toc 8"/>
    <w:basedOn w:val="1559"/>
    <w:next w:val="1559"/>
    <w:uiPriority w:val="39"/>
    <w:unhideWhenUsed/>
    <w:pPr>
      <w:ind w:left="1984" w:right="0" w:firstLine="0"/>
      <w:spacing w:after="57"/>
    </w:pPr>
  </w:style>
  <w:style w:type="paragraph" w:styleId="1556">
    <w:name w:val="toc 9"/>
    <w:basedOn w:val="1559"/>
    <w:next w:val="1559"/>
    <w:uiPriority w:val="39"/>
    <w:unhideWhenUsed/>
    <w:pPr>
      <w:ind w:left="2268" w:right="0" w:firstLine="0"/>
      <w:spacing w:after="57"/>
    </w:pPr>
  </w:style>
  <w:style w:type="paragraph" w:styleId="1557">
    <w:name w:val="TOC Heading"/>
    <w:uiPriority w:val="39"/>
    <w:unhideWhenUsed/>
  </w:style>
  <w:style w:type="paragraph" w:styleId="1558">
    <w:name w:val="table of figures"/>
    <w:basedOn w:val="1559"/>
    <w:next w:val="1559"/>
    <w:uiPriority w:val="99"/>
    <w:unhideWhenUsed/>
    <w:pPr>
      <w:spacing w:after="0" w:afterAutospacing="0"/>
    </w:pPr>
  </w:style>
  <w:style w:type="paragraph" w:styleId="1559" w:default="1">
    <w:name w:val="Normal"/>
    <w:next w:val="1559"/>
    <w:link w:val="1559"/>
    <w:qFormat/>
    <w:pPr>
      <w:jc w:val="both"/>
      <w:widowControl w:val="off"/>
    </w:pPr>
    <w:rPr>
      <w:sz w:val="21"/>
      <w:lang w:val="en-US" w:eastAsia="zh-CN" w:bidi="ar-SA"/>
    </w:rPr>
  </w:style>
  <w:style w:type="paragraph" w:styleId="1560">
    <w:name w:val="标题 1"/>
    <w:basedOn w:val="1559"/>
    <w:next w:val="1559"/>
    <w:link w:val="1570"/>
    <w:qFormat/>
    <w:pPr>
      <w:jc w:val="center"/>
      <w:keepNext/>
      <w:spacing w:line="440" w:lineRule="exact"/>
      <w:outlineLvl w:val="0"/>
    </w:pPr>
    <w:rPr>
      <w:rFonts w:ascii="宋体"/>
      <w:sz w:val="28"/>
    </w:rPr>
  </w:style>
  <w:style w:type="paragraph" w:styleId="1561">
    <w:name w:val="标题 2"/>
    <w:basedOn w:val="1559"/>
    <w:next w:val="1559"/>
    <w:link w:val="1571"/>
    <w:qFormat/>
    <w:pPr>
      <w:keepLines/>
      <w:keepNext/>
      <w:spacing w:before="260" w:after="260" w:line="416" w:lineRule="auto"/>
      <w:outlineLvl w:val="1"/>
    </w:pPr>
    <w:rPr>
      <w:rFonts w:ascii="Arial" w:hAnsi="Arial" w:eastAsia="黑体"/>
      <w:b/>
      <w:bCs/>
      <w:sz w:val="32"/>
      <w:szCs w:val="32"/>
    </w:rPr>
  </w:style>
  <w:style w:type="paragraph" w:styleId="1562">
    <w:name w:val="标题 3"/>
    <w:basedOn w:val="1559"/>
    <w:next w:val="1559"/>
    <w:link w:val="1572"/>
    <w:qFormat/>
    <w:pPr>
      <w:ind w:left="480" w:hanging="480"/>
      <w:jc w:val="center"/>
      <w:keepNext/>
      <w:spacing w:line="400" w:lineRule="exact"/>
      <w:tabs>
        <w:tab w:val="left" w:pos="480" w:leader="none"/>
      </w:tabs>
      <w:outlineLvl w:val="2"/>
    </w:pPr>
    <w:rPr>
      <w:rFonts w:ascii="仿宋_GB2312" w:eastAsia="仿宋_GB2312"/>
      <w:sz w:val="32"/>
    </w:rPr>
  </w:style>
  <w:style w:type="paragraph" w:styleId="1563">
    <w:name w:val="标题 4"/>
    <w:basedOn w:val="1559"/>
    <w:next w:val="1574"/>
    <w:link w:val="1573"/>
    <w:qFormat/>
    <w:pPr>
      <w:keepLines/>
      <w:keepNext/>
      <w:spacing w:before="280" w:after="290" w:line="372" w:lineRule="auto"/>
      <w:outlineLvl w:val="3"/>
    </w:pPr>
    <w:rPr>
      <w:rFonts w:ascii="Arial" w:hAnsi="Arial" w:eastAsia="黑体"/>
      <w:b/>
      <w:bCs/>
      <w:sz w:val="28"/>
      <w:szCs w:val="28"/>
    </w:rPr>
  </w:style>
  <w:style w:type="paragraph" w:styleId="1564">
    <w:name w:val="标题 5"/>
    <w:basedOn w:val="1559"/>
    <w:next w:val="1559"/>
    <w:link w:val="1576"/>
    <w:qFormat/>
    <w:pPr>
      <w:jc w:val="left"/>
      <w:keepLines/>
      <w:keepNext/>
      <w:spacing w:before="280" w:after="290" w:line="376" w:lineRule="auto"/>
      <w:outlineLvl w:val="4"/>
    </w:pPr>
    <w:rPr>
      <w:rFonts w:ascii="宋体"/>
      <w:b/>
      <w:bCs/>
      <w:sz w:val="28"/>
      <w:szCs w:val="28"/>
    </w:rPr>
  </w:style>
  <w:style w:type="paragraph" w:styleId="1565">
    <w:name w:val="标题 6"/>
    <w:basedOn w:val="1559"/>
    <w:next w:val="1559"/>
    <w:link w:val="1577"/>
    <w:qFormat/>
    <w:pPr>
      <w:jc w:val="left"/>
      <w:keepLines/>
      <w:keepNext/>
      <w:spacing w:before="240" w:after="64" w:line="320" w:lineRule="auto"/>
      <w:outlineLvl w:val="5"/>
    </w:pPr>
    <w:rPr>
      <w:rFonts w:ascii="Arial" w:hAnsi="Arial" w:eastAsia="黑体"/>
      <w:b/>
      <w:bCs/>
      <w:sz w:val="24"/>
      <w:szCs w:val="24"/>
    </w:rPr>
  </w:style>
  <w:style w:type="paragraph" w:styleId="1566">
    <w:name w:val="标题 8"/>
    <w:basedOn w:val="1559"/>
    <w:next w:val="1559"/>
    <w:link w:val="1578"/>
    <w:qFormat/>
    <w:pPr>
      <w:jc w:val="left"/>
      <w:keepLines/>
      <w:keepNext/>
      <w:spacing w:before="240" w:after="64" w:line="320" w:lineRule="auto"/>
      <w:outlineLvl w:val="7"/>
    </w:pPr>
    <w:rPr>
      <w:rFonts w:ascii="Arial" w:hAnsi="Arial" w:eastAsia="黑体"/>
      <w:sz w:val="24"/>
      <w:szCs w:val="24"/>
    </w:rPr>
  </w:style>
  <w:style w:type="paragraph" w:styleId="1567">
    <w:name w:val="标题 9"/>
    <w:basedOn w:val="1559"/>
    <w:next w:val="1559"/>
    <w:link w:val="1579"/>
    <w:qFormat/>
    <w:pPr>
      <w:jc w:val="left"/>
      <w:keepLines/>
      <w:keepNext/>
      <w:spacing w:before="240" w:after="64" w:line="320" w:lineRule="auto"/>
      <w:outlineLvl w:val="8"/>
    </w:pPr>
    <w:rPr>
      <w:rFonts w:ascii="Arial" w:hAnsi="Arial" w:eastAsia="黑体"/>
      <w:szCs w:val="21"/>
    </w:rPr>
  </w:style>
  <w:style w:type="character" w:styleId="1568">
    <w:name w:val="默认段落字体"/>
    <w:next w:val="1568"/>
    <w:link w:val="1559"/>
    <w:uiPriority w:val="1"/>
    <w:unhideWhenUsed/>
  </w:style>
  <w:style w:type="table" w:styleId="1569">
    <w:name w:val="普通表格"/>
    <w:next w:val="1569"/>
    <w:link w:val="155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70">
    <w:name w:val="标题 1 字符"/>
    <w:next w:val="1570"/>
    <w:link w:val="1560"/>
    <w:qFormat/>
    <w:rPr>
      <w:rFonts w:ascii="宋体"/>
      <w:sz w:val="28"/>
    </w:rPr>
  </w:style>
  <w:style w:type="character" w:styleId="1571">
    <w:name w:val="标题 2 字符"/>
    <w:next w:val="1571"/>
    <w:link w:val="1561"/>
    <w:qFormat/>
    <w:rPr>
      <w:rFonts w:ascii="Arial" w:hAnsi="Arial" w:eastAsia="黑体"/>
      <w:b/>
      <w:bCs/>
      <w:sz w:val="32"/>
      <w:szCs w:val="32"/>
    </w:rPr>
  </w:style>
  <w:style w:type="character" w:styleId="1572">
    <w:name w:val="标题 3 字符"/>
    <w:next w:val="1572"/>
    <w:link w:val="1562"/>
    <w:qFormat/>
    <w:rPr>
      <w:rFonts w:ascii="仿宋_GB2312" w:eastAsia="仿宋_GB2312"/>
      <w:sz w:val="32"/>
    </w:rPr>
  </w:style>
  <w:style w:type="character" w:styleId="1573">
    <w:name w:val="标题 4 字符"/>
    <w:next w:val="1573"/>
    <w:link w:val="1563"/>
    <w:qFormat/>
    <w:rPr>
      <w:rFonts w:ascii="Arial" w:hAnsi="Arial" w:eastAsia="黑体" w:cs="Arial"/>
      <w:b/>
      <w:bCs/>
      <w:sz w:val="28"/>
      <w:szCs w:val="28"/>
    </w:rPr>
  </w:style>
  <w:style w:type="paragraph" w:styleId="1574">
    <w:name w:val="正文缩进"/>
    <w:basedOn w:val="1559"/>
    <w:next w:val="1574"/>
    <w:link w:val="1575"/>
    <w:qFormat/>
    <w:pPr>
      <w:ind w:firstLine="420"/>
    </w:pPr>
    <w:rPr>
      <w:b/>
      <w:sz w:val="24"/>
    </w:rPr>
  </w:style>
  <w:style w:type="character" w:styleId="1575">
    <w:name w:val="正文缩进 字符"/>
    <w:next w:val="1575"/>
    <w:link w:val="1574"/>
    <w:qFormat/>
    <w:rPr>
      <w:b/>
      <w:sz w:val="24"/>
    </w:rPr>
  </w:style>
  <w:style w:type="character" w:styleId="1576">
    <w:name w:val="标题 5 字符"/>
    <w:next w:val="1576"/>
    <w:link w:val="1564"/>
    <w:qFormat/>
    <w:rPr>
      <w:rFonts w:ascii="宋体"/>
      <w:b/>
      <w:bCs/>
      <w:sz w:val="28"/>
      <w:szCs w:val="28"/>
    </w:rPr>
  </w:style>
  <w:style w:type="character" w:styleId="1577">
    <w:name w:val="标题 6 字符"/>
    <w:next w:val="1577"/>
    <w:link w:val="1565"/>
    <w:qFormat/>
    <w:rPr>
      <w:rFonts w:ascii="Arial" w:hAnsi="Arial" w:eastAsia="黑体"/>
      <w:b/>
      <w:bCs/>
      <w:sz w:val="24"/>
      <w:szCs w:val="24"/>
    </w:rPr>
  </w:style>
  <w:style w:type="character" w:styleId="1578">
    <w:name w:val="标题 8 字符"/>
    <w:next w:val="1578"/>
    <w:link w:val="1566"/>
    <w:qFormat/>
    <w:rPr>
      <w:rFonts w:ascii="Arial" w:hAnsi="Arial" w:eastAsia="黑体"/>
      <w:sz w:val="24"/>
      <w:szCs w:val="24"/>
    </w:rPr>
  </w:style>
  <w:style w:type="character" w:styleId="1579">
    <w:name w:val="标题 9 字符"/>
    <w:next w:val="1579"/>
    <w:link w:val="1567"/>
    <w:qFormat/>
    <w:rPr>
      <w:rFonts w:ascii="Arial" w:hAnsi="Arial" w:eastAsia="黑体"/>
      <w:sz w:val="21"/>
      <w:szCs w:val="21"/>
    </w:rPr>
  </w:style>
  <w:style w:type="paragraph" w:styleId="1580">
    <w:name w:val="列表 3"/>
    <w:basedOn w:val="1559"/>
    <w:next w:val="1580"/>
    <w:link w:val="1559"/>
    <w:qFormat/>
    <w:pPr>
      <w:contextualSpacing/>
      <w:ind w:left="100" w:hanging="200"/>
    </w:pPr>
  </w:style>
  <w:style w:type="paragraph" w:styleId="1581">
    <w:name w:val="目录 7"/>
    <w:basedOn w:val="1559"/>
    <w:next w:val="1559"/>
    <w:link w:val="1559"/>
    <w:uiPriority w:val="39"/>
    <w:qFormat/>
    <w:pPr>
      <w:ind w:left="2520"/>
    </w:pPr>
  </w:style>
  <w:style w:type="paragraph" w:styleId="1582">
    <w:name w:val="题注"/>
    <w:basedOn w:val="1559"/>
    <w:next w:val="1559"/>
    <w:link w:val="1559"/>
    <w:qFormat/>
    <w:pPr>
      <w:ind w:firstLine="200"/>
      <w:spacing w:line="360" w:lineRule="auto"/>
    </w:pPr>
    <w:rPr>
      <w:rFonts w:ascii="Cambria" w:hAnsi="Cambria" w:eastAsia="黑体"/>
      <w:sz w:val="20"/>
    </w:rPr>
  </w:style>
  <w:style w:type="paragraph" w:styleId="1583">
    <w:name w:val="列表项目符号"/>
    <w:basedOn w:val="1559"/>
    <w:next w:val="1583"/>
    <w:link w:val="1559"/>
    <w:qFormat/>
    <w:pPr>
      <w:ind w:firstLine="288"/>
      <w:spacing w:line="360" w:lineRule="atLeast"/>
      <w:tabs>
        <w:tab w:val="left" w:pos="0" w:leader="none"/>
        <w:tab w:val="left" w:pos="360" w:leader="none"/>
      </w:tabs>
    </w:pPr>
    <w:rPr>
      <w:rFonts w:ascii="Arial" w:hAnsi="Arial"/>
      <w:szCs w:val="21"/>
    </w:rPr>
  </w:style>
  <w:style w:type="paragraph" w:styleId="1584">
    <w:name w:val="文档结构图"/>
    <w:basedOn w:val="1559"/>
    <w:next w:val="1584"/>
    <w:link w:val="1585"/>
    <w:qFormat/>
    <w:pPr>
      <w:jc w:val="left"/>
    </w:pPr>
    <w:rPr>
      <w:rFonts w:ascii="宋体" w:eastAsia="仿宋_GB2312"/>
      <w:sz w:val="18"/>
      <w:szCs w:val="18"/>
    </w:rPr>
  </w:style>
  <w:style w:type="character" w:styleId="1585">
    <w:name w:val="文档结构图 字符"/>
    <w:next w:val="1585"/>
    <w:link w:val="1584"/>
    <w:qFormat/>
    <w:rPr>
      <w:rFonts w:ascii="宋体" w:eastAsia="仿宋_GB2312"/>
      <w:sz w:val="18"/>
      <w:szCs w:val="18"/>
    </w:rPr>
  </w:style>
  <w:style w:type="paragraph" w:styleId="1586">
    <w:name w:val="引文目录标题"/>
    <w:basedOn w:val="1559"/>
    <w:next w:val="1559"/>
    <w:link w:val="1559"/>
    <w:qFormat/>
    <w:pPr>
      <w:spacing w:before="120"/>
    </w:pPr>
    <w:rPr>
      <w:rFonts w:ascii="Arial" w:hAnsi="Arial" w:cs="Arial"/>
      <w:sz w:val="24"/>
      <w:szCs w:val="24"/>
    </w:rPr>
  </w:style>
  <w:style w:type="paragraph" w:styleId="1587">
    <w:name w:val="批注文字"/>
    <w:basedOn w:val="1559"/>
    <w:next w:val="1587"/>
    <w:link w:val="1588"/>
    <w:qFormat/>
    <w:pPr>
      <w:jc w:val="left"/>
    </w:pPr>
  </w:style>
  <w:style w:type="character" w:styleId="1588">
    <w:name w:val="批注文字 字符"/>
    <w:next w:val="1588"/>
    <w:link w:val="1587"/>
    <w:qFormat/>
    <w:rPr>
      <w:sz w:val="21"/>
    </w:rPr>
  </w:style>
  <w:style w:type="paragraph" w:styleId="1589">
    <w:name w:val="正文文本"/>
    <w:basedOn w:val="1559"/>
    <w:next w:val="1589"/>
    <w:link w:val="1590"/>
    <w:qFormat/>
    <w:rPr>
      <w:rFonts w:ascii="宋体"/>
      <w:sz w:val="28"/>
    </w:rPr>
  </w:style>
  <w:style w:type="character" w:styleId="1590">
    <w:name w:val="正文文本 字符"/>
    <w:next w:val="1590"/>
    <w:link w:val="1589"/>
    <w:qFormat/>
    <w:rPr>
      <w:rFonts w:ascii="宋体" w:eastAsia="宋体"/>
      <w:sz w:val="28"/>
      <w:lang w:val="en-US" w:eastAsia="zh-CN" w:bidi="ar-SA"/>
    </w:rPr>
  </w:style>
  <w:style w:type="paragraph" w:styleId="1591">
    <w:name w:val="正文文本缩进"/>
    <w:basedOn w:val="1559"/>
    <w:next w:val="1591"/>
    <w:link w:val="1592"/>
    <w:qFormat/>
    <w:pPr>
      <w:ind w:firstLine="420"/>
      <w:spacing w:line="360" w:lineRule="auto"/>
    </w:pPr>
    <w:rPr>
      <w:rFonts w:ascii="宋体"/>
      <w:sz w:val="24"/>
    </w:rPr>
  </w:style>
  <w:style w:type="character" w:styleId="1592">
    <w:name w:val="正文文本缩进 字符"/>
    <w:next w:val="1592"/>
    <w:link w:val="1591"/>
    <w:qFormat/>
    <w:rPr>
      <w:rFonts w:ascii="宋体"/>
      <w:sz w:val="24"/>
    </w:rPr>
  </w:style>
  <w:style w:type="paragraph" w:styleId="1593">
    <w:name w:val="列表 2"/>
    <w:basedOn w:val="1559"/>
    <w:next w:val="1593"/>
    <w:link w:val="1559"/>
    <w:qFormat/>
    <w:pPr>
      <w:ind w:left="100" w:hanging="200"/>
    </w:pPr>
  </w:style>
  <w:style w:type="paragraph" w:styleId="1594">
    <w:name w:val="文本块"/>
    <w:basedOn w:val="1559"/>
    <w:next w:val="1594"/>
    <w:link w:val="1559"/>
    <w:uiPriority w:val="99"/>
    <w:unhideWhenUsed/>
    <w:qFormat/>
    <w:pPr>
      <w:ind w:left="1440" w:right="1440"/>
      <w:spacing w:after="120"/>
    </w:pPr>
  </w:style>
  <w:style w:type="paragraph" w:styleId="1595">
    <w:name w:val="索引 4"/>
    <w:basedOn w:val="1559"/>
    <w:next w:val="1559"/>
    <w:link w:val="1559"/>
    <w:uiPriority w:val="99"/>
    <w:unhideWhenUsed/>
    <w:qFormat/>
    <w:pPr>
      <w:ind w:left="600"/>
    </w:pPr>
    <w:rPr>
      <w:rFonts w:ascii="Verdana" w:hAnsi="Verdana"/>
      <w:szCs w:val="20"/>
    </w:rPr>
  </w:style>
  <w:style w:type="paragraph" w:styleId="1596">
    <w:name w:val="目录 5"/>
    <w:basedOn w:val="1559"/>
    <w:next w:val="1559"/>
    <w:link w:val="1559"/>
    <w:uiPriority w:val="39"/>
    <w:qFormat/>
    <w:pPr>
      <w:ind w:left="1680"/>
    </w:pPr>
  </w:style>
  <w:style w:type="paragraph" w:styleId="1597">
    <w:name w:val="目录 3"/>
    <w:basedOn w:val="1559"/>
    <w:next w:val="1559"/>
    <w:link w:val="1559"/>
    <w:uiPriority w:val="39"/>
    <w:qFormat/>
    <w:pPr>
      <w:ind w:left="840"/>
    </w:pPr>
  </w:style>
  <w:style w:type="paragraph" w:styleId="1598">
    <w:name w:val="纯文本"/>
    <w:basedOn w:val="1559"/>
    <w:next w:val="1598"/>
    <w:link w:val="1599"/>
    <w:qFormat/>
    <w:rPr>
      <w:rFonts w:ascii="宋体" w:hAnsi="Courier New"/>
    </w:rPr>
  </w:style>
  <w:style w:type="character" w:styleId="1599">
    <w:name w:val="纯文本 字符"/>
    <w:next w:val="1599"/>
    <w:link w:val="1598"/>
    <w:qFormat/>
    <w:rPr>
      <w:rFonts w:ascii="宋体" w:hAnsi="Courier New" w:eastAsia="宋体"/>
      <w:sz w:val="21"/>
      <w:lang w:val="en-US" w:eastAsia="zh-CN" w:bidi="ar-SA"/>
    </w:rPr>
  </w:style>
  <w:style w:type="paragraph" w:styleId="1600">
    <w:name w:val="目录 8"/>
    <w:basedOn w:val="1559"/>
    <w:next w:val="1559"/>
    <w:link w:val="1559"/>
    <w:uiPriority w:val="39"/>
    <w:qFormat/>
    <w:pPr>
      <w:ind w:left="2940"/>
    </w:pPr>
  </w:style>
  <w:style w:type="paragraph" w:styleId="1601">
    <w:name w:val="日期"/>
    <w:basedOn w:val="1559"/>
    <w:next w:val="1559"/>
    <w:link w:val="1602"/>
    <w:qFormat/>
    <w:rPr>
      <w:rFonts w:ascii="宋体"/>
    </w:rPr>
  </w:style>
  <w:style w:type="character" w:styleId="1602">
    <w:name w:val="日期 字符"/>
    <w:next w:val="1602"/>
    <w:link w:val="1601"/>
    <w:qFormat/>
    <w:rPr>
      <w:rFonts w:ascii="宋体"/>
      <w:sz w:val="21"/>
    </w:rPr>
  </w:style>
  <w:style w:type="paragraph" w:styleId="1603">
    <w:name w:val="正文文本缩进 2"/>
    <w:basedOn w:val="1559"/>
    <w:next w:val="1603"/>
    <w:link w:val="1604"/>
    <w:qFormat/>
    <w:pPr>
      <w:ind w:firstLine="525"/>
      <w:spacing w:line="420" w:lineRule="exact"/>
    </w:pPr>
    <w:rPr>
      <w:rFonts w:ascii="宋体"/>
    </w:rPr>
  </w:style>
  <w:style w:type="character" w:styleId="1604">
    <w:name w:val="正文文本缩进 2 字符"/>
    <w:next w:val="1604"/>
    <w:link w:val="1603"/>
    <w:qFormat/>
    <w:rPr>
      <w:rFonts w:ascii="宋体"/>
      <w:sz w:val="21"/>
    </w:rPr>
  </w:style>
  <w:style w:type="paragraph" w:styleId="1605">
    <w:name w:val="批注框文本"/>
    <w:basedOn w:val="1559"/>
    <w:next w:val="1605"/>
    <w:link w:val="1606"/>
    <w:uiPriority w:val="99"/>
    <w:qFormat/>
    <w:rPr>
      <w:sz w:val="18"/>
      <w:szCs w:val="18"/>
    </w:rPr>
  </w:style>
  <w:style w:type="character" w:styleId="1606">
    <w:name w:val="批注框文本 字符"/>
    <w:next w:val="1606"/>
    <w:link w:val="1605"/>
    <w:uiPriority w:val="99"/>
    <w:semiHidden/>
    <w:qFormat/>
    <w:rPr>
      <w:sz w:val="18"/>
      <w:szCs w:val="18"/>
    </w:rPr>
  </w:style>
  <w:style w:type="paragraph" w:styleId="1607">
    <w:name w:val="页脚"/>
    <w:basedOn w:val="1559"/>
    <w:next w:val="1607"/>
    <w:link w:val="1608"/>
    <w:uiPriority w:val="99"/>
    <w:qFormat/>
    <w:pPr>
      <w:jc w:val="left"/>
      <w:tabs>
        <w:tab w:val="center" w:pos="4153" w:leader="none"/>
        <w:tab w:val="right" w:pos="8306" w:leader="none"/>
      </w:tabs>
    </w:pPr>
    <w:rPr>
      <w:sz w:val="18"/>
    </w:rPr>
  </w:style>
  <w:style w:type="character" w:styleId="1608">
    <w:name w:val="页脚 字符"/>
    <w:next w:val="1608"/>
    <w:link w:val="1607"/>
    <w:uiPriority w:val="99"/>
    <w:qFormat/>
    <w:rPr>
      <w:sz w:val="18"/>
    </w:rPr>
  </w:style>
  <w:style w:type="paragraph" w:styleId="1609">
    <w:name w:val="寄信人地址"/>
    <w:basedOn w:val="1559"/>
    <w:next w:val="1609"/>
    <w:link w:val="1559"/>
    <w:qFormat/>
    <w:rPr>
      <w:rFonts w:ascii="Arial" w:hAnsi="Arial"/>
    </w:rPr>
  </w:style>
  <w:style w:type="paragraph" w:styleId="1610">
    <w:name w:val="页眉"/>
    <w:basedOn w:val="1559"/>
    <w:next w:val="1610"/>
    <w:link w:val="1611"/>
    <w:uiPriority w:val="99"/>
    <w:qFormat/>
    <w:pPr>
      <w:jc w:val="center"/>
      <w:tabs>
        <w:tab w:val="center" w:pos="4153" w:leader="none"/>
        <w:tab w:val="right" w:pos="8306" w:leader="none"/>
      </w:tabs>
      <w:pBdr>
        <w:bottom w:val="single" w:color="000000" w:sz="6" w:space="1"/>
      </w:pBdr>
    </w:pPr>
    <w:rPr>
      <w:sz w:val="18"/>
    </w:rPr>
  </w:style>
  <w:style w:type="character" w:styleId="1611">
    <w:name w:val="页眉 字符"/>
    <w:next w:val="1611"/>
    <w:link w:val="1610"/>
    <w:uiPriority w:val="99"/>
    <w:qFormat/>
    <w:rPr>
      <w:sz w:val="18"/>
    </w:rPr>
  </w:style>
  <w:style w:type="paragraph" w:styleId="1612">
    <w:name w:val="目录 1"/>
    <w:basedOn w:val="1559"/>
    <w:next w:val="1559"/>
    <w:link w:val="1559"/>
    <w:uiPriority w:val="39"/>
    <w:qFormat/>
  </w:style>
  <w:style w:type="paragraph" w:styleId="1613">
    <w:name w:val="目录 4"/>
    <w:basedOn w:val="1559"/>
    <w:next w:val="1559"/>
    <w:link w:val="1559"/>
    <w:uiPriority w:val="39"/>
    <w:qFormat/>
    <w:pPr>
      <w:ind w:left="1260"/>
    </w:pPr>
  </w:style>
  <w:style w:type="paragraph" w:styleId="1614">
    <w:name w:val="副标题"/>
    <w:basedOn w:val="1559"/>
    <w:next w:val="1559"/>
    <w:link w:val="1615"/>
    <w:qFormat/>
    <w:pPr>
      <w:jc w:val="center"/>
      <w:spacing w:before="240" w:after="60" w:line="312" w:lineRule="auto"/>
      <w:outlineLvl w:val="1"/>
    </w:pPr>
    <w:rPr>
      <w:rFonts w:ascii="Cambria" w:hAnsi="Cambria"/>
      <w:b/>
      <w:bCs/>
      <w:sz w:val="32"/>
      <w:szCs w:val="32"/>
    </w:rPr>
  </w:style>
  <w:style w:type="character" w:styleId="1615">
    <w:name w:val="副标题 字符"/>
    <w:next w:val="1615"/>
    <w:link w:val="1614"/>
    <w:qFormat/>
    <w:rPr>
      <w:rFonts w:ascii="Cambria" w:hAnsi="Cambria"/>
      <w:b/>
      <w:bCs/>
      <w:sz w:val="32"/>
      <w:szCs w:val="32"/>
    </w:rPr>
  </w:style>
  <w:style w:type="paragraph" w:styleId="1616">
    <w:name w:val="目录 6"/>
    <w:basedOn w:val="1559"/>
    <w:next w:val="1559"/>
    <w:link w:val="1559"/>
    <w:uiPriority w:val="39"/>
    <w:qFormat/>
    <w:pPr>
      <w:ind w:left="2100"/>
    </w:pPr>
  </w:style>
  <w:style w:type="paragraph" w:styleId="1617">
    <w:name w:val="正文文本缩进 3"/>
    <w:basedOn w:val="1559"/>
    <w:next w:val="1617"/>
    <w:link w:val="1618"/>
    <w:qFormat/>
    <w:pPr>
      <w:ind w:firstLine="841"/>
    </w:pPr>
    <w:rPr>
      <w:rFonts w:eastAsia="华文新魏"/>
      <w:b/>
      <w:bCs/>
      <w:sz w:val="84"/>
    </w:rPr>
  </w:style>
  <w:style w:type="character" w:styleId="1618">
    <w:name w:val="正文文本缩进 3 字符"/>
    <w:next w:val="1618"/>
    <w:link w:val="1617"/>
    <w:qFormat/>
    <w:rPr>
      <w:rFonts w:eastAsia="华文新魏"/>
      <w:b/>
      <w:bCs/>
      <w:sz w:val="84"/>
    </w:rPr>
  </w:style>
  <w:style w:type="paragraph" w:styleId="1619">
    <w:name w:val="目录 2"/>
    <w:basedOn w:val="1559"/>
    <w:next w:val="1559"/>
    <w:link w:val="1559"/>
    <w:uiPriority w:val="39"/>
    <w:qFormat/>
    <w:pPr>
      <w:ind w:left="420"/>
    </w:pPr>
  </w:style>
  <w:style w:type="paragraph" w:styleId="1620">
    <w:name w:val="目录 9"/>
    <w:basedOn w:val="1559"/>
    <w:next w:val="1559"/>
    <w:link w:val="1559"/>
    <w:uiPriority w:val="39"/>
    <w:qFormat/>
    <w:pPr>
      <w:ind w:left="3360"/>
    </w:pPr>
  </w:style>
  <w:style w:type="paragraph" w:styleId="1621">
    <w:name w:val="HTML 预设格式"/>
    <w:basedOn w:val="1559"/>
    <w:next w:val="1621"/>
    <w:link w:val="16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622">
    <w:name w:val="HTML 预设格式 字符"/>
    <w:next w:val="1622"/>
    <w:link w:val="1621"/>
    <w:qFormat/>
    <w:rPr>
      <w:rFonts w:ascii="黑体" w:hAnsi="Courier New" w:eastAsia="黑体" w:cs="Courier New"/>
    </w:rPr>
  </w:style>
  <w:style w:type="paragraph" w:styleId="1623">
    <w:name w:val="普通(网站)"/>
    <w:basedOn w:val="1559"/>
    <w:next w:val="1623"/>
    <w:link w:val="155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624">
    <w:name w:val="标题"/>
    <w:basedOn w:val="1559"/>
    <w:next w:val="1624"/>
    <w:link w:val="1625"/>
    <w:uiPriority w:val="10"/>
    <w:qFormat/>
    <w:pPr>
      <w:jc w:val="center"/>
    </w:pPr>
    <w:rPr>
      <w:sz w:val="30"/>
      <w:szCs w:val="24"/>
    </w:rPr>
  </w:style>
  <w:style w:type="character" w:styleId="1625">
    <w:name w:val="标题 字符"/>
    <w:next w:val="1625"/>
    <w:link w:val="1624"/>
    <w:uiPriority w:val="10"/>
    <w:qFormat/>
    <w:rPr>
      <w:sz w:val="30"/>
      <w:szCs w:val="24"/>
    </w:rPr>
  </w:style>
  <w:style w:type="paragraph" w:styleId="1626">
    <w:name w:val="批注主题"/>
    <w:basedOn w:val="1587"/>
    <w:next w:val="1587"/>
    <w:link w:val="1627"/>
    <w:qFormat/>
    <w:rPr>
      <w:b/>
      <w:bCs/>
    </w:rPr>
  </w:style>
  <w:style w:type="character" w:styleId="1627">
    <w:name w:val="批注主题 字符"/>
    <w:next w:val="1627"/>
    <w:link w:val="1626"/>
    <w:qFormat/>
    <w:rPr>
      <w:b/>
      <w:bCs/>
      <w:sz w:val="21"/>
    </w:rPr>
  </w:style>
  <w:style w:type="paragraph" w:styleId="1628">
    <w:name w:val="正文首行缩进"/>
    <w:basedOn w:val="1589"/>
    <w:next w:val="1628"/>
    <w:link w:val="1559"/>
    <w:qFormat/>
    <w:pPr>
      <w:ind w:firstLine="420"/>
      <w:spacing w:line="360" w:lineRule="auto"/>
    </w:pPr>
    <w:rPr>
      <w:rFonts w:ascii="Times New Roman"/>
      <w:szCs w:val="21"/>
    </w:rPr>
  </w:style>
  <w:style w:type="paragraph" w:styleId="1629">
    <w:name w:val="正文首行缩进 2"/>
    <w:basedOn w:val="1591"/>
    <w:next w:val="1559"/>
    <w:link w:val="1559"/>
    <w:qFormat/>
    <w:pPr>
      <w:ind w:firstLine="420"/>
    </w:pPr>
  </w:style>
  <w:style w:type="table" w:styleId="1630">
    <w:name w:val="网格型"/>
    <w:basedOn w:val="1569"/>
    <w:next w:val="1630"/>
    <w:link w:val="1559"/>
    <w:qFormat/>
    <w:rPr>
      <w:sz w:val="21"/>
      <w:szCs w:val="22"/>
    </w:rPr>
    <w:tblPr/>
  </w:style>
  <w:style w:type="character" w:styleId="1631">
    <w:name w:val="要点"/>
    <w:next w:val="1631"/>
    <w:link w:val="1559"/>
    <w:qFormat/>
    <w:rPr>
      <w:b/>
      <w:bCs/>
    </w:rPr>
  </w:style>
  <w:style w:type="character" w:styleId="1632">
    <w:name w:val="页码"/>
    <w:next w:val="1632"/>
    <w:link w:val="1559"/>
    <w:qFormat/>
  </w:style>
  <w:style w:type="character" w:styleId="1633">
    <w:name w:val="强调"/>
    <w:next w:val="1633"/>
    <w:link w:val="1559"/>
    <w:uiPriority w:val="20"/>
    <w:qFormat/>
    <w:rPr>
      <w:i/>
    </w:rPr>
  </w:style>
  <w:style w:type="character" w:styleId="1634">
    <w:name w:val="超链接"/>
    <w:next w:val="1634"/>
    <w:link w:val="1559"/>
    <w:uiPriority w:val="99"/>
    <w:qFormat/>
    <w:rPr>
      <w:color w:val="333333"/>
      <w:u w:val="none"/>
    </w:rPr>
  </w:style>
  <w:style w:type="character" w:styleId="1635">
    <w:name w:val="批注引用"/>
    <w:next w:val="1635"/>
    <w:link w:val="1559"/>
    <w:uiPriority w:val="99"/>
    <w:qFormat/>
    <w:rPr>
      <w:sz w:val="21"/>
      <w:szCs w:val="21"/>
    </w:rPr>
  </w:style>
  <w:style w:type="character" w:styleId="1636">
    <w:name w:val="标题 8 Char"/>
    <w:next w:val="1636"/>
    <w:link w:val="1559"/>
    <w:qFormat/>
    <w:rPr>
      <w:rFonts w:ascii="Arial" w:hAnsi="Arial" w:eastAsia="黑体"/>
      <w:sz w:val="24"/>
      <w:szCs w:val="24"/>
    </w:rPr>
  </w:style>
  <w:style w:type="character" w:styleId="1637">
    <w:name w:val="日期 Char"/>
    <w:next w:val="1637"/>
    <w:link w:val="1559"/>
    <w:qFormat/>
    <w:rPr>
      <w:rFonts w:ascii="宋体" w:hAnsi="Times New Roman" w:eastAsia="宋体" w:cs="Times New Roman"/>
      <w:sz w:val="20"/>
      <w:szCs w:val="20"/>
    </w:rPr>
  </w:style>
  <w:style w:type="character" w:styleId="1638">
    <w:name w:val="页脚 Char1"/>
    <w:next w:val="1638"/>
    <w:link w:val="1559"/>
    <w:uiPriority w:val="99"/>
    <w:qFormat/>
    <w:rPr>
      <w:sz w:val="18"/>
    </w:rPr>
  </w:style>
  <w:style w:type="character" w:styleId="1639">
    <w:name w:val="标题 6 Char"/>
    <w:next w:val="1639"/>
    <w:link w:val="1559"/>
    <w:qFormat/>
    <w:rPr>
      <w:rFonts w:ascii="Arial" w:hAnsi="Arial" w:eastAsia="黑体"/>
      <w:b/>
      <w:bCs/>
      <w:sz w:val="24"/>
      <w:szCs w:val="24"/>
    </w:rPr>
  </w:style>
  <w:style w:type="character" w:styleId="1640">
    <w:name w:val="apple-style-span"/>
    <w:next w:val="1640"/>
    <w:link w:val="1559"/>
    <w:qFormat/>
  </w:style>
  <w:style w:type="character" w:styleId="1641">
    <w:name w:val="页眉 Char"/>
    <w:next w:val="1641"/>
    <w:link w:val="1559"/>
    <w:qFormat/>
    <w:rPr>
      <w:rFonts w:ascii="宋体" w:hAnsi="Times New Roman" w:eastAsia="宋体" w:cs="Times New Roman"/>
      <w:sz w:val="18"/>
      <w:szCs w:val="18"/>
    </w:rPr>
  </w:style>
  <w:style w:type="character" w:styleId="1642">
    <w:name w:val="纯文本 Char"/>
    <w:next w:val="1642"/>
    <w:link w:val="1559"/>
    <w:qFormat/>
    <w:rPr>
      <w:rFonts w:ascii="宋体" w:hAnsi="Courier New" w:eastAsia="宋体" w:cs="Courier New"/>
      <w:szCs w:val="21"/>
    </w:rPr>
  </w:style>
  <w:style w:type="character" w:styleId="1643">
    <w:name w:val="批注框文本 Char"/>
    <w:next w:val="1643"/>
    <w:link w:val="1559"/>
    <w:uiPriority w:val="99"/>
    <w:semiHidden/>
    <w:qFormat/>
    <w:rPr>
      <w:rFonts w:ascii="宋体" w:hAnsi="Times New Roman" w:eastAsia="宋体" w:cs="Times New Roman"/>
      <w:sz w:val="18"/>
      <w:szCs w:val="18"/>
    </w:rPr>
  </w:style>
  <w:style w:type="character" w:styleId="1644">
    <w:name w:val="font21"/>
    <w:next w:val="1644"/>
    <w:link w:val="1559"/>
    <w:qFormat/>
    <w:rPr>
      <w:rFonts w:hint="eastAsia" w:ascii="新宋体" w:hAnsi="新宋体" w:eastAsia="新宋体" w:cs="新宋体"/>
      <w:color w:val="000000"/>
      <w:sz w:val="18"/>
      <w:szCs w:val="18"/>
      <w:u w:val="none"/>
    </w:rPr>
  </w:style>
  <w:style w:type="character" w:styleId="1645">
    <w:name w:val="style21"/>
    <w:next w:val="1645"/>
    <w:link w:val="1559"/>
    <w:qFormat/>
    <w:rPr>
      <w:sz w:val="18"/>
      <w:szCs w:val="18"/>
    </w:rPr>
  </w:style>
  <w:style w:type="character" w:styleId="1646">
    <w:name w:val="文档结构图 Char"/>
    <w:next w:val="1646"/>
    <w:link w:val="1559"/>
    <w:qFormat/>
    <w:rPr>
      <w:rFonts w:ascii="宋体" w:hAnsi="Times New Roman" w:eastAsia="宋体" w:cs="Times New Roman"/>
      <w:sz w:val="18"/>
      <w:szCs w:val="18"/>
    </w:rPr>
  </w:style>
  <w:style w:type="character" w:styleId="1647">
    <w:name w:val="标题 2 Char1"/>
    <w:next w:val="1647"/>
    <w:link w:val="1559"/>
    <w:qFormat/>
    <w:rPr>
      <w:rFonts w:ascii="Arial" w:hAnsi="Arial" w:eastAsia="黑体"/>
      <w:b/>
      <w:bCs/>
      <w:sz w:val="32"/>
      <w:szCs w:val="32"/>
    </w:rPr>
  </w:style>
  <w:style w:type="character" w:styleId="1648">
    <w:name w:val="批注框文本 Char1"/>
    <w:next w:val="1648"/>
    <w:link w:val="1559"/>
    <w:uiPriority w:val="99"/>
    <w:semiHidden/>
    <w:qFormat/>
    <w:rPr>
      <w:sz w:val="18"/>
      <w:szCs w:val="18"/>
    </w:rPr>
  </w:style>
  <w:style w:type="character" w:styleId="1649">
    <w:name w:val="yy1"/>
    <w:next w:val="1649"/>
    <w:link w:val="1559"/>
    <w:qFormat/>
    <w:rPr>
      <w:rFonts w:ascii="宋体" w:hAnsi="宋体" w:eastAsia="宋体"/>
      <w:b/>
      <w:bCs/>
      <w:sz w:val="28"/>
    </w:rPr>
  </w:style>
  <w:style w:type="character" w:styleId="1650">
    <w:name w:val="标题 Char"/>
    <w:next w:val="1650"/>
    <w:link w:val="1559"/>
    <w:qFormat/>
    <w:rPr>
      <w:rFonts w:ascii="Cambria" w:hAnsi="Cambria" w:eastAsia="宋体" w:cs="Times New Roman"/>
      <w:b/>
      <w:bCs/>
      <w:sz w:val="32"/>
      <w:szCs w:val="32"/>
    </w:rPr>
  </w:style>
  <w:style w:type="character" w:styleId="1651">
    <w:name w:val="c lh15"/>
    <w:next w:val="1651"/>
    <w:link w:val="1559"/>
    <w:qFormat/>
  </w:style>
  <w:style w:type="character" w:styleId="1652">
    <w:name w:val="ask-title2"/>
    <w:next w:val="1652"/>
    <w:link w:val="1559"/>
    <w:qFormat/>
  </w:style>
  <w:style w:type="character" w:styleId="1653">
    <w:name w:val="页脚 Char"/>
    <w:next w:val="1653"/>
    <w:link w:val="1559"/>
    <w:uiPriority w:val="99"/>
    <w:qFormat/>
    <w:rPr>
      <w:rFonts w:ascii="宋体" w:hAnsi="Times New Roman" w:eastAsia="宋体" w:cs="Times New Roman"/>
      <w:sz w:val="18"/>
      <w:szCs w:val="18"/>
    </w:rPr>
  </w:style>
  <w:style w:type="character" w:styleId="1654">
    <w:name w:val="正文文本缩进 Char"/>
    <w:next w:val="1654"/>
    <w:link w:val="1559"/>
    <w:uiPriority w:val="99"/>
    <w:semiHidden/>
    <w:qFormat/>
    <w:rPr>
      <w:rFonts w:ascii="宋体" w:hAnsi="Times New Roman" w:eastAsia="宋体" w:cs="Times New Roman"/>
      <w:sz w:val="20"/>
      <w:szCs w:val="20"/>
    </w:rPr>
  </w:style>
  <w:style w:type="character" w:styleId="1655">
    <w:name w:val="NormalCharacter1"/>
    <w:next w:val="1655"/>
    <w:link w:val="1559"/>
    <w:semiHidden/>
    <w:rPr>
      <w:sz w:val="21"/>
      <w:lang w:val="en-US" w:eastAsia="zh-CN" w:bidi="ar-SA"/>
    </w:rPr>
  </w:style>
  <w:style w:type="character" w:styleId="1656">
    <w:name w:val="font31"/>
    <w:next w:val="1656"/>
    <w:link w:val="1559"/>
    <w:qFormat/>
    <w:rPr>
      <w:rFonts w:hint="eastAsia" w:ascii="宋体" w:hAnsi="宋体" w:eastAsia="宋体" w:cs="宋体"/>
      <w:color w:val="000000"/>
      <w:sz w:val="22"/>
      <w:szCs w:val="22"/>
      <w:u w:val="none"/>
    </w:rPr>
  </w:style>
  <w:style w:type="character" w:styleId="1657">
    <w:name w:val="页眉 Char1"/>
    <w:next w:val="1657"/>
    <w:link w:val="1559"/>
    <w:uiPriority w:val="99"/>
    <w:qFormat/>
    <w:rPr>
      <w:sz w:val="18"/>
    </w:rPr>
  </w:style>
  <w:style w:type="character" w:styleId="1658">
    <w:name w:val="正文文本 (8)_"/>
    <w:next w:val="1658"/>
    <w:link w:val="1659"/>
    <w:qFormat/>
    <w:rPr>
      <w:rFonts w:ascii="Gulim" w:hAnsi="Gulim" w:eastAsia="Gulim" w:cs="Gulim"/>
      <w:b/>
      <w:sz w:val="15"/>
      <w:szCs w:val="15"/>
      <w:shd w:val="clear" w:color="auto" w:fill="ffffff"/>
      <w:lang w:eastAsia="en-US" w:bidi="en-US"/>
    </w:rPr>
  </w:style>
  <w:style w:type="paragraph" w:styleId="1659">
    <w:name w:val="正文文本 (8)"/>
    <w:basedOn w:val="1559"/>
    <w:next w:val="1659"/>
    <w:link w:val="1658"/>
    <w:qFormat/>
    <w:pPr>
      <w:jc w:val="left"/>
      <w:spacing w:line="0" w:lineRule="atLeast"/>
      <w:shd w:val="clear" w:color="auto" w:fill="ffffff"/>
    </w:pPr>
    <w:rPr>
      <w:rFonts w:ascii="Gulim" w:hAnsi="Gulim" w:eastAsia="Gulim" w:cs="Gulim"/>
      <w:b/>
      <w:sz w:val="15"/>
      <w:szCs w:val="15"/>
      <w:lang w:eastAsia="en-US" w:bidi="en-US"/>
    </w:rPr>
  </w:style>
  <w:style w:type="character" w:styleId="1660">
    <w:name w:val="标题 Char2"/>
    <w:next w:val="1660"/>
    <w:link w:val="1559"/>
    <w:uiPriority w:val="10"/>
    <w:qFormat/>
    <w:rPr>
      <w:sz w:val="30"/>
      <w:szCs w:val="24"/>
    </w:rPr>
  </w:style>
  <w:style w:type="character" w:styleId="1661">
    <w:name w:val="Andy_正文格式 Char"/>
    <w:next w:val="1661"/>
    <w:link w:val="1662"/>
    <w:qFormat/>
    <w:rPr>
      <w:rFonts w:ascii="仿宋_GB2312" w:eastAsia="仿宋_GB2312"/>
      <w:sz w:val="28"/>
      <w:szCs w:val="28"/>
    </w:rPr>
  </w:style>
  <w:style w:type="paragraph" w:styleId="1662">
    <w:name w:val="Andy_正文格式"/>
    <w:basedOn w:val="1559"/>
    <w:next w:val="1662"/>
    <w:link w:val="1661"/>
    <w:qFormat/>
    <w:pPr>
      <w:ind w:firstLine="560"/>
    </w:pPr>
    <w:rPr>
      <w:rFonts w:ascii="仿宋_GB2312" w:eastAsia="仿宋_GB2312"/>
      <w:sz w:val="28"/>
      <w:szCs w:val="28"/>
    </w:rPr>
  </w:style>
  <w:style w:type="character" w:styleId="1663">
    <w:name w:val="标题 1 Char1"/>
    <w:next w:val="1663"/>
    <w:link w:val="1559"/>
    <w:qFormat/>
    <w:rPr>
      <w:rFonts w:ascii="宋体"/>
      <w:sz w:val="28"/>
    </w:rPr>
  </w:style>
  <w:style w:type="character" w:styleId="1664">
    <w:name w:val="批注文字 Char"/>
    <w:next w:val="1664"/>
    <w:link w:val="1559"/>
    <w:qFormat/>
    <w:rPr>
      <w:sz w:val="21"/>
    </w:rPr>
  </w:style>
  <w:style w:type="character" w:styleId="1665">
    <w:name w:val="新正文 Char Char"/>
    <w:next w:val="1665"/>
    <w:link w:val="1666"/>
    <w:qFormat/>
    <w:rPr>
      <w:rFonts w:ascii="宋体" w:hAnsi="宋体" w:cs="宋体"/>
      <w:b/>
      <w:bCs/>
      <w:color w:val="000000"/>
      <w:sz w:val="24"/>
      <w:szCs w:val="21"/>
    </w:rPr>
  </w:style>
  <w:style w:type="paragraph" w:styleId="1666">
    <w:name w:val="新正文"/>
    <w:basedOn w:val="1559"/>
    <w:next w:val="1666"/>
    <w:link w:val="1665"/>
    <w:qFormat/>
    <w:pPr>
      <w:ind w:firstLine="200"/>
      <w:spacing w:line="480" w:lineRule="exact"/>
    </w:pPr>
    <w:rPr>
      <w:rFonts w:ascii="宋体" w:hAnsi="宋体"/>
      <w:b/>
      <w:bCs/>
      <w:color w:val="000000"/>
      <w:sz w:val="24"/>
      <w:szCs w:val="21"/>
    </w:rPr>
  </w:style>
  <w:style w:type="character" w:styleId="1667">
    <w:name w:val="Char Char3"/>
    <w:next w:val="1667"/>
    <w:link w:val="1559"/>
    <w:qFormat/>
    <w:rPr>
      <w:rFonts w:ascii="宋体" w:hAnsi="宋体" w:eastAsia="宋体"/>
      <w:sz w:val="24"/>
      <w:szCs w:val="24"/>
      <w:lang w:val="en-US" w:eastAsia="zh-CN" w:bidi="ar-SA"/>
    </w:rPr>
  </w:style>
  <w:style w:type="character" w:styleId="1668">
    <w:name w:val="font41"/>
    <w:next w:val="1668"/>
    <w:link w:val="1559"/>
    <w:qFormat/>
    <w:rPr>
      <w:rFonts w:hint="eastAsia" w:ascii="宋体" w:hAnsi="宋体" w:eastAsia="宋体" w:cs="宋体"/>
      <w:color w:val="000000"/>
      <w:sz w:val="22"/>
      <w:szCs w:val="22"/>
      <w:u w:val="none"/>
    </w:rPr>
  </w:style>
  <w:style w:type="character" w:styleId="1669">
    <w:name w:val="标题 3 Char Char Char Char Char Char Char Char Char"/>
    <w:next w:val="1669"/>
    <w:link w:val="1559"/>
    <w:qFormat/>
    <w:rPr>
      <w:rFonts w:eastAsia="宋体"/>
      <w:b/>
      <w:sz w:val="32"/>
      <w:lang w:val="en-US" w:eastAsia="zh-CN"/>
    </w:rPr>
  </w:style>
  <w:style w:type="character" w:styleId="1670">
    <w:name w:val="列出段落 Char1"/>
    <w:next w:val="1670"/>
    <w:link w:val="1671"/>
    <w:qFormat/>
    <w:rPr>
      <w:rFonts w:ascii="Calibri" w:hAnsi="Calibri"/>
      <w:sz w:val="21"/>
      <w:szCs w:val="22"/>
    </w:rPr>
  </w:style>
  <w:style w:type="paragraph" w:styleId="1671">
    <w:name w:val="列出段落1"/>
    <w:basedOn w:val="1559"/>
    <w:next w:val="1671"/>
    <w:link w:val="1670"/>
    <w:qFormat/>
    <w:pPr>
      <w:ind w:firstLine="420"/>
    </w:pPr>
    <w:rPr>
      <w:rFonts w:ascii="Calibri" w:hAnsi="Calibri"/>
      <w:szCs w:val="22"/>
    </w:rPr>
  </w:style>
  <w:style w:type="character" w:styleId="1672">
    <w:name w:val="正文文本缩进 Char1"/>
    <w:next w:val="1672"/>
    <w:link w:val="1559"/>
    <w:qFormat/>
    <w:rPr>
      <w:rFonts w:ascii="宋体"/>
      <w:sz w:val="24"/>
    </w:rPr>
  </w:style>
  <w:style w:type="character" w:styleId="1673">
    <w:name w:val="标题 2 Char Char Char"/>
    <w:next w:val="1673"/>
    <w:link w:val="1559"/>
    <w:qFormat/>
    <w:rPr>
      <w:rFonts w:ascii="Arial" w:hAnsi="Arial" w:eastAsia="黑体"/>
      <w:b/>
      <w:bCs/>
      <w:sz w:val="32"/>
      <w:szCs w:val="32"/>
      <w:lang w:val="en-US" w:eastAsia="zh-CN" w:bidi="ar-SA"/>
    </w:rPr>
  </w:style>
  <w:style w:type="character" w:styleId="1674">
    <w:name w:val="样式 样式 标题 3 + (中文) 黑体 Char + (中文) 宋体 小四 Char Char Char Char Char Char"/>
    <w:next w:val="1674"/>
    <w:link w:val="1559"/>
    <w:qFormat/>
    <w:rPr>
      <w:rFonts w:ascii="宋体" w:hAnsi="Courier New" w:eastAsia="宋体" w:cs="Courier New"/>
      <w:sz w:val="24"/>
      <w:szCs w:val="21"/>
      <w:lang w:val="en-US" w:eastAsia="zh-CN" w:bidi="ar-SA"/>
    </w:rPr>
  </w:style>
  <w:style w:type="character" w:styleId="1675">
    <w:name w:val="标题 2 Char"/>
    <w:next w:val="1675"/>
    <w:link w:val="1559"/>
    <w:uiPriority w:val="9"/>
    <w:semiHidden/>
    <w:qFormat/>
    <w:rPr>
      <w:rFonts w:ascii="Cambria" w:hAnsi="Cambria" w:eastAsia="宋体" w:cs="Times New Roman"/>
      <w:b/>
      <w:bCs/>
      <w:sz w:val="32"/>
      <w:szCs w:val="32"/>
    </w:rPr>
  </w:style>
  <w:style w:type="character" w:styleId="1676">
    <w:name w:val="identication Char"/>
    <w:next w:val="1676"/>
    <w:link w:val="1559"/>
    <w:qFormat/>
    <w:rPr>
      <w:rFonts w:eastAsia="宋体"/>
      <w:sz w:val="21"/>
      <w:szCs w:val="24"/>
      <w:lang w:val="en-US" w:eastAsia="zh-CN" w:bidi="ar-SA"/>
    </w:rPr>
  </w:style>
  <w:style w:type="character" w:styleId="1677">
    <w:name w:val="HTML 预设格式 Char"/>
    <w:next w:val="1677"/>
    <w:link w:val="1559"/>
    <w:qFormat/>
    <w:rPr>
      <w:rFonts w:ascii="黑体" w:hAnsi="Courier New" w:eastAsia="黑体" w:cs="Courier New"/>
    </w:rPr>
  </w:style>
  <w:style w:type="character" w:styleId="1678">
    <w:name w:val="表格标题 + SimSun"/>
    <w:next w:val="1678"/>
    <w:link w:val="1559"/>
    <w:qFormat/>
    <w:rPr>
      <w:rFonts w:ascii="宋体" w:hAnsi="宋体" w:eastAsia="宋体" w:cs="宋体"/>
      <w:b/>
      <w:color w:val="000000"/>
      <w:spacing w:val="0"/>
      <w:position w:val="0"/>
      <w:sz w:val="17"/>
      <w:szCs w:val="17"/>
      <w:shd w:val="clear" w:color="auto" w:fill="ffffff"/>
      <w:lang w:val="zh-CN" w:eastAsia="zh-CN" w:bidi="zh-CN"/>
    </w:rPr>
  </w:style>
  <w:style w:type="character" w:styleId="1679">
    <w:name w:val="批注主题 Char"/>
    <w:next w:val="1679"/>
    <w:link w:val="1559"/>
    <w:qFormat/>
    <w:rPr>
      <w:b/>
      <w:bCs/>
      <w:sz w:val="21"/>
    </w:rPr>
  </w:style>
  <w:style w:type="character" w:styleId="1680">
    <w:name w:val="批注文字 字符1"/>
    <w:next w:val="1680"/>
    <w:link w:val="1559"/>
    <w:uiPriority w:val="99"/>
    <w:semiHidden/>
    <w:qFormat/>
    <w:rPr>
      <w:rFonts w:ascii="宋体" w:hAnsi="Times New Roman" w:eastAsia="宋体" w:cs="Times New Roman"/>
      <w:sz w:val="20"/>
      <w:szCs w:val="20"/>
    </w:rPr>
  </w:style>
  <w:style w:type="character" w:styleId="1681">
    <w:name w:val="正文缩进 Char"/>
    <w:next w:val="1681"/>
    <w:link w:val="1559"/>
    <w:qFormat/>
    <w:rPr>
      <w:b/>
      <w:sz w:val="24"/>
    </w:rPr>
  </w:style>
  <w:style w:type="character" w:styleId="1682">
    <w:name w:val="font211"/>
    <w:next w:val="1682"/>
    <w:link w:val="1559"/>
    <w:qFormat/>
    <w:rPr>
      <w:rFonts w:hint="eastAsia" w:ascii="新宋体" w:hAnsi="新宋体" w:eastAsia="新宋体" w:cs="新宋体"/>
      <w:color w:val="000000"/>
      <w:sz w:val="18"/>
      <w:szCs w:val="18"/>
      <w:u w:val="none"/>
    </w:rPr>
  </w:style>
  <w:style w:type="character" w:styleId="1683">
    <w:name w:val="标题 4 Char1"/>
    <w:next w:val="1683"/>
    <w:link w:val="1559"/>
    <w:qFormat/>
    <w:rPr>
      <w:rFonts w:ascii="Arial" w:hAnsi="Arial" w:eastAsia="黑体" w:cs="Arial"/>
      <w:b/>
      <w:bCs/>
      <w:sz w:val="28"/>
      <w:szCs w:val="28"/>
    </w:rPr>
  </w:style>
  <w:style w:type="character" w:styleId="1684">
    <w:name w:val="正文文本 Char"/>
    <w:next w:val="1684"/>
    <w:link w:val="1559"/>
    <w:qFormat/>
    <w:rPr>
      <w:rFonts w:ascii="宋体" w:eastAsia="宋体"/>
      <w:sz w:val="28"/>
      <w:lang w:val="en-US" w:eastAsia="zh-CN" w:bidi="ar-SA"/>
    </w:rPr>
  </w:style>
  <w:style w:type="character" w:styleId="1685">
    <w:name w:val="标题 Char1"/>
    <w:next w:val="1685"/>
    <w:link w:val="1559"/>
    <w:qFormat/>
    <w:rPr>
      <w:rFonts w:ascii="Cambria" w:hAnsi="Cambria" w:eastAsia="仿宋_GB2312" w:cs="Times New Roman"/>
      <w:b/>
      <w:bCs/>
      <w:sz w:val="32"/>
      <w:szCs w:val="32"/>
      <w:lang w:val="en-US" w:eastAsia="zh-CN" w:bidi="ar-SA"/>
    </w:rPr>
  </w:style>
  <w:style w:type="character" w:styleId="1686">
    <w:name w:val="纯文本 Char2"/>
    <w:next w:val="1686"/>
    <w:link w:val="1559"/>
    <w:qFormat/>
    <w:rPr>
      <w:rFonts w:ascii="宋体" w:hAnsi="Courier New" w:eastAsia="宋体"/>
      <w:sz w:val="21"/>
      <w:lang w:val="en-US" w:eastAsia="zh-CN" w:bidi="ar-SA"/>
    </w:rPr>
  </w:style>
  <w:style w:type="character" w:styleId="1687">
    <w:name w:val="列出段落 Char"/>
    <w:next w:val="1687"/>
    <w:link w:val="1559"/>
    <w:qFormat/>
    <w:rPr>
      <w:rFonts w:ascii="Calibri" w:hAnsi="Calibri"/>
      <w:sz w:val="21"/>
      <w:szCs w:val="22"/>
    </w:rPr>
  </w:style>
  <w:style w:type="character" w:styleId="1688">
    <w:name w:val="文档结构图 字符1"/>
    <w:next w:val="1688"/>
    <w:link w:val="1559"/>
    <w:qFormat/>
    <w:rPr>
      <w:rFonts w:ascii="Microsoft YaHei UI" w:eastAsia="Microsoft YaHei UI"/>
      <w:sz w:val="18"/>
      <w:szCs w:val="18"/>
    </w:rPr>
  </w:style>
  <w:style w:type="character" w:styleId="1689">
    <w:name w:val="日期 Char1"/>
    <w:next w:val="1689"/>
    <w:link w:val="1559"/>
    <w:qFormat/>
    <w:rPr>
      <w:rFonts w:ascii="宋体"/>
      <w:sz w:val="21"/>
    </w:rPr>
  </w:style>
  <w:style w:type="character" w:styleId="1690">
    <w:name w:val="副标题 Char"/>
    <w:next w:val="1690"/>
    <w:link w:val="1559"/>
    <w:qFormat/>
    <w:rPr>
      <w:rFonts w:ascii="Cambria" w:hAnsi="Cambria"/>
      <w:b/>
      <w:bCs/>
      <w:sz w:val="32"/>
      <w:szCs w:val="32"/>
    </w:rPr>
  </w:style>
  <w:style w:type="character" w:styleId="1691">
    <w:name w:val="表格标题_"/>
    <w:next w:val="1691"/>
    <w:link w:val="1692"/>
    <w:qFormat/>
    <w:rPr>
      <w:rFonts w:ascii="Gulim" w:hAnsi="Gulim" w:eastAsia="Gulim" w:cs="Gulim"/>
      <w:b/>
      <w:sz w:val="15"/>
      <w:szCs w:val="15"/>
      <w:shd w:val="clear" w:color="auto" w:fill="ffffff"/>
      <w:lang w:eastAsia="en-US" w:bidi="en-US"/>
    </w:rPr>
  </w:style>
  <w:style w:type="paragraph" w:styleId="1692">
    <w:name w:val="表格标题"/>
    <w:basedOn w:val="1559"/>
    <w:next w:val="1692"/>
    <w:link w:val="1691"/>
    <w:qFormat/>
    <w:pPr>
      <w:jc w:val="left"/>
      <w:spacing w:line="0" w:lineRule="atLeast"/>
      <w:shd w:val="clear" w:color="auto" w:fill="ffffff"/>
    </w:pPr>
    <w:rPr>
      <w:rFonts w:ascii="Gulim" w:hAnsi="Gulim" w:eastAsia="Gulim" w:cs="Gulim"/>
      <w:b/>
      <w:sz w:val="15"/>
      <w:szCs w:val="15"/>
      <w:lang w:eastAsia="en-US" w:bidi="en-US"/>
    </w:rPr>
  </w:style>
  <w:style w:type="character" w:styleId="1693">
    <w:name w:val="正文文本 (2)_"/>
    <w:next w:val="1693"/>
    <w:link w:val="1559"/>
    <w:qFormat/>
    <w:rPr>
      <w:rFonts w:ascii="宋体" w:hAnsi="宋体" w:eastAsia="宋体" w:cs="宋体"/>
      <w:b/>
      <w:sz w:val="17"/>
      <w:szCs w:val="17"/>
      <w:u w:val="none"/>
      <w:lang w:val="en-US" w:eastAsia="zh-CN" w:bidi="ar-SA"/>
    </w:rPr>
  </w:style>
  <w:style w:type="character" w:styleId="1694">
    <w:name w:val="正文文本缩进 2 Char"/>
    <w:next w:val="1694"/>
    <w:link w:val="1559"/>
    <w:qFormat/>
    <w:rPr>
      <w:rFonts w:ascii="宋体"/>
      <w:sz w:val="21"/>
    </w:rPr>
  </w:style>
  <w:style w:type="character" w:styleId="1695">
    <w:name w:val="fontstyle01"/>
    <w:next w:val="1695"/>
    <w:link w:val="1559"/>
    <w:rPr>
      <w:rFonts w:hint="eastAsia" w:ascii="宋体" w:hAnsi="宋体" w:eastAsia="宋体"/>
      <w:color w:val="000000"/>
      <w:sz w:val="24"/>
      <w:szCs w:val="24"/>
    </w:rPr>
  </w:style>
  <w:style w:type="character" w:styleId="1696">
    <w:name w:val="标准文本 Char"/>
    <w:next w:val="1696"/>
    <w:link w:val="1697"/>
    <w:qFormat/>
    <w:rPr>
      <w:rFonts w:ascii="宋体" w:hAnsi="宋体" w:eastAsia="宋体" w:cs="宋体"/>
      <w:sz w:val="21"/>
      <w:szCs w:val="21"/>
      <w:lang w:val="en-US" w:eastAsia="zh-CN" w:bidi="ar-SA"/>
    </w:rPr>
  </w:style>
  <w:style w:type="paragraph" w:styleId="1697">
    <w:name w:val="标准文本"/>
    <w:basedOn w:val="1559"/>
    <w:next w:val="1697"/>
    <w:link w:val="1696"/>
    <w:qFormat/>
    <w:pPr>
      <w:ind w:firstLine="420"/>
      <w:spacing w:line="300" w:lineRule="auto"/>
    </w:pPr>
    <w:rPr>
      <w:rFonts w:ascii="宋体" w:hAnsi="宋体" w:cs="宋体"/>
      <w:szCs w:val="21"/>
    </w:rPr>
  </w:style>
  <w:style w:type="character" w:styleId="1698">
    <w:name w:val="news"/>
    <w:next w:val="1698"/>
    <w:link w:val="1559"/>
    <w:qFormat/>
    <w:rPr>
      <w:rFonts w:ascii="仿宋_GB2312" w:eastAsia="仿宋_GB2312"/>
      <w:sz w:val="24"/>
      <w:szCs w:val="24"/>
      <w:lang w:val="en-US" w:eastAsia="zh-CN" w:bidi="ar-SA"/>
    </w:rPr>
  </w:style>
  <w:style w:type="character" w:styleId="1699">
    <w:name w:val="font71"/>
    <w:next w:val="1699"/>
    <w:link w:val="1559"/>
    <w:qFormat/>
    <w:rPr>
      <w:rFonts w:hint="eastAsia" w:ascii="宋体" w:hAnsi="宋体" w:eastAsia="宋体" w:cs="宋体"/>
      <w:color w:val="000000"/>
      <w:sz w:val="18"/>
      <w:szCs w:val="18"/>
      <w:u w:val="none"/>
    </w:rPr>
  </w:style>
  <w:style w:type="character" w:styleId="1700">
    <w:name w:val="标题 4 Char"/>
    <w:next w:val="1700"/>
    <w:link w:val="1559"/>
    <w:qFormat/>
    <w:rPr>
      <w:rFonts w:ascii="Cambria" w:hAnsi="Cambria" w:eastAsia="宋体" w:cs="Times New Roman"/>
      <w:b/>
      <w:bCs/>
      <w:sz w:val="28"/>
      <w:szCs w:val="28"/>
    </w:rPr>
  </w:style>
  <w:style w:type="character" w:styleId="1701">
    <w:name w:val="报告正文 Char"/>
    <w:next w:val="1701"/>
    <w:link w:val="1702"/>
    <w:qFormat/>
    <w:rPr>
      <w:rFonts w:eastAsia="仿宋_GB2312"/>
      <w:sz w:val="24"/>
      <w:szCs w:val="24"/>
    </w:rPr>
  </w:style>
  <w:style w:type="paragraph" w:styleId="1702">
    <w:name w:val="报告正文"/>
    <w:basedOn w:val="1559"/>
    <w:next w:val="1702"/>
    <w:link w:val="1701"/>
    <w:qFormat/>
    <w:pPr>
      <w:ind w:firstLine="480"/>
      <w:spacing w:line="360" w:lineRule="auto"/>
    </w:pPr>
    <w:rPr>
      <w:rFonts w:eastAsia="仿宋_GB2312"/>
      <w:sz w:val="24"/>
      <w:szCs w:val="24"/>
    </w:rPr>
  </w:style>
  <w:style w:type="character" w:styleId="1703">
    <w:name w:val="标题 1 Char"/>
    <w:next w:val="1703"/>
    <w:link w:val="1559"/>
    <w:qFormat/>
    <w:rPr>
      <w:rFonts w:ascii="宋体" w:hAnsi="Times New Roman" w:eastAsia="宋体" w:cs="Times New Roman"/>
      <w:b/>
      <w:bCs/>
      <w:sz w:val="44"/>
      <w:szCs w:val="44"/>
    </w:rPr>
  </w:style>
  <w:style w:type="character" w:styleId="1704">
    <w:name w:val="访问过的超链接1"/>
    <w:next w:val="1704"/>
    <w:link w:val="1559"/>
    <w:uiPriority w:val="99"/>
    <w:qFormat/>
    <w:rPr>
      <w:color w:val="333333"/>
      <w:u w:val="none"/>
    </w:rPr>
  </w:style>
  <w:style w:type="character" w:styleId="1705">
    <w:name w:val="标题 9 Char"/>
    <w:next w:val="1705"/>
    <w:link w:val="1559"/>
    <w:qFormat/>
    <w:rPr>
      <w:rFonts w:ascii="Arial" w:hAnsi="Arial" w:eastAsia="黑体"/>
      <w:sz w:val="21"/>
      <w:szCs w:val="21"/>
    </w:rPr>
  </w:style>
  <w:style w:type="character" w:styleId="1706">
    <w:name w:val="font241"/>
    <w:next w:val="1706"/>
    <w:link w:val="1559"/>
    <w:qFormat/>
    <w:rPr>
      <w:rFonts w:hint="eastAsia" w:ascii="宋体" w:hAnsi="宋体" w:eastAsia="宋体" w:cs="宋体"/>
      <w:color w:val="000000"/>
      <w:sz w:val="18"/>
      <w:szCs w:val="18"/>
      <w:u w:val="none"/>
    </w:rPr>
  </w:style>
  <w:style w:type="character" w:styleId="1707">
    <w:name w:val="B正文 Char"/>
    <w:next w:val="1707"/>
    <w:link w:val="1708"/>
    <w:qFormat/>
    <w:rPr>
      <w:sz w:val="28"/>
      <w:szCs w:val="24"/>
    </w:rPr>
  </w:style>
  <w:style w:type="paragraph" w:styleId="1708">
    <w:name w:val="B正文"/>
    <w:basedOn w:val="1559"/>
    <w:next w:val="1708"/>
    <w:link w:val="1707"/>
    <w:qFormat/>
    <w:pPr>
      <w:ind w:firstLine="560"/>
      <w:spacing w:line="500" w:lineRule="exact"/>
    </w:pPr>
    <w:rPr>
      <w:sz w:val="28"/>
      <w:szCs w:val="24"/>
    </w:rPr>
  </w:style>
  <w:style w:type="character" w:styleId="1709">
    <w:name w:val="font01"/>
    <w:next w:val="1709"/>
    <w:link w:val="1559"/>
    <w:qFormat/>
    <w:rPr>
      <w:rFonts w:hint="eastAsia" w:ascii="宋体" w:hAnsi="宋体" w:eastAsia="宋体" w:cs="宋体"/>
      <w:color w:val="000000"/>
      <w:sz w:val="20"/>
      <w:szCs w:val="20"/>
      <w:u w:val="none"/>
    </w:rPr>
  </w:style>
  <w:style w:type="character" w:styleId="1710">
    <w:name w:val="apple-converted-space"/>
    <w:next w:val="1710"/>
    <w:link w:val="1559"/>
    <w:qFormat/>
  </w:style>
  <w:style w:type="character" w:styleId="1711">
    <w:name w:val="标题 3 Char"/>
    <w:next w:val="1711"/>
    <w:link w:val="1559"/>
    <w:qFormat/>
    <w:rPr>
      <w:rFonts w:ascii="仿宋_GB2312" w:eastAsia="仿宋_GB2312"/>
      <w:sz w:val="32"/>
    </w:rPr>
  </w:style>
  <w:style w:type="character" w:styleId="1712">
    <w:name w:val="纯文本 Char1"/>
    <w:next w:val="1712"/>
    <w:link w:val="1559"/>
    <w:qFormat/>
    <w:rPr>
      <w:rFonts w:ascii="宋体" w:hAnsi="Courier New" w:eastAsia="宋体" w:cs="Times New Roman"/>
      <w:sz w:val="21"/>
      <w:szCs w:val="20"/>
    </w:rPr>
  </w:style>
  <w:style w:type="character" w:styleId="1713">
    <w:name w:val="正文文本 (2)"/>
    <w:next w:val="1713"/>
    <w:link w:val="1559"/>
    <w:qFormat/>
    <w:rPr>
      <w:rFonts w:ascii="宋体" w:hAnsi="宋体" w:eastAsia="宋体" w:cs="宋体"/>
      <w:b/>
      <w:color w:val="000000"/>
      <w:spacing w:val="0"/>
      <w:position w:val="0"/>
      <w:sz w:val="17"/>
      <w:szCs w:val="17"/>
      <w:u w:val="none"/>
      <w:lang w:val="zh-CN" w:eastAsia="zh-CN" w:bidi="zh-CN"/>
    </w:rPr>
  </w:style>
  <w:style w:type="character" w:styleId="1714">
    <w:name w:val="正文文本 (2) + MingLiU"/>
    <w:next w:val="1714"/>
    <w:link w:val="1559"/>
    <w:qFormat/>
    <w:rPr>
      <w:rFonts w:ascii="MingLiU" w:hAnsi="MingLiU" w:eastAsia="MingLiU" w:cs="MingLiU"/>
      <w:b/>
      <w:color w:val="000000"/>
      <w:spacing w:val="-20"/>
      <w:position w:val="0"/>
      <w:sz w:val="14"/>
      <w:szCs w:val="14"/>
      <w:u w:val="none"/>
      <w:lang w:val="zh-CN" w:eastAsia="zh-CN" w:bidi="zh-CN"/>
    </w:rPr>
  </w:style>
  <w:style w:type="character" w:styleId="1715">
    <w:name w:val="正文文本缩进 3 Char"/>
    <w:next w:val="1715"/>
    <w:link w:val="1559"/>
    <w:qFormat/>
    <w:rPr>
      <w:rFonts w:eastAsia="华文新魏"/>
      <w:b/>
      <w:bCs/>
      <w:sz w:val="84"/>
    </w:rPr>
  </w:style>
  <w:style w:type="character" w:styleId="1716">
    <w:name w:val="文档结构图 Char1"/>
    <w:next w:val="1716"/>
    <w:link w:val="1559"/>
    <w:qFormat/>
    <w:rPr>
      <w:rFonts w:ascii="宋体" w:eastAsia="仿宋_GB2312"/>
      <w:sz w:val="18"/>
      <w:szCs w:val="18"/>
    </w:rPr>
  </w:style>
  <w:style w:type="character" w:styleId="1717">
    <w:name w:val="正文文本 (2) + Gulim"/>
    <w:next w:val="1717"/>
    <w:link w:val="1559"/>
    <w:qFormat/>
    <w:rPr>
      <w:rFonts w:ascii="Gulim" w:hAnsi="Gulim" w:eastAsia="Gulim" w:cs="Gulim"/>
      <w:b/>
      <w:color w:val="000000"/>
      <w:spacing w:val="0"/>
      <w:position w:val="0"/>
      <w:sz w:val="15"/>
      <w:szCs w:val="15"/>
      <w:u w:val="none"/>
      <w:lang w:val="en-US" w:eastAsia="en-US" w:bidi="en-US"/>
    </w:rPr>
  </w:style>
  <w:style w:type="character" w:styleId="1718">
    <w:name w:val="标题 5 Char"/>
    <w:next w:val="1718"/>
    <w:link w:val="1559"/>
    <w:qFormat/>
    <w:rPr>
      <w:rFonts w:ascii="宋体"/>
      <w:b/>
      <w:bCs/>
      <w:sz w:val="28"/>
      <w:szCs w:val="28"/>
    </w:rPr>
  </w:style>
  <w:style w:type="character" w:styleId="1719">
    <w:name w:val="样式 仿宋_GB2312 小四 加粗 黑色"/>
    <w:next w:val="1719"/>
    <w:link w:val="1559"/>
    <w:qFormat/>
    <w:rPr>
      <w:rFonts w:ascii="仿宋_GB2312" w:eastAsia="仿宋_GB2312"/>
      <w:b/>
      <w:bCs/>
      <w:color w:val="000000"/>
      <w:sz w:val="24"/>
      <w:szCs w:val="24"/>
      <w:lang w:val="en-US" w:eastAsia="zh-CN" w:bidi="ar-SA"/>
    </w:rPr>
  </w:style>
  <w:style w:type="character" w:styleId="1720">
    <w:name w:val="fontstyle11"/>
    <w:next w:val="1720"/>
    <w:link w:val="1559"/>
    <w:rPr>
      <w:rFonts w:ascii="Times New Roman" w:hAnsi="Times New Roman" w:cs="Times New Roman"/>
      <w:color w:val="000000"/>
      <w:sz w:val="24"/>
      <w:szCs w:val="24"/>
    </w:rPr>
  </w:style>
  <w:style w:type="character" w:styleId="1721">
    <w:name w:val="Char Char4"/>
    <w:next w:val="1721"/>
    <w:link w:val="1559"/>
    <w:qFormat/>
    <w:rPr>
      <w:rFonts w:eastAsia="宋体"/>
      <w:sz w:val="18"/>
      <w:szCs w:val="18"/>
      <w:lang w:val="en-US" w:eastAsia="zh-CN" w:bidi="ar-SA"/>
    </w:rPr>
  </w:style>
  <w:style w:type="paragraph" w:styleId="1722">
    <w:name w:val="此正文"/>
    <w:basedOn w:val="1559"/>
    <w:next w:val="1722"/>
    <w:link w:val="1559"/>
    <w:qFormat/>
    <w:pPr>
      <w:ind w:firstLine="200"/>
      <w:spacing w:line="360" w:lineRule="auto"/>
    </w:pPr>
    <w:rPr>
      <w:sz w:val="24"/>
    </w:rPr>
  </w:style>
  <w:style w:type="paragraph" w:styleId="1723">
    <w:name w:val="flName"/>
    <w:basedOn w:val="1559"/>
    <w:next w:val="1723"/>
    <w:link w:val="1559"/>
    <w:qFormat/>
    <w:pPr>
      <w:jc w:val="center"/>
      <w:spacing w:before="320" w:after="160" w:line="360" w:lineRule="atLeast"/>
    </w:pPr>
    <w:rPr>
      <w:rFonts w:ascii="Arial" w:eastAsia="黑体"/>
      <w:sz w:val="32"/>
      <w:szCs w:val="24"/>
    </w:rPr>
  </w:style>
  <w:style w:type="paragraph" w:styleId="1724">
    <w:name w:val="xl75"/>
    <w:basedOn w:val="1559"/>
    <w:next w:val="1724"/>
    <w:link w:val="15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25">
    <w:name w:val="xl101"/>
    <w:basedOn w:val="1559"/>
    <w:next w:val="1725"/>
    <w:link w:val="15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26">
    <w:name w:val="无格式无间隔"/>
    <w:next w:val="1726"/>
    <w:link w:val="1559"/>
    <w:qFormat/>
    <w:rPr>
      <w:rFonts w:ascii="Calibri" w:hAnsi="Calibri"/>
      <w:sz w:val="21"/>
      <w:szCs w:val="21"/>
      <w:lang w:val="en-US" w:eastAsia="zh-CN" w:bidi="ar-SA"/>
    </w:rPr>
  </w:style>
  <w:style w:type="paragraph" w:styleId="1727">
    <w:name w:val="正文_1_0"/>
    <w:basedOn w:val="1728"/>
    <w:next w:val="1731"/>
    <w:link w:val="1559"/>
    <w:qFormat/>
    <w:rPr>
      <w:rFonts w:cs="Times New Roman"/>
      <w:szCs w:val="22"/>
    </w:rPr>
  </w:style>
  <w:style w:type="paragraph" w:styleId="1728">
    <w:name w:val="正文_1"/>
    <w:next w:val="1729"/>
    <w:link w:val="1559"/>
    <w:qFormat/>
    <w:pPr>
      <w:jc w:val="both"/>
      <w:widowControl w:val="off"/>
    </w:pPr>
    <w:rPr>
      <w:rFonts w:cs="Calibri"/>
      <w:sz w:val="21"/>
      <w:szCs w:val="21"/>
      <w:lang w:val="en-US" w:eastAsia="zh-CN" w:bidi="ar-SA"/>
    </w:rPr>
  </w:style>
  <w:style w:type="paragraph" w:styleId="1729">
    <w:name w:val="Plain Text1"/>
    <w:basedOn w:val="1730"/>
    <w:next w:val="1729"/>
    <w:link w:val="1559"/>
    <w:qFormat/>
    <w:rPr>
      <w:rFonts w:ascii="宋体" w:hAnsi="Courier New" w:cs="Courier New"/>
      <w:szCs w:val="21"/>
    </w:rPr>
  </w:style>
  <w:style w:type="paragraph" w:styleId="1730">
    <w:name w:val="正文_1_0_0"/>
    <w:basedOn w:val="1727"/>
    <w:next w:val="1731"/>
    <w:link w:val="1559"/>
    <w:qFormat/>
  </w:style>
  <w:style w:type="paragraph" w:styleId="1731">
    <w:name w:val="Plain Text2"/>
    <w:basedOn w:val="1730"/>
    <w:next w:val="1731"/>
    <w:link w:val="1559"/>
    <w:qFormat/>
    <w:rPr>
      <w:rFonts w:ascii="宋体" w:hAnsi="Courier New" w:cs="Courier New"/>
      <w:szCs w:val="21"/>
    </w:rPr>
  </w:style>
  <w:style w:type="paragraph" w:styleId="1732">
    <w:name w:val="修订1"/>
    <w:next w:val="1732"/>
    <w:link w:val="1559"/>
    <w:uiPriority w:val="99"/>
    <w:unhideWhenUsed/>
    <w:qFormat/>
    <w:rPr>
      <w:sz w:val="21"/>
      <w:lang w:val="en-US" w:eastAsia="zh-CN" w:bidi="ar-SA"/>
    </w:rPr>
  </w:style>
  <w:style w:type="paragraph" w:styleId="1733">
    <w:name w:val="Char"/>
    <w:basedOn w:val="1559"/>
    <w:next w:val="1733"/>
    <w:link w:val="1559"/>
    <w:qFormat/>
    <w:pPr>
      <w:tabs>
        <w:tab w:val="left" w:pos="360" w:leader="none"/>
      </w:tabs>
    </w:pPr>
    <w:rPr>
      <w:rFonts w:ascii="仿宋_GB2312" w:eastAsia="仿宋_GB2312"/>
      <w:b/>
      <w:sz w:val="24"/>
      <w:szCs w:val="24"/>
    </w:rPr>
  </w:style>
  <w:style w:type="paragraph" w:styleId="1734">
    <w:name w:val="Default"/>
    <w:basedOn w:val="1735"/>
    <w:next w:val="1734"/>
    <w:link w:val="1559"/>
    <w:qFormat/>
    <w:pPr>
      <w:widowControl w:val="off"/>
    </w:pPr>
    <w:rPr>
      <w:rFonts w:ascii="微软雅黑" w:eastAsia="微软雅黑" w:cs="微软雅黑"/>
      <w:color w:val="000000"/>
      <w:sz w:val="24"/>
      <w:szCs w:val="24"/>
      <w:lang w:val="en-US" w:eastAsia="zh-CN" w:bidi="ar-SA"/>
    </w:rPr>
  </w:style>
  <w:style w:type="paragraph" w:styleId="1735">
    <w:name w:val="正文_2"/>
    <w:next w:val="1731"/>
    <w:link w:val="1559"/>
    <w:qFormat/>
    <w:pPr>
      <w:jc w:val="both"/>
      <w:widowControl w:val="off"/>
    </w:pPr>
    <w:rPr>
      <w:sz w:val="21"/>
      <w:szCs w:val="22"/>
      <w:lang w:val="en-US" w:eastAsia="zh-CN" w:bidi="ar-SA"/>
    </w:rPr>
  </w:style>
  <w:style w:type="paragraph" w:styleId="1736">
    <w:name w:val="列出段落11"/>
    <w:basedOn w:val="1559"/>
    <w:next w:val="1736"/>
    <w:link w:val="1559"/>
    <w:uiPriority w:val="34"/>
    <w:qFormat/>
    <w:pPr>
      <w:ind w:firstLine="420"/>
    </w:pPr>
    <w:rPr>
      <w:rFonts w:ascii="Calibri" w:hAnsi="Calibri"/>
      <w:szCs w:val="22"/>
    </w:rPr>
  </w:style>
  <w:style w:type="paragraph" w:styleId="1737">
    <w:name w:val="xl72"/>
    <w:basedOn w:val="1559"/>
    <w:next w:val="1737"/>
    <w:link w:val="15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38">
    <w:name w:val="标题5"/>
    <w:basedOn w:val="1564"/>
    <w:next w:val="1738"/>
    <w:link w:val="1559"/>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39">
    <w:name w:val="Char Char"/>
    <w:basedOn w:val="1559"/>
    <w:next w:val="1739"/>
    <w:link w:val="1559"/>
    <w:qFormat/>
    <w:pPr>
      <w:tabs>
        <w:tab w:val="left" w:pos="360" w:leader="none"/>
      </w:tabs>
    </w:pPr>
    <w:rPr>
      <w:sz w:val="24"/>
      <w:szCs w:val="24"/>
    </w:rPr>
  </w:style>
  <w:style w:type="paragraph" w:styleId="1740">
    <w:name w:val="默认段落字体 Para Char Char Char Char"/>
    <w:basedOn w:val="1559"/>
    <w:next w:val="1740"/>
    <w:link w:val="1559"/>
    <w:qFormat/>
  </w:style>
  <w:style w:type="paragraph" w:styleId="1741">
    <w:name w:val="p0"/>
    <w:basedOn w:val="1559"/>
    <w:next w:val="1741"/>
    <w:link w:val="1559"/>
    <w:qFormat/>
    <w:pPr>
      <w:jc w:val="left"/>
      <w:spacing w:before="100" w:beforeAutospacing="1" w:after="100" w:afterAutospacing="1"/>
      <w:widowControl/>
    </w:pPr>
    <w:rPr>
      <w:rFonts w:ascii="宋体" w:hAnsi="宋体" w:cs="宋体"/>
      <w:sz w:val="24"/>
      <w:szCs w:val="24"/>
    </w:rPr>
  </w:style>
  <w:style w:type="paragraph" w:styleId="1742">
    <w:name w:val="xl79"/>
    <w:basedOn w:val="1559"/>
    <w:next w:val="1742"/>
    <w:link w:val="1559"/>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43">
    <w:name w:val="font10"/>
    <w:basedOn w:val="1559"/>
    <w:next w:val="1743"/>
    <w:link w:val="1559"/>
    <w:qFormat/>
    <w:pPr>
      <w:jc w:val="left"/>
      <w:spacing w:before="100" w:beforeAutospacing="1" w:after="100" w:afterAutospacing="1"/>
      <w:widowControl/>
    </w:pPr>
    <w:rPr>
      <w:rFonts w:ascii="宋体" w:hAnsi="宋体" w:cs="宋体"/>
      <w:color w:val="000000"/>
      <w:sz w:val="22"/>
      <w:szCs w:val="22"/>
    </w:rPr>
  </w:style>
  <w:style w:type="paragraph" w:styleId="1744">
    <w:name w:val="Char Char Char"/>
    <w:basedOn w:val="1559"/>
    <w:next w:val="1744"/>
    <w:link w:val="1559"/>
    <w:qFormat/>
    <w:pPr>
      <w:jc w:val="center"/>
      <w:spacing w:line="400" w:lineRule="exact"/>
      <w:widowControl/>
    </w:pPr>
    <w:rPr>
      <w:szCs w:val="24"/>
    </w:rPr>
  </w:style>
  <w:style w:type="paragraph" w:styleId="1745">
    <w:name w:val="_Style 2"/>
    <w:basedOn w:val="1559"/>
    <w:next w:val="1745"/>
    <w:link w:val="1559"/>
    <w:uiPriority w:val="34"/>
    <w:qFormat/>
    <w:pPr>
      <w:ind w:firstLine="420"/>
    </w:pPr>
    <w:rPr>
      <w:szCs w:val="24"/>
    </w:rPr>
  </w:style>
  <w:style w:type="paragraph" w:styleId="1746">
    <w:name w:val="xl100"/>
    <w:basedOn w:val="1559"/>
    <w:next w:val="1746"/>
    <w:link w:val="155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47">
    <w:name w:val="标题3"/>
    <w:basedOn w:val="1562"/>
    <w:next w:val="1747"/>
    <w:link w:val="1559"/>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48">
    <w:name w:val="Char Char Char Char"/>
    <w:basedOn w:val="1584"/>
    <w:next w:val="1748"/>
    <w:link w:val="1559"/>
    <w:qFormat/>
    <w:pPr>
      <w:jc w:val="both"/>
      <w:spacing w:line="360" w:lineRule="auto"/>
      <w:shd w:val="clear" w:color="auto" w:fill="000080"/>
    </w:pPr>
    <w:rPr>
      <w:rFonts w:ascii="Tahoma" w:hAnsi="Tahoma"/>
      <w:sz w:val="24"/>
      <w:szCs w:val="24"/>
    </w:rPr>
  </w:style>
  <w:style w:type="paragraph" w:styleId="1749">
    <w:name w:val="样式 首行缩进:  2 字符"/>
    <w:basedOn w:val="1559"/>
    <w:next w:val="1749"/>
    <w:link w:val="1559"/>
    <w:qFormat/>
    <w:pPr>
      <w:ind w:firstLine="200"/>
      <w:spacing w:line="400" w:lineRule="exact"/>
    </w:pPr>
    <w:rPr>
      <w:rFonts w:cs="宋体"/>
      <w:sz w:val="24"/>
      <w:szCs w:val="24"/>
    </w:rPr>
  </w:style>
  <w:style w:type="paragraph" w:styleId="1750">
    <w:name w:val="xl66"/>
    <w:basedOn w:val="1559"/>
    <w:next w:val="1750"/>
    <w:link w:val="15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51">
    <w:name w:val="样式 样式 标题1 + 行距: 单倍行距 + 段前: 7.8 磅 段后: 7.8 磅"/>
    <w:basedOn w:val="1559"/>
    <w:next w:val="1751"/>
    <w:link w:val="1559"/>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52">
    <w:name w:val="列出段落3"/>
    <w:basedOn w:val="1559"/>
    <w:next w:val="1752"/>
    <w:link w:val="1559"/>
    <w:qFormat/>
    <w:pPr>
      <w:ind w:firstLine="420"/>
    </w:pPr>
    <w:rPr>
      <w:rFonts w:ascii="Calibri" w:hAnsi="Calibri"/>
      <w:szCs w:val="22"/>
    </w:rPr>
  </w:style>
  <w:style w:type="paragraph" w:styleId="1753">
    <w:name w:val="xl69"/>
    <w:basedOn w:val="1559"/>
    <w:next w:val="1753"/>
    <w:link w:val="15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54">
    <w:name w:val="font6"/>
    <w:basedOn w:val="1559"/>
    <w:next w:val="1754"/>
    <w:link w:val="1559"/>
    <w:qFormat/>
    <w:pPr>
      <w:jc w:val="left"/>
      <w:spacing w:before="100" w:beforeAutospacing="1" w:after="100" w:afterAutospacing="1"/>
      <w:widowControl/>
    </w:pPr>
    <w:rPr>
      <w:color w:val="000000"/>
      <w:szCs w:val="21"/>
    </w:rPr>
  </w:style>
  <w:style w:type="paragraph" w:styleId="1755">
    <w:name w:val="列出段落2"/>
    <w:basedOn w:val="1559"/>
    <w:next w:val="1755"/>
    <w:link w:val="1559"/>
    <w:uiPriority w:val="34"/>
    <w:qFormat/>
    <w:pPr>
      <w:ind w:firstLine="420"/>
    </w:pPr>
    <w:rPr>
      <w:rFonts w:ascii="Calibri" w:hAnsi="Calibri"/>
      <w:szCs w:val="21"/>
    </w:rPr>
  </w:style>
  <w:style w:type="paragraph" w:styleId="1756">
    <w:name w:val="格式1"/>
    <w:basedOn w:val="1559"/>
    <w:next w:val="1756"/>
    <w:link w:val="1559"/>
    <w:qFormat/>
    <w:pPr>
      <w:jc w:val="center"/>
    </w:pPr>
    <w:rPr>
      <w:rFonts w:ascii="黑体" w:hAnsi="宋体" w:eastAsia="黑体"/>
      <w:b/>
      <w:bCs/>
      <w:color w:val="000000"/>
      <w:sz w:val="32"/>
    </w:rPr>
  </w:style>
  <w:style w:type="paragraph" w:styleId="1757">
    <w:name w:val="修订"/>
    <w:next w:val="1757"/>
    <w:link w:val="1559"/>
    <w:uiPriority w:val="99"/>
    <w:unhideWhenUsed/>
    <w:rPr>
      <w:sz w:val="21"/>
      <w:lang w:val="en-US" w:eastAsia="zh-CN" w:bidi="ar-SA"/>
    </w:rPr>
  </w:style>
  <w:style w:type="paragraph" w:styleId="1758">
    <w:name w:val="正文宋体4"/>
    <w:basedOn w:val="1559"/>
    <w:next w:val="1758"/>
    <w:link w:val="1559"/>
    <w:qFormat/>
    <w:pPr>
      <w:ind w:firstLine="359"/>
      <w:tabs>
        <w:tab w:val="left" w:pos="0" w:leader="none"/>
      </w:tabs>
    </w:pPr>
    <w:rPr>
      <w:rFonts w:ascii="仿宋_GB2312" w:eastAsia="仿宋_GB2312"/>
      <w:b/>
      <w:color w:val="000000"/>
      <w:sz w:val="24"/>
      <w:szCs w:val="24"/>
    </w:rPr>
  </w:style>
  <w:style w:type="paragraph" w:styleId="1759">
    <w:name w:val="正文1"/>
    <w:next w:val="1759"/>
    <w:link w:val="1559"/>
    <w:qFormat/>
    <w:pPr>
      <w:jc w:val="both"/>
    </w:pPr>
    <w:rPr>
      <w:rFonts w:cs="宋体"/>
      <w:sz w:val="21"/>
      <w:szCs w:val="21"/>
      <w:lang w:val="en-US" w:eastAsia="zh-CN" w:bidi="ar-SA"/>
    </w:rPr>
  </w:style>
  <w:style w:type="paragraph" w:styleId="1760">
    <w:name w:val="简单回函地址"/>
    <w:basedOn w:val="1559"/>
    <w:next w:val="1760"/>
    <w:link w:val="1559"/>
    <w:qFormat/>
    <w:rPr>
      <w:szCs w:val="24"/>
    </w:rPr>
  </w:style>
  <w:style w:type="paragraph" w:styleId="1761">
    <w:name w:val="font11"/>
    <w:basedOn w:val="1559"/>
    <w:next w:val="1761"/>
    <w:link w:val="1559"/>
    <w:qFormat/>
    <w:pPr>
      <w:jc w:val="left"/>
      <w:spacing w:before="100" w:beforeAutospacing="1" w:after="100" w:afterAutospacing="1"/>
      <w:widowControl/>
    </w:pPr>
    <w:rPr>
      <w:rFonts w:ascii="宋体" w:hAnsi="宋体" w:cs="宋体"/>
      <w:color w:val="000000"/>
      <w:sz w:val="18"/>
      <w:szCs w:val="18"/>
    </w:rPr>
  </w:style>
  <w:style w:type="paragraph" w:styleId="1762">
    <w:name w:val="xl105"/>
    <w:basedOn w:val="1559"/>
    <w:next w:val="1762"/>
    <w:link w:val="1559"/>
    <w:qFormat/>
    <w:pPr>
      <w:jc w:val="left"/>
      <w:spacing w:before="100" w:beforeAutospacing="1" w:after="100" w:afterAutospacing="1"/>
      <w:widowControl/>
    </w:pPr>
    <w:rPr>
      <w:rFonts w:ascii="宋体" w:hAnsi="宋体" w:cs="宋体"/>
      <w:sz w:val="20"/>
    </w:rPr>
  </w:style>
  <w:style w:type="paragraph" w:styleId="1763">
    <w:name w:val="xl86"/>
    <w:basedOn w:val="1559"/>
    <w:next w:val="1763"/>
    <w:link w:val="15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64">
    <w:name w:val="xl109"/>
    <w:basedOn w:val="1559"/>
    <w:next w:val="1764"/>
    <w:link w:val="1559"/>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65">
    <w:name w:val="节标题"/>
    <w:basedOn w:val="1559"/>
    <w:next w:val="1559"/>
    <w:link w:val="1559"/>
    <w:qFormat/>
    <w:pPr>
      <w:jc w:val="center"/>
      <w:spacing w:line="289" w:lineRule="atLeast"/>
    </w:pPr>
    <w:rPr>
      <w:sz w:val="28"/>
      <w:szCs w:val="24"/>
    </w:rPr>
  </w:style>
  <w:style w:type="paragraph" w:styleId="1766">
    <w:name w:val="xl103"/>
    <w:basedOn w:val="1559"/>
    <w:next w:val="1766"/>
    <w:link w:val="15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67">
    <w:name w:val="xl112"/>
    <w:basedOn w:val="1559"/>
    <w:next w:val="1767"/>
    <w:link w:val="1559"/>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68">
    <w:name w:val="2"/>
    <w:basedOn w:val="1559"/>
    <w:next w:val="1768"/>
    <w:link w:val="1559"/>
    <w:qFormat/>
    <w:pPr>
      <w:spacing w:line="360" w:lineRule="auto"/>
    </w:pPr>
    <w:rPr>
      <w:rFonts w:ascii="宋体" w:hAnsi="宋体"/>
      <w:b/>
      <w:sz w:val="24"/>
    </w:rPr>
  </w:style>
  <w:style w:type="paragraph" w:styleId="1769">
    <w:name w:val="BodyText1I1"/>
    <w:basedOn w:val="1770"/>
    <w:next w:val="1769"/>
    <w:link w:val="1559"/>
    <w:qFormat/>
    <w:pPr>
      <w:ind w:left="120" w:firstLine="420"/>
      <w:jc w:val="both"/>
      <w:spacing w:before="36"/>
    </w:pPr>
  </w:style>
  <w:style w:type="paragraph" w:styleId="1770">
    <w:name w:val="BodyText1"/>
    <w:basedOn w:val="1559"/>
    <w:next w:val="1559"/>
    <w:link w:val="1559"/>
    <w:qFormat/>
    <w:pPr>
      <w:ind w:left="120"/>
      <w:jc w:val="both"/>
      <w:spacing w:before="36"/>
    </w:pPr>
    <w:rPr>
      <w:rFonts w:ascii="宋体" w:hAnsi="宋体" w:eastAsia="宋体"/>
      <w:sz w:val="24"/>
      <w:szCs w:val="24"/>
      <w:lang w:val="en-US" w:eastAsia="zh-CN" w:bidi="ar-SA"/>
    </w:rPr>
  </w:style>
  <w:style w:type="paragraph" w:styleId="1771">
    <w:name w:val="font14"/>
    <w:basedOn w:val="1559"/>
    <w:next w:val="1771"/>
    <w:link w:val="1559"/>
    <w:qFormat/>
    <w:pPr>
      <w:jc w:val="left"/>
      <w:spacing w:before="100" w:beforeAutospacing="1" w:after="100" w:afterAutospacing="1"/>
      <w:widowControl/>
    </w:pPr>
    <w:rPr>
      <w:rFonts w:ascii="宋体" w:hAnsi="宋体" w:cs="宋体"/>
      <w:color w:val="000000"/>
      <w:szCs w:val="21"/>
    </w:rPr>
  </w:style>
  <w:style w:type="paragraph" w:styleId="1772">
    <w:name w:val="xl65"/>
    <w:basedOn w:val="1559"/>
    <w:next w:val="1772"/>
    <w:link w:val="15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73">
    <w:name w:val="Char Char Char Char Char Char Char1"/>
    <w:basedOn w:val="1559"/>
    <w:next w:val="1773"/>
    <w:link w:val="1559"/>
    <w:qFormat/>
    <w:pPr>
      <w:ind w:left="432" w:hanging="432"/>
      <w:jc w:val="center"/>
      <w:tabs>
        <w:tab w:val="left" w:pos="432" w:leader="none"/>
      </w:tabs>
    </w:pPr>
    <w:rPr>
      <w:rFonts w:ascii="仿宋_GB2312" w:hAnsi="Tahoma" w:eastAsia="仿宋_GB2312"/>
      <w:sz w:val="24"/>
      <w:szCs w:val="24"/>
    </w:rPr>
  </w:style>
  <w:style w:type="paragraph" w:styleId="1774">
    <w:name w:val="xl99"/>
    <w:basedOn w:val="1559"/>
    <w:next w:val="1774"/>
    <w:link w:val="155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75">
    <w:name w:val="xl80"/>
    <w:basedOn w:val="1559"/>
    <w:next w:val="1775"/>
    <w:link w:val="1559"/>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76">
    <w:name w:val="xl94"/>
    <w:basedOn w:val="1559"/>
    <w:next w:val="1776"/>
    <w:link w:val="1559"/>
    <w:qFormat/>
    <w:pPr>
      <w:jc w:val="center"/>
      <w:spacing w:before="100" w:beforeAutospacing="1" w:after="100" w:afterAutospacing="1"/>
      <w:widowControl/>
      <w:pBdr>
        <w:left w:val="single" w:color="000000" w:sz="4" w:space="0"/>
        <w:right w:val="single" w:color="000000" w:sz="4" w:space="0"/>
      </w:pBdr>
    </w:pPr>
    <w:rPr>
      <w:szCs w:val="21"/>
    </w:rPr>
  </w:style>
  <w:style w:type="paragraph" w:styleId="1777">
    <w:name w:val="标题9"/>
    <w:basedOn w:val="1567"/>
    <w:next w:val="1777"/>
    <w:link w:val="1559"/>
    <w:qFormat/>
    <w:pPr>
      <w:jc w:val="both"/>
      <w:keepLines w:val="0"/>
      <w:keepNext w:val="0"/>
      <w:spacing w:before="0" w:after="0" w:line="360" w:lineRule="auto"/>
      <w:tabs>
        <w:tab w:val="left" w:pos="0" w:leader="none"/>
      </w:tabs>
    </w:pPr>
    <w:rPr>
      <w:rFonts w:eastAsia="仿宋_GB2312"/>
      <w:sz w:val="30"/>
    </w:rPr>
  </w:style>
  <w:style w:type="paragraph" w:styleId="1778">
    <w:name w:val="正文缩进1"/>
    <w:basedOn w:val="1559"/>
    <w:next w:val="1778"/>
    <w:link w:val="1559"/>
    <w:qFormat/>
    <w:pPr>
      <w:ind w:firstLine="482"/>
      <w:spacing w:line="360" w:lineRule="atLeast"/>
    </w:pPr>
    <w:rPr>
      <w:sz w:val="24"/>
      <w:szCs w:val="24"/>
    </w:rPr>
  </w:style>
  <w:style w:type="paragraph" w:styleId="1779">
    <w:name w:val="_Style 53"/>
    <w:next w:val="1559"/>
    <w:link w:val="1559"/>
    <w:uiPriority w:val="99"/>
    <w:unhideWhenUsed/>
    <w:qFormat/>
    <w:pPr>
      <w:widowControl w:val="off"/>
    </w:pPr>
    <w:rPr>
      <w:rFonts w:ascii="宋体"/>
      <w:lang w:val="en-US" w:eastAsia="zh-CN" w:bidi="ar-SA"/>
    </w:rPr>
  </w:style>
  <w:style w:type="paragraph" w:styleId="1780">
    <w:name w:val="Char Char Char1"/>
    <w:basedOn w:val="1559"/>
    <w:next w:val="1780"/>
    <w:link w:val="1559"/>
    <w:qFormat/>
    <w:rPr>
      <w:szCs w:val="24"/>
    </w:rPr>
  </w:style>
  <w:style w:type="paragraph" w:styleId="1781">
    <w:name w:val="三级条我的分类标题"/>
    <w:basedOn w:val="1559"/>
    <w:next w:val="1781"/>
    <w:link w:val="1559"/>
    <w:uiPriority w:val="99"/>
    <w:qFormat/>
    <w:pPr>
      <w:ind w:left="992" w:hanging="567"/>
    </w:pPr>
    <w:rPr>
      <w:rFonts w:ascii="黑体" w:hAnsi="黑体" w:eastAsia="黑体"/>
      <w:b/>
      <w:sz w:val="28"/>
      <w:szCs w:val="28"/>
    </w:rPr>
  </w:style>
  <w:style w:type="paragraph" w:styleId="1782">
    <w:name w:val="yy一级标题"/>
    <w:basedOn w:val="1559"/>
    <w:next w:val="1782"/>
    <w:link w:val="1559"/>
    <w:qFormat/>
    <w:rPr>
      <w:rFonts w:ascii="宋体" w:hAnsi="宋体"/>
      <w:sz w:val="24"/>
      <w:szCs w:val="24"/>
    </w:rPr>
  </w:style>
  <w:style w:type="paragraph" w:styleId="1783">
    <w:name w:val="_Style 20"/>
    <w:basedOn w:val="1559"/>
    <w:next w:val="1784"/>
    <w:link w:val="1559"/>
    <w:uiPriority w:val="34"/>
    <w:qFormat/>
    <w:pPr>
      <w:ind w:firstLine="420"/>
    </w:pPr>
    <w:rPr>
      <w:szCs w:val="24"/>
    </w:rPr>
  </w:style>
  <w:style w:type="paragraph" w:styleId="1784">
    <w:name w:val="列出段落"/>
    <w:basedOn w:val="1559"/>
    <w:next w:val="1784"/>
    <w:link w:val="1559"/>
    <w:uiPriority w:val="34"/>
    <w:qFormat/>
    <w:pPr>
      <w:ind w:firstLine="420"/>
    </w:pPr>
  </w:style>
  <w:style w:type="paragraph" w:styleId="1785">
    <w:name w:val="标题8"/>
    <w:basedOn w:val="1566"/>
    <w:next w:val="1785"/>
    <w:link w:val="1559"/>
    <w:qFormat/>
    <w:pPr>
      <w:jc w:val="both"/>
      <w:keepLines w:val="0"/>
      <w:keepNext w:val="0"/>
      <w:spacing w:before="0" w:after="0" w:line="360" w:lineRule="auto"/>
      <w:tabs>
        <w:tab w:val="left" w:pos="0" w:leader="none"/>
      </w:tabs>
    </w:pPr>
    <w:rPr>
      <w:rFonts w:eastAsia="仿宋_GB2312"/>
      <w:sz w:val="30"/>
    </w:rPr>
  </w:style>
  <w:style w:type="paragraph" w:styleId="1786">
    <w:name w:val="xl93"/>
    <w:basedOn w:val="1559"/>
    <w:next w:val="1786"/>
    <w:link w:val="1559"/>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87">
    <w:name w:val="标题4"/>
    <w:basedOn w:val="1563"/>
    <w:next w:val="1787"/>
    <w:link w:val="1559"/>
    <w:qFormat/>
    <w:pPr>
      <w:keepLines w:val="0"/>
      <w:keepNext w:val="0"/>
      <w:spacing w:before="0" w:after="0" w:line="360" w:lineRule="auto"/>
      <w:tabs>
        <w:tab w:val="left" w:pos="0" w:leader="none"/>
      </w:tabs>
    </w:pPr>
    <w:rPr>
      <w:rFonts w:eastAsia="仿宋_GB2312"/>
      <w:b w:val="0"/>
      <w:sz w:val="30"/>
      <w:szCs w:val="30"/>
    </w:rPr>
  </w:style>
  <w:style w:type="paragraph" w:styleId="1788">
    <w:name w:val="标题6"/>
    <w:basedOn w:val="1565"/>
    <w:next w:val="1788"/>
    <w:link w:val="1559"/>
    <w:qFormat/>
    <w:pPr>
      <w:jc w:val="both"/>
      <w:keepLines w:val="0"/>
      <w:keepNext w:val="0"/>
      <w:spacing w:before="0" w:after="0" w:line="360" w:lineRule="auto"/>
      <w:tabs>
        <w:tab w:val="left" w:pos="0" w:leader="none"/>
      </w:tabs>
    </w:pPr>
    <w:rPr>
      <w:rFonts w:eastAsia="仿宋_GB2312"/>
      <w:b w:val="0"/>
      <w:sz w:val="30"/>
    </w:rPr>
  </w:style>
  <w:style w:type="paragraph" w:styleId="1789">
    <w:name w:val="xl97"/>
    <w:basedOn w:val="1559"/>
    <w:next w:val="1789"/>
    <w:link w:val="1559"/>
    <w:qFormat/>
    <w:pPr>
      <w:jc w:val="left"/>
      <w:spacing w:before="100" w:beforeAutospacing="1" w:after="100" w:afterAutospacing="1"/>
      <w:widowControl/>
    </w:pPr>
    <w:rPr>
      <w:rFonts w:ascii="宋体" w:hAnsi="宋体" w:cs="宋体"/>
      <w:szCs w:val="21"/>
    </w:rPr>
  </w:style>
  <w:style w:type="paragraph" w:styleId="1790">
    <w:name w:val="xl76"/>
    <w:basedOn w:val="1559"/>
    <w:next w:val="1790"/>
    <w:link w:val="15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91">
    <w:name w:val="yy标题"/>
    <w:basedOn w:val="1792"/>
    <w:next w:val="1791"/>
    <w:link w:val="1559"/>
    <w:qFormat/>
    <w:rPr>
      <w:sz w:val="24"/>
    </w:rPr>
  </w:style>
  <w:style w:type="paragraph" w:styleId="1792">
    <w:name w:val="yy目录"/>
    <w:basedOn w:val="1559"/>
    <w:next w:val="1792"/>
    <w:link w:val="1559"/>
    <w:qFormat/>
    <w:pPr>
      <w:spacing w:line="360" w:lineRule="auto"/>
    </w:pPr>
    <w:rPr>
      <w:rFonts w:ascii="楷体_GB2312"/>
      <w:bCs/>
      <w:sz w:val="28"/>
      <w:szCs w:val="72"/>
    </w:rPr>
  </w:style>
  <w:style w:type="paragraph" w:styleId="1793">
    <w:name w:val="xl70"/>
    <w:basedOn w:val="1559"/>
    <w:next w:val="1793"/>
    <w:link w:val="15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94">
    <w:name w:val="_Style 4"/>
    <w:basedOn w:val="1559"/>
    <w:next w:val="1794"/>
    <w:link w:val="1559"/>
    <w:uiPriority w:val="99"/>
    <w:qFormat/>
    <w:pPr>
      <w:ind w:firstLine="420"/>
    </w:pPr>
  </w:style>
  <w:style w:type="paragraph" w:styleId="1795">
    <w:name w:val="Char1"/>
    <w:basedOn w:val="1559"/>
    <w:next w:val="1795"/>
    <w:link w:val="1559"/>
    <w:qFormat/>
    <w:pPr>
      <w:ind w:left="840" w:hanging="420"/>
      <w:tabs>
        <w:tab w:val="left" w:pos="840" w:leader="none"/>
      </w:tabs>
    </w:pPr>
    <w:rPr>
      <w:sz w:val="24"/>
      <w:szCs w:val="24"/>
    </w:rPr>
  </w:style>
  <w:style w:type="paragraph" w:styleId="1796">
    <w:name w:val="xl71"/>
    <w:basedOn w:val="1559"/>
    <w:next w:val="1796"/>
    <w:link w:val="15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97">
    <w:name w:val="三级条带序号我的标题"/>
    <w:basedOn w:val="1559"/>
    <w:next w:val="1797"/>
    <w:link w:val="1559"/>
    <w:uiPriority w:val="99"/>
    <w:qFormat/>
    <w:pPr>
      <w:ind w:left="420" w:hanging="420"/>
      <w:outlineLvl w:val="2"/>
    </w:pPr>
    <w:rPr>
      <w:rFonts w:ascii="黑体" w:hAnsi="黑体" w:eastAsia="黑体"/>
      <w:b/>
      <w:sz w:val="28"/>
      <w:szCs w:val="28"/>
    </w:rPr>
  </w:style>
  <w:style w:type="paragraph" w:styleId="1798">
    <w:name w:val="TOC 标题1"/>
    <w:basedOn w:val="1560"/>
    <w:next w:val="1559"/>
    <w:link w:val="1559"/>
    <w:uiPriority w:val="39"/>
    <w:qFormat/>
    <w:pPr>
      <w:jc w:val="left"/>
      <w:keepLines/>
      <w:spacing w:before="480" w:line="276" w:lineRule="auto"/>
      <w:widowControl/>
      <w:outlineLvl w:val="9"/>
    </w:pPr>
    <w:rPr>
      <w:rFonts w:ascii="Cambria" w:hAnsi="Cambria"/>
      <w:b/>
      <w:bCs/>
      <w:color w:val="365f91"/>
      <w:szCs w:val="28"/>
    </w:rPr>
  </w:style>
  <w:style w:type="paragraph" w:styleId="1799">
    <w:name w:val="xl96"/>
    <w:basedOn w:val="1559"/>
    <w:next w:val="1799"/>
    <w:link w:val="15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800">
    <w:name w:val="xl102"/>
    <w:basedOn w:val="1559"/>
    <w:next w:val="1800"/>
    <w:link w:val="155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01">
    <w:name w:val="xl91"/>
    <w:basedOn w:val="1559"/>
    <w:next w:val="1801"/>
    <w:link w:val="155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802">
    <w:name w:val="xl67"/>
    <w:basedOn w:val="1559"/>
    <w:next w:val="1802"/>
    <w:link w:val="15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803">
    <w:name w:val="默认段落字体 Para Char Char Char Char Char Char Char"/>
    <w:basedOn w:val="1559"/>
    <w:next w:val="1803"/>
    <w:link w:val="1559"/>
    <w:qFormat/>
    <w:pPr>
      <w:spacing w:line="360" w:lineRule="auto"/>
    </w:pPr>
    <w:rPr>
      <w:rFonts w:ascii="Arial" w:hAnsi="Arial" w:eastAsia="黑体" w:cs="Verdana"/>
      <w:b/>
      <w:sz w:val="30"/>
      <w:szCs w:val="24"/>
      <w:lang w:eastAsia="en-US"/>
    </w:rPr>
  </w:style>
  <w:style w:type="paragraph" w:styleId="1804">
    <w:name w:val="列出段落5"/>
    <w:basedOn w:val="1559"/>
    <w:next w:val="1804"/>
    <w:link w:val="1559"/>
    <w:uiPriority w:val="99"/>
    <w:unhideWhenUsed/>
    <w:qFormat/>
    <w:pPr>
      <w:ind w:firstLine="420"/>
    </w:pPr>
  </w:style>
  <w:style w:type="paragraph" w:styleId="1805">
    <w:name w:val="列出段落4"/>
    <w:basedOn w:val="1559"/>
    <w:next w:val="1805"/>
    <w:link w:val="1559"/>
    <w:uiPriority w:val="34"/>
    <w:qFormat/>
    <w:pPr>
      <w:ind w:firstLine="420"/>
    </w:pPr>
  </w:style>
  <w:style w:type="paragraph" w:styleId="1806">
    <w:name w:val="xl81"/>
    <w:basedOn w:val="1559"/>
    <w:next w:val="1806"/>
    <w:link w:val="1559"/>
    <w:qFormat/>
    <w:pPr>
      <w:jc w:val="left"/>
      <w:spacing w:before="100" w:beforeAutospacing="1" w:after="100" w:afterAutospacing="1"/>
      <w:widowControl/>
      <w:pBdr>
        <w:left w:val="single" w:color="000000" w:sz="4" w:space="0"/>
        <w:right w:val="single" w:color="000000" w:sz="4" w:space="0"/>
      </w:pBdr>
    </w:pPr>
    <w:rPr>
      <w:sz w:val="20"/>
    </w:rPr>
  </w:style>
  <w:style w:type="paragraph" w:styleId="1807">
    <w:name w:val="_Style 231"/>
    <w:next w:val="1807"/>
    <w:link w:val="1559"/>
    <w:uiPriority w:val="99"/>
    <w:qFormat/>
    <w:pPr>
      <w:jc w:val="both"/>
      <w:widowControl w:val="off"/>
    </w:pPr>
    <w:rPr>
      <w:sz w:val="21"/>
      <w:lang w:val="en-US" w:eastAsia="zh-CN" w:bidi="ar-SA"/>
    </w:rPr>
  </w:style>
  <w:style w:type="paragraph" w:styleId="1808">
    <w:name w:val="Table Paragraph"/>
    <w:basedOn w:val="1559"/>
    <w:next w:val="1808"/>
    <w:link w:val="1559"/>
    <w:uiPriority w:val="1"/>
    <w:qFormat/>
    <w:pPr>
      <w:spacing w:before="2"/>
    </w:pPr>
    <w:rPr>
      <w:rFonts w:ascii="宋体" w:hAnsi="宋体" w:eastAsia="宋体" w:cs="宋体"/>
      <w:lang w:val="zh-CN" w:eastAsia="zh-CN" w:bidi="zh-CN"/>
    </w:rPr>
  </w:style>
  <w:style w:type="paragraph" w:styleId="1809">
    <w:name w:val="xl68"/>
    <w:basedOn w:val="1559"/>
    <w:next w:val="1809"/>
    <w:link w:val="15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10">
    <w:name w:val="Body Text First Indent1"/>
    <w:basedOn w:val="1589"/>
    <w:next w:val="1810"/>
    <w:link w:val="1559"/>
    <w:qFormat/>
    <w:pPr>
      <w:ind w:firstLine="420"/>
    </w:pPr>
  </w:style>
  <w:style w:type="paragraph" w:styleId="1811">
    <w:name w:val="yy标题2"/>
    <w:basedOn w:val="1792"/>
    <w:next w:val="1811"/>
    <w:link w:val="1559"/>
    <w:qFormat/>
    <w:rPr>
      <w:bCs w:val="0"/>
      <w:color w:val="000000"/>
      <w:sz w:val="24"/>
    </w:rPr>
  </w:style>
  <w:style w:type="paragraph" w:styleId="1812">
    <w:name w:val="xl90"/>
    <w:basedOn w:val="1559"/>
    <w:next w:val="1812"/>
    <w:link w:val="155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813">
    <w:name w:val="xl108"/>
    <w:basedOn w:val="1559"/>
    <w:next w:val="1813"/>
    <w:link w:val="15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14">
    <w:name w:val="xl74"/>
    <w:basedOn w:val="1559"/>
    <w:next w:val="1814"/>
    <w:link w:val="15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815">
    <w:name w:val="xl83"/>
    <w:basedOn w:val="1559"/>
    <w:next w:val="1815"/>
    <w:link w:val="1559"/>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816">
    <w:name w:val="彩色列表 - 强调文字颜色 11"/>
    <w:basedOn w:val="1559"/>
    <w:next w:val="1816"/>
    <w:link w:val="155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817">
    <w:name w:val="xl111"/>
    <w:basedOn w:val="1559"/>
    <w:next w:val="1817"/>
    <w:link w:val="1559"/>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818">
    <w:name w:val="xl77"/>
    <w:basedOn w:val="1559"/>
    <w:next w:val="1818"/>
    <w:link w:val="15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19">
    <w:name w:val="标题2"/>
    <w:basedOn w:val="1561"/>
    <w:next w:val="1819"/>
    <w:link w:val="1559"/>
    <w:qFormat/>
    <w:pPr>
      <w:keepLines w:val="0"/>
      <w:keepNext w:val="0"/>
      <w:spacing w:before="0" w:after="0" w:line="360" w:lineRule="auto"/>
      <w:tabs>
        <w:tab w:val="left" w:pos="0" w:leader="none"/>
      </w:tabs>
    </w:pPr>
    <w:rPr>
      <w:rFonts w:eastAsia="仿宋_GB2312"/>
      <w:b w:val="0"/>
      <w:sz w:val="30"/>
    </w:rPr>
  </w:style>
  <w:style w:type="paragraph" w:styleId="1820">
    <w:name w:val="正文2"/>
    <w:basedOn w:val="1559"/>
    <w:next w:val="1820"/>
    <w:link w:val="1559"/>
    <w:qFormat/>
    <w:pPr>
      <w:ind w:firstLine="200"/>
      <w:jc w:val="left"/>
      <w:spacing w:after="160" w:line="360" w:lineRule="auto"/>
      <w:widowControl/>
    </w:pPr>
    <w:rPr>
      <w:rFonts w:ascii="Verdana" w:hAnsi="Verdana" w:eastAsia="黑体"/>
      <w:lang w:eastAsia="en-US"/>
    </w:rPr>
  </w:style>
  <w:style w:type="paragraph" w:styleId="1821">
    <w:name w:val="xl107"/>
    <w:basedOn w:val="1559"/>
    <w:next w:val="1821"/>
    <w:link w:val="1559"/>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822">
    <w:name w:val="xl104"/>
    <w:basedOn w:val="1559"/>
    <w:next w:val="1822"/>
    <w:link w:val="1559"/>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23">
    <w:name w:val="xl95"/>
    <w:basedOn w:val="1559"/>
    <w:next w:val="1823"/>
    <w:link w:val="1559"/>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24">
    <w:name w:val="font13"/>
    <w:basedOn w:val="1559"/>
    <w:next w:val="1824"/>
    <w:link w:val="1559"/>
    <w:qFormat/>
    <w:pPr>
      <w:jc w:val="left"/>
      <w:spacing w:before="100" w:beforeAutospacing="1" w:after="100" w:afterAutospacing="1"/>
      <w:widowControl/>
    </w:pPr>
    <w:rPr>
      <w:rFonts w:ascii="宋体" w:hAnsi="宋体" w:cs="宋体"/>
      <w:sz w:val="18"/>
      <w:szCs w:val="18"/>
    </w:rPr>
  </w:style>
  <w:style w:type="paragraph" w:styleId="1825">
    <w:name w:val="font5"/>
    <w:basedOn w:val="1559"/>
    <w:next w:val="1825"/>
    <w:link w:val="1559"/>
    <w:qFormat/>
    <w:pPr>
      <w:jc w:val="left"/>
      <w:spacing w:before="100" w:beforeAutospacing="1" w:after="100" w:afterAutospacing="1"/>
      <w:widowControl/>
    </w:pPr>
    <w:rPr>
      <w:color w:val="000000"/>
      <w:sz w:val="20"/>
    </w:rPr>
  </w:style>
  <w:style w:type="paragraph" w:styleId="1826">
    <w:name w:val="xl98"/>
    <w:basedOn w:val="1559"/>
    <w:next w:val="1826"/>
    <w:link w:val="1559"/>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827">
    <w:name w:val="xl87"/>
    <w:basedOn w:val="1559"/>
    <w:next w:val="1827"/>
    <w:link w:val="1559"/>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28">
    <w:name w:val="xl110"/>
    <w:basedOn w:val="1559"/>
    <w:next w:val="1828"/>
    <w:link w:val="1559"/>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29">
    <w:name w:val="a"/>
    <w:basedOn w:val="1559"/>
    <w:next w:val="1829"/>
    <w:link w:val="1559"/>
    <w:qFormat/>
    <w:pPr>
      <w:jc w:val="left"/>
      <w:spacing w:before="100" w:beforeAutospacing="1" w:after="100" w:afterAutospacing="1"/>
    </w:pPr>
    <w:rPr>
      <w:rFonts w:ascii="宋体" w:hAnsi="宋体" w:cs="宋体"/>
      <w:sz w:val="24"/>
      <w:szCs w:val="24"/>
    </w:rPr>
  </w:style>
  <w:style w:type="paragraph" w:styleId="1830">
    <w:name w:val="font8"/>
    <w:basedOn w:val="1559"/>
    <w:next w:val="1830"/>
    <w:link w:val="1559"/>
    <w:qFormat/>
    <w:pPr>
      <w:jc w:val="left"/>
      <w:spacing w:before="100" w:beforeAutospacing="1" w:after="100" w:afterAutospacing="1"/>
      <w:widowControl/>
    </w:pPr>
    <w:rPr>
      <w:rFonts w:ascii="宋体" w:hAnsi="宋体" w:cs="宋体"/>
      <w:b/>
      <w:bCs/>
      <w:color w:val="000000"/>
      <w:szCs w:val="21"/>
    </w:rPr>
  </w:style>
  <w:style w:type="paragraph" w:styleId="1831">
    <w:name w:val="Char Char Char Char Char Char Char"/>
    <w:basedOn w:val="1559"/>
    <w:next w:val="1831"/>
    <w:link w:val="1559"/>
    <w:semiHidden/>
    <w:qFormat/>
    <w:rPr>
      <w:rFonts w:ascii="Tahoma" w:hAnsi="Tahoma" w:cs="仿宋_GB2312"/>
      <w:sz w:val="24"/>
      <w:szCs w:val="28"/>
    </w:rPr>
  </w:style>
  <w:style w:type="paragraph" w:styleId="1832">
    <w:name w:val="xl106"/>
    <w:basedOn w:val="1559"/>
    <w:next w:val="1832"/>
    <w:link w:val="1559"/>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833">
    <w:name w:val="_Style 1"/>
    <w:basedOn w:val="1559"/>
    <w:next w:val="1833"/>
    <w:link w:val="1559"/>
    <w:uiPriority w:val="99"/>
    <w:qFormat/>
    <w:pPr>
      <w:ind w:firstLine="420"/>
    </w:pPr>
    <w:rPr>
      <w:rFonts w:ascii="Calibri" w:hAnsi="Calibri"/>
      <w:szCs w:val="22"/>
    </w:rPr>
  </w:style>
  <w:style w:type="paragraph" w:styleId="1834">
    <w:name w:val="yy正文"/>
    <w:basedOn w:val="1792"/>
    <w:next w:val="1834"/>
    <w:link w:val="1559"/>
    <w:qFormat/>
    <w:pPr>
      <w:spacing w:line="300" w:lineRule="auto"/>
    </w:pPr>
    <w:rPr>
      <w:sz w:val="21"/>
    </w:rPr>
  </w:style>
  <w:style w:type="paragraph" w:styleId="1835">
    <w:name w:val="正文 A"/>
    <w:next w:val="1835"/>
    <w:link w:val="1559"/>
    <w:qFormat/>
    <w:pPr>
      <w:jc w:val="both"/>
      <w:widowControl w:val="off"/>
    </w:pPr>
    <w:rPr>
      <w:rFonts w:eastAsia="Times New Roman"/>
      <w:color w:val="000000"/>
      <w:sz w:val="21"/>
      <w:szCs w:val="21"/>
      <w:lang w:val="en-US" w:eastAsia="zh-CN" w:bidi="ar-SA"/>
    </w:rPr>
  </w:style>
  <w:style w:type="paragraph" w:styleId="1836">
    <w:name w:val="首行缩进"/>
    <w:basedOn w:val="1559"/>
    <w:next w:val="1836"/>
    <w:link w:val="1559"/>
    <w:qFormat/>
    <w:pPr>
      <w:ind w:firstLine="480"/>
    </w:pPr>
    <w:rPr>
      <w:lang w:val="zh-CN"/>
    </w:rPr>
  </w:style>
  <w:style w:type="paragraph" w:styleId="1837">
    <w:name w:val="font12"/>
    <w:basedOn w:val="1559"/>
    <w:next w:val="1837"/>
    <w:link w:val="1559"/>
    <w:qFormat/>
    <w:pPr>
      <w:jc w:val="left"/>
      <w:spacing w:before="100" w:beforeAutospacing="1" w:after="100" w:afterAutospacing="1"/>
      <w:widowControl/>
    </w:pPr>
    <w:rPr>
      <w:rFonts w:ascii="宋体" w:hAnsi="宋体" w:cs="宋体"/>
      <w:color w:val="000000"/>
      <w:sz w:val="20"/>
    </w:rPr>
  </w:style>
  <w:style w:type="paragraph" w:styleId="1838">
    <w:name w:val="Char Char2 Char"/>
    <w:basedOn w:val="1559"/>
    <w:next w:val="1838"/>
    <w:link w:val="1559"/>
    <w:qFormat/>
    <w:pPr>
      <w:ind w:left="390" w:hanging="390"/>
      <w:keepLines/>
      <w:keepNext/>
      <w:pageBreakBefore/>
      <w:tabs>
        <w:tab w:val="left" w:pos="390" w:leader="none"/>
      </w:tabs>
    </w:pPr>
    <w:rPr>
      <w:szCs w:val="24"/>
    </w:rPr>
  </w:style>
  <w:style w:type="paragraph" w:styleId="1839">
    <w:name w:val="xl88"/>
    <w:basedOn w:val="1559"/>
    <w:next w:val="1839"/>
    <w:link w:val="1559"/>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40">
    <w:name w:val="xl89"/>
    <w:basedOn w:val="1559"/>
    <w:next w:val="1840"/>
    <w:link w:val="1559"/>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41">
    <w:name w:val="font7"/>
    <w:basedOn w:val="1559"/>
    <w:next w:val="1841"/>
    <w:link w:val="1559"/>
    <w:qFormat/>
    <w:pPr>
      <w:jc w:val="left"/>
      <w:spacing w:before="100" w:beforeAutospacing="1" w:after="100" w:afterAutospacing="1"/>
      <w:widowControl/>
    </w:pPr>
    <w:rPr>
      <w:b/>
      <w:bCs/>
      <w:color w:val="000000"/>
      <w:szCs w:val="21"/>
    </w:rPr>
  </w:style>
  <w:style w:type="paragraph" w:styleId="1842">
    <w:name w:val="font9"/>
    <w:basedOn w:val="1559"/>
    <w:next w:val="1842"/>
    <w:link w:val="1559"/>
    <w:qFormat/>
    <w:pPr>
      <w:jc w:val="left"/>
      <w:spacing w:before="100" w:beforeAutospacing="1" w:after="100" w:afterAutospacing="1"/>
      <w:widowControl/>
    </w:pPr>
    <w:rPr>
      <w:rFonts w:ascii="宋体" w:hAnsi="宋体" w:cs="宋体"/>
      <w:color w:val="000000"/>
      <w:szCs w:val="21"/>
    </w:rPr>
  </w:style>
  <w:style w:type="paragraph" w:styleId="1843">
    <w:name w:val="xl92"/>
    <w:basedOn w:val="1559"/>
    <w:next w:val="1843"/>
    <w:link w:val="15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44">
    <w:name w:val="xl78"/>
    <w:basedOn w:val="1559"/>
    <w:next w:val="1844"/>
    <w:link w:val="15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45">
    <w:name w:val="xl82"/>
    <w:basedOn w:val="1559"/>
    <w:next w:val="1845"/>
    <w:link w:val="15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46">
    <w:name w:val="xl84"/>
    <w:basedOn w:val="1559"/>
    <w:next w:val="1846"/>
    <w:link w:val="155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47">
    <w:name w:val="缺省文本"/>
    <w:basedOn w:val="1559"/>
    <w:next w:val="1847"/>
    <w:link w:val="1559"/>
    <w:qFormat/>
    <w:pPr>
      <w:ind w:firstLine="504"/>
      <w:jc w:val="left"/>
      <w:spacing w:before="20" w:after="20" w:line="400" w:lineRule="exact"/>
    </w:pPr>
    <w:rPr>
      <w:sz w:val="24"/>
    </w:rPr>
  </w:style>
  <w:style w:type="paragraph" w:styleId="1848">
    <w:name w:val="xl85"/>
    <w:basedOn w:val="1559"/>
    <w:next w:val="1848"/>
    <w:link w:val="1559"/>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49">
    <w:name w:val="yy标题3"/>
    <w:basedOn w:val="1811"/>
    <w:next w:val="1849"/>
    <w:link w:val="1559"/>
    <w:qFormat/>
  </w:style>
  <w:style w:type="paragraph" w:styleId="1850">
    <w:name w:val="xl73"/>
    <w:basedOn w:val="1559"/>
    <w:next w:val="1850"/>
    <w:link w:val="15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51">
    <w:name w:val="列表段落1"/>
    <w:basedOn w:val="1559"/>
    <w:next w:val="1851"/>
    <w:link w:val="1559"/>
    <w:uiPriority w:val="34"/>
    <w:qFormat/>
  </w:style>
  <w:style w:type="paragraph" w:styleId="1852">
    <w:name w:val="Table Text"/>
    <w:basedOn w:val="1559"/>
    <w:next w:val="1852"/>
    <w:link w:val="1559"/>
    <w:semiHidden/>
    <w:qFormat/>
    <w:rPr>
      <w:rFonts w:ascii="宋体" w:hAnsi="宋体" w:eastAsia="宋体" w:cs="宋体"/>
      <w:sz w:val="20"/>
      <w:szCs w:val="20"/>
      <w:lang w:val="en-US" w:eastAsia="en-US" w:bidi="ar-SA"/>
    </w:rPr>
  </w:style>
  <w:style w:type="table" w:styleId="1853">
    <w:name w:val="Table Normal"/>
    <w:next w:val="1853"/>
    <w:link w:val="1559"/>
    <w:unhideWhenUsed/>
    <w:qFormat/>
    <w:rPr>
      <w:lang w:val="en-US" w:eastAsia="zh-CN" w:bidi="ar-SA"/>
    </w:rPr>
    <w:tblPr/>
  </w:style>
  <w:style w:type="paragraph" w:styleId="1854">
    <w:name w:val="正文首行缩进2"/>
    <w:basedOn w:val="1559"/>
    <w:next w:val="1854"/>
    <w:link w:val="1559"/>
    <w:qFormat/>
    <w:pPr>
      <w:ind w:firstLine="200"/>
    </w:pPr>
  </w:style>
  <w:style w:type="character" w:styleId="1855">
    <w:name w:val="font51"/>
    <w:next w:val="1855"/>
    <w:link w:val="1559"/>
    <w:rPr>
      <w:rFonts w:ascii="Times New Roman" w:hAnsi="Times New Roman" w:cs="Times New Roman"/>
      <w:i w:val="0"/>
      <w:iCs w:val="0"/>
      <w:color w:val="000000"/>
      <w:sz w:val="24"/>
      <w:szCs w:val="24"/>
      <w:u w:val="none"/>
    </w:rPr>
  </w:style>
  <w:style w:type="character" w:styleId="1856">
    <w:name w:val="font61"/>
    <w:next w:val="1856"/>
    <w:link w:val="1559"/>
    <w:rPr>
      <w:rFonts w:ascii="等线" w:hAnsi="等线" w:eastAsia="等线" w:cs="等线"/>
      <w:i w:val="0"/>
      <w:iCs w:val="0"/>
      <w:color w:val="000000"/>
      <w:sz w:val="24"/>
      <w:szCs w:val="24"/>
      <w:u w:val="none"/>
    </w:rPr>
  </w:style>
  <w:style w:type="character" w:styleId="1857">
    <w:name w:val="font81"/>
    <w:next w:val="1857"/>
    <w:link w:val="1559"/>
    <w:rPr>
      <w:rFonts w:ascii="Times New Roman" w:hAnsi="Times New Roman" w:cs="Times New Roman"/>
      <w:i w:val="0"/>
      <w:iCs w:val="0"/>
      <w:color w:val="000000"/>
      <w:sz w:val="24"/>
      <w:szCs w:val="24"/>
      <w:u w:val="none"/>
    </w:rPr>
  </w:style>
  <w:style w:type="character" w:styleId="1858">
    <w:name w:val="font91"/>
    <w:next w:val="1858"/>
    <w:link w:val="1559"/>
    <w:rPr>
      <w:rFonts w:ascii="等线" w:hAnsi="等线" w:eastAsia="等线" w:cs="等线"/>
      <w:i w:val="0"/>
      <w:iCs w:val="0"/>
      <w:color w:val="000000"/>
      <w:sz w:val="24"/>
      <w:szCs w:val="24"/>
      <w:u w:val="none"/>
    </w:rPr>
  </w:style>
  <w:style w:type="character" w:styleId="1859">
    <w:name w:val="font101"/>
    <w:next w:val="1859"/>
    <w:link w:val="1559"/>
    <w:rPr>
      <w:rFonts w:hint="eastAsia" w:ascii="宋体" w:hAnsi="宋体" w:eastAsia="宋体" w:cs="宋体"/>
      <w:i w:val="0"/>
      <w:iCs w:val="0"/>
      <w:color w:val="000000"/>
      <w:sz w:val="24"/>
      <w:szCs w:val="24"/>
      <w:u w:val="none"/>
    </w:rPr>
  </w:style>
  <w:style w:type="character" w:styleId="1860">
    <w:name w:val="font112"/>
    <w:next w:val="1860"/>
    <w:link w:val="1559"/>
    <w:rPr>
      <w:rFonts w:hint="eastAsia" w:ascii="宋体" w:hAnsi="宋体" w:eastAsia="宋体" w:cs="宋体"/>
      <w:i w:val="0"/>
      <w:iCs w:val="0"/>
      <w:color w:val="000000"/>
      <w:sz w:val="24"/>
      <w:szCs w:val="24"/>
      <w:u w:val="none"/>
    </w:rPr>
  </w:style>
  <w:style w:type="paragraph" w:styleId="1861">
    <w:name w:val="标题 41"/>
    <w:basedOn w:val="1559"/>
    <w:next w:val="1778"/>
    <w:link w:val="1559"/>
    <w:uiPriority w:val="9"/>
    <w:qFormat/>
    <w:pPr>
      <w:keepLines/>
      <w:keepNext/>
      <w:spacing w:before="280" w:after="290" w:line="374" w:lineRule="auto"/>
      <w:outlineLvl w:val="3"/>
    </w:pPr>
    <w:rPr>
      <w:rFonts w:ascii="Arial" w:hAnsi="Arial" w:eastAsia="黑体" w:cs="Arial"/>
      <w:b/>
      <w:bCs/>
      <w:sz w:val="28"/>
      <w:szCs w:val="28"/>
    </w:rPr>
  </w:style>
  <w:style w:type="paragraph" w:styleId="1862">
    <w:name w:val="无间隔1"/>
    <w:next w:val="1862"/>
    <w:link w:val="1559"/>
    <w:uiPriority w:val="99"/>
    <w:qFormat/>
    <w:pPr>
      <w:jc w:val="both"/>
      <w:widowControl w:val="off"/>
    </w:pPr>
    <w:rPr>
      <w:sz w:val="21"/>
      <w:szCs w:val="21"/>
      <w:lang w:val="en-US" w:eastAsia="zh-CN" w:bidi="ar-SA"/>
    </w:rPr>
  </w:style>
  <w:style w:type="paragraph" w:styleId="1863">
    <w:name w:val="[Normal]"/>
    <w:next w:val="1863"/>
    <w:link w:val="1559"/>
    <w:uiPriority w:val="99"/>
    <w:qFormat/>
    <w:rPr>
      <w:rFonts w:ascii="方正仿宋简体" w:hAnsi="方正仿宋简体" w:eastAsia="方正仿宋简体" w:cs="Courier New"/>
      <w:sz w:val="24"/>
      <w:szCs w:val="22"/>
      <w:lang w:val="zh-CN" w:eastAsia="zh-CN" w:bidi="ar-SA"/>
    </w:rPr>
  </w:style>
  <w:style w:type="character" w:styleId="1864" w:default="1">
    <w:name w:val="Default Paragraph Font"/>
    <w:uiPriority w:val="1"/>
    <w:semiHidden/>
    <w:unhideWhenUsed/>
  </w:style>
  <w:style w:type="numbering" w:styleId="1865" w:default="1">
    <w:name w:val="No List"/>
    <w:uiPriority w:val="99"/>
    <w:semiHidden/>
    <w:unhideWhenUsed/>
  </w:style>
  <w:style w:type="table" w:styleId="18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footer" Target="footer17.xml" /><Relationship Id="rId29" Type="http://schemas.openxmlformats.org/officeDocument/2006/relationships/footer" Target="footer1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4</cp:revision>
  <dcterms:created xsi:type="dcterms:W3CDTF">2026-09-03T02:23:00Z</dcterms:created>
  <dcterms:modified xsi:type="dcterms:W3CDTF">2026-10-08T08:23:22Z</dcterms:modified>
</cp:coreProperties>
</file>