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color w:val="auto"/>
          <w:sz w:val="72"/>
        </w:rPr>
      </w:pPr>
      <w:r/>
      <w:bookmarkStart w:id="0" w:name="_Hlk192713327"/>
      <w:r>
        <w:rPr>
          <w:rFonts w:hint="eastAsia" w:ascii="宋体" w:hAnsi="宋体" w:eastAsia="宋体" w:cs="宋体"/>
          <w:b/>
          <w:color w:val="auto"/>
          <w:sz w:val="72"/>
        </w:rPr>
        <w:tab/>
      </w:r>
      <w:r/>
    </w:p>
    <w:p>
      <w:pPr>
        <w:jc w:val="center"/>
        <w:rPr>
          <w:rFonts w:ascii="宋体" w:hAnsi="宋体" w:eastAsia="宋体" w:cs="宋体"/>
          <w:b/>
          <w:color w:val="auto"/>
          <w:sz w:val="72"/>
        </w:rPr>
      </w:pPr>
      <w:r>
        <w:rPr>
          <w:rFonts w:ascii="宋体" w:hAnsi="宋体" w:eastAsia="宋体" w:cs="宋体"/>
          <w:b/>
          <w:color w:val="auto"/>
          <w:sz w:val="72"/>
        </w:rPr>
      </w:r>
      <w:r/>
    </w:p>
    <w:p>
      <w:pPr>
        <w:jc w:val="center"/>
        <w:spacing w:line="360" w:lineRule="auto"/>
        <w:rPr>
          <w:rFonts w:ascii="宋体" w:hAnsi="宋体" w:eastAsia="宋体" w:cs="宋体"/>
          <w:b/>
          <w:color w:val="auto"/>
          <w:spacing w:val="20"/>
          <w:sz w:val="52"/>
          <w:szCs w:val="52"/>
        </w:rPr>
      </w:pPr>
      <w:r/>
      <w:bookmarkStart w:id="1" w:name="_Hlk192713293"/>
      <w:r>
        <w:rPr>
          <w:rFonts w:hint="eastAsia" w:ascii="宋体" w:hAnsi="宋体" w:eastAsia="宋体" w:cs="宋体"/>
          <w:b/>
          <w:color w:val="auto"/>
          <w:spacing w:val="20"/>
          <w:sz w:val="52"/>
          <w:szCs w:val="52"/>
        </w:rPr>
        <w:t xml:space="preserve">公开</w:t>
      </w:r>
      <w:bookmarkEnd w:id="1"/>
      <w:r>
        <w:rPr>
          <w:rFonts w:hint="eastAsia" w:ascii="宋体" w:hAnsi="宋体" w:eastAsia="宋体" w:cs="宋体"/>
          <w:b/>
          <w:color w:val="auto"/>
          <w:spacing w:val="20"/>
          <w:sz w:val="52"/>
          <w:szCs w:val="52"/>
        </w:rPr>
        <w:t xml:space="preserve">招标项目</w:t>
      </w:r>
      <w:r/>
    </w:p>
    <w:p>
      <w:pPr>
        <w:jc w:val="center"/>
        <w:spacing w:line="360" w:lineRule="auto"/>
        <w:rPr>
          <w:rFonts w:ascii="宋体" w:hAnsi="宋体" w:eastAsia="宋体" w:cs="宋体"/>
          <w:b/>
          <w:color w:val="auto"/>
          <w:spacing w:val="20"/>
          <w:sz w:val="52"/>
          <w:szCs w:val="52"/>
        </w:rPr>
      </w:pPr>
      <w:r>
        <w:rPr>
          <w:rFonts w:hint="eastAsia" w:ascii="宋体" w:hAnsi="宋体" w:eastAsia="宋体" w:cs="宋体"/>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rPr>
        <w:t xml:space="preserve">招标文件</w:t>
      </w:r>
      <w:r/>
    </w:p>
    <w:p>
      <w:pPr>
        <w:jc w:val="center"/>
        <w:rPr>
          <w:rFonts w:ascii="宋体" w:hAnsi="宋体" w:eastAsia="宋体" w:cs="宋体"/>
          <w:b/>
          <w:color w:val="auto"/>
          <w:sz w:val="72"/>
          <w:szCs w:val="72"/>
        </w:rPr>
      </w:pPr>
      <w:r>
        <w:rPr>
          <w:rFonts w:hint="eastAsia" w:ascii="宋体" w:hAnsi="宋体" w:eastAsia="宋体" w:cs="宋体"/>
          <w:b/>
          <w:color w:val="auto"/>
          <w:sz w:val="30"/>
        </w:rPr>
        <w:t xml:space="preserve">（全流程电子化不见面开标）</w:t>
      </w:r>
      <w:r/>
    </w:p>
    <w:p>
      <w:pPr>
        <w:rPr>
          <w:rFonts w:ascii="宋体" w:hAnsi="宋体" w:eastAsia="宋体" w:cs="宋体"/>
          <w:b/>
          <w:color w:val="auto"/>
          <w:sz w:val="72"/>
        </w:rPr>
      </w:pPr>
      <w:r>
        <w:rPr>
          <w:rFonts w:ascii="宋体" w:hAnsi="宋体" w:eastAsia="宋体" w:cs="宋体"/>
          <w:b/>
          <w:color w:val="auto"/>
          <w:sz w:val="72"/>
        </w:rPr>
      </w:r>
      <w:r/>
    </w:p>
    <w:p>
      <w:pPr>
        <w:rPr>
          <w:rFonts w:ascii="宋体" w:hAnsi="宋体" w:eastAsia="宋体" w:cs="宋体"/>
          <w:b/>
          <w:color w:val="auto"/>
          <w:sz w:val="72"/>
        </w:rPr>
      </w:pPr>
      <w:r>
        <w:rPr>
          <w:rFonts w:ascii="宋体" w:hAnsi="宋体" w:eastAsia="宋体" w:cs="宋体"/>
          <w:b/>
          <w:color w:val="auto"/>
          <w:sz w:val="72"/>
        </w:rPr>
      </w:r>
      <w:r/>
    </w:p>
    <w:p>
      <w:pPr>
        <w:pStyle w:val="1048"/>
        <w:ind w:firstLine="568"/>
        <w:rPr>
          <w:rFonts w:hAnsi="宋体" w:cs="宋体"/>
          <w:color w:val="auto"/>
        </w:rPr>
      </w:pPr>
      <w:r>
        <w:rPr>
          <w:rFonts w:hAnsi="宋体" w:cs="宋体"/>
          <w:color w:val="auto"/>
        </w:rPr>
      </w:r>
      <w:r/>
    </w:p>
    <w:p>
      <w:pPr>
        <w:pStyle w:val="1048"/>
        <w:ind w:firstLine="568"/>
        <w:rPr>
          <w:rFonts w:hAnsi="宋体" w:cs="宋体"/>
          <w:color w:val="auto"/>
        </w:rPr>
      </w:pPr>
      <w:r>
        <w:rPr>
          <w:rFonts w:hAnsi="宋体" w:cs="宋体"/>
          <w:color w:val="auto"/>
        </w:rPr>
      </w:r>
      <w:r/>
    </w:p>
    <w:p>
      <w:pPr>
        <w:ind w:firstLine="419"/>
        <w:jc w:val="center"/>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项目编号：JSZC-320000-JTTZ-G2026-0023</w:t>
      </w:r>
      <w:r/>
    </w:p>
    <w:p>
      <w:pPr>
        <w:jc w:val="center"/>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项目名称：兽用生物制品区域性检验实验室（华东）自动影像分析菌落计数仪等仪器设备采购项目</w:t>
      </w:r>
      <w:r/>
    </w:p>
    <w:p>
      <w:pPr>
        <w:ind w:firstLine="419"/>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ind w:firstLine="419"/>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ind w:firstLine="419"/>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ind w:firstLine="419"/>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pStyle w:val="775"/>
        <w:rPr>
          <w:rFonts w:ascii="宋体" w:hAnsi="宋体" w:eastAsia="宋体" w:cs="宋体"/>
          <w:b/>
          <w:bCs/>
          <w:color w:val="auto"/>
          <w:szCs w:val="28"/>
        </w:rPr>
      </w:pPr>
      <w:r>
        <w:rPr>
          <w:rFonts w:ascii="宋体" w:hAnsi="宋体" w:eastAsia="宋体" w:cs="宋体"/>
          <w:b/>
          <w:bCs/>
          <w:color w:val="auto"/>
          <w:szCs w:val="28"/>
        </w:rPr>
      </w:r>
      <w:r/>
    </w:p>
    <w:p>
      <w:pPr>
        <w:rPr>
          <w:rFonts w:ascii="宋体" w:hAnsi="宋体" w:eastAsia="宋体" w:cs="宋体"/>
          <w:color w:val="auto"/>
        </w:rPr>
      </w:pPr>
      <w:r>
        <w:rPr>
          <w:rFonts w:ascii="宋体" w:hAnsi="宋体" w:eastAsia="宋体" w:cs="宋体"/>
          <w:color w:val="auto"/>
        </w:rPr>
      </w:r>
      <w:r/>
    </w:p>
    <w:p>
      <w:pPr>
        <w:ind w:firstLine="419"/>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jc w:val="center"/>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采购人：江苏农牧科技职业学院</w:t>
      </w:r>
      <w:r/>
    </w:p>
    <w:p>
      <w:pPr>
        <w:jc w:val="center"/>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采购代理机构：江苏建泰工程项目管理有限公司</w:t>
      </w:r>
      <w:r/>
    </w:p>
    <w:p>
      <w:pPr>
        <w:jc w:val="center"/>
        <w:rPr>
          <w:rFonts w:ascii="宋体" w:hAnsi="宋体" w:eastAsia="宋体" w:cs="宋体"/>
          <w:b/>
          <w:color w:val="auto"/>
          <w:sz w:val="32"/>
          <w:szCs w:val="32"/>
        </w:rPr>
      </w:pPr>
      <w:r>
        <w:rPr>
          <w:rFonts w:hint="eastAsia" w:ascii="宋体" w:hAnsi="宋体" w:eastAsia="宋体" w:cs="宋体"/>
          <w:b/>
          <w:color w:val="auto"/>
          <w:sz w:val="32"/>
          <w:szCs w:val="32"/>
        </w:rPr>
        <w:t xml:space="preserve">2026年</w:t>
      </w:r>
      <w:r>
        <w:rPr>
          <w:rFonts w:hint="eastAsia" w:ascii="宋体" w:hAnsi="宋体" w:eastAsia="宋体" w:cs="宋体"/>
          <w:b/>
          <w:color w:val="auto"/>
          <w:sz w:val="32"/>
          <w:szCs w:val="32"/>
          <w:lang w:val="en-US" w:eastAsia="zh-CN"/>
        </w:rPr>
        <w:t xml:space="preserve">9</w:t>
      </w:r>
      <w:r>
        <w:rPr>
          <w:rFonts w:hint="eastAsia" w:ascii="宋体" w:hAnsi="宋体" w:eastAsia="宋体" w:cs="宋体"/>
          <w:b/>
          <w:color w:val="auto"/>
          <w:sz w:val="32"/>
          <w:szCs w:val="32"/>
        </w:rPr>
        <w:t xml:space="preserve">月</w:t>
      </w:r>
      <w:r/>
    </w:p>
    <w:p>
      <w:pPr>
        <w:ind w:right="840"/>
        <w:jc w:val="center"/>
        <w:spacing w:line="360" w:lineRule="auto"/>
        <w:widowControl/>
        <w:rPr>
          <w:rFonts w:ascii="宋体" w:hAnsi="宋体" w:eastAsia="宋体" w:cs="宋体"/>
          <w:b/>
          <w:color w:val="auto"/>
          <w:sz w:val="36"/>
          <w:szCs w:val="36"/>
        </w:rPr>
      </w:pPr>
      <w:r>
        <w:rPr>
          <w:rFonts w:hint="eastAsia" w:ascii="宋体" w:hAnsi="宋体" w:eastAsia="宋体" w:cs="宋体"/>
          <w:b/>
          <w:color w:val="auto"/>
          <w:sz w:val="28"/>
          <w:szCs w:val="28"/>
        </w:rPr>
        <w:br w:type="page" w:clear="all"/>
      </w:r>
      <w:r>
        <w:rPr>
          <w:rFonts w:hint="eastAsia" w:ascii="宋体" w:hAnsi="宋体" w:eastAsia="宋体" w:cs="宋体"/>
          <w:b/>
          <w:color w:val="auto"/>
          <w:sz w:val="36"/>
          <w:szCs w:val="36"/>
        </w:rPr>
        <w:t xml:space="preserve">目  录</w:t>
      </w:r>
      <w:r/>
    </w:p>
    <w:p>
      <w:pPr>
        <w:jc w:val="center"/>
        <w:rPr>
          <w:rFonts w:ascii="宋体" w:hAnsi="宋体" w:eastAsia="宋体" w:cs="宋体"/>
          <w:color w:val="auto"/>
          <w:sz w:val="24"/>
          <w:szCs w:val="24"/>
        </w:rPr>
      </w:pPr>
      <w:r>
        <w:rPr>
          <w:rFonts w:ascii="宋体" w:hAnsi="宋体" w:eastAsia="宋体" w:cs="宋体"/>
          <w:color w:val="auto"/>
          <w:sz w:val="24"/>
          <w:szCs w:val="24"/>
        </w:rPr>
      </w:r>
      <w:r/>
    </w:p>
    <w:p>
      <w:pPr>
        <w:pStyle w:val="1034"/>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fldChar w:fldCharType="begin"/>
      </w:r>
      <w:r>
        <w:rPr>
          <w:rFonts w:hint="eastAsia" w:ascii="宋体" w:hAnsi="宋体" w:eastAsia="宋体" w:cs="宋体"/>
          <w:b/>
          <w:color w:val="auto"/>
        </w:rPr>
        <w:instrText xml:space="preserve">TOC  \* MERGEFORMAT</w:instrText>
      </w:r>
      <w:r>
        <w:rPr>
          <w:rFonts w:hint="eastAsia" w:ascii="宋体" w:hAnsi="宋体" w:eastAsia="宋体" w:cs="宋体"/>
          <w:b/>
          <w:color w:val="auto"/>
        </w:rPr>
        <w:fldChar w:fldCharType="separate"/>
      </w:r>
      <w:r>
        <w:rPr>
          <w:rFonts w:hint="eastAsia" w:ascii="宋体" w:hAnsi="宋体" w:eastAsia="宋体" w:cs="宋体"/>
          <w:b/>
          <w:color w:val="auto"/>
        </w:rPr>
        <w:t xml:space="preserve">第一章 招标公告</w:t>
      </w:r>
      <w:r/>
    </w:p>
    <w:p>
      <w:pPr>
        <w:pStyle w:val="1034"/>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t xml:space="preserve">第二章 投标人须知</w:t>
      </w:r>
      <w:r/>
    </w:p>
    <w:p>
      <w:pPr>
        <w:pStyle w:val="1034"/>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t xml:space="preserve">第三章 采购需求</w:t>
      </w:r>
      <w:r/>
    </w:p>
    <w:p>
      <w:pPr>
        <w:pStyle w:val="1034"/>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t xml:space="preserve">第四章 评标办法及评标标准</w:t>
      </w:r>
      <w:r/>
    </w:p>
    <w:p>
      <w:pPr>
        <w:pStyle w:val="1034"/>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t xml:space="preserve">第五章 合同条款</w:t>
      </w:r>
      <w:r/>
    </w:p>
    <w:p>
      <w:pPr>
        <w:pStyle w:val="1034"/>
        <w:spacing w:line="480" w:lineRule="auto"/>
        <w:tabs>
          <w:tab w:val="right" w:pos="9344" w:leader="dot"/>
        </w:tabs>
        <w:rPr>
          <w:rFonts w:ascii="宋体" w:hAnsi="宋体" w:eastAsia="宋体" w:cs="宋体"/>
          <w:b/>
          <w:color w:val="auto"/>
        </w:rPr>
      </w:pPr>
      <w:r>
        <w:rPr>
          <w:rFonts w:hint="eastAsia" w:ascii="宋体" w:hAnsi="宋体" w:eastAsia="宋体" w:cs="宋体"/>
          <w:b/>
          <w:color w:val="auto"/>
        </w:rPr>
        <w:fldChar w:fldCharType="end"/>
      </w:r>
      <w:r>
        <w:rPr>
          <w:rFonts w:hint="eastAsia" w:ascii="宋体" w:hAnsi="宋体" w:eastAsia="宋体" w:cs="宋体"/>
          <w:b/>
          <w:color w:val="auto"/>
        </w:rPr>
        <w:t xml:space="preserve">第六章 投标文件格式</w:t>
      </w:r>
      <w:r/>
    </w:p>
    <w:p>
      <w:pPr>
        <w:jc w:val="center"/>
        <w:rPr>
          <w:rFonts w:ascii="宋体" w:hAnsi="宋体" w:eastAsia="宋体" w:cs="宋体"/>
          <w:color w:val="auto"/>
          <w:sz w:val="24"/>
          <w:szCs w:val="24"/>
        </w:rPr>
      </w:pPr>
      <w:r>
        <w:rPr>
          <w:rFonts w:ascii="宋体" w:hAnsi="宋体" w:eastAsia="宋体" w:cs="宋体"/>
          <w:color w:val="auto"/>
          <w:sz w:val="24"/>
          <w:szCs w:val="24"/>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jc w:val="center"/>
        <w:spacing w:line="360" w:lineRule="auto"/>
        <w:widowControl/>
        <w:rPr>
          <w:rFonts w:ascii="宋体" w:hAnsi="宋体" w:eastAsia="宋体" w:cs="宋体"/>
          <w:b/>
          <w:color w:val="auto"/>
          <w:spacing w:val="15"/>
          <w:sz w:val="32"/>
          <w:szCs w:val="32"/>
        </w:rPr>
      </w:pPr>
      <w:r>
        <w:rPr>
          <w:rFonts w:hint="eastAsia" w:ascii="宋体" w:hAnsi="宋体" w:eastAsia="宋体" w:cs="宋体"/>
          <w:color w:val="auto"/>
          <w:sz w:val="21"/>
          <w:szCs w:val="21"/>
        </w:rPr>
        <w:br w:type="page" w:clear="all"/>
      </w:r>
      <w:bookmarkStart w:id="2" w:name="_Toc388026584"/>
      <w:r/>
      <w:bookmarkStart w:id="3" w:name="_Toc409438817"/>
      <w:r>
        <w:rPr>
          <w:rFonts w:hint="eastAsia" w:ascii="宋体" w:hAnsi="宋体" w:eastAsia="宋体" w:cs="宋体"/>
          <w:b/>
          <w:color w:val="auto"/>
          <w:spacing w:val="15"/>
          <w:sz w:val="32"/>
          <w:szCs w:val="32"/>
        </w:rPr>
        <w:t xml:space="preserve">第一章</w:t>
      </w:r>
      <w:r>
        <w:rPr>
          <w:rFonts w:hint="eastAsia" w:ascii="宋体" w:hAnsi="宋体" w:eastAsia="宋体" w:cs="宋体"/>
          <w:color w:val="auto"/>
          <w:sz w:val="24"/>
          <w:szCs w:val="24"/>
        </w:rPr>
        <w:t xml:space="preserve"> </w:t>
      </w:r>
      <w:bookmarkStart w:id="4" w:name="_Toc417477665"/>
      <w:r/>
      <w:bookmarkEnd w:id="4"/>
      <w:r/>
      <w:bookmarkStart w:id="5" w:name="_Toc258329824"/>
      <w:r/>
      <w:bookmarkEnd w:id="5"/>
      <w:r/>
      <w:bookmarkStart w:id="6" w:name="_Toc228679947"/>
      <w:r/>
      <w:bookmarkEnd w:id="6"/>
      <w:r>
        <w:rPr>
          <w:rFonts w:hint="eastAsia" w:ascii="宋体" w:hAnsi="宋体" w:eastAsia="宋体" w:cs="宋体"/>
          <w:b/>
          <w:color w:val="auto"/>
          <w:spacing w:val="15"/>
          <w:sz w:val="32"/>
          <w:szCs w:val="32"/>
        </w:rPr>
        <w:t xml:space="preserve">招标公告</w:t>
      </w:r>
      <w:r/>
    </w:p>
    <w:p>
      <w:pPr>
        <w:spacing w:line="520" w:lineRule="exact"/>
        <w:rPr>
          <w:rFonts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rPr>
        <w:t xml:space="preserve">项目概况</w:t>
      </w:r>
      <w:r/>
    </w:p>
    <w:p>
      <w:pPr>
        <w:ind w:firstLine="488"/>
        <w:spacing w:line="520" w:lineRule="exact"/>
        <w:rPr>
          <w:rFonts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u w:val="single"/>
        </w:rPr>
        <w:t xml:space="preserve">兽用生物制品区域性检验实验室（华东）自动影像</w:t>
      </w:r>
      <w:r>
        <w:rPr>
          <w:rFonts w:ascii="宋体" w:hAnsi="宋体" w:eastAsia="宋体" w:cs="宋体"/>
          <w:color w:val="auto"/>
          <w:sz w:val="24"/>
          <w:szCs w:val="24"/>
          <w:u w:val="single"/>
        </w:rPr>
        <w:t xml:space="preserve">分析菌落</w:t>
      </w:r>
      <w:r>
        <w:rPr>
          <w:rFonts w:hint="eastAsia" w:ascii="宋体" w:hAnsi="宋体" w:eastAsia="宋体" w:cs="宋体"/>
          <w:color w:val="auto"/>
          <w:sz w:val="24"/>
          <w:szCs w:val="24"/>
          <w:u w:val="single"/>
        </w:rPr>
        <w:t xml:space="preserve">计数仪等仪器设备采购项目</w:t>
      </w:r>
      <w:r>
        <w:rPr>
          <w:rFonts w:hint="eastAsia" w:ascii="宋体" w:hAnsi="宋体" w:eastAsia="宋体" w:cs="宋体"/>
          <w:color w:val="auto"/>
          <w:sz w:val="24"/>
          <w:szCs w:val="24"/>
        </w:rPr>
        <w:t xml:space="preserve">的潜在投标人应在江苏政府采购“苏采云”系统获取招标文件，并于</w:t>
      </w:r>
      <w:r>
        <w:rPr>
          <w:rFonts w:hint="eastAsia" w:ascii="宋体" w:hAnsi="宋体" w:eastAsia="宋体" w:cs="宋体"/>
          <w:color w:val="auto"/>
          <w:sz w:val="24"/>
          <w:szCs w:val="24"/>
          <w:u w:val="single"/>
        </w:rPr>
        <w:t xml:space="preserve">2026年</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rPr>
        <w:t xml:space="preserve">月  </w:t>
      </w:r>
      <w:r>
        <w:rPr>
          <w:rFonts w:hint="eastAsia" w:ascii="宋体" w:hAnsi="宋体" w:eastAsia="宋体" w:cs="宋体"/>
          <w:color w:val="auto"/>
          <w:sz w:val="24"/>
          <w:szCs w:val="24"/>
          <w:u w:val="single"/>
          <w:lang w:val="en-US" w:eastAsia="zh-CN"/>
        </w:rPr>
        <w:t xml:space="preserve">30</w:t>
      </w:r>
      <w:r>
        <w:rPr>
          <w:rFonts w:hint="eastAsia" w:ascii="宋体" w:hAnsi="宋体" w:eastAsia="宋体" w:cs="宋体"/>
          <w:color w:val="auto"/>
          <w:sz w:val="24"/>
          <w:szCs w:val="24"/>
          <w:u w:val="single"/>
        </w:rPr>
        <w:t xml:space="preserve">日09:00</w:t>
      </w:r>
      <w:r>
        <w:rPr>
          <w:rFonts w:hint="eastAsia" w:ascii="宋体" w:hAnsi="宋体" w:eastAsia="宋体" w:cs="宋体"/>
          <w:bCs/>
          <w:color w:val="auto"/>
          <w:sz w:val="24"/>
          <w:szCs w:val="24"/>
        </w:rPr>
        <w:t xml:space="preserve">（北京时间）前递交投标文件</w:t>
      </w:r>
      <w:r>
        <w:rPr>
          <w:rFonts w:hint="eastAsia" w:ascii="宋体" w:hAnsi="宋体" w:eastAsia="宋体" w:cs="宋体"/>
          <w:color w:val="auto"/>
          <w:sz w:val="24"/>
          <w:szCs w:val="24"/>
        </w:rPr>
        <w:t xml:space="preserve">。</w:t>
      </w:r>
      <w:r/>
    </w:p>
    <w:p>
      <w:pPr>
        <w:pStyle w:val="996"/>
        <w:spacing w:before="0" w:after="0" w:line="520" w:lineRule="exact"/>
        <w:rPr>
          <w:rFonts w:ascii="宋体" w:hAnsi="宋体" w:cs="宋体"/>
          <w:b w:val="0"/>
          <w:color w:val="auto"/>
          <w:sz w:val="24"/>
          <w:szCs w:val="24"/>
        </w:rPr>
        <w:outlineLvl w:val="9"/>
      </w:pPr>
      <w:r/>
      <w:bookmarkStart w:id="7" w:name="_Toc35393621"/>
      <w:r/>
      <w:bookmarkStart w:id="8" w:name="_Toc28359002"/>
      <w:r/>
      <w:bookmarkStart w:id="9" w:name="_Toc35393790"/>
      <w:r/>
      <w:bookmarkStart w:id="10" w:name="_Toc28359079"/>
      <w:r/>
      <w:bookmarkStart w:id="11" w:name="_Hlk24379207"/>
      <w:r>
        <w:rPr>
          <w:rFonts w:hint="eastAsia" w:ascii="宋体" w:hAnsi="宋体" w:cs="宋体"/>
          <w:b w:val="0"/>
          <w:color w:val="auto"/>
          <w:sz w:val="24"/>
          <w:szCs w:val="24"/>
        </w:rPr>
        <w:t xml:space="preserve">一、项目基本情况</w:t>
      </w:r>
      <w:bookmarkEnd w:id="7"/>
      <w:r/>
      <w:bookmarkEnd w:id="8"/>
      <w:r/>
      <w:bookmarkEnd w:id="9"/>
      <w:r/>
      <w:bookmarkEnd w:id="10"/>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项目编号：JSZC-320000-JTTZ-G2026-0023</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项目名称：</w:t>
      </w:r>
      <w:bookmarkEnd w:id="11"/>
      <w:r>
        <w:rPr>
          <w:rFonts w:hint="eastAsia" w:ascii="宋体" w:hAnsi="宋体" w:eastAsia="宋体" w:cs="宋体"/>
          <w:color w:val="auto"/>
          <w:sz w:val="24"/>
          <w:szCs w:val="24"/>
        </w:rPr>
        <w:t xml:space="preserve">兽用生物制品区域性检验实验室（华东）自动影像分析菌落计数仪等仪器设备采购项目</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预算金额：902万元</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最高限价：902万元</w:t>
      </w:r>
      <w:r/>
    </w:p>
    <w:p>
      <w:pPr>
        <w:ind w:firstLine="488"/>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采购需求：共聚焦显微镜等仪器设备采购，共分为五个采购包，具体要求详见招标文件。</w:t>
      </w:r>
      <w:r/>
    </w:p>
    <w:tbl>
      <w:tblPr>
        <w:tblStyle w:val="807"/>
        <w:tblW w:w="0" w:type="auto"/>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3328"/>
        <w:gridCol w:w="1503"/>
        <w:gridCol w:w="1294"/>
        <w:gridCol w:w="1348"/>
      </w:tblGrid>
      <w:tr>
        <w:trPr/>
        <w:tc>
          <w:tcPr>
            <w:tcW w:w="1349"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最高限价</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（万元）</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是否接受进口产品</w:t>
            </w:r>
            <w:r/>
          </w:p>
        </w:tc>
      </w:tr>
      <w:tr>
        <w:trPr>
          <w:trHeight w:val="237"/>
        </w:trPr>
        <w:tc>
          <w:tcPr>
            <w:tcW w:w="1349"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采购包一</w:t>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共聚焦显微镜</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260</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306"/>
        </w:trPr>
        <w:tc>
          <w:tcPr>
            <w:tcW w:w="1349" w:type="dxa"/>
            <w:vAlign w:val="center"/>
            <w:vMerge w:val="continue"/>
            <w:textDirection w:val="lrTb"/>
            <w:noWrap w:val="false"/>
          </w:tcPr>
          <w:p>
            <w:pPr>
              <w:jc w:val="center"/>
              <w:rPr>
                <w:color w:val="auto"/>
              </w:rPr>
            </w:pPr>
            <w:r>
              <w:rPr>
                <w:color w:val="auto"/>
              </w:rPr>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电位纳米粒度仪</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45</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306"/>
        </w:trPr>
        <w:tc>
          <w:tcPr>
            <w:tcW w:w="1349" w:type="dxa"/>
            <w:vAlign w:val="center"/>
            <w:vMerge w:val="continue"/>
            <w:textDirection w:val="lrTb"/>
            <w:noWrap w:val="false"/>
          </w:tcPr>
          <w:p>
            <w:pPr>
              <w:jc w:val="center"/>
              <w:rPr>
                <w:color w:val="auto"/>
              </w:rPr>
            </w:pPr>
            <w:r>
              <w:rPr>
                <w:color w:val="auto"/>
              </w:rPr>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305</w:t>
            </w:r>
            <w:r/>
          </w:p>
        </w:tc>
        <w:tc>
          <w:tcPr>
            <w:tcW w:w="134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c>
          <w:tcPr>
            <w:tcW w:w="1349"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采购包二</w:t>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流式细胞分选仪</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175</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290"/>
        </w:trPr>
        <w:tc>
          <w:tcPr>
            <w:tcW w:w="134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自动影像分析菌落计数仪</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25</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205"/>
        </w:trPr>
        <w:tc>
          <w:tcPr>
            <w:tcW w:w="134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200</w:t>
            </w:r>
            <w:r/>
          </w:p>
        </w:tc>
        <w:tc>
          <w:tcPr>
            <w:tcW w:w="134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290"/>
        </w:trPr>
        <w:tc>
          <w:tcPr>
            <w:tcW w:w="1349"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采购包三</w:t>
            </w:r>
            <w:r/>
          </w:p>
        </w:tc>
        <w:tc>
          <w:tcPr>
            <w:tcW w:w="3328" w:type="dxa"/>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数字PCR仪</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100</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290"/>
        </w:trPr>
        <w:tc>
          <w:tcPr>
            <w:tcW w:w="134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328" w:type="dxa"/>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实时荧光定量PCR仪</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47</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290"/>
        </w:trPr>
        <w:tc>
          <w:tcPr>
            <w:tcW w:w="134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147</w:t>
            </w:r>
            <w:r/>
          </w:p>
        </w:tc>
        <w:tc>
          <w:tcPr>
            <w:tcW w:w="134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290"/>
        </w:trPr>
        <w:tc>
          <w:tcPr>
            <w:tcW w:w="1349"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采购包四</w:t>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酶联免疫斑点检测分析系统</w:t>
            </w:r>
            <w:r/>
          </w:p>
        </w:tc>
        <w:tc>
          <w:tcPr>
            <w:tcW w:w="1503"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94"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40</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290"/>
        </w:trPr>
        <w:tc>
          <w:tcPr>
            <w:tcW w:w="134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328"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倒置荧光显微镜</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45</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290"/>
        </w:trPr>
        <w:tc>
          <w:tcPr>
            <w:tcW w:w="134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328"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倒置光学显微镜</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290"/>
        </w:trPr>
        <w:tc>
          <w:tcPr>
            <w:tcW w:w="134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90</w:t>
            </w:r>
            <w:r/>
          </w:p>
        </w:tc>
        <w:tc>
          <w:tcPr>
            <w:tcW w:w="134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312"/>
        </w:trPr>
        <w:tc>
          <w:tcPr>
            <w:tcW w:w="1349"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采购包五</w:t>
            </w:r>
            <w:r/>
          </w:p>
        </w:tc>
        <w:tc>
          <w:tcPr>
            <w:tcW w:w="3328"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实验室管理系统</w:t>
            </w:r>
            <w:r/>
          </w:p>
        </w:tc>
        <w:tc>
          <w:tcPr>
            <w:tcW w:w="1503"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100</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290"/>
        </w:trPr>
        <w:tc>
          <w:tcPr>
            <w:tcW w:w="134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物联网控制系统</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60</w:t>
            </w:r>
            <w:r/>
          </w:p>
        </w:tc>
        <w:tc>
          <w:tcPr>
            <w:tcW w:w="13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c>
          <w:tcPr>
            <w:tcW w:w="134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50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160</w:t>
            </w:r>
            <w:r/>
          </w:p>
        </w:tc>
        <w:tc>
          <w:tcPr>
            <w:tcW w:w="134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c>
          <w:tcPr>
            <w:tcW w:w="134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32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150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129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902</w:t>
            </w:r>
            <w:r/>
          </w:p>
        </w:tc>
        <w:tc>
          <w:tcPr>
            <w:tcW w:w="134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bl>
    <w:p>
      <w:pPr>
        <w:pStyle w:val="827"/>
        <w:ind w:firstLine="480"/>
        <w:spacing w:line="520" w:lineRule="exact"/>
        <w:rPr>
          <w:rFonts w:ascii="宋体" w:hAnsi="宋体" w:eastAsia="宋体" w:cs="宋体"/>
          <w:color w:val="auto"/>
        </w:rPr>
      </w:pPr>
      <w:r>
        <w:rPr>
          <w:rFonts w:hint="eastAsia" w:ascii="宋体" w:hAnsi="宋体" w:eastAsia="宋体" w:cs="宋体"/>
          <w:color w:val="auto"/>
        </w:rPr>
        <w:t xml:space="preserve">合同履行期限：合同签订后80日历天内完成供货、安装及调试。</w:t>
      </w:r>
      <w:r/>
    </w:p>
    <w:p>
      <w:pPr>
        <w:pStyle w:val="827"/>
        <w:ind w:firstLine="480"/>
        <w:jc w:val="both"/>
        <w:spacing w:line="520" w:lineRule="exact"/>
        <w:rPr>
          <w:rFonts w:ascii="宋体" w:hAnsi="宋体" w:eastAsia="宋体" w:cs="宋体"/>
          <w:color w:val="auto"/>
        </w:rPr>
      </w:pPr>
      <w:r>
        <w:rPr>
          <w:rFonts w:hint="eastAsia" w:ascii="宋体" w:hAnsi="宋体" w:eastAsia="宋体" w:cs="宋体"/>
          <w:color w:val="auto"/>
        </w:rPr>
        <w:t xml:space="preserve">本项目（是/否）接受联合体投标：否</w:t>
      </w:r>
      <w:r/>
    </w:p>
    <w:p>
      <w:pPr>
        <w:pStyle w:val="996"/>
        <w:spacing w:before="0" w:after="0" w:line="520" w:lineRule="exact"/>
        <w:rPr>
          <w:rFonts w:ascii="宋体" w:hAnsi="宋体" w:cs="宋体"/>
          <w:b w:val="0"/>
          <w:color w:val="auto"/>
          <w:sz w:val="24"/>
          <w:szCs w:val="24"/>
        </w:rPr>
        <w:outlineLvl w:val="9"/>
      </w:pPr>
      <w:r/>
      <w:bookmarkStart w:id="12" w:name="_Toc28359080"/>
      <w:r/>
      <w:bookmarkStart w:id="13" w:name="_Toc28359003"/>
      <w:r/>
      <w:bookmarkStart w:id="14" w:name="_Toc35393791"/>
      <w:r/>
      <w:bookmarkStart w:id="15" w:name="_Toc35393622"/>
      <w:r>
        <w:rPr>
          <w:rFonts w:hint="eastAsia" w:ascii="宋体" w:hAnsi="宋体" w:cs="宋体"/>
          <w:b w:val="0"/>
          <w:color w:val="auto"/>
          <w:sz w:val="24"/>
          <w:szCs w:val="24"/>
        </w:rPr>
        <w:t xml:space="preserve">二、申请人的资格要求：</w:t>
      </w:r>
      <w:bookmarkEnd w:id="12"/>
      <w:r/>
      <w:bookmarkEnd w:id="13"/>
      <w:r/>
      <w:bookmarkEnd w:id="14"/>
      <w:r/>
      <w:bookmarkEnd w:id="15"/>
      <w:r/>
      <w:r/>
    </w:p>
    <w:p>
      <w:pPr>
        <w:ind w:firstLine="488"/>
        <w:spacing w:line="520" w:lineRule="exact"/>
        <w:rPr>
          <w:rFonts w:ascii="宋体" w:hAnsi="宋体" w:eastAsia="宋体" w:cs="宋体"/>
          <w:color w:val="auto"/>
          <w:sz w:val="24"/>
          <w:szCs w:val="24"/>
        </w:rPr>
      </w:pPr>
      <w:r/>
      <w:bookmarkStart w:id="16" w:name="_Hlk227768296"/>
      <w:r>
        <w:rPr>
          <w:rFonts w:hint="eastAsia" w:ascii="宋体" w:hAnsi="宋体" w:eastAsia="宋体" w:cs="宋体"/>
          <w:color w:val="auto"/>
          <w:sz w:val="24"/>
          <w:szCs w:val="24"/>
        </w:rPr>
        <w:t xml:space="preserve">（一）满足《中华人民共和国政府采购法》第二十二条规定：</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3.具有履行合同所必需的设备和专业技术能力；</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4.有依法缴纳税收和社会保障资金的良好记录；</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5.参加政府采购活动前三年内，在经营活动中没有重大违法记录；</w:t>
      </w:r>
      <w:r/>
    </w:p>
    <w:p>
      <w:pPr>
        <w:ind w:firstLine="488"/>
        <w:spacing w:line="520" w:lineRule="exact"/>
        <w:rPr>
          <w:rFonts w:ascii="宋体" w:hAnsi="宋体" w:eastAsia="宋体" w:cs="宋体"/>
          <w:color w:val="auto"/>
          <w:sz w:val="24"/>
          <w:szCs w:val="24"/>
        </w:rPr>
      </w:pPr>
      <w:r/>
      <w:bookmarkStart w:id="17" w:name="_Toc28359081"/>
      <w:r/>
      <w:bookmarkStart w:id="18" w:name="_Toc28359004"/>
      <w:r>
        <w:rPr>
          <w:rFonts w:hint="eastAsia" w:ascii="宋体" w:hAnsi="宋体" w:eastAsia="宋体" w:cs="宋体"/>
          <w:color w:val="auto"/>
          <w:sz w:val="24"/>
          <w:szCs w:val="24"/>
        </w:rPr>
        <w:t xml:space="preserve">（二）落实政府采购政策需满足的资格要求：</w:t>
      </w:r>
      <w:r/>
    </w:p>
    <w:p>
      <w:pPr>
        <w:ind w:firstLine="488"/>
        <w:spacing w:line="520" w:lineRule="exact"/>
        <w:rPr>
          <w:rFonts w:ascii="宋体" w:hAnsi="宋体" w:eastAsia="宋体" w:cs="宋体"/>
          <w:color w:val="auto"/>
          <w:sz w:val="24"/>
          <w:u w:val="single"/>
        </w:rPr>
      </w:pPr>
      <w:r>
        <w:rPr>
          <w:rFonts w:hint="eastAsia" w:ascii="宋体" w:hAnsi="宋体" w:eastAsia="宋体" w:cs="宋体"/>
          <w:color w:val="auto"/>
          <w:sz w:val="24"/>
          <w:szCs w:val="24"/>
          <w:u w:val="single"/>
        </w:rPr>
        <w:t xml:space="preserve">1.</w:t>
      </w:r>
      <w:r>
        <w:rPr>
          <w:rFonts w:hint="eastAsia" w:ascii="宋体" w:hAnsi="宋体" w:eastAsia="宋体" w:cs="宋体"/>
          <w:color w:val="auto"/>
          <w:sz w:val="24"/>
          <w:u w:val="single"/>
        </w:rPr>
        <w:t xml:space="preserve">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520" w:lineRule="exact"/>
        <w:rPr>
          <w:rFonts w:ascii="宋体" w:hAnsi="宋体" w:eastAsia="宋体" w:cs="宋体"/>
          <w:color w:val="auto"/>
          <w:sz w:val="24"/>
          <w:u w:val="single"/>
        </w:rPr>
      </w:pPr>
      <w:r>
        <w:rPr>
          <w:rFonts w:hint="eastAsia" w:ascii="宋体" w:hAnsi="宋体" w:eastAsia="宋体" w:cs="宋体"/>
          <w:color w:val="auto"/>
          <w:sz w:val="24"/>
          <w:u w:val="single"/>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88"/>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（三）本项目的特定资格要求：无</w:t>
      </w:r>
      <w:r>
        <w:rPr>
          <w:rFonts w:hint="eastAsia" w:ascii="宋体" w:hAnsi="宋体" w:eastAsia="宋体" w:cs="宋体"/>
          <w:color w:val="auto"/>
          <w:sz w:val="24"/>
          <w:szCs w:val="24"/>
          <w:lang w:eastAsia="zh-CN"/>
        </w:rPr>
        <w:t xml:space="preserve">。</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（四）未被列入“信用中国”网站（www.creditchina.gov.cn）失信被执行人名单、重大税收违法失信主体、政府采购严重违法失信行为记录名单。</w:t>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bookmarkEnd w:id="16"/>
      <w:r/>
    </w:p>
    <w:p>
      <w:pPr>
        <w:pStyle w:val="996"/>
        <w:spacing w:before="0" w:after="0" w:line="520" w:lineRule="exact"/>
        <w:rPr>
          <w:rFonts w:ascii="宋体" w:hAnsi="宋体" w:cs="宋体"/>
          <w:b w:val="0"/>
          <w:color w:val="auto"/>
          <w:sz w:val="24"/>
          <w:szCs w:val="24"/>
        </w:rPr>
        <w:outlineLvl w:val="9"/>
      </w:pPr>
      <w:r/>
      <w:bookmarkStart w:id="19" w:name="_Toc35393792"/>
      <w:r/>
      <w:bookmarkStart w:id="20" w:name="_Toc35393623"/>
      <w:r>
        <w:rPr>
          <w:rFonts w:hint="eastAsia" w:ascii="宋体" w:hAnsi="宋体" w:cs="宋体"/>
          <w:b w:val="0"/>
          <w:color w:val="auto"/>
          <w:sz w:val="24"/>
          <w:szCs w:val="24"/>
        </w:rPr>
        <w:t xml:space="preserve">三、获取招标文件</w:t>
      </w:r>
      <w:bookmarkEnd w:id="17"/>
      <w:r/>
      <w:bookmarkEnd w:id="18"/>
      <w:r/>
      <w:bookmarkEnd w:id="19"/>
      <w:r/>
      <w:bookmarkEnd w:id="20"/>
      <w:r>
        <w:rPr>
          <w:rFonts w:hint="eastAsia" w:ascii="宋体" w:hAnsi="宋体" w:cs="宋体"/>
          <w:b w:val="0"/>
          <w:color w:val="auto"/>
          <w:sz w:val="24"/>
          <w:szCs w:val="24"/>
        </w:rPr>
        <w:t xml:space="preserve">：</w:t>
      </w:r>
      <w:r/>
    </w:p>
    <w:p>
      <w:pPr>
        <w:ind w:firstLine="480"/>
        <w:spacing w:line="520" w:lineRule="exact"/>
        <w:rPr>
          <w:rFonts w:ascii="宋体" w:hAnsi="宋体" w:eastAsia="宋体" w:cs="宋体"/>
          <w:b/>
          <w:bCs/>
          <w:color w:val="auto"/>
          <w:sz w:val="24"/>
          <w:szCs w:val="24"/>
        </w:rPr>
      </w:pPr>
      <w:r>
        <w:rPr>
          <w:rFonts w:hint="eastAsia" w:ascii="宋体" w:hAnsi="宋体" w:eastAsia="宋体" w:cs="宋体"/>
          <w:color w:val="auto"/>
          <w:sz w:val="24"/>
          <w:szCs w:val="24"/>
        </w:rPr>
        <w:t xml:space="preserve">时间：自公告发布之日起5个工作日</w:t>
      </w:r>
      <w:bookmarkStart w:id="77" w:name="_GoBack"/>
      <w:r/>
      <w:bookmarkEnd w:id="77"/>
      <w:r/>
      <w:r/>
    </w:p>
    <w:p>
      <w:pPr>
        <w:pStyle w:val="996"/>
        <w:ind w:firstLine="480"/>
        <w:spacing w:before="0" w:after="0" w:line="520" w:lineRule="exact"/>
        <w:rPr>
          <w:rFonts w:ascii="宋体" w:hAnsi="宋体" w:cs="宋体"/>
          <w:b w:val="0"/>
          <w:bCs w:val="0"/>
          <w:color w:val="auto"/>
          <w:sz w:val="24"/>
          <w:szCs w:val="24"/>
        </w:rPr>
        <w:outlineLvl w:val="9"/>
      </w:pPr>
      <w:r/>
      <w:bookmarkStart w:id="21" w:name="_Toc28359082"/>
      <w:r/>
      <w:bookmarkStart w:id="22" w:name="_Toc28359005"/>
      <w:r/>
      <w:bookmarkStart w:id="23" w:name="_Toc35393793"/>
      <w:r/>
      <w:bookmarkStart w:id="24" w:name="_Toc35393624"/>
      <w:r>
        <w:rPr>
          <w:rFonts w:hint="eastAsia" w:ascii="宋体" w:hAnsi="宋体" w:cs="宋体"/>
          <w:b w:val="0"/>
          <w:bCs w:val="0"/>
          <w:color w:val="auto"/>
          <w:sz w:val="24"/>
          <w:szCs w:val="24"/>
        </w:rPr>
        <w:t xml:space="preserve">地点：江苏政府采购“苏采云”系统</w:t>
      </w:r>
      <w:r/>
    </w:p>
    <w:p>
      <w:pPr>
        <w:pStyle w:val="996"/>
        <w:ind w:firstLine="480"/>
        <w:spacing w:before="0" w:after="0" w:line="520" w:lineRule="exact"/>
        <w:rPr>
          <w:rFonts w:ascii="宋体" w:hAnsi="宋体" w:cs="宋体"/>
          <w:b w:val="0"/>
          <w:bCs w:val="0"/>
          <w:color w:val="auto"/>
          <w:sz w:val="24"/>
          <w:szCs w:val="24"/>
        </w:rPr>
        <w:outlineLvl w:val="9"/>
      </w:pPr>
      <w:r>
        <w:rPr>
          <w:rFonts w:hint="eastAsia" w:ascii="宋体" w:hAnsi="宋体" w:cs="宋体"/>
          <w:b w:val="0"/>
          <w:bCs w:val="0"/>
          <w:color w:val="auto"/>
          <w:sz w:val="24"/>
          <w:szCs w:val="24"/>
        </w:rPr>
        <w:t xml:space="preserve">方式：供应商完成注册并办理CA证书后登录江苏政府采购“苏采云”系统下载本项目招标文件</w:t>
      </w:r>
      <w:r/>
    </w:p>
    <w:p>
      <w:pPr>
        <w:pStyle w:val="996"/>
        <w:ind w:firstLine="480"/>
        <w:spacing w:before="0" w:after="0" w:line="520" w:lineRule="exact"/>
        <w:rPr>
          <w:rFonts w:ascii="宋体" w:hAnsi="宋体" w:cs="宋体"/>
          <w:b w:val="0"/>
          <w:bCs w:val="0"/>
          <w:color w:val="auto"/>
          <w:sz w:val="24"/>
          <w:szCs w:val="24"/>
        </w:rPr>
        <w:outlineLvl w:val="9"/>
      </w:pPr>
      <w:r>
        <w:rPr>
          <w:rFonts w:hint="eastAsia" w:ascii="宋体" w:hAnsi="宋体" w:cs="宋体"/>
          <w:b w:val="0"/>
          <w:bCs w:val="0"/>
          <w:color w:val="auto"/>
          <w:sz w:val="24"/>
          <w:szCs w:val="24"/>
        </w:rPr>
        <w:t xml:space="preserve">售价：0.00元</w:t>
      </w:r>
      <w:r/>
    </w:p>
    <w:p>
      <w:pPr>
        <w:pStyle w:val="996"/>
        <w:spacing w:before="0" w:after="0" w:line="520" w:lineRule="exact"/>
        <w:rPr>
          <w:rFonts w:ascii="宋体" w:hAnsi="宋体" w:cs="宋体"/>
          <w:b w:val="0"/>
          <w:color w:val="auto"/>
          <w:sz w:val="24"/>
          <w:szCs w:val="24"/>
        </w:rPr>
        <w:outlineLvl w:val="9"/>
      </w:pPr>
      <w:r>
        <w:rPr>
          <w:rFonts w:hint="eastAsia" w:ascii="宋体" w:hAnsi="宋体" w:cs="宋体"/>
          <w:b w:val="0"/>
          <w:color w:val="auto"/>
          <w:sz w:val="24"/>
          <w:szCs w:val="24"/>
        </w:rPr>
        <w:t xml:space="preserve">四、提交投标文件</w:t>
      </w:r>
      <w:bookmarkEnd w:id="21"/>
      <w:r/>
      <w:bookmarkEnd w:id="22"/>
      <w:r>
        <w:rPr>
          <w:rFonts w:hint="eastAsia" w:ascii="宋体" w:hAnsi="宋体" w:cs="宋体"/>
          <w:b w:val="0"/>
          <w:color w:val="auto"/>
          <w:sz w:val="24"/>
          <w:szCs w:val="24"/>
        </w:rPr>
        <w:t xml:space="preserve">截止时间、开标时间和地点</w:t>
      </w:r>
      <w:bookmarkEnd w:id="23"/>
      <w:r/>
      <w:bookmarkEnd w:id="24"/>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时间：2026年</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日9点00分（北京时间）</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w:t>
      </w:r>
      <w:r/>
    </w:p>
    <w:p>
      <w:pPr>
        <w:pStyle w:val="996"/>
        <w:spacing w:before="0" w:after="0" w:line="520" w:lineRule="exact"/>
        <w:rPr>
          <w:rFonts w:ascii="宋体" w:hAnsi="宋体" w:cs="宋体"/>
          <w:b w:val="0"/>
          <w:color w:val="auto"/>
          <w:sz w:val="24"/>
          <w:szCs w:val="24"/>
        </w:rPr>
        <w:outlineLvl w:val="9"/>
      </w:pPr>
      <w:r/>
      <w:bookmarkStart w:id="25" w:name="_Toc28359007"/>
      <w:r/>
      <w:bookmarkStart w:id="26" w:name="_Toc35393625"/>
      <w:r/>
      <w:bookmarkStart w:id="27" w:name="_Toc35393794"/>
      <w:r/>
      <w:bookmarkStart w:id="28" w:name="_Toc28359084"/>
      <w:r>
        <w:rPr>
          <w:rFonts w:hint="eastAsia" w:ascii="宋体" w:hAnsi="宋体" w:cs="宋体"/>
          <w:b w:val="0"/>
          <w:color w:val="auto"/>
          <w:sz w:val="24"/>
          <w:szCs w:val="24"/>
        </w:rPr>
        <w:t xml:space="preserve">五、公告期限</w:t>
      </w:r>
      <w:bookmarkEnd w:id="25"/>
      <w:r/>
      <w:bookmarkEnd w:id="26"/>
      <w:r/>
      <w:bookmarkEnd w:id="27"/>
      <w:r/>
      <w:bookmarkEnd w:id="28"/>
      <w:r/>
      <w:r/>
    </w:p>
    <w:p>
      <w:pPr>
        <w:ind w:firstLine="488"/>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r/>
    </w:p>
    <w:p>
      <w:pPr>
        <w:pStyle w:val="996"/>
        <w:spacing w:before="0" w:after="0" w:line="520" w:lineRule="exact"/>
        <w:rPr>
          <w:rFonts w:ascii="宋体" w:hAnsi="宋体" w:cs="宋体"/>
          <w:b w:val="0"/>
          <w:color w:val="auto"/>
          <w:sz w:val="24"/>
          <w:szCs w:val="24"/>
        </w:rPr>
        <w:outlineLvl w:val="9"/>
      </w:pPr>
      <w:r/>
      <w:bookmarkStart w:id="29" w:name="_Toc35393626"/>
      <w:r/>
      <w:bookmarkStart w:id="30" w:name="_Toc35393795"/>
      <w:r>
        <w:rPr>
          <w:rFonts w:hint="eastAsia" w:ascii="宋体" w:hAnsi="宋体" w:cs="宋体"/>
          <w:b w:val="0"/>
          <w:color w:val="auto"/>
          <w:sz w:val="24"/>
          <w:szCs w:val="24"/>
        </w:rPr>
        <w:t xml:space="preserve">六、其他补充事宜</w:t>
      </w:r>
      <w:bookmarkEnd w:id="29"/>
      <w:r/>
      <w:bookmarkEnd w:id="30"/>
      <w:r/>
      <w:r/>
    </w:p>
    <w:p>
      <w:pPr>
        <w:ind w:firstLine="480"/>
        <w:spacing w:line="520" w:lineRule="exact"/>
        <w:rPr>
          <w:rFonts w:ascii="宋体" w:hAnsi="宋体" w:eastAsia="宋体" w:cs="宋体"/>
          <w:color w:val="auto"/>
          <w:sz w:val="24"/>
          <w:szCs w:val="24"/>
        </w:rPr>
      </w:pPr>
      <w:r/>
      <w:bookmarkStart w:id="31" w:name="_Toc35393796"/>
      <w:r/>
      <w:bookmarkStart w:id="32" w:name="_Toc35393627"/>
      <w:r/>
      <w:bookmarkStart w:id="33" w:name="_Toc28359085"/>
      <w:r/>
      <w:bookmarkStart w:id="34" w:name="_Toc28359008"/>
      <w:r>
        <w:rPr>
          <w:rFonts w:hint="eastAsia" w:ascii="宋体" w:hAnsi="宋体" w:eastAsia="宋体" w:cs="宋体"/>
          <w:color w:val="auto"/>
          <w:sz w:val="24"/>
          <w:szCs w:val="24"/>
        </w:rPr>
        <w:t xml:space="preserve">1.本项目共分为五个采购包，投标人可同时参与五个采购包的投标，但不得兼中，开标、评标、定标按照采购包一、采购包二、采购包三、采购包四、采购包五的顺序依次进行，已在前一采购包被推荐为第一中标候选人的，不再参与下一采购包的评审。中标人确定后，不因某包段的中标人被取消中标人资格影响其他包段的中标人名单。</w:t>
      </w:r>
      <w:r/>
    </w:p>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.各采购包中：提供相同品牌核心产品且通过资格审查、符合性审查的不同投标人参加同一合同项下投标的，按1家投标人计算。</w:t>
      </w:r>
      <w:r/>
    </w:p>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.本项目采用网上注册登记方式。潜在投标人访问电子招标投标交易平台的网络地址和方法如下：</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（1）登录http://jszfcg.jsczt.cn/，点击“苏采云”进入系统。</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CA数字证书”的获取：投标人需办理CA锁（原国信CA需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t xml:space="preserve">4</w:t>
      </w:r>
      <w:r>
        <w:rPr>
          <w:rFonts w:hint="eastAsia" w:ascii="宋体" w:hAnsi="宋体" w:eastAsia="宋体" w:cs="宋体"/>
          <w:color w:val="auto"/>
          <w:sz w:val="24"/>
          <w:szCs w:val="24"/>
        </w:rPr>
        <w:t xml:space="preserve">.采购代理机构将数据电文形式的招标文件加载至电子招标投标交易平台，供潜在投标人下载或者查阅。</w:t>
      </w:r>
      <w:r/>
    </w:p>
    <w:p>
      <w:pPr>
        <w:ind w:firstLine="480"/>
        <w:spacing w:line="520" w:lineRule="exact"/>
        <w:tabs>
          <w:tab w:val="left" w:pos="900" w:leader="none"/>
        </w:tabs>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w:t>
      </w:r>
      <w:r>
        <w:rPr>
          <w:rFonts w:hint="eastAsia" w:ascii="宋体" w:hAnsi="宋体" w:eastAsia="宋体" w:cs="宋体"/>
          <w:color w:val="auto"/>
          <w:sz w:val="24"/>
          <w:szCs w:val="24"/>
        </w:rPr>
        <w:t xml:space="preserve">.有关本次招标的事项若存在变动或修改，敬请及时关注“江苏政府采购网”发布的更正公告。</w:t>
      </w:r>
      <w:r/>
    </w:p>
    <w:p>
      <w:pPr>
        <w:pStyle w:val="996"/>
        <w:ind w:firstLine="480"/>
        <w:keepLines w:val="0"/>
        <w:keepNext w:val="0"/>
        <w:spacing w:before="0" w:after="0" w:line="520" w:lineRule="exact"/>
        <w:rPr>
          <w:rFonts w:ascii="宋体" w:hAnsi="宋体" w:cs="宋体"/>
          <w:b w:val="0"/>
          <w:bCs w:val="0"/>
          <w:color w:val="auto"/>
          <w:sz w:val="24"/>
          <w:szCs w:val="24"/>
        </w:rPr>
        <w:outlineLvl w:val="9"/>
      </w:pPr>
      <w:r>
        <w:rPr>
          <w:rFonts w:ascii="宋体" w:hAnsi="宋体" w:cs="宋体"/>
          <w:b w:val="0"/>
          <w:color w:val="auto"/>
          <w:sz w:val="24"/>
          <w:szCs w:val="24"/>
        </w:rPr>
        <w:t xml:space="preserve">6</w:t>
      </w:r>
      <w:r>
        <w:rPr>
          <w:rFonts w:hint="eastAsia" w:ascii="宋体" w:hAnsi="宋体" w:cs="宋体"/>
          <w:b w:val="0"/>
          <w:color w:val="auto"/>
          <w:sz w:val="24"/>
          <w:szCs w:val="24"/>
        </w:rPr>
        <w:t xml:space="preserve">.</w:t>
      </w:r>
      <w:r>
        <w:rPr>
          <w:rFonts w:hint="eastAsia" w:ascii="宋体" w:hAnsi="宋体" w:cs="宋体"/>
          <w:b w:val="0"/>
          <w:bCs w:val="0"/>
          <w:color w:val="auto"/>
          <w:sz w:val="24"/>
          <w:szCs w:val="24"/>
        </w:rPr>
        <w:t xml:space="preserve">在评标结束前，各投标人授权代表应保持手机畅通，以便及时澄清答疑。</w:t>
      </w:r>
      <w:r/>
    </w:p>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t xml:space="preserve">7</w:t>
      </w:r>
      <w:r>
        <w:rPr>
          <w:rFonts w:hint="eastAsia" w:ascii="宋体" w:hAnsi="宋体" w:eastAsia="宋体" w:cs="宋体"/>
          <w:color w:val="auto"/>
          <w:sz w:val="24"/>
          <w:szCs w:val="24"/>
        </w:rPr>
        <w:t xml:space="preserve">.如潜在投标人未按上述要求操作，将自行承担所产生的风险。</w:t>
      </w:r>
      <w:r/>
    </w:p>
    <w:p>
      <w:pPr>
        <w:pStyle w:val="996"/>
        <w:spacing w:before="0" w:after="0" w:line="520" w:lineRule="exact"/>
        <w:rPr>
          <w:rFonts w:ascii="宋体" w:hAnsi="宋体" w:cs="宋体"/>
          <w:b w:val="0"/>
          <w:color w:val="auto"/>
          <w:sz w:val="24"/>
          <w:szCs w:val="24"/>
        </w:rPr>
        <w:outlineLvl w:val="9"/>
      </w:pPr>
      <w:r>
        <w:rPr>
          <w:rFonts w:hint="eastAsia" w:ascii="宋体" w:hAnsi="宋体" w:cs="宋体"/>
          <w:b w:val="0"/>
          <w:bCs w:val="0"/>
          <w:color w:val="auto"/>
          <w:sz w:val="24"/>
          <w:szCs w:val="24"/>
        </w:rPr>
        <w:t xml:space="preserve">七、对本次招标</w:t>
      </w:r>
      <w:r>
        <w:rPr>
          <w:rFonts w:hint="eastAsia" w:ascii="宋体" w:hAnsi="宋体" w:cs="宋体"/>
          <w:b w:val="0"/>
          <w:color w:val="auto"/>
          <w:sz w:val="24"/>
          <w:szCs w:val="24"/>
        </w:rPr>
        <w:t xml:space="preserve">提出询问，请按以下方式联系。</w:t>
      </w:r>
      <w:bookmarkEnd w:id="31"/>
      <w:r/>
      <w:bookmarkEnd w:id="32"/>
      <w:r/>
      <w:bookmarkEnd w:id="33"/>
      <w:r/>
      <w:bookmarkEnd w:id="34"/>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bCs/>
          <w:color w:val="auto"/>
          <w:sz w:val="24"/>
          <w:szCs w:val="24"/>
        </w:rPr>
        <w:t xml:space="preserve">江苏农牧科技职业学院</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单位地址：江苏省泰州市凤凰东路8号</w:t>
      </w:r>
      <w:r/>
    </w:p>
    <w:p>
      <w:pPr>
        <w:ind w:firstLine="480"/>
        <w:spacing w:line="520" w:lineRule="exact"/>
        <w:rPr>
          <w:rFonts w:ascii="宋体" w:hAnsi="宋体" w:eastAsia="宋体" w:cs="宋体"/>
          <w:color w:val="auto"/>
          <w:sz w:val="24"/>
          <w:szCs w:val="24"/>
        </w:rPr>
      </w:pPr>
      <w:r/>
      <w:bookmarkStart w:id="35" w:name="_Toc28359086"/>
      <w:r/>
      <w:bookmarkStart w:id="36" w:name="_Toc28359009"/>
      <w:r>
        <w:rPr>
          <w:rFonts w:hint="eastAsia" w:ascii="宋体" w:hAnsi="宋体" w:eastAsia="宋体" w:cs="宋体"/>
          <w:color w:val="auto"/>
          <w:sz w:val="24"/>
          <w:szCs w:val="24"/>
        </w:rPr>
        <w:t xml:space="preserve">联系人：王老师</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联系电话：0523-86158045</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bookmarkEnd w:id="35"/>
      <w:r/>
      <w:bookmarkEnd w:id="36"/>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单位名称：江苏建泰工程项目管理有限公司</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单位地址：泰州市医药高新区华润万象城双子塔东塔52楼5203室</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联系人：周女士</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bookmarkStart w:id="37" w:name="_Toc28359087"/>
      <w:r/>
      <w:bookmarkStart w:id="38" w:name="_Toc28359010"/>
      <w:r>
        <w:rPr>
          <w:rFonts w:hint="eastAsia" w:ascii="宋体" w:hAnsi="宋体" w:eastAsia="宋体" w:cs="宋体"/>
          <w:color w:val="auto"/>
          <w:sz w:val="24"/>
          <w:szCs w:val="24"/>
        </w:rPr>
        <w:t xml:space="preserve">0523-81908859</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3.项目联系方式</w:t>
      </w:r>
      <w:bookmarkEnd w:id="37"/>
      <w:r/>
      <w:bookmarkEnd w:id="38"/>
      <w:r/>
      <w:r/>
    </w:p>
    <w:p>
      <w:pPr>
        <w:pStyle w:val="1019"/>
        <w:ind w:firstLine="480"/>
        <w:spacing w:line="520" w:lineRule="exact"/>
        <w:rPr>
          <w:rFonts w:hAnsi="宋体" w:eastAsia="宋体" w:cs="宋体"/>
          <w:color w:val="auto"/>
          <w:sz w:val="24"/>
          <w:szCs w:val="24"/>
        </w:rPr>
      </w:pPr>
      <w:r>
        <w:rPr>
          <w:rFonts w:hint="eastAsia" w:hAnsi="宋体" w:eastAsia="宋体" w:cs="宋体"/>
          <w:color w:val="auto"/>
          <w:sz w:val="24"/>
          <w:szCs w:val="24"/>
        </w:rPr>
        <w:t xml:space="preserve">项目联系人：张老师</w:t>
      </w:r>
      <w:r/>
    </w:p>
    <w:p>
      <w:pPr>
        <w:pStyle w:val="1019"/>
        <w:ind w:firstLine="480"/>
        <w:spacing w:line="520" w:lineRule="exact"/>
        <w:rPr>
          <w:rFonts w:hAnsi="宋体" w:eastAsia="宋体" w:cs="宋体"/>
          <w:color w:val="auto"/>
        </w:rPr>
      </w:pPr>
      <w:r>
        <w:rPr>
          <w:rFonts w:hint="eastAsia" w:hAnsi="宋体" w:eastAsia="宋体" w:cs="宋体"/>
          <w:color w:val="auto"/>
          <w:sz w:val="24"/>
          <w:szCs w:val="24"/>
        </w:rPr>
        <w:t xml:space="preserve">电　话：</w:t>
      </w:r>
      <w:r>
        <w:rPr>
          <w:rFonts w:hAnsi="宋体" w:eastAsia="宋体" w:cs="宋体"/>
          <w:color w:val="auto"/>
          <w:sz w:val="24"/>
          <w:szCs w:val="24"/>
        </w:rPr>
        <w:t xml:space="preserve">15600660105</w:t>
      </w:r>
      <w:r/>
    </w:p>
    <w:p>
      <w:pPr>
        <w:pStyle w:val="1019"/>
        <w:ind w:firstLine="520"/>
        <w:spacing w:line="520" w:lineRule="exact"/>
        <w:rPr>
          <w:rFonts w:hAnsi="宋体" w:eastAsia="宋体" w:cs="宋体"/>
          <w:color w:val="auto"/>
        </w:rPr>
      </w:pPr>
      <w:r>
        <w:rPr>
          <w:rFonts w:hAnsi="宋体" w:eastAsia="宋体" w:cs="宋体"/>
          <w:color w:val="auto"/>
        </w:rPr>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　</w:t>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jc w:val="center"/>
        <w:spacing w:line="360" w:lineRule="auto"/>
        <w:widowControl/>
        <w:rPr>
          <w:rFonts w:ascii="宋体" w:hAnsi="宋体" w:eastAsia="宋体" w:cs="宋体"/>
          <w:b/>
          <w:color w:val="auto"/>
          <w:spacing w:val="15"/>
          <w:sz w:val="32"/>
          <w:szCs w:val="32"/>
        </w:rPr>
      </w:pPr>
      <w:r>
        <w:rPr>
          <w:rFonts w:hint="eastAsia" w:ascii="宋体" w:hAnsi="宋体" w:eastAsia="宋体" w:cs="宋体"/>
          <w:b/>
          <w:color w:val="auto"/>
          <w:spacing w:val="15"/>
          <w:sz w:val="32"/>
          <w:szCs w:val="32"/>
        </w:rPr>
        <w:t xml:space="preserve">第二章 投标人须知</w:t>
      </w:r>
      <w:bookmarkEnd w:id="2"/>
      <w:r/>
      <w:bookmarkEnd w:id="3"/>
      <w:r/>
      <w:r/>
    </w:p>
    <w:p>
      <w:pPr>
        <w:ind w:right="840"/>
        <w:jc w:val="center"/>
        <w:spacing w:line="360" w:lineRule="auto"/>
        <w:widowControl/>
        <w:rPr>
          <w:rFonts w:ascii="宋体" w:hAnsi="宋体" w:eastAsia="宋体" w:cs="宋体"/>
          <w:b/>
          <w:color w:val="auto"/>
          <w:szCs w:val="22"/>
        </w:rPr>
      </w:pPr>
      <w:r>
        <w:rPr>
          <w:rFonts w:hint="eastAsia" w:ascii="宋体" w:hAnsi="宋体" w:eastAsia="宋体" w:cs="宋体"/>
          <w:b/>
          <w:color w:val="auto"/>
          <w:szCs w:val="22"/>
        </w:rPr>
        <w:t xml:space="preserve">    投标人须知前附表</w:t>
      </w:r>
      <w:r/>
    </w:p>
    <w:tbl>
      <w:tblPr>
        <w:tblStyle w:val="773"/>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633"/>
        <w:gridCol w:w="7395"/>
      </w:tblGrid>
      <w:tr>
        <w:trPr>
          <w:jc w:val="center"/>
          <w:trHeight w:val="570"/>
        </w:trPr>
        <w:tc>
          <w:tcPr>
            <w:tcW w:w="796" w:type="dxa"/>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633" w:type="dxa"/>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7395" w:type="dxa"/>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
                <w:bCs/>
                <w:color w:val="auto"/>
                <w:sz w:val="24"/>
                <w:szCs w:val="24"/>
              </w:rPr>
              <w:t xml:space="preserve">内容</w:t>
            </w:r>
            <w:r/>
          </w:p>
        </w:tc>
      </w:tr>
      <w:tr>
        <w:trPr>
          <w:jc w:val="center"/>
          <w:trHeight w:val="730"/>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兽用生物制品区域性检验实验室（华东）自动影像分析菌落计数仪等仪器设备采购项目</w:t>
            </w:r>
            <w:r/>
          </w:p>
        </w:tc>
      </w:tr>
      <w:tr>
        <w:trPr>
          <w:jc w:val="center"/>
          <w:trHeight w:val="5387"/>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招标内容</w:t>
            </w:r>
            <w:r/>
          </w:p>
        </w:tc>
        <w:tc>
          <w:tcPr>
            <w:tcW w:w="7395" w:type="dxa"/>
            <w:vAlign w:val="center"/>
            <w:textDirection w:val="lrTb"/>
            <w:noWrap w:val="false"/>
          </w:tcPr>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共聚焦显微镜等仪器设备采购，共分为五个采购包，具体要求详见招标文件。</w:t>
            </w:r>
            <w:r/>
          </w:p>
          <w:p>
            <w:pPr>
              <w:pStyle w:val="774"/>
              <w:ind w:left="0" w:firstLine="0"/>
            </w:pPr>
            <w:r>
              <mc:AlternateContent>
                <mc:Choice Requires="wpg">
                  <w:drawing>
                    <wp:inline xmlns:wp="http://schemas.openxmlformats.org/drawingml/2006/wordprocessingDrawing" distT="0" distB="0" distL="0" distR="0">
                      <wp:extent cx="4556125" cy="3134360"/>
                      <wp:effectExtent l="0" t="0" r="635" b="508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7"/>
                              <a:stretch/>
                            </pic:blipFill>
                            <pic:spPr bwMode="auto">
                              <a:xfrm>
                                <a:off x="0" y="0"/>
                                <a:ext cx="4556125" cy="3134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8.8pt;height:246.8pt;mso-wrap-distance-left:0.0pt;mso-wrap-distance-top:0.0pt;mso-wrap-distance-right:0.0pt;mso-wrap-distance-bottom:0.0pt;" stroked="f">
                      <v:path textboxrect="0,0,0,0"/>
                      <v:imagedata r:id="rId17" o:title=""/>
                    </v:shape>
                  </w:pict>
                </mc:Fallback>
              </mc:AlternateContent>
            </w:r>
            <w:r/>
          </w:p>
        </w:tc>
      </w:tr>
      <w:tr>
        <w:trPr>
          <w:jc w:val="center"/>
          <w:trHeight w:val="585"/>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服务期限</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合同签订后80日历天内完成供货、安装及调试。</w:t>
            </w:r>
            <w:r/>
          </w:p>
        </w:tc>
      </w:tr>
      <w:tr>
        <w:trPr>
          <w:jc w:val="center"/>
          <w:trHeight w:val="903"/>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最高投标限价</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最高投标限价总价为</w:t>
            </w:r>
            <w:r>
              <w:rPr>
                <w:rFonts w:hint="eastAsia" w:ascii="宋体" w:hAnsi="宋体" w:eastAsia="宋体" w:cs="宋体"/>
                <w:iCs/>
                <w:color w:val="auto"/>
                <w:sz w:val="24"/>
                <w:szCs w:val="24"/>
              </w:rPr>
              <w:t xml:space="preserve">902万元，各投标人的投标报价不得超过招标文件规定的最高投标限价，否则按无效投标文件处理。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合格投标人资格要求</w:t>
            </w:r>
            <w:r/>
          </w:p>
        </w:tc>
        <w:tc>
          <w:tcPr>
            <w:tcW w:w="7395" w:type="dxa"/>
            <w:vAlign w:val="center"/>
            <w:textDirection w:val="lrTb"/>
            <w:noWrap w:val="false"/>
          </w:tcPr>
          <w:p>
            <w:pPr>
              <w:widowControl/>
              <w:rPr>
                <w:rFonts w:ascii="宋体" w:hAnsi="宋体" w:eastAsia="宋体" w:cs="宋体"/>
                <w:color w:val="auto"/>
                <w:sz w:val="24"/>
                <w:szCs w:val="24"/>
              </w:rPr>
            </w:pPr>
            <w:r>
              <w:rPr>
                <w:rFonts w:hint="eastAsia" w:ascii="宋体" w:hAnsi="宋体" w:eastAsia="宋体" w:cs="宋体"/>
                <w:color w:val="auto"/>
                <w:sz w:val="24"/>
                <w:szCs w:val="24"/>
              </w:rPr>
              <w:t xml:space="preserve">详见招标公告</w:t>
            </w:r>
            <w:r/>
          </w:p>
        </w:tc>
      </w:tr>
      <w:tr>
        <w:trPr>
          <w:jc w:val="center"/>
          <w:trHeight w:val="441"/>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联合体投标</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不接受，招标文件中有关联合体的规定均不适用。</w:t>
            </w:r>
            <w:r/>
          </w:p>
        </w:tc>
      </w:tr>
      <w:tr>
        <w:trPr>
          <w:jc w:val="center"/>
          <w:trHeight w:val="645"/>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现场考察</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不组织，投标人如有需要，可自行考察现场。</w:t>
            </w:r>
            <w:r/>
          </w:p>
        </w:tc>
      </w:tr>
      <w:tr>
        <w:trPr>
          <w:jc w:val="center"/>
          <w:trHeight w:val="532"/>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投标答疑会</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不召开</w:t>
            </w:r>
            <w:r/>
          </w:p>
        </w:tc>
      </w:tr>
      <w:tr>
        <w:trPr>
          <w:jc w:val="center"/>
          <w:trHeight w:val="506"/>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投标货币</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人民币</w:t>
            </w:r>
            <w:r/>
          </w:p>
        </w:tc>
      </w:tr>
      <w:tr>
        <w:trPr>
          <w:jc w:val="center"/>
          <w:trHeight w:val="623"/>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合同方式</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固定总价合同</w:t>
            </w:r>
            <w:r/>
          </w:p>
        </w:tc>
      </w:tr>
      <w:tr>
        <w:trPr>
          <w:jc w:val="center"/>
          <w:trHeight w:val="655"/>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投标保证金</w:t>
            </w:r>
            <w:r/>
          </w:p>
        </w:tc>
        <w:tc>
          <w:tcPr>
            <w:tcW w:w="7395" w:type="dxa"/>
            <w:vAlign w:val="center"/>
            <w:textDirection w:val="lrTb"/>
            <w:noWrap w:val="false"/>
          </w:tcPr>
          <w:p>
            <w:pPr>
              <w:rPr>
                <w:rFonts w:ascii="宋体" w:hAnsi="宋体" w:eastAsia="宋体" w:cs="宋体"/>
                <w:b/>
                <w:bCs/>
                <w:color w:val="auto"/>
                <w:sz w:val="24"/>
                <w:szCs w:val="24"/>
              </w:rPr>
            </w:pPr>
            <w:r>
              <w:rPr>
                <w:rFonts w:hint="eastAsia" w:ascii="宋体" w:hAnsi="宋体" w:eastAsia="宋体" w:cs="宋体"/>
                <w:color w:val="auto"/>
                <w:sz w:val="24"/>
                <w:szCs w:val="24"/>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投标文件有效期</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u w:val="single"/>
              </w:rPr>
              <w:t xml:space="preserve"> 90 </w:t>
            </w:r>
            <w:r>
              <w:rPr>
                <w:rFonts w:hint="eastAsia" w:ascii="宋体" w:hAnsi="宋体" w:eastAsia="宋体" w:cs="宋体"/>
                <w:color w:val="auto"/>
                <w:sz w:val="24"/>
                <w:szCs w:val="24"/>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投标截止时间</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b/>
                <w:bCs/>
                <w:color w:val="auto"/>
                <w:sz w:val="24"/>
                <w:szCs w:val="24"/>
                <w:u w:val="single"/>
              </w:rPr>
              <w:t xml:space="preserve">2026 </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9</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30</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u w:val="single"/>
              </w:rPr>
              <w:t xml:space="preserve"> 9 </w:t>
            </w:r>
            <w:r>
              <w:rPr>
                <w:rFonts w:hint="eastAsia" w:ascii="宋体" w:hAnsi="宋体" w:eastAsia="宋体" w:cs="宋体"/>
                <w:b/>
                <w:bCs/>
                <w:color w:val="auto"/>
                <w:sz w:val="24"/>
                <w:szCs w:val="24"/>
              </w:rPr>
              <w:t xml:space="preserve">时</w:t>
            </w:r>
            <w:r>
              <w:rPr>
                <w:rFonts w:hint="eastAsia" w:ascii="宋体" w:hAnsi="宋体" w:eastAsia="宋体" w:cs="宋体"/>
                <w:b/>
                <w:bCs/>
                <w:color w:val="auto"/>
                <w:sz w:val="24"/>
                <w:szCs w:val="24"/>
                <w:u w:val="single"/>
              </w:rPr>
              <w:t xml:space="preserve"> 00 </w:t>
            </w:r>
            <w:r>
              <w:rPr>
                <w:rFonts w:hint="eastAsia" w:ascii="宋体" w:hAnsi="宋体" w:eastAsia="宋体" w:cs="宋体"/>
                <w:b/>
                <w:bCs/>
                <w:color w:val="auto"/>
                <w:sz w:val="24"/>
                <w:szCs w:val="24"/>
              </w:rPr>
              <w:t xml:space="preserve">分</w:t>
            </w:r>
            <w:r/>
          </w:p>
        </w:tc>
      </w:tr>
      <w:tr>
        <w:trPr>
          <w:cantSplit/>
          <w:jc w:val="center"/>
          <w:trHeight w:val="644"/>
        </w:trPr>
        <w:tc>
          <w:tcPr>
            <w:tcW w:w="796"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投标地点</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 </w:t>
            </w:r>
            <w:r/>
          </w:p>
        </w:tc>
      </w:tr>
      <w:tr>
        <w:trPr>
          <w:jc w:val="center"/>
          <w:trHeight w:val="836"/>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开标时间和地点</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b/>
                <w:bCs/>
                <w:color w:val="auto"/>
                <w:sz w:val="24"/>
                <w:szCs w:val="24"/>
                <w:u w:val="single"/>
              </w:rPr>
              <w:t xml:space="preserve">2026 </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9</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30</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u w:val="single"/>
              </w:rPr>
              <w:t xml:space="preserve"> 9 </w:t>
            </w:r>
            <w:r>
              <w:rPr>
                <w:rFonts w:hint="eastAsia" w:ascii="宋体" w:hAnsi="宋体" w:eastAsia="宋体" w:cs="宋体"/>
                <w:b/>
                <w:bCs/>
                <w:color w:val="auto"/>
                <w:sz w:val="24"/>
                <w:szCs w:val="24"/>
              </w:rPr>
              <w:t xml:space="preserve">时</w:t>
            </w:r>
            <w:r>
              <w:rPr>
                <w:rFonts w:hint="eastAsia" w:ascii="宋体" w:hAnsi="宋体" w:eastAsia="宋体" w:cs="宋体"/>
                <w:b/>
                <w:bCs/>
                <w:color w:val="auto"/>
                <w:sz w:val="24"/>
                <w:szCs w:val="24"/>
                <w:u w:val="single"/>
              </w:rPr>
              <w:t xml:space="preserve"> 00 </w:t>
            </w:r>
            <w:r>
              <w:rPr>
                <w:rFonts w:hint="eastAsia" w:ascii="宋体" w:hAnsi="宋体" w:eastAsia="宋体" w:cs="宋体"/>
                <w:b/>
                <w:bCs/>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 </w:t>
            </w:r>
            <w:r/>
          </w:p>
        </w:tc>
      </w:tr>
      <w:tr>
        <w:trPr>
          <w:jc w:val="center"/>
          <w:trHeight w:val="562"/>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评标办法</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综合评分法 </w:t>
            </w:r>
            <w:r>
              <w:rPr>
                <w:rFonts w:hint="eastAsia" w:ascii="宋体" w:hAnsi="宋体" w:eastAsia="宋体" w:cs="宋体"/>
                <w:color w:val="auto"/>
                <w:sz w:val="24"/>
                <w:szCs w:val="24"/>
                <w:u w:val="single"/>
              </w:rPr>
              <w:t xml:space="preserve">   </w:t>
            </w:r>
            <w:r/>
          </w:p>
        </w:tc>
      </w:tr>
      <w:tr>
        <w:trPr>
          <w:jc w:val="center"/>
          <w:trHeight w:val="578"/>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定标办法</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采购人根据评标委员会推荐的中标候选投标人顺序确定中标人。</w:t>
            </w:r>
            <w:r/>
          </w:p>
        </w:tc>
      </w:tr>
      <w:tr>
        <w:trPr>
          <w:jc w:val="center"/>
          <w:trHeight w:val="1472"/>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履约保证金</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金额：中标价的10%计取</w:t>
            </w:r>
            <w:r/>
          </w:p>
          <w:p>
            <w:pPr>
              <w:pStyle w:val="1008"/>
              <w:ind w:firstLine="0"/>
              <w:jc w:val="both"/>
              <w:rPr>
                <w:rFonts w:ascii="宋体" w:hAnsi="宋体" w:eastAsia="宋体" w:cs="宋体"/>
                <w:color w:val="auto"/>
                <w:szCs w:val="24"/>
              </w:rPr>
            </w:pPr>
            <w:r>
              <w:rPr>
                <w:rFonts w:hint="eastAsia" w:ascii="宋体" w:hAnsi="宋体" w:eastAsia="宋体" w:cs="宋体"/>
                <w:color w:val="auto"/>
                <w:szCs w:val="24"/>
              </w:rPr>
              <w:t xml:space="preserve">形式：</w:t>
            </w:r>
            <w:r>
              <w:rPr>
                <w:rFonts w:hint="eastAsia" w:ascii="宋体" w:hAnsi="宋体" w:eastAsia="宋体" w:cs="宋体"/>
                <w:color w:val="auto"/>
                <w:szCs w:val="24"/>
              </w:rPr>
              <w:t xml:space="preserve">电汇、转账、支票、汇票、本票、保函</w:t>
            </w:r>
            <w:r>
              <w:rPr>
                <w:rFonts w:hint="eastAsia" w:ascii="宋体" w:hAnsi="宋体" w:eastAsia="宋体" w:cs="宋体"/>
                <w:color w:val="auto"/>
                <w:szCs w:val="24"/>
              </w:rPr>
              <w:t xml:space="preserve">等非现金形式</w:t>
            </w:r>
            <w:r/>
          </w:p>
          <w:p>
            <w:pPr>
              <w:pStyle w:val="1008"/>
              <w:ind w:firstLine="0"/>
              <w:jc w:val="both"/>
              <w:rPr>
                <w:rFonts w:ascii="宋体" w:hAnsi="宋体" w:eastAsia="宋体" w:cs="宋体"/>
                <w:color w:val="auto"/>
                <w:szCs w:val="24"/>
              </w:rPr>
            </w:pPr>
            <w:r>
              <w:rPr>
                <w:rFonts w:hint="eastAsia" w:ascii="宋体" w:hAnsi="宋体" w:eastAsia="宋体" w:cs="宋体"/>
                <w:color w:val="auto"/>
                <w:szCs w:val="24"/>
              </w:rPr>
              <w:t xml:space="preserve">提交时间：收到中标通知书后5日内</w:t>
            </w:r>
            <w:r/>
          </w:p>
          <w:p>
            <w:pPr>
              <w:pStyle w:val="1008"/>
              <w:ind w:firstLine="0"/>
              <w:jc w:val="both"/>
              <w:rPr>
                <w:rFonts w:ascii="宋体" w:hAnsi="宋体" w:eastAsia="宋体" w:cs="宋体"/>
                <w:color w:val="auto"/>
                <w:szCs w:val="24"/>
              </w:rPr>
            </w:pPr>
            <w:r>
              <w:rPr>
                <w:rFonts w:hint="eastAsia" w:ascii="宋体" w:hAnsi="宋体" w:eastAsia="宋体" w:cs="宋体"/>
                <w:color w:val="auto"/>
                <w:szCs w:val="24"/>
              </w:rPr>
              <w:t xml:space="preserve">退还时间：全部供货、安装调试完成并经验收合格后退还（无息）</w:t>
            </w:r>
            <w:r/>
          </w:p>
        </w:tc>
      </w:tr>
      <w:tr>
        <w:trPr>
          <w:jc w:val="center"/>
          <w:trHeight w:val="882"/>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签订合同</w:t>
            </w:r>
            <w:r/>
          </w:p>
        </w:tc>
        <w:tc>
          <w:tcPr>
            <w:tcW w:w="7395"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中标通知书发出之日起</w:t>
            </w:r>
            <w:r>
              <w:rPr>
                <w:rFonts w:hint="eastAsia" w:ascii="宋体" w:hAnsi="宋体" w:eastAsia="宋体" w:cs="宋体"/>
                <w:color w:val="auto"/>
                <w:sz w:val="24"/>
                <w:szCs w:val="24"/>
                <w:u w:val="single"/>
              </w:rPr>
              <w:t xml:space="preserve"> 30 </w:t>
            </w:r>
            <w:r>
              <w:rPr>
                <w:rFonts w:hint="eastAsia" w:ascii="宋体" w:hAnsi="宋体" w:eastAsia="宋体" w:cs="宋体"/>
                <w:color w:val="auto"/>
                <w:sz w:val="24"/>
                <w:szCs w:val="24"/>
              </w:rPr>
              <w:t xml:space="preserve">日内</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签订合同地点：江苏农牧科技职业学院</w:t>
            </w:r>
            <w:r/>
          </w:p>
        </w:tc>
      </w:tr>
      <w:tr>
        <w:trPr>
          <w:jc w:val="center"/>
          <w:trHeight w:val="785"/>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19</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付款方式</w:t>
            </w:r>
            <w:r/>
          </w:p>
        </w:tc>
        <w:tc>
          <w:tcPr>
            <w:tcW w:w="7395" w:type="dxa"/>
            <w:vAlign w:val="center"/>
            <w:textDirection w:val="lrTb"/>
            <w:noWrap w:val="false"/>
          </w:tcPr>
          <w:p>
            <w:pPr>
              <w:pStyle w:val="1008"/>
              <w:rPr>
                <w:rFonts w:ascii="宋体" w:hAnsi="宋体" w:eastAsia="宋体" w:cs="宋体"/>
                <w:color w:val="auto"/>
                <w:szCs w:val="24"/>
              </w:rPr>
            </w:pPr>
            <w:r>
              <w:rPr>
                <w:rFonts w:hint="eastAsia" w:ascii="宋体" w:hAnsi="宋体" w:eastAsia="宋体" w:cs="宋体"/>
                <w:color w:val="auto"/>
                <w:szCs w:val="24"/>
              </w:rPr>
              <w:t xml:space="preserve">合同签订前，中标供应商须在收到中标通知书后5日内向采购人缴纳合同价款的10%履约保证金至采购人指定账户，货物送达、甲方查验无误30个工作日内，甲方向乙方支付合同总价款的30%；设备安装、调试，经甲乙双方共同验收合格并出具验收报告30个工作日内，甲方向乙方支付合同总价款的70%。同时退还履约保证金，上述付款均为无息。</w:t>
            </w:r>
            <w:r/>
          </w:p>
        </w:tc>
      </w:tr>
      <w:tr>
        <w:trPr>
          <w:jc w:val="center"/>
          <w:trHeight w:val="1127"/>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中标服务费</w:t>
            </w:r>
            <w:r/>
          </w:p>
        </w:tc>
        <w:tc>
          <w:tcPr>
            <w:tcW w:w="7395" w:type="dxa"/>
            <w:vAlign w:val="center"/>
            <w:textDirection w:val="lrTb"/>
            <w:noWrap w:val="false"/>
          </w:tcPr>
          <w:p>
            <w:pPr>
              <w:pStyle w:val="1008"/>
              <w:ind w:firstLine="0"/>
              <w:jc w:val="both"/>
              <w:rPr>
                <w:rFonts w:ascii="宋体" w:hAnsi="宋体" w:eastAsia="宋体" w:cs="宋体"/>
                <w:color w:val="auto"/>
                <w:szCs w:val="24"/>
              </w:rPr>
            </w:pPr>
            <w:r>
              <w:rPr>
                <w:rFonts w:hint="eastAsia" w:ascii="宋体" w:hAnsi="宋体" w:eastAsia="宋体" w:cs="宋体"/>
                <w:color w:val="auto"/>
                <w:szCs w:val="24"/>
              </w:rPr>
              <w:t xml:space="preserve">本项目招标代理服务费由中标单位支付。根据合同约定，招标代理服务费计算金额参照</w:t>
            </w:r>
            <w:r>
              <w:rPr>
                <w:rFonts w:hint="eastAsia" w:ascii="宋体" w:hAnsi="宋体" w:eastAsia="宋体" w:cs="宋体"/>
                <w:color w:val="auto"/>
                <w:szCs w:val="24"/>
                <w:lang w:val="en-US" w:eastAsia="zh-CN"/>
              </w:rPr>
              <w:t xml:space="preserve">下表</w:t>
            </w:r>
            <w:r>
              <w:rPr>
                <w:rFonts w:hint="eastAsia" w:ascii="宋体" w:hAnsi="宋体" w:eastAsia="宋体" w:cs="宋体"/>
                <w:color w:val="auto"/>
                <w:szCs w:val="24"/>
              </w:rPr>
              <w:t xml:space="preserve">规定的收费标准计取，计算基数为中标价，实收金额=计算金额×42.65%。</w:t>
            </w:r>
            <w:r/>
          </w:p>
          <w:tbl>
            <w:tblPr>
              <w:tblStyle w:val="807"/>
              <w:tblW w:w="71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4"/>
              <w:gridCol w:w="2280"/>
            </w:tblGrid>
            <w:tr>
              <w:trPr>
                <w:trHeight w:val="516"/>
              </w:trPr>
              <w:tc>
                <w:tcPr>
                  <w:tcW w:w="4874"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75"/>
                      <w:rFonts w:hint="eastAsia" w:asciiTheme="minorEastAsia" w:hAnsiTheme="minorEastAsia" w:eastAsiaTheme="minorEastAsia" w:cstheme="minorEastAsia"/>
                      <w:b/>
                      <w:color w:val="auto"/>
                      <w:sz w:val="24"/>
                      <w:szCs w:val="24"/>
                      <w:lang w:bidi="ar"/>
                    </w:rPr>
                    <w:t xml:space="preserve">中标或者成交金额</w:t>
                  </w:r>
                  <w:r/>
                </w:p>
              </w:tc>
              <w:tc>
                <w:tcPr>
                  <w:tcW w:w="2280"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75"/>
                      <w:rFonts w:hint="eastAsia" w:asciiTheme="minorEastAsia" w:hAnsiTheme="minorEastAsia" w:eastAsiaTheme="minorEastAsia" w:cstheme="minorEastAsia"/>
                      <w:b/>
                      <w:color w:val="auto"/>
                      <w:sz w:val="24"/>
                      <w:szCs w:val="24"/>
                      <w:lang w:bidi="ar"/>
                    </w:rPr>
                    <w:t xml:space="preserve">费率</w:t>
                  </w:r>
                  <w:r/>
                </w:p>
              </w:tc>
            </w:tr>
            <w:tr>
              <w:trPr/>
              <w:tc>
                <w:tcPr>
                  <w:tcW w:w="4874"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75"/>
                      <w:rFonts w:hint="eastAsia" w:asciiTheme="minorEastAsia" w:hAnsiTheme="minorEastAsia" w:eastAsiaTheme="minorEastAsia" w:cstheme="minorEastAsia"/>
                      <w:color w:val="auto"/>
                      <w:sz w:val="24"/>
                      <w:szCs w:val="24"/>
                      <w:lang w:bidi="ar"/>
                    </w:rPr>
                    <w:t xml:space="preserve">最低收费金额（100万元[不含]以下项目）</w:t>
                  </w:r>
                  <w:r/>
                </w:p>
              </w:tc>
              <w:tc>
                <w:tcPr>
                  <w:tcW w:w="2280"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75"/>
                      <w:rFonts w:hint="eastAsia" w:asciiTheme="minorEastAsia" w:hAnsiTheme="minorEastAsia" w:eastAsiaTheme="minorEastAsia" w:cstheme="minorEastAsia"/>
                      <w:color w:val="auto"/>
                      <w:sz w:val="24"/>
                      <w:szCs w:val="24"/>
                      <w:lang w:bidi="ar"/>
                    </w:rPr>
                    <w:t xml:space="preserve">5000元</w:t>
                  </w:r>
                  <w:r/>
                </w:p>
              </w:tc>
            </w:tr>
            <w:tr>
              <w:trPr/>
              <w:tc>
                <w:tcPr>
                  <w:tcW w:w="4874"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75"/>
                      <w:rFonts w:hint="eastAsia" w:asciiTheme="minorEastAsia" w:hAnsiTheme="minorEastAsia" w:eastAsiaTheme="minorEastAsia" w:cstheme="minorEastAsia"/>
                      <w:color w:val="auto"/>
                      <w:sz w:val="24"/>
                      <w:szCs w:val="24"/>
                      <w:lang w:eastAsia="zh-CN" w:bidi="ar"/>
                    </w:rPr>
                    <w:t xml:space="preserve">100万—400万</w:t>
                  </w:r>
                  <w:r>
                    <w:rPr>
                      <w:rStyle w:val="1075"/>
                      <w:rFonts w:hint="eastAsia" w:asciiTheme="minorEastAsia" w:hAnsiTheme="minorEastAsia" w:eastAsiaTheme="minorEastAsia" w:cstheme="minorEastAsia"/>
                      <w:color w:val="auto"/>
                      <w:sz w:val="24"/>
                      <w:szCs w:val="24"/>
                      <w:lang w:bidi="ar"/>
                    </w:rPr>
                    <w:t xml:space="preserve">元（含400万元）</w:t>
                  </w:r>
                  <w:r/>
                </w:p>
              </w:tc>
              <w:tc>
                <w:tcPr>
                  <w:tcW w:w="2280"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Fonts w:hint="eastAsia" w:asciiTheme="minorEastAsia" w:hAnsiTheme="minorEastAsia" w:eastAsiaTheme="minorEastAsia" w:cstheme="minorEastAsia"/>
                      <w:color w:val="auto"/>
                      <w:sz w:val="24"/>
                      <w:szCs w:val="24"/>
                      <w:lang w:bidi="ar"/>
                    </w:rPr>
                    <w:t xml:space="preserve">1.5%</w:t>
                  </w:r>
                  <w:r/>
                </w:p>
              </w:tc>
            </w:tr>
            <w:tr>
              <w:trPr/>
              <w:tc>
                <w:tcPr>
                  <w:tcW w:w="4874"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75"/>
                      <w:rFonts w:hint="eastAsia" w:asciiTheme="minorEastAsia" w:hAnsiTheme="minorEastAsia" w:eastAsiaTheme="minorEastAsia" w:cstheme="minorEastAsia"/>
                      <w:color w:val="auto"/>
                      <w:sz w:val="24"/>
                      <w:szCs w:val="24"/>
                      <w:lang w:eastAsia="zh-CN" w:bidi="ar"/>
                    </w:rPr>
                    <w:t xml:space="preserve">400万—1000万</w:t>
                  </w:r>
                  <w:r>
                    <w:rPr>
                      <w:rStyle w:val="1075"/>
                      <w:rFonts w:hint="eastAsia" w:asciiTheme="minorEastAsia" w:hAnsiTheme="minorEastAsia" w:eastAsiaTheme="minorEastAsia" w:cstheme="minorEastAsia"/>
                      <w:color w:val="auto"/>
                      <w:sz w:val="24"/>
                      <w:szCs w:val="24"/>
                      <w:lang w:bidi="ar"/>
                    </w:rPr>
                    <w:t xml:space="preserve">元（含1000万元）</w:t>
                  </w:r>
                  <w:r/>
                </w:p>
              </w:tc>
              <w:tc>
                <w:tcPr>
                  <w:tcW w:w="2280"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75"/>
                      <w:rFonts w:hint="eastAsia" w:asciiTheme="minorEastAsia" w:hAnsiTheme="minorEastAsia" w:eastAsiaTheme="minorEastAsia" w:cstheme="minorEastAsia"/>
                      <w:color w:val="auto"/>
                      <w:sz w:val="24"/>
                      <w:szCs w:val="24"/>
                      <w:lang w:bidi="ar"/>
                    </w:rPr>
                    <w:t xml:space="preserve">1.1%</w:t>
                  </w:r>
                  <w:r/>
                </w:p>
              </w:tc>
            </w:tr>
            <w:tr>
              <w:trPr/>
              <w:tc>
                <w:tcPr>
                  <w:tcW w:w="4874"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75"/>
                      <w:rFonts w:hint="eastAsia" w:asciiTheme="minorEastAsia" w:hAnsiTheme="minorEastAsia" w:eastAsiaTheme="minorEastAsia" w:cstheme="minorEastAsia"/>
                      <w:color w:val="auto"/>
                      <w:sz w:val="24"/>
                      <w:szCs w:val="24"/>
                      <w:lang w:eastAsia="zh-CN" w:bidi="ar"/>
                    </w:rPr>
                    <w:t xml:space="preserve">1000万—5000万</w:t>
                  </w:r>
                  <w:r>
                    <w:rPr>
                      <w:rStyle w:val="1075"/>
                      <w:rFonts w:hint="eastAsia" w:asciiTheme="minorEastAsia" w:hAnsiTheme="minorEastAsia" w:eastAsiaTheme="minorEastAsia" w:cstheme="minorEastAsia"/>
                      <w:color w:val="auto"/>
                      <w:sz w:val="24"/>
                      <w:szCs w:val="24"/>
                      <w:lang w:bidi="ar"/>
                    </w:rPr>
                    <w:t xml:space="preserve">元（含5000万元）</w:t>
                  </w:r>
                  <w:r/>
                </w:p>
              </w:tc>
              <w:tc>
                <w:tcPr>
                  <w:tcW w:w="2280" w:type="dxa"/>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color w:val="auto"/>
                      <w:sz w:val="28"/>
                      <w:szCs w:val="24"/>
                    </w:rPr>
                  </w:pPr>
                  <w:r>
                    <w:rPr>
                      <w:rStyle w:val="1075"/>
                      <w:rFonts w:hint="eastAsia" w:asciiTheme="minorEastAsia" w:hAnsiTheme="minorEastAsia" w:eastAsiaTheme="minorEastAsia" w:cstheme="minorEastAsia"/>
                      <w:color w:val="auto"/>
                      <w:sz w:val="24"/>
                      <w:szCs w:val="24"/>
                      <w:lang w:bidi="ar"/>
                    </w:rPr>
                    <w:t xml:space="preserve">0.8%</w:t>
                  </w:r>
                  <w:r/>
                </w:p>
              </w:tc>
            </w:tr>
          </w:tbl>
          <w:p>
            <w:pPr>
              <w:pStyle w:val="1008"/>
              <w:ind w:firstLine="0"/>
              <w:jc w:val="both"/>
              <w:rPr>
                <w:rFonts w:ascii="宋体" w:hAnsi="宋体" w:eastAsia="宋体" w:cs="宋体"/>
                <w:color w:val="auto"/>
                <w:szCs w:val="24"/>
              </w:rPr>
            </w:pPr>
            <w:r>
              <w:rPr>
                <w:rFonts w:hint="eastAsia" w:ascii="宋体" w:hAnsi="宋体" w:eastAsia="宋体" w:cs="宋体"/>
                <w:color w:val="auto"/>
                <w:szCs w:val="24"/>
              </w:rPr>
              <w:t xml:space="preserve">项目分采购包分别计算招标代理服务费，其中各包段代理费上限金额分别为采购包一6086元，采购包二3991元，采购包三2933元，采购包四1796元，采购包五3193元。各采购包招标代理服务费最终收费金额合计不超过18000元。</w:t>
            </w:r>
            <w:r/>
          </w:p>
        </w:tc>
      </w:tr>
      <w:tr>
        <w:trPr>
          <w:jc w:val="center"/>
          <w:trHeight w:val="845"/>
        </w:trPr>
        <w:tc>
          <w:tcPr>
            <w:tcW w:w="79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W w:w="163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其他</w:t>
            </w:r>
            <w:r/>
          </w:p>
        </w:tc>
        <w:tc>
          <w:tcPr>
            <w:tcW w:w="7395" w:type="dxa"/>
            <w:vAlign w:val="center"/>
            <w:textDirection w:val="lrTb"/>
            <w:noWrap w:val="false"/>
          </w:tcPr>
          <w:p>
            <w:pPr>
              <w:pStyle w:val="1008"/>
              <w:ind w:firstLine="0"/>
              <w:jc w:val="both"/>
              <w:rPr>
                <w:rFonts w:ascii="宋体" w:hAnsi="宋体" w:eastAsia="宋体" w:cs="宋体"/>
                <w:color w:val="auto"/>
                <w:szCs w:val="24"/>
              </w:rPr>
            </w:pPr>
            <w:r>
              <w:rPr>
                <w:rFonts w:hint="eastAsia" w:ascii="宋体" w:hAnsi="宋体" w:eastAsia="宋体" w:cs="宋体"/>
                <w:color w:val="auto"/>
                <w:szCs w:val="24"/>
              </w:rPr>
              <w:t xml:space="preserve">解释：本文件的解释权属于采购人（或代理机构）。</w:t>
            </w:r>
            <w:r/>
          </w:p>
        </w:tc>
      </w:tr>
    </w:tbl>
    <w:p>
      <w:pPr>
        <w:ind w:firstLine="482"/>
        <w:spacing w:line="52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一、说明和释义</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1.说明  </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1.1本招标文件仅适用于</w:t>
      </w:r>
      <w:r>
        <w:rPr>
          <w:rFonts w:hint="eastAsia" w:ascii="宋体" w:hAnsi="宋体" w:eastAsia="宋体" w:cs="宋体"/>
          <w:color w:val="auto"/>
          <w:szCs w:val="24"/>
          <w:u w:val="single"/>
        </w:rPr>
        <w:t xml:space="preserve">江苏建泰工程项目管理有限公司</w:t>
      </w:r>
      <w:r>
        <w:rPr>
          <w:rFonts w:hint="eastAsia" w:ascii="宋体" w:hAnsi="宋体" w:eastAsia="宋体" w:cs="宋体"/>
          <w:color w:val="auto"/>
          <w:szCs w:val="24"/>
        </w:rPr>
        <w:t xml:space="preserve">组织的招标活动。</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1.2本次招标活动及因本次招标产生的合同受中国法律制约和保护。</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1.3本招标文件的解释权属于采购人（或代理机构）。</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2.词语释义</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2.1采购人：指依法进行采购的国家机关、事业单位、团体组织。</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2.2供应商、投标人：指向采购人提供货物、工程或服务的法人、其他组织或者自然人，不包括其分公司。</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2.3采购代理机构：指依法接受采购人委托，从事货物、工程和服务等采购招标代理业务的社会中介机构。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2.4招标采购单位：采购人及采购代理机构的统称。</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2.6响应：投标人根据采购人或采购代理机构发售的招标文件，编制投标文件并按规定投标的行为。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2.7知识产权：指专利权、商标权、著作权等无形财产专有权的统称。</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2.8天：日历天。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2.9服务地点：合同中明确约定的乙方履行服务的最终地点。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2.10不可抗力：不能预见、不能避免并且不能克服的客观情况。</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2.11实质性响应：满足有关本次采购标的、数量、质量、价款或者报酬、履行期限、履行地点和方式、违约责任和解决争议方法等要求。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2.12书面形式：指书面文字、合同书、信件等可以有形地表现所载内容的形式。</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二、投标人</w:t>
      </w:r>
      <w:r/>
    </w:p>
    <w:p>
      <w:pPr>
        <w:ind w:firstLine="482"/>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3.合格投标人资格要求</w:t>
      </w:r>
      <w:r/>
    </w:p>
    <w:p>
      <w:pPr>
        <w:ind w:firstLine="488"/>
        <w:spacing w:line="480" w:lineRule="exact"/>
        <w:rPr>
          <w:rFonts w:ascii="宋体" w:hAnsi="宋体" w:eastAsia="宋体" w:cs="宋体"/>
          <w:color w:val="auto"/>
        </w:rPr>
      </w:pPr>
      <w:r>
        <w:rPr>
          <w:rFonts w:hint="eastAsia" w:ascii="宋体" w:hAnsi="宋体" w:eastAsia="宋体" w:cs="宋体"/>
          <w:color w:val="auto"/>
          <w:sz w:val="24"/>
          <w:szCs w:val="24"/>
        </w:rPr>
        <w:t xml:space="preserve">3.1详见招标公告。</w:t>
      </w:r>
      <w:r/>
    </w:p>
    <w:p>
      <w:pPr>
        <w:ind w:firstLine="482"/>
        <w:spacing w:line="520" w:lineRule="exact"/>
        <w:rPr>
          <w:rFonts w:ascii="宋体" w:hAnsi="宋体" w:eastAsia="宋体" w:cs="宋体"/>
          <w:bCs/>
          <w:color w:val="auto"/>
          <w:sz w:val="24"/>
          <w:szCs w:val="24"/>
        </w:rPr>
      </w:pPr>
      <w:r>
        <w:rPr>
          <w:rFonts w:hint="eastAsia" w:ascii="宋体" w:hAnsi="宋体" w:eastAsia="宋体" w:cs="宋体"/>
          <w:b/>
          <w:color w:val="auto"/>
          <w:sz w:val="24"/>
          <w:szCs w:val="24"/>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5.投标人代表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5.1指全权代表投标人参加投标活动并签署投标文件的人，如果投标人代表不是法人代表，须持有《法人代表授权委托书》（详见统一格式）。</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6.不接受联合体投标。</w:t>
      </w:r>
      <w:r/>
    </w:p>
    <w:p>
      <w:pPr>
        <w:ind w:firstLine="482"/>
        <w:spacing w:line="520" w:lineRule="exac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7.投标人有下列情形之一的不能参加本次投标：</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（1）因重大经济问题正在接受国家有关部门审查的；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（2）正在被其他企业兼并（或收购）或因重大经济纠纷正在进行诉讼或仲裁的；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（3）因腐败和欺诈行为而被有关部门处理的。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（4）被责令停业的； </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（5）被暂停或取消投标资格的； </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（6）财产被接管或冻结的；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（7）在最近三年内有骗取中标或严重违约或重大工程质量问题的；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（8）在投标过程中弄虚作假、行贿或有其他违法违规行为的；</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（9）违反法律法规相关规定的。</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三、招标文件说明</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8.招标文件</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9.现场考察 </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9.1不组织，投标人如有需要，可自行考察现场。</w:t>
      </w:r>
      <w:r/>
    </w:p>
    <w:p>
      <w:pPr>
        <w:ind w:firstLine="482"/>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10.招标文件的澄清和修改</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10.1投标人在购买招标文件后，若有问题需要询问和澄清，应于前附表规定的时间提出。</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10.2如需召开投标答疑会的，招标采购单位将按前附表规定的时间、地点召开招标答疑会。</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10.3迟于前附表规定时间的询问和提交的疑问，采购人和采购代理机构有权拒绝回答，也不承担由此带来的对投标人投标结果的影响。</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10.6招标文件的更正（含澄清、修改等）内容与原招标文件在同一内容上表述不一致时，以发出日期最接近开标时间的公告为准。</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10.7招标文件的更正（含澄清、修改等）内容将作为招标文件的组成部分，对投标人起约束作用。</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四、投标文件说明</w:t>
      </w:r>
      <w:r/>
    </w:p>
    <w:p>
      <w:pPr>
        <w:ind w:firstLine="482"/>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11.投标文件计量单位和使用文字</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11.1投标文件中所使用的计量单位，除招标文件中有特殊要求外，均应使用中华人民共和国法定计量单位。</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19"/>
        <w:ind w:firstLine="480"/>
        <w:spacing w:line="520" w:lineRule="exact"/>
        <w:rPr>
          <w:rFonts w:hAnsi="宋体" w:eastAsia="宋体" w:cs="宋体"/>
          <w:color w:val="auto"/>
          <w:sz w:val="24"/>
          <w:szCs w:val="24"/>
        </w:rPr>
      </w:pPr>
      <w:r>
        <w:rPr>
          <w:rFonts w:hint="eastAsia" w:hAnsi="宋体" w:eastAsia="宋体" w:cs="宋体"/>
          <w:color w:val="auto"/>
          <w:sz w:val="24"/>
          <w:szCs w:val="24"/>
        </w:rPr>
        <w:t xml:space="preserve">11.3投标人应当同时凭CA数字证书登录“江苏政府采购‘苏采云’系统”，并在投标截止时间前上传电子投标文件。</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w:t>
      </w:r>
      <w:bookmarkStart w:id="39" w:name="_Toc217446047"/>
      <w:r>
        <w:rPr>
          <w:rFonts w:hint="eastAsia" w:ascii="宋体" w:hAnsi="宋体" w:eastAsia="宋体" w:cs="宋体"/>
          <w:b/>
          <w:color w:val="auto"/>
          <w:sz w:val="24"/>
          <w:szCs w:val="24"/>
        </w:rPr>
        <w:t xml:space="preserve">2.知识产权</w:t>
      </w:r>
      <w:bookmarkEnd w:id="39"/>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13.投标文件的组成</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1.投标函</w:t>
      </w:r>
      <w:r>
        <w:rPr>
          <w:rFonts w:hint="eastAsia" w:ascii="宋体" w:hAnsi="宋体" w:eastAsia="宋体" w:cs="宋体"/>
          <w:b/>
          <w:bCs/>
          <w:color w:val="auto"/>
          <w:sz w:val="24"/>
          <w:szCs w:val="24"/>
        </w:rPr>
        <w:t xml:space="preserve">（格式见附件）</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2.资格、资信等证明文件：</w:t>
      </w:r>
      <w:r/>
    </w:p>
    <w:p>
      <w:pPr>
        <w:pStyle w:val="1115"/>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（1）关于资格的声明函</w:t>
      </w:r>
      <w:r>
        <w:rPr>
          <w:rFonts w:hint="eastAsia" w:ascii="宋体" w:hAnsi="宋体" w:eastAsia="宋体" w:cs="宋体"/>
          <w:b/>
          <w:bCs/>
          <w:color w:val="auto"/>
          <w:sz w:val="24"/>
          <w:szCs w:val="24"/>
        </w:rPr>
        <w:t xml:space="preserve">（格式见附件）</w:t>
      </w:r>
      <w:r>
        <w:rPr>
          <w:rFonts w:hint="eastAsia" w:ascii="宋体" w:hAnsi="宋体" w:eastAsia="宋体" w:cs="宋体"/>
          <w:color w:val="auto"/>
          <w:sz w:val="24"/>
          <w:szCs w:val="24"/>
        </w:rPr>
        <w:t xml:space="preserve">；</w:t>
      </w:r>
      <w:r/>
    </w:p>
    <w:p>
      <w:pPr>
        <w:pStyle w:val="1115"/>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（2）投标人法定代表人授权委托书（格式见附件，法定代表人亲自参加投标的提供法定代表人身份证扫描件）、投标人法定代表人授权代表身份证扫描件（法定代表人亲自参加投标的除外）；</w:t>
      </w:r>
      <w:r/>
    </w:p>
    <w:p>
      <w:pPr>
        <w:pStyle w:val="1115"/>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
          <w:bCs/>
          <w:color w:val="auto"/>
          <w:sz w:val="24"/>
          <w:szCs w:val="24"/>
        </w:rPr>
        <w:t xml:space="preserve">具有独立承担民事责任的能力：</w:t>
      </w:r>
      <w:r>
        <w:rPr>
          <w:rFonts w:hint="eastAsia" w:ascii="宋体" w:hAnsi="宋体" w:eastAsia="宋体" w:cs="宋体"/>
          <w:color w:val="auto"/>
          <w:sz w:val="24"/>
          <w:szCs w:val="24"/>
        </w:rPr>
        <w:t xml:space="preserve">法人或其他组织的营业执照或相关部门的登记证明文件扫描件； </w:t>
      </w:r>
      <w:r/>
    </w:p>
    <w:p>
      <w:pPr>
        <w:pStyle w:val="1115"/>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
          <w:bCs/>
          <w:color w:val="auto"/>
          <w:sz w:val="24"/>
          <w:szCs w:val="24"/>
        </w:rPr>
        <w:t xml:space="preserve">具有良好的商业信誉和健全的财务会计制度：</w:t>
      </w:r>
      <w:r>
        <w:rPr>
          <w:rFonts w:hint="eastAsia" w:ascii="宋体" w:hAnsi="宋体" w:eastAsia="宋体" w:cs="宋体"/>
          <w:color w:val="auto"/>
          <w:sz w:val="24"/>
          <w:szCs w:val="24"/>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115"/>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b/>
          <w:bCs/>
          <w:color w:val="auto"/>
          <w:sz w:val="24"/>
          <w:szCs w:val="24"/>
        </w:rPr>
        <w:t xml:space="preserve">有依法缴纳税收和社会保障资金的良好记录：</w:t>
      </w:r>
      <w:r>
        <w:rPr>
          <w:rFonts w:hint="eastAsia" w:ascii="宋体" w:hAnsi="宋体" w:eastAsia="宋体" w:cs="宋体"/>
          <w:color w:val="auto"/>
          <w:sz w:val="24"/>
          <w:szCs w:val="24"/>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115"/>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（6）具备履行合同所必需的设备和专业技术能力的书面声明</w:t>
      </w:r>
      <w:r>
        <w:rPr>
          <w:rFonts w:hint="eastAsia" w:ascii="宋体" w:hAnsi="宋体" w:eastAsia="宋体" w:cs="宋体"/>
          <w:b/>
          <w:bCs/>
          <w:color w:val="auto"/>
          <w:sz w:val="24"/>
          <w:szCs w:val="24"/>
        </w:rPr>
        <w:t xml:space="preserve">（格式自拟）</w:t>
      </w:r>
      <w:r>
        <w:rPr>
          <w:rFonts w:hint="eastAsia" w:ascii="宋体" w:hAnsi="宋体" w:eastAsia="宋体" w:cs="宋体"/>
          <w:color w:val="auto"/>
          <w:sz w:val="24"/>
          <w:szCs w:val="24"/>
        </w:rPr>
        <w:t xml:space="preserve">；</w:t>
      </w:r>
      <w:r/>
    </w:p>
    <w:p>
      <w:pPr>
        <w:pStyle w:val="1115"/>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（7）参加政府采购活动前3年内在经营活动中没有重大违法记录的书面声明</w:t>
      </w:r>
      <w:r>
        <w:rPr>
          <w:rFonts w:hint="eastAsia" w:ascii="宋体" w:hAnsi="宋体" w:eastAsia="宋体" w:cs="宋体"/>
          <w:b/>
          <w:bCs/>
          <w:color w:val="auto"/>
          <w:sz w:val="24"/>
          <w:szCs w:val="24"/>
        </w:rPr>
        <w:t xml:space="preserve">（格式见附件）</w:t>
      </w:r>
      <w:r>
        <w:rPr>
          <w:rFonts w:hint="eastAsia" w:ascii="宋体" w:hAnsi="宋体" w:eastAsia="宋体" w:cs="宋体"/>
          <w:color w:val="auto"/>
          <w:sz w:val="24"/>
          <w:szCs w:val="24"/>
        </w:rPr>
        <w:t xml:space="preserve">；</w:t>
      </w:r>
      <w:r/>
    </w:p>
    <w:p>
      <w:pPr>
        <w:pStyle w:val="1115"/>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rPr>
        <w:t xml:space="preserve">（</w:t>
      </w:r>
      <w:r>
        <w:rPr>
          <w:rFonts w:ascii="宋体" w:hAnsi="宋体" w:eastAsia="宋体" w:cs="宋体"/>
          <w:color w:val="auto"/>
          <w:sz w:val="24"/>
        </w:rPr>
        <w:t xml:space="preserve">8</w:t>
      </w:r>
      <w:r>
        <w:rPr>
          <w:rFonts w:hint="eastAsia" w:ascii="宋体" w:hAnsi="宋体" w:eastAsia="宋体" w:cs="宋体"/>
          <w:color w:val="auto"/>
          <w:sz w:val="24"/>
        </w:rPr>
        <w:t xml:space="preserve">）中小企业声明函或残疾人福利性单位声明函或监狱企业的证明资料（各投标人视情况自行决定是否提供）</w:t>
      </w:r>
      <w:r>
        <w:rPr>
          <w:rFonts w:hint="eastAsia" w:ascii="宋体" w:hAnsi="宋体" w:eastAsia="宋体" w:cs="宋体"/>
          <w:bCs/>
          <w:color w:val="auto"/>
          <w:sz w:val="24"/>
        </w:rPr>
        <w:t xml:space="preserve">（</w:t>
      </w:r>
      <w:r>
        <w:rPr>
          <w:rFonts w:hint="eastAsia" w:ascii="宋体" w:hAnsi="宋体" w:eastAsia="宋体" w:cs="宋体"/>
          <w:b/>
          <w:bCs/>
          <w:color w:val="auto"/>
          <w:sz w:val="24"/>
        </w:rPr>
        <w:t xml:space="preserve">格式见附件</w:t>
      </w:r>
      <w:r>
        <w:rPr>
          <w:rFonts w:hint="eastAsia" w:ascii="宋体" w:hAnsi="宋体" w:eastAsia="宋体" w:cs="宋体"/>
          <w:bCs/>
          <w:color w:val="auto"/>
          <w:sz w:val="24"/>
        </w:rPr>
        <w:t xml:space="preserve">）；</w:t>
      </w:r>
      <w:r/>
    </w:p>
    <w:p>
      <w:pPr>
        <w:pStyle w:val="1115"/>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9</w:t>
      </w:r>
      <w:r>
        <w:rPr>
          <w:rFonts w:hint="eastAsia" w:ascii="宋体" w:hAnsi="宋体" w:eastAsia="宋体" w:cs="宋体"/>
          <w:color w:val="auto"/>
          <w:sz w:val="24"/>
          <w:szCs w:val="24"/>
        </w:rPr>
        <w:t xml:space="preserve">）《关于符合本国产品标准的声明函》</w:t>
      </w:r>
      <w:r>
        <w:rPr>
          <w:rFonts w:hint="eastAsia" w:ascii="宋体" w:hAnsi="宋体" w:eastAsia="宋体" w:cs="宋体"/>
          <w:color w:val="auto"/>
          <w:sz w:val="24"/>
        </w:rPr>
        <w:t xml:space="preserve">（各投标人视情况自行决定是否提供）</w:t>
      </w:r>
      <w:r>
        <w:rPr>
          <w:rFonts w:hint="eastAsia" w:ascii="宋体" w:hAnsi="宋体" w:eastAsia="宋体" w:cs="宋体"/>
          <w:bCs/>
          <w:color w:val="auto"/>
          <w:sz w:val="24"/>
        </w:rPr>
        <w:t xml:space="preserve">（</w:t>
      </w:r>
      <w:r>
        <w:rPr>
          <w:rFonts w:hint="eastAsia" w:ascii="宋体" w:hAnsi="宋体" w:eastAsia="宋体" w:cs="宋体"/>
          <w:b/>
          <w:bCs/>
          <w:color w:val="auto"/>
          <w:sz w:val="24"/>
        </w:rPr>
        <w:t xml:space="preserve">格式见附件</w:t>
      </w:r>
      <w:r>
        <w:rPr>
          <w:rFonts w:hint="eastAsia" w:ascii="宋体" w:hAnsi="宋体" w:eastAsia="宋体" w:cs="宋体"/>
          <w:bCs/>
          <w:color w:val="auto"/>
          <w:sz w:val="24"/>
        </w:rPr>
        <w:t xml:space="preserve">）</w:t>
      </w:r>
      <w:r>
        <w:rPr>
          <w:rFonts w:hint="eastAsia" w:ascii="宋体" w:hAnsi="宋体" w:eastAsia="宋体" w:cs="宋体"/>
          <w:color w:val="auto"/>
          <w:sz w:val="24"/>
          <w:szCs w:val="24"/>
        </w:rPr>
        <w:t xml:space="preserve">；</w:t>
      </w:r>
      <w:r/>
    </w:p>
    <w:p>
      <w:pPr>
        <w:pStyle w:val="1115"/>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）承诺书（格式见附件）。</w:t>
      </w:r>
      <w:r/>
    </w:p>
    <w:p>
      <w:pPr>
        <w:pStyle w:val="1115"/>
        <w:numPr>
          <w:ilvl w:val="1"/>
          <w:numId w:val="0"/>
        </w:numPr>
        <w:ind w:firstLine="480"/>
        <w:spacing w:line="520" w:lineRule="exact"/>
        <w:tabs>
          <w:tab w:val="left" w:pos="127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3.开标一览表（格式见附件）</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4.投标报价明细表（格式见附件）</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5.商务偏离表（格式见附件）</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6.技术偏离表（格式见附件）</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7.评分标准中对应的其他所需证明材料（如有自行添加）</w:t>
      </w:r>
      <w:r/>
    </w:p>
    <w:p>
      <w:pPr>
        <w:ind w:firstLine="480"/>
        <w:spacing w:line="520" w:lineRule="exact"/>
        <w:tabs>
          <w:tab w:val="left" w:pos="525" w:leader="none"/>
          <w:tab w:val="left" w:pos="94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8.其他（投标人认为有必要提供的声明和文件，如有自拟并自行添加）</w:t>
      </w:r>
      <w:r/>
    </w:p>
    <w:p>
      <w:pPr>
        <w:ind w:firstLine="480"/>
        <w:spacing w:line="520" w:lineRule="exact"/>
        <w:tabs>
          <w:tab w:val="left" w:pos="2850" w:leader="none"/>
          <w:tab w:val="center" w:pos="4153" w:leader="none"/>
        </w:tabs>
        <w:rPr>
          <w:rFonts w:ascii="宋体" w:hAnsi="宋体" w:eastAsia="宋体" w:cs="宋体"/>
          <w:b/>
          <w:color w:val="auto"/>
          <w:sz w:val="24"/>
          <w:u w:val="single"/>
        </w:rPr>
      </w:pPr>
      <w:r>
        <w:rPr>
          <w:rFonts w:hint="eastAsia" w:ascii="宋体" w:hAnsi="宋体" w:eastAsia="宋体" w:cs="宋体"/>
          <w:color w:val="auto"/>
          <w:sz w:val="24"/>
          <w:szCs w:val="24"/>
        </w:rPr>
        <w:t xml:space="preserve">上述1-6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14.投标文件编制及递交要求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14.1所有文件、往来函件均应使用简体中文（规格、型号辅助符号例外）。</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14.3如无特别说明，投标人报价一律以人民币为投标结算货币，结算单位为“元”。</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14.4投标文件不应有涂改、增删和潦草之处，如有必须修改时，修改处必须有投标人盖章、法定代表人或法定代表人授权代表的签字。</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14.5投标费用自理。</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14.6投标人应当同时凭CA数字证书登录“江苏政府采购‘苏采云’系统”，并在投标截止时间前上传电子投标文件。</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15.投标报价（编制）要求的说明</w:t>
      </w:r>
      <w:r/>
    </w:p>
    <w:p>
      <w:pPr>
        <w:pStyle w:val="1008"/>
        <w:ind w:firstLine="480"/>
        <w:jc w:val="both"/>
        <w:spacing w:line="520" w:lineRule="exact"/>
        <w:rPr>
          <w:rFonts w:ascii="宋体" w:hAnsi="宋体" w:eastAsia="宋体" w:cs="宋体"/>
          <w:b/>
          <w:bCs/>
          <w:color w:val="auto"/>
          <w:szCs w:val="24"/>
        </w:rPr>
      </w:pPr>
      <w:r>
        <w:rPr>
          <w:rFonts w:hint="eastAsia" w:ascii="宋体" w:hAnsi="宋体" w:eastAsia="宋体" w:cs="宋体"/>
          <w:color w:val="auto"/>
          <w:szCs w:val="24"/>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他项目费、规费、税金、有关文件规定的政策性调价等以及各种可能发生的风险费用以及招标文件约定的其他各项费用。</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15.2投标人应对招标文件内所要采购的全部内容进行报价，只投其中部分内容者，其标书将被拒绝。</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15.3一项投标内容只允许一个报价，采购单位不接受任何有选择性的投标报价。</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15.4投标文件报价中的单价和总价全部采用人民币表示，除非合同的特殊条款另有规定。</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16.投标保证金</w:t>
      </w:r>
      <w:r/>
    </w:p>
    <w:p>
      <w:pPr>
        <w:pStyle w:val="997"/>
        <w:ind w:firstLine="480"/>
        <w:keepLines w:val="0"/>
        <w:keepNext w:val="0"/>
        <w:spacing w:before="0" w:after="0" w:line="520" w:lineRule="exact"/>
        <w:rPr>
          <w:rFonts w:ascii="宋体" w:hAnsi="宋体" w:eastAsia="宋体" w:cs="宋体"/>
          <w:b w:val="0"/>
          <w:bCs w:val="0"/>
          <w:color w:val="auto"/>
          <w:sz w:val="24"/>
          <w:szCs w:val="24"/>
        </w:rPr>
        <w:outlineLvl w:val="9"/>
      </w:pPr>
      <w:r>
        <w:rPr>
          <w:rFonts w:hint="eastAsia" w:ascii="宋体" w:hAnsi="宋体" w:eastAsia="宋体" w:cs="宋体"/>
          <w:b w:val="0"/>
          <w:bCs w:val="0"/>
          <w:color w:val="auto"/>
          <w:sz w:val="24"/>
          <w:szCs w:val="24"/>
        </w:rPr>
        <w:t xml:space="preserve">依据苏财购</w:t>
      </w:r>
      <w:r>
        <w:rPr>
          <w:rFonts w:hint="eastAsia" w:ascii="宋体" w:hAnsi="宋体" w:eastAsia="宋体" w:cs="宋体"/>
          <w:color w:val="auto"/>
          <w:sz w:val="24"/>
          <w:szCs w:val="24"/>
        </w:rPr>
        <w:t xml:space="preserve">〔2020〕</w:t>
      </w:r>
      <w:r>
        <w:rPr>
          <w:rFonts w:hint="eastAsia" w:ascii="宋体" w:hAnsi="宋体" w:eastAsia="宋体" w:cs="宋体"/>
          <w:b w:val="0"/>
          <w:bCs w:val="0"/>
          <w:color w:val="auto"/>
          <w:sz w:val="24"/>
          <w:szCs w:val="24"/>
        </w:rPr>
        <w:t xml:space="preserve">52号文件精神，本项目免收投标保证金。 </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17.投标文件的有效期</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18.投标文件的拒收</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采购人拒绝接收在其规定的投标截止时间后上传的任何投标文件。</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五、投标文件的递交</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19.投标文件的递交</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19.1电子投标文件的递交</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20.投标截止日期</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21.投标文件的修改和撤回</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21.1投标文件的撤回</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21.2 投标文件的修改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21.3在投标截止时间之后，投标人不得对其电子投标文件作任何修改。</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六、开标和评标</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22.开标</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22.5开标时，投标文件中开标一览表内容与投标文件中明细表内容不一致的，以开标一览表为准。</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22.6投标人未参加开标的，视同认可开标结果。</w:t>
      </w:r>
      <w:r/>
    </w:p>
    <w:p>
      <w:pPr>
        <w:ind w:firstLine="482"/>
        <w:spacing w:line="520" w:lineRule="exact"/>
        <w:tabs>
          <w:tab w:val="center" w:pos="4479"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23.评标委员会</w:t>
      </w:r>
      <w:r>
        <w:rPr>
          <w:rFonts w:hint="eastAsia" w:ascii="宋体" w:hAnsi="宋体" w:eastAsia="宋体" w:cs="宋体"/>
          <w:b/>
          <w:color w:val="auto"/>
          <w:sz w:val="24"/>
          <w:szCs w:val="24"/>
        </w:rPr>
        <w:tab/>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23.1评标委员会由招标采购单位依法组建，负责本项目的评标事务。</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23.2评标委员会应当独立履行下列职责：</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23.2.1审查投标文件是否符合招标文件的要求，并作出评价；</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23.2.2可以要求投标供应商对投标文件有关事项作出解释或澄清；</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23.2.3推荐中标候选供应商名单，或者受采购人委托按照事先确定的办法直接确定中标供应商；</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23.2.4向招标采购单位或者有关部门报告非法干预评标工作的行为。</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23.3评标委员会成员应当履行下列义务：</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23.3.1遵纪守法，客观、公正、廉洁地履行职责；</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23.3.2按照招标文件规定的评标办法和评标标准进行评标，对评审意见承担个人责任；</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23.3.3对评标过程和结果，以及投标人的商业秘密保密；</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23.3.4参与评标报告的起草；</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23.3.5配合相关部门的投诉处理工作；</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23.3.6配合招标采购单位答复投标供应商提出的质疑。</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24.评标内容的保密</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24.1公开开标后，直到宣布授予中标人合同为止，凡属于审查、澄清、评价和比较投标的所有资料，有关授予合同的信息都不应向投标人或与评标无关的其他人泄露。</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24.2在投标文件的审查、澄清、评价和比较以及授予合同的过程中，投标人对招标采购单位和评标委员会成员施加影响的任何行为，都将取消其投标资格。</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24.3在评标期间，招标采购单位将通过指定联络人与投标人进行联系。</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25.对投标文件进行初审</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25.1投标文件初审分为资格性检查和符合性检查。</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ascii="宋体" w:hAnsi="宋体" w:eastAsia="宋体" w:cs="宋体"/>
          <w:b/>
          <w:color w:val="auto"/>
          <w:sz w:val="24"/>
          <w:szCs w:val="24"/>
        </w:rPr>
      </w:pPr>
      <w:r>
        <w:rPr>
          <w:rFonts w:hint="eastAsia" w:ascii="宋体" w:hAnsi="宋体" w:eastAsia="宋体" w:cs="宋体"/>
          <w:color w:val="auto"/>
          <w:sz w:val="24"/>
          <w:szCs w:val="24"/>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25.2开标后，评标委员会将审查投标文件是否实质性响应招标文件的要求、内容是否完整、价格构成有无计算错误、文件签署是否齐全等。投标文件属下列情况之一的，评标委员会将按无效投标处理：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投标人有下列情况之一的，投标文件无效：</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（1）投标人未在规定时间内成功解密电子投标文件的；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（2）投标人未按照招标文件要求上传电子投标文件的；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（3）投标文件未按照招标文件要求加盖电子签章或签署的；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（4）投标人的法定代表人授权代表，无法定代表人授权委托书的；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（5）不具备招标文件中规定的资格要求或未按招标文件规定的要求提供资格、资信证明文件的；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（6）被“信用中国”网站（www.creditchina.gov.cn）列入失信被执行人、重大税收违法案件当事人名单、政府采购严重违法失信行为记录名单的；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（7）投标文件未按招标文件规定的内容和要求填写的；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（8）投标文件中有招标文件未允许提供的选择性内容的；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（9）不同投标人的投标文件由同一单位或者个人编制的；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bookmarkStart w:id="40" w:name="_Hlk193034237"/>
      <w:r>
        <w:rPr>
          <w:rFonts w:hint="eastAsia" w:ascii="宋体" w:hAnsi="宋体" w:eastAsia="宋体" w:cs="宋体"/>
          <w:color w:val="auto"/>
          <w:sz w:val="24"/>
          <w:szCs w:val="24"/>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（11）</w:t>
      </w:r>
      <w:bookmarkStart w:id="42" w:name="OLE_LINK10"/>
      <w:r>
        <w:rPr>
          <w:rFonts w:hint="eastAsia" w:ascii="宋体" w:hAnsi="宋体" w:eastAsia="宋体" w:cs="宋体"/>
          <w:color w:val="auto"/>
          <w:sz w:val="24"/>
          <w:szCs w:val="24"/>
        </w:rPr>
        <w:t xml:space="preserve">不同的投标人响应文件制作的MAC地址一致的；</w:t>
      </w:r>
      <w:bookmarkEnd w:id="42"/>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（12）不同投标人的投标文件载明的项目管理成员或者联系人员为同一人的；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（13）不同投标人的投标文件异常一致或者投标报价呈规律性差异的；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（14）不同投标人的单位负责人为同一人或者存在直接控股、管理关系的；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（15）项目（采购包）投标总价或单价超过本项目（采购包）预算金额或最高限价的；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（16）不同投标人的履约保证金从同一单位或者个人账户转出的、购买履约保证保险单的费用从同一单位转出或由同一个人账户支付的；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（17）投标文件含有采购人不能接受的附加条件的；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（19）除单一来源采购项目外，为采购项目提供整体设计、规范编制或者项目管理、监理、检测等服务的；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（20）投标文件内容不全或不符合招标文件中规定的其他实质性要求的；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（21）改变招标文件中规定的暂列金额、专业工程暂估价的；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（22）改变或者遗漏工程量清单中给出的项目编码、项目名称、项目特征、计量单位、工程量的；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（23）提供虚假材料的；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（24）法律法规和招标文件规定的其他无效情形。</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25.4招标采购单位对投标文件的判定，只依据投标内容本身，不依靠开标后的任何外来证明。</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25.5招标采购单位将拒绝被确定为非实质性响应的投标，投标人不能通过修正或撤销不符之处而使其投标成为实质性响应的投标。</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26.投标文件的澄清</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26.1对投标文件中含义不明确、</w:t>
      </w:r>
      <w:r>
        <w:rPr>
          <w:rFonts w:hint="eastAsia" w:ascii="宋体" w:hAnsi="宋体" w:eastAsia="宋体" w:cs="宋体"/>
          <w:color w:val="auto"/>
          <w:szCs w:val="24"/>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27.废标</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27.1 在招标采购中，出现下列情形之一的，应予废标：</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1.符合专业条件的投标人或者对招标文件作出实质性响应的投标人不足三家；</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2.出现影响采购公正的违法、违规行为；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3.投标人的报价均超过采购预算，采购人不能支付的；</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4.因重大变故，采购任务取消；</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5.因“江苏政府采购‘苏采云’系统”系统重大故障原因无法继续开评标的。</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28.投标文件的评价和比较</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28.1评标委员会按招标文件规定的评标方法和标准，对符合性检查合格的投标文件进行商务和技术评估，综合比较与评价。</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28.2最低的投标报价或最高的折扣比例是中标的重要条件，但不是唯一条件。</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28.3</w:t>
      </w:r>
      <w:r>
        <w:rPr>
          <w:rFonts w:hint="eastAsia" w:ascii="宋体" w:hAnsi="宋体" w:eastAsia="宋体" w:cs="宋体"/>
          <w:b/>
          <w:bCs/>
          <w:color w:val="auto"/>
          <w:szCs w:val="24"/>
        </w:rPr>
        <w:t xml:space="preserve">相同品牌产品的投标</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非单一产品采购项目，采购人应当根据采购项目技术构成、产品价格比重等合理确定核心产品，并在招标文件中载明。多家投标人提供的</w:t>
      </w:r>
      <w:r>
        <w:rPr>
          <w:rFonts w:hint="eastAsia" w:ascii="宋体" w:hAnsi="宋体" w:eastAsia="宋体" w:cs="宋体"/>
          <w:b/>
          <w:bCs/>
          <w:color w:val="auto"/>
          <w:szCs w:val="24"/>
        </w:rPr>
        <w:t xml:space="preserve">核心产品</w:t>
      </w:r>
      <w:r>
        <w:rPr>
          <w:rFonts w:hint="eastAsia" w:ascii="宋体" w:hAnsi="宋体" w:eastAsia="宋体" w:cs="宋体"/>
          <w:color w:val="auto"/>
          <w:szCs w:val="24"/>
        </w:rPr>
        <w:t xml:space="preserve">品牌相同的，按前两款规定处理。</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29.质疑处理</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29.1 提出质疑的投标人应当是参与所质疑项目采购活动的供应商。潜在供应商依法获取其可质疑的采购文件的，可以对采购文件提出质疑。</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29.2.1对可以质疑的采购文件提出质疑的，为收到采购文件之日或者采购文件公告期限届满之日；</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29.2.2对采购过程提出质疑的，为各采购程序环节结束之日；</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29.2.3对中标结果提出质疑的，为中标结果公告期限届满之日。</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29.4采购人及采购代理机构只接受以纸质原件形式送达的质疑。质疑接收人及联系方式见招标文件第一章。</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 以下情形的质疑不予受理</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29.5.1内容不符合《政府采购质疑和投诉办法》第十二条规定的质疑。</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29.5.2超出政府采购法定期限的质疑。</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29.5.3以传真、电子邮件等方式递交的非原件形式的质疑。</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29.5.4未参加投标活动的供应商或在投标活动中自身权益未受到损害的供应商所提出的质疑。</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29.5.5供应商组成联合体参加投标，联合体中任何一方或多方未按要求签字、盖章、加盖公章的质疑。</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七、授予合同</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30.中标人的确认</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30.2中标无效的确认：</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（1）提供虚假材料谋取中标的；</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（2）采取不正当手段诋毁、排挤其他投标人的；</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（3）与招标采购单位、其他投标人恶意串通的；</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（4）向招标采购单位行贿或者提供其他不正当利益的；</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（5）在招标过程中与招标采购单位进行协商谈判、不按照招标文件和中标供应商的投标文件订立合同，或者与采购人另行订立背离合同实质性内容的协议的；</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（6）拒绝有关部门监督检查或者提供虚假情况的。</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30.3经评标委员</w:t>
      </w:r>
      <w:r>
        <w:rPr>
          <w:rFonts w:hint="eastAsia" w:ascii="宋体" w:hAnsi="宋体" w:eastAsia="宋体" w:cs="宋体"/>
          <w:color w:val="auto"/>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31.合同授予标准</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31.1招标采购单位将把合同授予其投标文件在实质上响应招标文件要求且综合评分得分最高的投标人。</w:t>
      </w:r>
      <w:r/>
    </w:p>
    <w:p>
      <w:pPr>
        <w:ind w:firstLine="482"/>
        <w:spacing w:line="5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32.中标通知书</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32.2中标通知书将成为合同的组成部分。</w:t>
      </w:r>
      <w:r/>
    </w:p>
    <w:p>
      <w:pPr>
        <w:pStyle w:val="1008"/>
        <w:ind w:firstLine="480"/>
        <w:jc w:val="both"/>
        <w:spacing w:line="520" w:lineRule="exact"/>
        <w:rPr>
          <w:rFonts w:ascii="宋体" w:hAnsi="宋体" w:eastAsia="宋体" w:cs="宋体"/>
          <w:color w:val="auto"/>
          <w:szCs w:val="24"/>
        </w:rPr>
      </w:pPr>
      <w:r>
        <w:rPr>
          <w:rFonts w:hint="eastAsia" w:ascii="宋体" w:hAnsi="宋体" w:eastAsia="宋体" w:cs="宋体"/>
          <w:color w:val="auto"/>
          <w:szCs w:val="24"/>
        </w:rPr>
        <w:t xml:space="preserve">32.3招标采购单位对未中标供应商不承担解释未中标原因的义务。</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33.履约保证金</w:t>
      </w:r>
      <w:r/>
    </w:p>
    <w:p>
      <w:pPr>
        <w:pStyle w:val="1008"/>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33.1中标人应按规定提交履约保证金。</w:t>
      </w:r>
      <w:r/>
    </w:p>
    <w:p>
      <w:pPr>
        <w:pStyle w:val="1008"/>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33.2中标人必须在合同签订前按规定向采购人缴纳履约保证金。中标人未按招标文件要求提交履约保证金的，采购人可取消其中标资格。</w:t>
      </w:r>
      <w:r/>
    </w:p>
    <w:p>
      <w:pPr>
        <w:pStyle w:val="1008"/>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33.3履约保证金（无息）将在合同期结束且经双方验收合格后无息退还给中标单位。</w:t>
      </w:r>
      <w:r/>
    </w:p>
    <w:p>
      <w:pPr>
        <w:ind w:firstLine="480"/>
        <w:spacing w:line="500" w:lineRule="exact"/>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33.3履约保证金用以约束供应商在合同履行中的行为，弥补合同执行中由于自身行为可能给采购人带来的各种损失。</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34.合同的签订</w:t>
      </w:r>
      <w:r/>
    </w:p>
    <w:p>
      <w:pPr>
        <w:pStyle w:val="1008"/>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34.1中标人应按中标通知书中规定的时间和地点，由法定代表人或委托代理人与采购人代表签订合同。</w:t>
      </w:r>
      <w:r/>
    </w:p>
    <w:p>
      <w:pPr>
        <w:pStyle w:val="1008"/>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34.2签订合同及合同条款应以招标文件和中标人的投标文件及其澄清文件为依据。</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35.政府采购政策</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（1）小微型企业价格扣除</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①本项目对小型和微型企业给予10%的扣除价格，用扣除后的价格参与评审。</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②供应商需按照采购文件的要求提供相应的《企业声明函》。</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③在货物采购项目中，供应商提供的货物既有中小企业制造货物，也有大型企业制造货物的，不享受本办法规定的中小企业扶持政策。</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（2）残疾人福利单位价格扣除</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①本项目对残疾人福利性单位视同小型、微型企业，给予10%的价格扣除，用扣除后的价格参与评审。</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②残疾人福利单位需按照采购文件的要求提供《残疾人福利性单位声明函》。</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③残疾人福利单位标准请参照《关于促进残疾人就业政府采购政策的通知》（财库〔2017〕141号）。</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（3）监狱和戒毒企业价格扣除</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①本项目对监狱和戒毒企业（简称监狱企业）视同小型、微型企业，给予10%的价格扣除，用扣除后的价格参与评审。</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③监狱企业标准请参照《关于政府采购支持监狱企业发展有关问题的通知》（财库〔2014〕68号）。</w:t>
      </w:r>
      <w:r/>
    </w:p>
    <w:p>
      <w:pPr>
        <w:ind w:firstLine="480"/>
        <w:spacing w:line="500" w:lineRule="exact"/>
        <w:tabs>
          <w:tab w:val="left" w:pos="2850" w:leader="none"/>
          <w:tab w:val="center" w:pos="4153" w:leader="none"/>
        </w:tabs>
        <w:rPr>
          <w:rFonts w:ascii="宋体" w:hAnsi="宋体" w:eastAsia="宋体" w:cs="宋体"/>
          <w:color w:val="auto"/>
          <w:sz w:val="24"/>
          <w:lang w:bidi="ar"/>
        </w:rPr>
      </w:pPr>
      <w:r>
        <w:rPr>
          <w:rFonts w:hint="eastAsia" w:ascii="宋体" w:hAnsi="宋体" w:eastAsia="宋体" w:cs="宋体"/>
          <w:color w:val="auto"/>
          <w:sz w:val="24"/>
          <w:lang w:bidi="ar"/>
        </w:rPr>
        <w:t xml:space="preserve">（4）残疾人福利单位、监狱企业属于小型、微型企业的，不重复享受政策。</w:t>
      </w:r>
      <w:r/>
    </w:p>
    <w:p>
      <w:pPr>
        <w:pStyle w:val="1008"/>
        <w:ind w:firstLine="482"/>
        <w:jc w:val="both"/>
        <w:spacing w:line="500" w:lineRule="exact"/>
        <w:rPr>
          <w:rFonts w:ascii="宋体" w:hAnsi="宋体" w:eastAsia="宋体" w:cs="宋体"/>
          <w:b/>
          <w:bCs/>
          <w:color w:val="auto"/>
        </w:rPr>
      </w:pPr>
      <w:r>
        <w:rPr>
          <w:rFonts w:hint="eastAsia" w:ascii="宋体" w:hAnsi="宋体" w:eastAsia="宋体" w:cs="宋体"/>
          <w:b/>
          <w:bCs/>
          <w:color w:val="auto"/>
          <w:szCs w:val="24"/>
        </w:rPr>
        <w:t xml:space="preserve">35.3本项目所属行业为</w:t>
      </w:r>
      <w:r>
        <w:rPr>
          <w:rFonts w:hint="eastAsia" w:ascii="宋体" w:hAnsi="宋体" w:eastAsia="宋体" w:cs="宋体"/>
          <w:b/>
          <w:bCs/>
          <w:color w:val="auto"/>
          <w:szCs w:val="24"/>
          <w:u w:val="single"/>
        </w:rPr>
        <w:t xml:space="preserve">  工业  </w:t>
      </w:r>
      <w:r>
        <w:rPr>
          <w:rFonts w:hint="eastAsia" w:ascii="宋体" w:hAnsi="宋体" w:eastAsia="宋体" w:cs="宋体"/>
          <w:b/>
          <w:bCs/>
          <w:color w:val="auto"/>
          <w:szCs w:val="24"/>
        </w:rPr>
        <w:t xml:space="preserve">。</w:t>
      </w:r>
      <w:r/>
    </w:p>
    <w:p>
      <w:pPr>
        <w:pStyle w:val="1008"/>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35.4若供应商提供的《中小企业声明函》《残疾人福利性单位声明函》及监狱企业认定证明等材料为虚假材料，按《中华人民共和国政府采购法》相关规定处理并报请政府采购监管部门给予行政处罚。</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35.5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35.6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w:t>
      </w:r>
      <w:r/>
    </w:p>
    <w:p>
      <w:pPr>
        <w:ind w:firstLine="480"/>
        <w:spacing w:line="520" w:lineRule="exact"/>
        <w:rPr>
          <w:color w:val="auto"/>
        </w:rPr>
      </w:pPr>
      <w:r>
        <w:rPr>
          <w:rFonts w:hint="eastAsia" w:ascii="宋体" w:hAnsi="宋体" w:eastAsia="宋体" w:cs="宋体"/>
          <w:color w:val="auto"/>
          <w:sz w:val="24"/>
          <w:szCs w:val="24"/>
        </w:rPr>
        <w:t xml:space="preserve">35.7根据《商品包装政府采购需求标准（试行）》、《快递包装政府采购需求标准（试行）》的通知（财办库〔2020〕123号）要求，商品使用的塑料、纸质、木材等包装需达到环保要求。</w:t>
      </w:r>
      <w:r/>
    </w:p>
    <w:p>
      <w:pPr>
        <w:ind w:firstLine="482"/>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36.采购本国产品的支持政策</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36.3本项目政府采购活动中既有本国产品又有非本国产品参与竞争的，依法对本国产品给予价格评审优惠，对本国产品的报价给予20%的价格扣除，用扣除后的价格参与评审。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36.5供应商需按照招标文件的要求提供《关于符合本国产品标准的声明函》（以下简称《声明函》），如不提供将不享受本国产品价格评审优惠。</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37.特别提醒</w:t>
      </w:r>
      <w:r/>
    </w:p>
    <w:p>
      <w:pPr>
        <w:pStyle w:val="1008"/>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37.1投标单位如有提供不实评审材料，弄虚作假者，一律作废标处理，该不良行为将予以公示。</w:t>
      </w:r>
      <w:r/>
    </w:p>
    <w:p>
      <w:pPr>
        <w:pStyle w:val="1008"/>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37.2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1008"/>
        <w:ind w:firstLine="480"/>
        <w:jc w:val="both"/>
        <w:spacing w:line="500" w:lineRule="exact"/>
        <w:rPr>
          <w:rFonts w:ascii="宋体" w:hAnsi="宋体" w:eastAsia="宋体" w:cs="宋体"/>
          <w:color w:val="auto"/>
          <w:szCs w:val="24"/>
        </w:rPr>
      </w:pPr>
      <w:r>
        <w:rPr>
          <w:rFonts w:hint="eastAsia" w:ascii="宋体" w:hAnsi="宋体" w:eastAsia="宋体" w:cs="宋体"/>
          <w:color w:val="auto"/>
          <w:szCs w:val="24"/>
        </w:rPr>
        <w:t xml:space="preserve">37.3投标文件中需签字或盖章处均可以用电子签名或电子章代替。</w:t>
      </w:r>
      <w:r/>
    </w:p>
    <w:p>
      <w:pPr>
        <w:pStyle w:val="1008"/>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1008"/>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1008"/>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1008"/>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1008"/>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1008"/>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1008"/>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1008"/>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1008"/>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1008"/>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pStyle w:val="1008"/>
        <w:ind w:firstLine="431"/>
        <w:jc w:val="both"/>
        <w:spacing w:line="360" w:lineRule="auto"/>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rPr>
          <w:rFonts w:ascii="宋体" w:hAnsi="宋体" w:eastAsia="宋体" w:cs="宋体"/>
          <w:color w:val="auto"/>
          <w:szCs w:val="24"/>
        </w:rPr>
      </w:pPr>
      <w:r>
        <w:rPr>
          <w:rFonts w:ascii="宋体" w:hAnsi="宋体" w:eastAsia="宋体" w:cs="宋体"/>
          <w:color w:val="auto"/>
          <w:szCs w:val="24"/>
        </w:rPr>
      </w:r>
      <w:r/>
    </w:p>
    <w:p>
      <w:pPr>
        <w:jc w:val="center"/>
        <w:spacing w:line="360" w:lineRule="auto"/>
        <w:widowControl/>
        <w:rPr>
          <w:rFonts w:ascii="宋体" w:hAnsi="宋体" w:eastAsia="宋体" w:cs="宋体"/>
          <w:b/>
          <w:color w:val="auto"/>
          <w:spacing w:val="15"/>
          <w:sz w:val="32"/>
          <w:szCs w:val="32"/>
        </w:rPr>
      </w:pPr>
      <w:r/>
      <w:bookmarkStart w:id="44" w:name="_Toc388026586"/>
      <w:r>
        <w:rPr>
          <w:rFonts w:hint="eastAsia" w:ascii="宋体" w:hAnsi="宋体" w:eastAsia="宋体" w:cs="宋体"/>
          <w:b/>
          <w:color w:val="auto"/>
          <w:spacing w:val="15"/>
          <w:sz w:val="32"/>
          <w:szCs w:val="32"/>
        </w:rPr>
        <w:t xml:space="preserve">第三章 采购需求</w:t>
      </w:r>
      <w:bookmarkStart w:id="45" w:name="OLE_LINK29"/>
      <w:r/>
      <w:r/>
    </w:p>
    <w:p>
      <w:pP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一、采购需求</w:t>
      </w:r>
      <w:r/>
    </w:p>
    <w:p>
      <w:pPr>
        <w:spacing w:line="440" w:lineRule="exact"/>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采购包一、共聚焦显微镜等仪器设备采购清单</w:t>
      </w:r>
      <w:r/>
    </w:p>
    <w:tbl>
      <w:tblPr>
        <w:tblStyle w:val="773"/>
        <w:tblW w:w="9582" w:type="dxa"/>
        <w:jc w:val="center"/>
        <w:tblLayout w:type="fixed"/>
        <w:tblCellMar>
          <w:left w:w="108" w:type="dxa"/>
          <w:top w:w="0" w:type="dxa"/>
          <w:right w:w="108" w:type="dxa"/>
          <w:bottom w:w="0" w:type="dxa"/>
        </w:tblCellMar>
        <w:tblLook w:val="04A0" w:firstRow="1" w:lastRow="0" w:firstColumn="1" w:lastColumn="0" w:noHBand="0" w:noVBand="1"/>
      </w:tblPr>
      <w:tblGrid>
        <w:gridCol w:w="1177"/>
        <w:gridCol w:w="2441"/>
        <w:gridCol w:w="1472"/>
        <w:gridCol w:w="1515"/>
        <w:gridCol w:w="1625"/>
        <w:gridCol w:w="1352"/>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1177" w:type="dxa"/>
            <w:vAlign w:val="center"/>
            <w:vMerge w:val="restart"/>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2441" w:type="dxa"/>
            <w:vAlign w:val="center"/>
            <w:vMerge w:val="restart"/>
            <w:textDirection w:val="lrTb"/>
            <w:noWrap w:val="false"/>
          </w:tcPr>
          <w:p>
            <w:pPr>
              <w:jc w:val="lef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1472"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预算</w:t>
            </w:r>
            <w:r/>
          </w:p>
        </w:tc>
        <w:tc>
          <w:tcPr>
            <w:shd w:val="clear" w:color="000000" w:fill="ffffff"/>
            <w:tcBorders>
              <w:top w:val="single" w:color="auto" w:sz="4" w:space="0"/>
              <w:left w:val="none" w:color="000000" w:sz="4" w:space="0"/>
              <w:right w:val="single" w:color="auto" w:sz="4" w:space="0"/>
            </w:tcBorders>
            <w:tcW w:w="1625" w:type="dxa"/>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是否接受进口产品</w:t>
            </w:r>
            <w:r/>
          </w:p>
        </w:tc>
        <w:tc>
          <w:tcPr>
            <w:shd w:val="clear" w:color="000000" w:fill="ffffff"/>
            <w:tcBorders>
              <w:top w:val="single" w:color="auto" w:sz="4" w:space="0"/>
              <w:left w:val="none" w:color="000000" w:sz="4" w:space="0"/>
              <w:right w:val="single" w:color="auto" w:sz="4" w:space="0"/>
            </w:tcBorders>
            <w:tcW w:w="1352"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是否</w:t>
            </w:r>
            <w:r>
              <w:rPr>
                <w:rFonts w:ascii="宋体" w:hAnsi="宋体" w:eastAsia="宋体" w:cs="宋体"/>
                <w:color w:val="auto"/>
                <w:sz w:val="24"/>
                <w:szCs w:val="24"/>
              </w:rPr>
              <w:t xml:space="preserve">为</w:t>
            </w:r>
            <w:r>
              <w:rPr>
                <w:rFonts w:hint="eastAsia" w:ascii="宋体" w:hAnsi="宋体" w:eastAsia="宋体" w:cs="宋体"/>
                <w:color w:val="auto"/>
                <w:sz w:val="24"/>
                <w:szCs w:val="24"/>
              </w:rPr>
              <w:t xml:space="preserve">核心产品</w:t>
            </w:r>
            <w:r/>
          </w:p>
        </w:tc>
      </w:tr>
      <w:tr>
        <w:trPr>
          <w:jc w:val="center"/>
          <w:trHeight w:val="278"/>
        </w:trPr>
        <w:tc>
          <w:tcPr>
            <w:tcBorders>
              <w:top w:val="single" w:color="auto" w:sz="4" w:space="0"/>
              <w:left w:val="single" w:color="auto" w:sz="4" w:space="0"/>
              <w:bottom w:val="single" w:color="auto" w:sz="4" w:space="0"/>
              <w:right w:val="single" w:color="auto" w:sz="4" w:space="0"/>
            </w:tcBorders>
            <w:tcW w:w="1177" w:type="dxa"/>
            <w:vAlign w:val="center"/>
            <w:vMerge w:val="continue"/>
            <w:textDirection w:val="lrTb"/>
            <w:noWrap w:val="false"/>
          </w:tcPr>
          <w:p>
            <w:pPr>
              <w:jc w:val="left"/>
              <w:widowControl/>
              <w:rPr>
                <w:rFonts w:ascii="宋体" w:hAnsi="宋体" w:eastAsia="宋体" w:cs="宋体"/>
                <w:b/>
                <w:bCs/>
                <w:color w:val="auto"/>
                <w:sz w:val="24"/>
                <w:szCs w:val="24"/>
              </w:rPr>
            </w:pPr>
            <w:r>
              <w:rPr>
                <w:rFonts w:ascii="宋体" w:hAnsi="宋体" w:eastAsia="宋体" w:cs="宋体"/>
                <w:b/>
                <w:bCs/>
                <w:color w:val="auto"/>
                <w:sz w:val="24"/>
                <w:szCs w:val="24"/>
              </w:rPr>
            </w:r>
            <w:r/>
          </w:p>
        </w:tc>
        <w:tc>
          <w:tcPr>
            <w:tcBorders>
              <w:top w:val="single" w:color="auto" w:sz="4" w:space="0"/>
              <w:left w:val="single" w:color="auto" w:sz="4" w:space="0"/>
              <w:bottom w:val="single" w:color="auto" w:sz="4" w:space="0"/>
              <w:right w:val="single" w:color="auto" w:sz="4" w:space="0"/>
            </w:tcBorders>
            <w:tcW w:w="2441" w:type="dxa"/>
            <w:vAlign w:val="center"/>
            <w:vMerge w:val="continue"/>
            <w:textDirection w:val="lrTb"/>
            <w:noWrap w:val="false"/>
          </w:tcPr>
          <w:p>
            <w:pPr>
              <w:jc w:val="left"/>
              <w:widowControl/>
              <w:rPr>
                <w:rFonts w:ascii="宋体" w:hAnsi="宋体" w:eastAsia="宋体" w:cs="宋体"/>
                <w:b/>
                <w:bCs/>
                <w:color w:val="auto"/>
                <w:sz w:val="24"/>
                <w:szCs w:val="24"/>
              </w:rPr>
            </w:pPr>
            <w:r>
              <w:rPr>
                <w:rFonts w:ascii="宋体" w:hAnsi="宋体" w:eastAsia="宋体" w:cs="宋体"/>
                <w:b/>
                <w:bCs/>
                <w:color w:val="auto"/>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1515"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（万元）</w:t>
            </w:r>
            <w:r/>
          </w:p>
        </w:tc>
        <w:tc>
          <w:tcPr>
            <w:shd w:val="clear" w:color="000000" w:fill="ffffff"/>
            <w:tcBorders>
              <w:left w:val="none" w:color="000000" w:sz="4" w:space="0"/>
              <w:bottom w:val="single" w:color="auto" w:sz="4" w:space="0"/>
              <w:right w:val="single" w:color="auto" w:sz="4" w:space="0"/>
            </w:tcBorders>
            <w:tcW w:w="1625" w:type="dxa"/>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shd w:val="clear" w:color="000000" w:fill="ffffff"/>
            <w:tcBorders>
              <w:left w:val="none" w:color="000000" w:sz="4" w:space="0"/>
              <w:bottom w:val="single" w:color="auto" w:sz="4" w:space="0"/>
              <w:right w:val="single" w:color="auto" w:sz="4" w:space="0"/>
            </w:tcBorders>
            <w:tcW w:w="1352"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278"/>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441"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rPr>
              <w:t xml:space="preserve">共聚焦显微镜</w:t>
            </w:r>
            <w:r/>
          </w:p>
        </w:tc>
        <w:tc>
          <w:tcPr>
            <w:shd w:val="clear" w:color="000000"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515" w:type="dxa"/>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260</w:t>
            </w:r>
            <w:r/>
          </w:p>
        </w:tc>
        <w:tc>
          <w:tcPr>
            <w:shd w:val="clear" w:color="000000" w:fill="ffffff"/>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c>
          <w:tcPr>
            <w:shd w:val="clear" w:color="000000" w:fill="ffffff"/>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single" w:color="auto" w:sz="4" w:space="0"/>
              <w:bottom w:val="single" w:color="auto" w:sz="4" w:space="0"/>
              <w:right w:val="single" w:color="auto" w:sz="4" w:space="0"/>
            </w:tcBorders>
            <w:tcW w:w="2441"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电位纳米粒度仪</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515" w:type="dxa"/>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c>
          <w:tcPr>
            <w:shd w:val="clear" w:color="000000" w:fill="ffffff"/>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jc w:val="center"/>
          <w:trHeight w:val="278"/>
        </w:trPr>
        <w:tc>
          <w:tcPr>
            <w:gridSpan w:val="2"/>
            <w:tcBorders>
              <w:top w:val="single" w:color="auto" w:sz="4" w:space="0"/>
              <w:left w:val="single" w:color="auto" w:sz="4" w:space="0"/>
              <w:bottom w:val="single" w:color="auto" w:sz="4" w:space="0"/>
              <w:right w:val="single" w:color="000000" w:sz="4" w:space="0"/>
            </w:tcBorders>
            <w:tcW w:w="3618"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305</w:t>
            </w:r>
            <w:r/>
          </w:p>
        </w:tc>
        <w:tc>
          <w:tcPr>
            <w:tcBorders>
              <w:top w:val="none" w:color="000000" w:sz="4" w:space="0"/>
              <w:left w:val="none" w:color="000000" w:sz="4" w:space="0"/>
              <w:bottom w:val="single" w:color="auto" w:sz="4" w:space="0"/>
              <w:right w:val="single" w:color="auto" w:sz="4" w:space="0"/>
            </w:tcBorders>
            <w:tcW w:w="1625" w:type="dxa"/>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352" w:type="dxa"/>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bl>
    <w:p>
      <w:pPr>
        <w:spacing w:line="360" w:lineRule="auto"/>
        <w:tabs>
          <w:tab w:val="left" w:pos="540" w:leader="none"/>
        </w:tabs>
        <w:rPr>
          <w:rFonts w:ascii="宋体" w:hAnsi="宋体" w:eastAsia="宋体" w:cs="宋体"/>
          <w:b/>
          <w:color w:val="auto"/>
          <w:sz w:val="24"/>
          <w:szCs w:val="24"/>
        </w:rPr>
      </w:pPr>
      <w:r>
        <w:rPr>
          <w:rFonts w:ascii="宋体" w:hAnsi="宋体" w:eastAsia="宋体" w:cs="宋体"/>
          <w:b/>
          <w:color w:val="auto"/>
          <w:sz w:val="24"/>
          <w:szCs w:val="24"/>
        </w:rPr>
      </w:r>
      <w:r/>
    </w:p>
    <w:p>
      <w:pPr>
        <w:spacing w:line="360" w:lineRule="auto"/>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采购包一主要技术参数</w:t>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（一）共聚焦显微镜</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1.固体激光器405 nm、445 nm，并配备连续波长白激光器，波长范围485-790 nm；或者长寿命固体激光器套组：固态激光器405 nm、488 nm、561 nm、640 nm，每支激光的额定功率≥15 mw。</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2.软件可以直接调节所有激光器开关以及强度，并具有实验中≥30 min未使用时自动进入关闭状态功能。激光器功率最小调节精度≤0.01%。</w:t>
      </w:r>
      <w:r/>
    </w:p>
    <w:p>
      <w:pPr>
        <w:spacing w:line="360" w:lineRule="auto"/>
        <w:widowControl/>
        <w:rPr>
          <w:rFonts w:ascii="宋体" w:hAnsi="宋体" w:eastAsia="宋体" w:cs="宋体"/>
          <w:bCs/>
          <w:color w:val="auto"/>
          <w:sz w:val="24"/>
          <w:szCs w:val="24"/>
        </w:rPr>
      </w:pPr>
      <w:r/>
      <w:bookmarkStart w:id="46" w:name="_Hlk233728641"/>
      <w:r>
        <w:rPr>
          <w:rFonts w:hint="eastAsia" w:ascii="宋体" w:hAnsi="宋体" w:eastAsia="宋体" w:cs="宋体"/>
          <w:b/>
          <w:bCs/>
          <w:color w:val="auto"/>
          <w:sz w:val="24"/>
          <w:szCs w:val="24"/>
        </w:rPr>
        <w:t xml:space="preserve">★</w:t>
      </w:r>
      <w:bookmarkEnd w:id="46"/>
      <w:r>
        <w:rPr>
          <w:rFonts w:hint="eastAsia" w:ascii="宋体" w:hAnsi="宋体" w:eastAsia="宋体" w:cs="宋体"/>
          <w:bCs/>
          <w:color w:val="auto"/>
          <w:sz w:val="24"/>
          <w:szCs w:val="24"/>
        </w:rPr>
        <w:t xml:space="preserve">3.要求激光扫描组件与所接显微镜一体化设计，一体化像差及色差校正，以保证高质量，高分辨率成像。软件可对硬件有效控制，使系统具有优异的稳定性及可维护性（需提供光路设计图及仪器实物图证明）。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4.检测器数量：光谱型荧光检测器≥3个，透射光检测器≥1个，扫描分辨率≥4096×4096像素。</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▲5.光谱分光：利用棱镜分光或光栅分光，光谱检测范围精度≤1.5nm，调节精度≤1.5 nm（需提供制造商彩页及软件操作界面截图证明）。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6.共聚焦针孔采用圆形、多边形针孔设计或复消色差校正设计，调节范围不低于0-8 AU；主分光镜：采用≤1</w:t>
      </w:r>
      <w:r>
        <w:rPr>
          <w:rFonts w:ascii="宋体" w:hAnsi="宋体" w:eastAsia="宋体" w:cs="宋体"/>
          <w:bCs/>
          <w:color w:val="auto"/>
          <w:sz w:val="24"/>
          <w:szCs w:val="24"/>
        </w:rPr>
        <w:t xml:space="preserve">5</w:t>
      </w:r>
      <w:r>
        <w:rPr>
          <w:rFonts w:hint="eastAsia" w:ascii="宋体" w:hAnsi="宋体" w:eastAsia="宋体" w:cs="宋体"/>
          <w:bCs/>
          <w:color w:val="auto"/>
          <w:sz w:val="24"/>
          <w:szCs w:val="24"/>
        </w:rPr>
        <w:t xml:space="preserve">°小角度入射技术，提升背景激光压制效率。</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▲7.扫描振镜，X、Y方向独立扫描，振镜数量≤2个，减少激发荧光信号的折射损失（需提供制造商彩页及仪器光路图证明）。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8.在所有扫描方式下，均可以进行单向和双向扫描操作，均可以实时同步进行扫描线的方向、360°旋转，同时可以变倍以及移动扫描区域的中心。旋转、变倍、移动中心均可以实时（扫描过程中）进行（需提供制造商彩页及软件截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9.系统可以基于荧光寿命信息去除样品自发荧光，提高图像反差，或者通过光谱扫描等方式去除自发荧光，实现样本信号的真实提取。</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▲10.扫描光学变倍：最大变倍系数≥20×同时最小变倍扫描系数≤0.8×，且变倍连续可调（需提供制造商彩页及软件操作界面截图证明）。</w:t>
      </w:r>
      <w:r/>
    </w:p>
    <w:p>
      <w:pPr>
        <w:spacing w:line="360" w:lineRule="auto"/>
        <w:widowControl/>
        <w:rPr>
          <w:rFonts w:ascii="宋体" w:hAnsi="宋体" w:eastAsia="宋体" w:cs="宋体"/>
          <w:bCs/>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bCs/>
          <w:color w:val="auto"/>
          <w:sz w:val="24"/>
          <w:szCs w:val="24"/>
        </w:rPr>
        <w:t xml:space="preserve">11.硬件超高分辨率系统，实现XY方向分辨率≤90 nm，可多通道同时成像（需提供制造商彩页证明）。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12.超高分辨成像可以使用激光器波段适用的任何染料，可在所有配置的激发波段实现。</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▲13.超高分辨成像深度，在XY分辨率≤90nm，成像深度等同于常规共聚焦模式下检测深度，可实时出图并保存原始数据（需提供制造商彩页及软件操作界面截图证明）。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14.研究型电动倒置荧光显微镜，镜体电动Z轴调焦，最小步进≤15nm，显微镜控制可通过彩色触摸屏、机身按钮、共聚焦软件来控制，目镜：10×，视场数≥22mm。  </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▲15.全电动扫描载物台，行程≥125 mm×100mm，最大速度≥50mm/s，具有独立的控制器及操控手柄。</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16.荧光附件：≥5位电动滤色镜转盘，自动荧光强度管理系统，含带通紫外激发单色滤块、带通蓝色激发单色滤块、带通绿色激发单色滤块和长寿命荧光光源，人机工程学设计，更适合肉眼观察；显微镜透射光源：长寿命高强度LED光源。</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17.</w:t>
      </w:r>
      <w:r>
        <w:rPr>
          <w:rFonts w:hint="eastAsia"/>
          <w:color w:val="auto"/>
        </w:rPr>
        <w:t xml:space="preserve"> </w:t>
      </w:r>
      <w:r>
        <w:rPr>
          <w:rFonts w:ascii="宋体" w:hAnsi="宋体" w:eastAsia="宋体" w:cs="宋体"/>
          <w:bCs/>
          <w:color w:val="auto"/>
          <w:sz w:val="24"/>
          <w:szCs w:val="24"/>
        </w:rPr>
        <w:t xml:space="preserve">同品牌多功能长工作距离</w:t>
      </w:r>
      <w:r>
        <w:rPr>
          <w:rFonts w:hint="eastAsia" w:ascii="宋体" w:hAnsi="宋体" w:eastAsia="宋体" w:cs="宋体"/>
          <w:bCs/>
          <w:color w:val="auto"/>
          <w:sz w:val="24"/>
          <w:szCs w:val="24"/>
        </w:rPr>
        <w:t xml:space="preserve">聚光镜，NA≥0.55，工作距离≥26 mm。（需提供有标注的聚光镜实物拍摄照片）。</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18.配备6颗物镜：5×干镜，数值孔径≥0.16；10×干镜，数值孔径≥0.45；20×干镜，数值孔径≥0.8；40×干镜，数值孔径≥0.95；60×或63×油镜，数值孔径≥1.4；100×油镜，数值孔径≥1.4（需提供官网物镜数值孔径描述截图证明）。</w:t>
      </w:r>
      <w:r/>
    </w:p>
    <w:p>
      <w:pPr>
        <w:spacing w:line="360" w:lineRule="auto"/>
        <w:widowControl/>
        <w:rPr>
          <w:rFonts w:ascii="宋体" w:hAnsi="宋体" w:eastAsia="宋体" w:cs="宋体"/>
          <w:bCs/>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bCs/>
          <w:color w:val="auto"/>
          <w:sz w:val="24"/>
          <w:szCs w:val="24"/>
        </w:rPr>
        <w:t xml:space="preserve">19.40×物镜，在满足数值孔径≥0.95的情况下同时满足工作距离≥250微米；（需提供官网物镜工作距离描述截图及链接及物镜实物图证明）。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▲20.60×或63×油镜，在满足数值孔径≥1.4的情况下同时满足工作距离≥170微米（需提供官网物镜工作距离描述截图及链接及物镜实物图证明）。</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21.配有专业共聚焦显微镜系统防震装置。</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22.图像采集工作站能够实现以下功能：</w:t>
      </w:r>
      <w:r/>
    </w:p>
    <w:p>
      <w:pP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）图像采集功能：时间序列、景深扩展、自动聚焦、三维采集、深度补偿、大视野拼图、多点采集、聚焦地形图策略、阴影校正、同步数据处理、数据导入导出、裁剪扫描以及FRAP / FRET图像数据采集功能。</w:t>
      </w:r>
      <w:r/>
    </w:p>
    <w:p>
      <w:pP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）三维图像处理功能：3D和4D图像渲染，至少有3种渲染方式并可进行不同渲染方式的结合；可实现三维空间的距离和角度测量；自定义式的3D和4D视频制作与导出。</w:t>
      </w:r>
      <w:r/>
    </w:p>
    <w:p>
      <w:pP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3</w:t>
      </w:r>
      <w:r>
        <w:rPr>
          <w:rFonts w:hint="eastAsia" w:ascii="宋体" w:hAnsi="宋体" w:eastAsia="宋体" w:cs="宋体"/>
          <w:bCs/>
          <w:color w:val="auto"/>
          <w:sz w:val="24"/>
          <w:szCs w:val="24"/>
        </w:rPr>
        <w:t xml:space="preserve">）图像分析功能：具有图形化的感兴趣区域荧光强度平均值分析；定量的共定位分析；直方图分析和任意线的序列测量，长度、角度、面积、荧光强度等的测量；可进行批量图像分析。</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ascii="宋体" w:hAnsi="宋体" w:eastAsia="宋体" w:cs="宋体"/>
          <w:bCs/>
          <w:color w:val="auto"/>
          <w:sz w:val="24"/>
          <w:szCs w:val="24"/>
        </w:rPr>
        <w:t xml:space="preserve">4</w:t>
      </w:r>
      <w:r>
        <w:rPr>
          <w:rFonts w:hint="eastAsia" w:ascii="宋体" w:hAnsi="宋体" w:eastAsia="宋体" w:cs="宋体"/>
          <w:bCs/>
          <w:color w:val="auto"/>
          <w:sz w:val="24"/>
          <w:szCs w:val="24"/>
        </w:rPr>
        <w:t xml:space="preserve">）交互式漂白：在进行图像采集的同时（包括连续扫描和时间序列实验），对指定任意区域进行漂白，实现边采集边漂白。适用于主动光活化实验、光转化实验或者快速光漂白实验等。（需提供制造商技术资料支持）。</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5）</w:t>
      </w:r>
      <w:r>
        <w:rPr>
          <w:rFonts w:ascii="宋体" w:hAnsi="宋体" w:eastAsia="宋体" w:cs="宋体"/>
          <w:bCs/>
          <w:color w:val="auto"/>
          <w:sz w:val="24"/>
          <w:szCs w:val="24"/>
        </w:rPr>
        <w:t xml:space="preserve">配置自动聚焦模块，自动寻找样品中的最佳聚焦位置，适用于透射光、反射光和荧光</w:t>
      </w:r>
      <w:r>
        <w:rPr>
          <w:rFonts w:hint="eastAsia" w:ascii="宋体" w:hAnsi="宋体" w:eastAsia="宋体" w:cs="宋体"/>
          <w:bCs/>
          <w:color w:val="auto"/>
          <w:sz w:val="24"/>
          <w:szCs w:val="24"/>
        </w:rPr>
        <w:t xml:space="preserve">。</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6）提供≥100份客户端离线图像处理软件：可查看该设备拍摄的显微图像，调节对比度，对图像添加标尺及标注；可进行常见的文件格式的数据导入/导出；具有≥1种图像去卷积功能，优化图像分辨率；可实现2D数据关联；可展示正交图像，展示XY/YZ/XZ的任一切面层，并创建任一切面层图像。</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7）图像工作站配置：经共聚焦厂家验证其稳定性和匹配性。硬件配置不低于以下要求：</w:t>
      </w:r>
      <w:r>
        <w:rPr>
          <w:rFonts w:ascii="宋体" w:hAnsi="宋体" w:eastAsia="宋体" w:cs="宋体"/>
          <w:bCs/>
          <w:color w:val="auto"/>
          <w:sz w:val="24"/>
          <w:szCs w:val="24"/>
        </w:rPr>
        <w:t xml:space="preserve"> Intel® Xeon W</w:t>
      </w:r>
      <w:r>
        <w:rPr>
          <w:rFonts w:hint="eastAsia" w:ascii="宋体" w:hAnsi="宋体" w:eastAsia="宋体" w:cs="宋体"/>
          <w:bCs/>
          <w:color w:val="auto"/>
          <w:sz w:val="24"/>
          <w:szCs w:val="24"/>
        </w:rPr>
        <w:t xml:space="preserve">系列处理器（核心数≥</w:t>
      </w:r>
      <w:r>
        <w:rPr>
          <w:rFonts w:ascii="宋体" w:hAnsi="宋体" w:eastAsia="宋体" w:cs="宋体"/>
          <w:bCs/>
          <w:color w:val="auto"/>
          <w:sz w:val="24"/>
          <w:szCs w:val="24"/>
        </w:rPr>
        <w:t xml:space="preserve">12</w:t>
      </w:r>
      <w:r>
        <w:rPr>
          <w:rFonts w:hint="eastAsia" w:ascii="宋体" w:hAnsi="宋体" w:eastAsia="宋体" w:cs="宋体"/>
          <w:bCs/>
          <w:color w:val="auto"/>
          <w:sz w:val="24"/>
          <w:szCs w:val="24"/>
        </w:rPr>
        <w:t xml:space="preserve">，主频≥</w:t>
      </w:r>
      <w:r>
        <w:rPr>
          <w:rFonts w:ascii="宋体" w:hAnsi="宋体" w:eastAsia="宋体" w:cs="宋体"/>
          <w:bCs/>
          <w:color w:val="auto"/>
          <w:sz w:val="24"/>
          <w:szCs w:val="24"/>
        </w:rPr>
        <w:t xml:space="preserve">2.5GHz</w:t>
      </w:r>
      <w:r>
        <w:rPr>
          <w:rFonts w:hint="eastAsia" w:ascii="宋体" w:hAnsi="宋体" w:eastAsia="宋体" w:cs="宋体"/>
          <w:bCs/>
          <w:color w:val="auto"/>
          <w:sz w:val="24"/>
          <w:szCs w:val="24"/>
        </w:rPr>
        <w:t xml:space="preserve">），专业级图形显卡≥</w:t>
      </w:r>
      <w:r>
        <w:rPr>
          <w:rFonts w:ascii="宋体" w:hAnsi="宋体" w:eastAsia="宋体" w:cs="宋体"/>
          <w:bCs/>
          <w:color w:val="auto"/>
          <w:sz w:val="24"/>
          <w:szCs w:val="24"/>
        </w:rPr>
        <w:t xml:space="preserve">RTX 4000Ada</w:t>
      </w:r>
      <w:r>
        <w:rPr>
          <w:rFonts w:hint="eastAsia" w:ascii="宋体" w:hAnsi="宋体" w:eastAsia="宋体" w:cs="宋体"/>
          <w:bCs/>
          <w:color w:val="auto"/>
          <w:sz w:val="24"/>
          <w:szCs w:val="24"/>
        </w:rPr>
        <w:t xml:space="preserve">，独显≥</w:t>
      </w:r>
      <w:r>
        <w:rPr>
          <w:rFonts w:ascii="宋体" w:hAnsi="宋体" w:eastAsia="宋体" w:cs="宋体"/>
          <w:bCs/>
          <w:color w:val="auto"/>
          <w:sz w:val="24"/>
          <w:szCs w:val="24"/>
        </w:rPr>
        <w:t xml:space="preserve">16 GB</w:t>
      </w:r>
      <w:r>
        <w:rPr>
          <w:rFonts w:hint="eastAsia" w:ascii="宋体" w:hAnsi="宋体" w:eastAsia="宋体" w:cs="宋体"/>
          <w:bCs/>
          <w:color w:val="auto"/>
          <w:sz w:val="24"/>
          <w:szCs w:val="24"/>
        </w:rPr>
        <w:t xml:space="preserve">；≥</w:t>
      </w:r>
      <w:r>
        <w:rPr>
          <w:rFonts w:ascii="宋体" w:hAnsi="宋体" w:eastAsia="宋体" w:cs="宋体"/>
          <w:bCs/>
          <w:color w:val="auto"/>
          <w:sz w:val="24"/>
          <w:szCs w:val="24"/>
        </w:rPr>
        <w:t xml:space="preserve">2TB SSD</w:t>
      </w:r>
      <w:r>
        <w:rPr>
          <w:rFonts w:hint="eastAsia" w:ascii="宋体" w:hAnsi="宋体" w:eastAsia="宋体" w:cs="宋体"/>
          <w:bCs/>
          <w:color w:val="auto"/>
          <w:sz w:val="24"/>
          <w:szCs w:val="24"/>
        </w:rPr>
        <w:t xml:space="preserve">高速硬盘以及≥</w:t>
      </w:r>
      <w:r>
        <w:rPr>
          <w:rFonts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个</w:t>
      </w:r>
      <w:r>
        <w:rPr>
          <w:rFonts w:ascii="宋体" w:hAnsi="宋体" w:eastAsia="宋体" w:cs="宋体"/>
          <w:bCs/>
          <w:color w:val="auto"/>
          <w:sz w:val="24"/>
          <w:szCs w:val="24"/>
        </w:rPr>
        <w:t xml:space="preserve">10TB SATA 7200 rpm</w:t>
      </w:r>
      <w:r>
        <w:rPr>
          <w:rFonts w:hint="eastAsia" w:ascii="宋体" w:hAnsi="宋体" w:eastAsia="宋体" w:cs="宋体"/>
          <w:bCs/>
          <w:color w:val="auto"/>
          <w:sz w:val="24"/>
          <w:szCs w:val="24"/>
        </w:rPr>
        <w:t xml:space="preserve">硬盘，≧</w:t>
      </w:r>
      <w:r>
        <w:rPr>
          <w:rFonts w:ascii="宋体" w:hAnsi="宋体" w:eastAsia="宋体" w:cs="宋体"/>
          <w:bCs/>
          <w:color w:val="auto"/>
          <w:sz w:val="24"/>
          <w:szCs w:val="24"/>
        </w:rPr>
        <w:t xml:space="preserve">128GB</w:t>
      </w:r>
      <w:r>
        <w:rPr>
          <w:rFonts w:hint="eastAsia" w:ascii="宋体" w:hAnsi="宋体" w:eastAsia="宋体" w:cs="宋体"/>
          <w:bCs/>
          <w:color w:val="auto"/>
          <w:sz w:val="24"/>
          <w:szCs w:val="24"/>
        </w:rPr>
        <w:t xml:space="preserve">内存，≥</w:t>
      </w:r>
      <w:r>
        <w:rPr>
          <w:rFonts w:ascii="宋体" w:hAnsi="宋体" w:eastAsia="宋体" w:cs="宋体"/>
          <w:bCs/>
          <w:color w:val="auto"/>
          <w:sz w:val="24"/>
          <w:szCs w:val="24"/>
        </w:rPr>
        <w:t xml:space="preserve">31</w:t>
      </w:r>
      <w:r>
        <w:rPr>
          <w:rFonts w:hint="eastAsia" w:ascii="宋体" w:hAnsi="宋体" w:eastAsia="宋体" w:cs="宋体"/>
          <w:bCs/>
          <w:color w:val="auto"/>
          <w:sz w:val="24"/>
          <w:szCs w:val="24"/>
        </w:rPr>
        <w:t xml:space="preserve">英寸液晶显示器，分辨率≥</w:t>
      </w:r>
      <w:r>
        <w:rPr>
          <w:rFonts w:ascii="宋体" w:hAnsi="宋体" w:eastAsia="宋体" w:cs="宋体"/>
          <w:bCs/>
          <w:color w:val="auto"/>
          <w:sz w:val="24"/>
          <w:szCs w:val="24"/>
        </w:rPr>
        <w:t xml:space="preserve">3840 × 2160</w:t>
      </w:r>
      <w:r>
        <w:rPr>
          <w:rFonts w:hint="eastAsia" w:ascii="宋体" w:hAnsi="宋体" w:eastAsia="宋体" w:cs="宋体"/>
          <w:bCs/>
          <w:color w:val="auto"/>
          <w:sz w:val="24"/>
          <w:szCs w:val="24"/>
        </w:rPr>
        <w:t xml:space="preserve">，</w:t>
      </w:r>
      <w:r>
        <w:rPr>
          <w:rFonts w:ascii="宋体" w:hAnsi="宋体" w:eastAsia="宋体" w:cs="宋体"/>
          <w:bCs/>
          <w:color w:val="auto"/>
          <w:sz w:val="24"/>
          <w:szCs w:val="24"/>
        </w:rPr>
        <w:t xml:space="preserve">Windows 11 Enterprise x64</w:t>
      </w:r>
      <w:r>
        <w:rPr>
          <w:rFonts w:hint="eastAsia" w:ascii="宋体" w:hAnsi="宋体" w:eastAsia="宋体" w:cs="宋体"/>
          <w:bCs/>
          <w:color w:val="auto"/>
          <w:sz w:val="24"/>
          <w:szCs w:val="24"/>
        </w:rPr>
        <w:t xml:space="preserve">操作系统。</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ascii="宋体" w:hAnsi="宋体" w:eastAsia="宋体" w:cs="宋体"/>
          <w:bCs/>
          <w:color w:val="auto"/>
          <w:sz w:val="24"/>
          <w:szCs w:val="24"/>
        </w:rPr>
        <w:t xml:space="preserve">3</w:t>
      </w:r>
      <w:r>
        <w:rPr>
          <w:rFonts w:hint="eastAsia" w:ascii="宋体" w:hAnsi="宋体" w:eastAsia="宋体" w:cs="宋体"/>
          <w:bCs/>
          <w:color w:val="auto"/>
          <w:sz w:val="24"/>
          <w:szCs w:val="24"/>
        </w:rPr>
        <w:t xml:space="preserve">.活细胞孵育工作站能够实现以下功能：</w:t>
      </w:r>
      <w:r/>
    </w:p>
    <w:p>
      <w:pP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）活细胞培养系统：在显微镜载物台上进行温度、湿度及CO</w:t>
      </w:r>
      <w:r>
        <w:rPr>
          <w:rFonts w:hint="eastAsia" w:ascii="宋体" w:hAnsi="宋体" w:eastAsia="宋体" w:cs="宋体"/>
          <w:bCs/>
          <w:color w:val="auto"/>
          <w:sz w:val="24"/>
          <w:szCs w:val="24"/>
          <w:vertAlign w:val="subscript"/>
        </w:rPr>
        <w:t xml:space="preserve">2</w:t>
      </w:r>
      <w:r>
        <w:rPr>
          <w:rFonts w:hint="eastAsia" w:ascii="宋体" w:hAnsi="宋体" w:eastAsia="宋体" w:cs="宋体"/>
          <w:bCs/>
          <w:color w:val="auto"/>
          <w:sz w:val="24"/>
          <w:szCs w:val="24"/>
        </w:rPr>
        <w:t xml:space="preserve">的控制，温度控制器带有温度负反馈控制系统；可支持35mm培养皿，多孔板等。</w:t>
      </w:r>
      <w:r/>
    </w:p>
    <w:p>
      <w:pP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）二氧化碳浓度控制范围至少5%-20%可调，浓度精度≤±0.1%；具有加湿功能：水浴装置加热水浴槽中的水进行加湿。</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ascii="宋体" w:hAnsi="宋体" w:eastAsia="宋体" w:cs="宋体"/>
          <w:bCs/>
          <w:color w:val="auto"/>
          <w:sz w:val="24"/>
          <w:szCs w:val="24"/>
        </w:rPr>
        <w:t xml:space="preserve">控温系统可同时控制至少4个独立的通道温度设定，细胞培养在独立空间内，培养皿底部、顶部均可同时加热。</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配置清单：</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a）科研级激光共聚焦显微镜主机1套；</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b）高灵敏度激光共聚焦扫描头1套；</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c）固体激光器套组：固态激光器405nm、488nm、561（±3）nm、640（±3）nm，或者405nm并配备连续波长白激光器，波长范围485-790nm；</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d）配备超高分辨率成像模块，实现XY方向≤90nm的超高分辨率成像；</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e）配备6颗物镜：5×、10×、20×、40×、60x/63×油镜、100×油镜；</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f）配备图像采集分析工作站1套； </w:t>
      </w:r>
      <w:r/>
    </w:p>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g）配备活细胞工作站1套。</w:t>
      </w:r>
      <w:r/>
    </w:p>
    <w:p>
      <w:pPr>
        <w:spacing w:line="360" w:lineRule="auto"/>
        <w:rPr>
          <w:rFonts w:ascii="宋体" w:hAnsi="宋体" w:eastAsia="宋体" w:cs="宋体"/>
          <w:b/>
          <w:color w:val="auto"/>
          <w:sz w:val="24"/>
          <w:szCs w:val="24"/>
        </w:rPr>
      </w:pPr>
      <w:r>
        <w:rPr>
          <w:rFonts w:ascii="宋体" w:hAnsi="宋体" w:eastAsia="宋体" w:cs="宋体"/>
          <w:b/>
          <w:color w:val="auto"/>
          <w:sz w:val="24"/>
          <w:szCs w:val="24"/>
        </w:rPr>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（二）电位纳米粒度仪</w:t>
      </w:r>
      <w:r/>
    </w:p>
    <w:p>
      <w:pPr>
        <w:spacing w:line="360" w:lineRule="auto"/>
        <w:rPr>
          <w:rFonts w:ascii="宋体" w:hAnsi="宋体" w:eastAsia="宋体" w:cs="宋体"/>
          <w:b/>
          <w:color w:val="auto"/>
          <w:sz w:val="24"/>
          <w:szCs w:val="24"/>
        </w:rPr>
      </w:pPr>
      <w:r>
        <w:rPr>
          <w:rFonts w:hint="eastAsia" w:ascii="宋体" w:hAnsi="宋体" w:eastAsia="宋体" w:cs="宋体"/>
          <w:color w:val="auto"/>
          <w:sz w:val="24"/>
          <w:szCs w:val="24"/>
        </w:rPr>
        <w:t xml:space="preserve">▲1.电感应法检测。</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2.进样方式：插入式样本检测卡，样本不进入仪器内部。</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▲3.测试指标：同时具备粒径、粒径分布、zeta电位、电位分布等功能。</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4.通道：双通道。</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▲5.基于电学的单颗粒逐个检测。</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6.单颗粒粒径检测范围：15～2000 nm。</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7.单颗粒电位检测范围：0～±100 mV。</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8.粒径重复性误差：＜10%。</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▲9.粒径准确性误差：CV% &lt; 10%。</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10.电位准确性误差：±5 mV。</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11.样本需求量：3～50 µL。                                                                                                                                         </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12.操作方式：外接电脑，安装操作软件进行样本测试。</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13.参数调整：无需调整参数，无需热机和标准品校准，开机即可开始测量。</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14.Windows系统操作软件。</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15.可生成粒径分布直方图或曲线图、电位直方图或曲线图，以及粒径-电位散点图。</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16.数据存储和输出格式：可导出JPG、PNG、Excel、PDF等，可连接打印机直接打印。</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17.具备自定义粒径区间分析功能。</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18.具备审计追踪与权限管理功能。</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19.功能可拓展性：支持功能拓展与软硬件升级。</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20.交流电源输入220 V；系统功率&lt; 65 W。</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w:t>
      </w:r>
      <w:r>
        <w:rPr>
          <w:rFonts w:ascii="宋体" w:hAnsi="宋体" w:eastAsia="宋体" w:cs="宋体"/>
          <w:color w:val="auto"/>
          <w:sz w:val="24"/>
          <w:szCs w:val="24"/>
        </w:rPr>
        <w:t xml:space="preserve">仪器随机专用控制单元1套：</w:t>
      </w:r>
      <w:r>
        <w:rPr>
          <w:rFonts w:hint="eastAsia" w:ascii="宋体" w:hAnsi="宋体" w:eastAsia="宋体" w:cs="宋体"/>
          <w:color w:val="auto"/>
          <w:sz w:val="24"/>
          <w:szCs w:val="24"/>
        </w:rPr>
        <w:t xml:space="preserve">预装仪器专用操作软件及正版 Windows 11 专业版操作系统，系统性能满足实时数据采集、高速谱图 / 图像处理及多任务分析运算需求；处理器性能不低于 Intel Core i7-14 代及以上同级桌面处理器，DDR4 3200MHz 及以上内存≥16GB，硬盘≥1TB NVMe 高速 SSD，显示器≥27 英寸、IPS 面板、分辨率≥2560×1440、亮度≥300cd/㎡</w:t>
      </w:r>
      <w:r>
        <w:rPr>
          <w:rFonts w:ascii="宋体" w:hAnsi="宋体" w:eastAsia="宋体" w:cs="宋体"/>
          <w:color w:val="auto"/>
          <w:sz w:val="24"/>
          <w:szCs w:val="24"/>
        </w:rPr>
        <w:t xml:space="preserve">。</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22.配置清单：纳米粒度电位分析仪主机1台、操作单元1套、操作软件1 套。</w:t>
      </w:r>
      <w:r>
        <w:rPr>
          <w:rFonts w:ascii="宋体" w:hAnsi="宋体" w:eastAsia="宋体" w:cs="宋体"/>
          <w:color w:val="auto"/>
          <w:sz w:val="24"/>
          <w:szCs w:val="24"/>
        </w:rPr>
        <w:t xml:space="preserve"> </w:t>
      </w:r>
      <w:r/>
    </w:p>
    <w:p>
      <w:pPr>
        <w:spacing w:line="440" w:lineRule="exact"/>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采购包二、流式细胞分选仪等仪器设备采购清单</w:t>
      </w:r>
      <w:r/>
    </w:p>
    <w:tbl>
      <w:tblPr>
        <w:tblStyle w:val="773"/>
        <w:tblW w:w="9865" w:type="dxa"/>
        <w:jc w:val="center"/>
        <w:tblLayout w:type="fixed"/>
        <w:tblCellMar>
          <w:left w:w="108" w:type="dxa"/>
          <w:top w:w="0" w:type="dxa"/>
          <w:right w:w="108" w:type="dxa"/>
          <w:bottom w:w="0" w:type="dxa"/>
        </w:tblCellMar>
        <w:tblLook w:val="04A0" w:firstRow="1" w:lastRow="0" w:firstColumn="1" w:lastColumn="0" w:noHBand="0" w:noVBand="1"/>
      </w:tblPr>
      <w:tblGrid>
        <w:gridCol w:w="1177"/>
        <w:gridCol w:w="3024"/>
        <w:gridCol w:w="1440"/>
        <w:gridCol w:w="1408"/>
        <w:gridCol w:w="1408"/>
        <w:gridCol w:w="1408"/>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1177" w:type="dxa"/>
            <w:vAlign w:val="center"/>
            <w:vMerge w:val="restart"/>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3024" w:type="dxa"/>
            <w:vAlign w:val="center"/>
            <w:vMerge w:val="restart"/>
            <w:textDirection w:val="lrTb"/>
            <w:noWrap w:val="false"/>
          </w:tcPr>
          <w:p>
            <w:pPr>
              <w:jc w:val="lef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408"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预算</w:t>
            </w:r>
            <w:r/>
          </w:p>
        </w:tc>
        <w:tc>
          <w:tcPr>
            <w:shd w:val="clear" w:color="000000" w:fill="ffffff"/>
            <w:tcBorders>
              <w:top w:val="single" w:color="auto" w:sz="4" w:space="0"/>
              <w:left w:val="none" w:color="000000" w:sz="4" w:space="0"/>
              <w:right w:val="single" w:color="auto" w:sz="4" w:space="0"/>
            </w:tcBorders>
            <w:tcW w:w="1408" w:type="dxa"/>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是否接受进口产品</w:t>
            </w:r>
            <w:r/>
          </w:p>
        </w:tc>
        <w:tc>
          <w:tcPr>
            <w:shd w:val="clear" w:color="000000" w:fill="ffffff"/>
            <w:tcBorders>
              <w:top w:val="single" w:color="auto" w:sz="4" w:space="0"/>
              <w:left w:val="none" w:color="000000" w:sz="4" w:space="0"/>
              <w:right w:val="single" w:color="auto" w:sz="4" w:space="0"/>
            </w:tcBorders>
            <w:tcW w:w="1408"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是否</w:t>
            </w:r>
            <w:r>
              <w:rPr>
                <w:rFonts w:ascii="宋体" w:hAnsi="宋体" w:eastAsia="宋体" w:cs="宋体"/>
                <w:color w:val="auto"/>
                <w:sz w:val="24"/>
                <w:szCs w:val="24"/>
              </w:rPr>
              <w:t xml:space="preserve">为</w:t>
            </w:r>
            <w:r>
              <w:rPr>
                <w:rFonts w:hint="eastAsia" w:ascii="宋体" w:hAnsi="宋体" w:eastAsia="宋体" w:cs="宋体"/>
                <w:color w:val="auto"/>
                <w:sz w:val="24"/>
                <w:szCs w:val="24"/>
              </w:rPr>
              <w:t xml:space="preserve">核心产品</w:t>
            </w:r>
            <w:r/>
          </w:p>
        </w:tc>
      </w:tr>
      <w:tr>
        <w:trPr>
          <w:jc w:val="center"/>
          <w:trHeight w:val="278"/>
        </w:trPr>
        <w:tc>
          <w:tcPr>
            <w:tcBorders>
              <w:top w:val="single" w:color="auto" w:sz="4" w:space="0"/>
              <w:left w:val="single" w:color="auto" w:sz="4" w:space="0"/>
              <w:bottom w:val="single" w:color="auto" w:sz="4" w:space="0"/>
              <w:right w:val="single" w:color="auto" w:sz="4" w:space="0"/>
            </w:tcBorders>
            <w:tcW w:w="1177" w:type="dxa"/>
            <w:vAlign w:val="center"/>
            <w:vMerge w:val="continue"/>
            <w:textDirection w:val="lrTb"/>
            <w:noWrap w:val="false"/>
          </w:tcPr>
          <w:p>
            <w:pPr>
              <w:jc w:val="left"/>
              <w:widowControl/>
              <w:rPr>
                <w:rFonts w:ascii="宋体" w:hAnsi="宋体" w:eastAsia="宋体" w:cs="宋体"/>
                <w:b/>
                <w:bCs/>
                <w:color w:val="auto"/>
                <w:sz w:val="24"/>
                <w:szCs w:val="24"/>
              </w:rPr>
            </w:pPr>
            <w:r>
              <w:rPr>
                <w:rFonts w:ascii="宋体" w:hAnsi="宋体" w:eastAsia="宋体" w:cs="宋体"/>
                <w:b/>
                <w:bCs/>
                <w:color w:val="auto"/>
                <w:sz w:val="24"/>
                <w:szCs w:val="24"/>
              </w:rPr>
            </w:r>
            <w:r/>
          </w:p>
        </w:tc>
        <w:tc>
          <w:tcPr>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jc w:val="left"/>
              <w:widowControl/>
              <w:rPr>
                <w:rFonts w:ascii="宋体" w:hAnsi="宋体" w:eastAsia="宋体" w:cs="宋体"/>
                <w:b/>
                <w:bCs/>
                <w:color w:val="auto"/>
                <w:sz w:val="24"/>
                <w:szCs w:val="24"/>
              </w:rPr>
            </w:pPr>
            <w:r>
              <w:rPr>
                <w:rFonts w:ascii="宋体" w:hAnsi="宋体" w:eastAsia="宋体" w:cs="宋体"/>
                <w:b/>
                <w:bCs/>
                <w:color w:val="auto"/>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1408"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（万元）</w:t>
            </w:r>
            <w:r/>
          </w:p>
        </w:tc>
        <w:tc>
          <w:tcPr>
            <w:shd w:val="clear" w:color="000000" w:fill="ffffff"/>
            <w:tcBorders>
              <w:left w:val="none" w:color="000000" w:sz="4" w:space="0"/>
              <w:bottom w:val="single" w:color="auto" w:sz="4" w:space="0"/>
              <w:right w:val="single" w:color="auto" w:sz="4" w:space="0"/>
            </w:tcBorders>
            <w:tcW w:w="1408"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shd w:val="clear" w:color="000000" w:fill="ffffff"/>
            <w:tcBorders>
              <w:left w:val="none" w:color="000000" w:sz="4" w:space="0"/>
              <w:bottom w:val="single" w:color="auto" w:sz="4" w:space="0"/>
              <w:right w:val="single" w:color="auto" w:sz="4" w:space="0"/>
            </w:tcBorders>
            <w:tcW w:w="1408"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278"/>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3024" w:type="dxa"/>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流式细胞分选仪</w:t>
            </w:r>
            <w:r/>
          </w:p>
        </w:tc>
        <w:tc>
          <w:tcPr>
            <w:tcBorders>
              <w:top w:val="single" w:color="auto" w:sz="4" w:space="0"/>
              <w:left w:val="single" w:color="auto" w:sz="4" w:space="0"/>
              <w:bottom w:val="single" w:color="auto" w:sz="4" w:space="0"/>
              <w:right w:val="single" w:color="auto" w:sz="4" w:space="0"/>
            </w:tcBorders>
            <w:tcW w:w="1440" w:type="dxa"/>
            <w:vAlign w:val="bottom"/>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408" w:type="dxa"/>
            <w:vAlign w:val="bottom"/>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175</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3024" w:type="dxa"/>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自动影像分析菌落计数仪</w:t>
            </w:r>
            <w:r/>
          </w:p>
        </w:tc>
        <w:tc>
          <w:tcPr>
            <w:tcBorders>
              <w:top w:val="none" w:color="000000" w:sz="4" w:space="0"/>
              <w:left w:val="single" w:color="auto" w:sz="4" w:space="0"/>
              <w:bottom w:val="single" w:color="auto" w:sz="4" w:space="0"/>
              <w:right w:val="single" w:color="auto" w:sz="4" w:space="0"/>
            </w:tcBorders>
            <w:tcW w:w="1440" w:type="dxa"/>
            <w:vAlign w:val="bottom"/>
            <w:textDirection w:val="lrTb"/>
            <w:noWrap/>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25</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jc w:val="center"/>
          <w:trHeight w:val="278"/>
        </w:trPr>
        <w:tc>
          <w:tcPr>
            <w:gridSpan w:val="2"/>
            <w:tcBorders>
              <w:top w:val="single" w:color="auto" w:sz="4" w:space="0"/>
              <w:left w:val="single" w:color="auto" w:sz="4" w:space="0"/>
              <w:bottom w:val="single" w:color="auto" w:sz="4" w:space="0"/>
              <w:right w:val="single" w:color="000000" w:sz="4" w:space="0"/>
            </w:tcBorders>
            <w:tcW w:w="4201"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none" w:color="000000" w:sz="4" w:space="0"/>
              <w:bottom w:val="single" w:color="auto" w:sz="4" w:space="0"/>
              <w:right w:val="single" w:color="auto" w:sz="4" w:space="0"/>
            </w:tcBorders>
            <w:tcW w:w="1408" w:type="dxa"/>
            <w:textDirection w:val="lrTb"/>
            <w:noWrap/>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200</w:t>
            </w:r>
            <w:r/>
          </w:p>
        </w:tc>
        <w:tc>
          <w:tcPr>
            <w:tcBorders>
              <w:top w:val="single" w:color="auto" w:sz="4" w:space="0"/>
              <w:left w:val="none" w:color="000000" w:sz="4" w:space="0"/>
              <w:bottom w:val="single" w:color="auto" w:sz="4" w:space="0"/>
              <w:right w:val="single" w:color="auto" w:sz="4" w:space="0"/>
            </w:tcBorders>
            <w:tcW w:w="1408" w:type="dxa"/>
            <w:textDirection w:val="lrTb"/>
            <w:noWrap/>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408" w:type="dxa"/>
            <w:textDirection w:val="lrTb"/>
            <w:noWrap/>
          </w:tcPr>
          <w:p>
            <w:pPr>
              <w:jc w:val="center"/>
              <w:rPr>
                <w:rFonts w:ascii="宋体" w:hAnsi="宋体" w:eastAsia="宋体" w:cs="宋体"/>
                <w:color w:val="auto"/>
                <w:sz w:val="24"/>
                <w:szCs w:val="24"/>
              </w:rPr>
            </w:pPr>
            <w:r>
              <w:rPr>
                <w:rFonts w:ascii="宋体" w:hAnsi="宋体" w:eastAsia="宋体" w:cs="宋体"/>
                <w:color w:val="auto"/>
                <w:sz w:val="24"/>
                <w:szCs w:val="24"/>
              </w:rPr>
            </w:r>
            <w:r/>
          </w:p>
        </w:tc>
      </w:tr>
    </w:tbl>
    <w:p>
      <w:pPr>
        <w:spacing w:line="360" w:lineRule="auto"/>
        <w:tabs>
          <w:tab w:val="left" w:pos="540" w:leader="none"/>
        </w:tabs>
        <w:rPr>
          <w:rFonts w:ascii="宋体" w:hAnsi="宋体" w:eastAsia="宋体" w:cs="宋体"/>
          <w:b/>
          <w:color w:val="auto"/>
          <w:sz w:val="24"/>
          <w:szCs w:val="24"/>
        </w:rPr>
      </w:pPr>
      <w:r>
        <w:rPr>
          <w:rFonts w:ascii="宋体" w:hAnsi="宋体" w:eastAsia="宋体" w:cs="宋体"/>
          <w:b/>
          <w:color w:val="auto"/>
          <w:sz w:val="24"/>
          <w:szCs w:val="24"/>
        </w:rPr>
      </w:r>
      <w:r/>
    </w:p>
    <w:p>
      <w:pPr>
        <w:spacing w:line="360" w:lineRule="auto"/>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采购包二主要技术参数</w:t>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（一）流式细胞分选仪</w:t>
      </w:r>
      <w:r/>
    </w:p>
    <w:p>
      <w:pPr>
        <w:spacing w:line="360" w:lineRule="auto"/>
        <w:widowControl/>
        <w:tabs>
          <w:tab w:val="left" w:pos="2038"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1.配置≥3根激光器，至少包含488 nm、640 nm，405 nm激光器，带孔板分选。</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2.光学检测通道：≥2个散射光通道（FSC、SSC），≥9个荧光通道。</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▲3.荧光激发方式：石英杯流动池内激发，固定光路，无需调节光路，开机调试时间≤20分钟，包括开机、液流启动、液流优化、液滴延迟时间校准等。无需芯片。</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▲4.荧光检测灵敏度：FITC≤60MESF，PE≤10MESF（需提供国家认可的第三方检测机构出具的灵敏度检测报告）。</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5.信号类型：每个信号具备Height、Area、Width、Log，Lin等不同的信号类型，可以进行任意参数之间的比值运算，同时有时间参数可进行钙流等动态检测的应用。</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6.补偿方式：任意参数之间的矩阵补偿，可以在线、离线补偿，也可以软件自动化完成补偿调节。</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7.光路系统：光导纤维将激光信号传导并固定于石英杯流动池，散射光和荧光信号经光导纤维传导并固定于八角形或三角形光信号收集系统，提高信号的接收效率和检测灵敏度。</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w:t>
      </w:r>
      <w:r>
        <w:rPr>
          <w:rFonts w:ascii="宋体" w:hAnsi="宋体" w:eastAsia="宋体" w:cs="宋体"/>
          <w:color w:val="auto"/>
          <w:sz w:val="24"/>
          <w:szCs w:val="24"/>
        </w:rPr>
        <w:t xml:space="preserve">每个滤光片单元内置智能芯片，滤光片无需拆卸工作，可自由插拔，自动识别滤光组件,不需要调校。</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9.最大分析速度，≥4,0000细胞/秒；最大分选速度：≥34,000细胞/秒。</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★10.在 100um 喷嘴下，进行 4 路分选，非微球上样，上样速度≥10000事件/秒，每一路的纯度≥98% 且得率≥80%。</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★11.采用光电倍增管（PMT）作为荧光探测器，电压可调：0-1000V。 </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▲12.仪器具备3个独立光斑，可满足3根激光同时开启和使用，无需共线激发。</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▲13.借助荧光微球相关技术实现全自动实时液滴延迟时间计算，可自动校准。</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14.具备自动监控液流断点的功能，自动调节震荡振幅保持液流断点位置恒定；具备自动检测液流堵塞的功能，异常情况出现时，自动启动收集管保护装置。</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15.全自动进样装置：具有自动样本混匀功能，自动样本间冲洗和关机清洗，自动气泡检测和警示，全封闭上样系统，完全程序化控制。</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16.进样仓和分选仓均为密封设计，具备全自动标准化的无菌清洗流程，最大保障无菌条件。</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▲17.质控系统：具备完善的仪器全程质量控制体系，质控报告中体现至少≥ 8 种参数（Linearity、Laser Delay、Area Scale Factor、PMTV、%rCV等），能够自动检测和长期跟踪仪器性能的微量变化，基础校准有效周期不少于 </w:t>
      </w:r>
      <w:r>
        <w:rPr>
          <w:rFonts w:ascii="宋体" w:hAnsi="宋体" w:eastAsia="宋体" w:cs="宋体"/>
          <w:color w:val="auto"/>
          <w:sz w:val="24"/>
          <w:szCs w:val="24"/>
        </w:rPr>
        <w:t xml:space="preserve">60</w:t>
      </w:r>
      <w:r>
        <w:rPr>
          <w:rFonts w:hint="eastAsia" w:ascii="宋体" w:hAnsi="宋体" w:eastAsia="宋体" w:cs="宋体"/>
          <w:color w:val="auto"/>
          <w:sz w:val="24"/>
          <w:szCs w:val="24"/>
        </w:rPr>
        <w:t xml:space="preserve"> 天。</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▲18.液滴分辨率：可将液滴不小于32等份的精度进行设定。</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▲19.仪器主机可放置在普通生物安全柜内，长、高≤80 cm，宽≤60 cm。</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▲20</w:t>
      </w:r>
      <w:r>
        <w:rPr>
          <w:rFonts w:ascii="宋体" w:hAnsi="宋体" w:eastAsia="宋体" w:cs="宋体"/>
          <w:color w:val="auto"/>
          <w:sz w:val="24"/>
          <w:szCs w:val="24"/>
        </w:rPr>
        <w:t xml:space="preserve">需配套同品牌高级分析软件：可本地部署，需内置多种分析模板如细胞周期与增殖分析、动力学研究、群体统计比较等；具备高维数据分析功能如降维与可视化，内置t-SNE和UMAP等算法、自动化聚类分析、自动化设门与命名、批量处理与脚本自动化等功能，有利于后续数据一致性，确保数据的准确性。</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21.仪器随机专用控制单元1套：预装仪器专用操作软件及正版</w:t>
      </w:r>
      <w:r>
        <w:rPr>
          <w:rFonts w:ascii="宋体" w:hAnsi="宋体" w:eastAsia="宋体" w:cs="宋体"/>
          <w:color w:val="auto"/>
          <w:sz w:val="24"/>
          <w:szCs w:val="24"/>
        </w:rPr>
        <w:t xml:space="preserve"> Windows 11 </w:t>
      </w:r>
      <w:r>
        <w:rPr>
          <w:rFonts w:hint="eastAsia" w:ascii="宋体" w:hAnsi="宋体" w:eastAsia="宋体" w:cs="宋体"/>
          <w:color w:val="auto"/>
          <w:sz w:val="24"/>
          <w:szCs w:val="24"/>
        </w:rPr>
        <w:t xml:space="preserve">专业版操作系统，系统性能满足实时数据采集、高速谱图</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图像处理及多任务分析运算需求；处理器性能不低于</w:t>
      </w:r>
      <w:r>
        <w:rPr>
          <w:rFonts w:ascii="宋体" w:hAnsi="宋体" w:eastAsia="宋体" w:cs="宋体"/>
          <w:color w:val="auto"/>
          <w:sz w:val="24"/>
          <w:szCs w:val="24"/>
        </w:rPr>
        <w:t xml:space="preserve"> Intel Core i7-14 </w:t>
      </w:r>
      <w:r>
        <w:rPr>
          <w:rFonts w:hint="eastAsia" w:ascii="宋体" w:hAnsi="宋体" w:eastAsia="宋体" w:cs="宋体"/>
          <w:color w:val="auto"/>
          <w:sz w:val="24"/>
          <w:szCs w:val="24"/>
        </w:rPr>
        <w:t xml:space="preserve">代及以上同级桌面处理器，</w:t>
      </w:r>
      <w:r>
        <w:rPr>
          <w:rFonts w:ascii="宋体" w:hAnsi="宋体" w:eastAsia="宋体" w:cs="宋体"/>
          <w:color w:val="auto"/>
          <w:sz w:val="24"/>
          <w:szCs w:val="24"/>
        </w:rPr>
        <w:t xml:space="preserve">DDR4 3200MHz </w:t>
      </w:r>
      <w:r>
        <w:rPr>
          <w:rFonts w:hint="eastAsia" w:ascii="宋体" w:hAnsi="宋体" w:eastAsia="宋体" w:cs="宋体"/>
          <w:color w:val="auto"/>
          <w:sz w:val="24"/>
          <w:szCs w:val="24"/>
        </w:rPr>
        <w:t xml:space="preserve">及以上内存≥</w:t>
      </w:r>
      <w:r>
        <w:rPr>
          <w:rFonts w:ascii="宋体" w:hAnsi="宋体" w:eastAsia="宋体" w:cs="宋体"/>
          <w:color w:val="auto"/>
          <w:sz w:val="24"/>
          <w:szCs w:val="24"/>
        </w:rPr>
        <w:t xml:space="preserve">32GB</w:t>
      </w:r>
      <w:r>
        <w:rPr>
          <w:rFonts w:hint="eastAsia" w:ascii="宋体" w:hAnsi="宋体" w:eastAsia="宋体" w:cs="宋体"/>
          <w:color w:val="auto"/>
          <w:sz w:val="24"/>
          <w:szCs w:val="24"/>
        </w:rPr>
        <w:t xml:space="preserve">，硬盘≥</w:t>
      </w:r>
      <w:r>
        <w:rPr>
          <w:rFonts w:ascii="宋体" w:hAnsi="宋体" w:eastAsia="宋体" w:cs="宋体"/>
          <w:color w:val="auto"/>
          <w:sz w:val="24"/>
          <w:szCs w:val="24"/>
        </w:rPr>
        <w:t xml:space="preserve">1TB NVMe </w:t>
      </w:r>
      <w:r>
        <w:rPr>
          <w:rFonts w:hint="eastAsia" w:ascii="宋体" w:hAnsi="宋体" w:eastAsia="宋体" w:cs="宋体"/>
          <w:color w:val="auto"/>
          <w:sz w:val="24"/>
          <w:szCs w:val="24"/>
        </w:rPr>
        <w:t xml:space="preserve">高速</w:t>
      </w:r>
      <w:r>
        <w:rPr>
          <w:rFonts w:ascii="宋体" w:hAnsi="宋体" w:eastAsia="宋体" w:cs="宋体"/>
          <w:color w:val="auto"/>
          <w:sz w:val="24"/>
          <w:szCs w:val="24"/>
        </w:rPr>
        <w:t xml:space="preserve"> SSD</w:t>
      </w:r>
      <w:r>
        <w:rPr>
          <w:rFonts w:hint="eastAsia" w:ascii="宋体" w:hAnsi="宋体" w:eastAsia="宋体" w:cs="宋体"/>
          <w:color w:val="auto"/>
          <w:sz w:val="24"/>
          <w:szCs w:val="24"/>
        </w:rPr>
        <w:t xml:space="preserve">，显示器≥</w:t>
      </w:r>
      <w:r>
        <w:rPr>
          <w:rFonts w:ascii="宋体" w:hAnsi="宋体" w:eastAsia="宋体" w:cs="宋体"/>
          <w:color w:val="auto"/>
          <w:sz w:val="24"/>
          <w:szCs w:val="24"/>
        </w:rPr>
        <w:t xml:space="preserve">32 </w:t>
      </w:r>
      <w:r>
        <w:rPr>
          <w:rFonts w:hint="eastAsia" w:ascii="宋体" w:hAnsi="宋体" w:eastAsia="宋体" w:cs="宋体"/>
          <w:color w:val="auto"/>
          <w:sz w:val="24"/>
          <w:szCs w:val="24"/>
        </w:rPr>
        <w:t xml:space="preserve">英寸、</w:t>
      </w:r>
      <w:r>
        <w:rPr>
          <w:rFonts w:ascii="宋体" w:hAnsi="宋体" w:eastAsia="宋体" w:cs="宋体"/>
          <w:color w:val="auto"/>
          <w:sz w:val="24"/>
          <w:szCs w:val="24"/>
        </w:rPr>
        <w:t xml:space="preserve">IPS </w:t>
      </w:r>
      <w:r>
        <w:rPr>
          <w:rFonts w:hint="eastAsia" w:ascii="宋体" w:hAnsi="宋体" w:eastAsia="宋体" w:cs="宋体"/>
          <w:color w:val="auto"/>
          <w:sz w:val="24"/>
          <w:szCs w:val="24"/>
        </w:rPr>
        <w:t xml:space="preserve">面板、分辨率≥</w:t>
      </w:r>
      <w:r>
        <w:rPr>
          <w:rFonts w:ascii="宋体" w:hAnsi="宋体" w:eastAsia="宋体" w:cs="宋体"/>
          <w:color w:val="auto"/>
          <w:sz w:val="24"/>
          <w:szCs w:val="24"/>
        </w:rPr>
        <w:t xml:space="preserve">3840</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2160</w:t>
      </w:r>
      <w:r>
        <w:rPr>
          <w:rFonts w:hint="eastAsia" w:ascii="宋体" w:hAnsi="宋体" w:eastAsia="宋体" w:cs="宋体"/>
          <w:color w:val="auto"/>
          <w:sz w:val="24"/>
          <w:szCs w:val="24"/>
        </w:rPr>
        <w:t xml:space="preserve">、亮度≥</w:t>
      </w:r>
      <w:r>
        <w:rPr>
          <w:rFonts w:ascii="宋体" w:hAnsi="宋体" w:eastAsia="宋体" w:cs="宋体"/>
          <w:color w:val="auto"/>
          <w:sz w:val="24"/>
          <w:szCs w:val="24"/>
        </w:rPr>
        <w:t xml:space="preserve">300cd/</w:t>
      </w:r>
      <w:r>
        <w:rPr>
          <w:rFonts w:hint="eastAsia" w:ascii="宋体" w:hAnsi="宋体" w:eastAsia="宋体" w:cs="宋体"/>
          <w:color w:val="auto"/>
          <w:sz w:val="24"/>
          <w:szCs w:val="24"/>
        </w:rPr>
        <w:t xml:space="preserve">㎡</w:t>
      </w:r>
      <w:r/>
    </w:p>
    <w:p>
      <w:pPr>
        <w:spacing w:line="360" w:lineRule="auto"/>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配置清单：流式细胞分选仪主机1台、3千瓦净化稳压电源1台、控制单元1套、开机调试试剂耗材1套。</w:t>
      </w:r>
      <w:r/>
    </w:p>
    <w:p>
      <w:pPr>
        <w:spacing w:line="360" w:lineRule="auto"/>
        <w:tabs>
          <w:tab w:val="left" w:pos="540" w:leader="none"/>
        </w:tabs>
        <w:rPr>
          <w:rFonts w:ascii="宋体" w:hAnsi="宋体" w:eastAsia="宋体" w:cs="宋体"/>
          <w:color w:val="auto"/>
          <w:sz w:val="24"/>
          <w:szCs w:val="24"/>
        </w:rPr>
      </w:pPr>
      <w:r>
        <w:rPr>
          <w:rFonts w:ascii="宋体" w:hAnsi="宋体" w:eastAsia="宋体" w:cs="宋体"/>
          <w:color w:val="auto"/>
          <w:sz w:val="24"/>
          <w:szCs w:val="24"/>
        </w:rPr>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（二）自动影像分析菌落计数仪</w:t>
      </w:r>
      <w:r/>
    </w:p>
    <w:p>
      <w:pPr>
        <w:spacing w:line="360" w:lineRule="auto"/>
        <w:tabs>
          <w:tab w:val="left" w:pos="180" w:leader="none"/>
          <w:tab w:val="left" w:pos="540" w:leader="none"/>
        </w:tabs>
        <w:rPr>
          <w:rFonts w:ascii="宋体" w:hAnsi="宋体" w:eastAsia="宋体" w:cs="宋体"/>
          <w:b/>
          <w:color w:val="auto"/>
          <w:sz w:val="24"/>
          <w:szCs w:val="24"/>
        </w:rPr>
      </w:pPr>
      <w:r>
        <w:rPr>
          <w:rFonts w:hint="eastAsia" w:ascii="宋体" w:hAnsi="宋体" w:eastAsia="宋体" w:cs="宋体"/>
          <w:color w:val="auto"/>
          <w:sz w:val="24"/>
          <w:szCs w:val="24"/>
        </w:rPr>
        <w:t xml:space="preserve">1.全封闭钢铝合金机箱，平皿载样舱下拉式铝合金隔断窗，确保光密闭；配置高功率深紫外UVC-LED紫外消毒。</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▲2.彩色凌透背光照明，可调式LED导光列阵形成均匀高亮的11种色彩透射光。</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▲3.多谱莱茵伯格照明，11通道可见激发光、环幕逆透射，与凌透背光可构成132种组合照明模式，可为平皿、多孔板菌落、细胞克隆、病毒蚀斑、支原体等各种样本提供成像光源。</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4.光源控制器，隐形弹吸式控制面板，5路照明选择开关，3通道无级亮度调节，照明组合自由切换。</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▲5.工业相机：4/3英寸大靶面超清镜头，镜头分辨率180 lp/mm；大面阵4/3英寸彩色CMOS传感器，分辨率≥2100万像素，单像素尺寸4.54×4.54μm。</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▲6.最小计数菌落：≤0.01 mm。</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7.菌落计数适用各类平皿和测试片：倾注、涂布、膜滤、接触皿、测试片等。</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▲8.全自动 AI 智能菌落计数，一键启动，无需参数设置，高通量计数，可一次批量分析 ≥300 个平皿照片。 </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9.高级菌落统计功能：动态调节统计、偏差预估统计、水平集多模型算法、特定菌落统计、反式统计。</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10.单色分类统计：根据颜色精度、扩散度和菌落大小、轮廓特征，筛选特定菌落。</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11.多色自动聚类：根据颜色聚类精度，自动区分24种不同颜色的菌落。</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12.指定多色筛选：一次筛选1-8种指定颜色菌落。</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13.透明圈特性分析：适用于抑菌圈、水解圈、变色圈、溶钙圈、溶血圈、排油圈、溶磷圈分析。</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14.双色圈自动筛选。</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▲15.菌落特征描述细菌、酵母：颜色、大小、形状、表面形态、边缘、光泽、透明度等特征，智能描述和排序。</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16.菌落特征描述霉菌、放线菌：正面颜色、反面颜色、大小、表面形态、边缘、质地等特征，智能描述和排序。</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17.微生物限度分析工具：培养基适用性检查；控制菌检查－菌落形态。</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18.防霉检测：定量分析防霉等级。</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19.一键式快速测量：一键测定大菌落，适合真菌、放线菌的单菌落分析。</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▲20.具备操作权限与用户登录管理、任务管理、审计追踪管理、数据信息管理等功能，确保数据的真实、准确、完整和可追溯。</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21.操作权限与用户登录管理：“系统管理员、数据审核管理员、实验操作员、实验复核员”四重系统架构，分设职能与权限。</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22.数据信息管理：分析系统产生的电子数据以工程文件的形式进行保存、备份、恢复与检索。</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23. Szone 抑菌圈多模式测量技术：自动检测、拟圆逼近、人工检测。</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▲24.抗生素效价测定：一剂量法效价检测，适合美国药典；二剂量法、三剂量法及合并计算，适合中国药典 2025版；重复性自检：相对误差≤0.01%、重复测量精度 ≤0.002mm；均匀性自检：相对误差≤0.05%；台间测量差异≤0.2%。</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▲25.纸片法药敏分析：支持反射光、暗视野透射光下的双模式清晰抑菌圈自动测量；模糊抑菌圈人工测量； 内置CLSI抗微生物药物敏感性试验（CLSI M100 Ed 33）标准数据库，选择细菌类别、抗菌药物等参数，自动判别细菌耐药敏感性，包含：敏感（S）、剂量依赖型敏感（SDD）、中介（I）、耐药（R）；药敏标准数据库可随 CLSI 最新标准及时更新。</w:t>
      </w:r>
      <w:r/>
    </w:p>
    <w:p>
      <w:pPr>
        <w:spacing w:line="440" w:lineRule="exact"/>
        <w:tabs>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26.仪器规格与配置：菌落成像系统主机1台；</w:t>
      </w:r>
      <w:r>
        <w:rPr>
          <w:rFonts w:ascii="宋体" w:hAnsi="宋体" w:eastAsia="宋体" w:cs="宋体"/>
          <w:color w:val="auto"/>
          <w:sz w:val="24"/>
          <w:szCs w:val="24"/>
        </w:rPr>
        <w:t xml:space="preserve">仪器随机专用控制单元1套</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预装仪器专用操作软件及</w:t>
      </w:r>
      <w:r>
        <w:rPr>
          <w:rFonts w:hint="eastAsia" w:ascii="宋体" w:hAnsi="宋体" w:eastAsia="宋体" w:cs="宋体"/>
          <w:color w:val="auto"/>
          <w:sz w:val="24"/>
          <w:szCs w:val="24"/>
        </w:rPr>
        <w:t xml:space="preserve">Windows 11 专业版操作系统</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包括AI 菌落计数软件、经典菌落分析软件、自动抑菌圈测量软件、抗生素效价测定软件、纸片法药敏分析软件；处理器性能不低于 Intel Core i7-14 代及以上同级桌面处理器，DDR4 3200MHz 及以上内存≥</w:t>
      </w:r>
      <w:r>
        <w:rPr>
          <w:rFonts w:ascii="宋体" w:hAnsi="宋体" w:eastAsia="宋体" w:cs="宋体"/>
          <w:color w:val="auto"/>
          <w:sz w:val="24"/>
          <w:szCs w:val="24"/>
        </w:rPr>
        <w:t xml:space="preserve">32</w:t>
      </w:r>
      <w:r>
        <w:rPr>
          <w:rFonts w:hint="eastAsia" w:ascii="宋体" w:hAnsi="宋体" w:eastAsia="宋体" w:cs="宋体"/>
          <w:color w:val="auto"/>
          <w:sz w:val="24"/>
          <w:szCs w:val="24"/>
        </w:rPr>
        <w:t xml:space="preserve">GB，独立显卡≥2GB，硬盘≥1TB NVMe 高速 SSD，显示器≥27 英寸、IPS 面板、分辨率≥2560×1440、亮度≥300cd/㎡。</w:t>
      </w:r>
      <w:r/>
    </w:p>
    <w:p>
      <w:pPr>
        <w:spacing w:line="440" w:lineRule="exact"/>
        <w:tabs>
          <w:tab w:val="left" w:pos="540" w:leader="none"/>
        </w:tabs>
        <w:rPr>
          <w:rFonts w:ascii="宋体" w:hAnsi="宋体" w:eastAsia="宋体" w:cs="宋体"/>
          <w:b/>
          <w:color w:val="auto"/>
          <w:sz w:val="24"/>
          <w:szCs w:val="24"/>
        </w:rPr>
      </w:pPr>
      <w:r>
        <w:rPr>
          <w:rFonts w:ascii="宋体" w:hAnsi="宋体" w:eastAsia="宋体" w:cs="宋体"/>
          <w:b/>
          <w:color w:val="auto"/>
          <w:sz w:val="24"/>
          <w:szCs w:val="24"/>
        </w:rPr>
      </w:r>
      <w:r/>
    </w:p>
    <w:p>
      <w:pPr>
        <w:spacing w:line="440" w:lineRule="exact"/>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采购包三、数字PCR仪等仪器设备采购清单</w:t>
      </w:r>
      <w:r/>
    </w:p>
    <w:tbl>
      <w:tblPr>
        <w:tblStyle w:val="773"/>
        <w:tblW w:w="9885" w:type="dxa"/>
        <w:jc w:val="center"/>
        <w:tblLayout w:type="fixed"/>
        <w:tblCellMar>
          <w:left w:w="108" w:type="dxa"/>
          <w:top w:w="0" w:type="dxa"/>
          <w:right w:w="108" w:type="dxa"/>
          <w:bottom w:w="0" w:type="dxa"/>
        </w:tblCellMar>
        <w:tblLook w:val="04A0" w:firstRow="1" w:lastRow="0" w:firstColumn="1" w:lastColumn="0" w:noHBand="0" w:noVBand="1"/>
      </w:tblPr>
      <w:tblGrid>
        <w:gridCol w:w="1011"/>
        <w:gridCol w:w="2620"/>
        <w:gridCol w:w="1773"/>
        <w:gridCol w:w="1558"/>
        <w:gridCol w:w="1548"/>
        <w:gridCol w:w="1375"/>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1011" w:type="dxa"/>
            <w:vAlign w:val="center"/>
            <w:vMerge w:val="restart"/>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2620" w:type="dxa"/>
            <w:vAlign w:val="center"/>
            <w:vMerge w:val="restart"/>
            <w:textDirection w:val="lrTb"/>
            <w:noWrap w:val="false"/>
          </w:tcPr>
          <w:p>
            <w:pPr>
              <w:jc w:val="lef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1773"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预算</w:t>
            </w:r>
            <w:r/>
          </w:p>
        </w:tc>
        <w:tc>
          <w:tcPr>
            <w:shd w:val="clear" w:color="000000" w:fill="ffffff"/>
            <w:tcBorders>
              <w:top w:val="single" w:color="auto" w:sz="4" w:space="0"/>
              <w:left w:val="none" w:color="000000" w:sz="4" w:space="0"/>
              <w:right w:val="single" w:color="auto" w:sz="4" w:space="0"/>
            </w:tcBorders>
            <w:tcW w:w="1548" w:type="dxa"/>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是否接受进口产品</w:t>
            </w:r>
            <w:r/>
          </w:p>
        </w:tc>
        <w:tc>
          <w:tcPr>
            <w:shd w:val="clear" w:color="000000" w:fill="ffffff"/>
            <w:tcBorders>
              <w:top w:val="single" w:color="auto" w:sz="4" w:space="0"/>
              <w:left w:val="none" w:color="000000" w:sz="4" w:space="0"/>
              <w:right w:val="single" w:color="auto" w:sz="4" w:space="0"/>
            </w:tcBorders>
            <w:tcW w:w="1375" w:type="dxa"/>
            <w:vAlign w:val="center"/>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是否</w:t>
            </w:r>
            <w:r>
              <w:rPr>
                <w:rFonts w:ascii="宋体" w:hAnsi="宋体" w:eastAsia="宋体" w:cs="宋体"/>
                <w:color w:val="auto"/>
                <w:sz w:val="24"/>
                <w:szCs w:val="24"/>
              </w:rPr>
              <w:t xml:space="preserve">为</w:t>
            </w:r>
            <w:r>
              <w:rPr>
                <w:rFonts w:hint="eastAsia" w:ascii="宋体" w:hAnsi="宋体" w:eastAsia="宋体" w:cs="宋体"/>
                <w:color w:val="auto"/>
                <w:sz w:val="24"/>
                <w:szCs w:val="24"/>
              </w:rPr>
              <w:t xml:space="preserve">核心产品</w:t>
            </w:r>
            <w:r/>
          </w:p>
        </w:tc>
      </w:tr>
      <w:tr>
        <w:trPr>
          <w:jc w:val="center"/>
          <w:trHeight w:val="278"/>
        </w:trPr>
        <w:tc>
          <w:tcPr>
            <w:tcBorders>
              <w:top w:val="single" w:color="auto" w:sz="4" w:space="0"/>
              <w:left w:val="single" w:color="auto" w:sz="4" w:space="0"/>
              <w:bottom w:val="single" w:color="auto" w:sz="4" w:space="0"/>
              <w:right w:val="single" w:color="auto" w:sz="4" w:space="0"/>
            </w:tcBorders>
            <w:tcW w:w="1011" w:type="dxa"/>
            <w:vAlign w:val="center"/>
            <w:vMerge w:val="continue"/>
            <w:textDirection w:val="lrTb"/>
            <w:noWrap w:val="false"/>
          </w:tcPr>
          <w:p>
            <w:pPr>
              <w:jc w:val="left"/>
              <w:widowControl/>
              <w:rPr>
                <w:rFonts w:ascii="宋体" w:hAnsi="宋体" w:eastAsia="宋体" w:cs="宋体"/>
                <w:b/>
                <w:bCs/>
                <w:color w:val="auto"/>
                <w:sz w:val="24"/>
                <w:szCs w:val="24"/>
              </w:rPr>
            </w:pPr>
            <w:r>
              <w:rPr>
                <w:rFonts w:ascii="宋体" w:hAnsi="宋体" w:eastAsia="宋体" w:cs="宋体"/>
                <w:b/>
                <w:bCs/>
                <w:color w:val="auto"/>
                <w:sz w:val="24"/>
                <w:szCs w:val="24"/>
              </w:rPr>
            </w:r>
            <w:r/>
          </w:p>
        </w:tc>
        <w:tc>
          <w:tcPr>
            <w:tcBorders>
              <w:top w:val="single" w:color="auto" w:sz="4" w:space="0"/>
              <w:left w:val="single" w:color="auto" w:sz="4" w:space="0"/>
              <w:bottom w:val="single" w:color="auto" w:sz="4" w:space="0"/>
              <w:right w:val="single" w:color="auto" w:sz="4" w:space="0"/>
            </w:tcBorders>
            <w:tcW w:w="2620" w:type="dxa"/>
            <w:vAlign w:val="center"/>
            <w:vMerge w:val="continue"/>
            <w:textDirection w:val="lrTb"/>
            <w:noWrap w:val="false"/>
          </w:tcPr>
          <w:p>
            <w:pPr>
              <w:jc w:val="left"/>
              <w:widowControl/>
              <w:rPr>
                <w:rFonts w:ascii="宋体" w:hAnsi="宋体" w:eastAsia="宋体" w:cs="宋体"/>
                <w:b/>
                <w:bCs/>
                <w:color w:val="auto"/>
                <w:sz w:val="24"/>
                <w:szCs w:val="24"/>
              </w:rPr>
            </w:pPr>
            <w:r>
              <w:rPr>
                <w:rFonts w:ascii="宋体" w:hAnsi="宋体" w:eastAsia="宋体" w:cs="宋体"/>
                <w:b/>
                <w:bCs/>
                <w:color w:val="auto"/>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1773"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1558"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（万元）</w:t>
            </w:r>
            <w:r/>
          </w:p>
        </w:tc>
        <w:tc>
          <w:tcPr>
            <w:shd w:val="clear" w:color="000000" w:fill="ffffff"/>
            <w:tcBorders>
              <w:left w:val="none" w:color="000000" w:sz="4" w:space="0"/>
              <w:bottom w:val="single" w:color="auto" w:sz="4" w:space="0"/>
              <w:right w:val="single" w:color="auto" w:sz="4" w:space="0"/>
            </w:tcBorders>
            <w:tcW w:w="1548" w:type="dxa"/>
            <w:vAlign w:val="center"/>
            <w:vMerge w:val="continue"/>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shd w:val="clear" w:color="000000" w:fill="ffffff"/>
            <w:tcBorders>
              <w:left w:val="none" w:color="000000" w:sz="4" w:space="0"/>
              <w:bottom w:val="single" w:color="auto" w:sz="4" w:space="0"/>
              <w:right w:val="single" w:color="auto" w:sz="4" w:space="0"/>
            </w:tcBorders>
            <w:tcW w:w="1375" w:type="dxa"/>
            <w:vAlign w:val="center"/>
            <w:vMerge w:val="continue"/>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278"/>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620" w:type="dxa"/>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数字PCR仪</w:t>
            </w:r>
            <w:r/>
          </w:p>
        </w:tc>
        <w:tc>
          <w:tcPr>
            <w:shd w:val="clear" w:color="000000" w:fill="ffffff"/>
            <w:tcBorders>
              <w:top w:val="none" w:color="000000" w:sz="4" w:space="0"/>
              <w:left w:val="none" w:color="000000" w:sz="4" w:space="0"/>
              <w:bottom w:val="single" w:color="auto" w:sz="4" w:space="0"/>
              <w:right w:val="single" w:color="auto" w:sz="4" w:space="0"/>
            </w:tcBorders>
            <w:tcW w:w="177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55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15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c>
          <w:tcPr>
            <w:shd w:val="clear" w:color="000000" w:fill="ffffff"/>
            <w:tcBorders>
              <w:top w:val="none" w:color="000000" w:sz="4" w:space="0"/>
              <w:left w:val="none" w:color="000000" w:sz="4" w:space="0"/>
              <w:bottom w:val="single" w:color="auto" w:sz="4" w:space="0"/>
              <w:right w:val="single" w:color="auto" w:sz="4" w:space="0"/>
            </w:tcBorders>
            <w:tcW w:w="137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jc w:val="center"/>
          <w:trHeight w:val="278"/>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620" w:type="dxa"/>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实时荧光定量PCR仪</w:t>
            </w:r>
            <w:r/>
          </w:p>
        </w:tc>
        <w:tc>
          <w:tcPr>
            <w:shd w:val="clear" w:color="000000" w:fill="ffffff"/>
            <w:tcBorders>
              <w:top w:val="none" w:color="000000" w:sz="4" w:space="0"/>
              <w:left w:val="none" w:color="000000" w:sz="4" w:space="0"/>
              <w:bottom w:val="single" w:color="auto" w:sz="4" w:space="0"/>
              <w:right w:val="single" w:color="auto" w:sz="4" w:space="0"/>
            </w:tcBorders>
            <w:tcW w:w="177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55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154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c>
          <w:tcPr>
            <w:shd w:val="clear" w:color="000000" w:fill="ffffff"/>
            <w:tcBorders>
              <w:top w:val="none" w:color="000000" w:sz="4" w:space="0"/>
              <w:left w:val="none" w:color="000000" w:sz="4" w:space="0"/>
              <w:bottom w:val="single" w:color="auto" w:sz="4" w:space="0"/>
              <w:right w:val="single" w:color="auto" w:sz="4" w:space="0"/>
            </w:tcBorders>
            <w:tcW w:w="137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jc w:val="center"/>
          <w:trHeight w:val="278"/>
        </w:trPr>
        <w:tc>
          <w:tcPr>
            <w:gridSpan w:val="2"/>
            <w:tcBorders>
              <w:top w:val="single" w:color="auto" w:sz="4" w:space="0"/>
              <w:left w:val="single" w:color="auto" w:sz="4" w:space="0"/>
              <w:bottom w:val="single" w:color="auto" w:sz="4" w:space="0"/>
              <w:right w:val="single" w:color="000000" w:sz="4" w:space="0"/>
            </w:tcBorders>
            <w:tcW w:w="3631"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Borders>
              <w:top w:val="none" w:color="000000" w:sz="4" w:space="0"/>
              <w:left w:val="none" w:color="000000" w:sz="4" w:space="0"/>
              <w:bottom w:val="single" w:color="auto" w:sz="4" w:space="0"/>
              <w:right w:val="single" w:color="auto" w:sz="4" w:space="0"/>
            </w:tcBorders>
            <w:tcW w:w="1773"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1558"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147</w:t>
            </w:r>
            <w:r/>
          </w:p>
        </w:tc>
        <w:tc>
          <w:tcPr>
            <w:tcBorders>
              <w:top w:val="none" w:color="000000" w:sz="4" w:space="0"/>
              <w:left w:val="none" w:color="000000" w:sz="4" w:space="0"/>
              <w:bottom w:val="single" w:color="auto" w:sz="4" w:space="0"/>
              <w:right w:val="single" w:color="auto" w:sz="4" w:space="0"/>
            </w:tcBorders>
            <w:tcW w:w="1548" w:type="dxa"/>
            <w:vAlign w:val="center"/>
            <w:textDirection w:val="lrTb"/>
            <w:noWrap/>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375" w:type="dxa"/>
            <w:vAlign w:val="center"/>
            <w:textDirection w:val="lrTb"/>
            <w:noWrap/>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bl>
    <w:p>
      <w:pPr>
        <w:spacing w:line="360" w:lineRule="auto"/>
        <w:tabs>
          <w:tab w:val="left" w:pos="540" w:leader="none"/>
        </w:tabs>
        <w:rPr>
          <w:rFonts w:ascii="宋体" w:hAnsi="宋体" w:eastAsia="宋体" w:cs="宋体"/>
          <w:b/>
          <w:color w:val="auto"/>
          <w:sz w:val="24"/>
          <w:szCs w:val="24"/>
        </w:rPr>
      </w:pPr>
      <w:r>
        <w:rPr>
          <w:rFonts w:ascii="宋体" w:hAnsi="宋体" w:eastAsia="宋体" w:cs="宋体"/>
          <w:b/>
          <w:color w:val="auto"/>
          <w:sz w:val="24"/>
          <w:szCs w:val="24"/>
        </w:rPr>
      </w:r>
      <w:r/>
    </w:p>
    <w:p>
      <w:pPr>
        <w:spacing w:line="360" w:lineRule="auto"/>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采购包三主要技术参数</w:t>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（一）数字PCR仪</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1.一体机设计。</w:t>
      </w:r>
      <w:r/>
    </w:p>
    <w:p>
      <w:pPr>
        <w:spacing w:line="360" w:lineRule="auto"/>
        <w:rPr>
          <w:rFonts w:ascii="宋体" w:hAnsi="宋体" w:eastAsia="宋体" w:cs="宋体"/>
          <w:b/>
          <w:iCs/>
          <w:color w:val="auto"/>
          <w:sz w:val="24"/>
          <w:szCs w:val="24"/>
        </w:rPr>
      </w:pPr>
      <w:r>
        <w:rPr>
          <w:rFonts w:hint="eastAsia" w:ascii="宋体" w:hAnsi="宋体" w:eastAsia="宋体" w:cs="宋体"/>
          <w:color w:val="auto"/>
          <w:sz w:val="24"/>
          <w:szCs w:val="24"/>
        </w:rPr>
        <w:t xml:space="preserve">▲2.反应方式：使用芯片微孔区隔与惰性非挥发性油封口的方式结合生成微滴</w:t>
      </w:r>
      <w:r>
        <w:rPr>
          <w:rFonts w:hint="eastAsia" w:ascii="宋体" w:hAnsi="宋体" w:eastAsia="宋体" w:cs="宋体"/>
          <w:bCs/>
          <w:iCs/>
          <w:color w:val="auto"/>
          <w:sz w:val="24"/>
          <w:szCs w:val="24"/>
        </w:rPr>
        <w:t xml:space="preserve">（需提供制造商公开发布的印刷资料和制造商互联网主页上的产品说明截图，以及演示视频）</w:t>
      </w:r>
      <w:r>
        <w:rPr>
          <w:rFonts w:hint="eastAsia" w:ascii="宋体" w:hAnsi="宋体" w:eastAsia="宋体" w:cs="宋体"/>
          <w:b/>
          <w:iCs/>
          <w:color w:val="auto"/>
          <w:sz w:val="24"/>
          <w:szCs w:val="24"/>
        </w:rPr>
        <w:t xml:space="preserve">。</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3.预置物理分区，非油包水分区。</w:t>
      </w:r>
      <w:r/>
    </w:p>
    <w:p>
      <w:pPr>
        <w:spacing w:line="360" w:lineRule="auto"/>
        <w:rPr>
          <w:rFonts w:ascii="宋体" w:hAnsi="宋体" w:eastAsia="宋体" w:cs="宋体"/>
          <w:bCs/>
          <w:color w:val="auto"/>
          <w:sz w:val="24"/>
          <w:szCs w:val="24"/>
        </w:rPr>
      </w:pPr>
      <w:r>
        <w:rPr>
          <w:rFonts w:hint="eastAsia" w:ascii="宋体" w:hAnsi="宋体" w:eastAsia="宋体" w:cs="宋体"/>
          <w:color w:val="auto"/>
          <w:sz w:val="24"/>
          <w:szCs w:val="24"/>
        </w:rPr>
        <w:t xml:space="preserve">4.具有内部质量控制系统或方法，无需手动额外配置；</w:t>
      </w:r>
      <w:r>
        <w:rPr>
          <w:rFonts w:hint="eastAsia" w:ascii="宋体" w:hAnsi="宋体" w:eastAsia="宋体" w:cs="宋体"/>
          <w:bCs/>
          <w:color w:val="auto"/>
          <w:sz w:val="24"/>
          <w:szCs w:val="24"/>
        </w:rPr>
        <w:t xml:space="preserve">具有微孔质量控制功能，能对DNA与RNA分子进行直接的绝对定量。</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★5.激发光源：≥6个独立的LED光源，≥6个检测通道+1质控通道。</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6.具备加压温控模块。</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▲7.微反应读取分析系统检测器采用CMOS相机。</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8.内置触摸显示屏。</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▲9.单次完成样本数量≥96。</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▲10.上样体积的利用率≥96%。</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11.温控均一性≤±0.5℃。</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★12.单个样品对应的芯片区域反应体系分为≥100,000个纳升级的微滴/微孔。</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▲13.可同时兼容3种不同类型的芯片模式，无需更换或增加任何硬件配置，切换后无需任何校准或调试（需提供制造商公开发布的印刷资料和制造商互联网主页上的产品说明截图，以及演示视频）。</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▲14.可同时兼容≥3种上样体积，最大样品上样体积≥45微升/样本孔。</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15.单张芯片完成实验时长≤90分钟，包含样本制备、PCR扩增、荧光数据读取、结果自动分析等步骤；整个反应流程耗时不超过3.5小时/48样本，包含微反应生成、PCR扩增和微滴读取及分析（可提供实验时间截屏证明）。</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16.可同时对不少于六种荧光染料进行检测，兼容FAM、ROX、VIC、HEX、Cy3、Cy5等染料。</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17.支持探针法检测。</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18.兼容第三方服务商提供的荧光定量检测试剂盒（提供证明材料、实验记录等）。</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19.软件可自动对检测目标核酸进行绝对定量，根据泊松分布公式自动计算绝对定量拷贝数浓度值，以及生成柱状图，1D点状图，2D点状图，3D点状图，等统计学分析图表。</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20.提供可视化质控微反应原始图片，通过质控获取有效的总微滴数，排除有变异的无效微滴。</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21.可输出Excel表格、JPEG图片等数据格式。</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22.支持拷贝数变异CNV、稀有变异、遗传基因分析、细菌/病毒的定量及定性检测。</w:t>
      </w:r>
      <w:r/>
    </w:p>
    <w:p>
      <w:pPr>
        <w:spacing w:line="360" w:lineRule="auto"/>
        <w:rPr>
          <w:rFonts w:ascii="宋体" w:hAnsi="宋体" w:eastAsia="宋体" w:cs="宋体"/>
          <w:bCs/>
          <w:color w:val="auto"/>
          <w:sz w:val="24"/>
          <w:szCs w:val="24"/>
        </w:rPr>
      </w:pPr>
      <w:r>
        <w:rPr>
          <w:rFonts w:hint="eastAsia" w:ascii="宋体" w:hAnsi="宋体" w:eastAsia="宋体" w:cs="宋体"/>
          <w:color w:val="auto"/>
          <w:sz w:val="24"/>
          <w:szCs w:val="24"/>
        </w:rPr>
        <w:t xml:space="preserve">▲23.可对接LIMS系统，</w:t>
      </w:r>
      <w:r>
        <w:rPr>
          <w:rFonts w:hint="eastAsia" w:ascii="宋体" w:hAnsi="宋体" w:eastAsia="宋体" w:cs="宋体"/>
          <w:bCs/>
          <w:color w:val="auto"/>
          <w:sz w:val="24"/>
          <w:szCs w:val="24"/>
        </w:rPr>
        <w:t xml:space="preserve">实现全自动化数据传输及分析。</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24.</w:t>
      </w:r>
      <w:r>
        <w:rPr>
          <w:rFonts w:hint="eastAsia"/>
          <w:color w:val="auto"/>
          <w:sz w:val="24"/>
        </w:rPr>
        <w:t xml:space="preserve"> </w:t>
      </w:r>
      <w:r>
        <w:rPr>
          <w:rFonts w:hint="eastAsia" w:ascii="宋体" w:hAnsi="宋体" w:eastAsia="宋体" w:cs="宋体"/>
          <w:color w:val="auto"/>
          <w:sz w:val="24"/>
          <w:szCs w:val="24"/>
        </w:rPr>
        <w:t xml:space="preserve">仪器随机专用控制单元：预装仪器专用操作软件及正版</w:t>
      </w:r>
      <w:r>
        <w:rPr>
          <w:rFonts w:ascii="宋体" w:hAnsi="宋体" w:eastAsia="宋体" w:cs="宋体"/>
          <w:color w:val="auto"/>
          <w:sz w:val="24"/>
          <w:szCs w:val="24"/>
        </w:rPr>
        <w:t xml:space="preserve"> Windows 11 </w:t>
      </w:r>
      <w:r>
        <w:rPr>
          <w:rFonts w:hint="eastAsia" w:ascii="宋体" w:hAnsi="宋体" w:eastAsia="宋体" w:cs="宋体"/>
          <w:color w:val="auto"/>
          <w:sz w:val="24"/>
          <w:szCs w:val="24"/>
        </w:rPr>
        <w:t xml:space="preserve">专业版操作系统，系统性能满足实时数据采集、高速谱图</w:t>
      </w:r>
      <w:r>
        <w:rPr>
          <w:rFonts w:ascii="宋体" w:hAnsi="宋体" w:eastAsia="宋体" w:cs="宋体"/>
          <w:color w:val="auto"/>
          <w:sz w:val="24"/>
          <w:szCs w:val="24"/>
        </w:rPr>
        <w:t xml:space="preserve"> / </w:t>
      </w:r>
      <w:r>
        <w:rPr>
          <w:rFonts w:hint="eastAsia" w:ascii="宋体" w:hAnsi="宋体" w:eastAsia="宋体" w:cs="宋体"/>
          <w:color w:val="auto"/>
          <w:sz w:val="24"/>
          <w:szCs w:val="24"/>
        </w:rPr>
        <w:t xml:space="preserve">图像处理及多任务分析运算需求；处理器性能不低于</w:t>
      </w:r>
      <w:r>
        <w:rPr>
          <w:rFonts w:ascii="宋体" w:hAnsi="宋体" w:eastAsia="宋体" w:cs="宋体"/>
          <w:color w:val="auto"/>
          <w:sz w:val="24"/>
          <w:szCs w:val="24"/>
        </w:rPr>
        <w:t xml:space="preserve"> Intel Core i7-14 </w:t>
      </w:r>
      <w:r>
        <w:rPr>
          <w:rFonts w:hint="eastAsia" w:ascii="宋体" w:hAnsi="宋体" w:eastAsia="宋体" w:cs="宋体"/>
          <w:color w:val="auto"/>
          <w:sz w:val="24"/>
          <w:szCs w:val="24"/>
        </w:rPr>
        <w:t xml:space="preserve">代及以上同级桌面处理器，</w:t>
      </w:r>
      <w:r>
        <w:rPr>
          <w:rFonts w:ascii="宋体" w:hAnsi="宋体" w:eastAsia="宋体" w:cs="宋体"/>
          <w:color w:val="auto"/>
          <w:sz w:val="24"/>
          <w:szCs w:val="24"/>
        </w:rPr>
        <w:t xml:space="preserve">DDR4 3200MHz </w:t>
      </w:r>
      <w:r>
        <w:rPr>
          <w:rFonts w:hint="eastAsia" w:ascii="宋体" w:hAnsi="宋体" w:eastAsia="宋体" w:cs="宋体"/>
          <w:color w:val="auto"/>
          <w:sz w:val="24"/>
          <w:szCs w:val="24"/>
        </w:rPr>
        <w:t xml:space="preserve">及以上内存≥</w:t>
      </w:r>
      <w:r>
        <w:rPr>
          <w:rFonts w:ascii="宋体" w:hAnsi="宋体" w:eastAsia="宋体" w:cs="宋体"/>
          <w:color w:val="auto"/>
          <w:sz w:val="24"/>
          <w:szCs w:val="24"/>
        </w:rPr>
        <w:t xml:space="preserve">16GB</w:t>
      </w:r>
      <w:r>
        <w:rPr>
          <w:rFonts w:hint="eastAsia" w:ascii="宋体" w:hAnsi="宋体" w:eastAsia="宋体" w:cs="宋体"/>
          <w:color w:val="auto"/>
          <w:sz w:val="24"/>
          <w:szCs w:val="24"/>
        </w:rPr>
        <w:t xml:space="preserve">，硬盘≥</w:t>
      </w:r>
      <w:r>
        <w:rPr>
          <w:rFonts w:ascii="宋体" w:hAnsi="宋体" w:eastAsia="宋体" w:cs="宋体"/>
          <w:color w:val="auto"/>
          <w:sz w:val="24"/>
          <w:szCs w:val="24"/>
        </w:rPr>
        <w:t xml:space="preserve">1TB NVMe </w:t>
      </w:r>
      <w:r>
        <w:rPr>
          <w:rFonts w:hint="eastAsia" w:ascii="宋体" w:hAnsi="宋体" w:eastAsia="宋体" w:cs="宋体"/>
          <w:color w:val="auto"/>
          <w:sz w:val="24"/>
          <w:szCs w:val="24"/>
        </w:rPr>
        <w:t xml:space="preserve">高速</w:t>
      </w:r>
      <w:r>
        <w:rPr>
          <w:rFonts w:ascii="宋体" w:hAnsi="宋体" w:eastAsia="宋体" w:cs="宋体"/>
          <w:color w:val="auto"/>
          <w:sz w:val="24"/>
          <w:szCs w:val="24"/>
        </w:rPr>
        <w:t xml:space="preserve"> SSD</w:t>
      </w:r>
      <w:r>
        <w:rPr>
          <w:rFonts w:hint="eastAsia" w:ascii="宋体" w:hAnsi="宋体" w:eastAsia="宋体" w:cs="宋体"/>
          <w:color w:val="auto"/>
          <w:sz w:val="24"/>
          <w:szCs w:val="24"/>
        </w:rPr>
        <w:t xml:space="preserve">，显示器≥</w:t>
      </w:r>
      <w:r>
        <w:rPr>
          <w:rFonts w:ascii="宋体" w:hAnsi="宋体" w:eastAsia="宋体" w:cs="宋体"/>
          <w:color w:val="auto"/>
          <w:sz w:val="24"/>
          <w:szCs w:val="24"/>
        </w:rPr>
        <w:t xml:space="preserve">27 </w:t>
      </w:r>
      <w:r>
        <w:rPr>
          <w:rFonts w:hint="eastAsia" w:ascii="宋体" w:hAnsi="宋体" w:eastAsia="宋体" w:cs="宋体"/>
          <w:color w:val="auto"/>
          <w:sz w:val="24"/>
          <w:szCs w:val="24"/>
        </w:rPr>
        <w:t xml:space="preserve">英寸、</w:t>
      </w:r>
      <w:r>
        <w:rPr>
          <w:rFonts w:ascii="宋体" w:hAnsi="宋体" w:eastAsia="宋体" w:cs="宋体"/>
          <w:color w:val="auto"/>
          <w:sz w:val="24"/>
          <w:szCs w:val="24"/>
        </w:rPr>
        <w:t xml:space="preserve">IPS </w:t>
      </w:r>
      <w:r>
        <w:rPr>
          <w:rFonts w:hint="eastAsia" w:ascii="宋体" w:hAnsi="宋体" w:eastAsia="宋体" w:cs="宋体"/>
          <w:color w:val="auto"/>
          <w:sz w:val="24"/>
          <w:szCs w:val="24"/>
        </w:rPr>
        <w:t xml:space="preserve">面板、分辨率≥</w:t>
      </w:r>
      <w:r>
        <w:rPr>
          <w:rFonts w:ascii="宋体" w:hAnsi="宋体" w:eastAsia="宋体" w:cs="宋体"/>
          <w:color w:val="auto"/>
          <w:sz w:val="24"/>
          <w:szCs w:val="24"/>
        </w:rPr>
        <w:t xml:space="preserve">2560</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1440</w:t>
      </w:r>
      <w:r>
        <w:rPr>
          <w:rFonts w:hint="eastAsia" w:ascii="宋体" w:hAnsi="宋体" w:eastAsia="宋体" w:cs="宋体"/>
          <w:color w:val="auto"/>
          <w:sz w:val="24"/>
          <w:szCs w:val="24"/>
        </w:rPr>
        <w:t xml:space="preserve">、亮度≥</w:t>
      </w:r>
      <w:r>
        <w:rPr>
          <w:rFonts w:ascii="宋体" w:hAnsi="宋体" w:eastAsia="宋体" w:cs="宋体"/>
          <w:color w:val="auto"/>
          <w:sz w:val="24"/>
          <w:szCs w:val="24"/>
        </w:rPr>
        <w:t xml:space="preserve">300cd/</w:t>
      </w:r>
      <w:r>
        <w:rPr>
          <w:rFonts w:hint="eastAsia" w:ascii="宋体" w:hAnsi="宋体" w:eastAsia="宋体" w:cs="宋体"/>
          <w:color w:val="auto"/>
          <w:sz w:val="24"/>
          <w:szCs w:val="24"/>
        </w:rPr>
        <w:t xml:space="preserve">㎡。</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25.</w:t>
      </w:r>
      <w:r>
        <w:rPr>
          <w:rFonts w:hint="eastAsia" w:ascii="宋体" w:hAnsi="宋体" w:eastAsia="宋体" w:cs="宋体"/>
          <w:color w:val="auto"/>
          <w:sz w:val="24"/>
          <w:szCs w:val="24"/>
        </w:rPr>
        <w:t xml:space="preserve">配置清单：数字PCR检测系统1套、控制单元1套。</w:t>
      </w:r>
      <w:r/>
    </w:p>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（二）实时荧光定量PCR仪</w:t>
      </w:r>
      <w:r/>
    </w:p>
    <w:p>
      <w:pPr>
        <w:jc w:val="left"/>
        <w:spacing w:line="360" w:lineRule="auto"/>
        <w:widowControl/>
        <w:rPr>
          <w:rFonts w:ascii="宋体" w:hAnsi="宋体" w:eastAsia="宋体" w:cs="宋体"/>
          <w:color w:val="auto"/>
          <w:sz w:val="24"/>
          <w:szCs w:val="24"/>
        </w:rPr>
      </w:pPr>
      <w:r/>
      <w:bookmarkStart w:id="47" w:name="OLE_LINK5"/>
      <w:r>
        <w:rPr>
          <w:rFonts w:hint="eastAsia" w:ascii="宋体" w:hAnsi="宋体" w:eastAsia="宋体" w:cs="宋体"/>
          <w:color w:val="auto"/>
          <w:sz w:val="24"/>
          <w:szCs w:val="24"/>
        </w:rPr>
        <w:t xml:space="preserve">▲1.装机指标：可区分1000拷贝和2000拷贝模板浓度的差异。</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2.反应时间：40个循环反应：≤60分钟（96孔板标准检测）。</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▲3.线性范围：1-10</w:t>
      </w:r>
      <w:r>
        <w:rPr>
          <w:rFonts w:hint="eastAsia" w:ascii="宋体" w:hAnsi="宋体" w:eastAsia="宋体" w:cs="宋体"/>
          <w:color w:val="auto"/>
          <w:sz w:val="24"/>
          <w:szCs w:val="24"/>
          <w:vertAlign w:val="superscript"/>
        </w:rPr>
        <w:t xml:space="preserve">10</w:t>
      </w:r>
      <w:r>
        <w:rPr>
          <w:rFonts w:hint="eastAsia" w:ascii="宋体" w:hAnsi="宋体" w:eastAsia="宋体" w:cs="宋体"/>
          <w:color w:val="auto"/>
          <w:sz w:val="24"/>
          <w:szCs w:val="24"/>
        </w:rPr>
        <w:t xml:space="preserve">个拷贝。</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4.检测灵敏度：可检测单拷贝基因。</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5.重复性：样品检测重复性CV≤0.15%（Cq值）；低浓度荧光染料（5 nmol/l）荧光强度检测重复性CV≤2.00%。</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▲6.模块规格：96孔。</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★7.主机配置96孔模块，可以兼容升级384孔模块，两种模块可自行更换，更换后无需校准。 </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8.无需校准：无需ROX等被动染料校正；无需用户进行特定荧光通道的颜色补偿校准；反应模块首次安装及更换后无需校准；无需定期校正光路。</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9.温控模块组件：帕尔贴元件进行精确温度控制。</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10.温控模块设计：所有样本对应的温控模块一体化成型，不由独立的多个小型模块组合而组成。</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11.反应体系：96孔模块（10-100 μL），384孔模块（5-30μL）。</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12.温度准确性：偏差 ≤ ±0.1℃（55 - 95℃）。</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▲13.温度均一性：≤ 0.1℃（55 - 95℃）。 </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14.熔解曲线温度分辨率：≤ 0.01℃。</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▲15.光源：白色LED光源。</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★16.检测通道数：≥7个。</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17.激发滤光片波长范围至少包括：432-687 nm。</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18.检测系统：CCD或CMOS。</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▲19.样本检测方式：所有样本同时检测；所有样本同时激发并采集数据，孔间无时间差。</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20.光路设计：采用全固定光路设计，无移动机械部件；激发光源与检测系统在工作中无需移动，保证系统稳定性，免维护，无需定期校正光路。</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▲21.激发滤光片与检测滤光片可自由组合，提供≥21种不同的组合的检测模式。</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22.熔解曲线数据采集频率：每摄氏度采集≥100个数据点。</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23.具有定性定量（绝对定量、相对定量）、自动报告熔解温度、自动报告基因分型结果等功能，配套的运行和结果分析软件，能够针对观察到的扩增情况随时增加循环数目，实时动态监测，扩增和检测同时进行。</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24.具备颜色补偿功能，软件内置所有通道的颜色补偿矩阵。</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25.软件符合FDA 21 CFR Part 11法规，便于数据溯源。</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26.可对接LIMS系统，实现全自动化数据传输及分析。</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27.数据导出：PDF, CSV，PNG, XML。</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28.试剂耗材开放，可使用市面上常见荧光染料以及第三方提供的八联管、多孔反应板等。</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29.操作界面：内置主机，触屏完成PCR运行程序设定、多孔板样本编辑 、反应运行和监控、结果访问及管理、用户权限管理等功能。</w:t>
      </w:r>
      <w:r/>
    </w:p>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30.可通过平板及手机进行远程连接。</w:t>
      </w:r>
      <w:bookmarkEnd w:id="47"/>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31.仪器随机专用控制单元：预装仪器专用操作软件及正版</w:t>
      </w:r>
      <w:r>
        <w:rPr>
          <w:rFonts w:ascii="宋体" w:hAnsi="宋体" w:eastAsia="宋体" w:cs="宋体"/>
          <w:color w:val="auto"/>
          <w:sz w:val="24"/>
          <w:szCs w:val="24"/>
        </w:rPr>
        <w:t xml:space="preserve"> Windows 11 </w:t>
      </w:r>
      <w:r>
        <w:rPr>
          <w:rFonts w:hint="eastAsia" w:ascii="宋体" w:hAnsi="宋体" w:eastAsia="宋体" w:cs="宋体"/>
          <w:color w:val="auto"/>
          <w:sz w:val="24"/>
          <w:szCs w:val="24"/>
        </w:rPr>
        <w:t xml:space="preserve">专业版操作系统，系统性能满足实时数据采集、高速谱图</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图像处理及多任务分析运算需求；处理器性能不低于</w:t>
      </w:r>
      <w:r>
        <w:rPr>
          <w:rFonts w:ascii="宋体" w:hAnsi="宋体" w:eastAsia="宋体" w:cs="宋体"/>
          <w:color w:val="auto"/>
          <w:sz w:val="24"/>
          <w:szCs w:val="24"/>
        </w:rPr>
        <w:t xml:space="preserve"> Intel Core i7-14 </w:t>
      </w:r>
      <w:r>
        <w:rPr>
          <w:rFonts w:hint="eastAsia" w:ascii="宋体" w:hAnsi="宋体" w:eastAsia="宋体" w:cs="宋体"/>
          <w:color w:val="auto"/>
          <w:sz w:val="24"/>
          <w:szCs w:val="24"/>
        </w:rPr>
        <w:t xml:space="preserve">代及以上同级桌面处理器，</w:t>
      </w:r>
      <w:r>
        <w:rPr>
          <w:rFonts w:ascii="宋体" w:hAnsi="宋体" w:eastAsia="宋体" w:cs="宋体"/>
          <w:color w:val="auto"/>
          <w:sz w:val="24"/>
          <w:szCs w:val="24"/>
        </w:rPr>
        <w:t xml:space="preserve">DDR4 3200MHz </w:t>
      </w:r>
      <w:r>
        <w:rPr>
          <w:rFonts w:hint="eastAsia" w:ascii="宋体" w:hAnsi="宋体" w:eastAsia="宋体" w:cs="宋体"/>
          <w:color w:val="auto"/>
          <w:sz w:val="24"/>
          <w:szCs w:val="24"/>
        </w:rPr>
        <w:t xml:space="preserve">及以上内存≥</w:t>
      </w:r>
      <w:r>
        <w:rPr>
          <w:rFonts w:ascii="宋体" w:hAnsi="宋体" w:eastAsia="宋体" w:cs="宋体"/>
          <w:color w:val="auto"/>
          <w:sz w:val="24"/>
          <w:szCs w:val="24"/>
        </w:rPr>
        <w:t xml:space="preserve">16GB</w:t>
      </w:r>
      <w:r>
        <w:rPr>
          <w:rFonts w:hint="eastAsia" w:ascii="宋体" w:hAnsi="宋体" w:eastAsia="宋体" w:cs="宋体"/>
          <w:color w:val="auto"/>
          <w:sz w:val="24"/>
          <w:szCs w:val="24"/>
        </w:rPr>
        <w:t xml:space="preserve">，硬盘≥</w:t>
      </w:r>
      <w:r>
        <w:rPr>
          <w:rFonts w:ascii="宋体" w:hAnsi="宋体" w:eastAsia="宋体" w:cs="宋体"/>
          <w:color w:val="auto"/>
          <w:sz w:val="24"/>
          <w:szCs w:val="24"/>
        </w:rPr>
        <w:t xml:space="preserve">1TB NVMe </w:t>
      </w:r>
      <w:r>
        <w:rPr>
          <w:rFonts w:hint="eastAsia" w:ascii="宋体" w:hAnsi="宋体" w:eastAsia="宋体" w:cs="宋体"/>
          <w:color w:val="auto"/>
          <w:sz w:val="24"/>
          <w:szCs w:val="24"/>
        </w:rPr>
        <w:t xml:space="preserve">高速</w:t>
      </w:r>
      <w:r>
        <w:rPr>
          <w:rFonts w:ascii="宋体" w:hAnsi="宋体" w:eastAsia="宋体" w:cs="宋体"/>
          <w:color w:val="auto"/>
          <w:sz w:val="24"/>
          <w:szCs w:val="24"/>
        </w:rPr>
        <w:t xml:space="preserve"> SSD</w:t>
      </w:r>
      <w:r>
        <w:rPr>
          <w:rFonts w:hint="eastAsia" w:ascii="宋体" w:hAnsi="宋体" w:eastAsia="宋体" w:cs="宋体"/>
          <w:color w:val="auto"/>
          <w:sz w:val="24"/>
          <w:szCs w:val="24"/>
        </w:rPr>
        <w:t xml:space="preserve">，显示器≥</w:t>
      </w:r>
      <w:r>
        <w:rPr>
          <w:rFonts w:ascii="宋体" w:hAnsi="宋体" w:eastAsia="宋体" w:cs="宋体"/>
          <w:color w:val="auto"/>
          <w:sz w:val="24"/>
          <w:szCs w:val="24"/>
        </w:rPr>
        <w:t xml:space="preserve">27 </w:t>
      </w:r>
      <w:r>
        <w:rPr>
          <w:rFonts w:hint="eastAsia" w:ascii="宋体" w:hAnsi="宋体" w:eastAsia="宋体" w:cs="宋体"/>
          <w:color w:val="auto"/>
          <w:sz w:val="24"/>
          <w:szCs w:val="24"/>
        </w:rPr>
        <w:t xml:space="preserve">英寸、</w:t>
      </w:r>
      <w:r>
        <w:rPr>
          <w:rFonts w:ascii="宋体" w:hAnsi="宋体" w:eastAsia="宋体" w:cs="宋体"/>
          <w:color w:val="auto"/>
          <w:sz w:val="24"/>
          <w:szCs w:val="24"/>
        </w:rPr>
        <w:t xml:space="preserve">IPS </w:t>
      </w:r>
      <w:r>
        <w:rPr>
          <w:rFonts w:hint="eastAsia" w:ascii="宋体" w:hAnsi="宋体" w:eastAsia="宋体" w:cs="宋体"/>
          <w:color w:val="auto"/>
          <w:sz w:val="24"/>
          <w:szCs w:val="24"/>
        </w:rPr>
        <w:t xml:space="preserve">面板、分辨率≥</w:t>
      </w:r>
      <w:r>
        <w:rPr>
          <w:rFonts w:ascii="宋体" w:hAnsi="宋体" w:eastAsia="宋体" w:cs="宋体"/>
          <w:color w:val="auto"/>
          <w:sz w:val="24"/>
          <w:szCs w:val="24"/>
        </w:rPr>
        <w:t xml:space="preserve">2560</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1440</w:t>
      </w:r>
      <w:r>
        <w:rPr>
          <w:rFonts w:hint="eastAsia" w:ascii="宋体" w:hAnsi="宋体" w:eastAsia="宋体" w:cs="宋体"/>
          <w:color w:val="auto"/>
          <w:sz w:val="24"/>
          <w:szCs w:val="24"/>
        </w:rPr>
        <w:t xml:space="preserve">、亮度≥</w:t>
      </w:r>
      <w:r>
        <w:rPr>
          <w:rFonts w:ascii="宋体" w:hAnsi="宋体" w:eastAsia="宋体" w:cs="宋体"/>
          <w:color w:val="auto"/>
          <w:sz w:val="24"/>
          <w:szCs w:val="24"/>
        </w:rPr>
        <w:t xml:space="preserve">300cd/</w:t>
      </w:r>
      <w:r>
        <w:rPr>
          <w:rFonts w:hint="eastAsia" w:ascii="宋体" w:hAnsi="宋体" w:eastAsia="宋体" w:cs="宋体"/>
          <w:color w:val="auto"/>
          <w:sz w:val="24"/>
          <w:szCs w:val="24"/>
        </w:rPr>
        <w:t xml:space="preserve">㎡。</w:t>
      </w:r>
      <w:r/>
    </w:p>
    <w:p>
      <w:pPr>
        <w:spacing w:line="360" w:lineRule="auto"/>
        <w:tabs>
          <w:tab w:val="left" w:pos="180" w:leader="none"/>
          <w:tab w:val="left" w:pos="54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32. 配置清单：实时荧光定量PCR仪主机1台、</w:t>
      </w:r>
      <w:r>
        <w:rPr>
          <w:rFonts w:ascii="宋体" w:hAnsi="宋体" w:eastAsia="宋体" w:cs="宋体"/>
          <w:color w:val="auto"/>
          <w:sz w:val="24"/>
          <w:szCs w:val="24"/>
        </w:rPr>
        <w:t xml:space="preserve">控制单元1套</w:t>
      </w:r>
      <w:r>
        <w:rPr>
          <w:rFonts w:hint="eastAsia" w:ascii="宋体" w:hAnsi="宋体" w:eastAsia="宋体" w:cs="宋体"/>
          <w:color w:val="auto"/>
          <w:sz w:val="24"/>
          <w:szCs w:val="24"/>
        </w:rPr>
        <w:t xml:space="preserve">。</w:t>
      </w:r>
      <w:r/>
    </w:p>
    <w:p>
      <w:pPr>
        <w:jc w:val="left"/>
        <w:spacing w:line="360" w:lineRule="auto"/>
        <w:widowControl/>
        <w:rPr>
          <w:rFonts w:ascii="宋体" w:hAnsi="宋体" w:eastAsia="宋体" w:cs="宋体"/>
          <w:b/>
          <w:bCs/>
          <w:color w:val="auto"/>
          <w:sz w:val="24"/>
          <w:szCs w:val="24"/>
        </w:rPr>
      </w:pPr>
      <w:r>
        <w:rPr>
          <w:rFonts w:ascii="宋体" w:hAnsi="宋体" w:eastAsia="宋体" w:cs="宋体"/>
          <w:b/>
          <w:bCs/>
          <w:color w:val="auto"/>
          <w:sz w:val="24"/>
          <w:szCs w:val="24"/>
        </w:rPr>
      </w:r>
      <w:r/>
    </w:p>
    <w:p>
      <w:pPr>
        <w:spacing w:line="440" w:lineRule="exact"/>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采购包四、酶联免疫斑点检测分析系统等仪器设备采购清单</w:t>
      </w:r>
      <w:r/>
    </w:p>
    <w:tbl>
      <w:tblPr>
        <w:tblStyle w:val="773"/>
        <w:tblW w:w="9452" w:type="dxa"/>
        <w:jc w:val="center"/>
        <w:tblLayout w:type="fixed"/>
        <w:tblCellMar>
          <w:left w:w="108" w:type="dxa"/>
          <w:top w:w="0" w:type="dxa"/>
          <w:right w:w="108" w:type="dxa"/>
          <w:bottom w:w="0" w:type="dxa"/>
        </w:tblCellMar>
        <w:tblLook w:val="04A0" w:firstRow="1" w:lastRow="0" w:firstColumn="1" w:lastColumn="0" w:noHBand="0" w:noVBand="1"/>
      </w:tblPr>
      <w:tblGrid>
        <w:gridCol w:w="984"/>
        <w:gridCol w:w="3269"/>
        <w:gridCol w:w="1195"/>
        <w:gridCol w:w="1182"/>
        <w:gridCol w:w="1459"/>
        <w:gridCol w:w="1363"/>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984" w:type="dxa"/>
            <w:vAlign w:val="center"/>
            <w:vMerge w:val="restart"/>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3269" w:type="dxa"/>
            <w:vAlign w:val="center"/>
            <w:vMerge w:val="restart"/>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182"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预算</w:t>
            </w:r>
            <w:r/>
          </w:p>
        </w:tc>
        <w:tc>
          <w:tcPr>
            <w:shd w:val="clear" w:color="000000" w:fill="ffffff"/>
            <w:tcBorders>
              <w:top w:val="single" w:color="auto" w:sz="4" w:space="0"/>
              <w:left w:val="none" w:color="000000" w:sz="4" w:space="0"/>
              <w:right w:val="single" w:color="auto" w:sz="4" w:space="0"/>
            </w:tcBorders>
            <w:tcW w:w="1459" w:type="dxa"/>
            <w:vAlign w:val="center"/>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是否接受进口产品</w:t>
            </w:r>
            <w:r/>
          </w:p>
        </w:tc>
        <w:tc>
          <w:tcPr>
            <w:shd w:val="clear" w:color="000000" w:fill="ffffff"/>
            <w:tcBorders>
              <w:top w:val="single" w:color="auto" w:sz="4" w:space="0"/>
              <w:left w:val="none" w:color="000000" w:sz="4" w:space="0"/>
              <w:right w:val="single" w:color="auto" w:sz="4" w:space="0"/>
            </w:tcBorders>
            <w:tcW w:w="1363" w:type="dxa"/>
            <w:vAlign w:val="center"/>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是否</w:t>
            </w:r>
            <w:r>
              <w:rPr>
                <w:rFonts w:ascii="宋体" w:hAnsi="宋体" w:eastAsia="宋体" w:cs="宋体"/>
                <w:color w:val="auto"/>
                <w:sz w:val="24"/>
                <w:szCs w:val="24"/>
              </w:rPr>
              <w:t xml:space="preserve">为</w:t>
            </w:r>
            <w:r>
              <w:rPr>
                <w:rFonts w:hint="eastAsia" w:ascii="宋体" w:hAnsi="宋体" w:eastAsia="宋体" w:cs="宋体"/>
                <w:color w:val="auto"/>
                <w:sz w:val="24"/>
                <w:szCs w:val="24"/>
              </w:rPr>
              <w:t xml:space="preserve">核心产品</w:t>
            </w:r>
            <w:r/>
          </w:p>
        </w:tc>
      </w:tr>
      <w:tr>
        <w:trPr>
          <w:jc w:val="center"/>
          <w:trHeight w:val="278"/>
        </w:trPr>
        <w:tc>
          <w:tcPr>
            <w:tcBorders>
              <w:top w:val="single" w:color="auto" w:sz="4" w:space="0"/>
              <w:left w:val="single" w:color="auto" w:sz="4" w:space="0"/>
              <w:bottom w:val="single" w:color="auto" w:sz="4" w:space="0"/>
              <w:right w:val="single" w:color="auto" w:sz="4" w:space="0"/>
            </w:tcBorders>
            <w:tcW w:w="984" w:type="dxa"/>
            <w:vAlign w:val="center"/>
            <w:vMerge w:val="continue"/>
            <w:textDirection w:val="lrTb"/>
            <w:noWrap w:val="false"/>
          </w:tcPr>
          <w:p>
            <w:pPr>
              <w:jc w:val="center"/>
              <w:widowControl/>
              <w:rPr>
                <w:rFonts w:ascii="宋体" w:hAnsi="宋体" w:eastAsia="宋体" w:cs="宋体"/>
                <w:b/>
                <w:bCs/>
                <w:color w:val="auto"/>
                <w:sz w:val="24"/>
                <w:szCs w:val="24"/>
              </w:rPr>
            </w:pPr>
            <w:r>
              <w:rPr>
                <w:rFonts w:ascii="宋体" w:hAnsi="宋体" w:eastAsia="宋体" w:cs="宋体"/>
                <w:b/>
                <w:bCs/>
                <w:color w:val="auto"/>
                <w:sz w:val="24"/>
                <w:szCs w:val="24"/>
              </w:rPr>
            </w:r>
            <w:r/>
          </w:p>
        </w:tc>
        <w:tc>
          <w:tcPr>
            <w:tcBorders>
              <w:top w:val="single" w:color="auto" w:sz="4" w:space="0"/>
              <w:left w:val="single" w:color="auto" w:sz="4" w:space="0"/>
              <w:bottom w:val="single" w:color="auto" w:sz="4" w:space="0"/>
              <w:right w:val="single" w:color="auto" w:sz="4" w:space="0"/>
            </w:tcBorders>
            <w:tcW w:w="3269" w:type="dxa"/>
            <w:vAlign w:val="center"/>
            <w:vMerge w:val="continue"/>
            <w:textDirection w:val="lrTb"/>
            <w:noWrap w:val="false"/>
          </w:tcPr>
          <w:p>
            <w:pPr>
              <w:jc w:val="center"/>
              <w:widowControl/>
              <w:rPr>
                <w:rFonts w:ascii="宋体" w:hAnsi="宋体" w:eastAsia="宋体" w:cs="宋体"/>
                <w:b/>
                <w:bCs/>
                <w:color w:val="auto"/>
                <w:sz w:val="24"/>
                <w:szCs w:val="24"/>
              </w:rPr>
            </w:pPr>
            <w:r>
              <w:rPr>
                <w:rFonts w:ascii="宋体" w:hAnsi="宋体" w:eastAsia="宋体" w:cs="宋体"/>
                <w:b/>
                <w:bCs/>
                <w:color w:val="auto"/>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1195"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（台套）</w:t>
            </w:r>
            <w:r/>
          </w:p>
        </w:tc>
        <w:tc>
          <w:tcPr>
            <w:shd w:val="clear" w:color="000000" w:fill="ffffff"/>
            <w:tcBorders>
              <w:top w:val="single" w:color="auto" w:sz="4" w:space="0"/>
              <w:left w:val="none" w:color="000000" w:sz="4" w:space="0"/>
              <w:bottom w:val="single" w:color="auto" w:sz="4" w:space="0"/>
              <w:right w:val="single" w:color="auto" w:sz="4" w:space="0"/>
            </w:tcBorders>
            <w:tcW w:w="1182"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（万元）</w:t>
            </w:r>
            <w:r/>
          </w:p>
        </w:tc>
        <w:tc>
          <w:tcPr>
            <w:shd w:val="clear" w:color="000000" w:fill="ffffff"/>
            <w:tcBorders>
              <w:left w:val="none" w:color="000000" w:sz="4" w:space="0"/>
              <w:bottom w:val="single" w:color="auto" w:sz="4" w:space="0"/>
              <w:right w:val="single" w:color="auto" w:sz="4" w:space="0"/>
            </w:tcBorders>
            <w:tcW w:w="1459" w:type="dxa"/>
            <w:vAlign w:val="center"/>
            <w:vMerge w:val="continue"/>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shd w:val="clear" w:color="000000" w:fill="ffffff"/>
            <w:tcBorders>
              <w:left w:val="none" w:color="000000" w:sz="4" w:space="0"/>
              <w:bottom w:val="single" w:color="auto" w:sz="4" w:space="0"/>
              <w:right w:val="single" w:color="auto" w:sz="4" w:space="0"/>
            </w:tcBorders>
            <w:tcW w:w="1363" w:type="dxa"/>
            <w:vAlign w:val="center"/>
            <w:vMerge w:val="continue"/>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酶联免疫斑点检测分析系统</w:t>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40</w:t>
            </w:r>
            <w:r/>
          </w:p>
        </w:tc>
        <w:tc>
          <w:tcPr>
            <w:shd w:val="clear" w:color="000000" w:fill="ffffff"/>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c>
          <w:tcPr>
            <w:shd w:val="clear" w:color="000000" w:fill="ffffff"/>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98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single" w:color="auto" w:sz="4" w:space="0"/>
              <w:bottom w:val="single" w:color="auto" w:sz="4" w:space="0"/>
              <w:right w:val="single" w:color="auto" w:sz="4" w:space="0"/>
            </w:tcBorders>
            <w:tcW w:w="3269"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倒置荧光显微镜</w:t>
            </w:r>
            <w:r/>
          </w:p>
        </w:tc>
        <w:tc>
          <w:tcPr>
            <w:tcBorders>
              <w:top w:val="none" w:color="000000" w:sz="4" w:space="0"/>
              <w:left w:val="single" w:color="auto" w:sz="4" w:space="0"/>
              <w:bottom w:val="single" w:color="auto" w:sz="4" w:space="0"/>
              <w:right w:val="single" w:color="auto" w:sz="4" w:space="0"/>
            </w:tcBorders>
            <w:tcW w:w="1195" w:type="dxa"/>
            <w:vAlign w:val="center"/>
            <w:textDirection w:val="lrTb"/>
            <w:noWrap/>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45</w:t>
            </w:r>
            <w:r/>
          </w:p>
        </w:tc>
        <w:tc>
          <w:tcPr>
            <w:shd w:val="clear" w:color="000000" w:fill="ffffff"/>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c>
          <w:tcPr>
            <w:shd w:val="clear" w:color="000000" w:fill="ffffff"/>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98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none" w:color="000000" w:sz="4" w:space="0"/>
              <w:left w:val="single" w:color="auto" w:sz="4" w:space="0"/>
              <w:bottom w:val="single" w:color="auto" w:sz="4" w:space="0"/>
              <w:right w:val="single" w:color="auto" w:sz="4" w:space="0"/>
            </w:tcBorders>
            <w:tcW w:w="3269"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倒置光学显微镜</w:t>
            </w:r>
            <w:r/>
          </w:p>
        </w:tc>
        <w:tc>
          <w:tcPr>
            <w:tcBorders>
              <w:top w:val="none" w:color="000000" w:sz="4" w:space="0"/>
              <w:left w:val="single" w:color="auto" w:sz="4" w:space="0"/>
              <w:bottom w:val="single" w:color="auto" w:sz="4" w:space="0"/>
              <w:right w:val="single" w:color="auto" w:sz="4" w:space="0"/>
            </w:tcBorders>
            <w:tcW w:w="1195" w:type="dxa"/>
            <w:vAlign w:val="center"/>
            <w:textDirection w:val="lrTb"/>
            <w:noWrap/>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c>
          <w:tcPr>
            <w:shd w:val="clear" w:color="000000" w:fill="ffffff"/>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jc w:val="center"/>
          <w:trHeight w:val="278"/>
        </w:trPr>
        <w:tc>
          <w:tcPr>
            <w:gridSpan w:val="2"/>
            <w:tcBorders>
              <w:top w:val="single" w:color="auto" w:sz="4" w:space="0"/>
              <w:left w:val="single" w:color="auto" w:sz="4" w:space="0"/>
              <w:bottom w:val="single" w:color="auto" w:sz="4" w:space="0"/>
              <w:right w:val="single" w:color="000000" w:sz="4" w:space="0"/>
            </w:tcBorders>
            <w:tcW w:w="4253"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Borders>
              <w:top w:val="none" w:color="000000" w:sz="4" w:space="0"/>
              <w:left w:val="none" w:color="000000" w:sz="4" w:space="0"/>
              <w:bottom w:val="single" w:color="auto" w:sz="4" w:space="0"/>
              <w:right w:val="single" w:color="auto" w:sz="4" w:space="0"/>
            </w:tcBorders>
            <w:tcW w:w="1195"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auto" w:sz="4" w:space="0"/>
              <w:left w:val="none" w:color="000000" w:sz="4" w:space="0"/>
              <w:bottom w:val="single" w:color="auto" w:sz="4" w:space="0"/>
              <w:right w:val="single" w:color="auto" w:sz="4" w:space="0"/>
            </w:tcBorders>
            <w:tcW w:w="1182" w:type="dxa"/>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90</w:t>
            </w:r>
            <w:r/>
          </w:p>
        </w:tc>
        <w:tc>
          <w:tcPr>
            <w:tcBorders>
              <w:top w:val="single" w:color="auto" w:sz="4" w:space="0"/>
              <w:left w:val="none" w:color="000000" w:sz="4" w:space="0"/>
              <w:bottom w:val="single" w:color="auto" w:sz="4" w:space="0"/>
              <w:right w:val="single" w:color="auto" w:sz="4" w:space="0"/>
            </w:tcBorders>
            <w:tcW w:w="1459" w:type="dxa"/>
            <w:vAlign w:val="center"/>
            <w:textDirection w:val="lrTb"/>
            <w:noWrap/>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363" w:type="dxa"/>
            <w:vAlign w:val="center"/>
            <w:textDirection w:val="lrTb"/>
            <w:noWrap/>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bl>
    <w:p>
      <w:pPr>
        <w:spacing w:line="360" w:lineRule="auto"/>
        <w:tabs>
          <w:tab w:val="left" w:pos="540" w:leader="none"/>
        </w:tabs>
        <w:rPr>
          <w:rFonts w:ascii="宋体" w:hAnsi="宋体" w:eastAsia="宋体" w:cs="宋体"/>
          <w:b/>
          <w:color w:val="auto"/>
          <w:sz w:val="24"/>
          <w:szCs w:val="24"/>
        </w:rPr>
      </w:pPr>
      <w:r>
        <w:rPr>
          <w:rFonts w:ascii="宋体" w:hAnsi="宋体" w:eastAsia="宋体" w:cs="宋体"/>
          <w:b/>
          <w:color w:val="auto"/>
          <w:sz w:val="24"/>
          <w:szCs w:val="24"/>
        </w:rPr>
      </w:r>
      <w:r/>
    </w:p>
    <w:p>
      <w:pPr>
        <w:spacing w:line="360" w:lineRule="auto"/>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采购包四主要技术参数</w:t>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（一）酶联免疫斑点检测分析系统</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1.读取的板类型包括：96孔、384孔、1536孔板等（提供384孔实验结果的整板图片）。</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★2.彩色数码相机，像素≥500万；载物台用金属丝杆传动；顶灯为点光源阵列，点数≥40个，底灯为平面光板，位于载物台下方，发光板面积≥3 cm×3 cm（提供光源图片说明）。</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3.仪器内置条形码扫描器，能够自动识别或手动输入实验板上的条形码，录入实验板名称（提供条形码扫描器照片）。</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▲4.微生物分析模块，包括底部光源和微生物斑点分析软件。软件提供≥8种分析模式，至少包含：深色斑点模式、浅色斑点模式、环形斑点模式、环形空斑模式（提供软件截屏图，显示至少有要求的检测模式）。</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5.独立的实验设计软件，创建板布局。记录实验孔的斑点数、样品编号、抗原编号、细胞数、检测因子等信息，并以此进行查询汇总。</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▲6.独立的统计分析软件，内置多个P值校正方法，至少包括Bonferroni、Holm-Bonferroni、Benjamini-Hochberg（提供软件截屏图，说明其包含的P值校正方法）。</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7.提供光密度ELISA分析模块，可以进行核酸和蛋白定量，以及ELISA结果读取分析。</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▲8.光密度ELISA分析模块，具备红色、绿色、蓝色通道和灰度进行图像强度计算；根据检测类型，曲线拟合域比例可以设置为图像强度的对数或线性函数，测量强度可以设置为透射率（%T）或光密度（OD）。</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9.独立的双色酶联斑点分析软件，单孔内进行两种细胞因子（分泌物）同时检测，软件可以分析两种细胞因子（分泌物）形成的单色和双色重叠斑点。</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10.独立的双色酶联斑点分析软件具备智能分析功能，在指定单蓝色实验孔和单红色实验孔后，软件能够智能调节蓝色和红色斑点的分析参数，也可以给蓝色和红色斑点分别设置斑点面积阈值。</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11.数据输出至少有：Excel、TXT、PPT、XML、CSV、FCS实验数据格式。软件包含FCS数据处理工具（提供软件截屏图说明FCS处理工具）。</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配置清单：</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a）分析系统主机1台；</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b）数据分析工作站1台：CPU i5或以上、内存≥16GB、硬盘≥500 GB、显示器≥22寸、正版操作系统；正版办公软件；</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c）载板2个；</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d）单色酶联免疫斑点分析软件1套；双色酶联免疫斑点分析软件1套；微生物斑点分析软件1套；光密度分析软件1套；实验设计软件1套；统计分析软件1套；系统备份恢复软件1套。</w:t>
      </w:r>
      <w:r/>
    </w:p>
    <w:p>
      <w:pPr>
        <w:jc w:val="left"/>
        <w:spacing w:line="360" w:lineRule="auto"/>
        <w:rPr>
          <w:rFonts w:ascii="宋体" w:hAnsi="宋体" w:eastAsia="宋体" w:cs="宋体"/>
          <w:b/>
          <w:bCs/>
          <w:color w:val="auto"/>
          <w:sz w:val="24"/>
          <w:szCs w:val="24"/>
        </w:rPr>
      </w:pPr>
      <w:r>
        <w:rPr>
          <w:rFonts w:ascii="宋体" w:hAnsi="宋体" w:eastAsia="宋体" w:cs="宋体"/>
          <w:b/>
          <w:bCs/>
          <w:color w:val="auto"/>
          <w:sz w:val="24"/>
          <w:szCs w:val="24"/>
        </w:rPr>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（二）倒置荧光显微镜</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1.光学系统：无限远光学系统，观察方式：明场、相差、DIC及荧光观察，高功率LED透射照明。</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▲2.研究级全电动倒置显微镜，内置≥1-1.5×中间放大变倍装置，同时可搭载双层荧光光路。</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★3.成像端视场数≥25 mm，可以使用全幅大靶面CMOS相机，具备左右双端口图像输出装置，具有四种电动分光模式选择，目镜端口100%、左端口100%、右端口100%、目镜端口20%/左端口80%。</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★4.调焦：主机电动Z轴，调焦精度≤10nm，具有状态自动检测，具有自动校准功能。</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5.目镜：10倍目镜，视场数≥22mm，每个目镜屈光度独立可调。</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6.目镜筒：双目观察镜筒，瞳距可调。</w:t>
      </w:r>
      <w:r/>
    </w:p>
    <w:p>
      <w:pPr>
        <w:jc w:val="left"/>
        <w:spacing w:line="360" w:lineRule="auto"/>
        <w:rPr>
          <w:rFonts w:ascii="宋体" w:hAnsi="宋体" w:eastAsia="宋体" w:cs="宋体"/>
          <w:color w:val="auto"/>
          <w:sz w:val="24"/>
          <w:szCs w:val="24"/>
        </w:rPr>
      </w:pPr>
      <w:r>
        <w:rPr>
          <w:rFonts w:hint="eastAsia" w:ascii="宋体" w:hAnsi="宋体" w:eastAsia="宋体"/>
          <w:color w:val="auto"/>
          <w:sz w:val="21"/>
          <w:szCs w:val="22"/>
        </w:rPr>
        <w:t xml:space="preserve">▲</w:t>
      </w:r>
      <w:r>
        <w:rPr>
          <w:rFonts w:hint="eastAsia" w:ascii="宋体" w:hAnsi="宋体" w:eastAsia="宋体" w:cs="宋体"/>
          <w:color w:val="auto"/>
          <w:sz w:val="24"/>
          <w:szCs w:val="24"/>
        </w:rPr>
        <w:t xml:space="preserve">7.电动聚光器：七工位电动聚光镜转盘，具备明视场、相差、DIC全功能模块，方便转换和光路的切换。</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▲8.电动物镜转换器：六孔电动DIC物镜转换器，内置DIC模块。</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9.物镜：</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4×半复消色差相差物镜，N.A.≥0.13，W.D.≥16.4mm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10×半复消色差相差物镜，N.A.≥0.25，W.D.≥9.5mm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20×长工作距离半复消色差相差物镜，N.A.≥0.40，W.D.≥7.8-6.6mm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40×长工作距离半复消色差相差物镜，N.A.≥0.60，W.D.≥3.3-2.5mm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★60×或63×复消色差油镜，N.A.≥1.42，W.D.≥0.15mm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★100×复消色差油镜，N.A.≥1.45，W.D.≥0.13mm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电动荧光附件：电动滤光块转盘，转盘工位数≥6工位，荧光光路内置复眼透镜，保证荧光照明亮度均匀，配备消杂光设计滤光块的荧光附件装置，L形荧光附件；配紫外，蓝色，绿色激发滤块，三色高品质带通型滤光片。</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▲11.电动载物台：高精度电动载物台行程≥114×73mm，最大驱动速度25mm/秒。</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12.荧光光源：显微镜同品牌长寿命LED荧光光源，寿命≥2万小时，随开随关，亮度0-100%任意调节。</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★13.显微镜同品牌彩色成像系统：物理像素：真实像素数≥2000万。</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▲14.芯片规格：芯片尺寸≥1英寸。</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15.图像传输速度：≥66fps。</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▲16.显微镜单色成像系统：物理像素：≥400万物理像素；制冷温度：-25℃—+20℃；图像传输速度：最高实时速度≥40fps；量子效率：≥95%。</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17.显微镜同品牌专业分析软件：集成整机、扫描设备全自动智能控制，具备预扫描、三维重构、大图拼接、时序延时多维度成像能力，支持多荧光通道共定位定量、荧光强度检测与分/多通道亮度对比度调节，并配备专业图像降噪模块，界面简洁易用。</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18.工作站：预装仪器专用操作软件及正版</w:t>
      </w:r>
      <w:r>
        <w:rPr>
          <w:rFonts w:ascii="宋体" w:hAnsi="宋体" w:eastAsia="宋体" w:cs="宋体"/>
          <w:color w:val="auto"/>
          <w:sz w:val="24"/>
          <w:szCs w:val="24"/>
        </w:rPr>
        <w:t xml:space="preserve"> Windows 11 </w:t>
      </w:r>
      <w:r>
        <w:rPr>
          <w:rFonts w:hint="eastAsia" w:ascii="宋体" w:hAnsi="宋体" w:eastAsia="宋体" w:cs="宋体"/>
          <w:color w:val="auto"/>
          <w:sz w:val="24"/>
          <w:szCs w:val="24"/>
        </w:rPr>
        <w:t xml:space="preserve">专业版操作系统，系统性能满足实时数据采集、高速谱图</w:t>
      </w:r>
      <w:r>
        <w:rPr>
          <w:rFonts w:ascii="宋体" w:hAnsi="宋体" w:eastAsia="宋体" w:cs="宋体"/>
          <w:color w:val="auto"/>
          <w:sz w:val="24"/>
          <w:szCs w:val="24"/>
        </w:rPr>
        <w:t xml:space="preserve"> / </w:t>
      </w:r>
      <w:r>
        <w:rPr>
          <w:rFonts w:hint="eastAsia" w:ascii="宋体" w:hAnsi="宋体" w:eastAsia="宋体" w:cs="宋体"/>
          <w:color w:val="auto"/>
          <w:sz w:val="24"/>
          <w:szCs w:val="24"/>
        </w:rPr>
        <w:t xml:space="preserve">图像处理及多任务分析运算需求；处理器性能不低于</w:t>
      </w:r>
      <w:r>
        <w:rPr>
          <w:rFonts w:ascii="宋体" w:hAnsi="宋体" w:eastAsia="宋体" w:cs="宋体"/>
          <w:color w:val="auto"/>
          <w:sz w:val="24"/>
          <w:szCs w:val="24"/>
        </w:rPr>
        <w:t xml:space="preserve"> Intel Core i7-14 </w:t>
      </w:r>
      <w:r>
        <w:rPr>
          <w:rFonts w:hint="eastAsia" w:ascii="宋体" w:hAnsi="宋体" w:eastAsia="宋体" w:cs="宋体"/>
          <w:color w:val="auto"/>
          <w:sz w:val="24"/>
          <w:szCs w:val="24"/>
        </w:rPr>
        <w:t xml:space="preserve">代及以上同级桌面处理器，</w:t>
      </w:r>
      <w:r>
        <w:rPr>
          <w:rFonts w:ascii="宋体" w:hAnsi="宋体" w:eastAsia="宋体" w:cs="宋体"/>
          <w:color w:val="auto"/>
          <w:sz w:val="24"/>
          <w:szCs w:val="24"/>
        </w:rPr>
        <w:t xml:space="preserve">DDR4 3200MHz </w:t>
      </w:r>
      <w:r>
        <w:rPr>
          <w:rFonts w:hint="eastAsia" w:ascii="宋体" w:hAnsi="宋体" w:eastAsia="宋体" w:cs="宋体"/>
          <w:color w:val="auto"/>
          <w:sz w:val="24"/>
          <w:szCs w:val="24"/>
        </w:rPr>
        <w:t xml:space="preserve">及以上内存≥</w:t>
      </w:r>
      <w:r>
        <w:rPr>
          <w:rFonts w:ascii="宋体" w:hAnsi="宋体" w:eastAsia="宋体" w:cs="宋体"/>
          <w:color w:val="auto"/>
          <w:sz w:val="24"/>
          <w:szCs w:val="24"/>
        </w:rPr>
        <w:t xml:space="preserve">32GB</w:t>
      </w:r>
      <w:r>
        <w:rPr>
          <w:rFonts w:hint="eastAsia" w:ascii="宋体" w:hAnsi="宋体" w:eastAsia="宋体" w:cs="宋体"/>
          <w:color w:val="auto"/>
          <w:sz w:val="24"/>
          <w:szCs w:val="24"/>
        </w:rPr>
        <w:t xml:space="preserve">，硬盘≥</w:t>
      </w:r>
      <w:r>
        <w:rPr>
          <w:rFonts w:ascii="宋体" w:hAnsi="宋体" w:eastAsia="宋体" w:cs="宋体"/>
          <w:color w:val="auto"/>
          <w:sz w:val="24"/>
          <w:szCs w:val="24"/>
        </w:rPr>
        <w:t xml:space="preserve">2TB NVMe </w:t>
      </w:r>
      <w:r>
        <w:rPr>
          <w:rFonts w:hint="eastAsia" w:ascii="宋体" w:hAnsi="宋体" w:eastAsia="宋体" w:cs="宋体"/>
          <w:color w:val="auto"/>
          <w:sz w:val="24"/>
          <w:szCs w:val="24"/>
        </w:rPr>
        <w:t xml:space="preserve">高速</w:t>
      </w:r>
      <w:r>
        <w:rPr>
          <w:rFonts w:ascii="宋体" w:hAnsi="宋体" w:eastAsia="宋体" w:cs="宋体"/>
          <w:color w:val="auto"/>
          <w:sz w:val="24"/>
          <w:szCs w:val="24"/>
        </w:rPr>
        <w:t xml:space="preserve"> SSD</w:t>
      </w:r>
      <w:r>
        <w:rPr>
          <w:rFonts w:hint="eastAsia" w:ascii="宋体" w:hAnsi="宋体" w:eastAsia="宋体" w:cs="宋体"/>
          <w:color w:val="auto"/>
          <w:sz w:val="24"/>
          <w:szCs w:val="24"/>
        </w:rPr>
        <w:t xml:space="preserve">，4G独立显卡，显示器≥</w:t>
      </w:r>
      <w:r>
        <w:rPr>
          <w:rFonts w:ascii="宋体" w:hAnsi="宋体" w:eastAsia="宋体" w:cs="宋体"/>
          <w:color w:val="auto"/>
          <w:sz w:val="24"/>
          <w:szCs w:val="24"/>
        </w:rPr>
        <w:t xml:space="preserve">27 </w:t>
      </w:r>
      <w:r>
        <w:rPr>
          <w:rFonts w:hint="eastAsia" w:ascii="宋体" w:hAnsi="宋体" w:eastAsia="宋体" w:cs="宋体"/>
          <w:color w:val="auto"/>
          <w:sz w:val="24"/>
          <w:szCs w:val="24"/>
        </w:rPr>
        <w:t xml:space="preserve">英寸（4</w:t>
      </w:r>
      <w:r>
        <w:rPr>
          <w:rFonts w:ascii="宋体" w:hAnsi="宋体" w:eastAsia="宋体" w:cs="宋体"/>
          <w:color w:val="auto"/>
          <w:sz w:val="24"/>
          <w:szCs w:val="24"/>
        </w:rPr>
        <w:t xml:space="preserve">K</w:t>
      </w:r>
      <w:r>
        <w:rPr>
          <w:rFonts w:hint="eastAsia" w:ascii="宋体" w:hAnsi="宋体" w:eastAsia="宋体" w:cs="宋体"/>
          <w:color w:val="auto"/>
          <w:sz w:val="24"/>
          <w:szCs w:val="24"/>
        </w:rPr>
        <w:t xml:space="preserve">高清）、</w:t>
      </w:r>
      <w:r>
        <w:rPr>
          <w:rFonts w:ascii="宋体" w:hAnsi="宋体" w:eastAsia="宋体" w:cs="宋体"/>
          <w:color w:val="auto"/>
          <w:sz w:val="24"/>
          <w:szCs w:val="24"/>
        </w:rPr>
        <w:t xml:space="preserve">IPS </w:t>
      </w:r>
      <w:r>
        <w:rPr>
          <w:rFonts w:hint="eastAsia" w:ascii="宋体" w:hAnsi="宋体" w:eastAsia="宋体" w:cs="宋体"/>
          <w:color w:val="auto"/>
          <w:sz w:val="24"/>
          <w:szCs w:val="24"/>
        </w:rPr>
        <w:t xml:space="preserve">面板、亮度≥</w:t>
      </w:r>
      <w:r>
        <w:rPr>
          <w:rFonts w:ascii="宋体" w:hAnsi="宋体" w:eastAsia="宋体" w:cs="宋体"/>
          <w:color w:val="auto"/>
          <w:sz w:val="24"/>
          <w:szCs w:val="24"/>
        </w:rPr>
        <w:t xml:space="preserve">300cd/</w:t>
      </w:r>
      <w:r>
        <w:rPr>
          <w:rFonts w:hint="eastAsia" w:ascii="宋体" w:hAnsi="宋体" w:eastAsia="宋体" w:cs="宋体"/>
          <w:color w:val="auto"/>
          <w:sz w:val="24"/>
          <w:szCs w:val="24"/>
        </w:rPr>
        <w:t xml:space="preserve">㎡。</w:t>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（三）倒置光学显微镜</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1.光学系统：无限远光学系统。</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▲2.观察筒：宽视野三目观察镜筒，瞳距调整范围50-75mm。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3.照相机端口：两档分光镜，照相：目镜观察为100%：0%或0%：100%。</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4.观察方式：明场、相差。</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▲5.照明方式：环保型高冷光白色LED照明器，寿命不小于5万小时。</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6.调焦机构：行程≥8mm。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7.聚光镜：长工作距离系统聚光镜，N.A.≥0.3，工作距离≥75mm。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8.物镜转换器：≥5孔位物镜转换器。</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9.超长工作距离相差物镜：</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4×N.A.≥0.13, W.D. ≥16.5mm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10×N.A.≥0.25, W.D. ≥7.0mm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20×N.A.≥0.40, W.D. ≥3.1mm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40×N.A.≥0.55, W.D. ≥2.1mm</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10.数码成像分析系统，具有明场拍摄功能；真实物理像素≥1200万像素；图像分析系统：可以添加标尺测量，手动添加标签等注释功能。</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color w:val="auto"/>
          <w:sz w:val="24"/>
        </w:rPr>
        <w:t xml:space="preserve"> </w:t>
      </w:r>
      <w:r>
        <w:rPr>
          <w:rFonts w:hint="eastAsia" w:ascii="宋体" w:hAnsi="宋体" w:eastAsia="宋体" w:cs="宋体"/>
          <w:color w:val="auto"/>
          <w:sz w:val="24"/>
          <w:szCs w:val="24"/>
        </w:rPr>
        <w:t xml:space="preserve">预装仪器专用操作软件及正版</w:t>
      </w:r>
      <w:r>
        <w:rPr>
          <w:rFonts w:ascii="宋体" w:hAnsi="宋体" w:eastAsia="宋体" w:cs="宋体"/>
          <w:color w:val="auto"/>
          <w:sz w:val="24"/>
          <w:szCs w:val="24"/>
        </w:rPr>
        <w:t xml:space="preserve"> Windows 11 </w:t>
      </w:r>
      <w:r>
        <w:rPr>
          <w:rFonts w:hint="eastAsia" w:ascii="宋体" w:hAnsi="宋体" w:eastAsia="宋体" w:cs="宋体"/>
          <w:color w:val="auto"/>
          <w:sz w:val="24"/>
          <w:szCs w:val="24"/>
        </w:rPr>
        <w:t xml:space="preserve">专业版操作系统，系统性能满足实时数据采集、高速谱图</w:t>
      </w:r>
      <w:r>
        <w:rPr>
          <w:rFonts w:ascii="宋体" w:hAnsi="宋体" w:eastAsia="宋体" w:cs="宋体"/>
          <w:color w:val="auto"/>
          <w:sz w:val="24"/>
          <w:szCs w:val="24"/>
        </w:rPr>
        <w:t xml:space="preserve"> / </w:t>
      </w:r>
      <w:r>
        <w:rPr>
          <w:rFonts w:hint="eastAsia" w:ascii="宋体" w:hAnsi="宋体" w:eastAsia="宋体" w:cs="宋体"/>
          <w:color w:val="auto"/>
          <w:sz w:val="24"/>
          <w:szCs w:val="24"/>
        </w:rPr>
        <w:t xml:space="preserve">图像处理及多任务分析运算需求；处理器性能不低于</w:t>
      </w:r>
      <w:r>
        <w:rPr>
          <w:rFonts w:ascii="宋体" w:hAnsi="宋体" w:eastAsia="宋体" w:cs="宋体"/>
          <w:color w:val="auto"/>
          <w:sz w:val="24"/>
          <w:szCs w:val="24"/>
        </w:rPr>
        <w:t xml:space="preserve"> Intel Core i7-14 </w:t>
      </w:r>
      <w:r>
        <w:rPr>
          <w:rFonts w:hint="eastAsia" w:ascii="宋体" w:hAnsi="宋体" w:eastAsia="宋体" w:cs="宋体"/>
          <w:color w:val="auto"/>
          <w:sz w:val="24"/>
          <w:szCs w:val="24"/>
        </w:rPr>
        <w:t xml:space="preserve">代及以上同级桌面处理器，</w:t>
      </w:r>
      <w:r>
        <w:rPr>
          <w:rFonts w:ascii="宋体" w:hAnsi="宋体" w:eastAsia="宋体" w:cs="宋体"/>
          <w:color w:val="auto"/>
          <w:sz w:val="24"/>
          <w:szCs w:val="24"/>
        </w:rPr>
        <w:t xml:space="preserve">DDR4 3200MHz </w:t>
      </w:r>
      <w:r>
        <w:rPr>
          <w:rFonts w:hint="eastAsia" w:ascii="宋体" w:hAnsi="宋体" w:eastAsia="宋体" w:cs="宋体"/>
          <w:color w:val="auto"/>
          <w:sz w:val="24"/>
          <w:szCs w:val="24"/>
        </w:rPr>
        <w:t xml:space="preserve">及以上内存≥</w:t>
      </w:r>
      <w:r>
        <w:rPr>
          <w:rFonts w:ascii="宋体" w:hAnsi="宋体" w:eastAsia="宋体" w:cs="宋体"/>
          <w:color w:val="auto"/>
          <w:sz w:val="24"/>
          <w:szCs w:val="24"/>
        </w:rPr>
        <w:t xml:space="preserve">16GB</w:t>
      </w:r>
      <w:r>
        <w:rPr>
          <w:rFonts w:hint="eastAsia" w:ascii="宋体" w:hAnsi="宋体" w:eastAsia="宋体" w:cs="宋体"/>
          <w:color w:val="auto"/>
          <w:sz w:val="24"/>
          <w:szCs w:val="24"/>
        </w:rPr>
        <w:t xml:space="preserve">，硬盘≥</w:t>
      </w:r>
      <w:r>
        <w:rPr>
          <w:rFonts w:ascii="宋体" w:hAnsi="宋体" w:eastAsia="宋体" w:cs="宋体"/>
          <w:color w:val="auto"/>
          <w:sz w:val="24"/>
          <w:szCs w:val="24"/>
        </w:rPr>
        <w:t xml:space="preserve">1TB NVMe </w:t>
      </w:r>
      <w:r>
        <w:rPr>
          <w:rFonts w:hint="eastAsia" w:ascii="宋体" w:hAnsi="宋体" w:eastAsia="宋体" w:cs="宋体"/>
          <w:color w:val="auto"/>
          <w:sz w:val="24"/>
          <w:szCs w:val="24"/>
        </w:rPr>
        <w:t xml:space="preserve">高速</w:t>
      </w:r>
      <w:r>
        <w:rPr>
          <w:rFonts w:ascii="宋体" w:hAnsi="宋体" w:eastAsia="宋体" w:cs="宋体"/>
          <w:color w:val="auto"/>
          <w:sz w:val="24"/>
          <w:szCs w:val="24"/>
        </w:rPr>
        <w:t xml:space="preserve"> SSD</w:t>
      </w:r>
      <w:r>
        <w:rPr>
          <w:rFonts w:hint="eastAsia" w:ascii="宋体" w:hAnsi="宋体" w:eastAsia="宋体" w:cs="宋体"/>
          <w:color w:val="auto"/>
          <w:sz w:val="24"/>
          <w:szCs w:val="24"/>
        </w:rPr>
        <w:t xml:space="preserve">，显示器≥</w:t>
      </w:r>
      <w:r>
        <w:rPr>
          <w:rFonts w:ascii="宋体" w:hAnsi="宋体" w:eastAsia="宋体" w:cs="宋体"/>
          <w:color w:val="auto"/>
          <w:sz w:val="24"/>
          <w:szCs w:val="24"/>
        </w:rPr>
        <w:t xml:space="preserve">27 </w:t>
      </w:r>
      <w:r>
        <w:rPr>
          <w:rFonts w:hint="eastAsia" w:ascii="宋体" w:hAnsi="宋体" w:eastAsia="宋体" w:cs="宋体"/>
          <w:color w:val="auto"/>
          <w:sz w:val="24"/>
          <w:szCs w:val="24"/>
        </w:rPr>
        <w:t xml:space="preserve">英寸、</w:t>
      </w:r>
      <w:r>
        <w:rPr>
          <w:rFonts w:ascii="宋体" w:hAnsi="宋体" w:eastAsia="宋体" w:cs="宋体"/>
          <w:color w:val="auto"/>
          <w:sz w:val="24"/>
          <w:szCs w:val="24"/>
        </w:rPr>
        <w:t xml:space="preserve">IPS </w:t>
      </w:r>
      <w:r>
        <w:rPr>
          <w:rFonts w:hint="eastAsia" w:ascii="宋体" w:hAnsi="宋体" w:eastAsia="宋体" w:cs="宋体"/>
          <w:color w:val="auto"/>
          <w:sz w:val="24"/>
          <w:szCs w:val="24"/>
        </w:rPr>
        <w:t xml:space="preserve">面板、分辨率≥</w:t>
      </w:r>
      <w:r>
        <w:rPr>
          <w:rFonts w:ascii="宋体" w:hAnsi="宋体" w:eastAsia="宋体" w:cs="宋体"/>
          <w:color w:val="auto"/>
          <w:sz w:val="24"/>
          <w:szCs w:val="24"/>
        </w:rPr>
        <w:t xml:space="preserve">2560</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1440</w:t>
      </w:r>
      <w:r>
        <w:rPr>
          <w:rFonts w:hint="eastAsia" w:ascii="宋体" w:hAnsi="宋体" w:eastAsia="宋体" w:cs="宋体"/>
          <w:color w:val="auto"/>
          <w:sz w:val="24"/>
          <w:szCs w:val="24"/>
        </w:rPr>
        <w:t xml:space="preserve">、亮度≥</w:t>
      </w:r>
      <w:r>
        <w:rPr>
          <w:rFonts w:ascii="宋体" w:hAnsi="宋体" w:eastAsia="宋体" w:cs="宋体"/>
          <w:color w:val="auto"/>
          <w:sz w:val="24"/>
          <w:szCs w:val="24"/>
        </w:rPr>
        <w:t xml:space="preserve">300cd/</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spacing w:line="440" w:lineRule="exact"/>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采购包五、实验室服务系统等仪器设备采购清单</w:t>
      </w:r>
      <w:r/>
    </w:p>
    <w:tbl>
      <w:tblPr>
        <w:tblStyle w:val="773"/>
        <w:tblW w:w="10916"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35"/>
        <w:gridCol w:w="4961"/>
        <w:gridCol w:w="851"/>
        <w:gridCol w:w="1134"/>
        <w:gridCol w:w="1134"/>
        <w:gridCol w:w="1134"/>
      </w:tblGrid>
      <w:tr>
        <w:trPr/>
        <w:tc>
          <w:tcPr>
            <w:tcW w:w="567" w:type="dxa"/>
            <w:vAlign w:val="center"/>
            <w:textDirection w:val="lrTb"/>
            <w:noWrap w:val="false"/>
          </w:tcPr>
          <w:p>
            <w:pPr>
              <w:jc w:val="center"/>
              <w:spacing w:line="400" w:lineRule="exact"/>
              <w:rPr>
                <w:rFonts w:ascii="宋体" w:hAnsi="宋体" w:eastAsia="宋体" w:cs="宋体"/>
                <w:b/>
                <w:bCs/>
                <w:color w:val="auto"/>
                <w:sz w:val="21"/>
                <w:szCs w:val="21"/>
              </w:rPr>
              <w:outlineLvl w:val="0"/>
            </w:pPr>
            <w:r>
              <w:rPr>
                <w:rFonts w:hint="eastAsia" w:ascii="宋体" w:hAnsi="宋体" w:eastAsia="宋体" w:cs="宋体"/>
                <w:b/>
                <w:bCs/>
                <w:color w:val="auto"/>
                <w:sz w:val="21"/>
                <w:szCs w:val="21"/>
              </w:rPr>
              <w:t xml:space="preserve">序号</w:t>
            </w:r>
            <w:r/>
          </w:p>
        </w:tc>
        <w:tc>
          <w:tcPr>
            <w:tcW w:w="1135" w:type="dxa"/>
            <w:vAlign w:val="center"/>
            <w:textDirection w:val="lrTb"/>
            <w:noWrap w:val="false"/>
          </w:tcPr>
          <w:p>
            <w:pPr>
              <w:jc w:val="center"/>
              <w:spacing w:line="400" w:lineRule="exact"/>
              <w:rPr>
                <w:rFonts w:ascii="宋体" w:hAnsi="宋体" w:eastAsia="宋体" w:cs="宋体"/>
                <w:b/>
                <w:bCs/>
                <w:color w:val="auto"/>
                <w:sz w:val="21"/>
                <w:szCs w:val="21"/>
              </w:rPr>
              <w:outlineLvl w:val="0"/>
            </w:pPr>
            <w:r>
              <w:rPr>
                <w:rFonts w:hint="eastAsia" w:ascii="宋体" w:hAnsi="宋体" w:eastAsia="宋体" w:cs="宋体"/>
                <w:b/>
                <w:bCs/>
                <w:color w:val="auto"/>
                <w:sz w:val="21"/>
                <w:szCs w:val="21"/>
              </w:rPr>
              <w:t xml:space="preserve">采购内容</w:t>
            </w:r>
            <w:r/>
          </w:p>
        </w:tc>
        <w:tc>
          <w:tcPr>
            <w:tcW w:w="4961" w:type="dxa"/>
            <w:vAlign w:val="center"/>
            <w:textDirection w:val="lrTb"/>
            <w:noWrap w:val="false"/>
          </w:tcPr>
          <w:p>
            <w:pPr>
              <w:jc w:val="center"/>
              <w:spacing w:line="400" w:lineRule="exact"/>
              <w:rPr>
                <w:rFonts w:ascii="宋体" w:hAnsi="宋体" w:eastAsia="宋体" w:cs="宋体"/>
                <w:b/>
                <w:bCs/>
                <w:color w:val="auto"/>
                <w:sz w:val="21"/>
                <w:szCs w:val="21"/>
              </w:rPr>
              <w:outlineLvl w:val="0"/>
            </w:pPr>
            <w:r>
              <w:rPr>
                <w:rFonts w:hint="eastAsia" w:ascii="宋体" w:hAnsi="宋体" w:eastAsia="宋体" w:cs="宋体"/>
                <w:b/>
                <w:bCs/>
                <w:color w:val="auto"/>
                <w:sz w:val="21"/>
                <w:szCs w:val="21"/>
              </w:rPr>
              <w:t xml:space="preserve">要求</w:t>
            </w:r>
            <w:r/>
          </w:p>
        </w:tc>
        <w:tc>
          <w:tcPr>
            <w:tcW w:w="851" w:type="dxa"/>
            <w:vAlign w:val="center"/>
            <w:textDirection w:val="lrTb"/>
            <w:noWrap w:val="false"/>
          </w:tcPr>
          <w:p>
            <w:pPr>
              <w:jc w:val="center"/>
              <w:spacing w:line="400" w:lineRule="exact"/>
              <w:rPr>
                <w:rFonts w:ascii="宋体" w:hAnsi="宋体" w:eastAsia="宋体" w:cs="宋体"/>
                <w:b/>
                <w:bCs/>
                <w:color w:val="auto"/>
                <w:sz w:val="21"/>
                <w:szCs w:val="21"/>
              </w:rPr>
              <w:outlineLvl w:val="0"/>
            </w:pPr>
            <w:r>
              <w:rPr>
                <w:rFonts w:hint="eastAsia" w:ascii="宋体" w:hAnsi="宋体" w:eastAsia="宋体" w:cs="宋体"/>
                <w:b/>
                <w:bCs/>
                <w:color w:val="auto"/>
                <w:sz w:val="21"/>
                <w:szCs w:val="21"/>
              </w:rPr>
              <w:t xml:space="preserve">数量</w:t>
            </w:r>
            <w:r/>
          </w:p>
          <w:p>
            <w:pPr>
              <w:jc w:val="center"/>
              <w:spacing w:line="400" w:lineRule="exact"/>
              <w:rPr>
                <w:rFonts w:ascii="宋体" w:hAnsi="宋体" w:eastAsia="宋体" w:cs="宋体"/>
                <w:b/>
                <w:bCs/>
                <w:color w:val="auto"/>
                <w:sz w:val="21"/>
                <w:szCs w:val="21"/>
              </w:rPr>
              <w:outlineLvl w:val="0"/>
            </w:pPr>
            <w:r>
              <w:rPr>
                <w:rFonts w:hint="eastAsia" w:ascii="宋体" w:hAnsi="宋体" w:eastAsia="宋体" w:cs="宋体"/>
                <w:b/>
                <w:bCs/>
                <w:color w:val="auto"/>
                <w:sz w:val="21"/>
                <w:szCs w:val="21"/>
              </w:rPr>
              <w:t xml:space="preserve">（套）</w:t>
            </w:r>
            <w:r/>
          </w:p>
        </w:tc>
        <w:tc>
          <w:tcPr>
            <w:tcW w:w="1134" w:type="dxa"/>
            <w:vAlign w:val="center"/>
            <w:textDirection w:val="lrTb"/>
            <w:noWrap w:val="false"/>
          </w:tcPr>
          <w:p>
            <w:pPr>
              <w:jc w:val="center"/>
              <w:spacing w:line="400" w:lineRule="exact"/>
              <w:rPr>
                <w:rFonts w:ascii="宋体" w:hAnsi="宋体" w:eastAsia="宋体" w:cs="宋体"/>
                <w:b/>
                <w:bCs/>
                <w:color w:val="auto"/>
                <w:sz w:val="21"/>
                <w:szCs w:val="21"/>
              </w:rPr>
              <w:outlineLvl w:val="0"/>
            </w:pPr>
            <w:r>
              <w:rPr>
                <w:rFonts w:hint="eastAsia" w:ascii="宋体" w:hAnsi="宋体" w:eastAsia="宋体" w:cs="宋体"/>
                <w:b/>
                <w:bCs/>
                <w:color w:val="auto"/>
                <w:sz w:val="21"/>
                <w:szCs w:val="21"/>
              </w:rPr>
              <w:t xml:space="preserve">预算</w:t>
            </w:r>
            <w:r/>
          </w:p>
          <w:p>
            <w:pPr>
              <w:jc w:val="center"/>
              <w:spacing w:line="400" w:lineRule="exact"/>
              <w:rPr>
                <w:rFonts w:ascii="宋体" w:hAnsi="宋体" w:eastAsia="宋体" w:cs="宋体"/>
                <w:b/>
                <w:bCs/>
                <w:color w:val="auto"/>
                <w:sz w:val="21"/>
                <w:szCs w:val="21"/>
              </w:rPr>
              <w:outlineLvl w:val="0"/>
            </w:pPr>
            <w:r>
              <w:rPr>
                <w:rFonts w:hint="eastAsia" w:ascii="宋体" w:hAnsi="宋体" w:eastAsia="宋体" w:cs="宋体"/>
                <w:b/>
                <w:bCs/>
                <w:color w:val="auto"/>
                <w:sz w:val="21"/>
                <w:szCs w:val="21"/>
              </w:rPr>
              <w:t xml:space="preserve">（万元）</w:t>
            </w:r>
            <w:r/>
          </w:p>
        </w:tc>
        <w:tc>
          <w:tcPr>
            <w:tcW w:w="1134" w:type="dxa"/>
            <w:vAlign w:val="center"/>
            <w:textDirection w:val="lrTb"/>
            <w:noWrap w:val="false"/>
          </w:tcPr>
          <w:p>
            <w:pPr>
              <w:jc w:val="left"/>
              <w:rPr>
                <w:rFonts w:ascii="宋体" w:hAnsi="宋体" w:eastAsia="宋体" w:cs="宋体"/>
                <w:color w:val="auto"/>
                <w:sz w:val="21"/>
                <w:szCs w:val="21"/>
              </w:rPr>
            </w:pPr>
            <w:r>
              <w:rPr>
                <w:rFonts w:hint="eastAsia" w:ascii="宋体" w:hAnsi="宋体" w:eastAsia="宋体" w:cs="宋体"/>
                <w:color w:val="auto"/>
                <w:sz w:val="21"/>
                <w:szCs w:val="21"/>
              </w:rPr>
              <w:t xml:space="preserve">是否接受进口产品</w:t>
            </w:r>
            <w:r/>
          </w:p>
        </w:tc>
        <w:tc>
          <w:tcPr>
            <w:tcW w:w="1134" w:type="dxa"/>
            <w:vAlign w:val="center"/>
            <w:textDirection w:val="lrTb"/>
            <w:noWrap w:val="false"/>
          </w:tcPr>
          <w:p>
            <w:pPr>
              <w:jc w:val="left"/>
              <w:rPr>
                <w:rFonts w:ascii="宋体" w:hAnsi="宋体" w:eastAsia="宋体" w:cs="宋体"/>
                <w:color w:val="auto"/>
                <w:sz w:val="21"/>
                <w:szCs w:val="21"/>
              </w:rPr>
            </w:pPr>
            <w:r>
              <w:rPr>
                <w:rFonts w:hint="eastAsia" w:ascii="宋体" w:hAnsi="宋体" w:eastAsia="宋体" w:cs="宋体"/>
                <w:color w:val="auto"/>
                <w:sz w:val="21"/>
                <w:szCs w:val="21"/>
              </w:rPr>
              <w:t xml:space="preserve">是否</w:t>
            </w:r>
            <w:r>
              <w:rPr>
                <w:rFonts w:ascii="宋体" w:hAnsi="宋体" w:eastAsia="宋体" w:cs="宋体"/>
                <w:color w:val="auto"/>
                <w:sz w:val="21"/>
                <w:szCs w:val="21"/>
              </w:rPr>
              <w:t xml:space="preserve">为</w:t>
            </w:r>
            <w:r>
              <w:rPr>
                <w:rFonts w:hint="eastAsia" w:ascii="宋体" w:hAnsi="宋体" w:eastAsia="宋体" w:cs="宋体"/>
                <w:color w:val="auto"/>
                <w:sz w:val="21"/>
                <w:szCs w:val="21"/>
              </w:rPr>
              <w:t xml:space="preserve">核心产品</w:t>
            </w:r>
            <w:r/>
          </w:p>
        </w:tc>
      </w:tr>
      <w:tr>
        <w:trPr/>
        <w:tc>
          <w:tcPr>
            <w:tcW w:w="567" w:type="dxa"/>
            <w:vAlign w:val="center"/>
            <w:textDirection w:val="lrTb"/>
            <w:noWrap w:val="false"/>
          </w:tcPr>
          <w:p>
            <w:pPr>
              <w:jc w:val="center"/>
              <w:spacing w:line="400" w:lineRule="exact"/>
              <w:rPr>
                <w:rFonts w:ascii="宋体" w:hAnsi="宋体" w:eastAsia="宋体" w:cs="宋体"/>
                <w:color w:val="auto"/>
                <w:sz w:val="21"/>
                <w:szCs w:val="21"/>
              </w:rPr>
              <w:outlineLvl w:val="0"/>
            </w:pPr>
            <w:r>
              <w:rPr>
                <w:rFonts w:hint="eastAsia" w:ascii="宋体" w:hAnsi="宋体" w:eastAsia="宋体" w:cs="宋体"/>
                <w:color w:val="auto"/>
                <w:sz w:val="21"/>
                <w:szCs w:val="21"/>
              </w:rPr>
              <w:t xml:space="preserve">1</w:t>
            </w:r>
            <w:r/>
          </w:p>
        </w:tc>
        <w:tc>
          <w:tcPr>
            <w:tcW w:w="1135" w:type="dxa"/>
            <w:vAlign w:val="center"/>
            <w:textDirection w:val="lrTb"/>
            <w:noWrap w:val="false"/>
          </w:tcPr>
          <w:p>
            <w:pPr>
              <w:jc w:val="center"/>
              <w:spacing w:line="400" w:lineRule="exact"/>
              <w:rPr>
                <w:rFonts w:ascii="宋体" w:hAnsi="宋体" w:eastAsia="宋体" w:cs="宋体"/>
                <w:color w:val="auto"/>
                <w:sz w:val="21"/>
                <w:szCs w:val="21"/>
              </w:rPr>
              <w:outlineLvl w:val="0"/>
            </w:pPr>
            <w:r>
              <w:rPr>
                <w:rFonts w:hint="eastAsia" w:ascii="宋体" w:hAnsi="宋体" w:eastAsia="宋体" w:cs="宋体"/>
                <w:color w:val="auto"/>
                <w:sz w:val="21"/>
                <w:szCs w:val="21"/>
              </w:rPr>
              <w:t xml:space="preserve">实验室服务系统</w:t>
            </w:r>
            <w:r/>
          </w:p>
        </w:tc>
        <w:tc>
          <w:tcPr>
            <w:tcW w:w="4961" w:type="dxa"/>
            <w:vAlign w:val="center"/>
            <w:textDirection w:val="lrTb"/>
            <w:noWrap w:val="false"/>
          </w:tcPr>
          <w:p>
            <w:pPr>
              <w:jc w:val="left"/>
              <w:rPr>
                <w:rFonts w:ascii="宋体" w:hAnsi="宋体" w:eastAsia="宋体" w:cs="宋体"/>
                <w:color w:val="auto"/>
                <w:sz w:val="21"/>
                <w:szCs w:val="21"/>
              </w:rPr>
            </w:pPr>
            <w:r>
              <w:rPr>
                <w:rFonts w:hint="eastAsia" w:ascii="宋体" w:hAnsi="宋体" w:eastAsia="宋体" w:cs="宋体"/>
                <w:color w:val="auto"/>
                <w:sz w:val="21"/>
                <w:szCs w:val="21"/>
              </w:rPr>
              <w:t xml:space="preserve">搭建覆盖业务受理、合同管理、收样登记、任务分配、实验记录、报告编制、审核签发、电子归档等环节的实验室服务系统，实现检测业务标准化、无纸化和闭环管理。</w:t>
            </w:r>
            <w:r/>
          </w:p>
          <w:p>
            <w:pPr>
              <w:jc w:val="left"/>
              <w:rPr>
                <w:rFonts w:ascii="宋体" w:hAnsi="宋体" w:eastAsia="宋体" w:cs="宋体"/>
                <w:color w:val="auto"/>
                <w:sz w:val="21"/>
                <w:szCs w:val="21"/>
              </w:rPr>
            </w:pPr>
            <w:r>
              <w:rPr>
                <w:rFonts w:hint="eastAsia" w:ascii="宋体" w:hAnsi="宋体" w:eastAsia="宋体" w:cs="宋体"/>
                <w:color w:val="auto"/>
                <w:sz w:val="21"/>
                <w:szCs w:val="21"/>
              </w:rPr>
              <w:t xml:space="preserve">实现实验室服务系统与物联网控制系统深度融合，支持环境、设备、样品、人员、动物、试剂耗材等数据双向同步和业务联动，避免信息孤岛。</w:t>
            </w:r>
            <w:r/>
          </w:p>
        </w:tc>
        <w:tc>
          <w:tcPr>
            <w:tcW w:w="85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134"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100</w:t>
            </w:r>
            <w:r/>
          </w:p>
        </w:tc>
        <w:tc>
          <w:tcPr>
            <w:tcW w:w="1134" w:type="dxa"/>
            <w:vAlign w:val="center"/>
            <w:textDirection w:val="lrTb"/>
            <w:noWrap w:val="false"/>
          </w:tcPr>
          <w:p>
            <w:pPr>
              <w:jc w:val="left"/>
              <w:rPr>
                <w:rFonts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134" w:type="dxa"/>
            <w:vAlign w:val="center"/>
            <w:textDirection w:val="lrTb"/>
            <w:noWrap w:val="false"/>
          </w:tcPr>
          <w:p>
            <w:pPr>
              <w:jc w:val="left"/>
              <w:rPr>
                <w:rFonts w:ascii="宋体" w:hAnsi="宋体" w:eastAsia="宋体" w:cs="宋体"/>
                <w:color w:val="auto"/>
                <w:sz w:val="21"/>
                <w:szCs w:val="21"/>
              </w:rPr>
            </w:pPr>
            <w:r>
              <w:rPr>
                <w:rFonts w:hint="eastAsia" w:ascii="宋体" w:hAnsi="宋体" w:eastAsia="宋体" w:cs="宋体"/>
                <w:color w:val="auto"/>
                <w:sz w:val="21"/>
                <w:szCs w:val="21"/>
              </w:rPr>
              <w:t xml:space="preserve">否</w:t>
            </w:r>
            <w:r/>
          </w:p>
        </w:tc>
      </w:tr>
      <w:tr>
        <w:trPr/>
        <w:tc>
          <w:tcPr>
            <w:tcW w:w="567" w:type="dxa"/>
            <w:vAlign w:val="center"/>
            <w:textDirection w:val="lrTb"/>
            <w:noWrap w:val="false"/>
          </w:tcPr>
          <w:p>
            <w:pPr>
              <w:jc w:val="center"/>
              <w:spacing w:line="400" w:lineRule="exact"/>
              <w:rPr>
                <w:rFonts w:ascii="宋体" w:hAnsi="宋体" w:eastAsia="宋体" w:cs="宋体"/>
                <w:color w:val="auto"/>
                <w:sz w:val="21"/>
                <w:szCs w:val="21"/>
              </w:rPr>
              <w:outlineLvl w:val="0"/>
            </w:pPr>
            <w:r>
              <w:rPr>
                <w:rFonts w:hint="eastAsia" w:ascii="宋体" w:hAnsi="宋体" w:eastAsia="宋体" w:cs="宋体"/>
                <w:color w:val="auto"/>
                <w:sz w:val="21"/>
                <w:szCs w:val="21"/>
              </w:rPr>
              <w:t xml:space="preserve">2</w:t>
            </w:r>
            <w:r/>
          </w:p>
        </w:tc>
        <w:tc>
          <w:tcPr>
            <w:tcW w:w="1135" w:type="dxa"/>
            <w:vAlign w:val="center"/>
            <w:textDirection w:val="lrTb"/>
            <w:noWrap w:val="false"/>
          </w:tcPr>
          <w:p>
            <w:pPr>
              <w:jc w:val="center"/>
              <w:spacing w:line="400" w:lineRule="exact"/>
              <w:rPr>
                <w:rFonts w:ascii="宋体" w:hAnsi="宋体" w:eastAsia="宋体" w:cs="宋体"/>
                <w:color w:val="auto"/>
                <w:sz w:val="21"/>
                <w:szCs w:val="21"/>
              </w:rPr>
              <w:outlineLvl w:val="0"/>
            </w:pPr>
            <w:r>
              <w:rPr>
                <w:rFonts w:hint="eastAsia" w:ascii="宋体" w:hAnsi="宋体" w:eastAsia="宋体" w:cs="宋体"/>
                <w:color w:val="auto"/>
                <w:sz w:val="21"/>
                <w:szCs w:val="21"/>
              </w:rPr>
              <w:t xml:space="preserve">物联网控制系统</w:t>
            </w:r>
            <w:r/>
          </w:p>
        </w:tc>
        <w:tc>
          <w:tcPr>
            <w:tcW w:w="4961" w:type="dxa"/>
            <w:vAlign w:val="center"/>
            <w:textDirection w:val="lrTb"/>
            <w:noWrap w:val="false"/>
          </w:tcPr>
          <w:p>
            <w:pPr>
              <w:jc w:val="left"/>
              <w:spacing w:line="400" w:lineRule="exact"/>
              <w:rPr>
                <w:rFonts w:ascii="宋体" w:hAnsi="宋体" w:eastAsia="宋体" w:cs="宋体"/>
                <w:color w:val="auto"/>
                <w:sz w:val="21"/>
                <w:szCs w:val="21"/>
              </w:rPr>
              <w:outlineLvl w:val="0"/>
            </w:pPr>
            <w:r>
              <w:rPr>
                <w:rFonts w:hint="eastAsia" w:ascii="宋体" w:hAnsi="宋体" w:eastAsia="宋体" w:cs="宋体"/>
                <w:color w:val="auto"/>
                <w:sz w:val="21"/>
                <w:szCs w:val="21"/>
              </w:rPr>
              <w:t xml:space="preserve">实现实验室、动物房及公共区域关键环境和设备状态的全域物联化，完成数据自动采集、实时监控、异常预警、设备联动和历史追溯。</w:t>
            </w:r>
            <w:r/>
          </w:p>
        </w:tc>
        <w:tc>
          <w:tcPr>
            <w:tcW w:w="851" w:type="dxa"/>
            <w:vAlign w:val="center"/>
            <w:textDirection w:val="lrTb"/>
            <w:noWrap w:val="false"/>
          </w:tcPr>
          <w:p>
            <w:pPr>
              <w:jc w:val="center"/>
              <w:spacing w:line="400" w:lineRule="exact"/>
              <w:rPr>
                <w:rFonts w:ascii="宋体" w:hAnsi="宋体" w:eastAsia="宋体" w:cs="宋体"/>
                <w:color w:val="auto"/>
                <w:sz w:val="21"/>
                <w:szCs w:val="21"/>
              </w:rPr>
              <w:outlineLvl w:val="0"/>
            </w:pPr>
            <w:r>
              <w:rPr>
                <w:rFonts w:hint="eastAsia" w:ascii="宋体" w:hAnsi="宋体" w:eastAsia="宋体" w:cs="宋体"/>
                <w:color w:val="auto"/>
                <w:sz w:val="21"/>
                <w:szCs w:val="21"/>
              </w:rPr>
              <w:t xml:space="preserve">1</w:t>
            </w:r>
            <w:r/>
          </w:p>
        </w:tc>
        <w:tc>
          <w:tcPr>
            <w:tcW w:w="1134" w:type="dxa"/>
            <w:vAlign w:val="center"/>
            <w:textDirection w:val="lrTb"/>
            <w:noWrap w:val="false"/>
          </w:tcPr>
          <w:p>
            <w:pPr>
              <w:jc w:val="center"/>
              <w:spacing w:line="400" w:lineRule="exact"/>
              <w:rPr>
                <w:rFonts w:ascii="宋体" w:hAnsi="宋体" w:eastAsia="宋体" w:cs="宋体"/>
                <w:color w:val="auto"/>
                <w:sz w:val="21"/>
                <w:szCs w:val="21"/>
              </w:rPr>
              <w:outlineLvl w:val="0"/>
            </w:pPr>
            <w:r>
              <w:rPr>
                <w:rFonts w:hint="eastAsia" w:ascii="宋体" w:hAnsi="宋体" w:eastAsia="宋体" w:cs="宋体"/>
                <w:color w:val="auto"/>
                <w:sz w:val="21"/>
                <w:szCs w:val="21"/>
              </w:rPr>
              <w:t xml:space="preserve">60</w:t>
            </w:r>
            <w:r/>
          </w:p>
        </w:tc>
        <w:tc>
          <w:tcPr>
            <w:tcW w:w="1134" w:type="dxa"/>
            <w:vAlign w:val="center"/>
            <w:textDirection w:val="lrTb"/>
            <w:noWrap w:val="false"/>
          </w:tcPr>
          <w:p>
            <w:pPr>
              <w:jc w:val="left"/>
              <w:rPr>
                <w:rFonts w:ascii="宋体" w:hAnsi="宋体" w:eastAsia="宋体" w:cs="宋体"/>
                <w:color w:val="auto"/>
                <w:sz w:val="21"/>
                <w:szCs w:val="21"/>
              </w:rPr>
            </w:pPr>
            <w:r>
              <w:rPr>
                <w:rFonts w:hint="eastAsia" w:ascii="宋体" w:hAnsi="宋体" w:eastAsia="宋体" w:cs="宋体"/>
                <w:color w:val="auto"/>
                <w:sz w:val="21"/>
                <w:szCs w:val="21"/>
              </w:rPr>
              <w:t xml:space="preserve">否</w:t>
            </w:r>
            <w:r/>
          </w:p>
        </w:tc>
        <w:tc>
          <w:tcPr>
            <w:tcW w:w="1134" w:type="dxa"/>
            <w:vAlign w:val="center"/>
            <w:textDirection w:val="lrTb"/>
            <w:noWrap w:val="false"/>
          </w:tcPr>
          <w:p>
            <w:pPr>
              <w:jc w:val="left"/>
              <w:rPr>
                <w:rFonts w:ascii="宋体" w:hAnsi="宋体" w:eastAsia="宋体" w:cs="宋体"/>
                <w:color w:val="auto"/>
                <w:sz w:val="21"/>
                <w:szCs w:val="21"/>
              </w:rPr>
            </w:pPr>
            <w:r>
              <w:rPr>
                <w:rFonts w:hint="eastAsia" w:ascii="宋体" w:hAnsi="宋体" w:eastAsia="宋体" w:cs="宋体"/>
                <w:color w:val="auto"/>
                <w:sz w:val="21"/>
                <w:szCs w:val="21"/>
              </w:rPr>
              <w:t xml:space="preserve">否</w:t>
            </w:r>
            <w:r/>
          </w:p>
        </w:tc>
      </w:tr>
      <w:tr>
        <w:trPr/>
        <w:tc>
          <w:tcPr>
            <w:tcW w:w="567" w:type="dxa"/>
            <w:vAlign w:val="center"/>
            <w:textDirection w:val="lrTb"/>
            <w:noWrap w:val="false"/>
          </w:tcPr>
          <w:p>
            <w:pPr>
              <w:jc w:val="center"/>
              <w:spacing w:line="400" w:lineRule="exact"/>
              <w:rPr>
                <w:rFonts w:ascii="宋体" w:hAnsi="宋体" w:eastAsia="宋体" w:cs="宋体"/>
                <w:color w:val="auto"/>
                <w:sz w:val="21"/>
                <w:szCs w:val="21"/>
              </w:rPr>
              <w:outlineLvl w:val="0"/>
            </w:pPr>
            <w:r>
              <w:rPr>
                <w:rFonts w:ascii="宋体" w:hAnsi="宋体" w:eastAsia="宋体" w:cs="宋体"/>
                <w:color w:val="auto"/>
                <w:sz w:val="21"/>
                <w:szCs w:val="21"/>
              </w:rPr>
            </w:r>
            <w:r/>
          </w:p>
        </w:tc>
        <w:tc>
          <w:tcPr>
            <w:tcW w:w="1135" w:type="dxa"/>
            <w:vAlign w:val="center"/>
            <w:textDirection w:val="lrTb"/>
            <w:noWrap w:val="false"/>
          </w:tcPr>
          <w:p>
            <w:pPr>
              <w:jc w:val="center"/>
              <w:spacing w:line="400" w:lineRule="exact"/>
              <w:rPr>
                <w:rFonts w:ascii="宋体" w:hAnsi="宋体" w:eastAsia="宋体" w:cs="宋体"/>
                <w:color w:val="auto"/>
                <w:sz w:val="21"/>
                <w:szCs w:val="21"/>
              </w:rPr>
              <w:outlineLvl w:val="0"/>
            </w:pPr>
            <w:r>
              <w:rPr>
                <w:rFonts w:ascii="宋体" w:hAnsi="宋体" w:eastAsia="宋体" w:cs="宋体"/>
                <w:color w:val="auto"/>
                <w:sz w:val="21"/>
                <w:szCs w:val="21"/>
              </w:rPr>
            </w:r>
            <w:r/>
          </w:p>
        </w:tc>
        <w:tc>
          <w:tcPr>
            <w:tcW w:w="4961" w:type="dxa"/>
            <w:vAlign w:val="center"/>
            <w:textDirection w:val="lrTb"/>
            <w:noWrap w:val="false"/>
          </w:tcPr>
          <w:p>
            <w:pPr>
              <w:jc w:val="center"/>
              <w:spacing w:line="400" w:lineRule="exact"/>
              <w:rPr>
                <w:rFonts w:ascii="宋体" w:hAnsi="宋体" w:eastAsia="宋体" w:cs="宋体"/>
                <w:color w:val="auto"/>
                <w:sz w:val="21"/>
                <w:szCs w:val="21"/>
              </w:rPr>
              <w:outlineLvl w:val="0"/>
            </w:pPr>
            <w:r>
              <w:rPr>
                <w:rFonts w:hint="eastAsia" w:ascii="宋体" w:hAnsi="宋体" w:eastAsia="宋体" w:cs="宋体"/>
                <w:color w:val="auto"/>
                <w:sz w:val="21"/>
                <w:szCs w:val="21"/>
              </w:rPr>
              <w:t xml:space="preserve">合计</w:t>
            </w:r>
            <w:r/>
          </w:p>
        </w:tc>
        <w:tc>
          <w:tcPr>
            <w:tcW w:w="851" w:type="dxa"/>
            <w:vAlign w:val="center"/>
            <w:textDirection w:val="lrTb"/>
            <w:noWrap w:val="false"/>
          </w:tcPr>
          <w:p>
            <w:pPr>
              <w:jc w:val="center"/>
              <w:spacing w:line="400" w:lineRule="exact"/>
              <w:rPr>
                <w:rFonts w:ascii="宋体" w:hAnsi="宋体" w:eastAsia="宋体" w:cs="宋体"/>
                <w:color w:val="auto"/>
                <w:sz w:val="21"/>
                <w:szCs w:val="21"/>
              </w:rPr>
              <w:outlineLvl w:val="0"/>
            </w:pPr>
            <w:r>
              <w:rPr>
                <w:rFonts w:ascii="宋体" w:hAnsi="宋体" w:eastAsia="宋体" w:cs="宋体"/>
                <w:color w:val="auto"/>
                <w:sz w:val="21"/>
                <w:szCs w:val="21"/>
              </w:rPr>
            </w:r>
            <w:r/>
          </w:p>
        </w:tc>
        <w:tc>
          <w:tcPr>
            <w:tcW w:w="1134" w:type="dxa"/>
            <w:vAlign w:val="center"/>
            <w:textDirection w:val="lrTb"/>
            <w:noWrap w:val="false"/>
          </w:tcPr>
          <w:p>
            <w:pPr>
              <w:jc w:val="center"/>
              <w:spacing w:line="400" w:lineRule="exact"/>
              <w:rPr>
                <w:rFonts w:ascii="宋体" w:hAnsi="宋体" w:eastAsia="宋体" w:cs="宋体"/>
                <w:color w:val="auto"/>
                <w:sz w:val="21"/>
                <w:szCs w:val="21"/>
              </w:rPr>
              <w:outlineLvl w:val="0"/>
            </w:pPr>
            <w:r>
              <w:rPr>
                <w:rFonts w:hint="eastAsia" w:ascii="宋体" w:hAnsi="宋体" w:eastAsia="宋体" w:cs="宋体"/>
                <w:color w:val="auto"/>
                <w:sz w:val="21"/>
                <w:szCs w:val="21"/>
              </w:rPr>
              <w:t xml:space="preserve">160</w:t>
            </w:r>
            <w:r/>
          </w:p>
        </w:tc>
        <w:tc>
          <w:tcPr>
            <w:tcW w:w="113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113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bl>
    <w:p>
      <w:pPr>
        <w:spacing w:line="360" w:lineRule="auto"/>
        <w:tabs>
          <w:tab w:val="left" w:pos="540" w:leader="none"/>
        </w:tabs>
        <w:rPr>
          <w:rFonts w:ascii="宋体" w:hAnsi="宋体" w:eastAsia="宋体" w:cs="宋体"/>
          <w:b/>
          <w:color w:val="auto"/>
          <w:sz w:val="24"/>
          <w:szCs w:val="24"/>
        </w:rPr>
      </w:pPr>
      <w:r>
        <w:rPr>
          <w:rFonts w:ascii="宋体" w:hAnsi="宋体" w:eastAsia="宋体" w:cs="宋体"/>
          <w:b/>
          <w:color w:val="auto"/>
          <w:sz w:val="24"/>
          <w:szCs w:val="24"/>
        </w:rPr>
      </w:r>
      <w:r/>
    </w:p>
    <w:p>
      <w:pPr>
        <w:spacing w:line="360" w:lineRule="auto"/>
        <w:tabs>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采购包五主要技术参数</w:t>
      </w:r>
      <w:r/>
    </w:p>
    <w:p>
      <w:pPr>
        <w:spacing w:line="360" w:lineRule="auto"/>
        <w:tabs>
          <w:tab w:val="left" w:pos="180" w:leader="none"/>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一、有关说明</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本次采购为实验室数字化与智能化环境管控整体解决方案，采购内容包含实验室服务LIMS管理系统、实验室物联网控制系统两大核心软件平台，可实现实验室检测业务全流程合</w:t>
      </w:r>
      <w:r>
        <w:rPr>
          <w:rFonts w:hint="eastAsia" w:ascii="宋体" w:hAnsi="宋体" w:eastAsia="宋体" w:cs="宋体"/>
          <w:color w:val="auto"/>
          <w:sz w:val="24"/>
          <w:szCs w:val="24"/>
        </w:rPr>
        <w:t xml:space="preserve">规管理、动物房及全域环境多参数监测、设备状态管控、智能告警、数据追溯、国家级平台数据对接、CNAS评审适配及移动办公等数字化功能，同时涵盖全套配套硬件设备供货与部署，包含各类环境传感器、边缘采集设备、视频监控、电缆等硬件设施，此外本次采购完整包含项目所需强弱电、网络、通信、高清传输等全品类线缆、布线辅材供货，以及全域管线敷设、线路端接、标准化布线安装、链路调试测试等施工内容，并配套提供软硬件集成联调、协议对接、合规适配、运维保障等一体化服务，形成集软件平台、硬件设备、线路施工、集成调试于一体的完整建设内容。</w:t>
      </w:r>
      <w:r/>
    </w:p>
    <w:p>
      <w:pPr>
        <w:spacing w:line="360" w:lineRule="auto"/>
        <w:tabs>
          <w:tab w:val="left" w:pos="180" w:leader="none"/>
          <w:tab w:val="left" w:pos="54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二、技术参数</w:t>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（一）实验室服务系统</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整体架构与合规要求：功能全面覆盖从业务受理到出具检测报告的全流程管理，支持统一登录、菜单、消息入口等，LIMS与物联网控制系统可在同一门户内切换；支持多角色、多终端访问和数据可视化展示；同时满足CNAS-CL01:2018《检测和校准实验室能力认可准则》中的各项要求。</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2.全模块一体化管控：系统集业务管理、人员管理、设备管理、试剂耗材管理、供应商管理、文件管理、检测方法、质量控制、不符合项控制等多个模块于一体，构建起完整的实验室服务系统。</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电子签章无纸化闭环管理：内置专业电子签章模块，支持自定义上传、分级管理电子签名、个人检验章、部门检验专用章、单位电子公章等各类签章。系统可根据检测流程自动匹配、嵌入对应签章，支持检测报告、委托协议、流转单据、整改资料等所有电子化文件线上签章。具备远程不见面审批、多级流转签章、签章留痕、防篡改校验功能，全程实现检测业务无纸化办公，契合体系合规要求。</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低代码自定义配置：系统应配置通过低代码方式进行业务流程、表单、公式、检测记录模板、报告模板等自定义配置。管理人员可按业务需要配置样品流转、审核审批、签发、归档等流程节点，配置自定义字段、表单样式、计算公式、结果判定规则和原始记录自动计算逻辑，减少硬编码开发依赖，满足后续业务快速调整。</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合同管理与归档：配置合同上传管理、合同审批管理和合同归档管理。合同可在线登记、上传、流转和查询；支持多级审批、审批意见留痕、合同信息自动检索与填充；合同评审完成后支持上传签订后的PDF合同文件并完成归档，形成合同全生命周期台账。</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6.物料管理模块：涵盖实验室仪器、耗材、试剂、固定资产、生物制品等出入库三级审核采购保养验收使用全流程功能，全面支持各类物品出入库管理。</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标准管理：配置标准类别管理和标准清单管理，可维护检验标准所属法律法规类别、业务类别、标准编号、标准名称、版本、适用项目、有效期、状态等信息；支持上传标准电子文件、标准分类检索、到期提醒、状态自动更新和历史版本追溯。</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标准物质管理：配置标准物质采购、入库、出库、领用、库存、有效期、证书、供应商、存储位置、预警提醒等管理，标准物质可与检测项目、检测方法、原始记录、质量控制记录关联，保障检测数据可靠性和可追溯性。</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标准物质库管理：配置分类建档、唯一赋码、基本信息维护、库存预警、效期管理、存储空间管理、出入库与领用记录、上级/下级标物自动生成清单等功能，清单内容包含名称、编码、存放位置、有效期、配制人等信息，实现从赋码、信息维护到库存预警的全链条管理。</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设备维修与检定管理：仪器设备管理应覆盖设备维修管理和设备检定管理。设备维修支持维修申请、审核、维修执行、完成验收、维修记录归档；设备检定支持检定、校准、功能性检查、期间核查、证书上传、结果确认、审核、到期预警和历史记录追溯。</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实验预约程序：配置实验室仪器预约、测样预约、预约时段、预约项目、样品数量、预约人、联系方式、送样/测样时间、预约状态管理；支持仪器可用时段配置、预约冲突校验、预约审核、取消、改期、提醒通知、预约记录查询和统计；可与样品登记、检测任务、仪器使用记录关联。</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实验环境管理：系统需与温湿度监控设备对接，对实验室环境、冰箱、超低温冰箱等温湿度监测点位进行实时记录，按实际部署点位扩展至200余个监测点；数据记录保存不少于6年，并可根据要求随时导出完整数据。当监控设备超过设定阈值时，支持通过短信、微信等方式向使用人进行报警提醒。</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文件自动生成程序：系统内置标准化模板库，可自动生成样品处理表、样品流转单、唯一标识样品标签、送检委托协议书、原始实验记录、质控记录表等各类体系文件，支持一键打印、批量导出，统一单据格式、规范流程资料，减少人工编制误差，提升标准化管理水平。</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数据聚合可视化：整合检测过程中的全部数据，利用BI技术呈现实时任务看板，支持实验室运行看板、专业分析视图、公告通知、智能预警等功能，准确掌握实验室动态，将分散的兽医检测数据转化为直观的决策支持信息。</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15.全维度数据追溯留痕：实现多维数据和实验记录的收集、记录、存档与借阅，涵盖检测相关的全部结构化与非结构化信息，确保数据全程可追溯。</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16.实时动态监控：实时更新检测项目、检测任务进度，全程可视化监督样品受理、实验操作、数据录入、审核复核、报告出具等各环节执行状态。支持管理人员实时统筹项目资源、动态分配工作任务、及时排查流程卡点，实现实验室人力、设备、物料资源的动态化、精细化管控，大幅提升检测工作流转效率。</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17.全流程质量风险控制：通过对采样、检测、数据处理、报告复核等全流程环节的分析，实现影响因素的有效管理，提升检测质量和效率，确保分析成果准确可靠。</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18.降本增效管理：系统支持标准检测业务全程无纸化，从样品登记到报告签发均符合体系规范，减少因数据录入错误带来的物料和时间成本浪费。</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19.系统基础性能要求：系统界面简洁美观，符合用户使用习惯，遵循先进性、可靠性、安全性、兼容性等基本原则，易于快速上手、操作便捷、维护简单。</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20.后台运维管理：搭载功能全面的后台管理系统，支持岗位权限配置、功能菜单自定义、全量系统日志记录、操作行为审计、通知公告发布、数据备份恢复、账号权限管理等功能，可满足实验室多样化、精细化后台管理需求，保障系统安全稳定运行。</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自定义报表模块管理：用户根据实际需要，通过Word自定义检测报告、委托送检书或标签打印文档的模板，满足不同样品类型或检测类型对报告和打印的个性化需求。同时支持对实验室工作流程和用户角色灵活配置，实现不同业务对工作流程管理的需求，并支持将报表导出为Word、PDF、Excel格式文件。</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22.国产化适配与部署兼容：系统支持国产化环境部署（如麒麟、统信操作系统），具备高兼容性和安全性，可以在局域网内任意连接终端，不限用户数量，同时支持云服务。</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网络安全等级保护二级：系统应满足网络安全等级保护二级建设要求，支持后续开展等保二级定级备案、测评及整改工作，具备身份鉴别、访问控制、安全审计、通信加密、数据备份恢复、日志留存、权限分级、接口安全、防篡改、防SQL注入、防XSS、防越权访问等安全能力。</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24.国家级平台数据对接上传：配置标准化数据对接接口，支持将实验室检测数据、样品信息、报告信息、设备信息、人员信息等合规数据，自动、规范上传至相应信息平台，满足行业监管数据上报要求，实现数据互联互通；提供数据对接上传要求的材料复印件。</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25.仪器自动数据采集对接：与实验室已有检测仪器、实验设备无缝对接，基于HTTPS/API通用标准协议实现数据交互。系统具备接口鉴权、数据字段校验、异常数据拦截、数据自动入库、操作日志全追踪功能，可自动采集仪器检测结果、实验数据，彻底替代人工录入模式，杜绝人为操作误差，保障数据真实性、及时性。</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26.CNAS评审全维度适配：系统完全满足CNAS实验室认可对记录完整性、数据可追溯性、分级权限控制、操作全程留痕的所有规范要求。在资质评审、现场核查、日常督查过程中，评审人员可通过电脑端直接登录系统，实时查阅实验原始记录、报告流转轨迹、设备校准检定资料、人员培训档案、受控文件版本、内审及管理评审资料、不符合项整改闭环资料等全部电子化体系资料，全程支撑资质评审工作。</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27.移动端拓展应用：配套开发专用移动APP或微信小程序移动端，与电脑端数据实时同步、流程互通。支持现场采样信息录入、现场任务接收、线上审批流转、异常情况上报、消息提醒查看、数据查询等移动办公功能，突破场地限制，提升业务处理效率。</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spacing w:line="360" w:lineRule="auto"/>
        <w:tabs>
          <w:tab w:val="left" w:pos="180" w:leader="none"/>
          <w:tab w:val="left" w:pos="540" w:leader="none"/>
        </w:tabs>
        <w:rPr>
          <w:rFonts w:eastAsia="宋体"/>
          <w:b/>
          <w:color w:val="auto"/>
          <w:sz w:val="24"/>
          <w:szCs w:val="24"/>
        </w:rPr>
        <w:outlineLvl w:val="3"/>
      </w:pPr>
      <w:r>
        <w:rPr>
          <w:rFonts w:hint="eastAsia" w:eastAsia="宋体"/>
          <w:b/>
          <w:color w:val="auto"/>
          <w:sz w:val="24"/>
          <w:szCs w:val="24"/>
        </w:rPr>
        <w:t xml:space="preserve">（二）物联网控制系统</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全域环境设备一体化监控：系统全面覆盖实验室、动物房、各楼层公共区域、功能操作间等所有区域，可对环境温湿度、室内微压差、氨气浓度、二氧化碳浓度、环境照度、通风设备运行状态、消毒设备工作状态、现场视频监控状态等所有核心参数统一采集、实时展示、异常告警、历史追溯、报表统计，实现实验与养殖环境全要素智能化管控。</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分级区域数字化建模：按照楼栋、楼层、功能区域、独立动物房、公共操作空间、设备监测点位进行分层、分级数字化建模，精准划分监控单元，实现各区域、各点位数据独立监测、独立统计、独立告警、精准溯源，满足精细化分区管控需求。</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温湿度监测功能：配置不少于45个温湿度监测点位同步数据采集，实时展示各点位温湿度数值，自动生成温湿度变化趋势图，支持历史数据精准查询、时段筛选、数据导出报表，实现环境温湿度全天候动态监控。</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4.微压差监测功能：配置不少于45个微差压传感器数据接入与采集，实时展示各房间压差状态，支持自定义压差上下限阈值，超阈值自动触发告警提醒，保障动物房、洁净实验室压差合规稳定。</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5.二氧化碳浓度监测功能：配置不少于45个二氧化碳监测点位浓度数据采集，自动分析浓度变化趋势，浓度超限、数据异常立即触发告警，支持历史数据回溯、异常数据分析统计，保障室内空气环境达标。</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氨气浓度监测功能：配置不少于45个氨气监测点位实时浓度采集，适配动物房养殖环境监测需求，浓度超限自动告警，支持告警信息闭环处理、异常数据统计分析、历史记录追溯，规避氨气浓度超标对实验及动物的影响。</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7.环境照度监测功能：配置不少于45个照度监测点位数值采集，实时监测室内光照强度，支持昼夜光照节律数据展示，光照异常自动告警，留存光照变化历史趋势数据，满足实验及动物饲养光照环境管控标准。</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8.通风设备状态监测：配置不少于45个通风控制器数据接入，实时采集风机、通风阀门、新风系统等各类通风设备的启停状态、运行参数、故障异常信息，精准监控通风系统运行状态，保障室内通风条件稳定。</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消毒设备状态管控：配置不少于45台消毒设备运行状态采集，自动识别设备启动、停止、异常中断、故障停机等状态。支持人工补充录入消毒执行人、消毒药剂、消毒时间、操作备注、现场附件凭证等信息，实现消毒工作全流程记录、可查可溯。</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多级智能告警机制：支持自定义各类环境参数阈值、告警持续时长，可针对数据超限、设备离线、数据异常、消毒任务未执行、通风故障等各类异常场景设置分级告警策略，区分普通预警、重要告警、紧急告警，实现精准告警、分级处置。</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11.告警全流程闭环管控：构建异常触发、消息推送、人员确认、问题处置、结果复核、告警关闭、全程审计追溯的闭环管理流程，所有告警记录、处置过程、整改结果自动留存，形成完整的环境质量管控台账。</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12.实时数据推送服务：采用WebSocket及同等高效实时传输技术，实现环境数据、设备状态、告警信息毫秒级实时推送，前端页面数据同步更新，无延迟、无卡顿，保障管理人员实时掌握现场状态。</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13.断点续传数据保障：配套工业边缘网关具备本地数据缓存功能，网络中断时可本地存储监测数据，网络恢复后自动补传离线时段所有数据，杜绝数据丢失、断档，保障监测数据的完整性、连续性。</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 信息化运行支撑设备配置：CPU不低于8核16线程，满足LIMS、环</w:t>
      </w:r>
      <w:r>
        <w:rPr>
          <w:rFonts w:hint="eastAsia" w:ascii="宋体" w:hAnsi="宋体" w:eastAsia="宋体" w:cs="宋体"/>
          <w:color w:val="auto"/>
          <w:sz w:val="24"/>
          <w:szCs w:val="24"/>
        </w:rPr>
        <w:t xml:space="preserve">境监测、数据库、缓存、消息服务及报表服务并发运行要求；配置不低于 64GB ECC 内存，支持后续扩容；配置不低于480GB SSD，用于操作系统、数据库程序及应用服务部署。配置不低于2块 4TB 企业级硬盘，支持RAID1或同等级磁盘冗余保护；配置不少于2个千兆以太网口，支持内外网或业务/管理网络分离；支持部署Linux/Windows等常见操作系统及操作系统MySQL/PostgreSQL、Redis、MQTT 等基础组件；支持7×24小时连续运行，具备硬件状态监测、异常告警、断电恢复后自动启动等能力。</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15.数据安全保障设备：不低于3KVA在线式UPS，输出波形为纯正弦波；支持过载保护、短路保护、过压/欠压保护、电池低压告警、故障自检；信息化运行支撑设备、核心交换机、NVR 等核心设备提供短时断电保护；具备状态指示或 LCD 显示，支持电池容量、负载、输入输出状态查看；支持电池维护、更换，满足实验室信息化系统连续运行需求。</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16.NAS备份存储主机：不少于2盘位，支持RAID1或同等级数据保护方式；支持SMB、NFS 等常用文件共享协议，满足数据库备份、附件备份和文件归档需求；支持定时备份、增量备份、快照备份、权限管理、容量告警；配置千兆以太网接口，支持局域网内备份任务稳定传输；用于 LIMS 业务数据、环境监测数据、附件资料及视频相关数据备份。</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17.NAS专用存储硬盘：单盘容量不低于 8TB。NAS 专用盘或企业级硬盘，适配 7×24 小时连续运行；与 NAS 主机兼容，支持 RAID1 场景长期稳定运行；用于业务数据、监测数据、附件资料及备份文件存储。</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18.核心网络设备及辅材：配置千兆核心交换机，满足信息化运行支撑设备、NAS存储、NVR录像机、边缘网关、办公终端等所有设备稳定接入，配套提供全程网线、标签、理线架、配线架等全套网络辅材，完成标准化布线、调试、理线工作；</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color w:val="auto"/>
        </w:rPr>
        <w:t xml:space="preserve"> </w:t>
      </w:r>
      <w:r>
        <w:rPr>
          <w:rFonts w:ascii="宋体" w:hAnsi="宋体" w:eastAsia="宋体" w:cs="宋体"/>
          <w:color w:val="auto"/>
          <w:sz w:val="24"/>
          <w:szCs w:val="24"/>
        </w:rPr>
        <w:t xml:space="preserve">条码标签输出装置</w:t>
      </w:r>
      <w:r>
        <w:rPr>
          <w:rFonts w:hint="eastAsia" w:ascii="宋体" w:hAnsi="宋体" w:eastAsia="宋体" w:cs="宋体"/>
          <w:color w:val="auto"/>
          <w:sz w:val="24"/>
          <w:szCs w:val="24"/>
        </w:rPr>
        <w:t xml:space="preserve">：配置不少于2台300dpi高清</w:t>
      </w:r>
      <w:r>
        <w:rPr>
          <w:rFonts w:ascii="宋体" w:hAnsi="宋体" w:eastAsia="宋体" w:cs="宋体"/>
          <w:color w:val="auto"/>
          <w:sz w:val="24"/>
          <w:szCs w:val="24"/>
        </w:rPr>
        <w:t xml:space="preserve">条码标签输出装置</w:t>
      </w:r>
      <w:r>
        <w:rPr>
          <w:rFonts w:hint="eastAsia" w:ascii="宋体" w:hAnsi="宋体" w:eastAsia="宋体" w:cs="宋体"/>
          <w:color w:val="auto"/>
          <w:sz w:val="24"/>
          <w:szCs w:val="24"/>
        </w:rPr>
        <w:t xml:space="preserve">，支持热转印、热敏双模式打印，兼容USB、LAN网络接口，可批量打印样品标签、二维码、条形码，适配实验室样品标识全场景使用。</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20.二维扫码识别设备：配置不少于4把二维扫码枪，兼容一维码、二维码识读，支持USB有线、无线连接模式，可快速识别各类样品标签、设备标签、物料标签，适配样品登记、物料核销、设备巡检等扫码场景。</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21.A4激光</w:t>
      </w:r>
      <w:r>
        <w:rPr>
          <w:rFonts w:ascii="宋体" w:hAnsi="宋体" w:eastAsia="宋体" w:cs="宋体"/>
          <w:color w:val="auto"/>
          <w:sz w:val="24"/>
          <w:szCs w:val="24"/>
        </w:rPr>
        <w:t xml:space="preserve">输出仪</w:t>
      </w:r>
      <w:r>
        <w:rPr>
          <w:rFonts w:hint="eastAsia" w:ascii="宋体" w:hAnsi="宋体" w:eastAsia="宋体" w:cs="宋体"/>
          <w:color w:val="auto"/>
          <w:sz w:val="24"/>
          <w:szCs w:val="24"/>
        </w:rPr>
        <w:t xml:space="preserve">：支持网络打印、USB直连打印，用于检测报告、体系台账、审批材料、归档文件等纸质资料打印输出。</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22.温湿度传感器：配置不少于45台壁挂式RS485温湿度传感器，RS485 通信接口，支持 Modbus RTU 协议；温度、湿度量程满足实验室、动物房、公共区域、冰箱/超低温冰箱等环境监测需求；温度精度≤±0.5℃，湿度精度≤±3%RH；壁挂式安装，支持设备地址配置和多点总线接入；支持 DC 12V/24V 等常见工业低压供电方式；支持实时采集、平台展示、历史记录和异常告警。</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23.微差压与二氧化碳传感器：配置不少于45台微差压传感器，接口协议：RS485 通信接口，支持 Modbus RTU 协议；支持±50Pa或±100Pa等洁净区/动物房常用微差压量程；支持现场零点校准或软件校准；满足动物房、洁净区域压差合规监测要求；支持墙面安装、软管取压或配套取压接口；支持实时压差展示、阈值设置、超限告警和历史追溯。</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24.氨气传感器：配置不少于45台工业级NH3氨气传感器，检测对象为NH3 氨气浓度；量程应适配动物房养殖环境，可按现场需求选配常用量程；RS485 通信接口，支持 Modbus RTU 协议；支持实时浓度采集、超限告警、历史记录和异常追溯；适配动物房室内环境，具备一定抗干扰能力；支持传感器校准、更换和运行状态检查。</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25.照度传感器：配置不少于45台照度传感器，采用RS485/Modbus RTU协议，精准采集环境光照强度数据，支撑室内昼夜光照节律监测、异常告警、数据统计分析。</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26.工业IO控制模块：配置不少于4台8路DI/DO工业IO模块，具备不少于8路数字量输入输出接口，采用RS485/Modbus RTU协议，用于通风设备、灯光设备、消毒设备的启停状态、故障信号采集与联动控制。</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27.工业边缘网关：配置工业级边缘网关，兼容RS485、Modbus.RTU/TCP、MQTT、HTTP/JSON等多类协议，支持本地数据缓存、断点续传、远程设备配置、数据协议转换，保障多品类传感器、设备数据稳定接入平台。</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28.信号隔离汇聚设备：配置不少于2台RS485隔离器/集线器，用于多传感器线路分支汇聚、信号隔离、抗干扰过滤，保障工业现场复杂环境下总线信号稳定、数据传输不丢包。</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29. 综合信息发布适配服务：系统应提供实验室综合信息发布页面及终端适配能力，支持LIMS运行状态、检测任务、实验室环境概况、告警信息和视频预览等内容集中发布；支持浏览器全屏运行、常见分辨率自适应、页面自动刷新、定时轮播和远程内容更新；提供与采购人统一配置的信息发布终端对接能力。终端硬件及其配套安装不纳入本项目供货范围。</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30.动物房环境信息发布适配服务：系统应提供动物房环境信息发布页面及终端适配能力，支持温湿度、压差、二氧化碳、氨气、照度、通风状态、消毒状态、告警信息及视频预览等内容集中发布；支持数据自动刷新、异常状态突出提醒、页面轮播和常见分辨率适配；提供与采购人统一配置的信息发布终端对接能力。终端硬件及其配套安装不纳入本项目供货范围。</w:t>
      </w:r>
      <w:r/>
    </w:p>
    <w:p>
      <w:pPr>
        <w:jc w:val="left"/>
        <w:spacing w:line="360" w:lineRule="auto"/>
        <w:rPr>
          <w:rFonts w:ascii="宋体" w:hAnsi="宋体" w:cs="宋体"/>
          <w:color w:val="auto"/>
          <w:sz w:val="24"/>
        </w:rPr>
        <w:sectPr>
          <w:headerReference w:type="default" r:id="rId8"/>
          <w:footerReference w:type="default" r:id="rId10"/>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sz w:val="24"/>
          <w:szCs w:val="24"/>
        </w:rPr>
        <w:t xml:space="preserve">31.视频监控系统：配置不少于45台200万像素及以上网络摄像机，支持PoE供电、H.265/H.264编码、红外夜视、RTSP/ONVIF协议，适配动物房、走廊、实验室全域安装。配套≥16路NVR录像机，支持PoE接入、多路视频同时预览、录像回放、远程查看；配置不少于2块4TB及以上监控专用硬盘，支持7×24小时不间断录像存储。配套千兆PoE交换机、全套布线及安装调试，并提供视频流对接及信息发布页面适配服务，实现现场视频实时监控、回溯和集中预览。</w:t>
      </w:r>
      <w:r/>
    </w:p>
    <w:p>
      <w:pPr>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（三）配件的技术要求</w:t>
      </w:r>
      <w:r/>
    </w:p>
    <w:tbl>
      <w:tblPr>
        <w:tblStyle w:val="773"/>
        <w:tblW w:w="15610"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108" w:type="dxa"/>
          <w:top w:w="0" w:type="dxa"/>
          <w:right w:w="108" w:type="dxa"/>
          <w:bottom w:w="0" w:type="dxa"/>
        </w:tblCellMar>
        <w:tblLook w:val="04A0" w:firstRow="1" w:lastRow="0" w:firstColumn="1" w:lastColumn="0" w:noHBand="0" w:noVBand="1"/>
      </w:tblPr>
      <w:tblGrid>
        <w:gridCol w:w="520"/>
        <w:gridCol w:w="1515"/>
        <w:gridCol w:w="1626"/>
        <w:gridCol w:w="2476"/>
        <w:gridCol w:w="873"/>
        <w:gridCol w:w="883"/>
        <w:gridCol w:w="7717"/>
      </w:tblGrid>
      <w:tr>
        <w:trPr>
          <w:cantSplit/>
          <w:jc w:val="center"/>
          <w:tblHeader/>
        </w:trPr>
        <w:tc>
          <w:tcPr>
            <w:shd w:val="clear" w:color="auto" w:fill="f2f2f2"/>
            <w:tcMar>
              <w:left w:w="90" w:type="dxa"/>
              <w:top w:w="70" w:type="dxa"/>
              <w:right w:w="90" w:type="dxa"/>
              <w:bottom w:w="70" w:type="dxa"/>
            </w:tcMar>
            <w:tcW w:w="520" w:type="dxa"/>
            <w:vAlign w:val="center"/>
            <w:textDirection w:val="lrTb"/>
            <w:noWrap w:val="false"/>
          </w:tcPr>
          <w:p>
            <w:pPr>
              <w:jc w:val="center"/>
              <w:spacing w:line="259" w:lineRule="auto"/>
              <w:rPr>
                <w:color w:val="auto"/>
              </w:rPr>
            </w:pPr>
            <w:r>
              <w:rPr>
                <w:b/>
                <w:color w:val="auto"/>
                <w:sz w:val="18"/>
              </w:rPr>
              <w:t xml:space="preserve">序号</w:t>
            </w:r>
            <w:r/>
          </w:p>
        </w:tc>
        <w:tc>
          <w:tcPr>
            <w:shd w:val="clear" w:color="auto" w:fill="f2f2f2"/>
            <w:tcMar>
              <w:left w:w="90" w:type="dxa"/>
              <w:top w:w="70" w:type="dxa"/>
              <w:right w:w="90" w:type="dxa"/>
              <w:bottom w:w="70" w:type="dxa"/>
            </w:tcMar>
            <w:tcW w:w="1515" w:type="dxa"/>
            <w:vAlign w:val="center"/>
            <w:textDirection w:val="lrTb"/>
            <w:noWrap w:val="false"/>
          </w:tcPr>
          <w:p>
            <w:pPr>
              <w:jc w:val="center"/>
              <w:spacing w:line="259" w:lineRule="auto"/>
              <w:rPr>
                <w:color w:val="auto"/>
              </w:rPr>
            </w:pPr>
            <w:r>
              <w:rPr>
                <w:b/>
                <w:color w:val="auto"/>
                <w:sz w:val="18"/>
              </w:rPr>
              <w:t xml:space="preserve">所属系统/用途</w:t>
            </w:r>
            <w:r/>
          </w:p>
        </w:tc>
        <w:tc>
          <w:tcPr>
            <w:shd w:val="clear" w:color="auto" w:fill="f2f2f2"/>
            <w:tcMar>
              <w:left w:w="90" w:type="dxa"/>
              <w:top w:w="70" w:type="dxa"/>
              <w:right w:w="90" w:type="dxa"/>
              <w:bottom w:w="70" w:type="dxa"/>
            </w:tcMar>
            <w:tcW w:w="1626" w:type="dxa"/>
            <w:vAlign w:val="center"/>
            <w:textDirection w:val="lrTb"/>
            <w:noWrap w:val="false"/>
          </w:tcPr>
          <w:p>
            <w:pPr>
              <w:jc w:val="center"/>
              <w:spacing w:line="259" w:lineRule="auto"/>
              <w:rPr>
                <w:color w:val="auto"/>
              </w:rPr>
            </w:pPr>
            <w:r>
              <w:rPr>
                <w:b/>
                <w:color w:val="auto"/>
                <w:sz w:val="18"/>
              </w:rPr>
              <w:t xml:space="preserve">分类</w:t>
            </w:r>
            <w:r/>
          </w:p>
        </w:tc>
        <w:tc>
          <w:tcPr>
            <w:shd w:val="clear" w:color="auto" w:fill="f2f2f2"/>
            <w:tcMar>
              <w:left w:w="90" w:type="dxa"/>
              <w:top w:w="70" w:type="dxa"/>
              <w:right w:w="90" w:type="dxa"/>
              <w:bottom w:w="70" w:type="dxa"/>
            </w:tcMar>
            <w:tcW w:w="2476" w:type="dxa"/>
            <w:vAlign w:val="center"/>
            <w:textDirection w:val="lrTb"/>
            <w:noWrap w:val="false"/>
          </w:tcPr>
          <w:p>
            <w:pPr>
              <w:jc w:val="center"/>
              <w:spacing w:line="259" w:lineRule="auto"/>
              <w:rPr>
                <w:color w:val="auto"/>
              </w:rPr>
            </w:pPr>
            <w:r>
              <w:rPr>
                <w:b/>
                <w:color w:val="auto"/>
                <w:sz w:val="18"/>
              </w:rPr>
              <w:t xml:space="preserve">设备名称</w:t>
            </w:r>
            <w:r/>
          </w:p>
        </w:tc>
        <w:tc>
          <w:tcPr>
            <w:shd w:val="clear" w:color="auto" w:fill="f2f2f2"/>
            <w:tcMar>
              <w:left w:w="90" w:type="dxa"/>
              <w:top w:w="70" w:type="dxa"/>
              <w:right w:w="90" w:type="dxa"/>
              <w:bottom w:w="70" w:type="dxa"/>
            </w:tcMar>
            <w:tcW w:w="873" w:type="dxa"/>
            <w:vAlign w:val="center"/>
            <w:textDirection w:val="lrTb"/>
            <w:noWrap w:val="false"/>
          </w:tcPr>
          <w:p>
            <w:pPr>
              <w:jc w:val="center"/>
              <w:spacing w:line="259" w:lineRule="auto"/>
              <w:rPr>
                <w:color w:val="auto"/>
              </w:rPr>
            </w:pPr>
            <w:r>
              <w:rPr>
                <w:b/>
                <w:color w:val="auto"/>
                <w:sz w:val="18"/>
              </w:rPr>
              <w:t xml:space="preserve">单位</w:t>
            </w:r>
            <w:r/>
          </w:p>
        </w:tc>
        <w:tc>
          <w:tcPr>
            <w:shd w:val="clear" w:color="auto" w:fill="f2f2f2"/>
            <w:tcMar>
              <w:left w:w="90" w:type="dxa"/>
              <w:top w:w="70" w:type="dxa"/>
              <w:right w:w="90" w:type="dxa"/>
              <w:bottom w:w="70" w:type="dxa"/>
            </w:tcMar>
            <w:tcW w:w="883" w:type="dxa"/>
            <w:vAlign w:val="center"/>
            <w:textDirection w:val="lrTb"/>
            <w:noWrap w:val="false"/>
          </w:tcPr>
          <w:p>
            <w:pPr>
              <w:jc w:val="center"/>
              <w:spacing w:line="259" w:lineRule="auto"/>
              <w:rPr>
                <w:color w:val="auto"/>
              </w:rPr>
            </w:pPr>
            <w:r>
              <w:rPr>
                <w:b/>
                <w:color w:val="auto"/>
                <w:sz w:val="18"/>
              </w:rPr>
              <w:t xml:space="preserve">数量</w:t>
            </w:r>
            <w:r/>
          </w:p>
        </w:tc>
        <w:tc>
          <w:tcPr>
            <w:shd w:val="clear" w:color="auto" w:fill="f2f2f2"/>
            <w:tcMar>
              <w:left w:w="90" w:type="dxa"/>
              <w:top w:w="70" w:type="dxa"/>
              <w:right w:w="90" w:type="dxa"/>
              <w:bottom w:w="70" w:type="dxa"/>
            </w:tcMar>
            <w:tcW w:w="7717" w:type="dxa"/>
            <w:vAlign w:val="center"/>
            <w:textDirection w:val="lrTb"/>
            <w:noWrap w:val="false"/>
          </w:tcPr>
          <w:p>
            <w:pPr>
              <w:jc w:val="center"/>
              <w:spacing w:line="259" w:lineRule="auto"/>
              <w:rPr>
                <w:color w:val="auto"/>
              </w:rPr>
            </w:pPr>
            <w:r>
              <w:rPr>
                <w:b/>
                <w:color w:val="auto"/>
                <w:sz w:val="18"/>
              </w:rPr>
              <w:t xml:space="preserve">技术参数/指标要求</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信息化运行支撑</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信息化运行支撑设备</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处理器：CPU 不低于 8 核 16 线程，满足 LIMS、环境监测、数据库、缓存、消息服务及报表服务并发运行要求。</w:t>
            </w:r>
            <w:r>
              <w:rPr>
                <w:rFonts w:ascii="宋体" w:hAnsi="宋体" w:eastAsia="宋体"/>
                <w:color w:val="auto"/>
                <w:sz w:val="18"/>
                <w:szCs w:val="18"/>
              </w:rPr>
              <w:br/>
            </w:r>
            <w:r>
              <w:rPr>
                <w:rFonts w:ascii="宋体" w:hAnsi="宋体" w:eastAsia="宋体"/>
                <w:color w:val="auto"/>
                <w:sz w:val="18"/>
                <w:szCs w:val="18"/>
              </w:rPr>
              <w:t xml:space="preserve">2. 内存：配置不低于 64GB ECC 内存，支持后续扩容。</w:t>
            </w:r>
            <w:r>
              <w:rPr>
                <w:rFonts w:ascii="宋体" w:hAnsi="宋体" w:eastAsia="宋体"/>
                <w:color w:val="auto"/>
                <w:sz w:val="18"/>
                <w:szCs w:val="18"/>
              </w:rPr>
              <w:br/>
            </w:r>
            <w:r>
              <w:rPr>
                <w:rFonts w:ascii="宋体" w:hAnsi="宋体" w:eastAsia="宋体"/>
                <w:color w:val="auto"/>
                <w:sz w:val="18"/>
                <w:szCs w:val="18"/>
              </w:rPr>
              <w:t xml:space="preserve">3. 系统盘：配置不低于 480GB SSD，用于操作系统、数据库程序及应用服务部署。</w:t>
            </w:r>
            <w:r>
              <w:rPr>
                <w:rFonts w:ascii="宋体" w:hAnsi="宋体" w:eastAsia="宋体"/>
                <w:color w:val="auto"/>
                <w:sz w:val="18"/>
                <w:szCs w:val="18"/>
              </w:rPr>
              <w:br/>
            </w:r>
            <w:r>
              <w:rPr>
                <w:rFonts w:ascii="宋体" w:hAnsi="宋体" w:eastAsia="宋体"/>
                <w:color w:val="auto"/>
                <w:sz w:val="18"/>
                <w:szCs w:val="18"/>
              </w:rPr>
              <w:t xml:space="preserve">4. 数据盘：配置不低于 2 块 4TB 企业级硬盘，支持 RAID1 或同等级磁盘冗余保护。</w:t>
            </w:r>
            <w:r>
              <w:rPr>
                <w:rFonts w:ascii="宋体" w:hAnsi="宋体" w:eastAsia="宋体"/>
                <w:color w:val="auto"/>
                <w:sz w:val="18"/>
                <w:szCs w:val="18"/>
              </w:rPr>
              <w:br/>
            </w:r>
            <w:r>
              <w:rPr>
                <w:rFonts w:ascii="宋体" w:hAnsi="宋体" w:eastAsia="宋体"/>
                <w:color w:val="auto"/>
                <w:sz w:val="18"/>
                <w:szCs w:val="18"/>
              </w:rPr>
              <w:t xml:space="preserve">5. 网络：配置不少于 2 个千兆以太网口，支持内外网或业务/管理网络分离。</w:t>
            </w:r>
            <w:r>
              <w:rPr>
                <w:rFonts w:ascii="宋体" w:hAnsi="宋体" w:eastAsia="宋体"/>
                <w:color w:val="auto"/>
                <w:sz w:val="18"/>
                <w:szCs w:val="18"/>
              </w:rPr>
              <w:br/>
            </w:r>
            <w:r>
              <w:rPr>
                <w:rFonts w:ascii="宋体" w:hAnsi="宋体" w:eastAsia="宋体"/>
                <w:color w:val="auto"/>
                <w:sz w:val="18"/>
                <w:szCs w:val="18"/>
              </w:rPr>
              <w:t xml:space="preserve">6. 兼容性：支持部署inux/Windows 等常见操作系统及 MySQL/PostgreSQL、Redis、MQTT 等基础组件。</w:t>
            </w:r>
            <w:r>
              <w:rPr>
                <w:rFonts w:ascii="宋体" w:hAnsi="宋体" w:eastAsia="宋体"/>
                <w:color w:val="auto"/>
                <w:sz w:val="18"/>
                <w:szCs w:val="18"/>
              </w:rPr>
              <w:br/>
            </w:r>
            <w:r>
              <w:rPr>
                <w:rFonts w:ascii="宋体" w:hAnsi="宋体" w:eastAsia="宋体"/>
                <w:color w:val="auto"/>
                <w:sz w:val="18"/>
                <w:szCs w:val="18"/>
              </w:rPr>
              <w:t xml:space="preserve">7. 可靠性：支持 7×24 小时连续运行，具备硬件状态监测、异常告警、断电恢复后自动启动等能力。</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2</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安全保障</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数据安全保障设备</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容量：不低于 3KVA 在线式 UPS，输出波形为纯正弦波。</w:t>
            </w:r>
            <w:r>
              <w:rPr>
                <w:rFonts w:ascii="宋体" w:hAnsi="宋体" w:eastAsia="宋体"/>
                <w:color w:val="auto"/>
                <w:sz w:val="18"/>
                <w:szCs w:val="18"/>
              </w:rPr>
              <w:br/>
            </w:r>
            <w:r>
              <w:rPr>
                <w:rFonts w:ascii="宋体" w:hAnsi="宋体" w:eastAsia="宋体"/>
                <w:color w:val="auto"/>
                <w:sz w:val="18"/>
                <w:szCs w:val="18"/>
              </w:rPr>
              <w:t xml:space="preserve">2. 保护能力：支持过载保护、短路保护、过压/欠压保护、电池低压告警、故障自检。</w:t>
            </w:r>
            <w:r>
              <w:rPr>
                <w:rFonts w:ascii="宋体" w:hAnsi="宋体" w:eastAsia="宋体"/>
                <w:color w:val="auto"/>
                <w:sz w:val="18"/>
                <w:szCs w:val="18"/>
              </w:rPr>
              <w:br/>
            </w:r>
            <w:r>
              <w:rPr>
                <w:rFonts w:ascii="宋体" w:hAnsi="宋体" w:eastAsia="宋体"/>
                <w:color w:val="auto"/>
                <w:sz w:val="18"/>
                <w:szCs w:val="18"/>
              </w:rPr>
              <w:t xml:space="preserve">3. 适用范围：为信息化运行支撑设备、NAS、核心交换机、NVR 等核心设备提供短时断电保护。</w:t>
            </w:r>
            <w:r>
              <w:rPr>
                <w:rFonts w:ascii="宋体" w:hAnsi="宋体" w:eastAsia="宋体"/>
                <w:color w:val="auto"/>
                <w:sz w:val="18"/>
                <w:szCs w:val="18"/>
              </w:rPr>
              <w:br/>
            </w:r>
            <w:r>
              <w:rPr>
                <w:rFonts w:ascii="宋体" w:hAnsi="宋体" w:eastAsia="宋体"/>
                <w:color w:val="auto"/>
                <w:sz w:val="18"/>
                <w:szCs w:val="18"/>
              </w:rPr>
              <w:t xml:space="preserve">4. 管理能力：具备状态指示或 LCD 显示，支持电池容量、负载、输入输出状态查看。</w:t>
            </w:r>
            <w:r>
              <w:rPr>
                <w:rFonts w:ascii="宋体" w:hAnsi="宋体" w:eastAsia="宋体"/>
                <w:color w:val="auto"/>
                <w:sz w:val="18"/>
                <w:szCs w:val="18"/>
              </w:rPr>
              <w:br/>
            </w:r>
            <w:r>
              <w:rPr>
                <w:rFonts w:ascii="宋体" w:hAnsi="宋体" w:eastAsia="宋体"/>
                <w:color w:val="auto"/>
                <w:sz w:val="18"/>
                <w:szCs w:val="18"/>
              </w:rPr>
              <w:t xml:space="preserve">5. 扩展要求：支持电池维护、更换，满足实验室信息化系统连续运行需求。</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3</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数据存储</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数据</w:t>
            </w:r>
            <w:r>
              <w:rPr>
                <w:rFonts w:ascii="宋体" w:hAnsi="宋体" w:eastAsia="宋体"/>
                <w:color w:val="auto"/>
                <w:sz w:val="18"/>
                <w:szCs w:val="18"/>
              </w:rPr>
              <w:t xml:space="preserve">备份存储</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盘位：不少于 2 盘位，支持 RAID1 或同等级数据保护方式。</w:t>
            </w:r>
            <w:r>
              <w:rPr>
                <w:rFonts w:ascii="宋体" w:hAnsi="宋体" w:eastAsia="宋体"/>
                <w:color w:val="auto"/>
                <w:sz w:val="18"/>
                <w:szCs w:val="18"/>
              </w:rPr>
              <w:br/>
            </w:r>
            <w:r>
              <w:rPr>
                <w:rFonts w:ascii="宋体" w:hAnsi="宋体" w:eastAsia="宋体"/>
                <w:color w:val="auto"/>
                <w:sz w:val="18"/>
                <w:szCs w:val="18"/>
              </w:rPr>
              <w:t xml:space="preserve">2. 协议：支持 SMB、NFS 等常用文件共享协议，满足数据库备份、附件备份和文件归档需求。</w:t>
            </w:r>
            <w:r>
              <w:rPr>
                <w:rFonts w:ascii="宋体" w:hAnsi="宋体" w:eastAsia="宋体"/>
                <w:color w:val="auto"/>
                <w:sz w:val="18"/>
                <w:szCs w:val="18"/>
              </w:rPr>
              <w:br/>
            </w:r>
            <w:r>
              <w:rPr>
                <w:rFonts w:ascii="宋体" w:hAnsi="宋体" w:eastAsia="宋体"/>
                <w:color w:val="auto"/>
                <w:sz w:val="18"/>
                <w:szCs w:val="18"/>
              </w:rPr>
              <w:t xml:space="preserve">3. 功能：支持定时备份、增量备份、快照备份、权限管理、容量告警。</w:t>
            </w:r>
            <w:r>
              <w:rPr>
                <w:rFonts w:ascii="宋体" w:hAnsi="宋体" w:eastAsia="宋体"/>
                <w:color w:val="auto"/>
                <w:sz w:val="18"/>
                <w:szCs w:val="18"/>
              </w:rPr>
              <w:br/>
            </w:r>
            <w:r>
              <w:rPr>
                <w:rFonts w:ascii="宋体" w:hAnsi="宋体" w:eastAsia="宋体"/>
                <w:color w:val="auto"/>
                <w:sz w:val="18"/>
                <w:szCs w:val="18"/>
              </w:rPr>
              <w:t xml:space="preserve">4. 网络：配置千兆以太网接口，支持局域网内备份任务稳定传输。</w:t>
            </w:r>
            <w:r>
              <w:rPr>
                <w:rFonts w:ascii="宋体" w:hAnsi="宋体" w:eastAsia="宋体"/>
                <w:color w:val="auto"/>
                <w:sz w:val="18"/>
                <w:szCs w:val="18"/>
              </w:rPr>
              <w:br/>
            </w:r>
            <w:r>
              <w:rPr>
                <w:rFonts w:ascii="宋体" w:hAnsi="宋体" w:eastAsia="宋体"/>
                <w:color w:val="auto"/>
                <w:sz w:val="18"/>
                <w:szCs w:val="18"/>
              </w:rPr>
              <w:t xml:space="preserve">5. 应用：用于 LIMS 业务数据、环境监测数据、附件资料及视频相关数据备份。</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4</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数据存储</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备份存储介质</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2</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容量：单盘容量不低于 8TB。</w:t>
            </w:r>
            <w:r>
              <w:rPr>
                <w:rFonts w:ascii="宋体" w:hAnsi="宋体" w:eastAsia="宋体"/>
                <w:color w:val="auto"/>
                <w:sz w:val="18"/>
                <w:szCs w:val="18"/>
              </w:rPr>
              <w:br/>
            </w:r>
            <w:r>
              <w:rPr>
                <w:rFonts w:ascii="宋体" w:hAnsi="宋体" w:eastAsia="宋体"/>
                <w:color w:val="auto"/>
                <w:sz w:val="18"/>
                <w:szCs w:val="18"/>
              </w:rPr>
              <w:t xml:space="preserve">2. 类型：NAS 专用盘或企业级硬盘，适配 7×24 小时连续运行。</w:t>
            </w:r>
            <w:r>
              <w:rPr>
                <w:rFonts w:ascii="宋体" w:hAnsi="宋体" w:eastAsia="宋体"/>
                <w:color w:val="auto"/>
                <w:sz w:val="18"/>
                <w:szCs w:val="18"/>
              </w:rPr>
              <w:br/>
            </w:r>
            <w:r>
              <w:rPr>
                <w:rFonts w:ascii="宋体" w:hAnsi="宋体" w:eastAsia="宋体"/>
                <w:color w:val="auto"/>
                <w:sz w:val="18"/>
                <w:szCs w:val="18"/>
              </w:rPr>
              <w:t xml:space="preserve">3. 兼容性：与 NAS 主机兼容，支持 RAID1 场景长期稳定运行。</w:t>
            </w:r>
            <w:r>
              <w:rPr>
                <w:rFonts w:ascii="宋体" w:hAnsi="宋体" w:eastAsia="宋体"/>
                <w:color w:val="auto"/>
                <w:sz w:val="18"/>
                <w:szCs w:val="18"/>
              </w:rPr>
              <w:br/>
            </w:r>
            <w:r>
              <w:rPr>
                <w:rFonts w:ascii="宋体" w:hAnsi="宋体" w:eastAsia="宋体"/>
                <w:color w:val="auto"/>
                <w:sz w:val="18"/>
                <w:szCs w:val="18"/>
              </w:rPr>
              <w:t xml:space="preserve">4. 用途：用于业务数据、监测数据、附件资料及备份文件存储。</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5</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机柜与配电</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标准信息化设备机柜</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规格：标准 19 英寸机柜，建议不低于 22U</w:t>
            </w:r>
            <w:r>
              <w:rPr>
                <w:rFonts w:hint="eastAsia" w:ascii="宋体" w:hAnsi="宋体" w:eastAsia="宋体"/>
                <w:color w:val="auto"/>
                <w:sz w:val="18"/>
                <w:szCs w:val="18"/>
              </w:rPr>
              <w:t xml:space="preserve">，</w:t>
            </w:r>
            <w:r>
              <w:rPr>
                <w:rFonts w:ascii="宋体" w:hAnsi="宋体" w:eastAsia="宋体"/>
                <w:color w:val="auto"/>
                <w:sz w:val="18"/>
                <w:szCs w:val="18"/>
              </w:rPr>
              <w:t xml:space="preserve">高度、深度满足信息化运行支撑设备、NAS、NVR、交换机安装需要。</w:t>
            </w:r>
            <w:r>
              <w:rPr>
                <w:rFonts w:ascii="宋体" w:hAnsi="宋体" w:eastAsia="宋体"/>
                <w:color w:val="auto"/>
                <w:sz w:val="18"/>
                <w:szCs w:val="18"/>
              </w:rPr>
              <w:br/>
            </w:r>
            <w:r>
              <w:rPr>
                <w:rFonts w:ascii="宋体" w:hAnsi="宋体" w:eastAsia="宋体"/>
                <w:color w:val="auto"/>
                <w:sz w:val="18"/>
                <w:szCs w:val="18"/>
              </w:rPr>
              <w:t xml:space="preserve">2. 结构：配置前后门、侧板、托盘、理线环、安装螺丝等基础配件。</w:t>
            </w:r>
            <w:r>
              <w:rPr>
                <w:rFonts w:ascii="宋体" w:hAnsi="宋体" w:eastAsia="宋体"/>
                <w:color w:val="auto"/>
                <w:sz w:val="18"/>
                <w:szCs w:val="18"/>
              </w:rPr>
              <w:br/>
            </w:r>
            <w:r>
              <w:rPr>
                <w:rFonts w:ascii="宋体" w:hAnsi="宋体" w:eastAsia="宋体"/>
                <w:color w:val="auto"/>
                <w:sz w:val="18"/>
                <w:szCs w:val="18"/>
              </w:rPr>
              <w:t xml:space="preserve">3. 散热：具备良好通风散热能力，可安装机柜风扇或顶部散热单元。</w:t>
            </w:r>
            <w:r>
              <w:rPr>
                <w:rFonts w:ascii="宋体" w:hAnsi="宋体" w:eastAsia="宋体"/>
                <w:color w:val="auto"/>
                <w:sz w:val="18"/>
                <w:szCs w:val="18"/>
              </w:rPr>
              <w:br/>
            </w:r>
            <w:r>
              <w:rPr>
                <w:rFonts w:ascii="宋体" w:hAnsi="宋体" w:eastAsia="宋体"/>
                <w:color w:val="auto"/>
                <w:sz w:val="18"/>
                <w:szCs w:val="18"/>
              </w:rPr>
              <w:t xml:space="preserve">4. 承重：满足信息化运行支撑设备、UPS、NAS、NVR、交换机等设备集中放置要求。</w:t>
            </w:r>
            <w:r>
              <w:rPr>
                <w:rFonts w:ascii="宋体" w:hAnsi="宋体" w:eastAsia="宋体"/>
                <w:color w:val="auto"/>
                <w:sz w:val="18"/>
                <w:szCs w:val="18"/>
              </w:rPr>
              <w:br/>
            </w:r>
            <w:r>
              <w:rPr>
                <w:rFonts w:ascii="宋体" w:hAnsi="宋体" w:eastAsia="宋体"/>
                <w:color w:val="auto"/>
                <w:sz w:val="18"/>
                <w:szCs w:val="18"/>
              </w:rPr>
              <w:t xml:space="preserve">5. 维护：支持前后维护、线缆整理和设备标签标识。</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6</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机柜与配电</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机柜PDU电源</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条</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2</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规格：8 位或以上机柜专用 PDU，额定电流不低于 10A/16A。</w:t>
            </w:r>
            <w:r>
              <w:rPr>
                <w:rFonts w:ascii="宋体" w:hAnsi="宋体" w:eastAsia="宋体"/>
                <w:color w:val="auto"/>
                <w:sz w:val="18"/>
                <w:szCs w:val="18"/>
              </w:rPr>
              <w:br/>
            </w:r>
            <w:r>
              <w:rPr>
                <w:rFonts w:ascii="宋体" w:hAnsi="宋体" w:eastAsia="宋体"/>
                <w:color w:val="auto"/>
                <w:sz w:val="18"/>
                <w:szCs w:val="18"/>
              </w:rPr>
              <w:t xml:space="preserve">2. 安全：具备过载保护、接地保护，插孔应符合国标或项目现场用电规范。</w:t>
            </w:r>
            <w:r>
              <w:rPr>
                <w:rFonts w:ascii="宋体" w:hAnsi="宋体" w:eastAsia="宋体"/>
                <w:color w:val="auto"/>
                <w:sz w:val="18"/>
                <w:szCs w:val="18"/>
              </w:rPr>
              <w:br/>
            </w:r>
            <w:r>
              <w:rPr>
                <w:rFonts w:ascii="宋体" w:hAnsi="宋体" w:eastAsia="宋体"/>
                <w:color w:val="auto"/>
                <w:sz w:val="18"/>
                <w:szCs w:val="18"/>
              </w:rPr>
              <w:t xml:space="preserve">3. 安装：支持机柜内横装或竖装，配套固定件。</w:t>
            </w:r>
            <w:r>
              <w:rPr>
                <w:rFonts w:ascii="宋体" w:hAnsi="宋体" w:eastAsia="宋体"/>
                <w:color w:val="auto"/>
                <w:sz w:val="18"/>
                <w:szCs w:val="18"/>
              </w:rPr>
              <w:br/>
            </w:r>
            <w:r>
              <w:rPr>
                <w:rFonts w:ascii="宋体" w:hAnsi="宋体" w:eastAsia="宋体"/>
                <w:color w:val="auto"/>
                <w:sz w:val="18"/>
                <w:szCs w:val="18"/>
              </w:rPr>
              <w:t xml:space="preserve">4. 用途：为信息化运行支撑设备、NAS、交换机、NVR、网关等设备集中供电。</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7</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网络设备</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千兆核心交换机</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端口：千兆以太网端口数量满足信息化运行支撑设备、NAS、NVR、边缘网关、管理终端接入，建议不少于 24 个千兆电口。</w:t>
            </w:r>
            <w:r>
              <w:rPr>
                <w:rFonts w:ascii="宋体" w:hAnsi="宋体" w:eastAsia="宋体"/>
                <w:color w:val="auto"/>
                <w:sz w:val="18"/>
                <w:szCs w:val="18"/>
              </w:rPr>
              <w:br/>
            </w:r>
            <w:r>
              <w:rPr>
                <w:rFonts w:ascii="宋体" w:hAnsi="宋体" w:eastAsia="宋体"/>
                <w:color w:val="auto"/>
                <w:sz w:val="18"/>
                <w:szCs w:val="18"/>
              </w:rPr>
              <w:t xml:space="preserve">2. 上联：建议配置千兆光口或独立上联口，便于与楼层网络或机房网络互联。</w:t>
            </w:r>
            <w:r>
              <w:rPr>
                <w:rFonts w:ascii="宋体" w:hAnsi="宋体" w:eastAsia="宋体"/>
                <w:color w:val="auto"/>
                <w:sz w:val="18"/>
                <w:szCs w:val="18"/>
              </w:rPr>
              <w:br/>
            </w:r>
            <w:r>
              <w:rPr>
                <w:rFonts w:ascii="宋体" w:hAnsi="宋体" w:eastAsia="宋体"/>
                <w:color w:val="auto"/>
                <w:sz w:val="18"/>
                <w:szCs w:val="18"/>
              </w:rPr>
              <w:t xml:space="preserve">3. 性能：支持全线速转发，满足视频、监测数据和业务系统并发传输。</w:t>
            </w:r>
            <w:r>
              <w:rPr>
                <w:rFonts w:ascii="宋体" w:hAnsi="宋体" w:eastAsia="宋体"/>
                <w:color w:val="auto"/>
                <w:sz w:val="18"/>
                <w:szCs w:val="18"/>
              </w:rPr>
              <w:br/>
            </w:r>
            <w:r>
              <w:rPr>
                <w:rFonts w:ascii="宋体" w:hAnsi="宋体" w:eastAsia="宋体"/>
                <w:color w:val="auto"/>
                <w:sz w:val="18"/>
                <w:szCs w:val="18"/>
              </w:rPr>
              <w:t xml:space="preserve">4. 管理：支持 VLAN、端口速率自协商、端口状态查看等基础管理能力。</w:t>
            </w:r>
            <w:r>
              <w:rPr>
                <w:rFonts w:ascii="宋体" w:hAnsi="宋体" w:eastAsia="宋体"/>
                <w:color w:val="auto"/>
                <w:sz w:val="18"/>
                <w:szCs w:val="18"/>
              </w:rPr>
              <w:br/>
            </w:r>
            <w:r>
              <w:rPr>
                <w:rFonts w:ascii="宋体" w:hAnsi="宋体" w:eastAsia="宋体"/>
                <w:color w:val="auto"/>
                <w:sz w:val="18"/>
                <w:szCs w:val="18"/>
              </w:rPr>
              <w:t xml:space="preserve">5. 稳定性：适配 7×24 小时连续运行场景。</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8</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网络辅材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六类非屏蔽网线</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类型：CAT6 UTP 六类非屏蔽网线，单箱约 305 米。</w:t>
            </w:r>
            <w:r>
              <w:rPr>
                <w:rFonts w:ascii="宋体" w:hAnsi="宋体" w:eastAsia="宋体"/>
                <w:color w:val="auto"/>
                <w:sz w:val="18"/>
                <w:szCs w:val="18"/>
              </w:rPr>
              <w:br/>
            </w:r>
            <w:r>
              <w:rPr>
                <w:rFonts w:ascii="宋体" w:hAnsi="宋体" w:eastAsia="宋体"/>
                <w:color w:val="auto"/>
                <w:sz w:val="18"/>
                <w:szCs w:val="18"/>
              </w:rPr>
              <w:t xml:space="preserve">2. 性能：满足千兆以太网传输要求，适用于摄像头、网关、信息化运行支撑设备、NVR、办公终端接入。</w:t>
            </w:r>
            <w:r>
              <w:rPr>
                <w:rFonts w:ascii="宋体" w:hAnsi="宋体" w:eastAsia="宋体"/>
                <w:color w:val="auto"/>
                <w:sz w:val="18"/>
                <w:szCs w:val="18"/>
              </w:rPr>
              <w:br/>
            </w:r>
            <w:r>
              <w:rPr>
                <w:rFonts w:ascii="宋体" w:hAnsi="宋体" w:eastAsia="宋体"/>
                <w:color w:val="auto"/>
                <w:sz w:val="18"/>
                <w:szCs w:val="18"/>
              </w:rPr>
              <w:t xml:space="preserve">3. 线材：导体、护套、阻燃等级等应符合综合布线常规要求。</w:t>
            </w:r>
            <w:r>
              <w:rPr>
                <w:rFonts w:ascii="宋体" w:hAnsi="宋体" w:eastAsia="宋体"/>
                <w:color w:val="auto"/>
                <w:sz w:val="18"/>
                <w:szCs w:val="18"/>
              </w:rPr>
              <w:br/>
            </w:r>
            <w:r>
              <w:rPr>
                <w:rFonts w:hint="eastAsia" w:ascii="宋体" w:hAnsi="宋体" w:eastAsia="宋体"/>
                <w:color w:val="auto"/>
                <w:sz w:val="18"/>
                <w:szCs w:val="18"/>
              </w:rPr>
              <w:t xml:space="preserve">4. 数量：≥8 箱，需满足项目实施安装实际需要。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9</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网络辅材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网络跳线</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类型：六类成品网络跳线，支持千兆网络传输。</w:t>
            </w:r>
            <w:r>
              <w:rPr>
                <w:rFonts w:ascii="宋体" w:hAnsi="宋体" w:eastAsia="宋体"/>
                <w:color w:val="auto"/>
                <w:sz w:val="18"/>
                <w:szCs w:val="18"/>
              </w:rPr>
              <w:br/>
            </w:r>
            <w:r>
              <w:rPr>
                <w:rFonts w:ascii="宋体" w:hAnsi="宋体" w:eastAsia="宋体"/>
                <w:color w:val="auto"/>
                <w:sz w:val="18"/>
                <w:szCs w:val="18"/>
              </w:rPr>
              <w:t xml:space="preserve">2. 规格：含 1 米、3 米等常用规格，满足机柜配线和短距离设备连接。</w:t>
            </w:r>
            <w:r>
              <w:rPr>
                <w:rFonts w:ascii="宋体" w:hAnsi="宋体" w:eastAsia="宋体"/>
                <w:color w:val="auto"/>
                <w:sz w:val="18"/>
                <w:szCs w:val="18"/>
              </w:rPr>
              <w:br/>
            </w:r>
            <w:r>
              <w:rPr>
                <w:rFonts w:hint="eastAsia" w:ascii="宋体" w:hAnsi="宋体" w:eastAsia="宋体"/>
                <w:color w:val="auto"/>
                <w:sz w:val="18"/>
                <w:szCs w:val="18"/>
              </w:rPr>
              <w:t xml:space="preserve">3. 数量：≥60 根，按机柜端口和现场设备数量复核，需满足项目实施安装实际需要。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10</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网络辅材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RJ45水晶头/网络模块/面板</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包含：六类 RJ45 水晶头、网络模块、信息面板、底盒等。</w:t>
            </w:r>
            <w:r>
              <w:rPr>
                <w:rFonts w:ascii="宋体" w:hAnsi="宋体" w:eastAsia="宋体"/>
                <w:color w:val="auto"/>
                <w:sz w:val="18"/>
                <w:szCs w:val="18"/>
              </w:rPr>
              <w:br/>
            </w:r>
            <w:r>
              <w:rPr>
                <w:rFonts w:ascii="宋体" w:hAnsi="宋体" w:eastAsia="宋体"/>
                <w:color w:val="auto"/>
                <w:sz w:val="18"/>
                <w:szCs w:val="18"/>
              </w:rPr>
              <w:t xml:space="preserve">2. 性能：满足六类布线和千兆网络接入要求。</w:t>
            </w:r>
            <w:r>
              <w:rPr>
                <w:rFonts w:ascii="宋体" w:hAnsi="宋体" w:eastAsia="宋体"/>
                <w:color w:val="auto"/>
                <w:sz w:val="18"/>
                <w:szCs w:val="18"/>
              </w:rPr>
              <w:br/>
            </w:r>
            <w:r>
              <w:rPr>
                <w:rFonts w:ascii="宋体" w:hAnsi="宋体" w:eastAsia="宋体"/>
                <w:color w:val="auto"/>
                <w:sz w:val="18"/>
                <w:szCs w:val="18"/>
              </w:rPr>
              <w:t xml:space="preserve">3. 用途：用于摄像头、网关、信息化运行支撑设备、办公终端、机柜配线端接。</w:t>
            </w:r>
            <w:r>
              <w:rPr>
                <w:rFonts w:ascii="宋体" w:hAnsi="宋体" w:eastAsia="宋体"/>
                <w:color w:val="auto"/>
                <w:sz w:val="18"/>
                <w:szCs w:val="18"/>
              </w:rPr>
              <w:br/>
            </w:r>
            <w:r>
              <w:rPr>
                <w:rFonts w:ascii="宋体" w:hAnsi="宋体" w:eastAsia="宋体"/>
                <w:color w:val="auto"/>
                <w:sz w:val="18"/>
                <w:szCs w:val="18"/>
              </w:rPr>
              <w:t xml:space="preserve">4. 维护：端口应便于标识、测试和后期维护。</w:t>
            </w:r>
            <w:r/>
          </w:p>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5</w:t>
            </w:r>
            <w:r>
              <w:rPr>
                <w:rFonts w:ascii="宋体" w:hAnsi="宋体" w:eastAsia="宋体"/>
                <w:color w:val="auto"/>
                <w:sz w:val="18"/>
                <w:szCs w:val="18"/>
              </w:rPr>
              <w:t xml:space="preserve">.</w:t>
            </w:r>
            <w:r>
              <w:rPr>
                <w:rFonts w:hint="eastAsia" w:ascii="宋体" w:hAnsi="宋体" w:eastAsia="宋体"/>
                <w:color w:val="auto"/>
                <w:sz w:val="18"/>
                <w:szCs w:val="18"/>
              </w:rPr>
              <w:t xml:space="preserve">数量：需满足项目实施安装实际需要。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11</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网络辅材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理线架/配线架/标签耗材</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包含：理线架、配线架、扎带、号码管、线缆标签、设备标签等。</w:t>
            </w:r>
            <w:r>
              <w:rPr>
                <w:rFonts w:ascii="宋体" w:hAnsi="宋体" w:eastAsia="宋体"/>
                <w:color w:val="auto"/>
                <w:sz w:val="18"/>
                <w:szCs w:val="18"/>
              </w:rPr>
              <w:br/>
            </w:r>
            <w:r>
              <w:rPr>
                <w:rFonts w:ascii="宋体" w:hAnsi="宋体" w:eastAsia="宋体"/>
                <w:color w:val="auto"/>
                <w:sz w:val="18"/>
                <w:szCs w:val="18"/>
              </w:rPr>
              <w:t xml:space="preserve">2. 用途：用于机柜内线缆整理、端口对应关系标识和后期维护。</w:t>
            </w:r>
            <w:r>
              <w:rPr>
                <w:rFonts w:ascii="宋体" w:hAnsi="宋体" w:eastAsia="宋体"/>
                <w:color w:val="auto"/>
                <w:sz w:val="18"/>
                <w:szCs w:val="18"/>
              </w:rPr>
              <w:br/>
            </w:r>
            <w:r>
              <w:rPr>
                <w:rFonts w:ascii="宋体" w:hAnsi="宋体" w:eastAsia="宋体"/>
                <w:color w:val="auto"/>
                <w:sz w:val="18"/>
                <w:szCs w:val="18"/>
              </w:rPr>
              <w:t xml:space="preserve">3. 要求：标签内容应清晰、防脱落，端口编号应与竣工资料一致。</w:t>
            </w:r>
            <w:r/>
          </w:p>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4. 数量：需满足项目实施安装实际需要。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12</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LIMS信息管理系统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LIMS外设</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条码标签输出装置</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2</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分辨率：打印精度不低于 300dpi。</w:t>
            </w:r>
            <w:r>
              <w:rPr>
                <w:rFonts w:ascii="宋体" w:hAnsi="宋体" w:eastAsia="宋体"/>
                <w:color w:val="auto"/>
                <w:sz w:val="18"/>
                <w:szCs w:val="18"/>
              </w:rPr>
              <w:br/>
            </w:r>
            <w:r>
              <w:rPr>
                <w:rFonts w:ascii="宋体" w:hAnsi="宋体" w:eastAsia="宋体"/>
                <w:color w:val="auto"/>
                <w:sz w:val="18"/>
                <w:szCs w:val="18"/>
              </w:rPr>
              <w:t xml:space="preserve">2. 模式：支持热转印/热敏打印模式。</w:t>
            </w:r>
            <w:r>
              <w:rPr>
                <w:rFonts w:ascii="宋体" w:hAnsi="宋体" w:eastAsia="宋体"/>
                <w:color w:val="auto"/>
                <w:sz w:val="18"/>
                <w:szCs w:val="18"/>
              </w:rPr>
              <w:br/>
            </w:r>
            <w:r>
              <w:rPr>
                <w:rFonts w:ascii="宋体" w:hAnsi="宋体" w:eastAsia="宋体"/>
                <w:color w:val="auto"/>
                <w:sz w:val="18"/>
                <w:szCs w:val="18"/>
              </w:rPr>
              <w:t xml:space="preserve">3. 接口：支持 USB 接口，建议支持 LAN 网络接口。</w:t>
            </w:r>
            <w:r>
              <w:rPr>
                <w:rFonts w:ascii="宋体" w:hAnsi="宋体" w:eastAsia="宋体"/>
                <w:color w:val="auto"/>
                <w:sz w:val="18"/>
                <w:szCs w:val="18"/>
              </w:rPr>
              <w:br/>
            </w:r>
            <w:r>
              <w:rPr>
                <w:rFonts w:ascii="宋体" w:hAnsi="宋体" w:eastAsia="宋体"/>
                <w:color w:val="auto"/>
                <w:sz w:val="18"/>
                <w:szCs w:val="18"/>
              </w:rPr>
              <w:t xml:space="preserve">4. 适配：支持条码、二维码、样品标签、设备标签、物料标签打印。</w:t>
            </w:r>
            <w:r>
              <w:rPr>
                <w:rFonts w:ascii="宋体" w:hAnsi="宋体" w:eastAsia="宋体"/>
                <w:color w:val="auto"/>
                <w:sz w:val="18"/>
                <w:szCs w:val="18"/>
              </w:rPr>
              <w:br/>
            </w:r>
            <w:r>
              <w:rPr>
                <w:rFonts w:ascii="宋体" w:hAnsi="宋体" w:eastAsia="宋体"/>
                <w:color w:val="auto"/>
                <w:sz w:val="18"/>
                <w:szCs w:val="18"/>
              </w:rPr>
              <w:t xml:space="preserve">5. 兼容：可与 LIMS 系统标签模板、样品编号、二维码规则配合使用。</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13</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LIMS信息管理系统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LIMS外设</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标签纸/碳带耗材</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内容：包含标签纸、碳带等首批耗材。</w:t>
            </w:r>
            <w:r>
              <w:rPr>
                <w:rFonts w:ascii="宋体" w:hAnsi="宋体" w:eastAsia="宋体"/>
                <w:color w:val="auto"/>
                <w:sz w:val="18"/>
                <w:szCs w:val="18"/>
              </w:rPr>
              <w:br/>
            </w:r>
            <w:r>
              <w:rPr>
                <w:rFonts w:ascii="宋体" w:hAnsi="宋体" w:eastAsia="宋体"/>
                <w:color w:val="auto"/>
                <w:sz w:val="18"/>
                <w:szCs w:val="18"/>
              </w:rPr>
              <w:t xml:space="preserve">2. 适配：与条码标签输出装置规格匹配。</w:t>
            </w:r>
            <w:r>
              <w:rPr>
                <w:rFonts w:ascii="宋体" w:hAnsi="宋体" w:eastAsia="宋体"/>
                <w:color w:val="auto"/>
                <w:sz w:val="18"/>
                <w:szCs w:val="18"/>
              </w:rPr>
              <w:br/>
            </w:r>
            <w:r>
              <w:rPr>
                <w:rFonts w:ascii="宋体" w:hAnsi="宋体" w:eastAsia="宋体"/>
                <w:color w:val="auto"/>
                <w:sz w:val="18"/>
                <w:szCs w:val="18"/>
              </w:rPr>
              <w:t xml:space="preserve">3. 用途：用于样品标签、设备标签、物料标签、库位标签等打印。</w:t>
            </w:r>
            <w:r>
              <w:rPr>
                <w:rFonts w:ascii="宋体" w:hAnsi="宋体" w:eastAsia="宋体"/>
                <w:color w:val="auto"/>
                <w:sz w:val="18"/>
                <w:szCs w:val="18"/>
              </w:rPr>
              <w:br/>
            </w:r>
            <w:r>
              <w:rPr>
                <w:rFonts w:ascii="宋体" w:hAnsi="宋体" w:eastAsia="宋体"/>
                <w:color w:val="auto"/>
                <w:sz w:val="18"/>
                <w:szCs w:val="18"/>
              </w:rPr>
              <w:t xml:space="preserve">4. 要求：标签粘贴牢固，字迹清晰，满足实验室日常使用环境。</w:t>
            </w:r>
            <w:r/>
          </w:p>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5. 数量：需满足项目实施安装实际需要。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14</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LIMS信息管理系统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LIMS外设</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二维扫码识别设备</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把</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4</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识读能力：支持一维码、二维码识读，兼容常见 Code128、QR Code、DataMatrix 等码制。</w:t>
            </w:r>
            <w:r>
              <w:rPr>
                <w:rFonts w:ascii="宋体" w:hAnsi="宋体" w:eastAsia="宋体"/>
                <w:color w:val="auto"/>
                <w:sz w:val="18"/>
                <w:szCs w:val="18"/>
              </w:rPr>
              <w:br/>
            </w:r>
            <w:r>
              <w:rPr>
                <w:rFonts w:ascii="宋体" w:hAnsi="宋体" w:eastAsia="宋体"/>
                <w:color w:val="auto"/>
                <w:sz w:val="18"/>
                <w:szCs w:val="18"/>
              </w:rPr>
              <w:t xml:space="preserve">2. 接口：支持 USB 有线连接，或无线连接方式。</w:t>
            </w:r>
            <w:r>
              <w:rPr>
                <w:rFonts w:ascii="宋体" w:hAnsi="宋体" w:eastAsia="宋体"/>
                <w:color w:val="auto"/>
                <w:sz w:val="18"/>
                <w:szCs w:val="18"/>
              </w:rPr>
              <w:br/>
            </w:r>
            <w:r>
              <w:rPr>
                <w:rFonts w:ascii="宋体" w:hAnsi="宋体" w:eastAsia="宋体"/>
                <w:color w:val="auto"/>
                <w:sz w:val="18"/>
                <w:szCs w:val="18"/>
              </w:rPr>
              <w:t xml:space="preserve">3. 性能：识读速度快，支持屏幕码和纸质标签码识别。</w:t>
            </w:r>
            <w:r>
              <w:rPr>
                <w:rFonts w:ascii="宋体" w:hAnsi="宋体" w:eastAsia="宋体"/>
                <w:color w:val="auto"/>
                <w:sz w:val="18"/>
                <w:szCs w:val="18"/>
              </w:rPr>
              <w:br/>
            </w:r>
            <w:r>
              <w:rPr>
                <w:rFonts w:ascii="宋体" w:hAnsi="宋体" w:eastAsia="宋体"/>
                <w:color w:val="auto"/>
                <w:sz w:val="18"/>
                <w:szCs w:val="18"/>
              </w:rPr>
              <w:t xml:space="preserve">4. 应用：用于样品登记、样品流转、物料核销、设备巡检等场景。</w:t>
            </w:r>
            <w:r>
              <w:rPr>
                <w:rFonts w:ascii="宋体" w:hAnsi="宋体" w:eastAsia="宋体"/>
                <w:color w:val="auto"/>
                <w:sz w:val="18"/>
                <w:szCs w:val="18"/>
              </w:rPr>
              <w:br/>
            </w:r>
            <w:r>
              <w:rPr>
                <w:rFonts w:ascii="宋体" w:hAnsi="宋体" w:eastAsia="宋体"/>
                <w:color w:val="auto"/>
                <w:sz w:val="18"/>
                <w:szCs w:val="18"/>
              </w:rPr>
              <w:t xml:space="preserve">5. 兼容：可与 LIMS 系统扫码录入、自动定位样品信息等功能配合。</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15</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LIMS信息管理系统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LIMS外设</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A4黑白激光输出仪</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类型：A4 黑白激光输出仪。</w:t>
            </w:r>
            <w:r>
              <w:rPr>
                <w:rFonts w:ascii="宋体" w:hAnsi="宋体" w:eastAsia="宋体"/>
                <w:color w:val="auto"/>
                <w:sz w:val="18"/>
                <w:szCs w:val="18"/>
              </w:rPr>
              <w:br/>
            </w:r>
            <w:r>
              <w:rPr>
                <w:rFonts w:ascii="宋体" w:hAnsi="宋体" w:eastAsia="宋体"/>
                <w:color w:val="auto"/>
                <w:sz w:val="18"/>
                <w:szCs w:val="18"/>
              </w:rPr>
              <w:t xml:space="preserve">2. 接口：支持 USB 直连打印，建议支持网络打印。</w:t>
            </w:r>
            <w:r>
              <w:rPr>
                <w:rFonts w:ascii="宋体" w:hAnsi="宋体" w:eastAsia="宋体"/>
                <w:color w:val="auto"/>
                <w:sz w:val="18"/>
                <w:szCs w:val="18"/>
              </w:rPr>
              <w:br/>
            </w:r>
            <w:r>
              <w:rPr>
                <w:rFonts w:ascii="宋体" w:hAnsi="宋体" w:eastAsia="宋体"/>
                <w:color w:val="auto"/>
                <w:sz w:val="18"/>
                <w:szCs w:val="18"/>
              </w:rPr>
              <w:t xml:space="preserve">3. 用途：用于检测报告、体系台账、审批材料、归档文件等纸质资料输出。</w:t>
            </w:r>
            <w:r>
              <w:rPr>
                <w:rFonts w:ascii="宋体" w:hAnsi="宋体" w:eastAsia="宋体"/>
                <w:color w:val="auto"/>
                <w:sz w:val="18"/>
                <w:szCs w:val="18"/>
              </w:rPr>
              <w:br/>
            </w:r>
            <w:r>
              <w:rPr>
                <w:rFonts w:ascii="宋体" w:hAnsi="宋体" w:eastAsia="宋体"/>
                <w:color w:val="auto"/>
                <w:sz w:val="18"/>
                <w:szCs w:val="18"/>
              </w:rPr>
              <w:t xml:space="preserve">4. 性能：打印速度、月负荷满足实验室日常办公打印需求。</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16</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环境传感器</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壁挂式RS485温湿度传感器</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45</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接口协议：RS485 通信接口，支持 Modbus RTU 协议。</w:t>
            </w:r>
            <w:r>
              <w:rPr>
                <w:rFonts w:ascii="宋体" w:hAnsi="宋体" w:eastAsia="宋体"/>
                <w:color w:val="auto"/>
                <w:sz w:val="18"/>
                <w:szCs w:val="18"/>
              </w:rPr>
              <w:br/>
            </w:r>
            <w:r>
              <w:rPr>
                <w:rFonts w:ascii="宋体" w:hAnsi="宋体" w:eastAsia="宋体"/>
                <w:color w:val="auto"/>
                <w:sz w:val="18"/>
                <w:szCs w:val="18"/>
              </w:rPr>
              <w:t xml:space="preserve">2. 测量范围：温度、湿度量程满足实验室、动物房、公共区域、冰箱/超低温冰箱等环境监测需求。</w:t>
            </w:r>
            <w:r>
              <w:rPr>
                <w:rFonts w:ascii="宋体" w:hAnsi="宋体" w:eastAsia="宋体"/>
                <w:color w:val="auto"/>
                <w:sz w:val="18"/>
                <w:szCs w:val="18"/>
              </w:rPr>
              <w:br/>
            </w:r>
            <w:r>
              <w:rPr>
                <w:rFonts w:ascii="宋体" w:hAnsi="宋体" w:eastAsia="宋体"/>
                <w:color w:val="auto"/>
                <w:sz w:val="18"/>
                <w:szCs w:val="18"/>
              </w:rPr>
              <w:t xml:space="preserve">3. 测量精度：温度精度≤±0.5℃，湿度精度≤±3%RH。</w:t>
            </w:r>
            <w:r>
              <w:rPr>
                <w:rFonts w:ascii="宋体" w:hAnsi="宋体" w:eastAsia="宋体"/>
                <w:color w:val="auto"/>
                <w:sz w:val="18"/>
                <w:szCs w:val="18"/>
              </w:rPr>
              <w:br/>
            </w:r>
            <w:r>
              <w:rPr>
                <w:rFonts w:ascii="宋体" w:hAnsi="宋体" w:eastAsia="宋体"/>
                <w:color w:val="auto"/>
                <w:sz w:val="18"/>
                <w:szCs w:val="18"/>
              </w:rPr>
              <w:t xml:space="preserve">4. 安装方式：壁挂式安装，支持设备地址配置和多点总线接入。</w:t>
            </w:r>
            <w:r>
              <w:rPr>
                <w:rFonts w:ascii="宋体" w:hAnsi="宋体" w:eastAsia="宋体"/>
                <w:color w:val="auto"/>
                <w:sz w:val="18"/>
                <w:szCs w:val="18"/>
              </w:rPr>
              <w:br/>
            </w:r>
            <w:r>
              <w:rPr>
                <w:rFonts w:ascii="宋体" w:hAnsi="宋体" w:eastAsia="宋体"/>
                <w:color w:val="auto"/>
                <w:sz w:val="18"/>
                <w:szCs w:val="18"/>
              </w:rPr>
              <w:t xml:space="preserve">5. 供电：支持 DC 12V/24V 等常见工业低压供电方式。</w:t>
            </w:r>
            <w:r>
              <w:rPr>
                <w:rFonts w:ascii="宋体" w:hAnsi="宋体" w:eastAsia="宋体"/>
                <w:color w:val="auto"/>
                <w:sz w:val="18"/>
                <w:szCs w:val="18"/>
              </w:rPr>
              <w:br/>
            </w:r>
            <w:r>
              <w:rPr>
                <w:rFonts w:ascii="宋体" w:hAnsi="宋体" w:eastAsia="宋体"/>
                <w:color w:val="auto"/>
                <w:sz w:val="18"/>
                <w:szCs w:val="18"/>
              </w:rPr>
              <w:t xml:space="preserve">6. 数据：支持实时采集、平台展示、历史记录和异常告警。</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17</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环境传感器</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RS485微差压传感器</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45</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接口协议：RS485 通信接口，支持 Modbus RTU 协议。</w:t>
            </w:r>
            <w:r>
              <w:rPr>
                <w:rFonts w:ascii="宋体" w:hAnsi="宋体" w:eastAsia="宋体"/>
                <w:color w:val="auto"/>
                <w:sz w:val="18"/>
                <w:szCs w:val="18"/>
              </w:rPr>
              <w:br/>
            </w:r>
            <w:r>
              <w:rPr>
                <w:rFonts w:ascii="宋体" w:hAnsi="宋体" w:eastAsia="宋体"/>
                <w:color w:val="auto"/>
                <w:sz w:val="18"/>
                <w:szCs w:val="18"/>
              </w:rPr>
              <w:t xml:space="preserve">2. 量程：支持 ±50Pa 或 ±100Pa 等洁净区/动物房常用微差压量程。</w:t>
            </w:r>
            <w:r>
              <w:rPr>
                <w:rFonts w:ascii="宋体" w:hAnsi="宋体" w:eastAsia="宋体"/>
                <w:color w:val="auto"/>
                <w:sz w:val="18"/>
                <w:szCs w:val="18"/>
              </w:rPr>
              <w:br/>
            </w:r>
            <w:r>
              <w:rPr>
                <w:rFonts w:ascii="宋体" w:hAnsi="宋体" w:eastAsia="宋体"/>
                <w:color w:val="auto"/>
                <w:sz w:val="18"/>
                <w:szCs w:val="18"/>
              </w:rPr>
              <w:t xml:space="preserve">3. 校准：支持现场零点校准或软件校准。</w:t>
            </w:r>
            <w:r>
              <w:rPr>
                <w:rFonts w:ascii="宋体" w:hAnsi="宋体" w:eastAsia="宋体"/>
                <w:color w:val="auto"/>
                <w:sz w:val="18"/>
                <w:szCs w:val="18"/>
              </w:rPr>
              <w:br/>
            </w:r>
            <w:r>
              <w:rPr>
                <w:rFonts w:ascii="宋体" w:hAnsi="宋体" w:eastAsia="宋体"/>
                <w:color w:val="auto"/>
                <w:sz w:val="18"/>
                <w:szCs w:val="18"/>
              </w:rPr>
              <w:t xml:space="preserve">4. 精度：满足动物房、洁净区域压差合规监测要求。</w:t>
            </w:r>
            <w:r>
              <w:rPr>
                <w:rFonts w:ascii="宋体" w:hAnsi="宋体" w:eastAsia="宋体"/>
                <w:color w:val="auto"/>
                <w:sz w:val="18"/>
                <w:szCs w:val="18"/>
              </w:rPr>
              <w:br/>
            </w:r>
            <w:r>
              <w:rPr>
                <w:rFonts w:ascii="宋体" w:hAnsi="宋体" w:eastAsia="宋体"/>
                <w:color w:val="auto"/>
                <w:sz w:val="18"/>
                <w:szCs w:val="18"/>
              </w:rPr>
              <w:t xml:space="preserve">5. 安装：支持墙面安装、软管取压或配套取压接口。</w:t>
            </w:r>
            <w:r>
              <w:rPr>
                <w:rFonts w:ascii="宋体" w:hAnsi="宋体" w:eastAsia="宋体"/>
                <w:color w:val="auto"/>
                <w:sz w:val="18"/>
                <w:szCs w:val="18"/>
              </w:rPr>
              <w:br/>
            </w:r>
            <w:r>
              <w:rPr>
                <w:rFonts w:ascii="宋体" w:hAnsi="宋体" w:eastAsia="宋体"/>
                <w:color w:val="auto"/>
                <w:sz w:val="18"/>
                <w:szCs w:val="18"/>
              </w:rPr>
              <w:t xml:space="preserve">6. 数据：支持实时压差展示、阈值设置、超限告警和历史追溯。</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18</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环境传感器</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二氧化碳传感器</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45</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检测原理：采用 NDIR 红外检测原理。</w:t>
            </w:r>
            <w:r>
              <w:rPr>
                <w:rFonts w:ascii="宋体" w:hAnsi="宋体" w:eastAsia="宋体"/>
                <w:color w:val="auto"/>
                <w:sz w:val="18"/>
                <w:szCs w:val="18"/>
              </w:rPr>
              <w:br/>
            </w:r>
            <w:r>
              <w:rPr>
                <w:rFonts w:ascii="宋体" w:hAnsi="宋体" w:eastAsia="宋体"/>
                <w:color w:val="auto"/>
                <w:sz w:val="18"/>
                <w:szCs w:val="18"/>
              </w:rPr>
              <w:t xml:space="preserve">2. 量程：不低于 0-5000ppm，满足室内空气质量监测需求。</w:t>
            </w:r>
            <w:r>
              <w:rPr>
                <w:rFonts w:ascii="宋体" w:hAnsi="宋体" w:eastAsia="宋体"/>
                <w:color w:val="auto"/>
                <w:sz w:val="18"/>
                <w:szCs w:val="18"/>
              </w:rPr>
              <w:br/>
            </w:r>
            <w:r>
              <w:rPr>
                <w:rFonts w:ascii="宋体" w:hAnsi="宋体" w:eastAsia="宋体"/>
                <w:color w:val="auto"/>
                <w:sz w:val="18"/>
                <w:szCs w:val="18"/>
              </w:rPr>
              <w:t xml:space="preserve">3. 接口协议：RS485 通信接口，支持 Modbus RTU 协议。</w:t>
            </w:r>
            <w:r>
              <w:rPr>
                <w:rFonts w:ascii="宋体" w:hAnsi="宋体" w:eastAsia="宋体"/>
                <w:color w:val="auto"/>
                <w:sz w:val="18"/>
                <w:szCs w:val="18"/>
              </w:rPr>
              <w:br/>
            </w:r>
            <w:r>
              <w:rPr>
                <w:rFonts w:ascii="宋体" w:hAnsi="宋体" w:eastAsia="宋体"/>
                <w:color w:val="auto"/>
                <w:sz w:val="18"/>
                <w:szCs w:val="18"/>
              </w:rPr>
              <w:t xml:space="preserve">4. 功能：支持实时浓度采集、超限告警、历史趋势分析。</w:t>
            </w:r>
            <w:r>
              <w:rPr>
                <w:rFonts w:ascii="宋体" w:hAnsi="宋体" w:eastAsia="宋体"/>
                <w:color w:val="auto"/>
                <w:sz w:val="18"/>
                <w:szCs w:val="18"/>
              </w:rPr>
              <w:br/>
            </w:r>
            <w:r>
              <w:rPr>
                <w:rFonts w:ascii="宋体" w:hAnsi="宋体" w:eastAsia="宋体"/>
                <w:color w:val="auto"/>
                <w:sz w:val="18"/>
                <w:szCs w:val="18"/>
              </w:rPr>
              <w:t xml:space="preserve">5. 安装：适配动物房、实验室、走廊等室内环境安装。</w:t>
            </w:r>
            <w:r>
              <w:rPr>
                <w:rFonts w:ascii="宋体" w:hAnsi="宋体" w:eastAsia="宋体"/>
                <w:color w:val="auto"/>
                <w:sz w:val="18"/>
                <w:szCs w:val="18"/>
              </w:rPr>
              <w:br/>
            </w:r>
            <w:r>
              <w:rPr>
                <w:rFonts w:ascii="宋体" w:hAnsi="宋体" w:eastAsia="宋体"/>
                <w:color w:val="auto"/>
                <w:sz w:val="18"/>
                <w:szCs w:val="18"/>
              </w:rPr>
              <w:t xml:space="preserve">6. 稳定性：具备长期运行稳定性，支持必要的校准维护。</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19</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环境传感器</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工业级NH3氨气传感器</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45</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检测对象：NH3 氨气浓度。</w:t>
            </w:r>
            <w:r>
              <w:rPr>
                <w:rFonts w:ascii="宋体" w:hAnsi="宋体" w:eastAsia="宋体"/>
                <w:color w:val="auto"/>
                <w:sz w:val="18"/>
                <w:szCs w:val="18"/>
              </w:rPr>
              <w:br/>
            </w:r>
            <w:r>
              <w:rPr>
                <w:rFonts w:ascii="宋体" w:hAnsi="宋体" w:eastAsia="宋体"/>
                <w:color w:val="auto"/>
                <w:sz w:val="18"/>
                <w:szCs w:val="18"/>
              </w:rPr>
              <w:t xml:space="preserve">2. 量程：量程应适配动物房养殖环境，可按现场需求选配常用量程。</w:t>
            </w:r>
            <w:r>
              <w:rPr>
                <w:rFonts w:ascii="宋体" w:hAnsi="宋体" w:eastAsia="宋体"/>
                <w:color w:val="auto"/>
                <w:sz w:val="18"/>
                <w:szCs w:val="18"/>
              </w:rPr>
              <w:br/>
            </w:r>
            <w:r>
              <w:rPr>
                <w:rFonts w:ascii="宋体" w:hAnsi="宋体" w:eastAsia="宋体"/>
                <w:color w:val="auto"/>
                <w:sz w:val="18"/>
                <w:szCs w:val="18"/>
              </w:rPr>
              <w:t xml:space="preserve">3. 接口协议：RS485 通信接口，支持 Modbus RTU 协议。</w:t>
            </w:r>
            <w:r>
              <w:rPr>
                <w:rFonts w:ascii="宋体" w:hAnsi="宋体" w:eastAsia="宋体"/>
                <w:color w:val="auto"/>
                <w:sz w:val="18"/>
                <w:szCs w:val="18"/>
              </w:rPr>
              <w:br/>
            </w:r>
            <w:r>
              <w:rPr>
                <w:rFonts w:ascii="宋体" w:hAnsi="宋体" w:eastAsia="宋体"/>
                <w:color w:val="auto"/>
                <w:sz w:val="18"/>
                <w:szCs w:val="18"/>
              </w:rPr>
              <w:t xml:space="preserve">4. 功能：支持实时浓度采集、超限告警、历史记录和异常追溯。</w:t>
            </w:r>
            <w:r>
              <w:rPr>
                <w:rFonts w:ascii="宋体" w:hAnsi="宋体" w:eastAsia="宋体"/>
                <w:color w:val="auto"/>
                <w:sz w:val="18"/>
                <w:szCs w:val="18"/>
              </w:rPr>
              <w:br/>
            </w:r>
            <w:r>
              <w:rPr>
                <w:rFonts w:ascii="宋体" w:hAnsi="宋体" w:eastAsia="宋体"/>
                <w:color w:val="auto"/>
                <w:sz w:val="18"/>
                <w:szCs w:val="18"/>
              </w:rPr>
              <w:t xml:space="preserve">5. 安装：适配动物房室内环境，具备一定抗干扰能力。</w:t>
            </w:r>
            <w:r>
              <w:rPr>
                <w:rFonts w:ascii="宋体" w:hAnsi="宋体" w:eastAsia="宋体"/>
                <w:color w:val="auto"/>
                <w:sz w:val="18"/>
                <w:szCs w:val="18"/>
              </w:rPr>
              <w:br/>
            </w:r>
            <w:r>
              <w:rPr>
                <w:rFonts w:ascii="宋体" w:hAnsi="宋体" w:eastAsia="宋体"/>
                <w:color w:val="auto"/>
                <w:sz w:val="18"/>
                <w:szCs w:val="18"/>
              </w:rPr>
              <w:t xml:space="preserve">6. 维护：支持传感器校准、更换和运行状态检查。</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20</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环境传感器</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照度传感器</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45</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检测对象：环境光照强度。</w:t>
            </w:r>
            <w:r>
              <w:rPr>
                <w:rFonts w:ascii="宋体" w:hAnsi="宋体" w:eastAsia="宋体"/>
                <w:color w:val="auto"/>
                <w:sz w:val="18"/>
                <w:szCs w:val="18"/>
              </w:rPr>
              <w:br/>
            </w:r>
            <w:r>
              <w:rPr>
                <w:rFonts w:ascii="宋体" w:hAnsi="宋体" w:eastAsia="宋体"/>
                <w:color w:val="auto"/>
                <w:sz w:val="18"/>
                <w:szCs w:val="18"/>
              </w:rPr>
              <w:t xml:space="preserve">2. 接口协议：RS485 通信接口，支持 Modbus RTU 协议。</w:t>
            </w:r>
            <w:r>
              <w:rPr>
                <w:rFonts w:ascii="宋体" w:hAnsi="宋体" w:eastAsia="宋体"/>
                <w:color w:val="auto"/>
                <w:sz w:val="18"/>
                <w:szCs w:val="18"/>
              </w:rPr>
              <w:br/>
            </w:r>
            <w:r>
              <w:rPr>
                <w:rFonts w:ascii="宋体" w:hAnsi="宋体" w:eastAsia="宋体"/>
                <w:color w:val="auto"/>
                <w:sz w:val="18"/>
                <w:szCs w:val="18"/>
              </w:rPr>
              <w:t xml:space="preserve">3. 量程：满足室内照度、昼夜光照节律监测需要。</w:t>
            </w:r>
            <w:r>
              <w:rPr>
                <w:rFonts w:ascii="宋体" w:hAnsi="宋体" w:eastAsia="宋体"/>
                <w:color w:val="auto"/>
                <w:sz w:val="18"/>
                <w:szCs w:val="18"/>
              </w:rPr>
              <w:br/>
            </w:r>
            <w:r>
              <w:rPr>
                <w:rFonts w:ascii="宋体" w:hAnsi="宋体" w:eastAsia="宋体"/>
                <w:color w:val="auto"/>
                <w:sz w:val="18"/>
                <w:szCs w:val="18"/>
              </w:rPr>
              <w:t xml:space="preserve">4. 功能：支持实时采集、历史趋势、异常告警和统计分析。</w:t>
            </w:r>
            <w:r>
              <w:rPr>
                <w:rFonts w:ascii="宋体" w:hAnsi="宋体" w:eastAsia="宋体"/>
                <w:color w:val="auto"/>
                <w:sz w:val="18"/>
                <w:szCs w:val="18"/>
              </w:rPr>
              <w:br/>
            </w:r>
            <w:r>
              <w:rPr>
                <w:rFonts w:ascii="宋体" w:hAnsi="宋体" w:eastAsia="宋体"/>
                <w:color w:val="auto"/>
                <w:sz w:val="18"/>
                <w:szCs w:val="18"/>
              </w:rPr>
              <w:t xml:space="preserve">5. 安装：适配动物房、实验室、公共区域墙面或顶部安装。</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21</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传感器辅材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传感器安装支架/底座</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225</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适配范围：适配温湿度、微差压、二氧化碳、氨气、照度等传感器安装。</w:t>
            </w:r>
            <w:r>
              <w:rPr>
                <w:rFonts w:ascii="宋体" w:hAnsi="宋体" w:eastAsia="宋体"/>
                <w:color w:val="auto"/>
                <w:sz w:val="18"/>
                <w:szCs w:val="18"/>
              </w:rPr>
              <w:br/>
            </w:r>
            <w:r>
              <w:rPr>
                <w:rFonts w:ascii="宋体" w:hAnsi="宋体" w:eastAsia="宋体"/>
                <w:color w:val="auto"/>
                <w:sz w:val="18"/>
                <w:szCs w:val="18"/>
              </w:rPr>
              <w:t xml:space="preserve">2. 数量：按 225 台传感器估算配置。</w:t>
            </w:r>
            <w:r>
              <w:rPr>
                <w:rFonts w:ascii="宋体" w:hAnsi="宋体" w:eastAsia="宋体"/>
                <w:color w:val="auto"/>
                <w:sz w:val="18"/>
                <w:szCs w:val="18"/>
              </w:rPr>
              <w:br/>
            </w:r>
            <w:r>
              <w:rPr>
                <w:rFonts w:ascii="宋体" w:hAnsi="宋体" w:eastAsia="宋体"/>
                <w:color w:val="auto"/>
                <w:sz w:val="18"/>
                <w:szCs w:val="18"/>
              </w:rPr>
              <w:t xml:space="preserve">3. 组成：包含安装底座、固定支架、螺丝、膨胀件及必要附件。</w:t>
            </w:r>
            <w:r>
              <w:rPr>
                <w:rFonts w:ascii="宋体" w:hAnsi="宋体" w:eastAsia="宋体"/>
                <w:color w:val="auto"/>
                <w:sz w:val="18"/>
                <w:szCs w:val="18"/>
              </w:rPr>
              <w:br/>
            </w:r>
            <w:r>
              <w:rPr>
                <w:rFonts w:ascii="宋体" w:hAnsi="宋体" w:eastAsia="宋体"/>
                <w:color w:val="auto"/>
                <w:sz w:val="18"/>
                <w:szCs w:val="18"/>
              </w:rPr>
              <w:t xml:space="preserve">4. 要求：安装牢固，便于后期检修、拆卸、校准和更换。</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22</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传感器辅材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24V工业开关电源</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10</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输入：AC 220V 输入。</w:t>
            </w:r>
            <w:r>
              <w:rPr>
                <w:rFonts w:ascii="宋体" w:hAnsi="宋体" w:eastAsia="宋体"/>
                <w:color w:val="auto"/>
                <w:sz w:val="18"/>
                <w:szCs w:val="18"/>
              </w:rPr>
              <w:br/>
            </w:r>
            <w:r>
              <w:rPr>
                <w:rFonts w:ascii="宋体" w:hAnsi="宋体" w:eastAsia="宋体"/>
                <w:color w:val="auto"/>
                <w:sz w:val="18"/>
                <w:szCs w:val="18"/>
              </w:rPr>
              <w:t xml:space="preserve">2. 输出：DC 24V 工业电源输出，输出功率满足传感器、隔离器、IO 模块等分区供电需求。</w:t>
            </w:r>
            <w:r>
              <w:rPr>
                <w:rFonts w:ascii="宋体" w:hAnsi="宋体" w:eastAsia="宋体"/>
                <w:color w:val="auto"/>
                <w:sz w:val="18"/>
                <w:szCs w:val="18"/>
              </w:rPr>
              <w:br/>
            </w:r>
            <w:r>
              <w:rPr>
                <w:rFonts w:ascii="宋体" w:hAnsi="宋体" w:eastAsia="宋体"/>
                <w:color w:val="auto"/>
                <w:sz w:val="18"/>
                <w:szCs w:val="18"/>
              </w:rPr>
              <w:t xml:space="preserve">3. 保护：具备过载、短路、过压等保护能力。</w:t>
            </w:r>
            <w:r>
              <w:rPr>
                <w:rFonts w:ascii="宋体" w:hAnsi="宋体" w:eastAsia="宋体"/>
                <w:color w:val="auto"/>
                <w:sz w:val="18"/>
                <w:szCs w:val="18"/>
              </w:rPr>
              <w:br/>
            </w:r>
            <w:r>
              <w:rPr>
                <w:rFonts w:ascii="宋体" w:hAnsi="宋体" w:eastAsia="宋体"/>
                <w:color w:val="auto"/>
                <w:sz w:val="18"/>
                <w:szCs w:val="18"/>
              </w:rPr>
              <w:t xml:space="preserve">4. 安装：支持导轨式或箱体内安装。</w:t>
            </w:r>
            <w:r>
              <w:rPr>
                <w:rFonts w:ascii="宋体" w:hAnsi="宋体" w:eastAsia="宋体"/>
                <w:color w:val="auto"/>
                <w:sz w:val="18"/>
                <w:szCs w:val="18"/>
              </w:rPr>
              <w:br/>
            </w:r>
            <w:r>
              <w:rPr>
                <w:rFonts w:ascii="宋体" w:hAnsi="宋体" w:eastAsia="宋体"/>
                <w:color w:val="auto"/>
                <w:sz w:val="18"/>
                <w:szCs w:val="18"/>
              </w:rPr>
              <w:t xml:space="preserve">5. 数量：按楼层/区域分区供电估算，</w:t>
            </w:r>
            <w:r>
              <w:rPr>
                <w:rFonts w:hint="eastAsia" w:ascii="宋体" w:hAnsi="宋体" w:eastAsia="宋体"/>
                <w:color w:val="auto"/>
                <w:sz w:val="18"/>
                <w:szCs w:val="18"/>
              </w:rPr>
              <w:t xml:space="preserve">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23</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传感器辅材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现场采集箱/保护箱</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15</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用于安装工业电源、端子、隔离器、网关或汇聚设备，具备防尘、防误触、便于维护等要求。</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24</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传感器辅材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RS485总线通信线缆</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类型：建议采用 RVSP/RVVP 等屏蔽双绞线。</w:t>
            </w:r>
            <w:r>
              <w:rPr>
                <w:rFonts w:ascii="宋体" w:hAnsi="宋体" w:eastAsia="宋体"/>
                <w:color w:val="auto"/>
                <w:sz w:val="18"/>
                <w:szCs w:val="18"/>
              </w:rPr>
              <w:br/>
            </w:r>
            <w:r>
              <w:rPr>
                <w:rFonts w:ascii="宋体" w:hAnsi="宋体" w:eastAsia="宋体"/>
                <w:color w:val="auto"/>
                <w:sz w:val="18"/>
                <w:szCs w:val="18"/>
              </w:rPr>
              <w:t xml:space="preserve">2. 用途：用于传感器至采集箱、隔离器、网关之间的 RS485 通信连接。</w:t>
            </w:r>
            <w:r>
              <w:rPr>
                <w:rFonts w:ascii="宋体" w:hAnsi="宋体" w:eastAsia="宋体"/>
                <w:color w:val="auto"/>
                <w:sz w:val="18"/>
                <w:szCs w:val="18"/>
              </w:rPr>
              <w:br/>
            </w:r>
            <w:r>
              <w:rPr>
                <w:rFonts w:ascii="宋体" w:hAnsi="宋体" w:eastAsia="宋体"/>
                <w:color w:val="auto"/>
                <w:sz w:val="18"/>
                <w:szCs w:val="18"/>
              </w:rPr>
              <w:t xml:space="preserve">3. 要求：具备抗干扰能力，满足多点总线接入和长距离传输需求。</w:t>
            </w:r>
            <w:r>
              <w:rPr>
                <w:rFonts w:ascii="宋体" w:hAnsi="宋体" w:eastAsia="宋体"/>
                <w:color w:val="auto"/>
                <w:sz w:val="18"/>
                <w:szCs w:val="18"/>
              </w:rPr>
              <w:br/>
            </w:r>
            <w:r>
              <w:rPr>
                <w:rFonts w:ascii="宋体" w:hAnsi="宋体" w:eastAsia="宋体"/>
                <w:color w:val="auto"/>
                <w:sz w:val="18"/>
                <w:szCs w:val="18"/>
              </w:rPr>
              <w:t xml:space="preserve">4. 数量：具体米数按现场路由、楼层距离、点位分布核算</w:t>
            </w:r>
            <w:r>
              <w:rPr>
                <w:rFonts w:hint="eastAsia" w:ascii="宋体" w:hAnsi="宋体" w:eastAsia="宋体"/>
                <w:color w:val="auto"/>
                <w:sz w:val="18"/>
                <w:szCs w:val="18"/>
              </w:rPr>
              <w:t xml:space="preserve">，需满足项目实施安装实际需要。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25</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传感器辅材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低压供电线缆</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用途：用于 DC 24V 低压供电线路敷设。</w:t>
            </w:r>
            <w:r>
              <w:rPr>
                <w:rFonts w:ascii="宋体" w:hAnsi="宋体" w:eastAsia="宋体"/>
                <w:color w:val="auto"/>
                <w:sz w:val="18"/>
                <w:szCs w:val="18"/>
              </w:rPr>
              <w:br/>
            </w:r>
            <w:r>
              <w:rPr>
                <w:rFonts w:ascii="宋体" w:hAnsi="宋体" w:eastAsia="宋体"/>
                <w:color w:val="auto"/>
                <w:sz w:val="18"/>
                <w:szCs w:val="18"/>
              </w:rPr>
              <w:t xml:space="preserve">2. 适配：满足传感器、IO 模块、隔离器、网关等低压设备供电。</w:t>
            </w:r>
            <w:r>
              <w:rPr>
                <w:rFonts w:ascii="宋体" w:hAnsi="宋体" w:eastAsia="宋体"/>
                <w:color w:val="auto"/>
                <w:sz w:val="18"/>
                <w:szCs w:val="18"/>
              </w:rPr>
              <w:br/>
            </w:r>
            <w:r>
              <w:rPr>
                <w:rFonts w:ascii="宋体" w:hAnsi="宋体" w:eastAsia="宋体"/>
                <w:color w:val="auto"/>
                <w:sz w:val="18"/>
                <w:szCs w:val="18"/>
              </w:rPr>
              <w:t xml:space="preserve">3. 要求：线径、护套、敷设方式应满足现场用电安全和弱电施工要求。</w:t>
            </w:r>
            <w:r>
              <w:rPr>
                <w:rFonts w:ascii="宋体" w:hAnsi="宋体" w:eastAsia="宋体"/>
                <w:color w:val="auto"/>
                <w:sz w:val="18"/>
                <w:szCs w:val="18"/>
              </w:rPr>
              <w:br/>
            </w:r>
            <w:r>
              <w:rPr>
                <w:rFonts w:hint="eastAsia" w:ascii="宋体" w:hAnsi="宋体" w:eastAsia="宋体"/>
                <w:color w:val="auto"/>
                <w:sz w:val="18"/>
                <w:szCs w:val="18"/>
              </w:rPr>
              <w:t xml:space="preserve">4. 数量：具体规格和米数按现场确认，需满足项目实施安装实际需要。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26</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传感器辅材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端子排/导轨/接线辅材</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包含：端子排、DIN 导轨、接线端子、冷压端头、号码管、绝缘胶带、扎带、标签等。</w:t>
            </w:r>
            <w:r>
              <w:rPr>
                <w:rFonts w:ascii="宋体" w:hAnsi="宋体" w:eastAsia="宋体"/>
                <w:color w:val="auto"/>
                <w:sz w:val="18"/>
                <w:szCs w:val="18"/>
              </w:rPr>
              <w:br/>
            </w:r>
            <w:r>
              <w:rPr>
                <w:rFonts w:ascii="宋体" w:hAnsi="宋体" w:eastAsia="宋体"/>
                <w:color w:val="auto"/>
                <w:sz w:val="18"/>
                <w:szCs w:val="18"/>
              </w:rPr>
              <w:t xml:space="preserve">2. 用途：用于采集箱内部接线、线缆汇聚、线路标识和后期维护。</w:t>
            </w:r>
            <w:r>
              <w:rPr>
                <w:rFonts w:ascii="宋体" w:hAnsi="宋体" w:eastAsia="宋体"/>
                <w:color w:val="auto"/>
                <w:sz w:val="18"/>
                <w:szCs w:val="18"/>
              </w:rPr>
              <w:br/>
            </w:r>
            <w:r>
              <w:rPr>
                <w:rFonts w:ascii="宋体" w:hAnsi="宋体" w:eastAsia="宋体"/>
                <w:color w:val="auto"/>
                <w:sz w:val="18"/>
                <w:szCs w:val="18"/>
              </w:rPr>
              <w:t xml:space="preserve">3. 要求：接线清晰、标识完整、便于排障。</w:t>
            </w:r>
            <w:r/>
          </w:p>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4. 数量：需满足项目实施安装实际需要。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27</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边缘采集与联动</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8路DI/DO工业IO控制模块</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12</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通道：每台不少于 8 路数字量输入/输出。</w:t>
            </w:r>
            <w:r>
              <w:rPr>
                <w:rFonts w:ascii="宋体" w:hAnsi="宋体" w:eastAsia="宋体"/>
                <w:color w:val="auto"/>
                <w:sz w:val="18"/>
                <w:szCs w:val="18"/>
              </w:rPr>
              <w:br/>
            </w:r>
            <w:r>
              <w:rPr>
                <w:rFonts w:ascii="宋体" w:hAnsi="宋体" w:eastAsia="宋体"/>
                <w:color w:val="auto"/>
                <w:sz w:val="18"/>
                <w:szCs w:val="18"/>
              </w:rPr>
              <w:t xml:space="preserve">2. 接口协议：RS485 通信接口，支持 Modbus RTU 协议。</w:t>
            </w:r>
            <w:r>
              <w:rPr>
                <w:rFonts w:ascii="宋体" w:hAnsi="宋体" w:eastAsia="宋体"/>
                <w:color w:val="auto"/>
                <w:sz w:val="18"/>
                <w:szCs w:val="18"/>
              </w:rPr>
              <w:br/>
            </w:r>
            <w:r>
              <w:rPr>
                <w:rFonts w:ascii="宋体" w:hAnsi="宋体" w:eastAsia="宋体"/>
                <w:color w:val="auto"/>
                <w:sz w:val="18"/>
                <w:szCs w:val="18"/>
              </w:rPr>
              <w:t xml:space="preserve">3. 应用：用于通风设备、消毒设备、灯光或其他设备状态采集。</w:t>
            </w:r>
            <w:r>
              <w:rPr>
                <w:rFonts w:ascii="宋体" w:hAnsi="宋体" w:eastAsia="宋体"/>
                <w:color w:val="auto"/>
                <w:sz w:val="18"/>
                <w:szCs w:val="18"/>
              </w:rPr>
              <w:br/>
            </w:r>
            <w:r>
              <w:rPr>
                <w:rFonts w:ascii="宋体" w:hAnsi="宋体" w:eastAsia="宋体"/>
                <w:color w:val="auto"/>
                <w:sz w:val="18"/>
                <w:szCs w:val="18"/>
              </w:rPr>
              <w:t xml:space="preserve">4. 扩展：按不少于 90 路状态采集能力配置，覆盖 45 路通风状态和 45 路消毒状态，并预留少量扩展。</w:t>
            </w:r>
            <w:r>
              <w:rPr>
                <w:rFonts w:ascii="宋体" w:hAnsi="宋体" w:eastAsia="宋体"/>
                <w:color w:val="auto"/>
                <w:sz w:val="18"/>
                <w:szCs w:val="18"/>
              </w:rPr>
              <w:br/>
            </w:r>
            <w:r>
              <w:rPr>
                <w:rFonts w:ascii="宋体" w:hAnsi="宋体" w:eastAsia="宋体"/>
                <w:color w:val="auto"/>
                <w:sz w:val="18"/>
                <w:szCs w:val="18"/>
              </w:rPr>
              <w:t xml:space="preserve">5. 安装：支持导轨式或箱体内安装，支持地址配置。</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28</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边缘采集与联动</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继电器隔离/干接点采集辅材</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路</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90</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用途：用于通风、消毒等设备启停/故障状态采集。</w:t>
            </w:r>
            <w:r>
              <w:rPr>
                <w:rFonts w:ascii="宋体" w:hAnsi="宋体" w:eastAsia="宋体"/>
                <w:color w:val="auto"/>
                <w:sz w:val="18"/>
                <w:szCs w:val="18"/>
              </w:rPr>
              <w:br/>
            </w:r>
            <w:r>
              <w:rPr>
                <w:rFonts w:ascii="宋体" w:hAnsi="宋体" w:eastAsia="宋体"/>
                <w:color w:val="auto"/>
                <w:sz w:val="18"/>
                <w:szCs w:val="18"/>
              </w:rPr>
              <w:t xml:space="preserve">2. 功能：支持信号隔离、干接点转换或继电器接入。</w:t>
            </w:r>
            <w:r>
              <w:rPr>
                <w:rFonts w:ascii="宋体" w:hAnsi="宋体" w:eastAsia="宋体"/>
                <w:color w:val="auto"/>
                <w:sz w:val="18"/>
                <w:szCs w:val="18"/>
              </w:rPr>
              <w:br/>
            </w:r>
            <w:r>
              <w:rPr>
                <w:rFonts w:ascii="宋体" w:hAnsi="宋体" w:eastAsia="宋体"/>
                <w:color w:val="auto"/>
                <w:sz w:val="18"/>
                <w:szCs w:val="18"/>
              </w:rPr>
              <w:t xml:space="preserve">3. 数量：按 90 路状态信号估算配置。</w:t>
            </w:r>
            <w:r>
              <w:rPr>
                <w:rFonts w:ascii="宋体" w:hAnsi="宋体" w:eastAsia="宋体"/>
                <w:color w:val="auto"/>
                <w:sz w:val="18"/>
                <w:szCs w:val="18"/>
              </w:rPr>
              <w:br/>
            </w:r>
            <w:r>
              <w:rPr>
                <w:rFonts w:ascii="宋体" w:hAnsi="宋体" w:eastAsia="宋体"/>
                <w:color w:val="auto"/>
                <w:sz w:val="18"/>
                <w:szCs w:val="18"/>
              </w:rPr>
              <w:t xml:space="preserve">4. 要求：最终以现场设备可提供的状态信号形式为准。</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29</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边缘采集与联动</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工业边缘网关</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4</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接口：支持 RS485、以太网等常用工业通信接口。</w:t>
            </w:r>
            <w:r>
              <w:rPr>
                <w:rFonts w:ascii="宋体" w:hAnsi="宋体" w:eastAsia="宋体"/>
                <w:color w:val="auto"/>
                <w:sz w:val="18"/>
                <w:szCs w:val="18"/>
              </w:rPr>
              <w:br/>
            </w:r>
            <w:r>
              <w:rPr>
                <w:rFonts w:ascii="宋体" w:hAnsi="宋体" w:eastAsia="宋体"/>
                <w:color w:val="auto"/>
                <w:sz w:val="18"/>
                <w:szCs w:val="18"/>
              </w:rPr>
              <w:t xml:space="preserve">2. 协议：兼容 Modbus RTU/TCP、MQTT、HTTP/JSON 等协议。</w:t>
            </w:r>
            <w:r>
              <w:rPr>
                <w:rFonts w:ascii="宋体" w:hAnsi="宋体" w:eastAsia="宋体"/>
                <w:color w:val="auto"/>
                <w:sz w:val="18"/>
                <w:szCs w:val="18"/>
              </w:rPr>
              <w:br/>
            </w:r>
            <w:r>
              <w:rPr>
                <w:rFonts w:ascii="宋体" w:hAnsi="宋体" w:eastAsia="宋体"/>
                <w:color w:val="auto"/>
                <w:sz w:val="18"/>
                <w:szCs w:val="18"/>
              </w:rPr>
              <w:t xml:space="preserve">3. 功能：支持协议转换、数据采集、本地缓存、断点续传、远程配置。</w:t>
            </w:r>
            <w:r>
              <w:rPr>
                <w:rFonts w:ascii="宋体" w:hAnsi="宋体" w:eastAsia="宋体"/>
                <w:color w:val="auto"/>
                <w:sz w:val="18"/>
                <w:szCs w:val="18"/>
              </w:rPr>
              <w:br/>
            </w:r>
            <w:r>
              <w:rPr>
                <w:rFonts w:ascii="宋体" w:hAnsi="宋体" w:eastAsia="宋体"/>
                <w:color w:val="auto"/>
                <w:sz w:val="18"/>
                <w:szCs w:val="18"/>
              </w:rPr>
              <w:t xml:space="preserve">4. 部署：按多楼层或多总线分区接入配置。</w:t>
            </w:r>
            <w:r>
              <w:rPr>
                <w:rFonts w:ascii="宋体" w:hAnsi="宋体" w:eastAsia="宋体"/>
                <w:color w:val="auto"/>
                <w:sz w:val="18"/>
                <w:szCs w:val="18"/>
              </w:rPr>
              <w:br/>
            </w:r>
            <w:r>
              <w:rPr>
                <w:rFonts w:ascii="宋体" w:hAnsi="宋体" w:eastAsia="宋体"/>
                <w:color w:val="auto"/>
                <w:sz w:val="18"/>
                <w:szCs w:val="18"/>
              </w:rPr>
              <w:t xml:space="preserve">5. 稳定性：适配 7×24 小时连续运行和工业现场弱电环境。</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30</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边缘采集与联动</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RS485隔离器/集线器</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8</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功能：支持 RS485 信号隔离、总线分支汇聚、抗干扰过滤。</w:t>
            </w:r>
            <w:r>
              <w:rPr>
                <w:rFonts w:ascii="宋体" w:hAnsi="宋体" w:eastAsia="宋体"/>
                <w:color w:val="auto"/>
                <w:sz w:val="18"/>
                <w:szCs w:val="18"/>
              </w:rPr>
              <w:br/>
            </w:r>
            <w:r>
              <w:rPr>
                <w:rFonts w:ascii="宋体" w:hAnsi="宋体" w:eastAsia="宋体"/>
                <w:color w:val="auto"/>
                <w:sz w:val="18"/>
                <w:szCs w:val="18"/>
              </w:rPr>
              <w:t xml:space="preserve">2. 应用：用于多传感器线路分支、长距离通信和复杂现场总线接入。</w:t>
            </w:r>
            <w:r>
              <w:rPr>
                <w:rFonts w:ascii="宋体" w:hAnsi="宋体" w:eastAsia="宋体"/>
                <w:color w:val="auto"/>
                <w:sz w:val="18"/>
                <w:szCs w:val="18"/>
              </w:rPr>
              <w:br/>
            </w:r>
            <w:r>
              <w:rPr>
                <w:rFonts w:ascii="宋体" w:hAnsi="宋体" w:eastAsia="宋体"/>
                <w:color w:val="auto"/>
                <w:sz w:val="18"/>
                <w:szCs w:val="18"/>
              </w:rPr>
              <w:t xml:space="preserve">3. 保护：具备一定浪涌、防雷或电气隔离能力。</w:t>
            </w:r>
            <w:r>
              <w:rPr>
                <w:rFonts w:ascii="宋体" w:hAnsi="宋体" w:eastAsia="宋体"/>
                <w:color w:val="auto"/>
                <w:sz w:val="18"/>
                <w:szCs w:val="18"/>
              </w:rPr>
              <w:br/>
            </w:r>
            <w:r>
              <w:rPr>
                <w:rFonts w:ascii="宋体" w:hAnsi="宋体" w:eastAsia="宋体"/>
                <w:color w:val="auto"/>
                <w:sz w:val="18"/>
                <w:szCs w:val="18"/>
              </w:rPr>
              <w:t xml:space="preserve">4. 要求：提高总线稳定性，满足大规模 45 点位扩展后的接入需求。</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31</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管线辅材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PVC/JDG线管及线槽</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用途：用于传感器、摄像头、网关、IO 模块相关线路保护和走线整理。</w:t>
            </w:r>
            <w:r>
              <w:rPr>
                <w:rFonts w:ascii="宋体" w:hAnsi="宋体" w:eastAsia="宋体"/>
                <w:color w:val="auto"/>
                <w:sz w:val="18"/>
                <w:szCs w:val="18"/>
              </w:rPr>
              <w:br/>
            </w:r>
            <w:r>
              <w:rPr>
                <w:rFonts w:ascii="宋体" w:hAnsi="宋体" w:eastAsia="宋体"/>
                <w:color w:val="auto"/>
                <w:sz w:val="18"/>
                <w:szCs w:val="18"/>
              </w:rPr>
              <w:t xml:space="preserve">2. 规格：PVC/JDG 线管、线槽规格按现场路由、线缆数量和安装环境确定。</w:t>
            </w:r>
            <w:r>
              <w:rPr>
                <w:rFonts w:ascii="宋体" w:hAnsi="宋体" w:eastAsia="宋体"/>
                <w:color w:val="auto"/>
                <w:sz w:val="18"/>
                <w:szCs w:val="18"/>
              </w:rPr>
              <w:br/>
            </w:r>
            <w:r>
              <w:rPr>
                <w:rFonts w:ascii="宋体" w:hAnsi="宋体" w:eastAsia="宋体"/>
                <w:color w:val="auto"/>
                <w:sz w:val="18"/>
                <w:szCs w:val="18"/>
              </w:rPr>
              <w:t xml:space="preserve">3. 要求：敷设整齐、固定牢靠，便于后期维护。</w:t>
            </w:r>
            <w:r/>
          </w:p>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4. 数量：需满足项目实施安装实际需要。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32</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管线辅材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桥架/软管/弯头/固定件</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包含：小型桥架、金属软管、弯头、管卡、膨胀螺丝、固定件等。</w:t>
            </w:r>
            <w:r>
              <w:rPr>
                <w:rFonts w:ascii="宋体" w:hAnsi="宋体" w:eastAsia="宋体"/>
                <w:color w:val="auto"/>
                <w:sz w:val="18"/>
                <w:szCs w:val="18"/>
              </w:rPr>
              <w:br/>
            </w:r>
            <w:r>
              <w:rPr>
                <w:rFonts w:ascii="宋体" w:hAnsi="宋体" w:eastAsia="宋体"/>
                <w:color w:val="auto"/>
                <w:sz w:val="18"/>
                <w:szCs w:val="18"/>
              </w:rPr>
              <w:t xml:space="preserve">2. 用途：满足弱电线路规范安装、转角保护、设备端接和检修维护。</w:t>
            </w:r>
            <w:r>
              <w:rPr>
                <w:rFonts w:ascii="宋体" w:hAnsi="宋体" w:eastAsia="宋体"/>
                <w:color w:val="auto"/>
                <w:sz w:val="18"/>
                <w:szCs w:val="18"/>
              </w:rPr>
              <w:br/>
            </w:r>
            <w:r>
              <w:rPr>
                <w:rFonts w:ascii="宋体" w:hAnsi="宋体" w:eastAsia="宋体"/>
                <w:color w:val="auto"/>
                <w:sz w:val="18"/>
                <w:szCs w:val="18"/>
              </w:rPr>
              <w:t xml:space="preserve">3. 要求：安装牢固，走线整齐，符合现场施工条件。</w:t>
            </w:r>
            <w:r/>
          </w:p>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4. 数量：需满足项目实施安装实际需要。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33</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视频监控</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200万像素及以上网络摄像机</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45</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像素：不低于 200 万像素，满足动物房、走廊、实验室等区域视频监控需求。</w:t>
            </w:r>
            <w:r>
              <w:rPr>
                <w:rFonts w:ascii="宋体" w:hAnsi="宋体" w:eastAsia="宋体"/>
                <w:color w:val="auto"/>
                <w:sz w:val="18"/>
                <w:szCs w:val="18"/>
              </w:rPr>
              <w:br/>
            </w:r>
            <w:r>
              <w:rPr>
                <w:rFonts w:ascii="宋体" w:hAnsi="宋体" w:eastAsia="宋体"/>
                <w:color w:val="auto"/>
                <w:sz w:val="18"/>
                <w:szCs w:val="18"/>
              </w:rPr>
              <w:t xml:space="preserve">2. 编码：支持 H.265/H.264 视频编码。</w:t>
            </w:r>
            <w:r>
              <w:rPr>
                <w:rFonts w:ascii="宋体" w:hAnsi="宋体" w:eastAsia="宋体"/>
                <w:color w:val="auto"/>
                <w:sz w:val="18"/>
                <w:szCs w:val="18"/>
              </w:rPr>
              <w:br/>
            </w:r>
            <w:r>
              <w:rPr>
                <w:rFonts w:ascii="宋体" w:hAnsi="宋体" w:eastAsia="宋体"/>
                <w:color w:val="auto"/>
                <w:sz w:val="18"/>
                <w:szCs w:val="18"/>
              </w:rPr>
              <w:t xml:space="preserve">3. 供电：支持 PoE 供电。</w:t>
            </w:r>
            <w:r>
              <w:rPr>
                <w:rFonts w:ascii="宋体" w:hAnsi="宋体" w:eastAsia="宋体"/>
                <w:color w:val="auto"/>
                <w:sz w:val="18"/>
                <w:szCs w:val="18"/>
              </w:rPr>
              <w:br/>
            </w:r>
            <w:r>
              <w:rPr>
                <w:rFonts w:ascii="宋体" w:hAnsi="宋体" w:eastAsia="宋体"/>
                <w:color w:val="auto"/>
                <w:sz w:val="18"/>
                <w:szCs w:val="18"/>
              </w:rPr>
              <w:t xml:space="preserve">4. 协议：支持 RTSP/ONVIF 协议，便于接入 NVR 和平台预览。</w:t>
            </w:r>
            <w:r>
              <w:rPr>
                <w:rFonts w:ascii="宋体" w:hAnsi="宋体" w:eastAsia="宋体"/>
                <w:color w:val="auto"/>
                <w:sz w:val="18"/>
                <w:szCs w:val="18"/>
              </w:rPr>
              <w:br/>
            </w:r>
            <w:r>
              <w:rPr>
                <w:rFonts w:ascii="宋体" w:hAnsi="宋体" w:eastAsia="宋体"/>
                <w:color w:val="auto"/>
                <w:sz w:val="18"/>
                <w:szCs w:val="18"/>
              </w:rPr>
              <w:t xml:space="preserve">5. 夜视：支持红外夜视或低照度成像。</w:t>
            </w:r>
            <w:r>
              <w:rPr>
                <w:rFonts w:ascii="宋体" w:hAnsi="宋体" w:eastAsia="宋体"/>
                <w:color w:val="auto"/>
                <w:sz w:val="18"/>
                <w:szCs w:val="18"/>
              </w:rPr>
              <w:br/>
            </w:r>
            <w:r>
              <w:rPr>
                <w:rFonts w:ascii="宋体" w:hAnsi="宋体" w:eastAsia="宋体"/>
                <w:color w:val="auto"/>
                <w:sz w:val="18"/>
                <w:szCs w:val="18"/>
              </w:rPr>
              <w:t xml:space="preserve">6. 安装：可根据现场选择半球、枪机等形态，适配室内安装环境。</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34</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视频监控</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64路网络硬盘录像机NVR</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接入：支持不少于 64 路网络视频接入，满足 45 路摄像头接入并预留扩展。</w:t>
            </w:r>
            <w:r>
              <w:rPr>
                <w:rFonts w:ascii="宋体" w:hAnsi="宋体" w:eastAsia="宋体"/>
                <w:color w:val="auto"/>
                <w:sz w:val="18"/>
                <w:szCs w:val="18"/>
              </w:rPr>
              <w:br/>
            </w:r>
            <w:r>
              <w:rPr>
                <w:rFonts w:ascii="宋体" w:hAnsi="宋体" w:eastAsia="宋体"/>
                <w:color w:val="auto"/>
                <w:sz w:val="18"/>
                <w:szCs w:val="18"/>
              </w:rPr>
              <w:t xml:space="preserve">2. 编码：支持 H.265/H.264 视频接入和录像存储。</w:t>
            </w:r>
            <w:r>
              <w:rPr>
                <w:rFonts w:ascii="宋体" w:hAnsi="宋体" w:eastAsia="宋体"/>
                <w:color w:val="auto"/>
                <w:sz w:val="18"/>
                <w:szCs w:val="18"/>
              </w:rPr>
              <w:br/>
            </w:r>
            <w:r>
              <w:rPr>
                <w:rFonts w:ascii="宋体" w:hAnsi="宋体" w:eastAsia="宋体"/>
                <w:color w:val="auto"/>
                <w:sz w:val="18"/>
                <w:szCs w:val="18"/>
              </w:rPr>
              <w:t xml:space="preserve">3. 输出：支持 HDMI/VGA 等视频输出方式。</w:t>
            </w:r>
            <w:r>
              <w:rPr>
                <w:rFonts w:ascii="宋体" w:hAnsi="宋体" w:eastAsia="宋体"/>
                <w:color w:val="auto"/>
                <w:sz w:val="18"/>
                <w:szCs w:val="18"/>
              </w:rPr>
              <w:br/>
            </w:r>
            <w:r>
              <w:rPr>
                <w:rFonts w:ascii="宋体" w:hAnsi="宋体" w:eastAsia="宋体"/>
                <w:color w:val="auto"/>
                <w:sz w:val="18"/>
                <w:szCs w:val="18"/>
              </w:rPr>
              <w:t xml:space="preserve">4. 功能：支持多路预览、录像回放、远程查看、通道管理、异常告警。</w:t>
            </w:r>
            <w:r>
              <w:rPr>
                <w:rFonts w:ascii="宋体" w:hAnsi="宋体" w:eastAsia="宋体"/>
                <w:color w:val="auto"/>
                <w:sz w:val="18"/>
                <w:szCs w:val="18"/>
              </w:rPr>
              <w:br/>
            </w:r>
            <w:r>
              <w:rPr>
                <w:rFonts w:ascii="宋体" w:hAnsi="宋体" w:eastAsia="宋体"/>
                <w:color w:val="auto"/>
                <w:sz w:val="18"/>
                <w:szCs w:val="18"/>
              </w:rPr>
              <w:t xml:space="preserve">5. 协议：支持 ONVIF/RTSP 接入。</w:t>
            </w:r>
            <w:r>
              <w:rPr>
                <w:rFonts w:ascii="宋体" w:hAnsi="宋体" w:eastAsia="宋体"/>
                <w:color w:val="auto"/>
                <w:sz w:val="18"/>
                <w:szCs w:val="18"/>
              </w:rPr>
              <w:br/>
            </w:r>
            <w:r>
              <w:rPr>
                <w:rFonts w:ascii="宋体" w:hAnsi="宋体" w:eastAsia="宋体"/>
                <w:color w:val="auto"/>
                <w:sz w:val="18"/>
                <w:szCs w:val="18"/>
              </w:rPr>
              <w:t xml:space="preserve">6. 存储：硬盘位数量满足本项目监控级硬盘安装需求。</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35</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视频监控</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监控级硬盘</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4</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容量：单盘容量不低于 8TB。</w:t>
            </w:r>
            <w:r>
              <w:rPr>
                <w:rFonts w:ascii="宋体" w:hAnsi="宋体" w:eastAsia="宋体"/>
                <w:color w:val="auto"/>
                <w:sz w:val="18"/>
                <w:szCs w:val="18"/>
              </w:rPr>
              <w:br/>
            </w:r>
            <w:r>
              <w:rPr>
                <w:rFonts w:ascii="宋体" w:hAnsi="宋体" w:eastAsia="宋体"/>
                <w:color w:val="auto"/>
                <w:sz w:val="18"/>
                <w:szCs w:val="18"/>
              </w:rPr>
              <w:t xml:space="preserve">2. 类型：监控专用硬盘，适配 7×24 小时连续录像写入。</w:t>
            </w:r>
            <w:r>
              <w:rPr>
                <w:rFonts w:ascii="宋体" w:hAnsi="宋体" w:eastAsia="宋体"/>
                <w:color w:val="auto"/>
                <w:sz w:val="18"/>
                <w:szCs w:val="18"/>
              </w:rPr>
              <w:br/>
            </w:r>
            <w:r>
              <w:rPr>
                <w:rFonts w:ascii="宋体" w:hAnsi="宋体" w:eastAsia="宋体"/>
                <w:color w:val="auto"/>
                <w:sz w:val="18"/>
                <w:szCs w:val="18"/>
              </w:rPr>
              <w:t xml:space="preserve">3. 兼容：与 NVR 设备兼容，支持多路视频并发写入。</w:t>
            </w:r>
            <w:r>
              <w:rPr>
                <w:rFonts w:ascii="宋体" w:hAnsi="宋体" w:eastAsia="宋体"/>
                <w:color w:val="auto"/>
                <w:sz w:val="18"/>
                <w:szCs w:val="18"/>
              </w:rPr>
              <w:br/>
            </w:r>
            <w:r>
              <w:rPr>
                <w:rFonts w:ascii="宋体" w:hAnsi="宋体" w:eastAsia="宋体"/>
                <w:color w:val="auto"/>
                <w:sz w:val="18"/>
                <w:szCs w:val="18"/>
              </w:rPr>
              <w:t xml:space="preserve">4. 保存：实际录像保存天数可根据码率、录像策略、保留周期复核。</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36</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视频监控</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24口千兆PoE交换机</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台</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3</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端口：不少于 24 个千兆 PoE 接入端口。</w:t>
            </w:r>
            <w:r>
              <w:rPr>
                <w:rFonts w:ascii="宋体" w:hAnsi="宋体" w:eastAsia="宋体"/>
                <w:color w:val="auto"/>
                <w:sz w:val="18"/>
                <w:szCs w:val="18"/>
              </w:rPr>
              <w:br/>
            </w:r>
            <w:r>
              <w:rPr>
                <w:rFonts w:ascii="宋体" w:hAnsi="宋体" w:eastAsia="宋体"/>
                <w:color w:val="auto"/>
                <w:sz w:val="18"/>
                <w:szCs w:val="18"/>
              </w:rPr>
              <w:t xml:space="preserve">2. 供电：支持 IEEE 802.3af/at PoE 供电，满足摄像机集中供电需求。</w:t>
            </w:r>
            <w:r>
              <w:rPr>
                <w:rFonts w:ascii="宋体" w:hAnsi="宋体" w:eastAsia="宋体"/>
                <w:color w:val="auto"/>
                <w:sz w:val="18"/>
                <w:szCs w:val="18"/>
              </w:rPr>
              <w:br/>
            </w:r>
            <w:r>
              <w:rPr>
                <w:rFonts w:ascii="宋体" w:hAnsi="宋体" w:eastAsia="宋体"/>
                <w:color w:val="auto"/>
                <w:sz w:val="18"/>
                <w:szCs w:val="18"/>
              </w:rPr>
              <w:t xml:space="preserve">3. 上联：建议具备千兆上联口或光口，满足与核心交换机汇聚连接。</w:t>
            </w:r>
            <w:r>
              <w:rPr>
                <w:rFonts w:ascii="宋体" w:hAnsi="宋体" w:eastAsia="宋体"/>
                <w:color w:val="auto"/>
                <w:sz w:val="18"/>
                <w:szCs w:val="18"/>
              </w:rPr>
              <w:br/>
            </w:r>
            <w:r>
              <w:rPr>
                <w:rFonts w:ascii="宋体" w:hAnsi="宋体" w:eastAsia="宋体"/>
                <w:color w:val="auto"/>
                <w:sz w:val="18"/>
                <w:szCs w:val="18"/>
              </w:rPr>
              <w:t xml:space="preserve">4. 容量：满足 45 台 PoE 摄像机分区接入，支持稳定供电和基础网络管理。</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37</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视频监控辅材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摄像头安装支架</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45</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适配：适配半球或枪机摄像头安装。</w:t>
            </w:r>
            <w:r>
              <w:rPr>
                <w:rFonts w:ascii="宋体" w:hAnsi="宋体" w:eastAsia="宋体"/>
                <w:color w:val="auto"/>
                <w:sz w:val="18"/>
                <w:szCs w:val="18"/>
              </w:rPr>
              <w:br/>
            </w:r>
            <w:r>
              <w:rPr>
                <w:rFonts w:ascii="宋体" w:hAnsi="宋体" w:eastAsia="宋体"/>
                <w:color w:val="auto"/>
                <w:sz w:val="18"/>
                <w:szCs w:val="18"/>
              </w:rPr>
              <w:t xml:space="preserve">2. 组成：包含支架、螺丝、固定件等。</w:t>
            </w:r>
            <w:r>
              <w:rPr>
                <w:rFonts w:ascii="宋体" w:hAnsi="宋体" w:eastAsia="宋体"/>
                <w:color w:val="auto"/>
                <w:sz w:val="18"/>
                <w:szCs w:val="18"/>
              </w:rPr>
              <w:br/>
            </w:r>
            <w:r>
              <w:rPr>
                <w:rFonts w:ascii="宋体" w:hAnsi="宋体" w:eastAsia="宋体"/>
                <w:color w:val="auto"/>
                <w:sz w:val="18"/>
                <w:szCs w:val="18"/>
              </w:rPr>
              <w:t xml:space="preserve">3. 要求：安装牢固，角度可满足现场视角调整需要。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38</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视频监控辅材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摄像头防水接线盒</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个</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45</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用途：用于摄像头网线、电源/PoE 接头保护和现场检修。</w:t>
            </w:r>
            <w:r>
              <w:rPr>
                <w:rFonts w:ascii="宋体" w:hAnsi="宋体" w:eastAsia="宋体"/>
                <w:color w:val="auto"/>
                <w:sz w:val="18"/>
                <w:szCs w:val="18"/>
              </w:rPr>
              <w:br/>
            </w:r>
            <w:r>
              <w:rPr>
                <w:rFonts w:ascii="宋体" w:hAnsi="宋体" w:eastAsia="宋体"/>
                <w:color w:val="auto"/>
                <w:sz w:val="18"/>
                <w:szCs w:val="18"/>
              </w:rPr>
              <w:t xml:space="preserve">2. 结构：具备防尘、防误触、防潮保护能力。</w:t>
            </w:r>
            <w:r>
              <w:rPr>
                <w:rFonts w:ascii="宋体" w:hAnsi="宋体" w:eastAsia="宋体"/>
                <w:color w:val="auto"/>
                <w:sz w:val="18"/>
                <w:szCs w:val="18"/>
              </w:rPr>
              <w:br/>
            </w:r>
            <w:r>
              <w:rPr>
                <w:rFonts w:ascii="宋体" w:hAnsi="宋体" w:eastAsia="宋体"/>
                <w:color w:val="auto"/>
                <w:sz w:val="18"/>
                <w:szCs w:val="18"/>
              </w:rPr>
              <w:t xml:space="preserve">3. 适配：室内外规格按实际安装环境选择。</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39</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视频监控辅材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摄像头短跳线/接插件</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w:t>
            </w:r>
            <w:r>
              <w:rPr>
                <w:rFonts w:ascii="宋体" w:hAnsi="宋体" w:eastAsia="宋体"/>
                <w:color w:val="auto"/>
                <w:sz w:val="18"/>
                <w:szCs w:val="18"/>
              </w:rPr>
              <w:t xml:space="preserve">45</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包含：摄像头端短跳线、RJ45 接插件、号码标签等。</w:t>
            </w:r>
            <w:r>
              <w:rPr>
                <w:rFonts w:ascii="宋体" w:hAnsi="宋体" w:eastAsia="宋体"/>
                <w:color w:val="auto"/>
                <w:sz w:val="18"/>
                <w:szCs w:val="18"/>
              </w:rPr>
              <w:br/>
            </w:r>
            <w:r>
              <w:rPr>
                <w:rFonts w:ascii="宋体" w:hAnsi="宋体" w:eastAsia="宋体"/>
                <w:color w:val="auto"/>
                <w:sz w:val="18"/>
                <w:szCs w:val="18"/>
              </w:rPr>
              <w:t xml:space="preserve">2. 用途：用于摄像机端接、端口标识和后期维护。</w:t>
            </w:r>
            <w:r>
              <w:rPr>
                <w:rFonts w:ascii="宋体" w:hAnsi="宋体" w:eastAsia="宋体"/>
                <w:color w:val="auto"/>
                <w:sz w:val="18"/>
                <w:szCs w:val="18"/>
              </w:rPr>
              <w:br/>
            </w:r>
            <w:r>
              <w:rPr>
                <w:rFonts w:ascii="宋体" w:hAnsi="宋体" w:eastAsia="宋体"/>
                <w:color w:val="auto"/>
                <w:sz w:val="18"/>
                <w:szCs w:val="18"/>
              </w:rPr>
              <w:t xml:space="preserve">3. 要求：接头牢固，标签清晰，便于故障排查。</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40</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视频监控辅材</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视频监控安装调试辅材</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套</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包含：录像接入、通道配置、平台预览、回放测试、标签标识等配套安装调试辅材。</w:t>
            </w:r>
            <w:r>
              <w:rPr>
                <w:rFonts w:ascii="宋体" w:hAnsi="宋体" w:eastAsia="宋体"/>
                <w:color w:val="auto"/>
                <w:sz w:val="18"/>
                <w:szCs w:val="18"/>
              </w:rPr>
              <w:br/>
            </w:r>
            <w:r>
              <w:rPr>
                <w:rFonts w:ascii="宋体" w:hAnsi="宋体" w:eastAsia="宋体"/>
                <w:color w:val="auto"/>
                <w:sz w:val="18"/>
                <w:szCs w:val="18"/>
              </w:rPr>
              <w:t xml:space="preserve">2. 要求：完成摄像机接入、录像策略配置、画面预览、录像回放和通道命名。</w:t>
            </w:r>
            <w:r>
              <w:rPr>
                <w:rFonts w:ascii="宋体" w:hAnsi="宋体" w:eastAsia="宋体"/>
                <w:color w:val="auto"/>
                <w:sz w:val="18"/>
                <w:szCs w:val="18"/>
              </w:rPr>
              <w:br/>
            </w:r>
            <w:r>
              <w:rPr>
                <w:rFonts w:ascii="宋体" w:hAnsi="宋体" w:eastAsia="宋体"/>
                <w:color w:val="auto"/>
                <w:sz w:val="18"/>
                <w:szCs w:val="18"/>
              </w:rPr>
              <w:t xml:space="preserve">3. 边界：不包含独立软件研发费用。</w:t>
            </w:r>
            <w:r/>
          </w:p>
          <w:p>
            <w:pPr>
              <w:spacing w:line="259" w:lineRule="auto"/>
              <w:rPr>
                <w:rFonts w:ascii="宋体" w:hAnsi="宋体" w:eastAsia="宋体"/>
                <w:color w:val="auto"/>
                <w:sz w:val="18"/>
                <w:szCs w:val="18"/>
              </w:rPr>
            </w:pPr>
            <w:r>
              <w:rPr>
                <w:rFonts w:ascii="宋体" w:hAnsi="宋体" w:eastAsia="宋体"/>
                <w:color w:val="auto"/>
                <w:sz w:val="18"/>
                <w:szCs w:val="18"/>
              </w:rPr>
              <w:t xml:space="preserve">4</w:t>
            </w:r>
            <w:r>
              <w:rPr>
                <w:rFonts w:hint="eastAsia" w:ascii="宋体" w:hAnsi="宋体" w:eastAsia="宋体"/>
                <w:color w:val="auto"/>
                <w:sz w:val="18"/>
                <w:szCs w:val="18"/>
              </w:rPr>
              <w:t xml:space="preserve">. 数量：≥60 根，按机柜端口和现场设备数量复核，需满足项目实施安装实际需要。</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41</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共用基础设施</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信息发布与终端适配</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综合信息发布适配服务</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项</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1</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功能：系统应提供实验室综合信息发布页面及终端适配能力，支持LIMS运行状态、检测任务、实验室环境概况、告警信息和视频预览等内容集中发布。</w:t>
            </w:r>
            <w:r>
              <w:rPr>
                <w:rFonts w:ascii="宋体" w:hAnsi="宋体" w:eastAsia="宋体"/>
                <w:color w:val="auto"/>
                <w:sz w:val="18"/>
                <w:szCs w:val="18"/>
              </w:rPr>
              <w:br/>
            </w:r>
            <w:r>
              <w:rPr>
                <w:rFonts w:ascii="宋体" w:hAnsi="宋体" w:eastAsia="宋体"/>
                <w:color w:val="auto"/>
                <w:sz w:val="18"/>
                <w:szCs w:val="18"/>
              </w:rPr>
              <w:t xml:space="preserve">2. 适配：支持浏览器全屏运行、常见分辨率自适应、页面自动刷新、定时轮播和远程内容更新</w:t>
            </w:r>
            <w:r>
              <w:rPr>
                <w:rFonts w:hint="eastAsia" w:ascii="宋体" w:hAnsi="宋体" w:eastAsia="宋体"/>
                <w:color w:val="auto"/>
                <w:sz w:val="18"/>
                <w:szCs w:val="18"/>
              </w:rPr>
              <w:t xml:space="preserve">，显示面积不低于12㎡，刷新率≥1920Hz，点间距≤P2.5。</w:t>
            </w:r>
            <w:r>
              <w:rPr>
                <w:rFonts w:hint="eastAsia" w:ascii="宋体" w:hAnsi="宋体" w:eastAsia="宋体"/>
                <w:color w:val="auto"/>
                <w:sz w:val="18"/>
                <w:szCs w:val="18"/>
              </w:rPr>
              <w:br/>
            </w:r>
            <w:r>
              <w:rPr>
                <w:rFonts w:ascii="宋体" w:hAnsi="宋体" w:eastAsia="宋体"/>
                <w:color w:val="auto"/>
                <w:sz w:val="18"/>
                <w:szCs w:val="18"/>
              </w:rPr>
              <w:t xml:space="preserve">3. 对接：提供与采购人统一配置的信息发布终端对接能力。</w:t>
            </w:r>
            <w:r>
              <w:rPr>
                <w:rFonts w:ascii="宋体" w:hAnsi="宋体" w:eastAsia="宋体"/>
                <w:color w:val="auto"/>
                <w:sz w:val="18"/>
                <w:szCs w:val="18"/>
              </w:rPr>
              <w:br/>
            </w:r>
            <w:r>
              <w:rPr>
                <w:rFonts w:ascii="宋体" w:hAnsi="宋体" w:eastAsia="宋体"/>
                <w:color w:val="auto"/>
                <w:sz w:val="18"/>
                <w:szCs w:val="18"/>
              </w:rPr>
              <w:t xml:space="preserve">4. 边界：终端硬件及其配套安装不纳入本项目供货范围。</w:t>
            </w:r>
            <w:r/>
          </w:p>
        </w:tc>
      </w:tr>
      <w:tr>
        <w:trPr>
          <w:cantSplit/>
          <w:jc w:val="center"/>
        </w:trPr>
        <w:tc>
          <w:tcPr>
            <w:tcMar>
              <w:left w:w="90" w:type="dxa"/>
              <w:top w:w="70" w:type="dxa"/>
              <w:right w:w="90" w:type="dxa"/>
              <w:bottom w:w="70" w:type="dxa"/>
            </w:tcMar>
            <w:tcW w:w="520"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42</w:t>
            </w:r>
            <w:r/>
          </w:p>
        </w:tc>
        <w:tc>
          <w:tcPr>
            <w:tcMar>
              <w:left w:w="90" w:type="dxa"/>
              <w:top w:w="70" w:type="dxa"/>
              <w:right w:w="90" w:type="dxa"/>
              <w:bottom w:w="70" w:type="dxa"/>
            </w:tcMar>
            <w:tcW w:w="1515"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动物房环境监测告警系统</w:t>
            </w:r>
            <w:r/>
          </w:p>
        </w:tc>
        <w:tc>
          <w:tcPr>
            <w:tcMar>
              <w:left w:w="90" w:type="dxa"/>
              <w:top w:w="70" w:type="dxa"/>
              <w:right w:w="90" w:type="dxa"/>
              <w:bottom w:w="70" w:type="dxa"/>
            </w:tcMar>
            <w:tcW w:w="162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信息发布与终端适配</w:t>
            </w:r>
            <w:r/>
          </w:p>
        </w:tc>
        <w:tc>
          <w:tcPr>
            <w:tcMar>
              <w:left w:w="90" w:type="dxa"/>
              <w:top w:w="70" w:type="dxa"/>
              <w:right w:w="90" w:type="dxa"/>
              <w:bottom w:w="70" w:type="dxa"/>
            </w:tcMar>
            <w:tcW w:w="2476" w:type="dxa"/>
            <w:vAlign w:val="center"/>
            <w:textDirection w:val="lrTb"/>
            <w:noWrap w:val="false"/>
          </w:tcPr>
          <w:p>
            <w:pPr>
              <w:spacing w:line="259" w:lineRule="auto"/>
              <w:rPr>
                <w:rFonts w:ascii="宋体" w:hAnsi="宋体" w:eastAsia="宋体"/>
                <w:color w:val="auto"/>
                <w:sz w:val="18"/>
                <w:szCs w:val="18"/>
              </w:rPr>
            </w:pPr>
            <w:r>
              <w:rPr>
                <w:rFonts w:hint="eastAsia" w:ascii="宋体" w:hAnsi="宋体" w:eastAsia="宋体"/>
                <w:color w:val="auto"/>
                <w:sz w:val="18"/>
                <w:szCs w:val="18"/>
              </w:rPr>
              <w:t xml:space="preserve">动物房环境信息发布适配服务</w:t>
            </w:r>
            <w:r/>
          </w:p>
        </w:tc>
        <w:tc>
          <w:tcPr>
            <w:tcMar>
              <w:left w:w="90" w:type="dxa"/>
              <w:top w:w="70" w:type="dxa"/>
              <w:right w:w="90" w:type="dxa"/>
              <w:bottom w:w="70" w:type="dxa"/>
            </w:tcMar>
            <w:tcW w:w="873" w:type="dxa"/>
            <w:vAlign w:val="center"/>
            <w:textDirection w:val="lrTb"/>
            <w:noWrap w:val="false"/>
          </w:tcPr>
          <w:p>
            <w:pPr>
              <w:jc w:val="center"/>
              <w:spacing w:line="259" w:lineRule="auto"/>
              <w:rPr>
                <w:rFonts w:ascii="宋体" w:hAnsi="宋体" w:eastAsia="宋体"/>
                <w:color w:val="auto"/>
                <w:sz w:val="18"/>
                <w:szCs w:val="18"/>
              </w:rPr>
            </w:pPr>
            <w:r>
              <w:rPr>
                <w:rFonts w:ascii="宋体" w:hAnsi="宋体" w:eastAsia="宋体"/>
                <w:color w:val="auto"/>
                <w:sz w:val="18"/>
                <w:szCs w:val="18"/>
              </w:rPr>
              <w:t xml:space="preserve">项</w:t>
            </w:r>
            <w:r/>
          </w:p>
        </w:tc>
        <w:tc>
          <w:tcPr>
            <w:tcMar>
              <w:left w:w="90" w:type="dxa"/>
              <w:top w:w="70" w:type="dxa"/>
              <w:right w:w="90" w:type="dxa"/>
              <w:bottom w:w="70" w:type="dxa"/>
            </w:tcMar>
            <w:tcW w:w="883" w:type="dxa"/>
            <w:vAlign w:val="center"/>
            <w:textDirection w:val="lrTb"/>
            <w:noWrap w:val="false"/>
          </w:tcPr>
          <w:p>
            <w:pPr>
              <w:jc w:val="center"/>
              <w:spacing w:line="259" w:lineRule="auto"/>
              <w:rPr>
                <w:rFonts w:ascii="宋体" w:hAnsi="宋体" w:eastAsia="宋体"/>
                <w:color w:val="auto"/>
                <w:sz w:val="18"/>
                <w:szCs w:val="18"/>
              </w:rPr>
            </w:pPr>
            <w:r>
              <w:rPr>
                <w:rFonts w:hint="eastAsia" w:ascii="宋体" w:hAnsi="宋体" w:eastAsia="宋体"/>
                <w:color w:val="auto"/>
                <w:sz w:val="18"/>
                <w:szCs w:val="18"/>
              </w:rPr>
              <w:t xml:space="preserve">2</w:t>
            </w:r>
            <w:r/>
          </w:p>
        </w:tc>
        <w:tc>
          <w:tcPr>
            <w:tcMar>
              <w:left w:w="90" w:type="dxa"/>
              <w:top w:w="70" w:type="dxa"/>
              <w:right w:w="90" w:type="dxa"/>
              <w:bottom w:w="70" w:type="dxa"/>
            </w:tcMar>
            <w:tcW w:w="7717" w:type="dxa"/>
            <w:vAlign w:val="center"/>
            <w:textDirection w:val="lrTb"/>
            <w:noWrap w:val="false"/>
          </w:tcPr>
          <w:p>
            <w:pPr>
              <w:spacing w:line="259" w:lineRule="auto"/>
              <w:rPr>
                <w:rFonts w:ascii="宋体" w:hAnsi="宋体" w:eastAsia="宋体"/>
                <w:color w:val="auto"/>
                <w:sz w:val="18"/>
                <w:szCs w:val="18"/>
              </w:rPr>
            </w:pPr>
            <w:r>
              <w:rPr>
                <w:rFonts w:ascii="宋体" w:hAnsi="宋体" w:eastAsia="宋体"/>
                <w:color w:val="auto"/>
                <w:sz w:val="18"/>
                <w:szCs w:val="18"/>
              </w:rPr>
              <w:t xml:space="preserve">1. 功能：系统应提供动物房环境信息发布页面及终端适配能力，支持温湿度、压差、二氧化碳、氨气、照度、通风状态、消毒状态、告警信息及视频预览等内容集中发布。</w:t>
            </w:r>
            <w:r>
              <w:rPr>
                <w:rFonts w:ascii="宋体" w:hAnsi="宋体" w:eastAsia="宋体"/>
                <w:color w:val="auto"/>
                <w:sz w:val="18"/>
                <w:szCs w:val="18"/>
              </w:rPr>
              <w:br/>
            </w:r>
            <w:r>
              <w:rPr>
                <w:rFonts w:ascii="宋体" w:hAnsi="宋体" w:eastAsia="宋体"/>
                <w:color w:val="auto"/>
                <w:sz w:val="18"/>
                <w:szCs w:val="18"/>
              </w:rPr>
              <w:t xml:space="preserve">2. 适配：支持数据自动刷新、异常状态突出提醒、页面轮播和常见分辨率适配</w:t>
            </w:r>
            <w:r>
              <w:rPr>
                <w:rFonts w:hint="eastAsia" w:ascii="宋体" w:hAnsi="宋体" w:eastAsia="宋体"/>
                <w:color w:val="auto"/>
                <w:sz w:val="18"/>
                <w:szCs w:val="18"/>
              </w:rPr>
              <w:t xml:space="preserve">，显示面积不低于2.5㎡，刷新率≥1920Hz，点间距≤P2.5。</w:t>
            </w:r>
            <w:r>
              <w:rPr>
                <w:rFonts w:ascii="宋体" w:hAnsi="宋体" w:eastAsia="宋体"/>
                <w:color w:val="auto"/>
                <w:sz w:val="18"/>
                <w:szCs w:val="18"/>
              </w:rPr>
              <w:br/>
            </w:r>
            <w:r>
              <w:rPr>
                <w:rFonts w:ascii="宋体" w:hAnsi="宋体" w:eastAsia="宋体"/>
                <w:color w:val="auto"/>
                <w:sz w:val="18"/>
                <w:szCs w:val="18"/>
              </w:rPr>
              <w:t xml:space="preserve">3. 对接：提供与采购人统一配置的信息发布终端对接能力。</w:t>
            </w:r>
            <w:r>
              <w:rPr>
                <w:rFonts w:ascii="宋体" w:hAnsi="宋体" w:eastAsia="宋体"/>
                <w:color w:val="auto"/>
                <w:sz w:val="18"/>
                <w:szCs w:val="18"/>
              </w:rPr>
              <w:br/>
            </w:r>
            <w:r>
              <w:rPr>
                <w:rFonts w:ascii="宋体" w:hAnsi="宋体" w:eastAsia="宋体"/>
                <w:color w:val="auto"/>
                <w:sz w:val="18"/>
                <w:szCs w:val="18"/>
              </w:rPr>
              <w:t xml:space="preserve">4. 边界：终端硬件及其配套安装不纳入本项目供货范围。</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43</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配线</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RVV6*1.0</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12</w:t>
            </w:r>
            <w:r>
              <w:rPr>
                <w:rFonts w:hint="eastAsia" w:ascii="宋体" w:hAnsi="宋体" w:eastAsia="宋体"/>
                <w:color w:val="auto"/>
                <w:sz w:val="16"/>
              </w:rPr>
              <w:t xml:space="preserve">3</w:t>
            </w:r>
            <w:r/>
          </w:p>
        </w:tc>
        <w:tc>
          <w:tcPr>
            <w:tcMar>
              <w:left w:w="90" w:type="dxa"/>
              <w:top w:w="70" w:type="dxa"/>
              <w:right w:w="90" w:type="dxa"/>
              <w:bottom w:w="70" w:type="dxa"/>
            </w:tcMar>
            <w:tcW w:w="7717" w:type="dxa"/>
            <w:vAlign w:val="center"/>
            <w:textDirection w:val="lrTb"/>
            <w:noWrap w:val="false"/>
          </w:tcPr>
          <w:p>
            <w:pPr>
              <w:spacing w:line="259" w:lineRule="auto"/>
              <w:rPr>
                <w:color w:val="auto"/>
              </w:rPr>
            </w:pPr>
            <w:r>
              <w:rPr>
                <w:rFonts w:ascii="宋体" w:hAnsi="宋体" w:eastAsia="宋体"/>
                <w:color w:val="auto"/>
                <w:sz w:val="18"/>
                <w:szCs w:val="18"/>
              </w:rPr>
              <w:t xml:space="preserve">1. 规格：RVV 6×1.0mm²多芯软铜导体护套线，导体截面积、绝缘层及护套厚度应符合国家现行电线电缆标准。</w:t>
            </w:r>
            <w:r>
              <w:rPr>
                <w:rFonts w:ascii="宋体" w:hAnsi="宋体" w:eastAsia="宋体"/>
                <w:color w:val="auto"/>
                <w:sz w:val="18"/>
                <w:szCs w:val="18"/>
              </w:rPr>
              <w:br/>
            </w:r>
            <w:r>
              <w:rPr>
                <w:rFonts w:ascii="宋体" w:hAnsi="宋体" w:eastAsia="宋体"/>
                <w:color w:val="auto"/>
                <w:sz w:val="18"/>
                <w:szCs w:val="18"/>
              </w:rPr>
              <w:t xml:space="preserve">2. 用途：用于动物房环境监测系统控制模块、状态采集模块及相关低压控制回路的多路信号或供电连接。</w:t>
            </w:r>
            <w:r>
              <w:rPr>
                <w:rFonts w:ascii="宋体" w:hAnsi="宋体" w:eastAsia="宋体"/>
                <w:color w:val="auto"/>
                <w:sz w:val="18"/>
                <w:szCs w:val="18"/>
              </w:rPr>
              <w:br/>
            </w:r>
            <w:r>
              <w:rPr>
                <w:rFonts w:ascii="宋体" w:hAnsi="宋体" w:eastAsia="宋体"/>
                <w:color w:val="auto"/>
                <w:sz w:val="18"/>
                <w:szCs w:val="18"/>
              </w:rPr>
              <w:t xml:space="preserve">3. 性能：线芯应采用多股铜导体，绝缘及护套完整，具备良好的柔韧性、耐磨性和现场敷设适应性；阻燃性能满足项目设计及现场消防要求。</w:t>
            </w:r>
            <w:r>
              <w:rPr>
                <w:rFonts w:ascii="宋体" w:hAnsi="宋体" w:eastAsia="宋体"/>
                <w:color w:val="auto"/>
                <w:sz w:val="18"/>
                <w:szCs w:val="18"/>
              </w:rPr>
              <w:br/>
            </w:r>
            <w:r>
              <w:rPr>
                <w:rFonts w:ascii="宋体" w:hAnsi="宋体" w:eastAsia="宋体"/>
                <w:color w:val="auto"/>
                <w:sz w:val="18"/>
                <w:szCs w:val="18"/>
              </w:rPr>
              <w:t xml:space="preserve">4. 安装验收：应按回路编号敷设并在线缆两端设置永久标识，完成导通、绝缘及端接牢固性检查，不得与强干扰线路混合敷设。</w:t>
            </w:r>
            <w:r/>
          </w:p>
        </w:tc>
      </w:tr>
    </w:tbl>
    <w:p>
      <w:pPr>
        <w:rPr>
          <w:color w:val="auto"/>
        </w:rPr>
      </w:pPr>
      <w:r>
        <w:rPr>
          <w:color w:val="auto"/>
        </w:rPr>
        <w:br w:type="page" w:clear="all"/>
      </w:r>
      <w:r/>
    </w:p>
    <w:tbl>
      <w:tblPr>
        <w:tblStyle w:val="773"/>
        <w:tblW w:w="15610"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108" w:type="dxa"/>
          <w:top w:w="0" w:type="dxa"/>
          <w:right w:w="108" w:type="dxa"/>
          <w:bottom w:w="0" w:type="dxa"/>
        </w:tblCellMar>
        <w:tblLook w:val="04A0" w:firstRow="1" w:lastRow="0" w:firstColumn="1" w:lastColumn="0" w:noHBand="0" w:noVBand="1"/>
      </w:tblPr>
      <w:tblGrid>
        <w:gridCol w:w="520"/>
        <w:gridCol w:w="1515"/>
        <w:gridCol w:w="1626"/>
        <w:gridCol w:w="2476"/>
        <w:gridCol w:w="873"/>
        <w:gridCol w:w="883"/>
        <w:gridCol w:w="7717"/>
      </w:tblGrid>
      <w:tr>
        <w:trPr>
          <w:cantSplit/>
          <w:jc w:val="center"/>
          <w:tblHeader/>
        </w:trPr>
        <w:tc>
          <w:tcPr>
            <w:shd w:val="clear" w:color="auto" w:fill="f2f2f2"/>
            <w:tcMar>
              <w:left w:w="90" w:type="dxa"/>
              <w:top w:w="70" w:type="dxa"/>
              <w:right w:w="90" w:type="dxa"/>
              <w:bottom w:w="70" w:type="dxa"/>
            </w:tcMar>
            <w:tcW w:w="520" w:type="dxa"/>
            <w:vAlign w:val="center"/>
            <w:textDirection w:val="lrTb"/>
            <w:noWrap w:val="false"/>
          </w:tcPr>
          <w:p>
            <w:pPr>
              <w:spacing w:line="259" w:lineRule="auto"/>
              <w:rPr>
                <w:color w:val="auto"/>
              </w:rPr>
            </w:pPr>
            <w:r>
              <w:rPr>
                <w:b/>
                <w:color w:val="auto"/>
                <w:sz w:val="18"/>
              </w:rPr>
              <w:t xml:space="preserve">序号</w:t>
            </w:r>
            <w:r/>
          </w:p>
        </w:tc>
        <w:tc>
          <w:tcPr>
            <w:shd w:val="clear" w:color="auto" w:fill="f2f2f2"/>
            <w:tcMar>
              <w:left w:w="90" w:type="dxa"/>
              <w:top w:w="70" w:type="dxa"/>
              <w:right w:w="90" w:type="dxa"/>
              <w:bottom w:w="70" w:type="dxa"/>
            </w:tcMar>
            <w:tcW w:w="1515" w:type="dxa"/>
            <w:vAlign w:val="center"/>
            <w:textDirection w:val="lrTb"/>
            <w:noWrap w:val="false"/>
          </w:tcPr>
          <w:p>
            <w:pPr>
              <w:jc w:val="center"/>
              <w:spacing w:line="259" w:lineRule="auto"/>
              <w:rPr>
                <w:color w:val="auto"/>
              </w:rPr>
            </w:pPr>
            <w:r>
              <w:rPr>
                <w:b/>
                <w:color w:val="auto"/>
                <w:sz w:val="18"/>
              </w:rPr>
              <w:t xml:space="preserve">所属系统/用途</w:t>
            </w:r>
            <w:r/>
          </w:p>
        </w:tc>
        <w:tc>
          <w:tcPr>
            <w:shd w:val="clear" w:color="auto" w:fill="f2f2f2"/>
            <w:tcMar>
              <w:left w:w="90" w:type="dxa"/>
              <w:top w:w="70" w:type="dxa"/>
              <w:right w:w="90" w:type="dxa"/>
              <w:bottom w:w="70" w:type="dxa"/>
            </w:tcMar>
            <w:tcW w:w="1626" w:type="dxa"/>
            <w:vAlign w:val="center"/>
            <w:textDirection w:val="lrTb"/>
            <w:noWrap w:val="false"/>
          </w:tcPr>
          <w:p>
            <w:pPr>
              <w:jc w:val="center"/>
              <w:spacing w:line="259" w:lineRule="auto"/>
              <w:rPr>
                <w:color w:val="auto"/>
              </w:rPr>
            </w:pPr>
            <w:r>
              <w:rPr>
                <w:b/>
                <w:color w:val="auto"/>
                <w:sz w:val="18"/>
              </w:rPr>
              <w:t xml:space="preserve">分类</w:t>
            </w:r>
            <w:r/>
          </w:p>
        </w:tc>
        <w:tc>
          <w:tcPr>
            <w:shd w:val="clear" w:color="auto" w:fill="f2f2f2"/>
            <w:tcMar>
              <w:left w:w="90" w:type="dxa"/>
              <w:top w:w="70" w:type="dxa"/>
              <w:right w:w="90" w:type="dxa"/>
              <w:bottom w:w="70" w:type="dxa"/>
            </w:tcMar>
            <w:tcW w:w="2476" w:type="dxa"/>
            <w:vAlign w:val="center"/>
            <w:textDirection w:val="lrTb"/>
            <w:noWrap w:val="false"/>
          </w:tcPr>
          <w:p>
            <w:pPr>
              <w:jc w:val="center"/>
              <w:spacing w:line="259" w:lineRule="auto"/>
              <w:rPr>
                <w:color w:val="auto"/>
              </w:rPr>
            </w:pPr>
            <w:r>
              <w:rPr>
                <w:b/>
                <w:color w:val="auto"/>
                <w:sz w:val="18"/>
              </w:rPr>
              <w:t xml:space="preserve">设备名称</w:t>
            </w:r>
            <w:r/>
          </w:p>
        </w:tc>
        <w:tc>
          <w:tcPr>
            <w:shd w:val="clear" w:color="auto" w:fill="f2f2f2"/>
            <w:tcMar>
              <w:left w:w="90" w:type="dxa"/>
              <w:top w:w="70" w:type="dxa"/>
              <w:right w:w="90" w:type="dxa"/>
              <w:bottom w:w="70" w:type="dxa"/>
            </w:tcMar>
            <w:tcW w:w="873" w:type="dxa"/>
            <w:vAlign w:val="center"/>
            <w:textDirection w:val="lrTb"/>
            <w:noWrap w:val="false"/>
          </w:tcPr>
          <w:p>
            <w:pPr>
              <w:jc w:val="center"/>
              <w:spacing w:line="259" w:lineRule="auto"/>
              <w:rPr>
                <w:color w:val="auto"/>
              </w:rPr>
            </w:pPr>
            <w:r>
              <w:rPr>
                <w:b/>
                <w:color w:val="auto"/>
                <w:sz w:val="18"/>
              </w:rPr>
              <w:t xml:space="preserve">单位</w:t>
            </w:r>
            <w:r/>
          </w:p>
        </w:tc>
        <w:tc>
          <w:tcPr>
            <w:shd w:val="clear" w:color="auto" w:fill="f2f2f2"/>
            <w:tcMar>
              <w:left w:w="90" w:type="dxa"/>
              <w:top w:w="70" w:type="dxa"/>
              <w:right w:w="90" w:type="dxa"/>
              <w:bottom w:w="70" w:type="dxa"/>
            </w:tcMar>
            <w:tcW w:w="883" w:type="dxa"/>
            <w:vAlign w:val="center"/>
            <w:textDirection w:val="lrTb"/>
            <w:noWrap w:val="false"/>
          </w:tcPr>
          <w:p>
            <w:pPr>
              <w:jc w:val="center"/>
              <w:spacing w:line="259" w:lineRule="auto"/>
              <w:rPr>
                <w:color w:val="auto"/>
              </w:rPr>
            </w:pPr>
            <w:r>
              <w:rPr>
                <w:b/>
                <w:color w:val="auto"/>
                <w:sz w:val="18"/>
              </w:rPr>
              <w:t xml:space="preserve">数量</w:t>
            </w:r>
            <w:r/>
          </w:p>
        </w:tc>
        <w:tc>
          <w:tcPr>
            <w:shd w:val="clear" w:color="auto" w:fill="f2f2f2"/>
            <w:tcMar>
              <w:left w:w="90" w:type="dxa"/>
              <w:top w:w="70" w:type="dxa"/>
              <w:right w:w="90" w:type="dxa"/>
              <w:bottom w:w="70" w:type="dxa"/>
            </w:tcMar>
            <w:tcW w:w="7717" w:type="dxa"/>
            <w:vAlign w:val="center"/>
            <w:textDirection w:val="lrTb"/>
            <w:noWrap w:val="false"/>
          </w:tcPr>
          <w:p>
            <w:pPr>
              <w:jc w:val="center"/>
              <w:spacing w:line="259" w:lineRule="auto"/>
              <w:rPr>
                <w:color w:val="auto"/>
              </w:rPr>
            </w:pPr>
            <w:r>
              <w:rPr>
                <w:b/>
                <w:color w:val="auto"/>
                <w:sz w:val="18"/>
              </w:rPr>
              <w:t xml:space="preserve">技术参数/指标要求</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44</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配线</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RVV4*1.0</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364</w:t>
            </w:r>
            <w:r>
              <w:rPr>
                <w:rFonts w:hint="eastAsia" w:ascii="宋体" w:hAnsi="宋体" w:eastAsia="宋体"/>
                <w:color w:val="auto"/>
                <w:sz w:val="16"/>
              </w:rPr>
              <w:t xml:space="preserve">9</w:t>
            </w:r>
            <w:r/>
          </w:p>
        </w:tc>
        <w:tc>
          <w:tcPr>
            <w:tcMar>
              <w:left w:w="90" w:type="dxa"/>
              <w:top w:w="70" w:type="dxa"/>
              <w:right w:w="90" w:type="dxa"/>
              <w:bottom w:w="70" w:type="dxa"/>
            </w:tcMar>
            <w:tcW w:w="7717" w:type="dxa"/>
            <w:vAlign w:val="center"/>
            <w:textDirection w:val="lrTb"/>
            <w:noWrap w:val="false"/>
          </w:tcPr>
          <w:p>
            <w:pPr>
              <w:jc w:val="left"/>
              <w:rPr>
                <w:color w:val="auto"/>
              </w:rPr>
            </w:pPr>
            <w:r>
              <w:rPr>
                <w:rFonts w:ascii="宋体" w:hAnsi="宋体" w:eastAsia="宋体"/>
                <w:color w:val="auto"/>
                <w:sz w:val="16"/>
              </w:rPr>
              <w:t xml:space="preserve">1. 规格：RVV 4×1.0mm²多芯软铜导体护套线，线芯数量、截面积及护套结构应与供货规格一致。</w:t>
            </w:r>
            <w:r>
              <w:rPr>
                <w:rFonts w:ascii="宋体" w:hAnsi="宋体" w:eastAsia="宋体"/>
                <w:color w:val="auto"/>
                <w:sz w:val="16"/>
              </w:rPr>
              <w:br/>
            </w:r>
            <w:r>
              <w:rPr>
                <w:rFonts w:ascii="宋体" w:hAnsi="宋体" w:eastAsia="宋体"/>
                <w:color w:val="auto"/>
                <w:sz w:val="16"/>
              </w:rPr>
              <w:t xml:space="preserve">2. 用途：用于温湿度、压差、二氧化碳、氨气、照度等监测点位，以及边缘采集、设备状态采集和控制模块的低压供电或信号连接。</w:t>
            </w:r>
            <w:r>
              <w:rPr>
                <w:rFonts w:ascii="宋体" w:hAnsi="宋体" w:eastAsia="宋体"/>
                <w:color w:val="auto"/>
                <w:sz w:val="16"/>
              </w:rPr>
              <w:br/>
            </w:r>
            <w:r>
              <w:rPr>
                <w:rFonts w:ascii="宋体" w:hAnsi="宋体" w:eastAsia="宋体"/>
                <w:color w:val="auto"/>
                <w:sz w:val="16"/>
              </w:rPr>
              <w:t xml:space="preserve">3. 性能：采用多股铜导体，绝缘电阻、耐压、机械强度和阻燃性能满足低压控制线路长期稳定运行要求。</w:t>
            </w:r>
            <w:r>
              <w:rPr>
                <w:rFonts w:ascii="宋体" w:hAnsi="宋体" w:eastAsia="宋体"/>
                <w:color w:val="auto"/>
                <w:sz w:val="16"/>
              </w:rPr>
              <w:br/>
            </w:r>
            <w:r>
              <w:rPr>
                <w:rFonts w:ascii="宋体" w:hAnsi="宋体" w:eastAsia="宋体"/>
                <w:color w:val="auto"/>
                <w:sz w:val="16"/>
              </w:rPr>
              <w:t xml:space="preserve">4. 安装验收：按传感器及控制回路分组敷设，端头压接规范、编号清晰，完成线序、导通、绝缘和回路功能测试。</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45</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配线</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RVV3*2.5</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22</w:t>
            </w:r>
            <w:r>
              <w:rPr>
                <w:rFonts w:hint="eastAsia" w:ascii="宋体" w:hAnsi="宋体" w:eastAsia="宋体"/>
                <w:color w:val="auto"/>
                <w:sz w:val="16"/>
              </w:rPr>
              <w:t xml:space="preserve">6</w:t>
            </w:r>
            <w:r/>
          </w:p>
        </w:tc>
        <w:tc>
          <w:tcPr>
            <w:tcMar>
              <w:left w:w="90" w:type="dxa"/>
              <w:top w:w="70" w:type="dxa"/>
              <w:right w:w="90" w:type="dxa"/>
              <w:bottom w:w="70" w:type="dxa"/>
            </w:tcMar>
            <w:tcW w:w="7717" w:type="dxa"/>
            <w:vAlign w:val="center"/>
            <w:textDirection w:val="lrTb"/>
            <w:noWrap w:val="false"/>
          </w:tcPr>
          <w:p>
            <w:pPr>
              <w:jc w:val="left"/>
              <w:rPr>
                <w:color w:val="auto"/>
              </w:rPr>
            </w:pPr>
            <w:r>
              <w:rPr>
                <w:rFonts w:ascii="宋体" w:hAnsi="宋体" w:eastAsia="宋体"/>
                <w:color w:val="auto"/>
                <w:sz w:val="16"/>
              </w:rPr>
              <w:t xml:space="preserve">1. 规格：RVV 3×2.5mm²铜芯护套软电缆，额定电压及载流能力满足单相设备供电回路使用要求。</w:t>
            </w:r>
            <w:r>
              <w:rPr>
                <w:rFonts w:ascii="宋体" w:hAnsi="宋体" w:eastAsia="宋体"/>
                <w:color w:val="auto"/>
                <w:sz w:val="16"/>
              </w:rPr>
              <w:br/>
            </w:r>
            <w:r>
              <w:rPr>
                <w:rFonts w:ascii="宋体" w:hAnsi="宋体" w:eastAsia="宋体"/>
                <w:color w:val="auto"/>
                <w:sz w:val="16"/>
              </w:rPr>
              <w:t xml:space="preserve">2. 用途：用于动物房环境监测配套控制设备、信息化终端及相关弱电设备的交流供电支线。</w:t>
            </w:r>
            <w:r>
              <w:rPr>
                <w:rFonts w:ascii="宋体" w:hAnsi="宋体" w:eastAsia="宋体"/>
                <w:color w:val="auto"/>
                <w:sz w:val="16"/>
              </w:rPr>
              <w:br/>
            </w:r>
            <w:r>
              <w:rPr>
                <w:rFonts w:ascii="宋体" w:hAnsi="宋体" w:eastAsia="宋体"/>
                <w:color w:val="auto"/>
                <w:sz w:val="16"/>
              </w:rPr>
              <w:t xml:space="preserve">3. 性能：采用合格铜导体，绝缘层和外护套应连续完整，具备耐磨、耐老化和阻燃性能；导体截面积不得低于标称值。</w:t>
            </w:r>
            <w:r>
              <w:rPr>
                <w:rFonts w:ascii="宋体" w:hAnsi="宋体" w:eastAsia="宋体"/>
                <w:color w:val="auto"/>
                <w:sz w:val="16"/>
              </w:rPr>
              <w:br/>
            </w:r>
            <w:r>
              <w:rPr>
                <w:rFonts w:ascii="宋体" w:hAnsi="宋体" w:eastAsia="宋体"/>
                <w:color w:val="auto"/>
                <w:sz w:val="16"/>
              </w:rPr>
              <w:t xml:space="preserve">4. 安装验收：相线、零线和保护接地线应按规范区分颜色，穿管或桥架敷设，完成绝缘电阻、接地连续性和通电测试。</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46</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配线</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RVV2*1.0</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13</w:t>
            </w:r>
            <w:r>
              <w:rPr>
                <w:rFonts w:hint="eastAsia" w:ascii="宋体" w:hAnsi="宋体" w:eastAsia="宋体"/>
                <w:color w:val="auto"/>
                <w:sz w:val="16"/>
              </w:rPr>
              <w:t xml:space="preserve">9</w:t>
            </w:r>
            <w:r/>
          </w:p>
        </w:tc>
        <w:tc>
          <w:tcPr>
            <w:tcMar>
              <w:left w:w="90" w:type="dxa"/>
              <w:top w:w="70" w:type="dxa"/>
              <w:right w:w="90" w:type="dxa"/>
              <w:bottom w:w="70" w:type="dxa"/>
            </w:tcMar>
            <w:tcW w:w="7717" w:type="dxa"/>
            <w:vAlign w:val="center"/>
            <w:textDirection w:val="lrTb"/>
            <w:noWrap w:val="false"/>
          </w:tcPr>
          <w:p>
            <w:pPr>
              <w:jc w:val="left"/>
              <w:rPr>
                <w:color w:val="auto"/>
              </w:rPr>
            </w:pPr>
            <w:r>
              <w:rPr>
                <w:rFonts w:ascii="宋体" w:hAnsi="宋体" w:eastAsia="宋体"/>
                <w:color w:val="auto"/>
                <w:sz w:val="16"/>
              </w:rPr>
              <w:t xml:space="preserve">1. 规格：RVV 2×1.0mm²两芯软铜导体护套线，线芯截面积及绝缘护套结构应符合国家现行标准。</w:t>
            </w:r>
            <w:r>
              <w:rPr>
                <w:rFonts w:ascii="宋体" w:hAnsi="宋体" w:eastAsia="宋体"/>
                <w:color w:val="auto"/>
                <w:sz w:val="16"/>
              </w:rPr>
              <w:br/>
            </w:r>
            <w:r>
              <w:rPr>
                <w:rFonts w:ascii="宋体" w:hAnsi="宋体" w:eastAsia="宋体"/>
                <w:color w:val="auto"/>
                <w:sz w:val="16"/>
              </w:rPr>
              <w:t xml:space="preserve">2. 用途：用于传感器、声光告警、门磁或设备启停状态采集等低压供电及开关量控制回路。</w:t>
            </w:r>
            <w:r>
              <w:rPr>
                <w:rFonts w:ascii="宋体" w:hAnsi="宋体" w:eastAsia="宋体"/>
                <w:color w:val="auto"/>
                <w:sz w:val="16"/>
              </w:rPr>
              <w:br/>
            </w:r>
            <w:r>
              <w:rPr>
                <w:rFonts w:ascii="宋体" w:hAnsi="宋体" w:eastAsia="宋体"/>
                <w:color w:val="auto"/>
                <w:sz w:val="16"/>
              </w:rPr>
              <w:t xml:space="preserve">3. 性能：线缆应具有良好柔韧性和抗机械损伤能力，适合管内、线槽及设备内部敷设；阻燃等级满足现场设计要求。</w:t>
            </w:r>
            <w:r>
              <w:rPr>
                <w:rFonts w:ascii="宋体" w:hAnsi="宋体" w:eastAsia="宋体"/>
                <w:color w:val="auto"/>
                <w:sz w:val="16"/>
              </w:rPr>
              <w:br/>
            </w:r>
            <w:r>
              <w:rPr>
                <w:rFonts w:ascii="宋体" w:hAnsi="宋体" w:eastAsia="宋体"/>
                <w:color w:val="auto"/>
                <w:sz w:val="16"/>
              </w:rPr>
              <w:t xml:space="preserve">4. 安装验收：不同电压等级和功能回路应分开标识，完成极性、导通、绝缘及实际负载运行测试。</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47</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电力电缆</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HYV-4*0.5</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73</w:t>
            </w:r>
            <w:r>
              <w:rPr>
                <w:rFonts w:hint="eastAsia" w:ascii="宋体" w:hAnsi="宋体" w:eastAsia="宋体"/>
                <w:color w:val="auto"/>
                <w:sz w:val="16"/>
              </w:rPr>
              <w:t xml:space="preserve">6</w:t>
            </w:r>
            <w:r/>
          </w:p>
        </w:tc>
        <w:tc>
          <w:tcPr>
            <w:tcMar>
              <w:left w:w="90" w:type="dxa"/>
              <w:top w:w="70" w:type="dxa"/>
              <w:right w:w="90" w:type="dxa"/>
              <w:bottom w:w="70" w:type="dxa"/>
            </w:tcMar>
            <w:tcW w:w="7717" w:type="dxa"/>
            <w:vAlign w:val="center"/>
            <w:textDirection w:val="lrTb"/>
            <w:noWrap w:val="false"/>
          </w:tcPr>
          <w:p>
            <w:pPr>
              <w:jc w:val="left"/>
              <w:rPr>
                <w:color w:val="auto"/>
              </w:rPr>
            </w:pPr>
            <w:r>
              <w:rPr>
                <w:rFonts w:ascii="宋体" w:hAnsi="宋体" w:eastAsia="宋体"/>
                <w:color w:val="auto"/>
                <w:sz w:val="16"/>
              </w:rPr>
              <w:t xml:space="preserve">1. 规格：HYV 4×0.5mm铜芯通信线缆，采用适用于语音通信的绝缘及护套结构，芯线色谱清晰。</w:t>
            </w:r>
            <w:r>
              <w:rPr>
                <w:rFonts w:ascii="宋体" w:hAnsi="宋体" w:eastAsia="宋体"/>
                <w:color w:val="auto"/>
                <w:sz w:val="16"/>
              </w:rPr>
              <w:br/>
            </w:r>
            <w:r>
              <w:rPr>
                <w:rFonts w:ascii="宋体" w:hAnsi="宋体" w:eastAsia="宋体"/>
                <w:color w:val="auto"/>
                <w:sz w:val="16"/>
              </w:rPr>
              <w:t xml:space="preserve">2. 用途：用于实验室电话、值班通信及相关语音信息点位的线路连接。</w:t>
            </w:r>
            <w:r>
              <w:rPr>
                <w:rFonts w:ascii="宋体" w:hAnsi="宋体" w:eastAsia="宋体"/>
                <w:color w:val="auto"/>
                <w:sz w:val="16"/>
              </w:rPr>
              <w:br/>
            </w:r>
            <w:r>
              <w:rPr>
                <w:rFonts w:ascii="宋体" w:hAnsi="宋体" w:eastAsia="宋体"/>
                <w:color w:val="auto"/>
                <w:sz w:val="16"/>
              </w:rPr>
              <w:t xml:space="preserve">3. 性能：导体线径、绝缘电阻、线对直流电阻及护套机械性能应满足室内通信线路稳定传输要求。</w:t>
            </w:r>
            <w:r>
              <w:rPr>
                <w:rFonts w:ascii="宋体" w:hAnsi="宋体" w:eastAsia="宋体"/>
                <w:color w:val="auto"/>
                <w:sz w:val="16"/>
              </w:rPr>
              <w:br/>
            </w:r>
            <w:r>
              <w:rPr>
                <w:rFonts w:ascii="宋体" w:hAnsi="宋体" w:eastAsia="宋体"/>
                <w:color w:val="auto"/>
                <w:sz w:val="16"/>
              </w:rPr>
              <w:t xml:space="preserve">4. 安装验收：与电力线路保持安全间距，端接处设置编号标签，完成线序、通断、绝缘和语音通信测试。</w:t>
            </w:r>
            <w:r/>
          </w:p>
        </w:tc>
      </w:tr>
    </w:tbl>
    <w:p>
      <w:pPr>
        <w:rPr>
          <w:color w:val="auto"/>
        </w:rPr>
      </w:pPr>
      <w:r>
        <w:rPr>
          <w:color w:val="auto"/>
        </w:rPr>
        <w:br w:type="page" w:clear="all"/>
      </w:r>
      <w:r/>
    </w:p>
    <w:tbl>
      <w:tblPr>
        <w:tblStyle w:val="773"/>
        <w:tblW w:w="15610"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108" w:type="dxa"/>
          <w:top w:w="0" w:type="dxa"/>
          <w:right w:w="108" w:type="dxa"/>
          <w:bottom w:w="0" w:type="dxa"/>
        </w:tblCellMar>
        <w:tblLook w:val="04A0" w:firstRow="1" w:lastRow="0" w:firstColumn="1" w:lastColumn="0" w:noHBand="0" w:noVBand="1"/>
      </w:tblPr>
      <w:tblGrid>
        <w:gridCol w:w="520"/>
        <w:gridCol w:w="1515"/>
        <w:gridCol w:w="1626"/>
        <w:gridCol w:w="2476"/>
        <w:gridCol w:w="873"/>
        <w:gridCol w:w="883"/>
        <w:gridCol w:w="7717"/>
      </w:tblGrid>
      <w:tr>
        <w:trPr>
          <w:cantSplit/>
          <w:jc w:val="center"/>
          <w:tblHeader/>
        </w:trPr>
        <w:tc>
          <w:tcPr>
            <w:shd w:val="clear" w:color="auto" w:fill="f2f2f2"/>
            <w:tcMar>
              <w:left w:w="90" w:type="dxa"/>
              <w:top w:w="70" w:type="dxa"/>
              <w:right w:w="90" w:type="dxa"/>
              <w:bottom w:w="70" w:type="dxa"/>
            </w:tcMar>
            <w:tcW w:w="520" w:type="dxa"/>
            <w:vAlign w:val="center"/>
            <w:textDirection w:val="lrTb"/>
            <w:noWrap w:val="false"/>
          </w:tcPr>
          <w:p>
            <w:pPr>
              <w:jc w:val="center"/>
              <w:spacing w:line="259" w:lineRule="auto"/>
              <w:rPr>
                <w:color w:val="auto"/>
              </w:rPr>
            </w:pPr>
            <w:r>
              <w:rPr>
                <w:b/>
                <w:color w:val="auto"/>
                <w:sz w:val="18"/>
              </w:rPr>
              <w:t xml:space="preserve">序号</w:t>
            </w:r>
            <w:r/>
          </w:p>
        </w:tc>
        <w:tc>
          <w:tcPr>
            <w:shd w:val="clear" w:color="auto" w:fill="f2f2f2"/>
            <w:tcMar>
              <w:left w:w="90" w:type="dxa"/>
              <w:top w:w="70" w:type="dxa"/>
              <w:right w:w="90" w:type="dxa"/>
              <w:bottom w:w="70" w:type="dxa"/>
            </w:tcMar>
            <w:tcW w:w="1515" w:type="dxa"/>
            <w:vAlign w:val="center"/>
            <w:textDirection w:val="lrTb"/>
            <w:noWrap w:val="false"/>
          </w:tcPr>
          <w:p>
            <w:pPr>
              <w:jc w:val="center"/>
              <w:spacing w:line="259" w:lineRule="auto"/>
              <w:rPr>
                <w:color w:val="auto"/>
              </w:rPr>
            </w:pPr>
            <w:r>
              <w:rPr>
                <w:b/>
                <w:color w:val="auto"/>
                <w:sz w:val="18"/>
              </w:rPr>
              <w:t xml:space="preserve">所属系统/用途</w:t>
            </w:r>
            <w:r/>
          </w:p>
        </w:tc>
        <w:tc>
          <w:tcPr>
            <w:shd w:val="clear" w:color="auto" w:fill="f2f2f2"/>
            <w:tcMar>
              <w:left w:w="90" w:type="dxa"/>
              <w:top w:w="70" w:type="dxa"/>
              <w:right w:w="90" w:type="dxa"/>
              <w:bottom w:w="70" w:type="dxa"/>
            </w:tcMar>
            <w:tcW w:w="1626" w:type="dxa"/>
            <w:vAlign w:val="center"/>
            <w:textDirection w:val="lrTb"/>
            <w:noWrap w:val="false"/>
          </w:tcPr>
          <w:p>
            <w:pPr>
              <w:jc w:val="center"/>
              <w:spacing w:line="259" w:lineRule="auto"/>
              <w:rPr>
                <w:color w:val="auto"/>
              </w:rPr>
            </w:pPr>
            <w:r>
              <w:rPr>
                <w:b/>
                <w:color w:val="auto"/>
                <w:sz w:val="18"/>
              </w:rPr>
              <w:t xml:space="preserve">分类</w:t>
            </w:r>
            <w:r/>
          </w:p>
        </w:tc>
        <w:tc>
          <w:tcPr>
            <w:shd w:val="clear" w:color="auto" w:fill="f2f2f2"/>
            <w:tcMar>
              <w:left w:w="90" w:type="dxa"/>
              <w:top w:w="70" w:type="dxa"/>
              <w:right w:w="90" w:type="dxa"/>
              <w:bottom w:w="70" w:type="dxa"/>
            </w:tcMar>
            <w:tcW w:w="2476" w:type="dxa"/>
            <w:vAlign w:val="center"/>
            <w:textDirection w:val="lrTb"/>
            <w:noWrap w:val="false"/>
          </w:tcPr>
          <w:p>
            <w:pPr>
              <w:jc w:val="center"/>
              <w:spacing w:line="259" w:lineRule="auto"/>
              <w:rPr>
                <w:color w:val="auto"/>
              </w:rPr>
            </w:pPr>
            <w:r>
              <w:rPr>
                <w:b/>
                <w:color w:val="auto"/>
                <w:sz w:val="18"/>
              </w:rPr>
              <w:t xml:space="preserve">设备名称</w:t>
            </w:r>
            <w:r/>
          </w:p>
        </w:tc>
        <w:tc>
          <w:tcPr>
            <w:shd w:val="clear" w:color="auto" w:fill="f2f2f2"/>
            <w:tcMar>
              <w:left w:w="90" w:type="dxa"/>
              <w:top w:w="70" w:type="dxa"/>
              <w:right w:w="90" w:type="dxa"/>
              <w:bottom w:w="70" w:type="dxa"/>
            </w:tcMar>
            <w:tcW w:w="873" w:type="dxa"/>
            <w:vAlign w:val="center"/>
            <w:textDirection w:val="lrTb"/>
            <w:noWrap w:val="false"/>
          </w:tcPr>
          <w:p>
            <w:pPr>
              <w:jc w:val="center"/>
              <w:spacing w:line="259" w:lineRule="auto"/>
              <w:rPr>
                <w:color w:val="auto"/>
              </w:rPr>
            </w:pPr>
            <w:r>
              <w:rPr>
                <w:b/>
                <w:color w:val="auto"/>
                <w:sz w:val="18"/>
              </w:rPr>
              <w:t xml:space="preserve">单位</w:t>
            </w:r>
            <w:r/>
          </w:p>
        </w:tc>
        <w:tc>
          <w:tcPr>
            <w:shd w:val="clear" w:color="auto" w:fill="f2f2f2"/>
            <w:tcMar>
              <w:left w:w="90" w:type="dxa"/>
              <w:top w:w="70" w:type="dxa"/>
              <w:right w:w="90" w:type="dxa"/>
              <w:bottom w:w="70" w:type="dxa"/>
            </w:tcMar>
            <w:tcW w:w="883" w:type="dxa"/>
            <w:vAlign w:val="center"/>
            <w:textDirection w:val="lrTb"/>
            <w:noWrap w:val="false"/>
          </w:tcPr>
          <w:p>
            <w:pPr>
              <w:jc w:val="center"/>
              <w:spacing w:line="259" w:lineRule="auto"/>
              <w:rPr>
                <w:color w:val="auto"/>
              </w:rPr>
            </w:pPr>
            <w:r>
              <w:rPr>
                <w:b/>
                <w:color w:val="auto"/>
                <w:sz w:val="18"/>
              </w:rPr>
              <w:t xml:space="preserve">数量</w:t>
            </w:r>
            <w:r/>
          </w:p>
        </w:tc>
        <w:tc>
          <w:tcPr>
            <w:shd w:val="clear" w:color="auto" w:fill="f2f2f2"/>
            <w:tcMar>
              <w:left w:w="90" w:type="dxa"/>
              <w:top w:w="70" w:type="dxa"/>
              <w:right w:w="90" w:type="dxa"/>
              <w:bottom w:w="70" w:type="dxa"/>
            </w:tcMar>
            <w:tcW w:w="7717" w:type="dxa"/>
            <w:vAlign w:val="center"/>
            <w:textDirection w:val="lrTb"/>
            <w:noWrap w:val="false"/>
          </w:tcPr>
          <w:p>
            <w:pPr>
              <w:jc w:val="center"/>
              <w:spacing w:line="259" w:lineRule="auto"/>
              <w:rPr>
                <w:color w:val="auto"/>
              </w:rPr>
            </w:pPr>
            <w:r>
              <w:rPr>
                <w:b/>
                <w:color w:val="auto"/>
                <w:sz w:val="18"/>
              </w:rPr>
              <w:t xml:space="preserve">技术参数/指标要求</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48</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双绞线缆</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CAT6-UTP-4P</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510</w:t>
            </w:r>
            <w:r>
              <w:rPr>
                <w:rFonts w:hint="eastAsia" w:ascii="宋体" w:hAnsi="宋体" w:eastAsia="宋体"/>
                <w:color w:val="auto"/>
                <w:sz w:val="16"/>
              </w:rPr>
              <w:t xml:space="preserve">2</w:t>
            </w:r>
            <w:r/>
          </w:p>
        </w:tc>
        <w:tc>
          <w:tcPr>
            <w:tcMar>
              <w:left w:w="90" w:type="dxa"/>
              <w:top w:w="70" w:type="dxa"/>
              <w:right w:w="90" w:type="dxa"/>
              <w:bottom w:w="70" w:type="dxa"/>
            </w:tcMar>
            <w:tcW w:w="7717" w:type="dxa"/>
            <w:vAlign w:val="center"/>
            <w:textDirection w:val="lrTb"/>
            <w:noWrap w:val="false"/>
          </w:tcPr>
          <w:p>
            <w:pPr>
              <w:jc w:val="left"/>
              <w:rPr>
                <w:color w:val="auto"/>
              </w:rPr>
            </w:pPr>
            <w:r>
              <w:rPr>
                <w:rFonts w:ascii="宋体" w:hAnsi="宋体" w:eastAsia="宋体"/>
                <w:color w:val="auto"/>
                <w:sz w:val="16"/>
              </w:rPr>
              <w:t xml:space="preserve">1. 规格：CAT6-UTP-4P六类非屏蔽双绞线，4对铜导体，传输带宽不低于250MHz，支持千兆以太网传输。</w:t>
            </w:r>
            <w:r>
              <w:rPr>
                <w:rFonts w:ascii="宋体" w:hAnsi="宋体" w:eastAsia="宋体"/>
                <w:color w:val="auto"/>
                <w:sz w:val="16"/>
              </w:rPr>
              <w:br/>
            </w:r>
            <w:r>
              <w:rPr>
                <w:rFonts w:ascii="宋体" w:hAnsi="宋体" w:eastAsia="宋体"/>
                <w:color w:val="auto"/>
                <w:sz w:val="16"/>
              </w:rPr>
              <w:t xml:space="preserve">2. 用途：用于LIMS办公终端、扫码及打印设备、环境监测边缘网关、网络摄像机、信息发布终端等设备的网络接入。</w:t>
            </w:r>
            <w:r>
              <w:rPr>
                <w:rFonts w:ascii="宋体" w:hAnsi="宋体" w:eastAsia="宋体"/>
                <w:color w:val="auto"/>
                <w:sz w:val="16"/>
              </w:rPr>
              <w:br/>
            </w:r>
            <w:r>
              <w:rPr>
                <w:rFonts w:ascii="宋体" w:hAnsi="宋体" w:eastAsia="宋体"/>
                <w:color w:val="auto"/>
                <w:sz w:val="16"/>
              </w:rPr>
              <w:t xml:space="preserve">3. 性能：线缆应满足六类综合布线要求，永久链路长度不超过90m，信道总长度不超过100m；护套阻燃性能满足项目现场要求。</w:t>
            </w:r>
            <w:r>
              <w:rPr>
                <w:rFonts w:ascii="宋体" w:hAnsi="宋体" w:eastAsia="宋体"/>
                <w:color w:val="auto"/>
                <w:sz w:val="16"/>
              </w:rPr>
              <w:br/>
            </w:r>
            <w:r>
              <w:rPr>
                <w:rFonts w:ascii="宋体" w:hAnsi="宋体" w:eastAsia="宋体"/>
                <w:color w:val="auto"/>
                <w:sz w:val="16"/>
              </w:rPr>
              <w:t xml:space="preserve">4. 安装验收：按信息点统一编号并与配线端口对应，敷设中不得出现硬折、破损或中间接头，完成六类永久链路测试并提供测试记录。</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49</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双绞线缆</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HDMI线</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14</w:t>
            </w:r>
            <w:r>
              <w:rPr>
                <w:rFonts w:hint="eastAsia" w:ascii="宋体" w:hAnsi="宋体" w:eastAsia="宋体"/>
                <w:color w:val="auto"/>
                <w:sz w:val="16"/>
              </w:rPr>
              <w:t xml:space="preserve">6</w:t>
            </w:r>
            <w:r/>
          </w:p>
        </w:tc>
        <w:tc>
          <w:tcPr>
            <w:tcMar>
              <w:left w:w="90" w:type="dxa"/>
              <w:top w:w="70" w:type="dxa"/>
              <w:right w:w="90" w:type="dxa"/>
              <w:bottom w:w="70" w:type="dxa"/>
            </w:tcMar>
            <w:tcW w:w="7717" w:type="dxa"/>
            <w:vAlign w:val="center"/>
            <w:textDirection w:val="lrTb"/>
            <w:noWrap w:val="false"/>
          </w:tcPr>
          <w:p>
            <w:pPr>
              <w:jc w:val="left"/>
              <w:rPr>
                <w:color w:val="auto"/>
              </w:rPr>
            </w:pPr>
            <w:r>
              <w:rPr>
                <w:rFonts w:ascii="宋体" w:hAnsi="宋体" w:eastAsia="宋体"/>
                <w:color w:val="auto"/>
                <w:sz w:val="16"/>
              </w:rPr>
              <w:t xml:space="preserve">1. 规格：高清数字音视频传输线，接口兼容HDMI 2.0或以上标准，支持不低于3840×2160分辨率的视频及音频同步传输。</w:t>
            </w:r>
            <w:r>
              <w:rPr>
                <w:rFonts w:ascii="宋体" w:hAnsi="宋体" w:eastAsia="宋体"/>
                <w:color w:val="auto"/>
                <w:sz w:val="16"/>
              </w:rPr>
              <w:br/>
            </w:r>
            <w:r>
              <w:rPr>
                <w:rFonts w:ascii="宋体" w:hAnsi="宋体" w:eastAsia="宋体"/>
                <w:color w:val="auto"/>
                <w:sz w:val="16"/>
              </w:rPr>
              <w:t xml:space="preserve">2. 用途：用于视频监控管理终端、录像设备、解码设备及综合信息发布终端之间的高清信号连接。</w:t>
            </w:r>
            <w:r>
              <w:rPr>
                <w:rFonts w:ascii="宋体" w:hAnsi="宋体" w:eastAsia="宋体"/>
                <w:color w:val="auto"/>
                <w:sz w:val="16"/>
              </w:rPr>
              <w:br/>
            </w:r>
            <w:r>
              <w:rPr>
                <w:rFonts w:ascii="宋体" w:hAnsi="宋体" w:eastAsia="宋体"/>
                <w:color w:val="auto"/>
                <w:sz w:val="16"/>
              </w:rPr>
              <w:t xml:space="preserve">3. 适配：应根据现场单段传输距离配置普通铜缆、带放大组件线缆或光纤型高清传输线，长距离链路不得采用非标准拼接方式。</w:t>
            </w:r>
            <w:r>
              <w:rPr>
                <w:rFonts w:ascii="宋体" w:hAnsi="宋体" w:eastAsia="宋体"/>
                <w:color w:val="auto"/>
                <w:sz w:val="16"/>
              </w:rPr>
              <w:br/>
            </w:r>
            <w:r>
              <w:rPr>
                <w:rFonts w:ascii="宋体" w:hAnsi="宋体" w:eastAsia="宋体"/>
                <w:color w:val="auto"/>
                <w:sz w:val="16"/>
              </w:rPr>
              <w:t xml:space="preserve">4. 安装验收：接口应插接牢固并具备必要的抗拉保护，完成分辨率、画面稳定性、音视频同步及连续运行测试。</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50</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双绞线缆</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UTP-6</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154</w:t>
            </w:r>
            <w:r>
              <w:rPr>
                <w:rFonts w:hint="eastAsia" w:ascii="宋体" w:hAnsi="宋体" w:eastAsia="宋体"/>
                <w:color w:val="auto"/>
                <w:sz w:val="16"/>
              </w:rPr>
              <w:t xml:space="preserve">7</w:t>
            </w:r>
            <w:r/>
          </w:p>
        </w:tc>
        <w:tc>
          <w:tcPr>
            <w:tcMar>
              <w:left w:w="90" w:type="dxa"/>
              <w:top w:w="70" w:type="dxa"/>
              <w:right w:w="90" w:type="dxa"/>
              <w:bottom w:w="70" w:type="dxa"/>
            </w:tcMar>
            <w:tcW w:w="7717" w:type="dxa"/>
            <w:vAlign w:val="center"/>
            <w:textDirection w:val="lrTb"/>
            <w:noWrap w:val="false"/>
          </w:tcPr>
          <w:p>
            <w:pPr>
              <w:jc w:val="left"/>
              <w:rPr>
                <w:color w:val="auto"/>
              </w:rPr>
            </w:pPr>
            <w:r>
              <w:rPr>
                <w:rFonts w:ascii="宋体" w:hAnsi="宋体" w:eastAsia="宋体"/>
                <w:color w:val="auto"/>
                <w:sz w:val="16"/>
              </w:rPr>
              <w:t xml:space="preserve">1. 规格：UTP-6六类非屏蔽双绞线，4对铜导体，传输带宽不低于250MHz，支持10/100/1000Mbps网络接入。</w:t>
            </w:r>
            <w:r>
              <w:rPr>
                <w:rFonts w:ascii="宋体" w:hAnsi="宋体" w:eastAsia="宋体"/>
                <w:color w:val="auto"/>
                <w:sz w:val="16"/>
              </w:rPr>
              <w:br/>
            </w:r>
            <w:r>
              <w:rPr>
                <w:rFonts w:ascii="宋体" w:hAnsi="宋体" w:eastAsia="宋体"/>
                <w:color w:val="auto"/>
                <w:sz w:val="16"/>
              </w:rPr>
              <w:t xml:space="preserve">2. 用途：用于实验室信息点、LIMS业务终端、设备联网接口、环境监测网关及视频监控点位的水平布线。</w:t>
            </w:r>
            <w:r>
              <w:rPr>
                <w:rFonts w:ascii="宋体" w:hAnsi="宋体" w:eastAsia="宋体"/>
                <w:color w:val="auto"/>
                <w:sz w:val="16"/>
              </w:rPr>
              <w:br/>
            </w:r>
            <w:r>
              <w:rPr>
                <w:rFonts w:ascii="宋体" w:hAnsi="宋体" w:eastAsia="宋体"/>
                <w:color w:val="auto"/>
                <w:sz w:val="16"/>
              </w:rPr>
              <w:t xml:space="preserve">3. 性能：线缆、模块、配线架和跳线应采用同等级部件组成完整六类链路，线缆护套及阻燃性能满足室内工程使用要求。</w:t>
            </w:r>
            <w:r>
              <w:rPr>
                <w:rFonts w:ascii="宋体" w:hAnsi="宋体" w:eastAsia="宋体"/>
                <w:color w:val="auto"/>
                <w:sz w:val="16"/>
              </w:rPr>
              <w:br/>
            </w:r>
            <w:r>
              <w:rPr>
                <w:rFonts w:ascii="宋体" w:hAnsi="宋体" w:eastAsia="宋体"/>
                <w:color w:val="auto"/>
                <w:sz w:val="16"/>
              </w:rPr>
              <w:t xml:space="preserve">4. 安装验收：布线应路径清晰、绑扎适度、两端标识一致，完成长度、接线图、回波损耗、近端串扰等永久链路测试。</w:t>
            </w:r>
            <w:r/>
          </w:p>
        </w:tc>
      </w:tr>
    </w:tbl>
    <w:p>
      <w:pPr>
        <w:rPr>
          <w:color w:val="auto"/>
        </w:rPr>
      </w:pPr>
      <w:r>
        <w:rPr>
          <w:color w:val="auto"/>
        </w:rPr>
        <w:br w:type="page" w:clear="all"/>
      </w:r>
      <w:r/>
    </w:p>
    <w:tbl>
      <w:tblPr>
        <w:tblStyle w:val="773"/>
        <w:tblW w:w="15610"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108" w:type="dxa"/>
          <w:top w:w="0" w:type="dxa"/>
          <w:right w:w="108" w:type="dxa"/>
          <w:bottom w:w="0" w:type="dxa"/>
        </w:tblCellMar>
        <w:tblLook w:val="04A0" w:firstRow="1" w:lastRow="0" w:firstColumn="1" w:lastColumn="0" w:noHBand="0" w:noVBand="1"/>
      </w:tblPr>
      <w:tblGrid>
        <w:gridCol w:w="520"/>
        <w:gridCol w:w="1515"/>
        <w:gridCol w:w="1626"/>
        <w:gridCol w:w="2476"/>
        <w:gridCol w:w="873"/>
        <w:gridCol w:w="883"/>
        <w:gridCol w:w="7717"/>
      </w:tblGrid>
      <w:tr>
        <w:trPr>
          <w:cantSplit/>
          <w:jc w:val="center"/>
          <w:tblHeader/>
        </w:trPr>
        <w:tc>
          <w:tcPr>
            <w:shd w:val="clear" w:color="auto" w:fill="f2f2f2"/>
            <w:tcMar>
              <w:left w:w="90" w:type="dxa"/>
              <w:top w:w="70" w:type="dxa"/>
              <w:right w:w="90" w:type="dxa"/>
              <w:bottom w:w="70" w:type="dxa"/>
            </w:tcMar>
            <w:tcW w:w="520" w:type="dxa"/>
            <w:vAlign w:val="center"/>
            <w:textDirection w:val="lrTb"/>
            <w:noWrap w:val="false"/>
          </w:tcPr>
          <w:p>
            <w:pPr>
              <w:jc w:val="center"/>
              <w:spacing w:line="259" w:lineRule="auto"/>
              <w:rPr>
                <w:color w:val="auto"/>
              </w:rPr>
            </w:pPr>
            <w:r>
              <w:rPr>
                <w:b/>
                <w:color w:val="auto"/>
                <w:sz w:val="18"/>
              </w:rPr>
              <w:t xml:space="preserve">序号</w:t>
            </w:r>
            <w:r/>
          </w:p>
        </w:tc>
        <w:tc>
          <w:tcPr>
            <w:shd w:val="clear" w:color="auto" w:fill="f2f2f2"/>
            <w:tcMar>
              <w:left w:w="90" w:type="dxa"/>
              <w:top w:w="70" w:type="dxa"/>
              <w:right w:w="90" w:type="dxa"/>
              <w:bottom w:w="70" w:type="dxa"/>
            </w:tcMar>
            <w:tcW w:w="1515" w:type="dxa"/>
            <w:vAlign w:val="center"/>
            <w:textDirection w:val="lrTb"/>
            <w:noWrap w:val="false"/>
          </w:tcPr>
          <w:p>
            <w:pPr>
              <w:jc w:val="center"/>
              <w:spacing w:line="259" w:lineRule="auto"/>
              <w:rPr>
                <w:color w:val="auto"/>
              </w:rPr>
            </w:pPr>
            <w:r>
              <w:rPr>
                <w:b/>
                <w:color w:val="auto"/>
                <w:sz w:val="18"/>
              </w:rPr>
              <w:t xml:space="preserve">所属系统/用途</w:t>
            </w:r>
            <w:r/>
          </w:p>
        </w:tc>
        <w:tc>
          <w:tcPr>
            <w:shd w:val="clear" w:color="auto" w:fill="f2f2f2"/>
            <w:tcMar>
              <w:left w:w="90" w:type="dxa"/>
              <w:top w:w="70" w:type="dxa"/>
              <w:right w:w="90" w:type="dxa"/>
              <w:bottom w:w="70" w:type="dxa"/>
            </w:tcMar>
            <w:tcW w:w="1626" w:type="dxa"/>
            <w:vAlign w:val="center"/>
            <w:textDirection w:val="lrTb"/>
            <w:noWrap w:val="false"/>
          </w:tcPr>
          <w:p>
            <w:pPr>
              <w:jc w:val="center"/>
              <w:spacing w:line="259" w:lineRule="auto"/>
              <w:rPr>
                <w:color w:val="auto"/>
              </w:rPr>
            </w:pPr>
            <w:r>
              <w:rPr>
                <w:b/>
                <w:color w:val="auto"/>
                <w:sz w:val="18"/>
              </w:rPr>
              <w:t xml:space="preserve">分类</w:t>
            </w:r>
            <w:r/>
          </w:p>
        </w:tc>
        <w:tc>
          <w:tcPr>
            <w:shd w:val="clear" w:color="auto" w:fill="f2f2f2"/>
            <w:tcMar>
              <w:left w:w="90" w:type="dxa"/>
              <w:top w:w="70" w:type="dxa"/>
              <w:right w:w="90" w:type="dxa"/>
              <w:bottom w:w="70" w:type="dxa"/>
            </w:tcMar>
            <w:tcW w:w="2476" w:type="dxa"/>
            <w:vAlign w:val="center"/>
            <w:textDirection w:val="lrTb"/>
            <w:noWrap w:val="false"/>
          </w:tcPr>
          <w:p>
            <w:pPr>
              <w:jc w:val="center"/>
              <w:spacing w:line="259" w:lineRule="auto"/>
              <w:rPr>
                <w:color w:val="auto"/>
              </w:rPr>
            </w:pPr>
            <w:r>
              <w:rPr>
                <w:b/>
                <w:color w:val="auto"/>
                <w:sz w:val="18"/>
              </w:rPr>
              <w:t xml:space="preserve">设备名称</w:t>
            </w:r>
            <w:r/>
          </w:p>
        </w:tc>
        <w:tc>
          <w:tcPr>
            <w:shd w:val="clear" w:color="auto" w:fill="f2f2f2"/>
            <w:tcMar>
              <w:left w:w="90" w:type="dxa"/>
              <w:top w:w="70" w:type="dxa"/>
              <w:right w:w="90" w:type="dxa"/>
              <w:bottom w:w="70" w:type="dxa"/>
            </w:tcMar>
            <w:tcW w:w="873" w:type="dxa"/>
            <w:vAlign w:val="center"/>
            <w:textDirection w:val="lrTb"/>
            <w:noWrap w:val="false"/>
          </w:tcPr>
          <w:p>
            <w:pPr>
              <w:jc w:val="center"/>
              <w:spacing w:line="259" w:lineRule="auto"/>
              <w:rPr>
                <w:color w:val="auto"/>
              </w:rPr>
            </w:pPr>
            <w:r>
              <w:rPr>
                <w:b/>
                <w:color w:val="auto"/>
                <w:sz w:val="18"/>
              </w:rPr>
              <w:t xml:space="preserve">单位</w:t>
            </w:r>
            <w:r/>
          </w:p>
        </w:tc>
        <w:tc>
          <w:tcPr>
            <w:shd w:val="clear" w:color="auto" w:fill="f2f2f2"/>
            <w:tcMar>
              <w:left w:w="90" w:type="dxa"/>
              <w:top w:w="70" w:type="dxa"/>
              <w:right w:w="90" w:type="dxa"/>
              <w:bottom w:w="70" w:type="dxa"/>
            </w:tcMar>
            <w:tcW w:w="883" w:type="dxa"/>
            <w:vAlign w:val="center"/>
            <w:textDirection w:val="lrTb"/>
            <w:noWrap w:val="false"/>
          </w:tcPr>
          <w:p>
            <w:pPr>
              <w:jc w:val="center"/>
              <w:spacing w:line="259" w:lineRule="auto"/>
              <w:rPr>
                <w:color w:val="auto"/>
              </w:rPr>
            </w:pPr>
            <w:r>
              <w:rPr>
                <w:b/>
                <w:color w:val="auto"/>
                <w:sz w:val="18"/>
              </w:rPr>
              <w:t xml:space="preserve">数量</w:t>
            </w:r>
            <w:r/>
          </w:p>
        </w:tc>
        <w:tc>
          <w:tcPr>
            <w:shd w:val="clear" w:color="auto" w:fill="f2f2f2"/>
            <w:tcMar>
              <w:left w:w="90" w:type="dxa"/>
              <w:top w:w="70" w:type="dxa"/>
              <w:right w:w="90" w:type="dxa"/>
              <w:bottom w:w="70" w:type="dxa"/>
            </w:tcMar>
            <w:tcW w:w="7717" w:type="dxa"/>
            <w:vAlign w:val="center"/>
            <w:textDirection w:val="lrTb"/>
            <w:noWrap w:val="false"/>
          </w:tcPr>
          <w:p>
            <w:pPr>
              <w:jc w:val="center"/>
              <w:spacing w:line="259" w:lineRule="auto"/>
              <w:rPr>
                <w:color w:val="auto"/>
              </w:rPr>
            </w:pPr>
            <w:r>
              <w:rPr>
                <w:b/>
                <w:color w:val="auto"/>
                <w:sz w:val="18"/>
              </w:rPr>
              <w:t xml:space="preserve">技术参数/指标要求</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51</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双绞线缆</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UTP-CAT5-25*2*0.5</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3</w:t>
            </w:r>
            <w:r>
              <w:rPr>
                <w:rFonts w:hint="eastAsia" w:ascii="宋体" w:hAnsi="宋体" w:eastAsia="宋体"/>
                <w:color w:val="auto"/>
                <w:sz w:val="16"/>
              </w:rPr>
              <w:t xml:space="preserve">6</w:t>
            </w:r>
            <w:r/>
          </w:p>
        </w:tc>
        <w:tc>
          <w:tcPr>
            <w:tcMar>
              <w:left w:w="90" w:type="dxa"/>
              <w:top w:w="70" w:type="dxa"/>
              <w:right w:w="90" w:type="dxa"/>
              <w:bottom w:w="70" w:type="dxa"/>
            </w:tcMar>
            <w:tcW w:w="7717" w:type="dxa"/>
            <w:vAlign w:val="center"/>
            <w:textDirection w:val="lrTb"/>
            <w:noWrap w:val="false"/>
          </w:tcPr>
          <w:p>
            <w:pPr>
              <w:jc w:val="left"/>
              <w:rPr>
                <w:color w:val="auto"/>
              </w:rPr>
            </w:pPr>
            <w:r>
              <w:rPr>
                <w:rFonts w:ascii="宋体" w:hAnsi="宋体" w:eastAsia="宋体"/>
                <w:color w:val="auto"/>
                <w:sz w:val="16"/>
              </w:rPr>
              <w:t xml:space="preserve">1. 规格：UTP-CAT5-25×2×0.5多对铜芯通信电缆，配置25对、单芯线径不低于0.5mm，线对色谱应便于识别和维护。</w:t>
            </w:r>
            <w:r>
              <w:rPr>
                <w:rFonts w:ascii="宋体" w:hAnsi="宋体" w:eastAsia="宋体"/>
                <w:color w:val="auto"/>
                <w:sz w:val="16"/>
              </w:rPr>
              <w:br/>
            </w:r>
            <w:r>
              <w:rPr>
                <w:rFonts w:ascii="宋体" w:hAnsi="宋体" w:eastAsia="宋体"/>
                <w:color w:val="auto"/>
                <w:sz w:val="16"/>
              </w:rPr>
              <w:t xml:space="preserve">2. 用途：用于实验室语音通信系统主干或集中语音信息点的多对线路连接。</w:t>
            </w:r>
            <w:r>
              <w:rPr>
                <w:rFonts w:ascii="宋体" w:hAnsi="宋体" w:eastAsia="宋体"/>
                <w:color w:val="auto"/>
                <w:sz w:val="16"/>
              </w:rPr>
              <w:br/>
            </w:r>
            <w:r>
              <w:rPr>
                <w:rFonts w:ascii="宋体" w:hAnsi="宋体" w:eastAsia="宋体"/>
                <w:color w:val="auto"/>
                <w:sz w:val="16"/>
              </w:rPr>
              <w:t xml:space="preserve">3. 性能：线对绞合、导体电阻、绝缘电阻、串音及护套机械性能应满足语音通信和低速数据传输要求。</w:t>
            </w:r>
            <w:r>
              <w:rPr>
                <w:rFonts w:ascii="宋体" w:hAnsi="宋体" w:eastAsia="宋体"/>
                <w:color w:val="auto"/>
                <w:sz w:val="16"/>
              </w:rPr>
              <w:br/>
            </w:r>
            <w:r>
              <w:rPr>
                <w:rFonts w:ascii="宋体" w:hAnsi="宋体" w:eastAsia="宋体"/>
                <w:color w:val="auto"/>
                <w:sz w:val="16"/>
              </w:rPr>
              <w:t xml:space="preserve">4. 安装验收：在配线端完成规范端接和线对编号，预留合理维护长度，完成全部线对的通断、线序及绝缘测试。</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52</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光缆</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单模光纤 8芯</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120</w:t>
            </w:r>
            <w:r/>
          </w:p>
        </w:tc>
        <w:tc>
          <w:tcPr>
            <w:tcMar>
              <w:left w:w="90" w:type="dxa"/>
              <w:top w:w="70" w:type="dxa"/>
              <w:right w:w="90" w:type="dxa"/>
              <w:bottom w:w="70" w:type="dxa"/>
            </w:tcMar>
            <w:tcW w:w="7717" w:type="dxa"/>
            <w:vAlign w:val="center"/>
            <w:textDirection w:val="lrTb"/>
            <w:noWrap w:val="false"/>
          </w:tcPr>
          <w:p>
            <w:pPr>
              <w:jc w:val="left"/>
              <w:rPr>
                <w:color w:val="auto"/>
              </w:rPr>
            </w:pPr>
            <w:r>
              <w:rPr>
                <w:rFonts w:ascii="宋体" w:hAnsi="宋体" w:eastAsia="宋体"/>
                <w:color w:val="auto"/>
                <w:sz w:val="16"/>
              </w:rPr>
              <w:t xml:space="preserve">1. 规格：8芯单模光缆，光纤类型采用G.652D/OS2或同等级单模光纤，满足千兆及万兆主干网络传输要求。</w:t>
            </w:r>
            <w:r>
              <w:rPr>
                <w:rFonts w:ascii="宋体" w:hAnsi="宋体" w:eastAsia="宋体"/>
                <w:color w:val="auto"/>
                <w:sz w:val="16"/>
              </w:rPr>
              <w:br/>
            </w:r>
            <w:r>
              <w:rPr>
                <w:rFonts w:ascii="宋体" w:hAnsi="宋体" w:eastAsia="宋体"/>
                <w:color w:val="auto"/>
                <w:sz w:val="16"/>
              </w:rPr>
              <w:t xml:space="preserve">2. 用途：用于楼层设备间、信息化运行支撑区域及主要网络节点之间的光纤主干连接。</w:t>
            </w:r>
            <w:r>
              <w:rPr>
                <w:rFonts w:ascii="宋体" w:hAnsi="宋体" w:eastAsia="宋体"/>
                <w:color w:val="auto"/>
                <w:sz w:val="16"/>
              </w:rPr>
              <w:br/>
            </w:r>
            <w:r>
              <w:rPr>
                <w:rFonts w:ascii="宋体" w:hAnsi="宋体" w:eastAsia="宋体"/>
                <w:color w:val="auto"/>
                <w:sz w:val="16"/>
              </w:rPr>
              <w:t xml:space="preserve">3. 性能：光缆应具备满足室内敷设环境的抗拉、抗弯及阻燃性能，纤芯色谱清晰，光纤衰减指标符合单模光纤相关标准。</w:t>
            </w:r>
            <w:r>
              <w:rPr>
                <w:rFonts w:ascii="宋体" w:hAnsi="宋体" w:eastAsia="宋体"/>
                <w:color w:val="auto"/>
                <w:sz w:val="16"/>
              </w:rPr>
              <w:br/>
            </w:r>
            <w:r>
              <w:rPr>
                <w:rFonts w:ascii="宋体" w:hAnsi="宋体" w:eastAsia="宋体"/>
                <w:color w:val="auto"/>
                <w:sz w:val="16"/>
              </w:rPr>
              <w:t xml:space="preserve">4. 配套验收：配套完成熔纤、尾纤、耦合器、熔纤盘及端口标识，使用光功率计或OTDR完成通断、衰减和链路质量测试。</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53</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配线</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BV-3*4</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11</w:t>
            </w:r>
            <w:r>
              <w:rPr>
                <w:rFonts w:hint="eastAsia" w:ascii="宋体" w:hAnsi="宋体" w:eastAsia="宋体"/>
                <w:color w:val="auto"/>
                <w:sz w:val="16"/>
              </w:rPr>
              <w:t xml:space="preserve">7</w:t>
            </w:r>
            <w:r/>
          </w:p>
        </w:tc>
        <w:tc>
          <w:tcPr>
            <w:tcMar>
              <w:left w:w="90" w:type="dxa"/>
              <w:top w:w="70" w:type="dxa"/>
              <w:right w:w="90" w:type="dxa"/>
              <w:bottom w:w="70" w:type="dxa"/>
            </w:tcMar>
            <w:tcW w:w="7717" w:type="dxa"/>
            <w:vAlign w:val="center"/>
            <w:textDirection w:val="lrTb"/>
            <w:noWrap w:val="false"/>
          </w:tcPr>
          <w:p>
            <w:pPr>
              <w:jc w:val="left"/>
              <w:rPr>
                <w:color w:val="auto"/>
              </w:rPr>
            </w:pPr>
            <w:r>
              <w:rPr>
                <w:rFonts w:ascii="宋体" w:hAnsi="宋体" w:eastAsia="宋体"/>
                <w:color w:val="auto"/>
                <w:sz w:val="16"/>
              </w:rPr>
              <w:t xml:space="preserve">1. 规格：BV 3×4mm²铜芯聚氯乙烯绝缘电线，由3根截面积不低于4mm²的单芯导线组成供电回路，额定电压不低于450/750V。</w:t>
            </w:r>
            <w:r>
              <w:rPr>
                <w:rFonts w:ascii="宋体" w:hAnsi="宋体" w:eastAsia="宋体"/>
                <w:color w:val="auto"/>
                <w:sz w:val="16"/>
              </w:rPr>
              <w:br/>
            </w:r>
            <w:r>
              <w:rPr>
                <w:rFonts w:ascii="宋体" w:hAnsi="宋体" w:eastAsia="宋体"/>
                <w:color w:val="auto"/>
                <w:sz w:val="16"/>
              </w:rPr>
              <w:t xml:space="preserve">2. 用途：用于信息化运行支撑设备、网络设备及相关配套设施的交流供电干线或容量较大的支路。</w:t>
            </w:r>
            <w:r>
              <w:rPr>
                <w:rFonts w:ascii="宋体" w:hAnsi="宋体" w:eastAsia="宋体"/>
                <w:color w:val="auto"/>
                <w:sz w:val="16"/>
              </w:rPr>
              <w:br/>
            </w:r>
            <w:r>
              <w:rPr>
                <w:rFonts w:ascii="宋体" w:hAnsi="宋体" w:eastAsia="宋体"/>
                <w:color w:val="auto"/>
                <w:sz w:val="16"/>
              </w:rPr>
              <w:t xml:space="preserve">3. 性能：采用符合国家标准的铜导体，绝缘层厚度、耐压、载流能力和阻燃性能满足设计负载及安全用电要求。</w:t>
            </w:r>
            <w:r>
              <w:rPr>
                <w:rFonts w:ascii="宋体" w:hAnsi="宋体" w:eastAsia="宋体"/>
                <w:color w:val="auto"/>
                <w:sz w:val="16"/>
              </w:rPr>
              <w:br/>
            </w:r>
            <w:r>
              <w:rPr>
                <w:rFonts w:ascii="宋体" w:hAnsi="宋体" w:eastAsia="宋体"/>
                <w:color w:val="auto"/>
                <w:sz w:val="16"/>
              </w:rPr>
              <w:t xml:space="preserve">4. 安装验收：应穿管或在线槽内敷设，相线、零线、保护接地线颜色区分明确，完成绝缘、接地连续性和带载测试。</w:t>
            </w:r>
            <w:r/>
          </w:p>
        </w:tc>
      </w:tr>
    </w:tbl>
    <w:p>
      <w:pPr>
        <w:rPr>
          <w:color w:val="auto"/>
        </w:rPr>
      </w:pPr>
      <w:r>
        <w:rPr>
          <w:color w:val="auto"/>
        </w:rPr>
        <w:br w:type="page" w:clear="all"/>
      </w:r>
      <w:r/>
    </w:p>
    <w:tbl>
      <w:tblPr>
        <w:tblStyle w:val="773"/>
        <w:tblW w:w="15610"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108" w:type="dxa"/>
          <w:top w:w="0" w:type="dxa"/>
          <w:right w:w="108" w:type="dxa"/>
          <w:bottom w:w="0" w:type="dxa"/>
        </w:tblCellMar>
        <w:tblLook w:val="04A0" w:firstRow="1" w:lastRow="0" w:firstColumn="1" w:lastColumn="0" w:noHBand="0" w:noVBand="1"/>
      </w:tblPr>
      <w:tblGrid>
        <w:gridCol w:w="520"/>
        <w:gridCol w:w="1515"/>
        <w:gridCol w:w="1626"/>
        <w:gridCol w:w="2476"/>
        <w:gridCol w:w="873"/>
        <w:gridCol w:w="883"/>
        <w:gridCol w:w="7717"/>
      </w:tblGrid>
      <w:tr>
        <w:trPr>
          <w:cantSplit/>
          <w:jc w:val="center"/>
          <w:tblHeader/>
        </w:trPr>
        <w:tc>
          <w:tcPr>
            <w:shd w:val="clear" w:color="auto" w:fill="f2f2f2"/>
            <w:tcMar>
              <w:left w:w="90" w:type="dxa"/>
              <w:top w:w="70" w:type="dxa"/>
              <w:right w:w="90" w:type="dxa"/>
              <w:bottom w:w="70" w:type="dxa"/>
            </w:tcMar>
            <w:tcW w:w="520" w:type="dxa"/>
            <w:vAlign w:val="center"/>
            <w:textDirection w:val="lrTb"/>
            <w:noWrap w:val="false"/>
          </w:tcPr>
          <w:p>
            <w:pPr>
              <w:jc w:val="center"/>
              <w:spacing w:line="259" w:lineRule="auto"/>
              <w:rPr>
                <w:color w:val="auto"/>
              </w:rPr>
            </w:pPr>
            <w:r>
              <w:rPr>
                <w:b/>
                <w:color w:val="auto"/>
                <w:sz w:val="18"/>
              </w:rPr>
              <w:t xml:space="preserve">序号</w:t>
            </w:r>
            <w:r/>
          </w:p>
        </w:tc>
        <w:tc>
          <w:tcPr>
            <w:shd w:val="clear" w:color="auto" w:fill="f2f2f2"/>
            <w:tcMar>
              <w:left w:w="90" w:type="dxa"/>
              <w:top w:w="70" w:type="dxa"/>
              <w:right w:w="90" w:type="dxa"/>
              <w:bottom w:w="70" w:type="dxa"/>
            </w:tcMar>
            <w:tcW w:w="1515" w:type="dxa"/>
            <w:vAlign w:val="center"/>
            <w:textDirection w:val="lrTb"/>
            <w:noWrap w:val="false"/>
          </w:tcPr>
          <w:p>
            <w:pPr>
              <w:jc w:val="center"/>
              <w:spacing w:line="259" w:lineRule="auto"/>
              <w:rPr>
                <w:color w:val="auto"/>
              </w:rPr>
            </w:pPr>
            <w:r>
              <w:rPr>
                <w:b/>
                <w:color w:val="auto"/>
                <w:sz w:val="18"/>
              </w:rPr>
              <w:t xml:space="preserve">所属系统/用途</w:t>
            </w:r>
            <w:r/>
          </w:p>
        </w:tc>
        <w:tc>
          <w:tcPr>
            <w:shd w:val="clear" w:color="auto" w:fill="f2f2f2"/>
            <w:tcMar>
              <w:left w:w="90" w:type="dxa"/>
              <w:top w:w="70" w:type="dxa"/>
              <w:right w:w="90" w:type="dxa"/>
              <w:bottom w:w="70" w:type="dxa"/>
            </w:tcMar>
            <w:tcW w:w="1626" w:type="dxa"/>
            <w:vAlign w:val="center"/>
            <w:textDirection w:val="lrTb"/>
            <w:noWrap w:val="false"/>
          </w:tcPr>
          <w:p>
            <w:pPr>
              <w:jc w:val="center"/>
              <w:spacing w:line="259" w:lineRule="auto"/>
              <w:rPr>
                <w:color w:val="auto"/>
              </w:rPr>
            </w:pPr>
            <w:r>
              <w:rPr>
                <w:b/>
                <w:color w:val="auto"/>
                <w:sz w:val="18"/>
              </w:rPr>
              <w:t xml:space="preserve">分类</w:t>
            </w:r>
            <w:r/>
          </w:p>
        </w:tc>
        <w:tc>
          <w:tcPr>
            <w:shd w:val="clear" w:color="auto" w:fill="f2f2f2"/>
            <w:tcMar>
              <w:left w:w="90" w:type="dxa"/>
              <w:top w:w="70" w:type="dxa"/>
              <w:right w:w="90" w:type="dxa"/>
              <w:bottom w:w="70" w:type="dxa"/>
            </w:tcMar>
            <w:tcW w:w="2476" w:type="dxa"/>
            <w:vAlign w:val="center"/>
            <w:textDirection w:val="lrTb"/>
            <w:noWrap w:val="false"/>
          </w:tcPr>
          <w:p>
            <w:pPr>
              <w:jc w:val="center"/>
              <w:spacing w:line="259" w:lineRule="auto"/>
              <w:rPr>
                <w:color w:val="auto"/>
              </w:rPr>
            </w:pPr>
            <w:r>
              <w:rPr>
                <w:b/>
                <w:color w:val="auto"/>
                <w:sz w:val="18"/>
              </w:rPr>
              <w:t xml:space="preserve">设备名称</w:t>
            </w:r>
            <w:r/>
          </w:p>
        </w:tc>
        <w:tc>
          <w:tcPr>
            <w:shd w:val="clear" w:color="auto" w:fill="f2f2f2"/>
            <w:tcMar>
              <w:left w:w="90" w:type="dxa"/>
              <w:top w:w="70" w:type="dxa"/>
              <w:right w:w="90" w:type="dxa"/>
              <w:bottom w:w="70" w:type="dxa"/>
            </w:tcMar>
            <w:tcW w:w="873" w:type="dxa"/>
            <w:vAlign w:val="center"/>
            <w:textDirection w:val="lrTb"/>
            <w:noWrap w:val="false"/>
          </w:tcPr>
          <w:p>
            <w:pPr>
              <w:jc w:val="center"/>
              <w:spacing w:line="259" w:lineRule="auto"/>
              <w:rPr>
                <w:color w:val="auto"/>
              </w:rPr>
            </w:pPr>
            <w:r>
              <w:rPr>
                <w:b/>
                <w:color w:val="auto"/>
                <w:sz w:val="18"/>
              </w:rPr>
              <w:t xml:space="preserve">单位</w:t>
            </w:r>
            <w:r/>
          </w:p>
        </w:tc>
        <w:tc>
          <w:tcPr>
            <w:shd w:val="clear" w:color="auto" w:fill="f2f2f2"/>
            <w:tcMar>
              <w:left w:w="90" w:type="dxa"/>
              <w:top w:w="70" w:type="dxa"/>
              <w:right w:w="90" w:type="dxa"/>
              <w:bottom w:w="70" w:type="dxa"/>
            </w:tcMar>
            <w:tcW w:w="883" w:type="dxa"/>
            <w:vAlign w:val="center"/>
            <w:textDirection w:val="lrTb"/>
            <w:noWrap w:val="false"/>
          </w:tcPr>
          <w:p>
            <w:pPr>
              <w:jc w:val="center"/>
              <w:spacing w:line="259" w:lineRule="auto"/>
              <w:rPr>
                <w:color w:val="auto"/>
              </w:rPr>
            </w:pPr>
            <w:r>
              <w:rPr>
                <w:b/>
                <w:color w:val="auto"/>
                <w:sz w:val="18"/>
              </w:rPr>
              <w:t xml:space="preserve">数量</w:t>
            </w:r>
            <w:r/>
          </w:p>
        </w:tc>
        <w:tc>
          <w:tcPr>
            <w:shd w:val="clear" w:color="auto" w:fill="f2f2f2"/>
            <w:tcMar>
              <w:left w:w="90" w:type="dxa"/>
              <w:top w:w="70" w:type="dxa"/>
              <w:right w:w="90" w:type="dxa"/>
              <w:bottom w:w="70" w:type="dxa"/>
            </w:tcMar>
            <w:tcW w:w="7717" w:type="dxa"/>
            <w:vAlign w:val="center"/>
            <w:textDirection w:val="lrTb"/>
            <w:noWrap w:val="false"/>
          </w:tcPr>
          <w:p>
            <w:pPr>
              <w:jc w:val="center"/>
              <w:spacing w:line="259" w:lineRule="auto"/>
              <w:rPr>
                <w:color w:val="auto"/>
              </w:rPr>
            </w:pPr>
            <w:r>
              <w:rPr>
                <w:b/>
                <w:color w:val="auto"/>
                <w:sz w:val="18"/>
              </w:rPr>
              <w:t xml:space="preserve">技术参数/指标要求</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54</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配线</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BV-3*2.5</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20</w:t>
            </w:r>
            <w:r>
              <w:rPr>
                <w:rFonts w:hint="eastAsia" w:ascii="宋体" w:hAnsi="宋体" w:eastAsia="宋体"/>
                <w:color w:val="auto"/>
                <w:sz w:val="16"/>
              </w:rPr>
              <w:t xml:space="preserve">4</w:t>
            </w:r>
            <w:r/>
          </w:p>
        </w:tc>
        <w:tc>
          <w:tcPr>
            <w:tcMar>
              <w:left w:w="90" w:type="dxa"/>
              <w:top w:w="70" w:type="dxa"/>
              <w:right w:w="90" w:type="dxa"/>
              <w:bottom w:w="70" w:type="dxa"/>
            </w:tcMar>
            <w:tcW w:w="7717" w:type="dxa"/>
            <w:vAlign w:val="center"/>
            <w:textDirection w:val="lrTb"/>
            <w:noWrap w:val="false"/>
          </w:tcPr>
          <w:p>
            <w:pPr>
              <w:jc w:val="left"/>
              <w:rPr>
                <w:rFonts w:ascii="宋体" w:hAnsi="宋体" w:eastAsia="宋体"/>
                <w:color w:val="auto"/>
                <w:sz w:val="18"/>
              </w:rPr>
            </w:pPr>
            <w:r>
              <w:rPr>
                <w:rFonts w:ascii="宋体" w:hAnsi="宋体" w:eastAsia="宋体"/>
                <w:color w:val="auto"/>
                <w:sz w:val="18"/>
              </w:rPr>
              <w:t xml:space="preserve">1. 规格：BV 3×2.5mm²铜芯聚氯乙烯绝缘电线，由3根截面积不低于2.5mm²的单芯导线组成供电回路，额定电压不低于450/750V。</w:t>
            </w:r>
            <w:r>
              <w:rPr>
                <w:rFonts w:ascii="宋体" w:hAnsi="宋体" w:eastAsia="宋体"/>
                <w:color w:val="auto"/>
                <w:sz w:val="18"/>
              </w:rPr>
              <w:br/>
            </w:r>
            <w:r>
              <w:rPr>
                <w:rFonts w:ascii="宋体" w:hAnsi="宋体" w:eastAsia="宋体"/>
                <w:color w:val="auto"/>
                <w:sz w:val="18"/>
              </w:rPr>
              <w:t xml:space="preserve">2. 用途：用于办公终端、打印及扫码设备、环境监测配套设备、视频监控设备等普通交流供电支路。</w:t>
            </w:r>
            <w:r>
              <w:rPr>
                <w:rFonts w:ascii="宋体" w:hAnsi="宋体" w:eastAsia="宋体"/>
                <w:color w:val="auto"/>
                <w:sz w:val="18"/>
              </w:rPr>
              <w:br/>
            </w:r>
            <w:r>
              <w:rPr>
                <w:rFonts w:ascii="宋体" w:hAnsi="宋体" w:eastAsia="宋体"/>
                <w:color w:val="auto"/>
                <w:sz w:val="18"/>
              </w:rPr>
              <w:t xml:space="preserve">3. 性能：铜导体、绝缘层、耐压、载流能力及阻燃性能应符合国家现行标准和项目设计负载要求。</w:t>
            </w:r>
            <w:r>
              <w:rPr>
                <w:rFonts w:ascii="宋体" w:hAnsi="宋体" w:eastAsia="宋体"/>
                <w:color w:val="auto"/>
                <w:sz w:val="18"/>
              </w:rPr>
              <w:br/>
            </w:r>
            <w:r>
              <w:rPr>
                <w:rFonts w:ascii="宋体" w:hAnsi="宋体" w:eastAsia="宋体"/>
                <w:color w:val="auto"/>
                <w:sz w:val="18"/>
              </w:rPr>
              <w:t xml:space="preserve">4. 安装验收：按回路分管或分槽敷设，导线颜色和端子标识规范，完成绝缘电阻、保护接地及通电功能测试。</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55</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配线</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WDZB1-BYJ-3*2.5</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m</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14</w:t>
            </w:r>
            <w:r>
              <w:rPr>
                <w:rFonts w:hint="eastAsia" w:ascii="宋体" w:hAnsi="宋体" w:eastAsia="宋体"/>
                <w:color w:val="auto"/>
                <w:sz w:val="16"/>
              </w:rPr>
              <w:t xml:space="preserve">5</w:t>
            </w:r>
            <w:r/>
          </w:p>
        </w:tc>
        <w:tc>
          <w:tcPr>
            <w:tcMar>
              <w:left w:w="90" w:type="dxa"/>
              <w:top w:w="70" w:type="dxa"/>
              <w:right w:w="90" w:type="dxa"/>
              <w:bottom w:w="70" w:type="dxa"/>
            </w:tcMar>
            <w:tcW w:w="7717" w:type="dxa"/>
            <w:vAlign w:val="center"/>
            <w:textDirection w:val="lrTb"/>
            <w:noWrap w:val="false"/>
          </w:tcPr>
          <w:p>
            <w:pPr>
              <w:jc w:val="left"/>
              <w:rPr>
                <w:rFonts w:ascii="宋体" w:hAnsi="宋体" w:eastAsia="宋体"/>
                <w:color w:val="auto"/>
                <w:sz w:val="18"/>
              </w:rPr>
            </w:pPr>
            <w:r>
              <w:rPr>
                <w:rFonts w:ascii="宋体" w:hAnsi="宋体" w:eastAsia="宋体"/>
                <w:color w:val="auto"/>
                <w:sz w:val="18"/>
              </w:rPr>
              <w:t xml:space="preserve">1. 规格：WDZB1-BYJ 3×2.5mm²低烟无卤阻燃铜芯绝缘电线，额定电压不低于450/750V，阻燃等级满足B1级或项目设计要求。</w:t>
            </w:r>
            <w:r>
              <w:rPr>
                <w:rFonts w:ascii="宋体" w:hAnsi="宋体" w:eastAsia="宋体"/>
                <w:color w:val="auto"/>
                <w:sz w:val="18"/>
              </w:rPr>
              <w:br/>
            </w:r>
            <w:r>
              <w:rPr>
                <w:rFonts w:ascii="宋体" w:hAnsi="宋体" w:eastAsia="宋体"/>
                <w:color w:val="auto"/>
                <w:sz w:val="18"/>
              </w:rPr>
              <w:t xml:space="preserve">2. 用途：用于对低烟、无卤和阻燃性能有要求区域的信息化、环境监测、视频监控及相关终端设备供电支路。</w:t>
            </w:r>
            <w:r>
              <w:rPr>
                <w:rFonts w:ascii="宋体" w:hAnsi="宋体" w:eastAsia="宋体"/>
                <w:color w:val="auto"/>
                <w:sz w:val="18"/>
              </w:rPr>
              <w:br/>
            </w:r>
            <w:r>
              <w:rPr>
                <w:rFonts w:ascii="宋体" w:hAnsi="宋体" w:eastAsia="宋体"/>
                <w:color w:val="auto"/>
                <w:sz w:val="18"/>
              </w:rPr>
              <w:t xml:space="preserve">3. 性能：燃烧时应具有低烟、低毒、无卤及阻燃特性，导体截面积、绝缘耐压和载流能力符合国家现行标准。</w:t>
            </w:r>
            <w:r>
              <w:rPr>
                <w:rFonts w:ascii="宋体" w:hAnsi="宋体" w:eastAsia="宋体"/>
                <w:color w:val="auto"/>
                <w:sz w:val="18"/>
              </w:rPr>
              <w:br/>
            </w:r>
            <w:r>
              <w:rPr>
                <w:rFonts w:ascii="宋体" w:hAnsi="宋体" w:eastAsia="宋体"/>
                <w:color w:val="auto"/>
                <w:sz w:val="18"/>
              </w:rPr>
              <w:t xml:space="preserve">4. 安装验收：按消防及电气施工要求穿管或线槽敷设，线缆标识完整，完成绝缘、接地连续性及通电测试，并提供产品合格资料。</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56</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信息插座</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单口电话插座</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个</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1</w:t>
            </w:r>
            <w:r/>
          </w:p>
        </w:tc>
        <w:tc>
          <w:tcPr>
            <w:tcMar>
              <w:left w:w="90" w:type="dxa"/>
              <w:top w:w="70" w:type="dxa"/>
              <w:right w:w="90" w:type="dxa"/>
              <w:bottom w:w="70" w:type="dxa"/>
            </w:tcMar>
            <w:tcW w:w="7717" w:type="dxa"/>
            <w:vAlign w:val="center"/>
            <w:textDirection w:val="lrTb"/>
            <w:noWrap w:val="false"/>
          </w:tcPr>
          <w:p>
            <w:pPr>
              <w:jc w:val="left"/>
              <w:rPr>
                <w:rFonts w:ascii="宋体" w:hAnsi="宋体" w:eastAsia="宋体"/>
                <w:color w:val="auto"/>
                <w:sz w:val="18"/>
              </w:rPr>
            </w:pPr>
            <w:r>
              <w:rPr>
                <w:rFonts w:ascii="宋体" w:hAnsi="宋体" w:eastAsia="宋体"/>
                <w:color w:val="auto"/>
                <w:sz w:val="18"/>
              </w:rPr>
              <w:t xml:space="preserve">1. 组成：单口电话信息插座，包含RJ45模块、单口面板、配套底盒及必要安装附件，颜色和外观与现场装修协调。</w:t>
            </w:r>
            <w:r>
              <w:rPr>
                <w:rFonts w:ascii="宋体" w:hAnsi="宋体" w:eastAsia="宋体"/>
                <w:color w:val="auto"/>
                <w:sz w:val="18"/>
              </w:rPr>
              <w:br/>
            </w:r>
            <w:r>
              <w:rPr>
                <w:rFonts w:ascii="宋体" w:hAnsi="宋体" w:eastAsia="宋体"/>
                <w:color w:val="auto"/>
                <w:sz w:val="18"/>
              </w:rPr>
              <w:t xml:space="preserve">2. 用途：用于实验室、值班区域或管理区域的电话及语音通信终端接入。</w:t>
            </w:r>
            <w:r>
              <w:rPr>
                <w:rFonts w:ascii="宋体" w:hAnsi="宋体" w:eastAsia="宋体"/>
                <w:color w:val="auto"/>
                <w:sz w:val="18"/>
              </w:rPr>
              <w:br/>
            </w:r>
            <w:r>
              <w:rPr>
                <w:rFonts w:ascii="宋体" w:hAnsi="宋体" w:eastAsia="宋体"/>
                <w:color w:val="auto"/>
                <w:sz w:val="18"/>
              </w:rPr>
              <w:t xml:space="preserve">3. 安装：墙面暗装底边距地约0.3m或实验台上方约0.2m，具体位置以现场深化确认结果为准；面板应安装平整、牢固。</w:t>
            </w:r>
            <w:r>
              <w:rPr>
                <w:rFonts w:ascii="宋体" w:hAnsi="宋体" w:eastAsia="宋体"/>
                <w:color w:val="auto"/>
                <w:sz w:val="18"/>
              </w:rPr>
              <w:br/>
            </w:r>
            <w:r>
              <w:rPr>
                <w:rFonts w:ascii="宋体" w:hAnsi="宋体" w:eastAsia="宋体"/>
                <w:color w:val="auto"/>
                <w:sz w:val="18"/>
              </w:rPr>
              <w:t xml:space="preserve">4. 标识验收：端口编号与配线端编号一致，完成模块端接、线序、通断和实际语音通信测试。</w:t>
            </w:r>
            <w:r/>
          </w:p>
        </w:tc>
      </w:tr>
    </w:tbl>
    <w:p>
      <w:pPr>
        <w:rPr>
          <w:color w:val="auto"/>
        </w:rPr>
      </w:pPr>
      <w:r>
        <w:rPr>
          <w:color w:val="auto"/>
        </w:rPr>
        <w:br w:type="page" w:clear="all"/>
      </w:r>
      <w:r/>
    </w:p>
    <w:tbl>
      <w:tblPr>
        <w:tblStyle w:val="773"/>
        <w:tblW w:w="15610"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108" w:type="dxa"/>
          <w:top w:w="0" w:type="dxa"/>
          <w:right w:w="108" w:type="dxa"/>
          <w:bottom w:w="0" w:type="dxa"/>
        </w:tblCellMar>
        <w:tblLook w:val="04A0" w:firstRow="1" w:lastRow="0" w:firstColumn="1" w:lastColumn="0" w:noHBand="0" w:noVBand="1"/>
      </w:tblPr>
      <w:tblGrid>
        <w:gridCol w:w="520"/>
        <w:gridCol w:w="1515"/>
        <w:gridCol w:w="1626"/>
        <w:gridCol w:w="2476"/>
        <w:gridCol w:w="873"/>
        <w:gridCol w:w="883"/>
        <w:gridCol w:w="7717"/>
      </w:tblGrid>
      <w:tr>
        <w:trPr>
          <w:cantSplit/>
          <w:jc w:val="center"/>
          <w:tblHeader/>
        </w:trPr>
        <w:tc>
          <w:tcPr>
            <w:shd w:val="clear" w:color="auto" w:fill="f2f2f2"/>
            <w:tcMar>
              <w:left w:w="90" w:type="dxa"/>
              <w:top w:w="70" w:type="dxa"/>
              <w:right w:w="90" w:type="dxa"/>
              <w:bottom w:w="70" w:type="dxa"/>
            </w:tcMar>
            <w:tcW w:w="520" w:type="dxa"/>
            <w:vAlign w:val="center"/>
            <w:textDirection w:val="lrTb"/>
            <w:noWrap w:val="false"/>
          </w:tcPr>
          <w:p>
            <w:pPr>
              <w:jc w:val="center"/>
              <w:spacing w:line="259" w:lineRule="auto"/>
              <w:rPr>
                <w:color w:val="auto"/>
              </w:rPr>
            </w:pPr>
            <w:r>
              <w:rPr>
                <w:b/>
                <w:color w:val="auto"/>
                <w:sz w:val="18"/>
              </w:rPr>
              <w:t xml:space="preserve">序号</w:t>
            </w:r>
            <w:r/>
          </w:p>
        </w:tc>
        <w:tc>
          <w:tcPr>
            <w:shd w:val="clear" w:color="auto" w:fill="f2f2f2"/>
            <w:tcMar>
              <w:left w:w="90" w:type="dxa"/>
              <w:top w:w="70" w:type="dxa"/>
              <w:right w:w="90" w:type="dxa"/>
              <w:bottom w:w="70" w:type="dxa"/>
            </w:tcMar>
            <w:tcW w:w="1515" w:type="dxa"/>
            <w:vAlign w:val="center"/>
            <w:textDirection w:val="lrTb"/>
            <w:noWrap w:val="false"/>
          </w:tcPr>
          <w:p>
            <w:pPr>
              <w:jc w:val="center"/>
              <w:spacing w:line="259" w:lineRule="auto"/>
              <w:rPr>
                <w:color w:val="auto"/>
              </w:rPr>
            </w:pPr>
            <w:r>
              <w:rPr>
                <w:b/>
                <w:color w:val="auto"/>
                <w:sz w:val="18"/>
              </w:rPr>
              <w:t xml:space="preserve">所属系统/用途</w:t>
            </w:r>
            <w:r/>
          </w:p>
        </w:tc>
        <w:tc>
          <w:tcPr>
            <w:shd w:val="clear" w:color="auto" w:fill="f2f2f2"/>
            <w:tcMar>
              <w:left w:w="90" w:type="dxa"/>
              <w:top w:w="70" w:type="dxa"/>
              <w:right w:w="90" w:type="dxa"/>
              <w:bottom w:w="70" w:type="dxa"/>
            </w:tcMar>
            <w:tcW w:w="1626" w:type="dxa"/>
            <w:vAlign w:val="center"/>
            <w:textDirection w:val="lrTb"/>
            <w:noWrap w:val="false"/>
          </w:tcPr>
          <w:p>
            <w:pPr>
              <w:jc w:val="center"/>
              <w:spacing w:line="259" w:lineRule="auto"/>
              <w:rPr>
                <w:color w:val="auto"/>
              </w:rPr>
            </w:pPr>
            <w:r>
              <w:rPr>
                <w:b/>
                <w:color w:val="auto"/>
                <w:sz w:val="18"/>
              </w:rPr>
              <w:t xml:space="preserve">分类</w:t>
            </w:r>
            <w:r/>
          </w:p>
        </w:tc>
        <w:tc>
          <w:tcPr>
            <w:shd w:val="clear" w:color="auto" w:fill="f2f2f2"/>
            <w:tcMar>
              <w:left w:w="90" w:type="dxa"/>
              <w:top w:w="70" w:type="dxa"/>
              <w:right w:w="90" w:type="dxa"/>
              <w:bottom w:w="70" w:type="dxa"/>
            </w:tcMar>
            <w:tcW w:w="2476" w:type="dxa"/>
            <w:vAlign w:val="center"/>
            <w:textDirection w:val="lrTb"/>
            <w:noWrap w:val="false"/>
          </w:tcPr>
          <w:p>
            <w:pPr>
              <w:jc w:val="center"/>
              <w:spacing w:line="259" w:lineRule="auto"/>
              <w:rPr>
                <w:color w:val="auto"/>
              </w:rPr>
            </w:pPr>
            <w:r>
              <w:rPr>
                <w:b/>
                <w:color w:val="auto"/>
                <w:sz w:val="18"/>
              </w:rPr>
              <w:t xml:space="preserve">设备名称</w:t>
            </w:r>
            <w:r/>
          </w:p>
        </w:tc>
        <w:tc>
          <w:tcPr>
            <w:shd w:val="clear" w:color="auto" w:fill="f2f2f2"/>
            <w:tcMar>
              <w:left w:w="90" w:type="dxa"/>
              <w:top w:w="70" w:type="dxa"/>
              <w:right w:w="90" w:type="dxa"/>
              <w:bottom w:w="70" w:type="dxa"/>
            </w:tcMar>
            <w:tcW w:w="873" w:type="dxa"/>
            <w:vAlign w:val="center"/>
            <w:textDirection w:val="lrTb"/>
            <w:noWrap w:val="false"/>
          </w:tcPr>
          <w:p>
            <w:pPr>
              <w:jc w:val="center"/>
              <w:spacing w:line="259" w:lineRule="auto"/>
              <w:rPr>
                <w:color w:val="auto"/>
              </w:rPr>
            </w:pPr>
            <w:r>
              <w:rPr>
                <w:b/>
                <w:color w:val="auto"/>
                <w:sz w:val="18"/>
              </w:rPr>
              <w:t xml:space="preserve">单位</w:t>
            </w:r>
            <w:r/>
          </w:p>
        </w:tc>
        <w:tc>
          <w:tcPr>
            <w:shd w:val="clear" w:color="auto" w:fill="f2f2f2"/>
            <w:tcMar>
              <w:left w:w="90" w:type="dxa"/>
              <w:top w:w="70" w:type="dxa"/>
              <w:right w:w="90" w:type="dxa"/>
              <w:bottom w:w="70" w:type="dxa"/>
            </w:tcMar>
            <w:tcW w:w="883" w:type="dxa"/>
            <w:vAlign w:val="center"/>
            <w:textDirection w:val="lrTb"/>
            <w:noWrap w:val="false"/>
          </w:tcPr>
          <w:p>
            <w:pPr>
              <w:jc w:val="center"/>
              <w:spacing w:line="259" w:lineRule="auto"/>
              <w:rPr>
                <w:color w:val="auto"/>
              </w:rPr>
            </w:pPr>
            <w:r>
              <w:rPr>
                <w:b/>
                <w:color w:val="auto"/>
                <w:sz w:val="18"/>
              </w:rPr>
              <w:t xml:space="preserve">数量</w:t>
            </w:r>
            <w:r/>
          </w:p>
        </w:tc>
        <w:tc>
          <w:tcPr>
            <w:shd w:val="clear" w:color="auto" w:fill="f2f2f2"/>
            <w:tcMar>
              <w:left w:w="90" w:type="dxa"/>
              <w:top w:w="70" w:type="dxa"/>
              <w:right w:w="90" w:type="dxa"/>
              <w:bottom w:w="70" w:type="dxa"/>
            </w:tcMar>
            <w:tcW w:w="7717" w:type="dxa"/>
            <w:vAlign w:val="center"/>
            <w:textDirection w:val="lrTb"/>
            <w:noWrap w:val="false"/>
          </w:tcPr>
          <w:p>
            <w:pPr>
              <w:jc w:val="center"/>
              <w:spacing w:line="259" w:lineRule="auto"/>
              <w:rPr>
                <w:color w:val="auto"/>
              </w:rPr>
            </w:pPr>
            <w:r>
              <w:rPr>
                <w:b/>
                <w:color w:val="auto"/>
                <w:sz w:val="18"/>
              </w:rPr>
              <w:t xml:space="preserve">技术参数/指标要求</w:t>
            </w:r>
            <w:r/>
          </w:p>
        </w:tc>
      </w:tr>
      <w:tr>
        <w:trPr>
          <w:cantSplit/>
          <w:jc w:val="center"/>
        </w:trPr>
        <w:tc>
          <w:tcPr>
            <w:tcMar>
              <w:left w:w="90" w:type="dxa"/>
              <w:top w:w="70" w:type="dxa"/>
              <w:right w:w="90" w:type="dxa"/>
              <w:bottom w:w="70" w:type="dxa"/>
            </w:tcMar>
            <w:tcW w:w="520" w:type="dxa"/>
            <w:vAlign w:val="center"/>
            <w:textDirection w:val="lrTb"/>
            <w:noWrap w:val="false"/>
          </w:tcPr>
          <w:p>
            <w:pPr>
              <w:jc w:val="center"/>
              <w:rPr>
                <w:color w:val="auto"/>
              </w:rPr>
            </w:pPr>
            <w:r>
              <w:rPr>
                <w:rFonts w:ascii="宋体" w:hAnsi="宋体" w:eastAsia="宋体"/>
                <w:color w:val="auto"/>
                <w:sz w:val="18"/>
              </w:rPr>
              <w:t xml:space="preserve">57</w:t>
            </w:r>
            <w:r/>
          </w:p>
        </w:tc>
        <w:tc>
          <w:tcPr>
            <w:tcMar>
              <w:left w:w="90" w:type="dxa"/>
              <w:top w:w="70" w:type="dxa"/>
              <w:right w:w="90" w:type="dxa"/>
              <w:bottom w:w="70" w:type="dxa"/>
            </w:tcMar>
            <w:tcW w:w="1515" w:type="dxa"/>
            <w:vAlign w:val="center"/>
            <w:textDirection w:val="lrTb"/>
            <w:noWrap w:val="false"/>
          </w:tcPr>
          <w:p>
            <w:pPr>
              <w:jc w:val="left"/>
              <w:rPr>
                <w:color w:val="auto"/>
              </w:rPr>
            </w:pPr>
            <w:r>
              <w:rPr>
                <w:rFonts w:ascii="宋体" w:hAnsi="宋体" w:eastAsia="宋体"/>
                <w:color w:val="auto"/>
                <w:sz w:val="18"/>
              </w:rPr>
              <w:t xml:space="preserve">共用基础设施</w:t>
            </w:r>
            <w:r/>
          </w:p>
        </w:tc>
        <w:tc>
          <w:tcPr>
            <w:tcMar>
              <w:left w:w="90" w:type="dxa"/>
              <w:top w:w="70" w:type="dxa"/>
              <w:right w:w="90" w:type="dxa"/>
              <w:bottom w:w="70" w:type="dxa"/>
            </w:tcMar>
            <w:tcW w:w="1626" w:type="dxa"/>
            <w:vAlign w:val="center"/>
            <w:textDirection w:val="lrTb"/>
            <w:noWrap w:val="false"/>
          </w:tcPr>
          <w:p>
            <w:pPr>
              <w:jc w:val="left"/>
              <w:rPr>
                <w:color w:val="auto"/>
              </w:rPr>
            </w:pPr>
            <w:r>
              <w:rPr>
                <w:rFonts w:ascii="宋体" w:hAnsi="宋体" w:eastAsia="宋体"/>
                <w:color w:val="auto"/>
                <w:sz w:val="18"/>
              </w:rPr>
              <w:t xml:space="preserve">信息插座</w:t>
            </w:r>
            <w:r/>
          </w:p>
        </w:tc>
        <w:tc>
          <w:tcPr>
            <w:tcMar>
              <w:left w:w="90" w:type="dxa"/>
              <w:top w:w="70" w:type="dxa"/>
              <w:right w:w="90" w:type="dxa"/>
              <w:bottom w:w="70" w:type="dxa"/>
            </w:tcMar>
            <w:tcW w:w="2476" w:type="dxa"/>
            <w:vAlign w:val="center"/>
            <w:textDirection w:val="lrTb"/>
            <w:noWrap w:val="false"/>
          </w:tcPr>
          <w:p>
            <w:pPr>
              <w:jc w:val="left"/>
              <w:rPr>
                <w:color w:val="auto"/>
              </w:rPr>
            </w:pPr>
            <w:r>
              <w:rPr>
                <w:rFonts w:ascii="宋体" w:hAnsi="宋体" w:eastAsia="宋体"/>
                <w:color w:val="auto"/>
                <w:sz w:val="18"/>
              </w:rPr>
              <w:t xml:space="preserve">单口信息插座</w:t>
            </w:r>
            <w:r/>
          </w:p>
        </w:tc>
        <w:tc>
          <w:tcPr>
            <w:tcMar>
              <w:left w:w="90" w:type="dxa"/>
              <w:top w:w="70" w:type="dxa"/>
              <w:right w:w="90" w:type="dxa"/>
              <w:bottom w:w="70" w:type="dxa"/>
            </w:tcMar>
            <w:tcW w:w="873" w:type="dxa"/>
            <w:vAlign w:val="center"/>
            <w:textDirection w:val="lrTb"/>
            <w:noWrap w:val="false"/>
          </w:tcPr>
          <w:p>
            <w:pPr>
              <w:jc w:val="center"/>
              <w:rPr>
                <w:color w:val="auto"/>
              </w:rPr>
            </w:pPr>
            <w:r>
              <w:rPr>
                <w:rFonts w:ascii="宋体" w:hAnsi="宋体" w:eastAsia="宋体"/>
                <w:color w:val="auto"/>
                <w:sz w:val="18"/>
              </w:rPr>
              <w:t xml:space="preserve">个</w:t>
            </w:r>
            <w:r/>
          </w:p>
        </w:tc>
        <w:tc>
          <w:tcPr>
            <w:tcMar>
              <w:left w:w="90" w:type="dxa"/>
              <w:top w:w="70" w:type="dxa"/>
              <w:right w:w="90" w:type="dxa"/>
              <w:bottom w:w="70" w:type="dxa"/>
            </w:tcMar>
            <w:tcW w:w="883" w:type="dxa"/>
            <w:vAlign w:val="center"/>
            <w:textDirection w:val="lrTb"/>
            <w:noWrap w:val="false"/>
          </w:tcPr>
          <w:p>
            <w:pPr>
              <w:jc w:val="center"/>
              <w:rPr>
                <w:color w:val="auto"/>
              </w:rPr>
            </w:pPr>
            <w:r>
              <w:rPr>
                <w:rFonts w:ascii="宋体" w:hAnsi="宋体" w:eastAsia="宋体"/>
                <w:color w:val="auto"/>
                <w:sz w:val="16"/>
              </w:rPr>
              <w:t xml:space="preserve">74</w:t>
            </w:r>
            <w:r/>
          </w:p>
        </w:tc>
        <w:tc>
          <w:tcPr>
            <w:tcMar>
              <w:left w:w="90" w:type="dxa"/>
              <w:top w:w="70" w:type="dxa"/>
              <w:right w:w="90" w:type="dxa"/>
              <w:bottom w:w="70" w:type="dxa"/>
            </w:tcMar>
            <w:tcW w:w="7717" w:type="dxa"/>
            <w:vAlign w:val="center"/>
            <w:textDirection w:val="lrTb"/>
            <w:noWrap w:val="false"/>
          </w:tcPr>
          <w:p>
            <w:pPr>
              <w:jc w:val="left"/>
              <w:rPr>
                <w:color w:val="auto"/>
              </w:rPr>
            </w:pPr>
            <w:r>
              <w:rPr>
                <w:rFonts w:ascii="宋体" w:hAnsi="宋体" w:eastAsia="宋体"/>
                <w:color w:val="auto"/>
                <w:sz w:val="18"/>
              </w:rPr>
              <w:t xml:space="preserve">1. 组成：单口六类信息插座，包含六类RJ45非屏蔽模块、单口面板、配套底盒及必要安装附件。</w:t>
            </w:r>
            <w:r>
              <w:rPr>
                <w:rFonts w:ascii="宋体" w:hAnsi="宋体" w:eastAsia="宋体"/>
                <w:color w:val="auto"/>
                <w:sz w:val="18"/>
              </w:rPr>
              <w:br/>
            </w:r>
            <w:r>
              <w:rPr>
                <w:rFonts w:ascii="宋体" w:hAnsi="宋体" w:eastAsia="宋体"/>
                <w:color w:val="auto"/>
                <w:sz w:val="18"/>
              </w:rPr>
              <w:t xml:space="preserve">2. 用途：用于LIMS业务终端、办公终端、打印及扫码设备、联网仪器、环境监测网关等设备的网络接入。</w:t>
            </w:r>
            <w:r>
              <w:rPr>
                <w:rFonts w:ascii="宋体" w:hAnsi="宋体" w:eastAsia="宋体"/>
                <w:color w:val="auto"/>
                <w:sz w:val="18"/>
              </w:rPr>
              <w:br/>
            </w:r>
            <w:r>
              <w:rPr>
                <w:rFonts w:ascii="宋体" w:hAnsi="宋体" w:eastAsia="宋体"/>
                <w:color w:val="auto"/>
                <w:sz w:val="18"/>
              </w:rPr>
              <w:t xml:space="preserve">3. 性能：模块应满足六类综合布线和千兆网络传输要求，端接方式符合T568A或T568B标准，同一项目应统一线序。</w:t>
            </w:r>
            <w:r>
              <w:rPr>
                <w:rFonts w:ascii="宋体" w:hAnsi="宋体" w:eastAsia="宋体"/>
                <w:color w:val="auto"/>
                <w:sz w:val="18"/>
              </w:rPr>
              <w:br/>
            </w:r>
            <w:r>
              <w:rPr>
                <w:rFonts w:ascii="宋体" w:hAnsi="宋体" w:eastAsia="宋体"/>
                <w:color w:val="auto"/>
                <w:sz w:val="18"/>
              </w:rPr>
              <w:t xml:space="preserve">4. 安装：墙面暗装底边距地约0.3m或实验台上方约0.2m，具体位置以现场深化确认结果为准；面板应平整牢固并设置永久编号。</w:t>
            </w:r>
            <w:r>
              <w:rPr>
                <w:rFonts w:ascii="宋体" w:hAnsi="宋体" w:eastAsia="宋体"/>
                <w:color w:val="auto"/>
                <w:sz w:val="18"/>
              </w:rPr>
              <w:br/>
            </w:r>
            <w:r>
              <w:rPr>
                <w:rFonts w:ascii="宋体" w:hAnsi="宋体" w:eastAsia="宋体"/>
                <w:color w:val="auto"/>
                <w:sz w:val="18"/>
              </w:rPr>
              <w:t xml:space="preserve">5. 验收：完成接线图、长度、回波损耗、近端串扰等六类永久链路测试，端口编号应与配线架及竣工资料一致。</w:t>
            </w:r>
            <w:r/>
          </w:p>
        </w:tc>
      </w:tr>
    </w:tbl>
    <w:p>
      <w:pPr>
        <w:pStyle w:val="781"/>
        <w:spacing w:line="500" w:lineRule="exact"/>
        <w:rPr>
          <w:rFonts w:ascii="宋体" w:hAnsi="宋体" w:eastAsia="宋体" w:cs="宋体"/>
          <w:color w:val="auto"/>
          <w:sz w:val="24"/>
          <w:szCs w:val="24"/>
        </w:rPr>
        <w:sectPr>
          <w:headerReference w:type="default" r:id="rId9"/>
          <w:footerReference w:type="default" r:id="rId11"/>
          <w:footerReference w:type="first" r:id="rId12"/>
          <w:footnotePr/>
          <w:endnotePr/>
          <w:type w:val="nextPage"/>
          <w:pgSz w:w="16838" w:h="11906" w:orient="landscape"/>
          <w:pgMar w:top="1417" w:right="1440" w:bottom="1417" w:left="1440" w:header="680" w:footer="737" w:gutter="0"/>
          <w:cols w:num="1" w:sep="0" w:space="0" w:equalWidth="1"/>
          <w:docGrid w:linePitch="360"/>
        </w:sectPr>
      </w:pPr>
      <w:r>
        <w:rPr>
          <w:rFonts w:ascii="宋体" w:hAnsi="宋体" w:eastAsia="宋体" w:cs="宋体"/>
          <w:color w:val="auto"/>
          <w:sz w:val="24"/>
          <w:szCs w:val="24"/>
        </w:rPr>
      </w:r>
      <w:r/>
    </w:p>
    <w:p>
      <w:pPr>
        <w:pStyle w:val="781"/>
        <w:spacing w:line="500" w:lineRule="exact"/>
        <w:rPr>
          <w:rFonts w:ascii="宋体" w:hAnsi="宋体" w:eastAsia="宋体" w:cs="宋体"/>
          <w:b/>
          <w:bCs/>
          <w:color w:val="auto"/>
          <w:sz w:val="24"/>
          <w:szCs w:val="24"/>
        </w:rPr>
      </w:pPr>
      <w:r>
        <w:rPr>
          <w:rFonts w:hint="eastAsia" w:ascii="宋体" w:hAnsi="宋体" w:eastAsia="宋体" w:cs="宋体"/>
          <w:color w:val="auto"/>
          <w:sz w:val="24"/>
          <w:szCs w:val="24"/>
        </w:rPr>
        <w:t xml:space="preserve">二、</w:t>
      </w:r>
      <w:r>
        <w:rPr>
          <w:rFonts w:hint="eastAsia" w:ascii="宋体" w:hAnsi="宋体" w:eastAsia="宋体" w:cs="宋体"/>
          <w:b/>
          <w:bCs/>
          <w:color w:val="auto"/>
          <w:sz w:val="24"/>
          <w:szCs w:val="24"/>
        </w:rPr>
        <w:t xml:space="preserve">商务条款：</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1.采购内容：共聚焦显微镜等仪器设备采购，具体详见采购需求。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2.合同履行期限：合同签订后80日历天内完成供货、安装及调试。</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3.交货地点：招标人指定地点。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4.实施方案要求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（1）投标人须单独编制完整实施方案，实施方案需与培训方案、售后服务方案深度衔接。</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（2）投标人须提供完整供货明细表、分批次到货计划表，书面承诺收到缺件、错发、破损通知后3个工作日内完成补发调换，配备专职供货对接人员并提供完整联系方式。</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投标人须编制安装、调试、验收三阶段全流程进度表，列明项目负责人有效联系方式。设备到货后，安装调试服务须按甲方指定时间2日内开展，同时针对到货少量延期、批量延误情况，分别制定切实可行的应急处置方案。</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投标人方案内须写明精密仪器运输防护、实验室安装施工安全、设备成品保护相关措施，承诺项目整体验收当日一次性交付全套纸质及电子版设备资料，完整列明项目负责人、供货对接专员、售后对接专员姓名及联系电话。</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项目验收方案：采购包一至采购包四：以采购合同约定的设备参数、功能需求为依据，逐项核查设备数量、外观、性能及运行稳定性。供应商提供验收资料（含产品合格证、调试报告、操作手册等）；验收项目小组现场测试设备功能，确认无故障、满足使用需求；验收合格的，双方签署《项目验收确认书》。采购包五：项目整体实施周期不超过8</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个日历天，完成所有功能模块开发、系统部署、数据对接、调试优化、人员培训等工作以及项目上线后连续1个月无故障试运行，试运行期间系统运行稳定、数据采集准确、流程流转顺畅、功能全部达标，方可完成最终验收。</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（6）验收责任：验收合格前，设备运行问题及安全风险由供应商承担；验收后，按合同约定进入质保（</w:t>
      </w:r>
      <w:r>
        <w:rPr>
          <w:rFonts w:ascii="宋体" w:hAnsi="宋体" w:eastAsia="宋体" w:cs="宋体"/>
          <w:color w:val="auto"/>
          <w:sz w:val="24"/>
          <w:szCs w:val="24"/>
        </w:rPr>
        <w:t xml:space="preserve">运维）</w:t>
      </w:r>
      <w:r>
        <w:rPr>
          <w:rFonts w:hint="eastAsia" w:ascii="宋体" w:hAnsi="宋体" w:eastAsia="宋体" w:cs="宋体"/>
          <w:color w:val="auto"/>
          <w:sz w:val="24"/>
          <w:szCs w:val="24"/>
        </w:rPr>
        <w:t xml:space="preserve">期。</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5.培训方案要求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（1）投标人须单独编制完整培训方案，方案须覆盖采购包全部设备，并承诺交付后开展不少于3次集中培训。</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（2）培训统一采用理论讲解结合真机实操模式，实操课时占比不低于六成，以表格形式逐台列明培训内容、对应理论及实操课时，并提供简易版操作规程或视频。</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（3）培训内容和时间按甲方要求开展，核心产品培训期间工程师在场不少于1个工作日，同步完成实操教学与现场故障答疑。</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6.售后服务方案要求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（1）投标人须单独编制专项售后服务方案，同步出具加盖单位公章售后服务承诺书，承诺书全部条款须与售后服务方案内容保持一致。</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（2）投标人完整列明售后总负责人、项目专属售后对接专员、仪器维修工程师姓名及24小时联系电话，仅提供企业总机不予认可。</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一般故障接到报修后两小时内电话响应，24小时工程师抵达现场，48小时完成全部修复工作。重大故障接到报修1小时内专人电话对接，24小时工程师到场维修，72小时内完成整机修复，若72小时无法修复须同期提供同等规格同等性能备用设备无偿供采购人使用至原设备维修完毕。</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（4）投标人制定全年巡检计划，每自然季度开展一次现场巡检，全年巡检次数不少于四次，每次巡检完成后三个工作日内向采购人提交加盖公章设备巡检记录表。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7.质保（运维）期要求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采购包一至采购包四供应商需提供至少3年的质保期服务，采购包五供应商需提供至少6年的运维服务，质保期内设备维修人工费、更换零部件材料费、上门差旅费全部免收。质保期自项目验收合格之日起计算。</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（2）投标人提交出具三年质保函复印件，承诺提供原厂质保。</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（3）实施方案、培训方案、售后服务方案、质保承诺书四处文件标注质保年限必须统一。</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（4）投标人可自主承诺延长免费质保年限，延长质保周期内所有故障响应上门维修定期巡检免费换件技术支持等服务标准不得低于三年基础质保要求。</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8.投标报价是根据招标文件所确定的范围内的全部内容的价格体现，是为完成招标文件规定的工作所涉及的一切费用。总价为综合报价，应包括完成本项目工作所需的各项费用，招标文件未列明，而供应商认为必需的费用也需列入报价，采购人不再支付其他任何费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9.本项目设最高限价为</w:t>
      </w:r>
      <w:r>
        <w:rPr>
          <w:rFonts w:hint="eastAsia" w:ascii="宋体" w:hAnsi="宋体" w:eastAsia="宋体" w:cs="宋体"/>
          <w:b/>
          <w:color w:val="auto"/>
          <w:sz w:val="24"/>
          <w:szCs w:val="24"/>
          <w:u w:val="single"/>
        </w:rPr>
        <w:t xml:space="preserve"> 902 </w:t>
      </w:r>
      <w:r>
        <w:rPr>
          <w:rFonts w:hint="eastAsia" w:ascii="宋体" w:hAnsi="宋体" w:eastAsia="宋体" w:cs="宋体"/>
          <w:b/>
          <w:color w:val="auto"/>
          <w:sz w:val="24"/>
          <w:szCs w:val="24"/>
        </w:rPr>
        <w:t xml:space="preserve">万元</w:t>
      </w:r>
      <w:r>
        <w:rPr>
          <w:rFonts w:hint="eastAsia" w:ascii="宋体" w:hAnsi="宋体" w:eastAsia="宋体" w:cs="宋体"/>
          <w:color w:val="auto"/>
          <w:sz w:val="24"/>
          <w:szCs w:val="24"/>
        </w:rPr>
        <w:t xml:space="preserve">，各供应商的报价不得高于最高限价</w:t>
      </w:r>
      <w:r>
        <w:rPr>
          <w:rFonts w:hint="eastAsia" w:ascii="宋体" w:hAnsi="宋体" w:eastAsia="宋体" w:cs="宋体"/>
          <w:color w:val="auto"/>
          <w:sz w:val="24"/>
          <w:szCs w:val="24"/>
        </w:rPr>
        <w:t xml:space="preserve">（单价及合价）</w:t>
      </w:r>
      <w:r>
        <w:rPr>
          <w:rFonts w:hint="eastAsia" w:ascii="宋体" w:hAnsi="宋体" w:eastAsia="宋体" w:cs="宋体"/>
          <w:color w:val="auto"/>
          <w:sz w:val="24"/>
          <w:szCs w:val="24"/>
        </w:rPr>
        <w:t xml:space="preserve">，否则作为无效响应文件处理，请各供应商详细踏勘现场后慎重报价。</w:t>
      </w:r>
      <w:r/>
    </w:p>
    <w:tbl>
      <w:tblPr>
        <w:tblStyle w:val="807"/>
        <w:tblW w:w="0" w:type="auto"/>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9"/>
        <w:gridCol w:w="3237"/>
        <w:gridCol w:w="1476"/>
        <w:gridCol w:w="1274"/>
        <w:gridCol w:w="1318"/>
      </w:tblGrid>
      <w:tr>
        <w:trPr/>
        <w:tc>
          <w:tcPr>
            <w:tcW w:w="1319"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最高限价</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（万元）</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是否接受进口产品</w:t>
            </w:r>
            <w:r/>
          </w:p>
        </w:tc>
      </w:tr>
      <w:tr>
        <w:trPr>
          <w:trHeight w:val="237"/>
        </w:trPr>
        <w:tc>
          <w:tcPr>
            <w:tcW w:w="1319"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采购包一</w:t>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共聚焦显微镜</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260</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306"/>
        </w:trPr>
        <w:tc>
          <w:tcPr>
            <w:tcW w:w="1319" w:type="dxa"/>
            <w:vAlign w:val="center"/>
            <w:vMerge w:val="continue"/>
            <w:textDirection w:val="lrTb"/>
            <w:noWrap w:val="false"/>
          </w:tcPr>
          <w:p>
            <w:pPr>
              <w:jc w:val="center"/>
              <w:rPr>
                <w:color w:val="auto"/>
              </w:rPr>
            </w:pPr>
            <w:r>
              <w:rPr>
                <w:color w:val="auto"/>
              </w:rPr>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电位纳米粒度仪</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45</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306"/>
        </w:trPr>
        <w:tc>
          <w:tcPr>
            <w:tcW w:w="1319" w:type="dxa"/>
            <w:vAlign w:val="center"/>
            <w:vMerge w:val="continue"/>
            <w:textDirection w:val="lrTb"/>
            <w:noWrap w:val="false"/>
          </w:tcPr>
          <w:p>
            <w:pPr>
              <w:jc w:val="center"/>
              <w:rPr>
                <w:color w:val="auto"/>
              </w:rPr>
            </w:pPr>
            <w:r>
              <w:rPr>
                <w:color w:val="auto"/>
              </w:rPr>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305</w:t>
            </w:r>
            <w:r/>
          </w:p>
        </w:tc>
        <w:tc>
          <w:tcPr>
            <w:tcW w:w="13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c>
          <w:tcPr>
            <w:tcW w:w="1319"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采购包二</w:t>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流式细胞分选仪</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175</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290"/>
        </w:trPr>
        <w:tc>
          <w:tcPr>
            <w:tcW w:w="131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自动影像分析菌落计数仪</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25</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205"/>
        </w:trPr>
        <w:tc>
          <w:tcPr>
            <w:tcW w:w="131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200</w:t>
            </w:r>
            <w:r/>
          </w:p>
        </w:tc>
        <w:tc>
          <w:tcPr>
            <w:tcW w:w="13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290"/>
        </w:trPr>
        <w:tc>
          <w:tcPr>
            <w:tcW w:w="1319"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采购包三</w:t>
            </w:r>
            <w:r/>
          </w:p>
        </w:tc>
        <w:tc>
          <w:tcPr>
            <w:tcW w:w="3237" w:type="dxa"/>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数字PCR仪</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100</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290"/>
        </w:trPr>
        <w:tc>
          <w:tcPr>
            <w:tcW w:w="131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237" w:type="dxa"/>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实时荧光定量PCR仪</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47</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290"/>
        </w:trPr>
        <w:tc>
          <w:tcPr>
            <w:tcW w:w="131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147</w:t>
            </w:r>
            <w:r/>
          </w:p>
        </w:tc>
        <w:tc>
          <w:tcPr>
            <w:tcW w:w="13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290"/>
        </w:trPr>
        <w:tc>
          <w:tcPr>
            <w:tcW w:w="1319"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采购包四</w:t>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酶联免疫斑点检测分析系统</w:t>
            </w:r>
            <w:r/>
          </w:p>
        </w:tc>
        <w:tc>
          <w:tcPr>
            <w:tcW w:w="1476"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40</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290"/>
        </w:trPr>
        <w:tc>
          <w:tcPr>
            <w:tcW w:w="131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237"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倒置荧光显微镜</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45</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是</w:t>
            </w:r>
            <w:r/>
          </w:p>
        </w:tc>
      </w:tr>
      <w:tr>
        <w:trPr>
          <w:trHeight w:val="290"/>
        </w:trPr>
        <w:tc>
          <w:tcPr>
            <w:tcW w:w="131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237"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倒置光学显微镜</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290"/>
        </w:trPr>
        <w:tc>
          <w:tcPr>
            <w:tcW w:w="131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90</w:t>
            </w:r>
            <w:r/>
          </w:p>
        </w:tc>
        <w:tc>
          <w:tcPr>
            <w:tcW w:w="13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312"/>
        </w:trPr>
        <w:tc>
          <w:tcPr>
            <w:tcW w:w="1319" w:type="dxa"/>
            <w:vAlign w:val="center"/>
            <w:vMerge w:val="restart"/>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采购包五</w:t>
            </w:r>
            <w:r/>
          </w:p>
        </w:tc>
        <w:tc>
          <w:tcPr>
            <w:tcW w:w="3237"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实验室管理系统</w:t>
            </w:r>
            <w:r/>
          </w:p>
        </w:tc>
        <w:tc>
          <w:tcPr>
            <w:tcW w:w="1476"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100</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rHeight w:val="290"/>
        </w:trPr>
        <w:tc>
          <w:tcPr>
            <w:tcW w:w="131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物联网控制系统</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60</w:t>
            </w:r>
            <w:r/>
          </w:p>
        </w:tc>
        <w:tc>
          <w:tcPr>
            <w:tcW w:w="13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tc>
          <w:tcPr>
            <w:tcW w:w="1319"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小计</w:t>
            </w:r>
            <w:r/>
          </w:p>
        </w:tc>
        <w:tc>
          <w:tcPr>
            <w:tcW w:w="1476"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160</w:t>
            </w:r>
            <w:r/>
          </w:p>
        </w:tc>
        <w:tc>
          <w:tcPr>
            <w:tcW w:w="13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c>
          <w:tcPr>
            <w:tcW w:w="131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323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147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W w:w="127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902</w:t>
            </w:r>
            <w:r/>
          </w:p>
        </w:tc>
        <w:tc>
          <w:tcPr>
            <w:tcW w:w="13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bl>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10.合同形式：固定总价合同。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合同履行中，采购人需追加与合同标的相同的货物的，在不改变合同其他条款的前提下，可以与成交供应商协商签订补充合同，但所有补充合同的采购金额不超过原合同金额的10%。</w:t>
      </w:r>
      <w:r/>
    </w:p>
    <w:p>
      <w:pPr>
        <w:ind w:firstLine="480"/>
        <w:spacing w:line="520" w:lineRule="exact"/>
        <w:rPr>
          <w:rFonts w:ascii="宋体" w:hAnsi="宋体" w:eastAsia="宋体" w:cs="宋体"/>
          <w:color w:val="auto"/>
          <w:sz w:val="24"/>
          <w:szCs w:val="24"/>
        </w:rPr>
      </w:pPr>
      <w:r/>
      <w:bookmarkStart w:id="48" w:name="_Hlk119487402"/>
      <w:r>
        <w:rPr>
          <w:rFonts w:hint="eastAsia" w:ascii="宋体" w:hAnsi="宋体" w:eastAsia="宋体" w:cs="宋体"/>
          <w:color w:val="auto"/>
          <w:sz w:val="24"/>
          <w:szCs w:val="24"/>
        </w:rPr>
        <w:t xml:space="preserve">11.付款方式：合同签订前，中标供应商须在收到中标通知书后5日内向采购人缴纳合同价款的10%履约保证金至采购人指定账户，货物送达、甲方查验无误30个工作日内，甲方向乙方支付合同总价款的30%；设备安装、调试，经甲乙双方共同验收合格并出具验收报告30个工作日内，甲方向乙方支付合同总价款的70%。同时退还履约保证金，上述付款均为无息。 </w:t>
      </w:r>
      <w:bookmarkEnd w:id="48"/>
      <w:r/>
    </w:p>
    <w:p>
      <w:pPr>
        <w:ind w:firstLine="480"/>
        <w:spacing w:line="520" w:lineRule="exact"/>
        <w:tabs>
          <w:tab w:val="left" w:pos="0" w:leader="none"/>
          <w:tab w:val="left" w:pos="993" w:leader="none"/>
          <w:tab w:val="left" w:pos="1134"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12.履约保证金：中标价的</w:t>
      </w:r>
      <w:r>
        <w:rPr>
          <w:rFonts w:ascii="宋体" w:hAnsi="宋体" w:eastAsia="宋体" w:cs="宋体"/>
          <w:color w:val="auto"/>
          <w:sz w:val="24"/>
          <w:szCs w:val="24"/>
        </w:rPr>
        <w:t xml:space="preserve">10</w:t>
      </w:r>
      <w:r>
        <w:rPr>
          <w:rFonts w:hint="eastAsia" w:ascii="宋体" w:hAnsi="宋体" w:eastAsia="宋体" w:cs="宋体"/>
          <w:color w:val="auto"/>
          <w:sz w:val="24"/>
          <w:szCs w:val="24"/>
        </w:rPr>
        <w:t xml:space="preserve">%，中标人在合同签订前将履约保证金缴纳至采购人指定账户，履约保证金缴纳方式：银行转账、支票、汇票、本票或者金融机构、担保机构出具的保函等非现金形式。全部供货、安装调试完成并经验收合格后退还（无息）</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13.签订合同后，成交供应商不得进行转包。未经采购人同意，成交供应商不得采用分包的形式履行合同。否则采购人有权终止合同。转包或分包造成采购人损失的，成交供应商还应承担相应赔偿责任。</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14.对有失信行为的供应商，除给予列入学校采购黑名单，三年内拒绝其参加学校采购活动的，同时给予：</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（1）在采购活动环节的，取消其参与本项目的资格。</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（2）在合同签订与履约环节，尚未签订合同的，取消其本项目中标（成交）资格。已签订合同的，按合同约定追究违约责任，所交履约保证金不予退还。</w:t>
      </w:r>
      <w:r/>
    </w:p>
    <w:p>
      <w:pPr>
        <w:ind w:firstLine="480"/>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（3）在监督检查环节的，按合同约定追究其违约责任。</w:t>
      </w:r>
      <w:r/>
    </w:p>
    <w:p>
      <w:pPr>
        <w:ind w:firstLine="480"/>
        <w:jc w:val="left"/>
        <w:spacing w:line="52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失信行为清单及认定办法详见《江苏农牧科技职业学院采购供应商管理实施细则》，文件查询网址：https://www.jsahvc.edu.cn/zcgl/2025/0701/c2858a168884/page.htm。</w:t>
      </w:r>
      <w:r/>
    </w:p>
    <w:p>
      <w:pPr>
        <w:pStyle w:val="775"/>
        <w:rPr>
          <w:rFonts w:ascii="宋体" w:hAnsi="宋体" w:eastAsia="宋体" w:cs="宋体"/>
          <w:color w:val="auto"/>
          <w:sz w:val="24"/>
          <w:szCs w:val="24"/>
        </w:rPr>
      </w:pPr>
      <w:r>
        <w:rPr>
          <w:rFonts w:ascii="宋体" w:hAnsi="宋体" w:eastAsia="宋体" w:cs="宋体"/>
          <w:color w:val="auto"/>
          <w:sz w:val="24"/>
          <w:szCs w:val="24"/>
        </w:rPr>
      </w:r>
      <w:bookmarkEnd w:id="44"/>
      <w:bookmarkEnd w:id="45"/>
      <w:r/>
    </w:p>
    <w:p>
      <w:pPr>
        <w:pStyle w:val="995"/>
        <w:jc w:val="center"/>
        <w:spacing w:before="0" w:after="0" w:line="360" w:lineRule="auto"/>
        <w:rPr>
          <w:rFonts w:ascii="宋体" w:hAnsi="宋体" w:eastAsia="宋体" w:cs="宋体"/>
          <w:color w:val="auto"/>
          <w:sz w:val="32"/>
          <w:szCs w:val="32"/>
        </w:rPr>
      </w:pPr>
      <w:r/>
      <w:bookmarkStart w:id="49" w:name="_Toc409438821"/>
      <w:r/>
      <w:bookmarkStart w:id="50" w:name="_Toc388026588"/>
      <w:r/>
      <w:bookmarkStart w:id="51" w:name="OLE_LINK32"/>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color w:val="auto"/>
          <w:sz w:val="32"/>
          <w:szCs w:val="32"/>
        </w:rPr>
      </w:pPr>
      <w:r>
        <w:rPr>
          <w:rFonts w:ascii="宋体" w:hAnsi="宋体" w:eastAsia="宋体" w:cs="宋体"/>
          <w:color w:val="auto"/>
          <w:sz w:val="32"/>
          <w:szCs w:val="32"/>
        </w:rPr>
      </w:r>
      <w:r/>
    </w:p>
    <w:p>
      <w:pPr>
        <w:pStyle w:val="995"/>
        <w:jc w:val="center"/>
        <w:spacing w:before="0" w:after="0" w:line="360" w:lineRule="auto"/>
        <w:rPr>
          <w:rFonts w:ascii="宋体" w:hAnsi="宋体" w:eastAsia="宋体" w:cs="宋体"/>
          <w:color w:val="auto"/>
          <w:sz w:val="32"/>
          <w:szCs w:val="32"/>
        </w:rPr>
      </w:pPr>
      <w:r>
        <w:rPr>
          <w:rFonts w:hint="eastAsia" w:ascii="宋体" w:hAnsi="宋体" w:eastAsia="宋体" w:cs="宋体"/>
          <w:color w:val="auto"/>
          <w:sz w:val="32"/>
          <w:szCs w:val="32"/>
        </w:rPr>
        <w:t xml:space="preserve">第四章  评标办法及标准</w:t>
      </w:r>
      <w:bookmarkEnd w:id="49"/>
      <w:r/>
      <w:bookmarkEnd w:id="50"/>
      <w:r/>
      <w:bookmarkEnd w:id="51"/>
      <w:r/>
    </w:p>
    <w:p>
      <w:pPr>
        <w:pStyle w:val="1064"/>
        <w:ind w:firstLine="480"/>
        <w:spacing w:line="520" w:lineRule="exact"/>
        <w:rPr>
          <w:rFonts w:hAnsi="宋体" w:eastAsia="宋体" w:cs="宋体"/>
          <w:color w:val="auto"/>
          <w:sz w:val="24"/>
          <w:szCs w:val="18"/>
        </w:rPr>
      </w:pPr>
      <w:r>
        <w:rPr>
          <w:rFonts w:hint="eastAsia" w:hAnsi="宋体" w:eastAsia="宋体" w:cs="宋体"/>
          <w:color w:val="auto"/>
          <w:sz w:val="24"/>
          <w:szCs w:val="24"/>
        </w:rPr>
        <w:t xml:space="preserve">1.本次招标评标采用</w:t>
      </w:r>
      <w:r>
        <w:rPr>
          <w:rFonts w:hint="eastAsia" w:hAnsi="宋体" w:eastAsia="宋体" w:cs="宋体"/>
          <w:color w:val="auto"/>
          <w:sz w:val="24"/>
          <w:szCs w:val="24"/>
          <w:u w:val="single"/>
        </w:rPr>
        <w:t xml:space="preserve">综合评分法</w:t>
      </w:r>
      <w:r>
        <w:rPr>
          <w:rFonts w:hint="eastAsia" w:hAnsi="宋体" w:eastAsia="宋体" w:cs="宋体"/>
          <w:color w:val="auto"/>
          <w:sz w:val="24"/>
          <w:szCs w:val="24"/>
        </w:rPr>
        <w:t xml:space="preserve">。即在满足招标文件实质性要求前提下，按照招标文件中规定的评分标准和各项因素进行综合评审后，以评标总得分最高的投标人作为中标候选供应商或中标人。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3.评分标准：</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（1）评标采用综合评分法。</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（2）评标考虑的主要因素及其权值：详见评分细则。</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szCs w:val="28"/>
        </w:rPr>
        <w:t xml:space="preserve">4.</w:t>
      </w:r>
      <w:r>
        <w:rPr>
          <w:rFonts w:hint="eastAsia" w:ascii="宋体" w:hAnsi="宋体" w:eastAsia="宋体" w:cs="宋体"/>
          <w:color w:val="auto"/>
          <w:sz w:val="24"/>
        </w:rPr>
        <w:t xml:space="preserve">关于异常低价的审查</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根据财库〔2026〕2号文《财政部关于推动解决政府采购异常低价问题的通知》：</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（1）政府采购评审中出现下列情形之一的，评审委员会应当启动异常低价投标（响应）审查程序：</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①投标（响应）报价低于全部通过符合性审查供应商投标（响应）报价平均值50%的，即投标（响应）报价&lt;全部通过符合性审查供应商投标（响应）报价平均值×50%；</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②投标（响应）报价低于通过符合性审查的次低报价供应商投标（响应）报价50%的，即投标（响应）报价&lt;通过符合性审查的次低报价供应商投标（响应）报价×50%；</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③投标（响应）报价低于采购项目最高限价45%的，即投标（响应）报价&lt;采购项目最高限价×45%；</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④评审委员会基于专业判断，认为供应商报价过低，有可能影响产品质量或者不能诚信履约的其他情形。</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90"/>
        <w:ind w:firstLine="480"/>
        <w:spacing w:line="520" w:lineRule="exact"/>
        <w:rPr>
          <w:rFonts w:hAnsi="宋体" w:eastAsia="宋体" w:cs="宋体"/>
          <w:b/>
          <w:bCs/>
          <w:color w:val="auto"/>
          <w:sz w:val="24"/>
          <w:szCs w:val="28"/>
        </w:rPr>
      </w:pPr>
      <w:r>
        <w:rPr>
          <w:rFonts w:hint="eastAsia" w:hAnsi="宋体" w:eastAsia="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6.确定中标候选人：根据各投标人的排序，评标委员会应在评标报告中推选前3名作为中标候选人。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7.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790"/>
        <w:ind w:firstLine="480"/>
        <w:spacing w:line="520" w:lineRule="exact"/>
        <w:rPr>
          <w:rFonts w:hAnsi="宋体" w:eastAsia="宋体" w:cs="宋体"/>
          <w:b/>
          <w:bCs/>
          <w:color w:val="auto"/>
          <w:sz w:val="24"/>
          <w:szCs w:val="28"/>
        </w:rPr>
      </w:pPr>
      <w:r>
        <w:rPr>
          <w:rFonts w:hint="eastAsia" w:hAnsi="宋体" w:eastAsia="宋体" w:cs="宋体"/>
          <w:color w:val="auto"/>
          <w:sz w:val="24"/>
          <w:szCs w:val="24"/>
        </w:rPr>
        <w:t xml:space="preserve">8.本办法未尽事宜，由评标委员会依据有关法规研究解决。</w:t>
      </w:r>
      <w:r/>
    </w:p>
    <w:p>
      <w:pPr>
        <w:pStyle w:val="790"/>
        <w:ind w:firstLine="482"/>
        <w:spacing w:line="520" w:lineRule="exact"/>
        <w:rPr>
          <w:rFonts w:hAnsi="宋体" w:eastAsia="宋体" w:cs="宋体"/>
          <w:b/>
          <w:bCs/>
          <w:color w:val="auto"/>
          <w:sz w:val="24"/>
          <w:szCs w:val="28"/>
        </w:rPr>
      </w:pPr>
      <w:r>
        <w:rPr>
          <w:rFonts w:hAnsi="宋体" w:eastAsia="宋体" w:cs="宋体"/>
          <w:b/>
          <w:bCs/>
          <w:color w:val="auto"/>
          <w:sz w:val="24"/>
          <w:szCs w:val="28"/>
        </w:rPr>
      </w:r>
      <w:r/>
    </w:p>
    <w:p>
      <w:pPr>
        <w:pStyle w:val="790"/>
        <w:ind w:firstLine="482"/>
        <w:spacing w:line="520" w:lineRule="exact"/>
        <w:rPr>
          <w:rFonts w:hAnsi="宋体" w:eastAsia="宋体" w:cs="宋体"/>
          <w:b/>
          <w:bCs/>
          <w:color w:val="auto"/>
          <w:sz w:val="24"/>
          <w:szCs w:val="28"/>
        </w:rPr>
      </w:pPr>
      <w:r>
        <w:rPr>
          <w:rFonts w:hint="eastAsia" w:hAnsi="宋体" w:eastAsia="宋体" w:cs="宋体"/>
          <w:b/>
          <w:bCs/>
          <w:color w:val="auto"/>
          <w:sz w:val="24"/>
          <w:szCs w:val="28"/>
        </w:rPr>
        <w:t xml:space="preserve">包一</w:t>
      </w:r>
      <w:r>
        <w:rPr>
          <w:rFonts w:hAnsi="宋体" w:eastAsia="宋体" w:cs="宋体"/>
          <w:b/>
          <w:bCs/>
          <w:color w:val="auto"/>
          <w:sz w:val="24"/>
          <w:szCs w:val="28"/>
        </w:rPr>
        <w:t xml:space="preserve">至包四</w:t>
      </w:r>
      <w:r>
        <w:rPr>
          <w:rFonts w:hint="eastAsia" w:hAnsi="宋体" w:eastAsia="宋体" w:cs="宋体"/>
          <w:b/>
          <w:bCs/>
          <w:color w:val="auto"/>
          <w:sz w:val="24"/>
          <w:szCs w:val="28"/>
        </w:rPr>
        <w:t xml:space="preserve">评分细则：</w:t>
      </w:r>
      <w:r/>
    </w:p>
    <w:tbl>
      <w:tblPr>
        <w:tblStyle w:val="773"/>
        <w:tblW w:w="10192" w:type="dxa"/>
        <w:tblInd w:w="-2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242"/>
        <w:gridCol w:w="811"/>
        <w:gridCol w:w="7516"/>
      </w:tblGrid>
      <w:tr>
        <w:trPr>
          <w:cantSplit/>
          <w:trHeight w:val="870"/>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评审</w:t>
            </w:r>
            <w:r/>
          </w:p>
          <w:p>
            <w:pPr>
              <w:jc w:val="center"/>
              <w:rPr>
                <w:rFonts w:ascii="宋体" w:hAnsi="宋体" w:eastAsia="宋体" w:cs="宋体"/>
                <w:b/>
                <w:bCs/>
                <w:color w:val="auto"/>
                <w:sz w:val="24"/>
              </w:rPr>
            </w:pPr>
            <w:r>
              <w:rPr>
                <w:rFonts w:hint="eastAsia" w:ascii="宋体" w:hAnsi="宋体" w:eastAsia="宋体" w:cs="宋体"/>
                <w:b/>
                <w:bCs/>
                <w:color w:val="auto"/>
                <w:sz w:val="24"/>
              </w:rPr>
              <w:t xml:space="preserve">项目</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分值</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评审细则</w:t>
            </w:r>
            <w:r/>
          </w:p>
        </w:tc>
      </w:tr>
      <w:tr>
        <w:trPr>
          <w:cantSplit/>
          <w:trHeight w:val="1346"/>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rPr>
            </w:pPr>
            <w:r>
              <w:rPr>
                <w:rFonts w:hint="eastAsia" w:ascii="宋体" w:hAnsi="宋体" w:eastAsia="宋体" w:cs="宋体"/>
                <w:color w:val="auto"/>
                <w:sz w:val="24"/>
                <w:szCs w:val="24"/>
              </w:rPr>
              <w:t xml:space="preserve">价格</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0分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采用低价优先法计算，即满足招标文件要求且投标价格最低的投标报价为评标基准价，其价格分为满分。其他投标人的价格部分统一按照下列公式计算：投标报价得分=（评标基准价／投标报价）×</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0%×100。</w:t>
            </w:r>
            <w:r/>
          </w:p>
        </w:tc>
      </w:tr>
      <w:tr>
        <w:trPr>
          <w:cantSplit/>
          <w:trHeight w:val="1446"/>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企业业绩</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6分</w:t>
            </w:r>
            <w:r/>
          </w:p>
        </w:tc>
        <w:tc>
          <w:tcPr>
            <w:tcBorders>
              <w:top w:val="single" w:color="auto" w:sz="4" w:space="0"/>
              <w:left w:val="single" w:color="auto" w:sz="4" w:space="0"/>
              <w:right w:val="single" w:color="auto" w:sz="4" w:space="0"/>
            </w:tcBorders>
            <w:tcW w:w="7516"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或生产厂商提供2023年1月1日以来（以合同签订时间为准）与本项目类似的项目业绩证明（必须包括核心产品），核心产品为1个，每提供一份业绩证明得1分；核心产品为2个，每提供一份业绩证明得1分，每个核心产品业绩最高得3分，本项最高得6分。</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注：须提供合同及合同期内任意一个结算发票扫描上传作为得分依据，缺一不可。</w:t>
            </w:r>
            <w:r/>
          </w:p>
        </w:tc>
      </w:tr>
      <w:tr>
        <w:trPr>
          <w:cantSplit/>
          <w:trHeight w:val="1446"/>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质保期限</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第7条“质保（运维）期要求”的响应情况进行评审：</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所有仪器设备满足招标文件免费</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年整机质保期要求，在此基础上免费质保每增加</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年加</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分，本项最高得</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分。增加的质保需提供供应商出具的售后服务承诺书原件（若投标文件中出现前后不一致的情况，以最低免费质保期作为评分依据）。</w:t>
            </w:r>
            <w:r/>
          </w:p>
        </w:tc>
      </w:tr>
      <w:tr>
        <w:trPr>
          <w:cantSplit/>
          <w:trHeight w:val="1446"/>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技术响应</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51</w:t>
            </w:r>
            <w:r>
              <w:rPr>
                <w:rFonts w:hint="eastAsia" w:ascii="宋体" w:hAnsi="宋体" w:eastAsia="宋体" w:cs="宋体"/>
                <w:color w:val="auto"/>
                <w:sz w:val="24"/>
                <w:szCs w:val="24"/>
              </w:rPr>
              <w:t xml:space="preserve">分</w:t>
            </w:r>
            <w:r/>
          </w:p>
        </w:tc>
        <w:tc>
          <w:tcPr>
            <w:tcBorders>
              <w:top w:val="single" w:color="auto" w:sz="4" w:space="0"/>
              <w:left w:val="single" w:color="auto" w:sz="4" w:space="0"/>
              <w:right w:val="single" w:color="auto" w:sz="4" w:space="0"/>
            </w:tcBorders>
            <w:tcW w:w="7516"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根据各投标人对本次采购需求部分响应情况进行评定。投标人的所有技术要求及相关说明满足采购需求的得满分</w:t>
            </w:r>
            <w:r>
              <w:rPr>
                <w:rFonts w:ascii="宋体" w:hAnsi="宋体" w:eastAsia="宋体" w:cs="宋体"/>
                <w:color w:val="auto"/>
                <w:sz w:val="24"/>
                <w:szCs w:val="24"/>
              </w:rPr>
              <w:t xml:space="preserve">51</w:t>
            </w:r>
            <w:r>
              <w:rPr>
                <w:rFonts w:hint="eastAsia" w:ascii="宋体" w:hAnsi="宋体" w:eastAsia="宋体" w:cs="宋体"/>
                <w:color w:val="auto"/>
                <w:sz w:val="24"/>
                <w:szCs w:val="24"/>
              </w:rPr>
              <w:t xml:space="preserve">分；其中技术要求及相关说明加“★”部分出现负偏离的，有一项扣</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分；技术要求及相关说明加“</w:t>
            </w:r>
            <w:r>
              <w:rPr>
                <w:bCs/>
                <w:color w:val="auto"/>
                <w:sz w:val="24"/>
              </w:rPr>
              <w:t xml:space="preserve">▲</w:t>
            </w:r>
            <w:r>
              <w:rPr>
                <w:rFonts w:hint="eastAsia" w:ascii="宋体" w:hAnsi="宋体" w:eastAsia="宋体" w:cs="宋体"/>
                <w:color w:val="auto"/>
                <w:sz w:val="24"/>
                <w:szCs w:val="24"/>
              </w:rPr>
              <w:t xml:space="preserve">”部分出现负偏离的，有一项扣</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分；技术要求及相关说明未加“★、▲”部分出现负偏离的，有一项扣1分；扣完为止。</w:t>
            </w:r>
            <w:r/>
          </w:p>
          <w:p>
            <w:pPr>
              <w:jc w:val="left"/>
              <w:rPr>
                <w:rFonts w:ascii="宋体" w:hAnsi="宋体" w:eastAsia="宋体" w:cs="宋体"/>
                <w:color w:val="auto"/>
                <w:sz w:val="24"/>
                <w:szCs w:val="24"/>
              </w:rPr>
            </w:pPr>
            <w:r>
              <w:rPr>
                <w:rFonts w:hint="eastAsia" w:ascii="宋体" w:hAnsi="宋体" w:eastAsia="宋体" w:cs="宋体"/>
                <w:b/>
                <w:bCs/>
                <w:color w:val="auto"/>
                <w:sz w:val="24"/>
                <w:szCs w:val="24"/>
              </w:rPr>
              <w:t xml:space="preserve">注：加“★</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”部分</w:t>
            </w:r>
            <w:r>
              <w:rPr>
                <w:rFonts w:ascii="宋体" w:hAnsi="宋体" w:eastAsia="宋体" w:cs="宋体"/>
                <w:b/>
                <w:bCs/>
                <w:color w:val="auto"/>
                <w:sz w:val="24"/>
                <w:szCs w:val="24"/>
              </w:rPr>
              <w:t xml:space="preserve">及要求提供证明材的</w:t>
            </w:r>
            <w:r>
              <w:rPr>
                <w:rFonts w:hint="eastAsia" w:ascii="宋体" w:hAnsi="宋体" w:eastAsia="宋体" w:cs="宋体"/>
                <w:b/>
                <w:bCs/>
                <w:color w:val="auto"/>
                <w:sz w:val="24"/>
                <w:szCs w:val="24"/>
              </w:rPr>
              <w:t xml:space="preserve">需提供技术条款响应偏离表并按技术参数要求提供证明材料，供应商仅做出响应但是未按技术参数要求提供证明材料的，视为负偏离；未要求提供证明材料和未加“★</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”部分以技术条款响应偏离表为准。</w:t>
            </w:r>
            <w:r/>
          </w:p>
        </w:tc>
      </w:tr>
      <w:tr>
        <w:trPr>
          <w:cantSplit/>
          <w:trHeight w:val="1345"/>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lang w:eastAsia="zh-Hans"/>
              </w:rPr>
            </w:pPr>
            <w:r>
              <w:rPr>
                <w:rFonts w:hint="eastAsia" w:ascii="宋体" w:hAnsi="宋体" w:eastAsia="宋体" w:cs="宋体"/>
                <w:color w:val="auto"/>
                <w:sz w:val="24"/>
                <w:szCs w:val="24"/>
                <w:lang w:eastAsia="zh-Hans"/>
              </w:rPr>
              <w:t xml:space="preserve">项目实施方案</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第4条“</w:t>
            </w:r>
            <w:r>
              <w:rPr>
                <w:rFonts w:ascii="宋体" w:hAnsi="宋体" w:eastAsia="宋体" w:cs="宋体"/>
                <w:color w:val="auto"/>
                <w:sz w:val="24"/>
                <w:szCs w:val="24"/>
              </w:rPr>
              <w:t xml:space="preserve">实施方案要求</w:t>
            </w:r>
            <w:r>
              <w:rPr>
                <w:rFonts w:hint="eastAsia" w:ascii="宋体" w:hAnsi="宋体" w:eastAsia="宋体" w:cs="宋体"/>
                <w:color w:val="auto"/>
                <w:sz w:val="24"/>
                <w:szCs w:val="24"/>
              </w:rPr>
              <w:t xml:space="preserve">”的响应情况进行评审：</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）投标文件未符合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实施方案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中全部条款要求的，视为不符合招标文件，本项得</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实施方案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中全部条款要求的，视为符合招标文件，本项得</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实施方案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中全部条款要求的，且有两项及以上优于条款要求的，本项得</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分。</w:t>
            </w:r>
            <w:r/>
          </w:p>
        </w:tc>
      </w:tr>
      <w:tr>
        <w:trPr>
          <w:cantSplit/>
          <w:trHeight w:val="1345"/>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lang w:eastAsia="zh-Hans"/>
              </w:rPr>
            </w:pPr>
            <w:r>
              <w:rPr>
                <w:rFonts w:hint="eastAsia" w:ascii="宋体" w:hAnsi="宋体" w:eastAsia="宋体" w:cs="宋体"/>
                <w:bCs/>
                <w:color w:val="auto"/>
                <w:sz w:val="24"/>
                <w:szCs w:val="24"/>
              </w:rPr>
              <w:t xml:space="preserve">培训方案</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第5条“</w:t>
            </w:r>
            <w:r>
              <w:rPr>
                <w:rFonts w:ascii="宋体" w:hAnsi="宋体" w:eastAsia="宋体" w:cs="宋体"/>
                <w:color w:val="auto"/>
                <w:sz w:val="24"/>
                <w:szCs w:val="24"/>
              </w:rPr>
              <w:t xml:space="preserve">培训方案要求</w:t>
            </w:r>
            <w:r>
              <w:rPr>
                <w:rFonts w:hint="eastAsia" w:ascii="宋体" w:hAnsi="宋体" w:eastAsia="宋体" w:cs="宋体"/>
                <w:color w:val="auto"/>
                <w:sz w:val="24"/>
                <w:szCs w:val="24"/>
              </w:rPr>
              <w:t xml:space="preserve">”的响应情况进行评审：</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）投标文件未符合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培训方案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中全部条款要求的，视为不符合招标文件，本项得</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培训方案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中全部条款要求的，视为符合招标文件，本项得</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培训方案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中全部条款要求的，且有两项及以上优于条款要求的，本项得</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分。</w:t>
            </w:r>
            <w:r/>
          </w:p>
        </w:tc>
      </w:tr>
      <w:tr>
        <w:trPr>
          <w:cantSplit/>
          <w:trHeight w:val="1786"/>
        </w:trPr>
        <w:tc>
          <w:tcPr>
            <w:tcBorders>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lang w:eastAsia="zh-Hans"/>
              </w:rPr>
            </w:pPr>
            <w:r>
              <w:rPr>
                <w:rFonts w:hint="eastAsia" w:ascii="宋体" w:hAnsi="宋体" w:eastAsia="宋体" w:cs="宋体"/>
                <w:bCs/>
                <w:color w:val="auto"/>
                <w:sz w:val="24"/>
                <w:szCs w:val="24"/>
              </w:rPr>
              <w:t xml:space="preserve">售后服务方案</w:t>
            </w:r>
            <w:r/>
          </w:p>
        </w:tc>
        <w:tc>
          <w:tcPr>
            <w:tcBorders>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第6条“</w:t>
            </w:r>
            <w:r>
              <w:rPr>
                <w:rFonts w:ascii="宋体" w:hAnsi="宋体" w:eastAsia="宋体" w:cs="宋体"/>
                <w:color w:val="auto"/>
                <w:sz w:val="24"/>
                <w:szCs w:val="24"/>
              </w:rPr>
              <w:t xml:space="preserve">售后服务方案要求</w:t>
            </w:r>
            <w:r>
              <w:rPr>
                <w:rFonts w:hint="eastAsia" w:ascii="宋体" w:hAnsi="宋体" w:eastAsia="宋体" w:cs="宋体"/>
                <w:color w:val="auto"/>
                <w:sz w:val="24"/>
                <w:szCs w:val="24"/>
              </w:rPr>
              <w:t xml:space="preserve">”的响应情况进行评审：</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）投标文件未符合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售后服务方案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中全部条款要求的，视为不符合招标文件，本项得</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售后服务方案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中全部条款要求的，视为符合招标文件，本项得2分。</w:t>
            </w:r>
            <w:r/>
          </w:p>
          <w:p>
            <w:pPr>
              <w:pStyle w:val="775"/>
              <w:rPr>
                <w:color w:val="auto"/>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售后服务方案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中全部条款要求的，且有两项及以上优于条款要求的，本项得4分。</w:t>
            </w:r>
            <w:r/>
          </w:p>
        </w:tc>
      </w:tr>
    </w:tbl>
    <w:p>
      <w:pPr>
        <w:ind w:firstLine="482"/>
        <w:spacing w:line="500" w:lineRule="exact"/>
        <w:rPr>
          <w:rFonts w:ascii="宋体" w:hAnsi="宋体" w:eastAsia="宋体" w:cs="宋体"/>
          <w:b/>
          <w:bCs/>
          <w:color w:val="auto"/>
          <w:sz w:val="24"/>
          <w:szCs w:val="28"/>
        </w:rPr>
      </w:pPr>
      <w:r>
        <w:rPr>
          <w:rFonts w:ascii="宋体" w:hAnsi="宋体" w:eastAsia="宋体" w:cs="宋体"/>
          <w:b/>
          <w:bCs/>
          <w:color w:val="auto"/>
          <w:sz w:val="24"/>
          <w:szCs w:val="28"/>
        </w:rPr>
      </w:r>
      <w:r/>
    </w:p>
    <w:p>
      <w:pPr>
        <w:pStyle w:val="790"/>
        <w:ind w:firstLine="482"/>
        <w:spacing w:line="520" w:lineRule="exact"/>
        <w:rPr>
          <w:rFonts w:hAnsi="宋体" w:eastAsia="宋体" w:cs="宋体"/>
          <w:b/>
          <w:bCs/>
          <w:color w:val="auto"/>
          <w:sz w:val="24"/>
          <w:szCs w:val="28"/>
        </w:rPr>
      </w:pPr>
      <w:r>
        <w:rPr>
          <w:rFonts w:hint="eastAsia" w:hAnsi="宋体" w:eastAsia="宋体" w:cs="宋体"/>
          <w:b/>
          <w:bCs/>
          <w:color w:val="auto"/>
          <w:sz w:val="24"/>
          <w:szCs w:val="28"/>
        </w:rPr>
        <w:t xml:space="preserve">包五评分细则：</w:t>
      </w:r>
      <w:r/>
    </w:p>
    <w:tbl>
      <w:tblPr>
        <w:tblStyle w:val="773"/>
        <w:tblW w:w="10192" w:type="dxa"/>
        <w:tblInd w:w="-2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242"/>
        <w:gridCol w:w="811"/>
        <w:gridCol w:w="7516"/>
      </w:tblGrid>
      <w:tr>
        <w:trPr>
          <w:cantSplit/>
          <w:trHeight w:val="870"/>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评审</w:t>
            </w:r>
            <w:r/>
          </w:p>
          <w:p>
            <w:pPr>
              <w:jc w:val="center"/>
              <w:rPr>
                <w:rFonts w:ascii="宋体" w:hAnsi="宋体" w:eastAsia="宋体" w:cs="宋体"/>
                <w:b/>
                <w:bCs/>
                <w:color w:val="auto"/>
                <w:sz w:val="24"/>
              </w:rPr>
            </w:pPr>
            <w:r>
              <w:rPr>
                <w:rFonts w:hint="eastAsia" w:ascii="宋体" w:hAnsi="宋体" w:eastAsia="宋体" w:cs="宋体"/>
                <w:b/>
                <w:bCs/>
                <w:color w:val="auto"/>
                <w:sz w:val="24"/>
              </w:rPr>
              <w:t xml:space="preserve">项目</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分值</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评审细则</w:t>
            </w:r>
            <w:r/>
          </w:p>
        </w:tc>
      </w:tr>
      <w:tr>
        <w:trPr>
          <w:cantSplit/>
          <w:trHeight w:val="1346"/>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rPr>
            </w:pPr>
            <w:r>
              <w:rPr>
                <w:rFonts w:hint="eastAsia" w:ascii="宋体" w:hAnsi="宋体" w:eastAsia="宋体" w:cs="宋体"/>
                <w:color w:val="auto"/>
                <w:sz w:val="24"/>
                <w:szCs w:val="24"/>
              </w:rPr>
              <w:t xml:space="preserve">价格</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0分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采用低价优先法计算，即满足招标文件要求且投标价格最低的投标报价为评标基准价，其价格分为满分。其他投标人的价格部分统一按照下列公式计算：投标报价得分=（评标基准价／投标报价）×</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0%×100。</w:t>
            </w:r>
            <w:r/>
          </w:p>
        </w:tc>
      </w:tr>
      <w:tr>
        <w:trPr>
          <w:cantSplit/>
          <w:trHeight w:val="1446"/>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企业业绩</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10分</w:t>
            </w:r>
            <w:r/>
          </w:p>
        </w:tc>
        <w:tc>
          <w:tcPr>
            <w:tcBorders>
              <w:top w:val="single" w:color="auto" w:sz="4" w:space="0"/>
              <w:left w:val="single" w:color="auto" w:sz="4" w:space="0"/>
              <w:right w:val="single" w:color="auto" w:sz="4" w:space="0"/>
            </w:tcBorders>
            <w:tcW w:w="7516"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供应商提供2023年1月1日以来（以合同签订时间为准）与本项目类似的项目业绩证明，每提供1份得2分，本项最高得10分。</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注：须提供合同及合同期内任意一个结算发票扫描上传作为得分依据，缺一不可。</w:t>
            </w:r>
            <w:r/>
          </w:p>
        </w:tc>
      </w:tr>
      <w:tr>
        <w:trPr>
          <w:cantSplit/>
          <w:trHeight w:val="1446"/>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运维期</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8</w:t>
            </w:r>
            <w:r>
              <w:rPr>
                <w:rFonts w:hint="eastAsia" w:ascii="宋体" w:hAnsi="宋体" w:eastAsia="宋体" w:cs="宋体"/>
                <w:color w:val="auto"/>
                <w:sz w:val="24"/>
                <w:szCs w:val="24"/>
              </w:rPr>
              <w:t xml:space="preserve">分</w:t>
            </w:r>
            <w:r/>
          </w:p>
        </w:tc>
        <w:tc>
          <w:tcPr>
            <w:tcBorders>
              <w:top w:val="single" w:color="auto" w:sz="4" w:space="0"/>
              <w:left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第7条“质保（运维）期要求”的响应情况进行评审：</w:t>
            </w:r>
            <w:r/>
          </w:p>
          <w:p>
            <w:pPr>
              <w:pStyle w:val="775"/>
              <w:rPr>
                <w:rFonts w:ascii="宋体" w:hAnsi="宋体" w:eastAsia="宋体" w:cs="宋体"/>
                <w:color w:val="auto"/>
                <w:sz w:val="24"/>
                <w:szCs w:val="24"/>
              </w:rPr>
            </w:pPr>
            <w:r>
              <w:rPr>
                <w:rFonts w:hint="eastAsia" w:ascii="宋体" w:hAnsi="宋体" w:eastAsia="宋体" w:cs="宋体"/>
                <w:color w:val="auto"/>
                <w:sz w:val="24"/>
                <w:szCs w:val="24"/>
              </w:rPr>
              <w:t xml:space="preserve">系统整体满足招标文件免费运维期要求（6年），在此基础上免费运维每增加1年加</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分，本项最高得</w:t>
            </w:r>
            <w:r>
              <w:rPr>
                <w:rFonts w:ascii="宋体" w:hAnsi="宋体" w:eastAsia="宋体" w:cs="宋体"/>
                <w:color w:val="auto"/>
                <w:sz w:val="24"/>
                <w:szCs w:val="24"/>
              </w:rPr>
              <w:t xml:space="preserve">8</w:t>
            </w:r>
            <w:r>
              <w:rPr>
                <w:rFonts w:hint="eastAsia" w:ascii="宋体" w:hAnsi="宋体" w:eastAsia="宋体" w:cs="宋体"/>
                <w:color w:val="auto"/>
                <w:sz w:val="24"/>
                <w:szCs w:val="24"/>
              </w:rPr>
              <w:t xml:space="preserve">分。增加的运维需提供投标人出具的运维服务承诺书（若</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rPr>
              <w:t xml:space="preserve">文件中出现前后不一致的情况，以最低免费运维期作为评分依据）</w:t>
            </w:r>
            <w:r/>
          </w:p>
        </w:tc>
      </w:tr>
      <w:tr>
        <w:trPr>
          <w:cantSplit/>
          <w:trHeight w:val="1446"/>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技术响应</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ascii="宋体" w:hAnsi="宋体" w:eastAsia="宋体" w:cs="宋体"/>
                <w:color w:val="auto"/>
                <w:sz w:val="24"/>
                <w:szCs w:val="24"/>
              </w:rPr>
              <w:t xml:space="preserve">4</w:t>
            </w:r>
            <w:r>
              <w:rPr>
                <w:rFonts w:hint="eastAsia" w:ascii="宋体" w:hAnsi="宋体" w:eastAsia="宋体" w:cs="宋体"/>
                <w:color w:val="auto"/>
                <w:sz w:val="24"/>
                <w:szCs w:val="24"/>
              </w:rPr>
              <w:t xml:space="preserve">分</w:t>
            </w:r>
            <w:r/>
          </w:p>
        </w:tc>
        <w:tc>
          <w:tcPr>
            <w:tcBorders>
              <w:top w:val="single" w:color="auto" w:sz="4" w:space="0"/>
              <w:left w:val="single" w:color="auto" w:sz="4" w:space="0"/>
              <w:right w:val="single" w:color="auto" w:sz="4" w:space="0"/>
            </w:tcBorders>
            <w:tcW w:w="7516" w:type="dxa"/>
            <w:vAlign w:val="center"/>
            <w:textDirection w:val="lrTb"/>
            <w:noWrap w:val="false"/>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根据各投标人对本次采购需求部分响应情况进行评定。投标人的所有技术要求及相关说明满足采购需求的得满分3</w:t>
            </w:r>
            <w:r>
              <w:rPr>
                <w:rFonts w:ascii="宋体" w:hAnsi="宋体" w:eastAsia="宋体" w:cs="宋体"/>
                <w:color w:val="auto"/>
                <w:sz w:val="24"/>
                <w:szCs w:val="24"/>
              </w:rPr>
              <w:t xml:space="preserve">4</w:t>
            </w:r>
            <w:r>
              <w:rPr>
                <w:rFonts w:hint="eastAsia" w:ascii="宋体" w:hAnsi="宋体" w:eastAsia="宋体" w:cs="宋体"/>
                <w:color w:val="auto"/>
                <w:sz w:val="24"/>
                <w:szCs w:val="24"/>
              </w:rPr>
              <w:t xml:space="preserve">分；其中技术要求及相关说明加“★”部分出现负偏离的，有一项扣5分；技术要求及相关说明未加“★”部分出现负偏离的，有一项扣2分；扣完为止。</w:t>
            </w:r>
            <w:r/>
          </w:p>
          <w:p>
            <w:pPr>
              <w:jc w:val="left"/>
              <w:rPr>
                <w:rFonts w:ascii="宋体" w:hAnsi="宋体" w:eastAsia="宋体" w:cs="宋体"/>
                <w:color w:val="auto"/>
                <w:sz w:val="24"/>
                <w:szCs w:val="24"/>
              </w:rPr>
            </w:pPr>
            <w:r>
              <w:rPr>
                <w:rFonts w:hint="eastAsia" w:ascii="宋体" w:hAnsi="宋体" w:eastAsia="宋体" w:cs="宋体"/>
                <w:b/>
                <w:bCs/>
                <w:color w:val="auto"/>
                <w:sz w:val="24"/>
                <w:szCs w:val="24"/>
              </w:rPr>
              <w:t xml:space="preserve">注：加“★”部分需提供技术条款响应偏离表并按技术参数要求提供证明材料，供应商仅做出响应但是未按技术参数要求提供证明材料的，视为负偏离；未要求提供证明材料和未加“★”部分以技术条款响应偏离表为准。</w:t>
            </w:r>
            <w:r/>
          </w:p>
        </w:tc>
      </w:tr>
      <w:tr>
        <w:trPr>
          <w:cantSplit/>
          <w:trHeight w:val="1345"/>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lang w:eastAsia="zh-Hans"/>
              </w:rPr>
            </w:pPr>
            <w:r>
              <w:rPr>
                <w:rFonts w:hint="eastAsia" w:ascii="宋体" w:hAnsi="宋体" w:eastAsia="宋体" w:cs="宋体"/>
                <w:color w:val="auto"/>
                <w:sz w:val="24"/>
                <w:szCs w:val="24"/>
                <w:lang w:eastAsia="zh-Hans"/>
              </w:rPr>
              <w:t xml:space="preserve">项目实施方案</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第4条“</w:t>
            </w:r>
            <w:r>
              <w:rPr>
                <w:rFonts w:ascii="宋体" w:hAnsi="宋体" w:eastAsia="宋体" w:cs="宋体"/>
                <w:color w:val="auto"/>
                <w:sz w:val="24"/>
                <w:szCs w:val="24"/>
              </w:rPr>
              <w:t xml:space="preserve">实施方案要求</w:t>
            </w:r>
            <w:r>
              <w:rPr>
                <w:rFonts w:hint="eastAsia" w:ascii="宋体" w:hAnsi="宋体" w:eastAsia="宋体" w:cs="宋体"/>
                <w:color w:val="auto"/>
                <w:sz w:val="24"/>
                <w:szCs w:val="24"/>
              </w:rPr>
              <w:t xml:space="preserve">”的响应情况进行评审：</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）投标文件未符合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实施方案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中全部条款要求的，视为不符合招标文件，本项得</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实施方案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中全部条款要求的，视为符合招标文件，本项得3分。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实施方案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中全部条款要求的，且有两项及以上优于条款要求的，本项得6分。</w:t>
            </w:r>
            <w:r/>
          </w:p>
        </w:tc>
      </w:tr>
      <w:tr>
        <w:trPr>
          <w:cantSplit/>
          <w:trHeight w:val="1345"/>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lang w:eastAsia="zh-Hans"/>
              </w:rPr>
            </w:pPr>
            <w:r>
              <w:rPr>
                <w:rFonts w:hint="eastAsia" w:ascii="宋体" w:hAnsi="宋体" w:eastAsia="宋体" w:cs="宋体"/>
                <w:bCs/>
                <w:color w:val="auto"/>
                <w:sz w:val="24"/>
                <w:szCs w:val="24"/>
              </w:rPr>
              <w:t xml:space="preserve">培训方案</w:t>
            </w:r>
            <w:r/>
          </w:p>
        </w:tc>
        <w:tc>
          <w:tcPr>
            <w:tcBorders>
              <w:top w:val="single" w:color="auto" w:sz="4" w:space="0"/>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第5条“</w:t>
            </w:r>
            <w:r>
              <w:rPr>
                <w:rFonts w:ascii="宋体" w:hAnsi="宋体" w:eastAsia="宋体" w:cs="宋体"/>
                <w:color w:val="auto"/>
                <w:sz w:val="24"/>
                <w:szCs w:val="24"/>
              </w:rPr>
              <w:t xml:space="preserve">培训方案要求</w:t>
            </w:r>
            <w:r>
              <w:rPr>
                <w:rFonts w:hint="eastAsia" w:ascii="宋体" w:hAnsi="宋体" w:eastAsia="宋体" w:cs="宋体"/>
                <w:color w:val="auto"/>
                <w:sz w:val="24"/>
                <w:szCs w:val="24"/>
              </w:rPr>
              <w:t xml:space="preserve">”的响应情况进行评审：</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）投标文件未符合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培训方案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中全部条款要求的，视为不符合招标文件，本项得</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培训方案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中全部条款要求的，视为符合招标文件，本项得3分。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培训方案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中全部条款要求的，且有两项及以上优于条款要求的，本项得6分。</w:t>
            </w:r>
            <w:r/>
          </w:p>
        </w:tc>
      </w:tr>
      <w:tr>
        <w:trPr>
          <w:cantSplit/>
          <w:trHeight w:val="1786"/>
        </w:trPr>
        <w:tc>
          <w:tcPr>
            <w:tcBorders>
              <w:left w:val="single" w:color="auto" w:sz="4" w:space="0"/>
              <w:right w:val="single" w:color="auto" w:sz="4" w:space="0"/>
            </w:tcBorders>
            <w:tcW w:w="62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left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lang w:eastAsia="zh-Hans"/>
              </w:rPr>
            </w:pPr>
            <w:r>
              <w:rPr>
                <w:rFonts w:hint="eastAsia" w:ascii="宋体" w:hAnsi="宋体" w:eastAsia="宋体" w:cs="宋体"/>
                <w:bCs/>
                <w:color w:val="auto"/>
                <w:sz w:val="24"/>
                <w:szCs w:val="24"/>
              </w:rPr>
              <w:t xml:space="preserve">售后服务方案</w:t>
            </w:r>
            <w:r/>
          </w:p>
        </w:tc>
        <w:tc>
          <w:tcPr>
            <w:tcBorders>
              <w:left w:val="single" w:color="auto" w:sz="4" w:space="0"/>
              <w:right w:val="single" w:color="auto" w:sz="4" w:space="0"/>
            </w:tcBorders>
            <w:tcW w:w="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6分</w:t>
            </w:r>
            <w:r/>
          </w:p>
        </w:tc>
        <w:tc>
          <w:tcPr>
            <w:tcBorders>
              <w:top w:val="single" w:color="auto" w:sz="4" w:space="0"/>
              <w:left w:val="single" w:color="auto" w:sz="4" w:space="0"/>
              <w:bottom w:val="single" w:color="auto" w:sz="4" w:space="0"/>
              <w:right w:val="single" w:color="auto" w:sz="4" w:space="0"/>
            </w:tcBorders>
            <w:tcW w:w="7516"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评委根据投标文件对招标文件中第三章</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商务条款</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第6条“</w:t>
            </w:r>
            <w:r>
              <w:rPr>
                <w:rFonts w:ascii="宋体" w:hAnsi="宋体" w:eastAsia="宋体" w:cs="宋体"/>
                <w:color w:val="auto"/>
                <w:sz w:val="24"/>
                <w:szCs w:val="24"/>
              </w:rPr>
              <w:t xml:space="preserve">售后服务方案要求</w:t>
            </w:r>
            <w:r>
              <w:rPr>
                <w:rFonts w:hint="eastAsia" w:ascii="宋体" w:hAnsi="宋体" w:eastAsia="宋体" w:cs="宋体"/>
                <w:color w:val="auto"/>
                <w:sz w:val="24"/>
                <w:szCs w:val="24"/>
              </w:rPr>
              <w:t xml:space="preserve">”的响应情况进行评审：</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）投标文件未符合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售后服务方案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中全部条款要求的，视为不符合招标文件，本项得</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分。</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售后服务方案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中全部条款要求的，视为符合招标文件，本项得3分。</w:t>
            </w:r>
            <w:r/>
          </w:p>
          <w:p>
            <w:pPr>
              <w:pStyle w:val="775"/>
              <w:rPr>
                <w:color w:val="auto"/>
              </w:rPr>
            </w:pP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）投标文件符合</w:t>
            </w:r>
            <w:r>
              <w:rPr>
                <w:rFonts w:hint="cs" w:ascii="宋体" w:hAnsi="宋体" w:eastAsia="宋体" w:cs="宋体"/>
                <w:color w:val="auto"/>
                <w:sz w:val="24"/>
                <w:szCs w:val="24"/>
              </w:rPr>
              <w:t xml:space="preserve">“</w:t>
            </w:r>
            <w:r>
              <w:rPr>
                <w:rFonts w:ascii="宋体" w:hAnsi="宋体" w:eastAsia="宋体" w:cs="宋体"/>
                <w:color w:val="auto"/>
                <w:sz w:val="24"/>
                <w:szCs w:val="24"/>
              </w:rPr>
              <w:t xml:space="preserve">售后服务方案</w:t>
            </w:r>
            <w:r>
              <w:rPr>
                <w:rFonts w:hint="cs" w:ascii="宋体" w:hAnsi="宋体" w:eastAsia="宋体" w:cs="宋体"/>
                <w:color w:val="auto"/>
                <w:sz w:val="24"/>
                <w:szCs w:val="24"/>
              </w:rPr>
              <w:t xml:space="preserve">”</w:t>
            </w:r>
            <w:r>
              <w:rPr>
                <w:rFonts w:hint="eastAsia" w:ascii="宋体" w:hAnsi="宋体" w:eastAsia="宋体" w:cs="宋体"/>
                <w:color w:val="auto"/>
                <w:sz w:val="24"/>
                <w:szCs w:val="24"/>
              </w:rPr>
              <w:t xml:space="preserve">中全部条款要求的，且有两项及以上优于条款要求的，本项得6分。</w:t>
            </w:r>
            <w:r/>
          </w:p>
        </w:tc>
      </w:tr>
    </w:tbl>
    <w:p>
      <w:pPr>
        <w:ind w:firstLine="482"/>
        <w:spacing w:line="500" w:lineRule="exact"/>
        <w:rPr>
          <w:rFonts w:ascii="宋体" w:hAnsi="宋体" w:eastAsia="宋体" w:cs="宋体"/>
          <w:b/>
          <w:bCs/>
          <w:color w:val="auto"/>
          <w:sz w:val="24"/>
          <w:szCs w:val="28"/>
        </w:rPr>
      </w:pPr>
      <w:r>
        <w:rPr>
          <w:rFonts w:ascii="宋体" w:hAnsi="宋体" w:eastAsia="宋体" w:cs="宋体"/>
          <w:b/>
          <w:bCs/>
          <w:color w:val="auto"/>
          <w:sz w:val="24"/>
          <w:szCs w:val="28"/>
        </w:rPr>
      </w:r>
      <w:r/>
    </w:p>
    <w:p>
      <w:pPr>
        <w:ind w:firstLine="482"/>
        <w:spacing w:line="500" w:lineRule="exact"/>
        <w:rPr>
          <w:rFonts w:ascii="宋体" w:hAnsi="宋体" w:eastAsia="宋体" w:cs="宋体"/>
          <w:b/>
          <w:color w:val="auto"/>
          <w:sz w:val="24"/>
          <w:szCs w:val="24"/>
        </w:rPr>
      </w:pPr>
      <w:r>
        <w:rPr>
          <w:rFonts w:hint="eastAsia" w:ascii="宋体" w:hAnsi="宋体" w:eastAsia="宋体" w:cs="宋体"/>
          <w:b/>
          <w:bCs/>
          <w:color w:val="auto"/>
          <w:sz w:val="24"/>
          <w:szCs w:val="28"/>
        </w:rPr>
        <w:t xml:space="preserve">注：</w:t>
      </w:r>
      <w:r>
        <w:rPr>
          <w:rFonts w:hint="eastAsia" w:ascii="宋体" w:hAnsi="宋体" w:eastAsia="宋体" w:cs="宋体"/>
          <w:b/>
          <w:color w:val="auto"/>
          <w:sz w:val="24"/>
          <w:szCs w:val="24"/>
        </w:rPr>
        <w:t xml:space="preserve">投标人必须保证全部投标资料的真实性，如有虚假或对招标文件所要求说明的情况故意隐瞒或虚报，视为不实质性响应招标文件，为无效投标。已中标的将取消中标资格，并按《中华人民共和国政府采购法》等法律法规处理。</w:t>
      </w:r>
      <w:r/>
    </w:p>
    <w:p>
      <w:pPr>
        <w:ind w:firstLine="482"/>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482"/>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482"/>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pStyle w:val="775"/>
        <w:rPr>
          <w:rFonts w:ascii="宋体" w:hAnsi="宋体" w:eastAsia="宋体" w:cs="宋体"/>
          <w:b/>
          <w:color w:val="auto"/>
          <w:sz w:val="24"/>
          <w:szCs w:val="24"/>
        </w:rPr>
      </w:pPr>
      <w:r>
        <w:rPr>
          <w:rFonts w:ascii="宋体" w:hAnsi="宋体" w:eastAsia="宋体" w:cs="宋体"/>
          <w:b/>
          <w:color w:val="auto"/>
          <w:sz w:val="24"/>
          <w:szCs w:val="24"/>
        </w:rPr>
      </w:r>
      <w:r/>
    </w:p>
    <w:p>
      <w:pPr>
        <w:jc w:val="center"/>
        <w:spacing w:line="300" w:lineRule="auto"/>
        <w:rPr>
          <w:rFonts w:ascii="宋体" w:hAnsi="宋体" w:eastAsia="宋体" w:cs="宋体"/>
          <w:b/>
          <w:bCs/>
          <w:color w:val="auto"/>
          <w:sz w:val="32"/>
          <w:szCs w:val="32"/>
        </w:rPr>
        <w:outlineLvl w:val="0"/>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jc w:val="cente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jc w:val="cente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color w:val="auto"/>
          <w:sz w:val="32"/>
          <w:szCs w:val="32"/>
        </w:rPr>
        <w:t xml:space="preserve">第五章 合同条款</w:t>
      </w:r>
      <w:r/>
    </w:p>
    <w:p>
      <w:pPr>
        <w:pStyle w:val="796"/>
        <w:jc w:val="center"/>
        <w:spacing w:line="520" w:lineRule="exact"/>
        <w:tabs>
          <w:tab w:val="right" w:pos="8715" w:leader="dot"/>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（货物名称）采购合同</w:t>
      </w:r>
      <w:r/>
    </w:p>
    <w:p>
      <w:pPr>
        <w:pStyle w:val="796"/>
        <w:jc w:val="center"/>
        <w:spacing w:line="520" w:lineRule="exact"/>
        <w:tabs>
          <w:tab w:val="right" w:pos="8715" w:leader="dot"/>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（参考文本）</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以下为采购人与中标人签订本项目合同的通用条款，中标人不得提出实质性的修改，关于专用条款将由采购人与中标人结合本项目具体情况协商后签订。</w:t>
      </w:r>
      <w:r/>
    </w:p>
    <w:p>
      <w:pPr>
        <w:ind w:firstLine="480"/>
        <w:spacing w:line="520" w:lineRule="exact"/>
        <w:rPr>
          <w:rFonts w:ascii="宋体" w:hAnsi="宋体" w:eastAsia="宋体" w:cs="宋体"/>
          <w:bCs/>
          <w:color w:val="auto"/>
          <w:sz w:val="24"/>
          <w:szCs w:val="24"/>
        </w:rPr>
      </w:pPr>
      <w:r>
        <w:rPr>
          <w:rFonts w:ascii="宋体" w:hAnsi="宋体" w:eastAsia="宋体" w:cs="宋体"/>
          <w:bCs/>
          <w:color w:val="auto"/>
          <w:sz w:val="24"/>
          <w:szCs w:val="24"/>
        </w:rPr>
      </w:r>
      <w:r/>
    </w:p>
    <w:p>
      <w:pPr>
        <w:ind w:firstLine="480"/>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项目编号：</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w:t>
      </w:r>
      <w:r>
        <w:rPr>
          <w:rFonts w:hint="eastAsia" w:ascii="宋体" w:hAnsi="宋体" w:eastAsia="宋体" w:cs="宋体"/>
          <w:color w:val="auto"/>
          <w:sz w:val="24"/>
          <w:szCs w:val="24"/>
          <w:u w:val="single"/>
        </w:rPr>
        <w:t xml:space="preserve">江苏农牧科技职业学院</w:t>
      </w:r>
      <w:r>
        <w:rPr>
          <w:rFonts w:hint="eastAsia" w:ascii="宋体" w:hAnsi="宋体" w:eastAsia="宋体" w:cs="宋体"/>
          <w:color w:val="auto"/>
          <w:sz w:val="24"/>
          <w:szCs w:val="24"/>
        </w:rPr>
        <w:t xml:space="preserve">（以下简称甲方）供应商：   （以下简称乙方）</w:t>
      </w:r>
      <w:r/>
    </w:p>
    <w:p>
      <w:pPr>
        <w:ind w:firstLine="480"/>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住所地：                                    住所地：</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根据《中华人民共和国政府采购法》《</w:t>
      </w:r>
      <w:r>
        <w:rPr>
          <w:rFonts w:hint="eastAsia" w:ascii="宋体" w:hAnsi="宋体" w:eastAsia="宋体" w:cs="宋体"/>
          <w:color w:val="auto"/>
          <w:sz w:val="24"/>
          <w:szCs w:val="24"/>
          <w:shd w:val="clear" w:color="auto" w:fill="ffffff"/>
        </w:rPr>
        <w:t xml:space="preserve">中华人民共和国民法典</w:t>
      </w:r>
      <w:r>
        <w:rPr>
          <w:rFonts w:hint="eastAsia" w:ascii="宋体" w:hAnsi="宋体" w:eastAsia="宋体" w:cs="宋体"/>
          <w:color w:val="auto"/>
          <w:sz w:val="24"/>
          <w:szCs w:val="24"/>
        </w:rPr>
        <w:t xml:space="preserve">》等法律法规的规定，甲乙双方按照江苏省政府采购网的招标结果签订本合同。</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第一条</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合同标的乙方根据甲方需求提供下列货物：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货物的名称、品牌、型号、规格、数量、技术参数、货物内容等全部以本合同第二条第3项分项报价表、乙方投标文件及本次采购文件载明的内容为准，乙方提供的货物/服务不得低于前述文件约定的标准。</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第二条</w:t>
      </w:r>
      <w:r>
        <w:rPr>
          <w:rFonts w:hint="eastAsia" w:ascii="宋体" w:hAnsi="宋体" w:eastAsia="宋体" w:cs="宋体"/>
          <w:color w:val="auto"/>
          <w:sz w:val="24"/>
          <w:szCs w:val="24"/>
        </w:rPr>
        <w:t xml:space="preserve"> 合同总价款本合同项下服务（或货物）总价款为（大写）人民币，分项价款在“投标报价表”中有明确规定。</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1.本合同总价款包含完成本项目发生的所有含税费用、支付给员工的工资和国家强制缴纳的各种社会保障资金，以及供应商认为需要的其他费用等。</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2.本合同执行固定单价合同。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3.分项报价：</w:t>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1276"/>
        <w:gridCol w:w="1134"/>
        <w:gridCol w:w="709"/>
        <w:gridCol w:w="708"/>
        <w:gridCol w:w="1134"/>
        <w:gridCol w:w="1068"/>
      </w:tblGrid>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产地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总价（元）</w:t>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W w:w="75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701"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276"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709"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70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06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W w:w="75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701"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276" w:type="dxa"/>
            <w:vAlign w:val="center"/>
            <w:textDirection w:val="lrTb"/>
            <w:noWrap w:val="false"/>
          </w:tcPr>
          <w:p>
            <w:pPr>
              <w:ind w:firstLine="480"/>
              <w:spacing w:line="520" w:lineRule="exact"/>
              <w:tabs>
                <w:tab w:val="left" w:pos="420" w:leader="none"/>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r>
            <w:r/>
          </w:p>
        </w:tc>
        <w:tc>
          <w:tcPr>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709"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70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134"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c>
          <w:tcPr>
            <w:tcW w:w="1068" w:type="dxa"/>
            <w:vAlign w:val="center"/>
            <w:textDirection w:val="lrTb"/>
            <w:noWrap w:val="false"/>
          </w:tcPr>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bl>
    <w:p>
      <w:pPr>
        <w:ind w:firstLine="480"/>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第三条</w:t>
      </w:r>
      <w:r>
        <w:rPr>
          <w:rFonts w:hint="eastAsia" w:ascii="宋体" w:hAnsi="宋体" w:eastAsia="宋体" w:cs="宋体"/>
          <w:color w:val="auto"/>
          <w:sz w:val="24"/>
          <w:szCs w:val="24"/>
        </w:rPr>
        <w:t xml:space="preserve"> 组成本合同的有关文件</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下列关于江苏省政府采购</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的采购文件、响应文件或与本次采购活动方式相适应的文件及有关附件是本合同不可分割的组成部分，与本合同具有同等法律效力，这些文件包括但不限于：</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1.乙方提供的投标文件和投标报价表；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2.技术规格响应表；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3.投标承诺/服务承诺；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4.成交通知书；</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5.甲乙双方商定的其他文件等。</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上述文件内容存在不一致的，以文件形成时间在后者为准。</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第四条</w:t>
      </w:r>
      <w:r>
        <w:rPr>
          <w:rFonts w:hint="eastAsia" w:ascii="宋体" w:hAnsi="宋体" w:eastAsia="宋体" w:cs="宋体"/>
          <w:color w:val="auto"/>
          <w:sz w:val="24"/>
          <w:szCs w:val="24"/>
        </w:rPr>
        <w:t xml:space="preserve"> 履行合同期限、地点、风险转移</w:t>
      </w:r>
      <w:r/>
    </w:p>
    <w:p>
      <w:pPr>
        <w:ind w:firstLine="480"/>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1.履行合同期限：</w:t>
      </w:r>
      <w:r/>
    </w:p>
    <w:p>
      <w:pPr>
        <w:ind w:firstLine="480"/>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2.履行合同地点：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本合同项下产品的运输及保险全部由乙方负责。乙方须采取适于安全、准时完成本合同项下义务的运输措施，将货物运至甲方指定的到货地点。运输中发生的全部费用由乙方承担，运输过程中发生货物损毁、灭失或其他意外的，相关责任由乙方自行承担，乙方应在7个工作日内按甲方要求补足符合合同约定的货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承运人指定：□甲方</w:t>
      </w: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乙方；运费承担：□甲方</w:t>
      </w: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乙方；保费承担：□甲方</w:t>
      </w: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乙方。</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第五条 </w:t>
      </w:r>
      <w:r>
        <w:rPr>
          <w:rFonts w:hint="eastAsia" w:ascii="宋体" w:hAnsi="宋体" w:eastAsia="宋体" w:cs="宋体"/>
          <w:color w:val="auto"/>
          <w:sz w:val="24"/>
          <w:szCs w:val="24"/>
        </w:rPr>
        <w:t xml:space="preserve">权利保证</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乙方应保证向甲方提供的货物或服务不存在任何权利瑕疵，不会侵犯任何第三方的专利权、版权、商标权或其他权利的起诉。一旦出现第三方主张权利或提起诉讼的情形，乙方应负责全部处理工作并承担所有费用，同时赔偿甲方因此遭受的全部损失。损失包括但不限于诉讼费/仲裁费、保全费、律师费、诉讼财产保全责任保险费、鉴定费、差旅费等。</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第六条 </w:t>
      </w:r>
      <w:r>
        <w:rPr>
          <w:rFonts w:hint="eastAsia" w:ascii="宋体" w:hAnsi="宋体" w:eastAsia="宋体" w:cs="宋体"/>
          <w:color w:val="auto"/>
          <w:sz w:val="24"/>
          <w:szCs w:val="24"/>
        </w:rPr>
        <w:t xml:space="preserve">质量保证</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1.乙方提供的货物或服务质量应当符合采购文件的约定，以及乙方的承诺。</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乙方应在甲方指定期限内免费更换，补足或修理至完全符合合同约定标准。</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3.除特别说明外，质量保证期为自货物验收合格之日起算，质保期间内乙方免费提供维修、更换、技术支持等全部相关服务，产生的所有费用由乙方自行承担。</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4.质保期：上述的货物整机质保期为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年，超过保修期的机器设备，提供终身维修服务。</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第七条</w:t>
      </w:r>
      <w:r>
        <w:rPr>
          <w:rFonts w:hint="eastAsia" w:ascii="宋体" w:hAnsi="宋体" w:eastAsia="宋体" w:cs="宋体"/>
          <w:color w:val="auto"/>
          <w:sz w:val="24"/>
          <w:szCs w:val="24"/>
        </w:rPr>
        <w:t xml:space="preserve"> 验收</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由验收双方共同签署。验收结果与采购合同约定的资金支付及履约保证金返还条件挂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2.甲方可以邀请参加本项目的其他供应商或第三方专业机构及专家参与验收。</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乙方交付的货物或服务不符合验收标准的。乙方应在甲方要求的期限内完成整改，整改次数累计不得超过3次，整改产生的全部费用由乙方自行承担。整改后仍不符合约定标准的，甲方有权拒绝接收、拒绝支付后续款项，并有权单方解除本合同。甲方委托第三方专业机构或专家参与验收产生的费用，如验收合格的由甲方承担，验收不合格的由乙方承担。</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第八条</w:t>
      </w:r>
      <w:r>
        <w:rPr>
          <w:rFonts w:hint="eastAsia" w:ascii="宋体" w:hAnsi="宋体" w:eastAsia="宋体" w:cs="宋体"/>
          <w:color w:val="auto"/>
          <w:sz w:val="24"/>
          <w:szCs w:val="24"/>
        </w:rPr>
        <w:t xml:space="preserve"> 履约保证金</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1.履约保证金采用以下方式：履约保证金：中标价的10%。形式：电汇、转账、支票、汇票、本票、保函等非现金形式。</w:t>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.如乙方未能履行合同规定的义务，甲方有权直接扣除全部或部分履约保证金以抵偿乙方应支付的违约金或赔偿金，履约保证金不足以弥补甲方损失的，乙方应另行赔偿。</w:t>
      </w:r>
      <w:r/>
    </w:p>
    <w:p>
      <w:pPr>
        <w:ind w:firstLine="420"/>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.履约保证金的有效期为该项目验收合格时止，甲方在扣除乙方应在验收合格承担的违约赔偿款项后无息退还履约保证金，逾期退还应承担相应的违约责任。</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第九条 </w:t>
      </w:r>
      <w:r>
        <w:rPr>
          <w:rFonts w:hint="eastAsia" w:ascii="宋体" w:hAnsi="宋体" w:eastAsia="宋体" w:cs="宋体"/>
          <w:color w:val="auto"/>
          <w:sz w:val="24"/>
          <w:szCs w:val="24"/>
        </w:rPr>
        <w:t xml:space="preserve">合同款支付</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1.本合同项下所有款项均以人民币支付。</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2.本合同项下的采购资金由甲方自行支付，乙方向甲方开具发票。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3.付款方式：</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3.1履约保证金：合同签订前，乙方须在收到中标通知书后5日内向甲方缴纳合同价款的10%履约保证金至甲方指定账户，履约保证金在合同价款全部支付完毕后无息退还。</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3.2付款阶段：</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货物送达、甲方查验无误后3</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个工作日内，甲方向乙方支付合同总价的30%；</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设备安装、调试完毕，经甲乙双方共同验收合格并出具验收报告后3</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个工作日内，甲方向乙方支付合同总价的70%。</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3.3发票：乙方应在甲方每次付款前提供对应金额的合法有效发票。乙方未提供或提供的发票不符合要求的，甲方有权顺延付款且不承担违约责任。因乙方发票问题导致甲方无法抵扣税款的，乙方应赔偿甲方相应损失。</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第十条</w:t>
      </w:r>
      <w:r>
        <w:rPr>
          <w:rFonts w:hint="eastAsia" w:ascii="宋体" w:hAnsi="宋体" w:eastAsia="宋体" w:cs="宋体"/>
          <w:color w:val="auto"/>
          <w:sz w:val="24"/>
          <w:szCs w:val="24"/>
        </w:rPr>
        <w:t xml:space="preserve"> 违约责任</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1.乙方按合同约定的时间和质量标准提供货物或服务，而甲方无正当理由逾期支付服务（或货物）费用的，每逾期1天甲方向乙方偿付逾期支付部分的5‰违约金，但累计违约金总额不超过合同总价款的5%。</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乙方发生违反本合同约定的行为时，甲方有权根据违约情节的严重程度，部分或全部扣除履约保证金。履约保证金不足以弥补甲方损失的，甲方有权继续向乙方追偿，且该扣除不影响甲方要求乙方承担本合同约定的其他违约责任的权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乙方未按合同约定的时间和质量标准提供货物或服务，无论是否给甲方造成实际损失，均构成违约，甲方有权要求乙方限期整改，并有权要求乙方按照本合同约定完成整改或整改后仍不符合约定的，甲方有权解除本合同，并要求乙方承担因此产生的全部损失。损失包括但不限于诉讼费/仲裁费、保全费、律师费、诉讼财产保全责任保险费、鉴定费、差旅费等。</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乙方未按合同约定的时间和质量标准提供货物或服务，给甲方造成损失的，甲方有权要求乙方赔偿全部损失，包括但不限于直接损失，可得利益损失，甲方为实现债权或维权而支付的律师费、诉讼费、保全费、鉴定费、差旅费等全部费用；因乙方货物或服务质量问题导致甲方无法实现合同目的的，甲方有权解除合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5.其他违约责任约定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第十一条</w:t>
      </w:r>
      <w:r>
        <w:rPr>
          <w:rFonts w:hint="eastAsia" w:ascii="宋体" w:hAnsi="宋体" w:eastAsia="宋体" w:cs="宋体"/>
          <w:color w:val="auto"/>
          <w:sz w:val="24"/>
          <w:szCs w:val="24"/>
        </w:rPr>
        <w:t xml:space="preserve"> 合同的变更和终止</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1.除《中华人民共和国政府采购法》第五十条第二款规定的情形外，本合同一经签订，甲乙双方不得擅自变更、中止或终止合同。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2.除发生法律规定的不能预见、不能避免并不能克服的客观情况外，甲乙双方不得放弃或拒绝履行合同。乙方放弃或拒绝履行合同，保证金不予退还。</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3.不可抗力</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3.1在合同有效期内，任何一方因不可抗力事件导致不能履行合同，则合同履行期可延长，其延长期与不可抗力影响期相同。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3.2不可抗力事件发生后，应立即通知对方，并寄送有关权威机构出具的证明。</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3.3不可抗力事件发生后，双方应及时通过友好协商，确定是否继续履行合同。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3.4不可抗力事件发生期间，因不可抗力导致的额外费用由双方各自承担。乙方已运至现场的货物，在不可抗力事件期间由乙方承担保管责任，相关费用由乙方承担;但因不可抗力导致货物毁损灭失的，乙方不承担赔偿责任。</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第十二条</w:t>
      </w:r>
      <w:r>
        <w:rPr>
          <w:rFonts w:hint="eastAsia" w:ascii="宋体" w:hAnsi="宋体" w:eastAsia="宋体" w:cs="宋体"/>
          <w:color w:val="auto"/>
          <w:sz w:val="24"/>
          <w:szCs w:val="24"/>
        </w:rPr>
        <w:t xml:space="preserve"> 合同的转让</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乙方不得擅自部分或全部转让、分包其应履行的合同义务，确需分包的必须事先取得甲方书面同意，且乙方应对分包方的全部行为承担连带责任。</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第十三条</w:t>
      </w:r>
      <w:r>
        <w:rPr>
          <w:rFonts w:hint="eastAsia" w:ascii="宋体" w:hAnsi="宋体" w:eastAsia="宋体" w:cs="宋体"/>
          <w:color w:val="auto"/>
          <w:sz w:val="24"/>
          <w:szCs w:val="24"/>
        </w:rPr>
        <w:t xml:space="preserve"> 争议的解决</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u w:val="single"/>
        </w:rPr>
        <w:t xml:space="preserve"> 1 </w:t>
      </w:r>
      <w:r>
        <w:rPr>
          <w:rFonts w:hint="eastAsia" w:ascii="宋体" w:hAnsi="宋体" w:eastAsia="宋体" w:cs="宋体"/>
          <w:color w:val="auto"/>
          <w:sz w:val="24"/>
          <w:szCs w:val="24"/>
        </w:rPr>
        <w:t xml:space="preserve">）种方式</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解决争议：</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（1）向甲方所在地有管辖权的人民法院提起诉讼；</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（2）向泰州仲裁委员会按其仲裁规则申请仲裁。</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如没有约定，默认采取第2种方式解决争议。</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2.在仲裁期间，本合同应继续履行。</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第十四条 </w:t>
      </w:r>
      <w:r>
        <w:rPr>
          <w:rFonts w:hint="eastAsia" w:ascii="宋体" w:hAnsi="宋体" w:eastAsia="宋体" w:cs="宋体"/>
          <w:color w:val="auto"/>
          <w:sz w:val="24"/>
          <w:szCs w:val="24"/>
        </w:rPr>
        <w:t xml:space="preserve">诚实信用</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乙方应诚实信用，严格按照招标（采购）文件要求和投标（响应）承诺履行合同，不向甲方进行商业贿赂或者提供不正当利益。</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乙方在履行合同过程中如需接触甲方的相关数据、内部信息等资料的，仅可用于履行本合同之目的，不得擅自复制、泄露或用于其他用途，履行完毕后应立即全部归还或销毁，相关衍生权益全部归甲方所有。</w:t>
      </w:r>
      <w:r/>
    </w:p>
    <w:p>
      <w:pPr>
        <w:ind w:firstLine="482"/>
        <w:spacing w:line="52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第十五条</w:t>
      </w:r>
      <w:r>
        <w:rPr>
          <w:rFonts w:hint="eastAsia" w:ascii="宋体" w:hAnsi="宋体" w:eastAsia="宋体" w:cs="宋体"/>
          <w:color w:val="auto"/>
          <w:sz w:val="24"/>
          <w:szCs w:val="24"/>
        </w:rPr>
        <w:t xml:space="preserve"> 合同生效及其他</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1.合同经双方法定代表人或授权委托代表人签字并加盖单位公章后生效。</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2.本合同一式陆份，甲乙双方各执叁份。</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3.本合同应按照中华人民共和国的现行法律进行解释。</w:t>
      </w:r>
      <w:r/>
    </w:p>
    <w:p>
      <w:pPr>
        <w:ind w:firstLine="480"/>
        <w:spacing w:line="520" w:lineRule="exact"/>
        <w:rPr>
          <w:rFonts w:ascii="宋体" w:hAnsi="宋体" w:eastAsia="宋体" w:cs="宋体"/>
          <w:color w:val="auto"/>
          <w:sz w:val="24"/>
        </w:rPr>
      </w:pPr>
      <w:r>
        <w:rPr>
          <w:rFonts w:ascii="宋体" w:hAnsi="宋体" w:eastAsia="宋体" w:cs="宋体"/>
          <w:color w:val="auto"/>
          <w:sz w:val="24"/>
        </w:rPr>
      </w:r>
      <w:r/>
    </w:p>
    <w:p>
      <w:pPr>
        <w:ind w:firstLine="240"/>
        <w:spacing w:line="520" w:lineRule="exact"/>
        <w:rPr>
          <w:rFonts w:ascii="宋体" w:hAnsi="宋体" w:eastAsia="宋体" w:cs="宋体"/>
          <w:color w:val="auto"/>
          <w:sz w:val="24"/>
        </w:rPr>
      </w:pPr>
      <w:r>
        <w:rPr>
          <w:rFonts w:hint="eastAsia" w:ascii="宋体" w:hAnsi="宋体" w:eastAsia="宋体" w:cs="宋体"/>
          <w:color w:val="auto"/>
          <w:sz w:val="24"/>
        </w:rPr>
        <w:t xml:space="preserve">甲方：                        乙方： </w:t>
      </w:r>
      <w:r/>
    </w:p>
    <w:p>
      <w:pPr>
        <w:spacing w:line="520" w:lineRule="exact"/>
        <w:rPr>
          <w:rFonts w:ascii="宋体" w:hAnsi="宋体" w:eastAsia="宋体" w:cs="宋体"/>
          <w:color w:val="auto"/>
          <w:sz w:val="24"/>
        </w:rPr>
      </w:pPr>
      <w:r>
        <w:rPr>
          <w:rFonts w:hint="eastAsia" w:ascii="宋体" w:hAnsi="宋体" w:eastAsia="宋体" w:cs="宋体"/>
          <w:color w:val="auto"/>
          <w:sz w:val="24"/>
        </w:rPr>
        <w:t xml:space="preserve">  地址：                        地址： </w:t>
      </w:r>
      <w:r/>
    </w:p>
    <w:p>
      <w:pPr>
        <w:spacing w:line="520" w:lineRule="exact"/>
        <w:rPr>
          <w:rFonts w:ascii="宋体" w:hAnsi="宋体" w:eastAsia="宋体" w:cs="宋体"/>
          <w:color w:val="auto"/>
          <w:sz w:val="24"/>
        </w:rPr>
      </w:pPr>
      <w:r>
        <w:rPr>
          <w:rFonts w:hint="eastAsia" w:ascii="宋体" w:hAnsi="宋体" w:eastAsia="宋体" w:cs="宋体"/>
          <w:color w:val="auto"/>
          <w:sz w:val="24"/>
        </w:rPr>
        <w:t xml:space="preserve">  法定代表人或授权代表：        法定代表人或授权代表：</w:t>
      </w:r>
      <w:r/>
    </w:p>
    <w:p>
      <w:pPr>
        <w:ind w:firstLine="240"/>
        <w:spacing w:line="520" w:lineRule="exact"/>
        <w:rPr>
          <w:rFonts w:ascii="宋体" w:hAnsi="宋体" w:eastAsia="宋体" w:cs="宋体"/>
          <w:color w:val="auto"/>
          <w:sz w:val="24"/>
        </w:rPr>
      </w:pPr>
      <w:r>
        <w:rPr>
          <w:rFonts w:hint="eastAsia" w:ascii="宋体" w:hAnsi="宋体" w:eastAsia="宋体" w:cs="宋体"/>
          <w:color w:val="auto"/>
          <w:sz w:val="24"/>
        </w:rPr>
        <w:t xml:space="preserve">联系电话：                    联系电话：          </w:t>
      </w:r>
      <w:r/>
    </w:p>
    <w:p>
      <w:pPr>
        <w:ind w:firstLine="240"/>
        <w:spacing w:line="520" w:lineRule="exact"/>
        <w:rPr>
          <w:rFonts w:ascii="宋体" w:hAnsi="宋体" w:eastAsia="宋体" w:cs="宋体"/>
          <w:color w:val="auto"/>
          <w:sz w:val="24"/>
        </w:rPr>
      </w:pPr>
      <w:r>
        <w:rPr>
          <w:rFonts w:ascii="宋体" w:hAnsi="宋体" w:eastAsia="宋体" w:cs="宋体"/>
          <w:color w:val="auto"/>
          <w:sz w:val="24"/>
        </w:rPr>
      </w:r>
      <w:r/>
    </w:p>
    <w:p>
      <w:pPr>
        <w:ind w:firstLine="240"/>
        <w:spacing w:line="520" w:lineRule="exact"/>
        <w:rPr>
          <w:rFonts w:ascii="宋体" w:hAnsi="宋体" w:eastAsia="宋体" w:cs="宋体"/>
          <w:color w:val="auto"/>
          <w:sz w:val="24"/>
        </w:rPr>
      </w:pPr>
      <w:r>
        <w:rPr>
          <w:rFonts w:hint="eastAsia" w:ascii="宋体" w:hAnsi="宋体" w:eastAsia="宋体" w:cs="宋体"/>
          <w:color w:val="auto"/>
          <w:sz w:val="24"/>
        </w:rPr>
        <w:t xml:space="preserve">签订日期：      年    月   日</w:t>
      </w:r>
      <w:r/>
    </w:p>
    <w:p>
      <w:pPr>
        <w:rPr>
          <w:rFonts w:ascii="宋体" w:hAnsi="宋体" w:eastAsia="宋体" w:cs="宋体"/>
          <w:color w:val="auto"/>
          <w:sz w:val="32"/>
          <w:szCs w:val="32"/>
        </w:rPr>
      </w:pPr>
      <w:r>
        <w:rPr>
          <w:rFonts w:ascii="宋体" w:hAnsi="宋体" w:eastAsia="宋体" w:cs="宋体"/>
          <w:color w:val="auto"/>
          <w:sz w:val="32"/>
          <w:szCs w:val="32"/>
        </w:rPr>
      </w:r>
      <w:r/>
    </w:p>
    <w:p>
      <w:pPr>
        <w:pStyle w:val="995"/>
        <w:jc w:val="center"/>
        <w:spacing w:before="0" w:after="0" w:line="360" w:lineRule="auto"/>
        <w:rPr>
          <w:rFonts w:ascii="宋体" w:hAnsi="宋体" w:eastAsia="宋体" w:cs="宋体"/>
          <w:color w:val="auto"/>
          <w:sz w:val="32"/>
          <w:szCs w:val="32"/>
        </w:rPr>
      </w:pPr>
      <w:r>
        <w:rPr>
          <w:rFonts w:hint="eastAsia" w:ascii="宋体" w:hAnsi="宋体" w:eastAsia="宋体" w:cs="宋体"/>
          <w:color w:val="auto"/>
          <w:sz w:val="32"/>
          <w:szCs w:val="32"/>
        </w:rPr>
        <w:t xml:space="preserve">第六章 投标文件格式</w:t>
      </w:r>
      <w:r/>
    </w:p>
    <w:p>
      <w:pPr>
        <w:pStyle w:val="1008"/>
        <w:ind w:firstLine="480"/>
        <w:spacing w:line="360" w:lineRule="auto"/>
        <w:rPr>
          <w:rFonts w:ascii="宋体" w:hAnsi="宋体" w:eastAsia="宋体" w:cs="宋体"/>
          <w:color w:val="auto"/>
          <w:sz w:val="32"/>
          <w:szCs w:val="32"/>
        </w:rPr>
      </w:pPr>
      <w:r>
        <w:rPr>
          <w:rFonts w:hint="eastAsia" w:ascii="宋体" w:hAnsi="宋体" w:eastAsia="宋体" w:cs="宋体"/>
          <w:color w:val="auto"/>
        </w:rPr>
        <w:t xml:space="preserve">1.说明：对本章所有的投标书格式，除开标一览表外，投标人可根据自身情况进行补充和修改，但补充和修改不得造成与本格式内容有实质性的违背。</w:t>
      </w:r>
      <w:r/>
    </w:p>
    <w:p>
      <w:pPr>
        <w:ind w:firstLine="480"/>
        <w:jc w:val="left"/>
        <w:spacing w:line="360" w:lineRule="auto"/>
        <w:rPr>
          <w:rFonts w:ascii="宋体" w:hAnsi="宋体" w:eastAsia="宋体" w:cs="宋体"/>
          <w:color w:val="auto"/>
          <w:sz w:val="32"/>
          <w:szCs w:val="32"/>
        </w:rPr>
      </w:pPr>
      <w:r>
        <w:rPr>
          <w:rFonts w:hint="eastAsia" w:ascii="宋体" w:hAnsi="宋体" w:eastAsia="宋体" w:cs="宋体"/>
          <w:color w:val="auto"/>
          <w:sz w:val="24"/>
        </w:rPr>
        <w:t xml:space="preserve">2.投标人应按采购包准备投标文件并清楚注明采购包名称，否则造成的一切后果由投标人自行承担。</w:t>
      </w:r>
      <w:r>
        <w:rPr>
          <w:rFonts w:hint="eastAsia" w:ascii="宋体" w:hAnsi="宋体" w:eastAsia="宋体" w:cs="宋体"/>
          <w:color w:val="auto"/>
          <w:sz w:val="32"/>
          <w:szCs w:val="32"/>
        </w:rPr>
        <w:br w:type="page" w:clear="all"/>
      </w:r>
      <w:bookmarkStart w:id="52" w:name="_Toc263753600"/>
      <w:r/>
      <w:bookmarkStart w:id="53" w:name="_Toc217446085"/>
      <w:r/>
      <w:bookmarkStart w:id="54" w:name="_Toc237145385"/>
      <w:r/>
      <w:bookmarkStart w:id="55" w:name="_Toc297204985"/>
      <w:r/>
      <w:bookmarkStart w:id="56" w:name="_Toc256175382"/>
      <w:r/>
      <w:bookmarkStart w:id="57" w:name="_Toc263768864"/>
      <w:r/>
      <w:bookmarkStart w:id="58" w:name="_Toc250041691"/>
      <w:r/>
      <w:r/>
    </w:p>
    <w:p>
      <w:pPr>
        <w:jc w:val="center"/>
        <w:rPr>
          <w:rFonts w:ascii="宋体" w:hAnsi="宋体" w:eastAsia="宋体" w:cs="宋体"/>
          <w:bCs/>
          <w:color w:val="auto"/>
          <w:sz w:val="52"/>
          <w:szCs w:val="52"/>
        </w:rPr>
      </w:pPr>
      <w:r/>
      <w:bookmarkStart w:id="59" w:name="_Toc13296_WPSOffice_Level1"/>
      <w:r/>
      <w:bookmarkStart w:id="60" w:name="_Toc217446086"/>
      <w:r/>
      <w:r/>
    </w:p>
    <w:p>
      <w:pPr>
        <w:jc w:val="center"/>
        <w:rPr>
          <w:rFonts w:ascii="宋体" w:hAnsi="宋体" w:eastAsia="宋体" w:cs="宋体"/>
          <w:bCs/>
          <w:color w:val="auto"/>
          <w:sz w:val="52"/>
          <w:szCs w:val="52"/>
        </w:rPr>
      </w:pPr>
      <w:r>
        <w:rPr>
          <w:rFonts w:ascii="宋体" w:hAnsi="宋体" w:eastAsia="宋体" w:cs="宋体"/>
          <w:bCs/>
          <w:color w:val="auto"/>
          <w:sz w:val="52"/>
          <w:szCs w:val="52"/>
        </w:rPr>
      </w:r>
      <w:r/>
    </w:p>
    <w:p>
      <w:pPr>
        <w:jc w:val="center"/>
        <w:rPr>
          <w:rFonts w:ascii="宋体" w:hAnsi="宋体" w:eastAsia="宋体" w:cs="宋体"/>
          <w:bCs/>
          <w:color w:val="auto"/>
          <w:sz w:val="52"/>
          <w:szCs w:val="52"/>
        </w:rPr>
      </w:pPr>
      <w:r>
        <w:rPr>
          <w:rFonts w:hint="eastAsia" w:ascii="宋体" w:hAnsi="宋体" w:eastAsia="宋体" w:cs="宋体"/>
          <w:bCs/>
          <w:color w:val="auto"/>
          <w:sz w:val="52"/>
          <w:szCs w:val="52"/>
        </w:rPr>
        <w:t xml:space="preserve">投</w:t>
      </w:r>
      <w:bookmarkEnd w:id="59"/>
      <w:r/>
      <w:r/>
    </w:p>
    <w:p>
      <w:pPr>
        <w:jc w:val="center"/>
        <w:rPr>
          <w:rFonts w:ascii="宋体" w:hAnsi="宋体" w:eastAsia="宋体" w:cs="宋体"/>
          <w:bCs/>
          <w:color w:val="auto"/>
          <w:sz w:val="72"/>
        </w:rPr>
      </w:pPr>
      <w:r>
        <w:rPr>
          <w:rFonts w:ascii="宋体" w:hAnsi="宋体" w:eastAsia="宋体" w:cs="宋体"/>
          <w:bCs/>
          <w:color w:val="auto"/>
          <w:sz w:val="72"/>
        </w:rPr>
      </w:r>
      <w:r/>
    </w:p>
    <w:p>
      <w:pPr>
        <w:jc w:val="center"/>
        <w:rPr>
          <w:rFonts w:ascii="宋体" w:hAnsi="宋体" w:eastAsia="宋体" w:cs="宋体"/>
          <w:bCs/>
          <w:color w:val="auto"/>
          <w:sz w:val="52"/>
          <w:szCs w:val="52"/>
        </w:rPr>
      </w:pPr>
      <w:r/>
      <w:bookmarkStart w:id="61" w:name="_Toc677_WPSOffice_Level1"/>
      <w:r>
        <w:rPr>
          <w:rFonts w:hint="eastAsia" w:ascii="宋体" w:hAnsi="宋体" w:eastAsia="宋体" w:cs="宋体"/>
          <w:bCs/>
          <w:color w:val="auto"/>
          <w:sz w:val="52"/>
          <w:szCs w:val="52"/>
        </w:rPr>
        <w:t xml:space="preserve">标</w:t>
      </w:r>
      <w:bookmarkEnd w:id="61"/>
      <w:r/>
      <w:r/>
    </w:p>
    <w:p>
      <w:pPr>
        <w:jc w:val="center"/>
        <w:rPr>
          <w:rFonts w:ascii="宋体" w:hAnsi="宋体" w:eastAsia="宋体" w:cs="宋体"/>
          <w:bCs/>
          <w:color w:val="auto"/>
          <w:sz w:val="72"/>
        </w:rPr>
      </w:pPr>
      <w:r>
        <w:rPr>
          <w:rFonts w:ascii="宋体" w:hAnsi="宋体" w:eastAsia="宋体" w:cs="宋体"/>
          <w:bCs/>
          <w:color w:val="auto"/>
          <w:sz w:val="72"/>
        </w:rPr>
      </w:r>
      <w:r/>
    </w:p>
    <w:p>
      <w:pPr>
        <w:jc w:val="center"/>
        <w:rPr>
          <w:rFonts w:ascii="宋体" w:hAnsi="宋体" w:eastAsia="宋体" w:cs="宋体"/>
          <w:bCs/>
          <w:color w:val="auto"/>
          <w:sz w:val="52"/>
          <w:szCs w:val="52"/>
        </w:rPr>
      </w:pPr>
      <w:r/>
      <w:bookmarkStart w:id="62" w:name="_Toc2949_WPSOffice_Level1"/>
      <w:r>
        <w:rPr>
          <w:rFonts w:hint="eastAsia" w:ascii="宋体" w:hAnsi="宋体" w:eastAsia="宋体" w:cs="宋体"/>
          <w:bCs/>
          <w:color w:val="auto"/>
          <w:sz w:val="52"/>
          <w:szCs w:val="52"/>
        </w:rPr>
        <w:t xml:space="preserve">文</w:t>
      </w:r>
      <w:bookmarkEnd w:id="62"/>
      <w:r/>
      <w:r/>
    </w:p>
    <w:p>
      <w:pPr>
        <w:rPr>
          <w:rFonts w:ascii="宋体" w:hAnsi="宋体" w:eastAsia="宋体" w:cs="宋体"/>
          <w:bCs/>
          <w:color w:val="auto"/>
          <w:sz w:val="72"/>
          <w:szCs w:val="72"/>
        </w:rPr>
      </w:pPr>
      <w:r>
        <w:rPr>
          <w:rFonts w:ascii="宋体" w:hAnsi="宋体" w:eastAsia="宋体" w:cs="宋体"/>
          <w:bCs/>
          <w:color w:val="auto"/>
          <w:sz w:val="72"/>
          <w:szCs w:val="72"/>
        </w:rPr>
      </w:r>
      <w:r/>
    </w:p>
    <w:p>
      <w:pPr>
        <w:jc w:val="center"/>
        <w:rPr>
          <w:rFonts w:ascii="宋体" w:hAnsi="宋体" w:eastAsia="宋体" w:cs="宋体"/>
          <w:bCs/>
          <w:color w:val="auto"/>
          <w:sz w:val="52"/>
          <w:szCs w:val="52"/>
        </w:rPr>
      </w:pPr>
      <w:r/>
      <w:bookmarkStart w:id="63" w:name="_Toc31964_WPSOffice_Level1"/>
      <w:r>
        <w:rPr>
          <w:rFonts w:hint="eastAsia" w:ascii="宋体" w:hAnsi="宋体" w:eastAsia="宋体" w:cs="宋体"/>
          <w:bCs/>
          <w:color w:val="auto"/>
          <w:sz w:val="52"/>
          <w:szCs w:val="52"/>
        </w:rPr>
        <w:t xml:space="preserve">件</w:t>
      </w:r>
      <w:bookmarkEnd w:id="63"/>
      <w:r/>
      <w:r/>
    </w:p>
    <w:p>
      <w:pPr>
        <w:rPr>
          <w:rFonts w:ascii="宋体" w:hAnsi="宋体" w:eastAsia="宋体" w:cs="宋体"/>
          <w:bCs/>
          <w:color w:val="auto"/>
          <w:sz w:val="72"/>
        </w:rPr>
      </w:pPr>
      <w:r>
        <w:rPr>
          <w:rFonts w:ascii="宋体" w:hAnsi="宋体" w:eastAsia="宋体" w:cs="宋体"/>
          <w:bCs/>
          <w:color w:val="auto"/>
          <w:sz w:val="72"/>
        </w:rPr>
      </w:r>
      <w:r/>
    </w:p>
    <w:p>
      <w:pPr>
        <w:spacing w:line="360" w:lineRule="auto"/>
        <w:rPr>
          <w:rFonts w:ascii="宋体" w:hAnsi="宋体" w:eastAsia="宋体" w:cs="宋体"/>
          <w:bCs/>
          <w:color w:val="auto"/>
          <w:sz w:val="28"/>
          <w:szCs w:val="28"/>
        </w:rPr>
      </w:pPr>
      <w:r/>
      <w:bookmarkStart w:id="64" w:name="_Toc1060_WPSOffice_Level1"/>
      <w:r>
        <w:rPr>
          <w:rFonts w:hint="eastAsia" w:ascii="宋体" w:hAnsi="宋体" w:eastAsia="宋体" w:cs="宋体"/>
          <w:bCs/>
          <w:color w:val="auto"/>
          <w:sz w:val="28"/>
          <w:szCs w:val="28"/>
        </w:rPr>
        <w:t xml:space="preserve">采购项目编号：</w:t>
      </w:r>
      <w:bookmarkEnd w:id="64"/>
      <w:r/>
      <w:r/>
    </w:p>
    <w:p>
      <w:pPr>
        <w:spacing w:line="360" w:lineRule="auto"/>
        <w:rPr>
          <w:rFonts w:ascii="宋体" w:hAnsi="宋体" w:eastAsia="宋体" w:cs="宋体"/>
          <w:bCs/>
          <w:color w:val="auto"/>
          <w:sz w:val="28"/>
          <w:szCs w:val="28"/>
        </w:rPr>
      </w:pPr>
      <w:r/>
      <w:bookmarkStart w:id="65" w:name="_Toc7891_WPSOffice_Level1"/>
      <w:r>
        <w:rPr>
          <w:rFonts w:hint="eastAsia" w:ascii="宋体" w:hAnsi="宋体" w:eastAsia="宋体" w:cs="宋体"/>
          <w:bCs/>
          <w:color w:val="auto"/>
          <w:sz w:val="28"/>
          <w:szCs w:val="28"/>
        </w:rPr>
        <w:t xml:space="preserve">采购项目名称：</w:t>
      </w:r>
      <w:bookmarkEnd w:id="65"/>
      <w:r/>
      <w:bookmarkStart w:id="66" w:name="_Toc13794_WPSOffice_Level1"/>
      <w:r/>
      <w:r/>
    </w:p>
    <w:p>
      <w:pPr>
        <w:spacing w:line="360" w:lineRule="auto"/>
        <w:rPr>
          <w:rFonts w:ascii="宋体" w:hAnsi="宋体" w:eastAsia="宋体" w:cs="宋体"/>
          <w:bCs/>
          <w:color w:val="auto"/>
          <w:sz w:val="30"/>
          <w:szCs w:val="30"/>
        </w:rPr>
      </w:pPr>
      <w:r>
        <w:rPr>
          <w:rFonts w:hint="eastAsia" w:ascii="宋体" w:hAnsi="宋体" w:eastAsia="宋体" w:cs="宋体"/>
          <w:bCs/>
          <w:color w:val="auto"/>
          <w:sz w:val="28"/>
          <w:szCs w:val="28"/>
        </w:rPr>
        <w:t xml:space="preserve">采购包号：</w:t>
      </w:r>
      <w:r>
        <w:rPr>
          <w:rFonts w:hint="eastAsia" w:ascii="宋体" w:hAnsi="宋体" w:eastAsia="宋体" w:cs="宋体"/>
          <w:bCs/>
          <w:color w:val="auto"/>
          <w:sz w:val="30"/>
          <w:szCs w:val="30"/>
        </w:rPr>
        <w:t xml:space="preserve"> </w:t>
      </w:r>
      <w:r/>
    </w:p>
    <w:p>
      <w:pPr>
        <w:spacing w:line="360" w:lineRule="auto"/>
        <w:rPr>
          <w:rFonts w:ascii="宋体" w:hAnsi="宋体" w:eastAsia="宋体" w:cs="宋体"/>
          <w:bCs/>
          <w:color w:val="auto"/>
          <w:sz w:val="28"/>
          <w:szCs w:val="28"/>
        </w:rPr>
      </w:pPr>
      <w:r>
        <w:rPr>
          <w:rFonts w:hint="eastAsia" w:ascii="宋体" w:hAnsi="宋体" w:eastAsia="宋体" w:cs="宋体"/>
          <w:bCs/>
          <w:color w:val="auto"/>
          <w:sz w:val="28"/>
          <w:szCs w:val="28"/>
        </w:rPr>
        <w:t xml:space="preserve">投标人：</w:t>
      </w:r>
      <w:bookmarkEnd w:id="66"/>
      <w:r/>
      <w:r/>
    </w:p>
    <w:p>
      <w:pPr>
        <w:rPr>
          <w:rFonts w:ascii="宋体" w:hAnsi="宋体" w:eastAsia="宋体" w:cs="宋体"/>
          <w:bCs/>
          <w:color w:val="auto"/>
          <w:sz w:val="32"/>
        </w:rPr>
      </w:pPr>
      <w:r>
        <w:rPr>
          <w:rFonts w:ascii="宋体" w:hAnsi="宋体" w:eastAsia="宋体" w:cs="宋体"/>
          <w:bCs/>
          <w:color w:val="auto"/>
          <w:sz w:val="32"/>
        </w:rPr>
      </w:r>
      <w:r/>
    </w:p>
    <w:p>
      <w:pPr>
        <w:jc w:val="center"/>
        <w:rPr>
          <w:rFonts w:ascii="宋体" w:hAnsi="宋体" w:eastAsia="宋体" w:cs="宋体"/>
          <w:bCs/>
          <w:color w:val="auto"/>
          <w:sz w:val="36"/>
          <w:szCs w:val="36"/>
        </w:rPr>
      </w:pPr>
      <w:r/>
      <w:bookmarkStart w:id="67" w:name="_Toc4431_WPSOffice_Level1"/>
      <w:r>
        <w:rPr>
          <w:rFonts w:hint="eastAsia" w:ascii="宋体" w:hAnsi="宋体" w:eastAsia="宋体" w:cs="宋体"/>
          <w:bCs/>
          <w:color w:val="auto"/>
          <w:sz w:val="36"/>
          <w:szCs w:val="36"/>
        </w:rPr>
        <w:t xml:space="preserve">   年  月  日</w:t>
      </w:r>
      <w:bookmarkEnd w:id="67"/>
      <w:r/>
      <w:r/>
    </w:p>
    <w:p>
      <w:pPr>
        <w:jc w:val="left"/>
        <w:rPr>
          <w:rStyle w:val="1051"/>
          <w:rFonts w:ascii="宋体" w:hAnsi="宋体" w:eastAsia="宋体" w:cs="宋体"/>
          <w:b w:val="0"/>
          <w:color w:val="auto"/>
        </w:rPr>
      </w:pPr>
      <w:r>
        <w:rPr>
          <w:rFonts w:hint="eastAsia" w:ascii="宋体" w:hAnsi="宋体" w:eastAsia="宋体" w:cs="宋体"/>
          <w:color w:val="auto"/>
          <w:sz w:val="32"/>
          <w:szCs w:val="32"/>
        </w:rPr>
        <w:br w:type="page" w:clear="all"/>
      </w:r>
      <w:r/>
    </w:p>
    <w:p>
      <w:pPr>
        <w:jc w:val="center"/>
        <w:keepLines/>
        <w:keepNext/>
        <w:spacing w:line="600" w:lineRule="exact"/>
        <w:rPr>
          <w:rFonts w:ascii="宋体" w:hAnsi="宋体" w:eastAsia="宋体" w:cs="宋体"/>
          <w:b/>
          <w:bCs/>
          <w:color w:val="auto"/>
          <w:sz w:val="24"/>
        </w:rPr>
        <w:outlineLvl w:val="1"/>
      </w:pPr>
      <w:r>
        <w:rPr>
          <w:rFonts w:hint="eastAsia" w:ascii="宋体" w:hAnsi="宋体" w:eastAsia="宋体" w:cs="宋体"/>
          <w:b/>
          <w:bCs/>
          <w:color w:val="auto"/>
          <w:sz w:val="32"/>
          <w:szCs w:val="32"/>
        </w:rPr>
        <w:t xml:space="preserve">开标一览表</w:t>
      </w:r>
      <w:r/>
    </w:p>
    <w:p>
      <w:pPr>
        <w:pStyle w:val="1039"/>
        <w:rPr>
          <w:rFonts w:eastAsia="宋体"/>
          <w:color w:val="auto"/>
          <w:sz w:val="27"/>
          <w:szCs w:val="27"/>
        </w:rPr>
      </w:pPr>
      <w:r>
        <w:rPr>
          <w:rFonts w:hint="eastAsia" w:eastAsia="宋体"/>
          <w:color w:val="auto"/>
          <w:sz w:val="27"/>
          <w:szCs w:val="27"/>
        </w:rPr>
        <w:t xml:space="preserve">项目编号：</w:t>
      </w:r>
      <w:r>
        <w:rPr>
          <w:rFonts w:hint="eastAsia" w:eastAsia="宋体"/>
          <w:color w:val="auto"/>
          <w:sz w:val="27"/>
          <w:szCs w:val="27"/>
          <w:shd w:val="clear" w:color="auto" w:fill="ffffff"/>
        </w:rPr>
        <w:t xml:space="preserve">项目编号</w:t>
      </w:r>
      <w:r>
        <w:rPr>
          <w:rFonts w:hint="eastAsia" w:eastAsia="宋体"/>
          <w:color w:val="auto"/>
          <w:sz w:val="27"/>
          <w:szCs w:val="27"/>
        </w:rPr>
        <w:t xml:space="preserve"> </w:t>
      </w:r>
      <w:r/>
    </w:p>
    <w:p>
      <w:pPr>
        <w:pStyle w:val="1039"/>
        <w:rPr>
          <w:rFonts w:eastAsia="宋体"/>
          <w:color w:val="auto"/>
          <w:sz w:val="27"/>
          <w:szCs w:val="27"/>
        </w:rPr>
      </w:pPr>
      <w:r>
        <w:rPr>
          <w:rFonts w:hint="eastAsia" w:eastAsia="宋体"/>
          <w:color w:val="auto"/>
          <w:sz w:val="27"/>
          <w:szCs w:val="27"/>
        </w:rPr>
        <w:t xml:space="preserve">货币单位：人民币元</w:t>
      </w:r>
      <w:r/>
    </w:p>
    <w:tbl>
      <w:tblPr>
        <w:tblStyle w:val="773"/>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39"/>
              <w:rPr>
                <w:rFonts w:eastAsia="宋体"/>
                <w:color w:val="auto"/>
              </w:rPr>
            </w:pPr>
            <w:r>
              <w:rPr>
                <w:rFonts w:hint="eastAsia" w:eastAsia="宋体"/>
                <w:color w:val="auto"/>
                <w:sz w:val="27"/>
                <w:szCs w:val="27"/>
              </w:rPr>
              <w:t xml:space="preserve">项目名称</w:t>
            </w:r>
            <w:r/>
          </w:p>
        </w:tc>
        <w:tc>
          <w:tcPr>
            <w:tcW w:w="2700" w:type="dxa"/>
            <w:vAlign w:val="center"/>
            <w:textDirection w:val="lrTb"/>
            <w:noWrap w:val="false"/>
          </w:tcPr>
          <w:p>
            <w:pPr>
              <w:pStyle w:val="1039"/>
              <w:rPr>
                <w:rFonts w:eastAsia="宋体"/>
                <w:color w:val="auto"/>
              </w:rPr>
            </w:pPr>
            <w:r>
              <w:rPr>
                <w:rFonts w:hint="eastAsia" w:eastAsia="宋体"/>
                <w:color w:val="auto"/>
                <w:sz w:val="27"/>
                <w:szCs w:val="27"/>
              </w:rPr>
              <w:t xml:space="preserve">项目内容</w:t>
            </w:r>
            <w:r/>
          </w:p>
        </w:tc>
        <w:tc>
          <w:tcPr>
            <w:tcW w:w="3927" w:type="dxa"/>
            <w:vAlign w:val="center"/>
            <w:textDirection w:val="lrTb"/>
            <w:noWrap w:val="false"/>
          </w:tcPr>
          <w:p>
            <w:pPr>
              <w:pStyle w:val="1039"/>
              <w:rPr>
                <w:rFonts w:eastAsia="宋体"/>
                <w:color w:val="auto"/>
              </w:rPr>
            </w:pPr>
            <w:r>
              <w:rPr>
                <w:rFonts w:hint="eastAsia" w:eastAsia="宋体"/>
                <w:color w:val="auto"/>
                <w:sz w:val="27"/>
                <w:szCs w:val="27"/>
              </w:rPr>
              <w:t xml:space="preserve"> 总价（小写）</w:t>
            </w:r>
            <w:r/>
          </w:p>
        </w:tc>
      </w:tr>
      <w:tr>
        <w:trPr/>
        <w:tc>
          <w:tcPr>
            <w:tcW w:w="2270" w:type="dxa"/>
            <w:vAlign w:val="center"/>
            <w:textDirection w:val="lrTb"/>
            <w:noWrap w:val="false"/>
          </w:tcPr>
          <w:p>
            <w:pPr>
              <w:pStyle w:val="1039"/>
              <w:rPr>
                <w:rFonts w:eastAsia="宋体"/>
                <w:color w:val="auto"/>
              </w:rPr>
            </w:pPr>
            <w:r>
              <w:rPr>
                <w:rFonts w:hint="eastAsia" w:eastAsia="宋体"/>
                <w:color w:val="auto"/>
                <w:sz w:val="27"/>
                <w:szCs w:val="27"/>
                <w:shd w:val="clear" w:color="auto" w:fill="ffffff"/>
              </w:rPr>
              <w:t xml:space="preserve">项目名称</w:t>
            </w:r>
            <w:r>
              <w:rPr>
                <w:rFonts w:hint="eastAsia" w:eastAsia="宋体"/>
                <w:color w:val="auto"/>
                <w:sz w:val="27"/>
                <w:szCs w:val="27"/>
              </w:rPr>
              <w:t xml:space="preserve"> </w:t>
            </w:r>
            <w:r/>
          </w:p>
        </w:tc>
        <w:tc>
          <w:tcPr>
            <w:tcW w:w="2700" w:type="dxa"/>
            <w:vAlign w:val="center"/>
            <w:textDirection w:val="lrTb"/>
            <w:noWrap w:val="false"/>
          </w:tcPr>
          <w:p>
            <w:pPr>
              <w:pStyle w:val="1039"/>
              <w:rPr>
                <w:rFonts w:eastAsia="宋体"/>
                <w:color w:val="auto"/>
              </w:rPr>
            </w:pPr>
            <w:r>
              <w:rPr>
                <w:rFonts w:hint="eastAsia" w:eastAsia="宋体"/>
                <w:color w:val="auto"/>
                <w:sz w:val="27"/>
                <w:szCs w:val="27"/>
              </w:rPr>
              <w:t xml:space="preserve">详见投标文件</w:t>
            </w:r>
            <w:r/>
          </w:p>
        </w:tc>
        <w:tc>
          <w:tcPr>
            <w:tcW w:w="3927" w:type="dxa"/>
            <w:vAlign w:val="center"/>
            <w:textDirection w:val="lrTb"/>
            <w:noWrap w:val="false"/>
          </w:tcPr>
          <w:p>
            <w:pPr>
              <w:pStyle w:val="1039"/>
              <w:rPr>
                <w:rFonts w:eastAsia="宋体"/>
                <w:color w:val="auto"/>
              </w:rPr>
            </w:pPr>
            <w:r/>
            <w:bookmarkStart w:id="68" w:name="_1742295356"/>
            <w:r/>
            <w:bookmarkEnd w:id="68"/>
            <w:r>
              <w:rPr>
                <w:rFonts w:hint="eastAsia" w:eastAsia="宋体"/>
                <w:color w:val="auto"/>
                <w:sz w:val="27"/>
                <w:szCs w:val="27"/>
                <w:shd w:val="clear" w:color="auto" w:fill="ffffff"/>
              </w:rPr>
              <w:fldChar w:fldCharType="begin"/>
            </w:r>
            <w:r>
              <w:rPr>
                <w:color w:val="auto"/>
              </w:rPr>
              <w:instrText xml:space="preserve"> CONTROL Forms.HTML:Text.1 \s  \* MERGEFORMAT</w:instrText>
            </w:r>
            <w:r>
              <w:rPr>
                <w:rFonts w:hint="eastAsia" w:eastAsia="宋体"/>
                <w:color w:val="auto"/>
                <w:sz w:val="27"/>
                <w:szCs w:val="27"/>
                <w:shd w:val="clear" w:color="auto" w:fill="ffffff"/>
              </w:rPr>
              <w:fldChar w:fldCharType="separate"/>
            </w:r>
            <w:r>
              <w:rPr>
                <w:rFonts w:hint="eastAsia" w:eastAsia="宋体"/>
                <w:color w:val="auto"/>
                <w:sz w:val="27"/>
                <w:szCs w:val="27"/>
                <w:shd w:val="clear" w:color="auto" w:fill="ffffff"/>
              </w:rPr>
              <mc:AlternateContent>
                <mc:Choice Requires="wpg">
                  <w:drawing>
                    <wp:inline xmlns:wp="http://schemas.openxmlformats.org/drawingml/2006/wordprocessingDrawing" distT="0" distB="0" distL="0" distR="0">
                      <wp:extent cx="609600" cy="228600"/>
                      <wp:effectExtent l="0" t="0" r="3810" b="11430"/>
                      <wp:docPr id="7"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8"/>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18" o:title=""/>
                    </v:shape>
                  </w:pict>
                </mc:Fallback>
              </mc:AlternateContent>
            </w:r>
            <w:r>
              <w:rPr>
                <w:rFonts w:hint="eastAsia" w:eastAsia="宋体"/>
                <w:color w:val="auto"/>
                <w:sz w:val="27"/>
                <w:szCs w:val="27"/>
                <w:shd w:val="clear" w:color="auto" w:fill="ffffff"/>
              </w:rPr>
              <w:fldChar w:fldCharType="end"/>
            </w:r>
            <w:r>
              <w:rPr>
                <w:rFonts w:hint="eastAsia" w:eastAsia="宋体"/>
                <w:color w:val="auto"/>
                <w:sz w:val="27"/>
                <w:szCs w:val="27"/>
              </w:rPr>
              <w:t xml:space="preserve"> 元</w:t>
            </w:r>
            <w:r/>
          </w:p>
        </w:tc>
      </w:tr>
      <w:tr>
        <w:trPr/>
        <w:tc>
          <w:tcPr>
            <w:tcW w:w="2270" w:type="dxa"/>
            <w:vAlign w:val="center"/>
            <w:textDirection w:val="lrTb"/>
            <w:noWrap w:val="false"/>
          </w:tcPr>
          <w:p>
            <w:pPr>
              <w:pStyle w:val="1039"/>
              <w:rPr>
                <w:rFonts w:eastAsia="宋体"/>
                <w:color w:val="auto"/>
              </w:rPr>
            </w:pPr>
            <w:r>
              <w:rPr>
                <w:rFonts w:hint="eastAsia" w:eastAsia="宋体"/>
                <w:color w:val="auto"/>
                <w:sz w:val="27"/>
                <w:szCs w:val="27"/>
              </w:rPr>
              <w:t xml:space="preserve">总价（大写）：</w:t>
            </w:r>
            <w:r/>
          </w:p>
        </w:tc>
        <w:tc>
          <w:tcPr>
            <w:gridSpan w:val="2"/>
            <w:tcW w:w="6627" w:type="dxa"/>
            <w:vAlign w:val="center"/>
            <w:textDirection w:val="lrTb"/>
            <w:noWrap w:val="false"/>
          </w:tcPr>
          <w:p>
            <w:pPr>
              <w:pStyle w:val="1039"/>
              <w:rPr>
                <w:rFonts w:eastAsia="宋体"/>
                <w:color w:val="auto"/>
              </w:rPr>
            </w:pPr>
            <w:r>
              <w:rPr>
                <w:rFonts w:hint="eastAsia" w:eastAsia="宋体"/>
                <w:color w:val="auto"/>
                <w:sz w:val="27"/>
                <w:szCs w:val="27"/>
              </w:rPr>
              <w:t xml:space="preserve">金额大写 </w:t>
            </w:r>
            <w:r/>
          </w:p>
        </w:tc>
      </w:tr>
    </w:tbl>
    <w:p>
      <w:pPr>
        <w:pStyle w:val="1039"/>
        <w:rPr>
          <w:rFonts w:eastAsia="宋体"/>
          <w:color w:val="auto"/>
          <w:sz w:val="27"/>
          <w:szCs w:val="27"/>
        </w:rPr>
      </w:pPr>
      <w:r>
        <w:rPr>
          <w:rFonts w:eastAsia="宋体"/>
          <w:color w:val="auto"/>
          <w:sz w:val="27"/>
          <w:szCs w:val="27"/>
        </w:rPr>
      </w:r>
      <w:r/>
    </w:p>
    <w:p>
      <w:pPr>
        <w:pStyle w:val="1039"/>
        <w:rPr>
          <w:rFonts w:eastAsia="宋体"/>
          <w:color w:val="auto"/>
          <w:sz w:val="27"/>
          <w:szCs w:val="27"/>
        </w:rPr>
      </w:pPr>
      <w:r>
        <w:rPr>
          <w:rFonts w:eastAsia="宋体"/>
          <w:color w:val="auto"/>
          <w:sz w:val="27"/>
          <w:szCs w:val="27"/>
        </w:rPr>
      </w:r>
      <w:r/>
    </w:p>
    <w:p>
      <w:pPr>
        <w:pStyle w:val="1039"/>
        <w:rPr>
          <w:rFonts w:eastAsia="宋体"/>
          <w:color w:val="auto"/>
          <w:sz w:val="27"/>
          <w:szCs w:val="27"/>
        </w:rPr>
      </w:pPr>
      <w:r>
        <w:rPr>
          <w:rFonts w:eastAsia="宋体"/>
          <w:color w:val="auto"/>
          <w:sz w:val="27"/>
          <w:szCs w:val="27"/>
        </w:rPr>
      </w:r>
      <w:r/>
    </w:p>
    <w:p>
      <w:pPr>
        <w:pStyle w:val="1039"/>
        <w:rPr>
          <w:rFonts w:eastAsia="宋体"/>
          <w:color w:val="auto"/>
          <w:sz w:val="27"/>
          <w:szCs w:val="27"/>
        </w:rPr>
      </w:pPr>
      <w:r>
        <w:rPr>
          <w:rFonts w:hint="eastAsia" w:eastAsia="宋体"/>
          <w:color w:val="auto"/>
          <w:sz w:val="27"/>
          <w:szCs w:val="27"/>
        </w:rPr>
        <w:t xml:space="preserve">投标人公章： （电子签章）</w:t>
      </w:r>
      <w:r/>
    </w:p>
    <w:p>
      <w:pPr>
        <w:spacing w:line="600" w:lineRule="exact"/>
        <w:rPr>
          <w:rFonts w:ascii="宋体" w:hAnsi="宋体" w:eastAsia="宋体" w:cs="宋体"/>
          <w:color w:val="auto"/>
          <w:sz w:val="24"/>
          <w:szCs w:val="24"/>
        </w:rPr>
      </w:pPr>
      <w:r>
        <w:rPr>
          <w:rFonts w:ascii="宋体" w:hAnsi="宋体" w:eastAsia="宋体" w:cs="宋体"/>
          <w:color w:val="auto"/>
          <w:sz w:val="24"/>
          <w:szCs w:val="24"/>
        </w:rPr>
      </w:r>
      <w:r/>
    </w:p>
    <w:p>
      <w:pPr>
        <w:pStyle w:val="774"/>
        <w:rPr>
          <w:rFonts w:ascii="宋体" w:hAnsi="宋体" w:eastAsia="宋体" w:cs="宋体"/>
          <w:color w:val="auto"/>
          <w:lang w:eastAsia="zh-CN"/>
        </w:rPr>
      </w:pPr>
      <w:r>
        <w:rPr>
          <w:rFonts w:ascii="宋体" w:hAnsi="宋体" w:eastAsia="宋体" w:cs="宋体"/>
          <w:color w:val="auto"/>
          <w:lang w:eastAsia="zh-CN"/>
        </w:rPr>
      </w:r>
      <w:r/>
    </w:p>
    <w:p>
      <w:pPr>
        <w:ind w:firstLine="480"/>
        <w:spacing w:line="600" w:lineRule="exact"/>
        <w:rPr>
          <w:rFonts w:ascii="宋体" w:hAnsi="宋体" w:eastAsia="宋体" w:cs="宋体"/>
          <w:color w:val="auto"/>
          <w:sz w:val="24"/>
          <w:szCs w:val="24"/>
        </w:rPr>
      </w:pPr>
      <w:r>
        <w:rPr>
          <w:rFonts w:hint="eastAsia" w:ascii="宋体" w:hAnsi="宋体" w:eastAsia="宋体" w:cs="宋体"/>
          <w:color w:val="auto"/>
          <w:sz w:val="24"/>
          <w:szCs w:val="24"/>
        </w:rPr>
        <w:t xml:space="preserve">                                      日期：  </w:t>
      </w:r>
      <w:r>
        <w:rPr>
          <w:rFonts w:hint="eastAsia" w:ascii="宋体" w:hAnsi="宋体" w:eastAsia="宋体" w:cs="宋体"/>
          <w:color w:val="auto"/>
          <w:sz w:val="24"/>
          <w:szCs w:val="24"/>
          <w:u w:val="single"/>
        </w:rPr>
        <w:t xml:space="preserve"> </w:t>
      </w:r>
      <w:bookmarkStart w:id="69" w:name="NF"/>
      <w:r/>
      <w:bookmarkEnd w:id="69"/>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bookmarkStart w:id="70" w:name="YF"/>
      <w:r/>
      <w:bookmarkEnd w:id="70"/>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bookmarkStart w:id="71" w:name="RI"/>
      <w:r/>
      <w:bookmarkEnd w:id="71"/>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ascii="宋体" w:hAnsi="宋体" w:eastAsia="宋体" w:cs="宋体"/>
          <w:color w:val="auto"/>
          <w:szCs w:val="21"/>
        </w:rPr>
      </w:pPr>
      <w:r>
        <w:rPr>
          <w:rFonts w:ascii="宋体" w:hAnsi="宋体" w:eastAsia="宋体" w:cs="宋体"/>
          <w:color w:val="auto"/>
          <w:szCs w:val="21"/>
        </w:rPr>
      </w:r>
      <w:r/>
    </w:p>
    <w:p>
      <w:pPr>
        <w:spacing w:line="400" w:lineRule="exact"/>
        <w:rPr>
          <w:rFonts w:ascii="宋体" w:hAnsi="宋体" w:eastAsia="宋体" w:cs="宋体"/>
          <w:bCs/>
          <w:color w:val="auto"/>
          <w:sz w:val="32"/>
        </w:rPr>
      </w:pPr>
      <w:r>
        <w:rPr>
          <w:rFonts w:ascii="宋体" w:hAnsi="宋体" w:eastAsia="宋体" w:cs="宋体"/>
          <w:bCs/>
          <w:color w:val="auto"/>
          <w:sz w:val="32"/>
        </w:rPr>
      </w:r>
      <w:r/>
    </w:p>
    <w:p>
      <w:pPr>
        <w:spacing w:line="400" w:lineRule="exact"/>
        <w:rPr>
          <w:rFonts w:ascii="宋体" w:hAnsi="宋体" w:eastAsia="宋体" w:cs="宋体"/>
          <w:bCs/>
          <w:color w:val="auto"/>
          <w:sz w:val="32"/>
        </w:rPr>
      </w:pPr>
      <w:r>
        <w:rPr>
          <w:rFonts w:ascii="宋体" w:hAnsi="宋体" w:eastAsia="宋体" w:cs="宋体"/>
          <w:bCs/>
          <w:color w:val="auto"/>
          <w:sz w:val="32"/>
        </w:rPr>
      </w:r>
      <w:r/>
    </w:p>
    <w:p>
      <w:pPr>
        <w:ind w:left="720" w:hanging="720"/>
        <w:spacing w:line="400" w:lineRule="exact"/>
        <w:rPr>
          <w:rFonts w:ascii="宋体" w:hAnsi="宋体" w:eastAsia="宋体" w:cs="宋体"/>
          <w:bCs/>
          <w:color w:val="auto"/>
          <w:sz w:val="24"/>
        </w:rPr>
      </w:pPr>
      <w:r>
        <w:rPr>
          <w:rFonts w:ascii="宋体" w:hAnsi="宋体" w:eastAsia="宋体" w:cs="宋体"/>
          <w:bCs/>
          <w:color w:val="auto"/>
          <w:sz w:val="24"/>
        </w:rPr>
      </w:r>
      <w:r/>
    </w:p>
    <w:p>
      <w:pPr>
        <w:pStyle w:val="790"/>
        <w:rPr>
          <w:rFonts w:hAnsi="宋体" w:eastAsia="宋体" w:cs="宋体"/>
          <w:color w:val="auto"/>
        </w:rPr>
      </w:pPr>
      <w:r>
        <w:rPr>
          <w:rFonts w:hAnsi="宋体" w:eastAsia="宋体" w:cs="宋体"/>
          <w:color w:val="auto"/>
        </w:rPr>
      </w:r>
      <w:r/>
    </w:p>
    <w:p>
      <w:pPr>
        <w:pStyle w:val="782"/>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63"/>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ind w:firstLine="0"/>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bCs/>
          <w:color w:val="auto"/>
          <w:sz w:val="24"/>
        </w:rPr>
        <w:outlineLvl w:val="0"/>
      </w:pPr>
      <w:r>
        <w:rPr>
          <w:rFonts w:ascii="宋体" w:hAnsi="宋体" w:eastAsia="宋体" w:cs="宋体"/>
          <w:bCs/>
          <w:color w:val="auto"/>
          <w:sz w:val="24"/>
        </w:rPr>
      </w:r>
      <w:r/>
    </w:p>
    <w:p>
      <w:pPr>
        <w:pStyle w:val="787"/>
        <w:rPr>
          <w:rFonts w:ascii="宋体" w:hAnsi="宋体" w:eastAsia="宋体" w:cs="宋体"/>
          <w:color w:val="auto"/>
        </w:rPr>
      </w:pPr>
      <w:r>
        <w:rPr>
          <w:rFonts w:ascii="宋体" w:hAnsi="宋体" w:eastAsia="宋体" w:cs="宋体"/>
          <w:color w:val="auto"/>
        </w:rPr>
      </w:r>
      <w:bookmarkEnd w:id="60"/>
      <w:r/>
    </w:p>
    <w:p>
      <w:pPr>
        <w:jc w:val="center"/>
        <w:rPr>
          <w:rFonts w:ascii="宋体" w:hAnsi="宋体" w:eastAsia="宋体" w:cs="宋体"/>
          <w:b/>
          <w:color w:val="auto"/>
          <w:sz w:val="32"/>
          <w:szCs w:val="32"/>
        </w:rPr>
      </w:pPr>
      <w:r>
        <w:rPr>
          <w:rFonts w:hint="eastAsia" w:ascii="宋体" w:hAnsi="宋体" w:eastAsia="宋体" w:cs="宋体"/>
          <w:b/>
          <w:color w:val="auto"/>
          <w:sz w:val="32"/>
          <w:szCs w:val="32"/>
        </w:rPr>
        <w:t xml:space="preserve">投 标 函</w:t>
      </w:r>
      <w:r/>
    </w:p>
    <w:p>
      <w:pPr>
        <w:ind w:left="480"/>
        <w:rPr>
          <w:rFonts w:ascii="宋体" w:hAnsi="宋体" w:eastAsia="宋体" w:cs="宋体"/>
          <w:color w:val="auto"/>
          <w:sz w:val="24"/>
          <w:szCs w:val="24"/>
        </w:rPr>
      </w:pPr>
      <w:r>
        <w:rPr>
          <w:rFonts w:ascii="宋体" w:hAnsi="宋体" w:eastAsia="宋体" w:cs="宋体"/>
          <w:color w:val="auto"/>
          <w:sz w:val="24"/>
          <w:szCs w:val="24"/>
        </w:rPr>
      </w:r>
      <w:r/>
    </w:p>
    <w:p>
      <w:pPr>
        <w:pStyle w:val="1024"/>
        <w:ind w:left="0"/>
        <w:spacing w:after="0" w:line="360" w:lineRule="auto"/>
        <w:rPr>
          <w:rFonts w:ascii="宋体" w:hAnsi="宋体" w:eastAsia="宋体" w:cs="宋体"/>
          <w:bCs/>
          <w:iCs/>
          <w:color w:val="auto"/>
          <w:sz w:val="24"/>
          <w:szCs w:val="24"/>
        </w:rPr>
      </w:pPr>
      <w:r>
        <w:rPr>
          <w:rFonts w:hint="eastAsia" w:ascii="宋体" w:hAnsi="宋体" w:eastAsia="宋体" w:cs="宋体"/>
          <w:bCs/>
          <w:iCs/>
          <w:color w:val="auto"/>
          <w:sz w:val="24"/>
          <w:szCs w:val="24"/>
          <w:u w:val="single"/>
        </w:rPr>
        <w:t xml:space="preserve">江苏农牧科技职业学院</w:t>
      </w:r>
      <w:r>
        <w:rPr>
          <w:rFonts w:hint="eastAsia" w:ascii="宋体" w:hAnsi="宋体" w:eastAsia="宋体" w:cs="宋体"/>
          <w:bCs/>
          <w:iCs/>
          <w:color w:val="auto"/>
          <w:sz w:val="24"/>
          <w:szCs w:val="24"/>
        </w:rPr>
        <w:t xml:space="preserve">：</w:t>
      </w:r>
      <w:r/>
    </w:p>
    <w:p>
      <w:pPr>
        <w:pStyle w:val="1024"/>
        <w:ind w:left="0" w:firstLine="600"/>
        <w:spacing w:after="0" w:line="360" w:lineRule="auto"/>
        <w:rPr>
          <w:rFonts w:ascii="宋体" w:hAnsi="宋体" w:eastAsia="宋体" w:cs="宋体"/>
          <w:bCs/>
          <w:color w:val="auto"/>
          <w:sz w:val="24"/>
          <w:szCs w:val="24"/>
        </w:rPr>
      </w:pPr>
      <w:r>
        <w:rPr>
          <w:rFonts w:hint="eastAsia" w:ascii="宋体" w:hAnsi="宋体" w:eastAsia="宋体" w:cs="宋体"/>
          <w:bCs/>
          <w:iCs/>
          <w:color w:val="auto"/>
          <w:sz w:val="24"/>
          <w:szCs w:val="24"/>
        </w:rPr>
        <w:t xml:space="preserve">我方全面研究了 </w:t>
      </w:r>
      <w:r>
        <w:rPr>
          <w:rFonts w:hint="eastAsia" w:ascii="宋体" w:hAnsi="宋体" w:eastAsia="宋体" w:cs="宋体"/>
          <w:b/>
          <w:bCs/>
          <w:iCs/>
          <w:color w:val="auto"/>
          <w:sz w:val="24"/>
          <w:szCs w:val="24"/>
          <w:u w:val="single"/>
        </w:rPr>
        <w:t xml:space="preserve">                      </w:t>
      </w:r>
      <w:r>
        <w:rPr>
          <w:rFonts w:hint="eastAsia" w:ascii="宋体" w:hAnsi="宋体" w:eastAsia="宋体" w:cs="宋体"/>
          <w:bCs/>
          <w:color w:val="auto"/>
          <w:sz w:val="24"/>
          <w:szCs w:val="24"/>
        </w:rPr>
        <w:t xml:space="preserve">项目招标文件，决定参加贵单位组织的本项目投标。</w:t>
      </w:r>
      <w:r/>
    </w:p>
    <w:p>
      <w:pPr>
        <w:pStyle w:val="1024"/>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1.我方自愿按照招标文件规定的各项要求向采购人提供所需工程。</w:t>
      </w:r>
      <w:r/>
    </w:p>
    <w:p>
      <w:pPr>
        <w:pStyle w:val="1024"/>
        <w:ind w:left="0" w:firstLine="600"/>
        <w:spacing w:after="0" w:line="360" w:lineRule="auto"/>
        <w:rPr>
          <w:rFonts w:ascii="宋体" w:hAnsi="宋体" w:eastAsia="宋体" w:cs="宋体"/>
          <w:color w:val="auto"/>
          <w:sz w:val="24"/>
          <w:szCs w:val="24"/>
        </w:rPr>
      </w:pPr>
      <w:r>
        <w:rPr>
          <w:rFonts w:hint="eastAsia" w:ascii="宋体" w:hAnsi="宋体" w:eastAsia="宋体" w:cs="宋体"/>
          <w:bCs/>
          <w:color w:val="auto"/>
          <w:sz w:val="24"/>
          <w:szCs w:val="24"/>
        </w:rPr>
        <w:t xml:space="preserve">2.一旦我方中标，</w:t>
      </w:r>
      <w:r>
        <w:rPr>
          <w:rFonts w:hint="eastAsia" w:ascii="宋体" w:hAnsi="宋体" w:eastAsia="宋体" w:cs="宋体"/>
          <w:color w:val="auto"/>
          <w:sz w:val="24"/>
          <w:szCs w:val="24"/>
        </w:rPr>
        <w:t xml:space="preserve">我们将严格履行招标文件中规定的每一项要求，按期、按质、按量履行合同的义务。</w:t>
      </w:r>
      <w:r/>
    </w:p>
    <w:p>
      <w:pPr>
        <w:pStyle w:val="1126"/>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3.我们已详细审查全部招标文件，包括更正文件（如有），对招标文件及更正公告（如有）无任何异议。我们完全理解并同意放弃对这方面有不明及误解的权利。</w:t>
      </w:r>
      <w:r/>
    </w:p>
    <w:p>
      <w:pPr>
        <w:pStyle w:val="1126"/>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4.我们同意按照招标文件中的规定，本投标书的有效期限为自投标截止之日起</w:t>
      </w:r>
      <w:r>
        <w:rPr>
          <w:rFonts w:hint="eastAsia" w:hAnsi="宋体" w:eastAsia="宋体" w:cs="宋体"/>
          <w:color w:val="auto"/>
          <w:sz w:val="24"/>
          <w:szCs w:val="24"/>
          <w:lang w:val="en-US" w:eastAsia="zh-CN"/>
        </w:rPr>
        <w:t xml:space="preserve">9</w:t>
      </w:r>
      <w:r>
        <w:rPr>
          <w:rFonts w:hint="eastAsia" w:hAnsi="宋体" w:eastAsia="宋体" w:cs="宋体"/>
          <w:color w:val="auto"/>
          <w:sz w:val="24"/>
          <w:szCs w:val="24"/>
        </w:rPr>
        <w:t xml:space="preserve">0天。</w:t>
      </w:r>
      <w:r/>
    </w:p>
    <w:p>
      <w:pPr>
        <w:pStyle w:val="1126"/>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5.我们愿意提供招标采购单位在招标文件中要求的所有资料。</w:t>
      </w:r>
      <w:r/>
    </w:p>
    <w:p>
      <w:pPr>
        <w:pStyle w:val="1126"/>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6.我们愿意遵守招标文件中所列的收费标准。</w:t>
      </w:r>
      <w:r/>
    </w:p>
    <w:p>
      <w:pPr>
        <w:pStyle w:val="1126"/>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7.我们承诺该项投标在开标后的全过程中保持有效，不作任何更改和变动。</w:t>
      </w:r>
      <w:r/>
    </w:p>
    <w:p>
      <w:pPr>
        <w:pStyle w:val="1024"/>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8.我方愿意提供贵单位可能另外要求的，与投标有关的文件资料，并保证我方已提供和将要提供的文件资料是真实、准确的。</w:t>
      </w:r>
      <w:r/>
    </w:p>
    <w:p>
      <w:pPr>
        <w:pStyle w:val="1024"/>
        <w:ind w:left="0" w:firstLine="600"/>
        <w:spacing w:after="0" w:line="360" w:lineRule="auto"/>
        <w:rPr>
          <w:rFonts w:ascii="宋体" w:hAnsi="宋体" w:eastAsia="宋体" w:cs="宋体"/>
          <w:bCs/>
          <w:color w:val="auto"/>
          <w:sz w:val="24"/>
          <w:szCs w:val="24"/>
        </w:rPr>
      </w:pPr>
      <w:r>
        <w:rPr>
          <w:rFonts w:ascii="宋体" w:hAnsi="宋体" w:eastAsia="宋体" w:cs="宋体"/>
          <w:bCs/>
          <w:color w:val="auto"/>
          <w:sz w:val="24"/>
          <w:szCs w:val="24"/>
        </w:rPr>
      </w:r>
      <w:r/>
    </w:p>
    <w:p>
      <w:pPr>
        <w:pStyle w:val="1024"/>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投标人名称： （</w:t>
      </w:r>
      <w:r>
        <w:rPr>
          <w:rFonts w:hint="eastAsia" w:ascii="宋体" w:hAnsi="宋体" w:eastAsia="宋体" w:cs="宋体"/>
          <w:bCs/>
          <w:color w:val="auto"/>
          <w:sz w:val="24"/>
        </w:rPr>
        <w:t xml:space="preserve">加盖CA电子公章</w:t>
      </w:r>
      <w:r>
        <w:rPr>
          <w:rFonts w:hint="eastAsia" w:ascii="宋体" w:hAnsi="宋体" w:eastAsia="宋体" w:cs="宋体"/>
          <w:bCs/>
          <w:color w:val="auto"/>
          <w:sz w:val="24"/>
          <w:szCs w:val="24"/>
        </w:rPr>
        <w:t xml:space="preserve">）</w:t>
      </w:r>
      <w:r/>
    </w:p>
    <w:p>
      <w:pPr>
        <w:pStyle w:val="1024"/>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rPr>
        <w:t xml:space="preserve">法定代表人或授权代表</w:t>
      </w:r>
      <w:r>
        <w:rPr>
          <w:rFonts w:hint="eastAsia" w:ascii="宋体" w:hAnsi="宋体" w:eastAsia="宋体" w:cs="宋体"/>
          <w:bCs/>
          <w:color w:val="auto"/>
          <w:sz w:val="24"/>
          <w:szCs w:val="24"/>
        </w:rPr>
        <w:t xml:space="preserve">（签字或盖章）：</w:t>
      </w:r>
      <w:r/>
    </w:p>
    <w:p>
      <w:pPr>
        <w:pStyle w:val="1024"/>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地址：</w:t>
      </w:r>
      <w:r/>
    </w:p>
    <w:p>
      <w:pPr>
        <w:pStyle w:val="1024"/>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邮政编码：</w:t>
      </w:r>
      <w:r/>
    </w:p>
    <w:p>
      <w:pPr>
        <w:pStyle w:val="1024"/>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联系电话：</w:t>
      </w:r>
      <w:r/>
    </w:p>
    <w:p>
      <w:pPr>
        <w:pStyle w:val="1024"/>
        <w:ind w:left="0" w:firstLine="600"/>
        <w:spacing w:after="0"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日    期：</w:t>
      </w:r>
      <w:r/>
    </w:p>
    <w:p>
      <w:pPr>
        <w:jc w:val="center"/>
        <w:rPr>
          <w:rFonts w:ascii="宋体" w:hAnsi="宋体" w:eastAsia="宋体" w:cs="宋体"/>
          <w:bCs/>
          <w:color w:val="auto"/>
          <w:sz w:val="24"/>
          <w:szCs w:val="24"/>
        </w:rPr>
        <w:outlineLvl w:val="0"/>
      </w:pPr>
      <w:r>
        <w:rPr>
          <w:rFonts w:hint="eastAsia" w:ascii="宋体" w:hAnsi="宋体" w:eastAsia="宋体" w:cs="宋体"/>
          <w:bCs/>
          <w:color w:val="auto"/>
          <w:sz w:val="24"/>
          <w:szCs w:val="24"/>
        </w:rPr>
        <w:br w:type="page" w:clear="all"/>
      </w:r>
      <w:r/>
    </w:p>
    <w:p>
      <w:pPr>
        <w:jc w:val="center"/>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关于资格的声明函</w:t>
      </w:r>
      <w:r/>
    </w:p>
    <w:p>
      <w:pPr>
        <w:jc w:val="center"/>
        <w:rPr>
          <w:rFonts w:ascii="宋体" w:hAnsi="宋体" w:eastAsia="宋体" w:cs="宋体"/>
          <w:bCs/>
          <w:color w:val="auto"/>
          <w:sz w:val="32"/>
        </w:rPr>
      </w:pPr>
      <w:r>
        <w:rPr>
          <w:rFonts w:ascii="宋体" w:hAnsi="宋体" w:eastAsia="宋体" w:cs="宋体"/>
          <w:bCs/>
          <w:color w:val="auto"/>
          <w:sz w:val="32"/>
        </w:rPr>
      </w:r>
      <w:r/>
    </w:p>
    <w:p>
      <w:pPr>
        <w:spacing w:line="480" w:lineRule="auto"/>
        <w:rPr>
          <w:rFonts w:ascii="宋体" w:hAnsi="宋体" w:eastAsia="宋体" w:cs="宋体"/>
          <w:bCs/>
          <w:iCs/>
          <w:color w:val="auto"/>
          <w:sz w:val="28"/>
          <w:szCs w:val="28"/>
        </w:rPr>
      </w:pPr>
      <w:r>
        <w:rPr>
          <w:rFonts w:hint="eastAsia" w:ascii="宋体" w:hAnsi="宋体" w:eastAsia="宋体" w:cs="宋体"/>
          <w:bCs/>
          <w:iCs/>
          <w:color w:val="auto"/>
          <w:sz w:val="24"/>
          <w:szCs w:val="24"/>
          <w:u w:val="single"/>
        </w:rPr>
        <w:t xml:space="preserve">江苏农牧科技职业学院</w:t>
      </w:r>
      <w:r>
        <w:rPr>
          <w:rFonts w:hint="eastAsia" w:ascii="宋体" w:hAnsi="宋体" w:eastAsia="宋体" w:cs="宋体"/>
          <w:bCs/>
          <w:iCs/>
          <w:color w:val="auto"/>
          <w:sz w:val="24"/>
          <w:szCs w:val="24"/>
        </w:rPr>
        <w:t xml:space="preserve">：</w:t>
      </w:r>
      <w:r/>
    </w:p>
    <w:p>
      <w:pPr>
        <w:pStyle w:val="1049"/>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按照采购文件的要求，我方（投标供应商）提交的资格证明文件及有关资料，用于你方（采购人）审查我方参加</w:t>
      </w:r>
      <w:r>
        <w:rPr>
          <w:rFonts w:hint="eastAsia" w:ascii="宋体" w:hAnsi="宋体" w:cs="宋体"/>
          <w:bCs/>
          <w:color w:val="auto"/>
          <w:sz w:val="24"/>
          <w:szCs w:val="24"/>
          <w:u w:val="single"/>
        </w:rPr>
        <w:t xml:space="preserve">          （项目名称）</w:t>
      </w:r>
      <w:r>
        <w:rPr>
          <w:rFonts w:hint="eastAsia" w:ascii="宋体" w:hAnsi="宋体" w:cs="宋体"/>
          <w:bCs/>
          <w:color w:val="auto"/>
          <w:sz w:val="24"/>
          <w:szCs w:val="24"/>
        </w:rPr>
        <w:t xml:space="preserve">政府采购活动的投标资格。我方在此声明：</w:t>
      </w:r>
      <w:r/>
    </w:p>
    <w:p>
      <w:pPr>
        <w:pStyle w:val="1049"/>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1.所提交的资格证明文件及有关资料内容完整、真实和准确。</w:t>
      </w:r>
      <w:r/>
    </w:p>
    <w:p>
      <w:pPr>
        <w:pStyle w:val="1049"/>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2.我方未以他人名义投标、串标或以其他方式弄虚作假投标。</w:t>
      </w:r>
      <w:r/>
    </w:p>
    <w:p>
      <w:pPr>
        <w:pStyle w:val="1049"/>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3.我方未向采购人或评标委员会行贿谋取中标。</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4.我方若有违法违规行为，自愿承担违诺违规责任，取消响应资格，列入政府采购不良行为记录，并根据《中华人民共和国政府采购法》《中华人民共和国政府采购法实施条例》等有关法律法规和规章中的相关条款进行处罚。如已中标的，自动取消中标资格；给采购人造成损失的，依法承担赔偿责任。</w:t>
      </w:r>
      <w:r/>
    </w:p>
    <w:p>
      <w:pPr>
        <w:pStyle w:val="823"/>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rPr>
      </w:pPr>
      <w:r>
        <w:rPr>
          <w:rFonts w:ascii="宋体" w:hAnsi="宋体" w:eastAsia="宋体" w:cs="宋体"/>
          <w:color w:val="auto"/>
        </w:rPr>
      </w:r>
      <w:r/>
    </w:p>
    <w:p>
      <w:pPr>
        <w:ind w:firstLine="560"/>
        <w:jc w:val="right"/>
        <w:spacing w:line="400" w:lineRule="exact"/>
        <w:rPr>
          <w:rFonts w:ascii="宋体" w:hAnsi="宋体" w:eastAsia="宋体" w:cs="宋体"/>
          <w:bCs/>
          <w:color w:val="auto"/>
          <w:sz w:val="24"/>
        </w:rPr>
      </w:pPr>
      <w:r>
        <w:rPr>
          <w:rFonts w:hint="eastAsia" w:ascii="宋体" w:hAnsi="宋体" w:eastAsia="宋体" w:cs="宋体"/>
          <w:bCs/>
          <w:color w:val="auto"/>
          <w:sz w:val="28"/>
          <w:szCs w:val="28"/>
        </w:rPr>
        <w:t xml:space="preserve">                        </w:t>
      </w:r>
      <w:r>
        <w:rPr>
          <w:rFonts w:hint="eastAsia" w:ascii="宋体" w:hAnsi="宋体" w:eastAsia="宋体" w:cs="宋体"/>
          <w:bCs/>
          <w:color w:val="auto"/>
          <w:sz w:val="24"/>
        </w:rPr>
        <w:t xml:space="preserve">法定代表人或授权代表（签字或盖章）：</w:t>
      </w:r>
      <w:r/>
    </w:p>
    <w:p>
      <w:pPr>
        <w:ind w:firstLine="480"/>
        <w:jc w:val="right"/>
        <w:spacing w:line="400" w:lineRule="exact"/>
        <w:rPr>
          <w:rFonts w:ascii="宋体" w:hAnsi="宋体" w:eastAsia="宋体" w:cs="宋体"/>
          <w:bCs/>
          <w:color w:val="auto"/>
          <w:sz w:val="24"/>
        </w:rPr>
      </w:pPr>
      <w:r/>
      <w:bookmarkStart w:id="72" w:name="OLE_LINK21"/>
      <w:r>
        <w:rPr>
          <w:rFonts w:hint="eastAsia" w:ascii="宋体" w:hAnsi="宋体" w:eastAsia="宋体" w:cs="宋体"/>
          <w:bCs/>
          <w:color w:val="auto"/>
          <w:sz w:val="24"/>
        </w:rPr>
        <w:t xml:space="preserve">单位名称：（加盖CA电子公章）</w:t>
      </w:r>
      <w:r/>
    </w:p>
    <w:p>
      <w:pPr>
        <w:ind w:firstLine="56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                                                   日期：</w:t>
      </w:r>
      <w:bookmarkEnd w:id="72"/>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480"/>
        <w:rPr>
          <w:rFonts w:hAnsi="宋体" w:cs="宋体"/>
          <w:color w:val="auto"/>
          <w:sz w:val="24"/>
          <w:szCs w:val="24"/>
        </w:rPr>
      </w:pPr>
      <w:r>
        <w:rPr>
          <w:rFonts w:hAnsi="宋体" w:cs="宋体"/>
          <w:color w:val="auto"/>
          <w:sz w:val="24"/>
          <w:szCs w:val="24"/>
        </w:rPr>
      </w:r>
      <w:r/>
    </w:p>
    <w:p>
      <w:pPr>
        <w:pStyle w:val="1048"/>
        <w:ind w:firstLine="0"/>
        <w:jc w:val="center"/>
        <w:tabs>
          <w:tab w:val="left" w:pos="3884" w:leader="none"/>
        </w:tabs>
        <w:rPr>
          <w:rFonts w:hAnsi="宋体" w:cs="宋体"/>
          <w:b/>
          <w:color w:val="auto"/>
          <w:sz w:val="32"/>
          <w:szCs w:val="32"/>
        </w:rPr>
      </w:pPr>
      <w:r>
        <w:rPr>
          <w:rFonts w:hint="eastAsia" w:hAnsi="宋体" w:cs="宋体"/>
          <w:b/>
          <w:color w:val="auto"/>
          <w:sz w:val="32"/>
          <w:szCs w:val="32"/>
        </w:rPr>
        <w:t xml:space="preserve">法定代表人授权委托书</w:t>
      </w:r>
      <w:r/>
    </w:p>
    <w:p>
      <w:pPr>
        <w:pStyle w:val="1008"/>
        <w:rPr>
          <w:rFonts w:ascii="宋体" w:hAnsi="宋体" w:eastAsia="宋体" w:cs="宋体"/>
          <w:color w:val="auto"/>
          <w:szCs w:val="24"/>
        </w:rPr>
      </w:pPr>
      <w:r>
        <w:rPr>
          <w:rFonts w:ascii="宋体" w:hAnsi="宋体" w:eastAsia="宋体" w:cs="宋体"/>
          <w:color w:val="auto"/>
          <w:szCs w:val="24"/>
        </w:rPr>
      </w:r>
      <w:r/>
    </w:p>
    <w:p>
      <w:pPr>
        <w:pStyle w:val="1008"/>
        <w:rPr>
          <w:rFonts w:ascii="宋体" w:hAnsi="宋体" w:eastAsia="宋体" w:cs="宋体"/>
          <w:bCs/>
          <w:iCs/>
          <w:color w:val="auto"/>
          <w:szCs w:val="24"/>
          <w:u w:val="single"/>
        </w:rPr>
      </w:pPr>
      <w:r>
        <w:rPr>
          <w:rFonts w:ascii="宋体" w:hAnsi="宋体" w:eastAsia="宋体" w:cs="宋体"/>
          <w:bCs/>
          <w:iCs/>
          <w:color w:val="auto"/>
          <w:szCs w:val="24"/>
          <w:u w:val="single"/>
        </w:rPr>
      </w:r>
      <w:r/>
    </w:p>
    <w:p>
      <w:pPr>
        <w:pStyle w:val="1008"/>
        <w:ind w:firstLine="0"/>
        <w:rPr>
          <w:rFonts w:ascii="宋体" w:hAnsi="宋体" w:eastAsia="宋体" w:cs="宋体"/>
          <w:color w:val="auto"/>
          <w:szCs w:val="24"/>
        </w:rPr>
      </w:pPr>
      <w:r>
        <w:rPr>
          <w:rFonts w:hint="eastAsia" w:ascii="宋体" w:hAnsi="宋体" w:eastAsia="宋体" w:cs="宋体"/>
          <w:bCs/>
          <w:iCs/>
          <w:color w:val="auto"/>
          <w:szCs w:val="24"/>
          <w:u w:val="single"/>
        </w:rPr>
        <w:t xml:space="preserve">江苏农牧科技职业学院</w:t>
      </w:r>
      <w:r>
        <w:rPr>
          <w:rFonts w:hint="eastAsia" w:ascii="宋体" w:hAnsi="宋体" w:eastAsia="宋体" w:cs="宋体"/>
          <w:bCs/>
          <w:iCs/>
          <w:color w:val="auto"/>
          <w:szCs w:val="24"/>
        </w:rPr>
        <w:t xml:space="preserve">：</w:t>
      </w:r>
      <w:r/>
    </w:p>
    <w:p>
      <w:pPr>
        <w:ind w:firstLine="480"/>
        <w:spacing w:line="580" w:lineRule="exact"/>
        <w:rPr>
          <w:rFonts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系中华人民共和国合法公司（单位），特授权</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代表我公司（单位）全权办理针对本项目（</w:t>
      </w:r>
      <w:r>
        <w:rPr>
          <w:rFonts w:hint="eastAsia" w:ascii="宋体" w:hAnsi="宋体" w:eastAsia="宋体" w:cs="宋体"/>
          <w:color w:val="auto"/>
          <w:sz w:val="24"/>
          <w:szCs w:val="24"/>
        </w:rPr>
        <w:t xml:space="preserve">项目编号：                 </w:t>
      </w:r>
      <w:r>
        <w:rPr>
          <w:rFonts w:hint="eastAsia" w:ascii="宋体" w:hAnsi="宋体" w:eastAsia="宋体" w:cs="宋体"/>
          <w:bCs/>
          <w:color w:val="auto"/>
          <w:sz w:val="24"/>
        </w:rPr>
        <w:t xml:space="preserve">）的投标、参与开标、评标、签约等具体工作，并签署全部有关的文件、协议及合同。</w:t>
      </w:r>
      <w:r/>
    </w:p>
    <w:p>
      <w:pPr>
        <w:ind w:firstLine="480"/>
        <w:spacing w:line="580" w:lineRule="exact"/>
        <w:rPr>
          <w:rFonts w:ascii="宋体" w:hAnsi="宋体" w:eastAsia="宋体" w:cs="宋体"/>
          <w:bCs/>
          <w:color w:val="auto"/>
          <w:sz w:val="24"/>
        </w:rPr>
      </w:pPr>
      <w:r>
        <w:rPr>
          <w:rFonts w:hint="eastAsia" w:ascii="宋体" w:hAnsi="宋体" w:eastAsia="宋体" w:cs="宋体"/>
          <w:bCs/>
          <w:color w:val="auto"/>
          <w:sz w:val="24"/>
        </w:rPr>
        <w:t xml:space="preserve">我公司（单位）对被授权代表的签名负全部责任。</w:t>
      </w:r>
      <w:r/>
    </w:p>
    <w:p>
      <w:pPr>
        <w:ind w:firstLine="480"/>
        <w:spacing w:line="580" w:lineRule="exact"/>
        <w:rPr>
          <w:rFonts w:ascii="宋体" w:hAnsi="宋体" w:eastAsia="宋体" w:cs="宋体"/>
          <w:bCs/>
          <w:color w:val="auto"/>
          <w:sz w:val="24"/>
        </w:rPr>
      </w:pPr>
      <w:r>
        <w:rPr>
          <w:rFonts w:hint="eastAsia" w:ascii="宋体" w:hAnsi="宋体" w:eastAsia="宋体" w:cs="宋体"/>
          <w:bCs/>
          <w:color w:val="auto"/>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auto"/>
          <w:sz w:val="24"/>
        </w:rPr>
      </w:pPr>
      <w:r>
        <w:rPr>
          <w:rFonts w:hint="eastAsia" w:ascii="宋体" w:hAnsi="宋体" w:eastAsia="宋体" w:cs="宋体"/>
          <w:bCs/>
          <w:color w:val="auto"/>
          <w:sz w:val="24"/>
        </w:rPr>
        <w:t xml:space="preserve">被授权代表情况：</w:t>
      </w:r>
      <w:r/>
    </w:p>
    <w:p>
      <w:pPr>
        <w:ind w:firstLine="480"/>
        <w:spacing w:line="580" w:lineRule="exact"/>
        <w:rPr>
          <w:rFonts w:ascii="宋体" w:hAnsi="宋体" w:eastAsia="宋体" w:cs="宋体"/>
          <w:color w:val="auto"/>
          <w:sz w:val="21"/>
          <w:szCs w:val="21"/>
        </w:rPr>
      </w:pPr>
      <w:r>
        <w:rPr>
          <w:rFonts w:hint="eastAsia" w:ascii="宋体" w:hAnsi="宋体" w:eastAsia="宋体" w:cs="宋体"/>
          <w:bCs/>
          <w:color w:val="auto"/>
          <w:sz w:val="24"/>
        </w:rPr>
        <w:t xml:space="preserve">姓名：         性别：       电话：</w:t>
      </w:r>
      <w:r/>
    </w:p>
    <w:p>
      <w:pPr>
        <w:pStyle w:val="1008"/>
        <w:jc w:val="right"/>
        <w:rPr>
          <w:rFonts w:ascii="宋体" w:hAnsi="宋体" w:eastAsia="宋体" w:cs="宋体"/>
          <w:color w:val="auto"/>
          <w:sz w:val="21"/>
          <w:szCs w:val="21"/>
        </w:rPr>
      </w:pPr>
      <w:r>
        <w:rPr>
          <w:rFonts w:ascii="宋体" w:hAnsi="宋体" w:eastAsia="宋体" w:cs="宋体"/>
          <w:color w:val="auto"/>
          <w:sz w:val="21"/>
          <w:szCs w:val="21"/>
        </w:rPr>
      </w:r>
      <w:r/>
    </w:p>
    <w:p>
      <w:pPr>
        <w:pStyle w:val="1008"/>
        <w:jc w:val="right"/>
        <w:rPr>
          <w:rFonts w:ascii="宋体" w:hAnsi="宋体" w:eastAsia="宋体" w:cs="宋体"/>
          <w:color w:val="auto"/>
          <w:szCs w:val="24"/>
        </w:rPr>
      </w:pPr>
      <w:r>
        <w:rPr>
          <w:rFonts w:ascii="宋体" w:hAnsi="宋体" w:eastAsia="宋体" w:cs="宋体"/>
          <w:color w:val="auto"/>
          <w:szCs w:val="24"/>
        </w:rPr>
      </w:r>
      <w:r/>
    </w:p>
    <w:p>
      <w:pPr>
        <w:pStyle w:val="1008"/>
        <w:jc w:val="center"/>
        <w:rPr>
          <w:rFonts w:ascii="宋体" w:hAnsi="宋体" w:eastAsia="宋体" w:cs="宋体"/>
          <w:color w:val="auto"/>
          <w:szCs w:val="24"/>
        </w:rPr>
      </w:pPr>
      <w:r>
        <w:rPr>
          <w:rFonts w:hint="eastAsia" w:ascii="宋体" w:hAnsi="宋体" w:eastAsia="宋体" w:cs="宋体"/>
          <w:color w:val="auto"/>
          <w:szCs w:val="24"/>
        </w:rPr>
        <w:t xml:space="preserve">                                        </w:t>
      </w:r>
      <w:r/>
    </w:p>
    <w:p>
      <w:pPr>
        <w:pStyle w:val="1008"/>
        <w:jc w:val="center"/>
        <w:rPr>
          <w:rFonts w:ascii="宋体" w:hAnsi="宋体" w:eastAsia="宋体" w:cs="宋体"/>
          <w:color w:val="auto"/>
          <w:szCs w:val="24"/>
        </w:rPr>
      </w:pPr>
      <w:r>
        <w:rPr>
          <w:rFonts w:ascii="宋体" w:hAnsi="宋体" w:eastAsia="宋体" w:cs="宋体"/>
          <w:color w:val="auto"/>
          <w:szCs w:val="24"/>
        </w:rPr>
      </w:r>
      <w:r/>
    </w:p>
    <w:p>
      <w:pPr>
        <w:pStyle w:val="1008"/>
        <w:jc w:val="center"/>
        <w:rPr>
          <w:rFonts w:ascii="宋体" w:hAnsi="宋体" w:eastAsia="宋体" w:cs="宋体"/>
          <w:color w:val="auto"/>
          <w:szCs w:val="24"/>
        </w:rPr>
      </w:pPr>
      <w:r>
        <w:rPr>
          <w:rFonts w:ascii="宋体" w:hAnsi="宋体" w:eastAsia="宋体" w:cs="宋体"/>
          <w:color w:val="auto"/>
          <w:szCs w:val="24"/>
        </w:rPr>
      </w:r>
      <w:r/>
    </w:p>
    <w:p>
      <w:pPr>
        <w:ind w:firstLine="480"/>
        <w:jc w:val="right"/>
        <w:spacing w:line="400" w:lineRule="exact"/>
        <w:rPr>
          <w:rFonts w:ascii="宋体" w:hAnsi="宋体" w:eastAsia="宋体" w:cs="宋体"/>
          <w:bCs/>
          <w:color w:val="auto"/>
          <w:sz w:val="24"/>
        </w:rPr>
      </w:pPr>
      <w:r>
        <w:rPr>
          <w:rFonts w:hint="eastAsia" w:ascii="宋体" w:hAnsi="宋体" w:eastAsia="宋体" w:cs="宋体"/>
          <w:bCs/>
          <w:color w:val="auto"/>
          <w:sz w:val="24"/>
        </w:rPr>
        <w:t xml:space="preserve">法定代表人或授权代表（签字或盖章）：</w:t>
      </w:r>
      <w:r/>
    </w:p>
    <w:p>
      <w:pPr>
        <w:ind w:firstLine="480"/>
        <w:jc w:val="right"/>
        <w:spacing w:line="400" w:lineRule="exact"/>
        <w:rPr>
          <w:rFonts w:ascii="宋体" w:hAnsi="宋体" w:eastAsia="宋体" w:cs="宋体"/>
          <w:bCs/>
          <w:color w:val="auto"/>
          <w:sz w:val="24"/>
        </w:rPr>
      </w:pPr>
      <w:r>
        <w:rPr>
          <w:rFonts w:hint="eastAsia" w:ascii="宋体" w:hAnsi="宋体" w:eastAsia="宋体" w:cs="宋体"/>
          <w:bCs/>
          <w:color w:val="auto"/>
          <w:sz w:val="24"/>
        </w:rPr>
        <w:t xml:space="preserve">单位名称：（加盖CA电子公章）</w:t>
      </w:r>
      <w:r/>
    </w:p>
    <w:p>
      <w:pPr>
        <w:ind w:firstLine="480"/>
        <w:jc w:val="right"/>
        <w:spacing w:line="400" w:lineRule="exact"/>
        <w:rPr>
          <w:rFonts w:ascii="宋体" w:hAnsi="宋体" w:eastAsia="宋体" w:cs="宋体"/>
          <w:bCs/>
          <w:color w:val="auto"/>
          <w:sz w:val="24"/>
        </w:rPr>
      </w:pPr>
      <w:r>
        <w:rPr>
          <w:rFonts w:hint="eastAsia" w:ascii="宋体" w:hAnsi="宋体" w:eastAsia="宋体" w:cs="宋体"/>
          <w:bCs/>
          <w:color w:val="auto"/>
          <w:sz w:val="24"/>
        </w:rPr>
        <w:t xml:space="preserve">日    期：</w:t>
      </w:r>
      <w:r/>
    </w:p>
    <w:p>
      <w:pPr>
        <w:rPr>
          <w:rFonts w:ascii="宋体" w:hAnsi="宋体" w:eastAsia="宋体" w:cs="宋体"/>
          <w:color w:val="auto"/>
          <w:sz w:val="32"/>
          <w:szCs w:val="32"/>
        </w:rPr>
      </w:pPr>
      <w:r>
        <w:rPr>
          <w:rFonts w:ascii="宋体" w:hAnsi="宋体" w:eastAsia="宋体" w:cs="宋体"/>
          <w:color w:val="auto"/>
          <w:sz w:val="32"/>
          <w:szCs w:val="32"/>
        </w:rPr>
      </w:r>
      <w:r/>
    </w:p>
    <w:p>
      <w:pPr>
        <w:pStyle w:val="1008"/>
        <w:rPr>
          <w:rFonts w:ascii="宋体" w:hAnsi="宋体" w:eastAsia="宋体" w:cs="宋体"/>
          <w:color w:val="auto"/>
          <w:sz w:val="28"/>
          <w:szCs w:val="28"/>
          <w:u w:val="single"/>
        </w:rPr>
      </w:pPr>
      <w:r>
        <w:rPr>
          <w:rFonts w:ascii="宋体" w:hAnsi="宋体" w:eastAsia="宋体" w:cs="宋体"/>
          <w:color w:val="auto"/>
          <w:sz w:val="28"/>
          <w:szCs w:val="28"/>
          <w:u w:val="single"/>
        </w:rPr>
      </w:r>
      <w:r/>
    </w:p>
    <w:p>
      <w:pPr>
        <w:rPr>
          <w:rFonts w:ascii="宋体" w:hAnsi="宋体" w:eastAsia="宋体" w:cs="宋体"/>
          <w:color w:val="auto"/>
          <w:sz w:val="28"/>
          <w:u w:val="single"/>
        </w:rPr>
      </w:pPr>
      <w:r>
        <w:rPr>
          <w:rFonts w:hint="eastAsia" w:ascii="宋体" w:hAnsi="宋体" w:eastAsia="宋体" w:cs="宋体"/>
          <w:color w:val="auto"/>
          <w:sz w:val="24"/>
          <w:szCs w:val="24"/>
        </w:rPr>
        <w:t xml:space="preserve">附：法定代表人授权代表身份证扫描件</w:t>
      </w:r>
      <w:r>
        <w:rPr>
          <w:rFonts w:hint="eastAsia" w:ascii="宋体" w:hAnsi="宋体" w:eastAsia="宋体" w:cs="宋体"/>
          <w:color w:val="auto"/>
          <w:sz w:val="28"/>
          <w:u w:val="single"/>
        </w:rPr>
        <w:br w:type="page" w:clear="all"/>
      </w:r>
      <w:bookmarkEnd w:id="52"/>
      <w:r/>
      <w:bookmarkEnd w:id="53"/>
      <w:r/>
      <w:bookmarkEnd w:id="54"/>
      <w:r/>
      <w:bookmarkEnd w:id="55"/>
      <w:r/>
      <w:bookmarkEnd w:id="56"/>
      <w:r/>
      <w:bookmarkEnd w:id="57"/>
      <w:r/>
      <w:bookmarkEnd w:id="58"/>
      <w:r/>
      <w:r/>
    </w:p>
    <w:p>
      <w:pPr>
        <w:jc w:val="center"/>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无重大违法记录声明</w:t>
      </w:r>
      <w:r/>
    </w:p>
    <w:p>
      <w:pPr>
        <w:ind w:firstLine="420"/>
        <w:spacing w:line="360" w:lineRule="auto"/>
        <w:rPr>
          <w:rFonts w:ascii="宋体" w:hAnsi="宋体" w:eastAsia="宋体" w:cs="宋体"/>
          <w:color w:val="auto"/>
          <w:szCs w:val="21"/>
        </w:rPr>
      </w:pPr>
      <w:r>
        <w:rPr>
          <w:rFonts w:ascii="宋体" w:hAnsi="宋体" w:eastAsia="宋体" w:cs="宋体"/>
          <w:color w:val="auto"/>
          <w:szCs w:val="21"/>
        </w:rPr>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本公司参与贵方组织</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rPr>
        <w:t xml:space="preserve">作出如下声明：</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本公司参加本次政府采购活动前3年内，在经营活动中没有重大违法记录。</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ind w:firstLine="420"/>
        <w:spacing w:line="360" w:lineRule="auto"/>
        <w:rPr>
          <w:rFonts w:ascii="宋体" w:hAnsi="宋体" w:eastAsia="宋体" w:cs="宋体"/>
          <w:color w:val="auto"/>
          <w:szCs w:val="21"/>
        </w:rPr>
      </w:pPr>
      <w:r>
        <w:rPr>
          <w:rFonts w:ascii="宋体" w:hAnsi="宋体" w:eastAsia="宋体" w:cs="宋体"/>
          <w:color w:val="auto"/>
          <w:szCs w:val="21"/>
        </w:rPr>
      </w:r>
      <w:r/>
    </w:p>
    <w:p>
      <w:pPr>
        <w:pStyle w:val="785"/>
        <w:rPr>
          <w:rFonts w:ascii="宋体" w:hAnsi="宋体" w:eastAsia="宋体" w:cs="宋体"/>
          <w:color w:val="auto"/>
        </w:rPr>
      </w:pPr>
      <w:r>
        <w:rPr>
          <w:rFonts w:ascii="宋体" w:hAnsi="宋体" w:eastAsia="宋体" w:cs="宋体"/>
          <w:color w:val="auto"/>
        </w:rPr>
      </w:r>
      <w:r/>
    </w:p>
    <w:p>
      <w:pPr>
        <w:ind w:firstLine="420"/>
        <w:spacing w:line="360" w:lineRule="auto"/>
        <w:rPr>
          <w:rFonts w:ascii="宋体" w:hAnsi="宋体" w:eastAsia="宋体" w:cs="宋体"/>
          <w:color w:val="auto"/>
          <w:szCs w:val="21"/>
        </w:rPr>
      </w:pPr>
      <w:r>
        <w:rPr>
          <w:rFonts w:ascii="宋体" w:hAnsi="宋体" w:eastAsia="宋体" w:cs="宋体"/>
          <w:color w:val="auto"/>
          <w:szCs w:val="21"/>
        </w:rPr>
      </w:r>
      <w:r/>
    </w:p>
    <w:p>
      <w:pPr>
        <w:ind w:firstLine="482"/>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投标人：</w:t>
      </w:r>
      <w:r>
        <w:rPr>
          <w:rFonts w:hint="eastAsia" w:ascii="宋体" w:hAnsi="宋体" w:eastAsia="宋体" w:cs="宋体"/>
          <w:color w:val="auto"/>
          <w:sz w:val="24"/>
          <w:szCs w:val="24"/>
        </w:rPr>
        <w:t xml:space="preserve">（</w:t>
      </w:r>
      <w:r>
        <w:rPr>
          <w:rFonts w:hint="eastAsia" w:ascii="宋体" w:hAnsi="宋体" w:eastAsia="宋体" w:cs="宋体"/>
          <w:color w:val="auto"/>
          <w:sz w:val="24"/>
        </w:rPr>
        <w:t xml:space="preserve">加盖CA电子公章</w:t>
      </w:r>
      <w:r>
        <w:rPr>
          <w:rFonts w:hint="eastAsia" w:ascii="宋体" w:hAnsi="宋体" w:eastAsia="宋体" w:cs="宋体"/>
          <w:color w:val="auto"/>
          <w:sz w:val="24"/>
          <w:szCs w:val="24"/>
        </w:rPr>
        <w:t xml:space="preserve">）</w:t>
      </w:r>
      <w:r/>
    </w:p>
    <w:p>
      <w:pPr>
        <w:ind w:firstLine="482"/>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法定代表人或授权委托代理人 ：（签字或盖章）</w:t>
      </w:r>
      <w:r/>
    </w:p>
    <w:p>
      <w:pPr>
        <w:ind w:firstLine="482"/>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日期：</w:t>
      </w:r>
      <w:r/>
    </w:p>
    <w:p>
      <w:pPr>
        <w:pStyle w:val="782"/>
        <w:ind w:firstLine="0"/>
        <w:rPr>
          <w:rFonts w:ascii="宋体" w:hAnsi="宋体" w:eastAsia="宋体" w:cs="宋体"/>
          <w:bCs/>
          <w:color w:val="auto"/>
          <w:szCs w:val="24"/>
        </w:rPr>
      </w:pPr>
      <w:r>
        <w:rPr>
          <w:rFonts w:ascii="宋体" w:hAnsi="宋体" w:eastAsia="宋体" w:cs="宋体"/>
          <w:bCs/>
          <w:color w:val="auto"/>
          <w:szCs w:val="24"/>
        </w:rPr>
      </w:r>
      <w:r/>
    </w:p>
    <w:p>
      <w:pPr>
        <w:pStyle w:val="782"/>
        <w:ind w:firstLine="0"/>
        <w:rPr>
          <w:rFonts w:ascii="宋体" w:hAnsi="宋体" w:eastAsia="宋体" w:cs="宋体"/>
          <w:bCs/>
          <w:color w:val="auto"/>
          <w:szCs w:val="24"/>
        </w:rPr>
      </w:pPr>
      <w:r>
        <w:rPr>
          <w:rFonts w:ascii="宋体" w:hAnsi="宋体" w:eastAsia="宋体" w:cs="宋体"/>
          <w:bCs/>
          <w:color w:val="auto"/>
          <w:szCs w:val="24"/>
        </w:rPr>
      </w:r>
      <w:r/>
    </w:p>
    <w:p>
      <w:pPr>
        <w:pStyle w:val="1153"/>
        <w:rPr>
          <w:rFonts w:ascii="宋体" w:hAnsi="宋体" w:eastAsia="宋体" w:cs="宋体"/>
          <w:bCs/>
          <w:color w:val="auto"/>
          <w:sz w:val="24"/>
          <w:szCs w:val="24"/>
        </w:rPr>
      </w:pPr>
      <w:r>
        <w:rPr>
          <w:rFonts w:ascii="宋体" w:hAnsi="宋体" w:eastAsia="宋体" w:cs="宋体"/>
          <w:bCs/>
          <w:color w:val="auto"/>
          <w:sz w:val="24"/>
          <w:szCs w:val="24"/>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color w:val="auto"/>
          <w:lang w:eastAsia="zh-CN"/>
        </w:rPr>
      </w:pPr>
      <w:r>
        <w:rPr>
          <w:rFonts w:ascii="宋体" w:hAnsi="宋体" w:eastAsia="宋体" w:cs="宋体"/>
          <w:color w:val="auto"/>
          <w:lang w:eastAsia="zh-CN"/>
        </w:rPr>
      </w:r>
      <w:r/>
    </w:p>
    <w:p>
      <w:pPr>
        <w:pStyle w:val="774"/>
        <w:rPr>
          <w:rFonts w:ascii="宋体" w:hAnsi="宋体" w:eastAsia="宋体" w:cs="宋体"/>
          <w:bCs/>
          <w:color w:val="auto"/>
          <w:sz w:val="24"/>
          <w:szCs w:val="24"/>
          <w:lang w:eastAsia="zh-CN"/>
        </w:rPr>
      </w:pPr>
      <w:r>
        <w:rPr>
          <w:rFonts w:ascii="宋体" w:hAnsi="宋体" w:eastAsia="宋体" w:cs="宋体"/>
          <w:bCs/>
          <w:color w:val="auto"/>
          <w:sz w:val="24"/>
          <w:szCs w:val="24"/>
          <w:lang w:eastAsia="zh-CN"/>
        </w:rPr>
      </w:r>
      <w:r/>
    </w:p>
    <w:p>
      <w:pPr>
        <w:pStyle w:val="774"/>
        <w:rPr>
          <w:rFonts w:ascii="宋体" w:hAnsi="宋体" w:eastAsia="宋体" w:cs="宋体"/>
          <w:bCs/>
          <w:color w:val="auto"/>
          <w:sz w:val="24"/>
          <w:szCs w:val="24"/>
          <w:lang w:eastAsia="zh-CN"/>
        </w:rPr>
      </w:pPr>
      <w:r>
        <w:rPr>
          <w:rFonts w:ascii="宋体" w:hAnsi="宋体" w:eastAsia="宋体" w:cs="宋体"/>
          <w:bCs/>
          <w:color w:val="auto"/>
          <w:sz w:val="24"/>
          <w:szCs w:val="24"/>
          <w:lang w:eastAsia="zh-CN"/>
        </w:rPr>
      </w:r>
      <w:r/>
    </w:p>
    <w:p>
      <w:pPr>
        <w:pStyle w:val="782"/>
        <w:ind w:firstLine="0"/>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pStyle w:val="782"/>
        <w:ind w:firstLine="0"/>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 xml:space="preserve">具备履行合同所必需的设备和专业技术能力的书面声明（格式自拟）</w:t>
      </w:r>
      <w:r/>
    </w:p>
    <w:p>
      <w:pPr>
        <w:jc w:val="center"/>
        <w:rPr>
          <w:rFonts w:ascii="宋体" w:hAnsi="宋体" w:eastAsia="宋体" w:cs="宋体"/>
          <w:color w:val="auto"/>
          <w:sz w:val="28"/>
          <w:u w:val="single"/>
        </w:rPr>
      </w:pPr>
      <w:r>
        <w:rPr>
          <w:rFonts w:ascii="宋体" w:hAnsi="宋体" w:eastAsia="宋体" w:cs="宋体"/>
          <w:color w:val="auto"/>
          <w:sz w:val="28"/>
          <w:u w:val="single"/>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b/>
          <w:color w:val="auto"/>
          <w:spacing w:val="20"/>
          <w:sz w:val="30"/>
          <w:szCs w:val="30"/>
        </w:rPr>
      </w:pPr>
      <w:r>
        <w:rPr>
          <w:rFonts w:ascii="宋体" w:hAnsi="宋体" w:eastAsia="宋体" w:cs="宋体"/>
          <w:b/>
          <w:color w:val="auto"/>
          <w:spacing w:val="20"/>
          <w:sz w:val="30"/>
          <w:szCs w:val="30"/>
        </w:rPr>
      </w:r>
      <w:r/>
    </w:p>
    <w:p>
      <w:pPr>
        <w:jc w:val="center"/>
        <w:rPr>
          <w:rFonts w:ascii="宋体" w:hAnsi="宋体" w:eastAsia="宋体" w:cs="宋体"/>
          <w:color w:val="auto"/>
          <w:sz w:val="32"/>
          <w:szCs w:val="32"/>
        </w:rPr>
      </w:pPr>
      <w:r>
        <w:rPr>
          <w:rFonts w:hint="eastAsia" w:ascii="宋体" w:hAnsi="宋体" w:eastAsia="宋体" w:cs="宋体"/>
          <w:b/>
          <w:color w:val="auto"/>
          <w:spacing w:val="20"/>
          <w:sz w:val="32"/>
          <w:szCs w:val="32"/>
        </w:rPr>
        <w:t xml:space="preserve">承诺书</w:t>
      </w:r>
      <w:r/>
    </w:p>
    <w:p>
      <w:pPr>
        <w:spacing w:line="400" w:lineRule="exact"/>
        <w:rPr>
          <w:rFonts w:ascii="宋体" w:hAnsi="宋体" w:eastAsia="宋体" w:cs="宋体"/>
          <w:color w:val="auto"/>
        </w:rPr>
      </w:pPr>
      <w:r>
        <w:rPr>
          <w:rFonts w:ascii="宋体" w:hAnsi="宋体" w:eastAsia="宋体" w:cs="宋体"/>
          <w:color w:val="auto"/>
        </w:rPr>
      </w:r>
      <w:r/>
    </w:p>
    <w:p>
      <w:pPr>
        <w:spacing w:line="520" w:lineRule="exact"/>
        <w:rPr>
          <w:rFonts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（采购人名称）：</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我单位郑重承诺以下事项：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1.本公司（单位）对本项目（项目编号：              ）所提供的产品不低于采购文件要求的标准。</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2.本公司未被“信用中国”网站（www.creditchina.gov.cn）列入失信被执行人、重大税收违法失信主体、政府采购严重违法失信行为记录名单。</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3.本公司承诺响应招标文件所有内容。</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4.本公司承诺，对招标文件中所提及的相关质量要求、验收要求、服务要求等条款，本公司将严格按照条款要求执行。</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6.如违背上述承诺，本公司（单位）将承担一切法律责任。  </w:t>
      </w:r>
      <w:r/>
    </w:p>
    <w:p>
      <w:pPr>
        <w:spacing w:line="360" w:lineRule="auto"/>
        <w:rPr>
          <w:rFonts w:ascii="宋体" w:hAnsi="宋体" w:eastAsia="宋体" w:cs="宋体"/>
          <w:color w:val="auto"/>
        </w:rPr>
      </w:pPr>
      <w:r>
        <w:rPr>
          <w:rFonts w:hint="eastAsia" w:ascii="宋体" w:hAnsi="宋体" w:eastAsia="宋体" w:cs="宋体"/>
          <w:color w:val="auto"/>
          <w:sz w:val="24"/>
          <w:szCs w:val="24"/>
        </w:rPr>
        <w:t xml:space="preserve">         </w:t>
      </w:r>
      <w:r/>
    </w:p>
    <w:p>
      <w:pPr>
        <w:spacing w:line="400" w:lineRule="exact"/>
        <w:rPr>
          <w:rFonts w:ascii="宋体" w:hAnsi="宋体" w:eastAsia="宋体" w:cs="宋体"/>
          <w:color w:val="auto"/>
        </w:rPr>
      </w:pPr>
      <w:r>
        <w:rPr>
          <w:rFonts w:ascii="宋体" w:hAnsi="宋体" w:eastAsia="宋体" w:cs="宋体"/>
          <w:color w:val="auto"/>
        </w:rPr>
      </w:r>
      <w:r/>
    </w:p>
    <w:p>
      <w:pPr>
        <w:pStyle w:val="1040"/>
        <w:jc w:val="right"/>
        <w:spacing w:line="400" w:lineRule="exact"/>
        <w:rPr>
          <w:rFonts w:ascii="宋体" w:hAnsi="宋体" w:eastAsia="宋体" w:cs="宋体"/>
          <w:color w:val="auto"/>
        </w:rPr>
      </w:pPr>
      <w:r>
        <w:rPr>
          <w:rFonts w:hint="eastAsia" w:ascii="宋体" w:hAnsi="宋体" w:eastAsia="宋体" w:cs="宋体"/>
          <w:color w:val="auto"/>
        </w:rPr>
        <w:t xml:space="preserve">投标人：</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rPr>
          <w:rFonts w:hint="eastAsia" w:ascii="宋体" w:hAnsi="宋体" w:eastAsia="宋体" w:cs="宋体"/>
          <w:bCs/>
          <w:color w:val="auto"/>
          <w:sz w:val="24"/>
        </w:rPr>
        <w:t xml:space="preserve">加盖CA电子公章</w:t>
      </w:r>
      <w:r>
        <w:rPr>
          <w:rFonts w:hint="eastAsia" w:ascii="宋体" w:hAnsi="宋体" w:eastAsia="宋体" w:cs="宋体"/>
          <w:color w:val="auto"/>
        </w:rPr>
        <w:t xml:space="preserve">）</w:t>
      </w:r>
      <w:r/>
    </w:p>
    <w:p>
      <w:pPr>
        <w:spacing w:line="400" w:lineRule="exact"/>
        <w:rPr>
          <w:rFonts w:ascii="宋体" w:hAnsi="宋体" w:eastAsia="宋体" w:cs="宋体"/>
          <w:color w:val="auto"/>
          <w:szCs w:val="21"/>
        </w:rPr>
      </w:pPr>
      <w:r>
        <w:rPr>
          <w:rFonts w:hint="eastAsia" w:ascii="宋体" w:hAnsi="宋体" w:eastAsia="宋体" w:cs="宋体"/>
          <w:color w:val="auto"/>
          <w:szCs w:val="21"/>
        </w:rPr>
        <w:t xml:space="preserve">                             </w:t>
      </w:r>
      <w:r/>
    </w:p>
    <w:p>
      <w:pPr>
        <w:spacing w:line="400" w:lineRule="exact"/>
        <w:rPr>
          <w:rFonts w:ascii="宋体" w:hAnsi="宋体" w:eastAsia="宋体" w:cs="宋体"/>
          <w:color w:val="auto"/>
          <w:szCs w:val="21"/>
          <w:u w:val="single"/>
        </w:rPr>
      </w:pP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jc w:val="center"/>
        <w:spacing w:line="500" w:lineRule="exact"/>
        <w:rPr>
          <w:rFonts w:ascii="宋体" w:hAnsi="宋体" w:eastAsia="宋体" w:cs="宋体"/>
          <w:color w:val="auto"/>
          <w:szCs w:val="21"/>
          <w:u w:val="single"/>
        </w:rPr>
      </w:pPr>
      <w:r>
        <w:rPr>
          <w:rFonts w:hint="eastAsia" w:ascii="宋体" w:hAnsi="宋体" w:eastAsia="宋体" w:cs="宋体"/>
          <w:color w:val="auto"/>
          <w:szCs w:val="21"/>
          <w:u w:val="single"/>
        </w:rPr>
        <w:br w:type="page" w:clear="all"/>
      </w:r>
      <w:r/>
    </w:p>
    <w:p>
      <w:pPr>
        <w:jc w:val="center"/>
        <w:keepLines/>
        <w:keepNext/>
        <w:spacing w:before="120" w:after="120"/>
        <w:rPr>
          <w:rFonts w:ascii="宋体" w:hAnsi="宋体" w:eastAsia="宋体" w:cs="宋体"/>
          <w:b/>
          <w:bCs/>
          <w:color w:val="auto"/>
          <w:sz w:val="32"/>
          <w:szCs w:val="32"/>
        </w:rPr>
        <w:outlineLvl w:val="0"/>
      </w:pPr>
      <w:r/>
      <w:bookmarkStart w:id="73" w:name="_Toc22881_WPSOffice_Level1"/>
      <w:r/>
      <w:bookmarkStart w:id="74" w:name="_Toc1623_WPSOffice_Level1"/>
      <w:r/>
      <w:bookmarkStart w:id="75" w:name="_Toc22143_WPSOffice_Level1"/>
      <w:r/>
      <w:bookmarkStart w:id="76" w:name="_Toc32173"/>
      <w:r>
        <w:rPr>
          <w:rFonts w:hint="eastAsia" w:ascii="宋体" w:hAnsi="宋体" w:eastAsia="宋体" w:cs="宋体"/>
          <w:b/>
          <w:bCs/>
          <w:color w:val="auto"/>
          <w:sz w:val="32"/>
          <w:szCs w:val="32"/>
        </w:rPr>
        <w:t xml:space="preserve">商务偏离表</w:t>
      </w:r>
      <w:bookmarkEnd w:id="73"/>
      <w:r/>
      <w:bookmarkEnd w:id="74"/>
      <w:r/>
      <w:bookmarkEnd w:id="75"/>
      <w:r/>
      <w:bookmarkEnd w:id="76"/>
      <w:r/>
      <w:r/>
    </w:p>
    <w:tbl>
      <w:tblPr>
        <w:tblStyle w:val="77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auto"/>
                <w:sz w:val="24"/>
              </w:rPr>
            </w:pPr>
            <w:r>
              <w:rPr>
                <w:rFonts w:hint="eastAsia" w:ascii="宋体" w:hAnsi="宋体" w:eastAsia="宋体" w:cs="宋体"/>
                <w:bCs/>
                <w:color w:val="auto"/>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auto"/>
                <w:sz w:val="24"/>
              </w:rPr>
            </w:pPr>
            <w:r>
              <w:rPr>
                <w:rFonts w:ascii="宋体" w:hAnsi="宋体" w:eastAsia="宋体" w:cs="宋体"/>
                <w:bCs/>
                <w:color w:val="auto"/>
                <w:sz w:val="24"/>
              </w:rPr>
            </w:r>
            <w:r/>
          </w:p>
        </w:tc>
      </w:tr>
    </w:tbl>
    <w:p>
      <w:pPr>
        <w:ind w:firstLine="482"/>
        <w:spacing w:line="500" w:lineRule="exact"/>
        <w:rPr>
          <w:rFonts w:ascii="宋体" w:hAnsi="宋体" w:eastAsia="宋体" w:cs="宋体"/>
          <w:b/>
          <w:bCs/>
          <w:color w:val="auto"/>
          <w:sz w:val="24"/>
        </w:rPr>
      </w:pPr>
      <w:r>
        <w:rPr>
          <w:rFonts w:ascii="宋体" w:hAnsi="宋体" w:eastAsia="宋体" w:cs="宋体"/>
          <w:b/>
          <w:bCs/>
          <w:color w:val="auto"/>
          <w:sz w:val="24"/>
        </w:rPr>
      </w:r>
      <w:r/>
    </w:p>
    <w:p>
      <w:pPr>
        <w:ind w:firstLine="482"/>
        <w:spacing w:line="50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注：</w:t>
      </w:r>
      <w:r/>
    </w:p>
    <w:p>
      <w:pPr>
        <w:ind w:firstLine="482"/>
        <w:jc w:val="left"/>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若无偏离，在“有无偏离”栏中填写“无”；若有偏离在“有无偏离”栏中填写“有”并在“偏离内容及原因”栏中作出说明。</w:t>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hint="eastAsia" w:eastAsia="宋体"/>
          <w:color w:val="auto"/>
          <w:szCs w:val="24"/>
        </w:rPr>
        <w:t xml:space="preserve">投标人（</w:t>
      </w:r>
      <w:r>
        <w:rPr>
          <w:rFonts w:hint="eastAsia" w:eastAsia="宋体"/>
          <w:bCs/>
          <w:color w:val="auto"/>
        </w:rPr>
        <w:t xml:space="preserve">加盖CA电子公章</w:t>
      </w:r>
      <w:r>
        <w:rPr>
          <w:rFonts w:hint="eastAsia" w:eastAsia="宋体"/>
          <w:color w:val="auto"/>
          <w:szCs w:val="24"/>
        </w:rPr>
        <w:t xml:space="preserve">）：</w:t>
      </w:r>
      <w:r/>
    </w:p>
    <w:p>
      <w:pPr>
        <w:pStyle w:val="1039"/>
        <w:spacing w:before="0" w:beforeAutospacing="0" w:after="0" w:afterAutospacing="0"/>
        <w:rPr>
          <w:rFonts w:eastAsia="宋体"/>
          <w:color w:val="auto"/>
          <w:szCs w:val="24"/>
        </w:rPr>
      </w:pPr>
      <w:r>
        <w:rPr>
          <w:rFonts w:hint="eastAsia" w:eastAsia="宋体"/>
          <w:color w:val="auto"/>
          <w:szCs w:val="24"/>
        </w:rPr>
        <w:t xml:space="preserve">法定代表人或法定代表人授权代表（签字或盖章）：</w:t>
      </w:r>
      <w:r/>
    </w:p>
    <w:p>
      <w:pPr>
        <w:pStyle w:val="1039"/>
        <w:spacing w:before="0" w:beforeAutospacing="0" w:after="0" w:afterAutospacing="0"/>
        <w:rPr>
          <w:rFonts w:eastAsia="宋体"/>
          <w:color w:val="auto"/>
          <w:szCs w:val="24"/>
        </w:rPr>
      </w:pPr>
      <w:r>
        <w:rPr>
          <w:rFonts w:hint="eastAsia" w:eastAsia="宋体"/>
          <w:color w:val="auto"/>
          <w:szCs w:val="24"/>
        </w:rPr>
        <w:t xml:space="preserve">日期：</w:t>
      </w:r>
      <w:r/>
    </w:p>
    <w:p>
      <w:pPr>
        <w:rPr>
          <w:rFonts w:ascii="宋体" w:hAnsi="宋体" w:eastAsia="宋体" w:cs="宋体"/>
          <w:color w:val="auto"/>
        </w:rPr>
      </w:pPr>
      <w:r>
        <w:rPr>
          <w:rFonts w:ascii="宋体" w:hAnsi="宋体" w:eastAsia="宋体" w:cs="宋体"/>
          <w:color w:val="auto"/>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ind w:firstLine="490"/>
        <w:jc w:val="center"/>
        <w:rPr>
          <w:rFonts w:ascii="宋体" w:hAnsi="宋体" w:eastAsia="宋体" w:cs="宋体"/>
          <w:b/>
          <w:color w:val="auto"/>
          <w:spacing w:val="20"/>
          <w:sz w:val="32"/>
          <w:szCs w:val="32"/>
        </w:rPr>
        <w:outlineLvl w:val="0"/>
      </w:pPr>
      <w:r>
        <w:rPr>
          <w:rFonts w:ascii="宋体" w:hAnsi="宋体" w:eastAsia="宋体" w:cs="宋体"/>
          <w:b/>
          <w:color w:val="auto"/>
          <w:spacing w:val="20"/>
          <w:sz w:val="32"/>
          <w:szCs w:val="32"/>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auto"/>
          <w:sz w:val="32"/>
          <w:szCs w:val="32"/>
        </w:rPr>
      </w:pPr>
      <w:r>
        <w:rPr>
          <w:rFonts w:hint="eastAsia" w:ascii="宋体" w:hAnsi="宋体" w:eastAsia="宋体" w:cs="宋体"/>
          <w:b/>
          <w:color w:val="auto"/>
          <w:sz w:val="32"/>
          <w:szCs w:val="32"/>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auto"/>
        </w:rPr>
      </w:pPr>
      <w:r>
        <w:rPr>
          <w:rFonts w:ascii="宋体" w:hAnsi="宋体" w:eastAsia="宋体" w:cs="宋体"/>
          <w:b/>
          <w:color w:val="auto"/>
        </w:rPr>
      </w:r>
      <w:r/>
    </w:p>
    <w:tbl>
      <w:tblPr>
        <w:tblStyle w:val="773"/>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偏离内容及原因</w:t>
            </w:r>
            <w:r/>
          </w:p>
        </w:tc>
      </w:tr>
      <w:tr>
        <w:trPr>
          <w:trHeight w:val="444"/>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auto"/>
                <w:sz w:val="24"/>
                <w:szCs w:val="24"/>
              </w:rPr>
            </w:pPr>
            <w:r>
              <w:rPr>
                <w:rFonts w:ascii="宋体" w:hAnsi="宋体" w:eastAsia="宋体" w:cs="宋体"/>
                <w:color w:val="auto"/>
                <w:sz w:val="24"/>
                <w:szCs w:val="24"/>
              </w:rPr>
            </w:r>
            <w:r/>
          </w:p>
        </w:tc>
      </w:tr>
    </w:tbl>
    <w:p>
      <w:pPr>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注：</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若无偏离，在“有无偏离”栏中填写“无”；若有偏离在“有无偏离”栏中填写“有”并在“偏离内容及原因”栏中作出说明，未填写内容的视为全部响应 。</w:t>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hint="eastAsia" w:eastAsia="宋体"/>
          <w:color w:val="auto"/>
          <w:szCs w:val="24"/>
        </w:rPr>
        <w:t xml:space="preserve">投标人（</w:t>
      </w:r>
      <w:r>
        <w:rPr>
          <w:rFonts w:hint="eastAsia" w:eastAsia="宋体"/>
          <w:bCs/>
          <w:color w:val="auto"/>
        </w:rPr>
        <w:t xml:space="preserve">加盖CA电子公章</w:t>
      </w:r>
      <w:r>
        <w:rPr>
          <w:rFonts w:hint="eastAsia" w:eastAsia="宋体"/>
          <w:color w:val="auto"/>
          <w:szCs w:val="24"/>
        </w:rPr>
        <w:t xml:space="preserve">）：</w:t>
      </w:r>
      <w:r/>
    </w:p>
    <w:p>
      <w:pPr>
        <w:pStyle w:val="1039"/>
        <w:spacing w:before="0" w:beforeAutospacing="0" w:after="0" w:afterAutospacing="0"/>
        <w:rPr>
          <w:rFonts w:eastAsia="宋体"/>
          <w:color w:val="auto"/>
          <w:szCs w:val="24"/>
        </w:rPr>
      </w:pPr>
      <w:r>
        <w:rPr>
          <w:rFonts w:hint="eastAsia" w:eastAsia="宋体"/>
          <w:color w:val="auto"/>
          <w:szCs w:val="24"/>
        </w:rPr>
        <w:t xml:space="preserve">法定代表人或法定代表人授权代表（签字或盖章）：</w:t>
      </w:r>
      <w:r/>
    </w:p>
    <w:p>
      <w:pPr>
        <w:pStyle w:val="1039"/>
        <w:spacing w:before="0" w:beforeAutospacing="0" w:after="0" w:afterAutospacing="0"/>
        <w:rPr>
          <w:rFonts w:eastAsia="宋体"/>
          <w:color w:val="auto"/>
          <w:szCs w:val="24"/>
        </w:rPr>
      </w:pPr>
      <w:r>
        <w:rPr>
          <w:rFonts w:hint="eastAsia" w:eastAsia="宋体"/>
          <w:color w:val="auto"/>
          <w:szCs w:val="24"/>
        </w:rPr>
        <w:t xml:space="preserve">日期：</w:t>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1039"/>
        <w:spacing w:before="0" w:beforeAutospacing="0" w:after="0" w:afterAutospacing="0"/>
        <w:rPr>
          <w:rFonts w:eastAsia="宋体"/>
          <w:color w:val="auto"/>
          <w:szCs w:val="24"/>
        </w:rPr>
      </w:pPr>
      <w:r>
        <w:rPr>
          <w:rFonts w:eastAsia="宋体"/>
          <w:color w:val="auto"/>
          <w:szCs w:val="24"/>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775"/>
        <w:rPr>
          <w:rFonts w:ascii="宋体" w:hAnsi="宋体" w:eastAsia="宋体" w:cs="宋体"/>
          <w:color w:val="auto"/>
        </w:rPr>
      </w:pPr>
      <w:r>
        <w:rPr>
          <w:rFonts w:ascii="宋体" w:hAnsi="宋体" w:eastAsia="宋体" w:cs="宋体"/>
          <w:color w:val="auto"/>
        </w:rPr>
      </w:r>
      <w:r/>
    </w:p>
    <w:p>
      <w:pPr>
        <w:pStyle w:val="1039"/>
        <w:jc w:val="center"/>
        <w:widowControl w:val="off"/>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 xml:space="preserve">中小企业声明函 </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本公司郑重声明，根据《政府采购促进中小企业发展管理办法》（财库﹝2020﹞46号）的规定，本公司参加</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的</w:t>
      </w:r>
      <w:r>
        <w:rPr>
          <w:rFonts w:hint="eastAsia" w:cs="宋体" w:asciiTheme="minorEastAsia" w:hAnsiTheme="minorEastAsia" w:eastAsiaTheme="minorEastAsia"/>
          <w:bCs/>
          <w:color w:val="auto"/>
          <w:sz w:val="24"/>
          <w:szCs w:val="24"/>
          <w:u w:val="single"/>
        </w:rPr>
        <w:t xml:space="preserve">（项目名称）</w:t>
      </w:r>
      <w:r>
        <w:rPr>
          <w:rFonts w:hint="eastAsia" w:cs="宋体" w:asciiTheme="minorEastAsia" w:hAnsiTheme="minorEastAsia" w:eastAsiaTheme="minorEastAsia"/>
          <w:bCs/>
          <w:color w:val="auto"/>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1.</w:t>
      </w:r>
      <w:r>
        <w:rPr>
          <w:rFonts w:hint="eastAsia" w:cs="宋体" w:asciiTheme="minorEastAsia" w:hAnsiTheme="minorEastAsia" w:eastAsiaTheme="minorEastAsia"/>
          <w:bCs/>
          <w:color w:val="auto"/>
          <w:sz w:val="24"/>
          <w:szCs w:val="24"/>
          <w:u w:val="single"/>
        </w:rPr>
        <w:t xml:space="preserve">（标的名称）</w:t>
      </w:r>
      <w:r>
        <w:rPr>
          <w:rFonts w:hint="eastAsia" w:cs="宋体" w:asciiTheme="minorEastAsia" w:hAnsiTheme="minorEastAsia" w:eastAsiaTheme="minorEastAsia"/>
          <w:bCs/>
          <w:color w:val="auto"/>
          <w:sz w:val="24"/>
          <w:szCs w:val="24"/>
        </w:rPr>
        <w:t xml:space="preserve">，属于</w:t>
      </w:r>
      <w:r>
        <w:rPr>
          <w:rFonts w:hint="eastAsia" w:cs="宋体" w:asciiTheme="minorEastAsia" w:hAnsiTheme="minorEastAsia" w:eastAsiaTheme="minorEastAsia"/>
          <w:bCs/>
          <w:color w:val="auto"/>
          <w:sz w:val="24"/>
          <w:szCs w:val="24"/>
          <w:u w:val="single"/>
        </w:rPr>
        <w:t xml:space="preserve">工业行业</w:t>
      </w:r>
      <w:r>
        <w:rPr>
          <w:rFonts w:hint="eastAsia" w:cs="宋体" w:asciiTheme="minorEastAsia" w:hAnsiTheme="minorEastAsia" w:eastAsiaTheme="minorEastAsia"/>
          <w:bCs/>
          <w:color w:val="auto"/>
          <w:sz w:val="24"/>
          <w:szCs w:val="24"/>
        </w:rPr>
        <w:t xml:space="preserve">；</w:t>
      </w:r>
      <w:r>
        <w:rPr>
          <w:rFonts w:hint="eastAsia" w:cs="宋体" w:asciiTheme="minorEastAsia" w:hAnsiTheme="minorEastAsia" w:eastAsiaTheme="minorEastAsia"/>
          <w:b/>
          <w:color w:val="auto"/>
          <w:sz w:val="24"/>
          <w:szCs w:val="24"/>
        </w:rPr>
        <w:t xml:space="preserve">制造商</w:t>
      </w:r>
      <w:r>
        <w:rPr>
          <w:rFonts w:hint="eastAsia" w:cs="宋体" w:asciiTheme="minorEastAsia" w:hAnsiTheme="minorEastAsia" w:eastAsiaTheme="minorEastAsia"/>
          <w:bCs/>
          <w:color w:val="auto"/>
          <w:sz w:val="24"/>
          <w:szCs w:val="24"/>
        </w:rPr>
        <w:t xml:space="preserve">为</w:t>
      </w:r>
      <w:r>
        <w:rPr>
          <w:rFonts w:hint="eastAsia" w:cs="宋体" w:asciiTheme="minorEastAsia" w:hAnsiTheme="minorEastAsia" w:eastAsiaTheme="minorEastAsia"/>
          <w:bCs/>
          <w:color w:val="auto"/>
          <w:sz w:val="24"/>
          <w:szCs w:val="24"/>
          <w:u w:val="single"/>
        </w:rPr>
        <w:t xml:space="preserve">（企业名称）</w:t>
      </w:r>
      <w:r>
        <w:rPr>
          <w:rFonts w:hint="eastAsia" w:cs="宋体" w:asciiTheme="minorEastAsia" w:hAnsiTheme="minorEastAsia" w:eastAsiaTheme="minorEastAsia"/>
          <w:bCs/>
          <w:color w:val="auto"/>
          <w:sz w:val="24"/>
          <w:szCs w:val="24"/>
        </w:rPr>
        <w:t xml:space="preserve">，从业人员</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人，营业收入为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万元，资产总额为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万元，属于</w:t>
      </w:r>
      <w:r>
        <w:rPr>
          <w:rFonts w:hint="eastAsia" w:cs="宋体" w:asciiTheme="minorEastAsia" w:hAnsiTheme="minorEastAsia" w:eastAsiaTheme="minorEastAsia"/>
          <w:bCs/>
          <w:color w:val="auto"/>
          <w:sz w:val="24"/>
          <w:szCs w:val="24"/>
          <w:u w:val="single"/>
        </w:rPr>
        <w:t xml:space="preserve">（中型企业、小型企业、微型企业）</w:t>
      </w:r>
      <w:r>
        <w:rPr>
          <w:rFonts w:hint="eastAsia" w:cs="宋体" w:asciiTheme="minorEastAsia" w:hAnsiTheme="minorEastAsia" w:eastAsiaTheme="minorEastAsia"/>
          <w:bCs/>
          <w:color w:val="auto"/>
          <w:sz w:val="24"/>
          <w:szCs w:val="24"/>
        </w:rPr>
        <w:t xml:space="preserve">；</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u w:val="single"/>
        </w:rPr>
        <w:t xml:space="preserve">（标的名称）</w:t>
      </w:r>
      <w:r>
        <w:rPr>
          <w:rFonts w:hint="eastAsia" w:cs="宋体" w:asciiTheme="minorEastAsia" w:hAnsiTheme="minorEastAsia" w:eastAsiaTheme="minorEastAsia"/>
          <w:bCs/>
          <w:color w:val="auto"/>
          <w:sz w:val="24"/>
          <w:szCs w:val="24"/>
        </w:rPr>
        <w:t xml:space="preserve">，属于（采购文件中明确的所属行业）</w:t>
      </w:r>
      <w:r>
        <w:rPr>
          <w:rFonts w:hint="eastAsia" w:cs="宋体" w:asciiTheme="minorEastAsia" w:hAnsiTheme="minorEastAsia" w:eastAsiaTheme="minorEastAsia"/>
          <w:bCs/>
          <w:color w:val="auto"/>
          <w:sz w:val="24"/>
          <w:szCs w:val="24"/>
          <w:u w:val="single"/>
        </w:rPr>
        <w:t xml:space="preserve">行业</w:t>
      </w:r>
      <w:r>
        <w:rPr>
          <w:rFonts w:hint="eastAsia" w:cs="宋体" w:asciiTheme="minorEastAsia" w:hAnsiTheme="minorEastAsia" w:eastAsiaTheme="minorEastAsia"/>
          <w:bCs/>
          <w:color w:val="auto"/>
          <w:sz w:val="24"/>
          <w:szCs w:val="24"/>
        </w:rPr>
        <w:t xml:space="preserve">；制造商为</w:t>
      </w:r>
      <w:r>
        <w:rPr>
          <w:rFonts w:hint="eastAsia" w:cs="宋体" w:asciiTheme="minorEastAsia" w:hAnsiTheme="minorEastAsia" w:eastAsiaTheme="minorEastAsia"/>
          <w:bCs/>
          <w:color w:val="auto"/>
          <w:sz w:val="24"/>
          <w:szCs w:val="24"/>
          <w:u w:val="single"/>
        </w:rPr>
        <w:t xml:space="preserve">（企业名称）</w:t>
      </w:r>
      <w:r>
        <w:rPr>
          <w:rFonts w:hint="eastAsia" w:cs="宋体" w:asciiTheme="minorEastAsia" w:hAnsiTheme="minorEastAsia" w:eastAsiaTheme="minorEastAsia"/>
          <w:bCs/>
          <w:color w:val="auto"/>
          <w:sz w:val="24"/>
          <w:szCs w:val="24"/>
        </w:rPr>
        <w:t xml:space="preserve">，从业人员</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人，营业收入为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万元，资产总额为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万元，属于</w:t>
      </w:r>
      <w:r>
        <w:rPr>
          <w:rFonts w:hint="eastAsia" w:cs="宋体" w:asciiTheme="minorEastAsia" w:hAnsiTheme="minorEastAsia" w:eastAsiaTheme="minorEastAsia"/>
          <w:bCs/>
          <w:color w:val="auto"/>
          <w:sz w:val="24"/>
          <w:szCs w:val="24"/>
          <w:u w:val="single"/>
        </w:rPr>
        <w:t xml:space="preserve">（中型企业、小型企业、微型企业）</w:t>
      </w:r>
      <w:r>
        <w:rPr>
          <w:rFonts w:hint="eastAsia" w:cs="宋体" w:asciiTheme="minorEastAsia" w:hAnsiTheme="minorEastAsia" w:eastAsiaTheme="minorEastAsia"/>
          <w:bCs/>
          <w:color w:val="auto"/>
          <w:sz w:val="24"/>
          <w:szCs w:val="24"/>
        </w:rPr>
        <w:t xml:space="preserve">；</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本企业对上述声明内容的真实性负责。如有虚假，将依法承担相应责任。</w:t>
      </w:r>
      <w:r/>
    </w:p>
    <w:p>
      <w:pPr>
        <w:ind w:right="480" w:firstLine="480"/>
        <w:rPr>
          <w:rFonts w:cs="宋体" w:asciiTheme="minorEastAsia" w:hAnsiTheme="minorEastAsia" w:eastAsiaTheme="minorEastAsia"/>
          <w:color w:val="auto"/>
          <w:sz w:val="24"/>
          <w:szCs w:val="24"/>
        </w:rPr>
      </w:pPr>
      <w:r>
        <w:rPr>
          <w:rFonts w:hint="eastAsia" w:cs="宋体" w:asciiTheme="minorEastAsia" w:hAnsiTheme="minorEastAsia" w:eastAsiaTheme="minorEastAsia"/>
          <w:bCs/>
          <w:color w:val="auto"/>
          <w:sz w:val="24"/>
          <w:szCs w:val="24"/>
        </w:rPr>
        <w:t xml:space="preserve"> </w:t>
      </w:r>
      <w:r/>
    </w:p>
    <w:p>
      <w:pPr>
        <w:spacing w:line="360" w:lineRule="exact"/>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ind w:firstLine="420"/>
        <w:spacing w:line="36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企业名称：                  （加盖CA电子章）</w:t>
      </w:r>
      <w:r/>
    </w:p>
    <w:p>
      <w:pPr>
        <w:ind w:firstLine="420"/>
        <w:spacing w:line="36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日 期：</w:t>
      </w:r>
      <w:r/>
    </w:p>
    <w:p>
      <w:pPr>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说明：</w:t>
      </w:r>
      <w:r/>
    </w:p>
    <w:p>
      <w:pPr>
        <w:ind w:firstLine="42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1.从业人员、营业收入、资产总额填报上一年度数据，无上一年度数据的新成立企业可不填报。</w:t>
      </w:r>
      <w:r/>
    </w:p>
    <w:p>
      <w:pPr>
        <w:ind w:firstLine="42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2.中小微企业划型标准请对照《关于印发中小企业划型标准规定的通知》（工信部联企业〔2011〕300号），文件网址如下：https://www.miit.gov.cn/jgsj/qyj/wjfb/art/2011/art_235af1ade45c4865957adeed23f9d949.html。</w:t>
      </w:r>
      <w:r/>
    </w:p>
    <w:p>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本项目采购标的所属行业为</w:t>
      </w:r>
      <w:r>
        <w:rPr>
          <w:rFonts w:hint="eastAsia" w:cs="宋体" w:asciiTheme="minorEastAsia" w:hAnsiTheme="minorEastAsia" w:eastAsiaTheme="minorEastAsia"/>
          <w:color w:val="auto"/>
          <w:sz w:val="24"/>
          <w:szCs w:val="24"/>
          <w:u w:val="single"/>
        </w:rPr>
        <w:t xml:space="preserve">工业 </w:t>
      </w:r>
      <w:r>
        <w:rPr>
          <w:rFonts w:hint="eastAsia" w:cs="宋体" w:asciiTheme="minorEastAsia" w:hAnsiTheme="minorEastAsia" w:eastAsiaTheme="minorEastAsia"/>
          <w:color w:val="auto"/>
          <w:sz w:val="24"/>
          <w:szCs w:val="24"/>
        </w:rPr>
        <w:t xml:space="preserve">。</w:t>
      </w:r>
      <w:r/>
    </w:p>
    <w:p>
      <w:pPr>
        <w:ind w:firstLine="420"/>
        <w:rPr>
          <w:rFonts w:cs="宋体" w:asciiTheme="minorEastAsia" w:hAnsiTheme="minorEastAsia" w:eastAsiaTheme="minorEastAsia"/>
          <w:color w:val="auto"/>
        </w:rPr>
      </w:pPr>
      <w:r>
        <w:rPr>
          <w:rFonts w:hint="eastAsia" w:cs="宋体" w:asciiTheme="minorEastAsia" w:hAnsiTheme="minorEastAsia" w:eastAsiaTheme="minorEastAsia"/>
          <w:color w:val="auto"/>
          <w:sz w:val="24"/>
          <w:szCs w:val="24"/>
        </w:rPr>
        <w:t xml:space="preserve">3.成交供应商的中小企业声明函将在结果公告中对外公示，声明函内容不实的，属于提供虚假材料谋取成交，将依照《中华人民共和国政府采购法》等国家有关规定追究相应责任。</w:t>
      </w:r>
      <w:r/>
    </w:p>
    <w:p>
      <w:pPr>
        <w:jc w:val="center"/>
        <w:spacing w:line="360" w:lineRule="auto"/>
        <w:rPr>
          <w:rFonts w:cs="宋体" w:asciiTheme="minorEastAsia" w:hAnsiTheme="minorEastAsia" w:eastAsiaTheme="minorEastAsia"/>
          <w:color w:val="auto"/>
          <w:sz w:val="24"/>
        </w:rPr>
      </w:pPr>
      <w:r>
        <w:rPr>
          <w:rFonts w:hint="eastAsia" w:asciiTheme="minorEastAsia" w:hAnsiTheme="minorEastAsia" w:eastAsiaTheme="minorEastAsia"/>
          <w:color w:val="auto"/>
          <w:u w:val="single"/>
        </w:rPr>
        <w:br w:type="page" w:clear="all"/>
      </w:r>
      <w:r/>
    </w:p>
    <w:p>
      <w:pPr>
        <w:pStyle w:val="1039"/>
        <w:jc w:val="center"/>
        <w:widowControl w:val="off"/>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 xml:space="preserve">残疾人福利性单位声明函</w:t>
      </w:r>
      <w:r/>
    </w:p>
    <w:p>
      <w:pPr>
        <w:pStyle w:val="1126"/>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单位的</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项目采购活动提供服务。</w:t>
      </w:r>
      <w:r/>
    </w:p>
    <w:p>
      <w:pPr>
        <w:pStyle w:val="1126"/>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本单位对上述声明的真实性负责。如有虚假，将依法承担相应责任。</w:t>
      </w:r>
      <w:r/>
    </w:p>
    <w:p>
      <w:pP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企业名称：                  （加盖CA电子章）</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日 期：</w:t>
      </w:r>
      <w:r/>
    </w:p>
    <w:p>
      <w:pP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说明：</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1.非残疾人福利性单位不需提供此声明函。</w:t>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jc w:val="center"/>
        <w:spacing w:line="360" w:lineRule="auto"/>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p>
      <w:pPr>
        <w:pStyle w:val="1126"/>
        <w:jc w:val="center"/>
        <w:rPr>
          <w:rFonts w:cs="宋体" w:asciiTheme="minorEastAsia" w:hAnsiTheme="minorEastAsia" w:eastAsiaTheme="minorEastAsia"/>
          <w:color w:val="auto"/>
          <w:sz w:val="32"/>
          <w:szCs w:val="32"/>
        </w:rPr>
      </w:pPr>
      <w:r>
        <w:rPr>
          <w:rFonts w:hint="eastAsia" w:cs="宋体" w:asciiTheme="minorEastAsia" w:hAnsiTheme="minorEastAsia" w:eastAsiaTheme="minorEastAsia"/>
          <w:color w:val="auto"/>
          <w:sz w:val="32"/>
          <w:szCs w:val="32"/>
        </w:rPr>
        <w:t xml:space="preserve">监狱企业声明函</w:t>
      </w:r>
      <w:r/>
    </w:p>
    <w:p>
      <w:pPr>
        <w:pStyle w:val="1126"/>
        <w:rPr>
          <w:rFonts w:cs="宋体" w:asciiTheme="minorEastAsia" w:hAnsiTheme="minorEastAsia" w:eastAsiaTheme="minorEastAsia"/>
          <w:color w:val="auto"/>
        </w:rPr>
      </w:pPr>
      <w:r>
        <w:rPr>
          <w:rFonts w:cs="宋体" w:asciiTheme="minorEastAsia" w:hAnsiTheme="minorEastAsia" w:eastAsiaTheme="minorEastAsia"/>
          <w:color w:val="auto"/>
        </w:rPr>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本单位郑重声明，根据《关于政府采购支持监狱企业发展有关问题的通知》（财库〔2014〕68号）的规定，本单位为监狱企业。</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根据上述标准，我单位属于监狱企业的理由为：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w:t>
      </w:r>
      <w:r/>
    </w:p>
    <w:p>
      <w:pPr>
        <w:pStyle w:val="1126"/>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本单位参加</w:t>
      </w:r>
      <w:r>
        <w:rPr>
          <w:rFonts w:hint="eastAsia" w:cs="宋体" w:asciiTheme="minorEastAsia" w:hAnsiTheme="minorEastAsia" w:eastAsiaTheme="minorEastAsia"/>
          <w:color w:val="auto"/>
          <w:sz w:val="24"/>
          <w:szCs w:val="24"/>
          <w:u w:val="single"/>
        </w:rPr>
        <w:t xml:space="preserve">（采购人名称）       </w:t>
      </w:r>
      <w:r>
        <w:rPr>
          <w:rFonts w:hint="eastAsia" w:cs="宋体" w:asciiTheme="minorEastAsia" w:hAnsiTheme="minorEastAsia" w:eastAsiaTheme="minorEastAsia"/>
          <w:color w:val="auto"/>
          <w:sz w:val="24"/>
          <w:szCs w:val="24"/>
        </w:rPr>
        <w:t xml:space="preserve">单位的</w:t>
      </w:r>
      <w:r>
        <w:rPr>
          <w:rFonts w:hint="eastAsia" w:cs="宋体" w:asciiTheme="minorEastAsia" w:hAnsiTheme="minorEastAsia" w:eastAsiaTheme="minorEastAsia"/>
          <w:color w:val="auto"/>
          <w:sz w:val="24"/>
          <w:szCs w:val="24"/>
          <w:u w:val="single"/>
        </w:rPr>
        <w:t xml:space="preserve">（项目名称）         </w:t>
      </w:r>
      <w:r>
        <w:rPr>
          <w:rFonts w:hint="eastAsia" w:cs="宋体" w:asciiTheme="minorEastAsia" w:hAnsiTheme="minorEastAsia" w:eastAsiaTheme="minorEastAsia"/>
          <w:color w:val="auto"/>
          <w:sz w:val="24"/>
          <w:szCs w:val="24"/>
        </w:rPr>
        <w:t xml:space="preserve">项目的采购活动，并由本单位为本项目提供服务。</w:t>
      </w:r>
      <w:r/>
    </w:p>
    <w:p>
      <w:pPr>
        <w:pStyle w:val="1126"/>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本单位对上述声明的真实性负责。如有虚假，将依法承担相应责任。</w:t>
      </w:r>
      <w:r/>
    </w:p>
    <w:p>
      <w:pPr>
        <w:pStyle w:val="1126"/>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pStyle w:val="1126"/>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企业名称：                  （加盖CA电子章）</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日 期：</w:t>
      </w:r>
      <w:r/>
    </w:p>
    <w:p>
      <w:pPr>
        <w:pStyle w:val="1126"/>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pStyle w:val="1126"/>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说明：</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1.监狱企业参加采购活动时，应当提供由省级以上监狱管理局、戒毒管理局（含新疆生产建设兵团）出具的属于监狱企业的证明文件。</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3.非监狱企业不需提供此声明函。</w:t>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宋体" w:hAnsi="宋体" w:eastAsia="宋体" w:cs="宋体"/>
          <w:color w:val="auto"/>
          <w:sz w:val="24"/>
        </w:rPr>
      </w:pPr>
      <w:r>
        <w:rPr>
          <w:rFonts w:ascii="宋体" w:hAnsi="宋体" w:eastAsia="宋体" w:cs="宋体"/>
          <w:color w:val="auto"/>
          <w:sz w:val="24"/>
        </w:rPr>
      </w:r>
      <w:r/>
    </w:p>
    <w:p>
      <w:pPr>
        <w:pStyle w:val="1039"/>
        <w:jc w:val="center"/>
        <w:widowControl w:val="off"/>
        <w:rPr>
          <w:rFonts w:eastAsia="宋体"/>
          <w:b/>
          <w:color w:val="auto"/>
          <w:sz w:val="32"/>
          <w:szCs w:val="32"/>
        </w:rPr>
      </w:pPr>
      <w:r>
        <w:rPr>
          <w:rFonts w:hint="eastAsia" w:eastAsia="宋体"/>
          <w:b/>
          <w:color w:val="auto"/>
          <w:sz w:val="32"/>
          <w:szCs w:val="32"/>
        </w:rPr>
        <w:t xml:space="preserve">关于符合本国产品标准的声明函</w:t>
      </w:r>
      <w:r/>
    </w:p>
    <w:p>
      <w:pPr>
        <w:pStyle w:val="1039"/>
        <w:ind w:firstLine="420"/>
        <w:spacing w:before="30" w:beforeAutospacing="0" w:after="30" w:afterAutospacing="0"/>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eastAsia="宋体"/>
          <w:color w:val="auto"/>
          <w:szCs w:val="24"/>
        </w:rPr>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1.</w:t>
      </w:r>
      <w:r>
        <w:rPr>
          <w:rStyle w:val="1198"/>
          <w:rFonts w:hint="eastAsia" w:ascii="宋体" w:hAnsi="宋体" w:eastAsia="宋体" w:cs="宋体"/>
          <w:color w:val="auto"/>
          <w:sz w:val="24"/>
          <w:szCs w:val="24"/>
          <w:u w:val="single"/>
          <w:shd w:val="clear" w:color="auto" w:fill="ffffff"/>
        </w:rPr>
        <w:t xml:space="preserve">（产品名称1）</w:t>
      </w:r>
      <w:r>
        <w:rPr>
          <w:rStyle w:val="1198"/>
          <w:rFonts w:hint="eastAsia" w:ascii="宋体" w:hAnsi="宋体" w:eastAsia="宋体" w:cs="宋体"/>
          <w:color w:val="auto"/>
          <w:sz w:val="24"/>
          <w:szCs w:val="24"/>
          <w:u w:val="single"/>
          <w:shd w:val="clear" w:color="auto" w:fill="ffffff"/>
          <w:vertAlign w:val="superscript"/>
        </w:rPr>
        <w:t xml:space="preserve">1</w:t>
      </w:r>
      <w:r>
        <w:rPr>
          <w:rFonts w:hint="eastAsia" w:eastAsia="宋体"/>
          <w:color w:val="auto"/>
          <w:szCs w:val="24"/>
          <w:shd w:val="clear" w:color="auto" w:fill="ffffff"/>
        </w:rPr>
        <w:t xml:space="preserve">，生产厂为</w:t>
      </w:r>
      <w:r>
        <w:rPr>
          <w:rStyle w:val="1198"/>
          <w:rFonts w:hint="eastAsia" w:ascii="宋体" w:hAnsi="宋体" w:eastAsia="宋体" w:cs="宋体"/>
          <w:color w:val="auto"/>
          <w:sz w:val="24"/>
          <w:szCs w:val="24"/>
          <w:u w:val="single"/>
          <w:shd w:val="clear" w:color="auto" w:fill="ffffff"/>
        </w:rPr>
        <w:t xml:space="preserve">（厂名）</w:t>
      </w:r>
      <w:r>
        <w:rPr>
          <w:rStyle w:val="1198"/>
          <w:rFonts w:hint="eastAsia" w:ascii="宋体" w:hAnsi="宋体" w:eastAsia="宋体" w:cs="宋体"/>
          <w:color w:val="auto"/>
          <w:sz w:val="24"/>
          <w:szCs w:val="24"/>
          <w:u w:val="single"/>
          <w:shd w:val="clear" w:color="auto" w:fill="ffffff"/>
          <w:vertAlign w:val="superscript"/>
        </w:rPr>
        <w:t xml:space="preserve">2</w:t>
      </w:r>
      <w:r>
        <w:rPr>
          <w:rFonts w:hint="eastAsia" w:eastAsia="宋体"/>
          <w:color w:val="auto"/>
          <w:szCs w:val="24"/>
          <w:shd w:val="clear" w:color="auto" w:fill="ffffff"/>
        </w:rPr>
        <w:t xml:space="preserve">，厂址为</w:t>
      </w:r>
      <w:r>
        <w:rPr>
          <w:rStyle w:val="1198"/>
          <w:rFonts w:hint="eastAsia" w:ascii="宋体" w:hAnsi="宋体" w:eastAsia="宋体" w:cs="宋体"/>
          <w:color w:val="auto"/>
          <w:sz w:val="24"/>
          <w:szCs w:val="24"/>
          <w:u w:val="single"/>
          <w:shd w:val="clear" w:color="auto" w:fill="ffffff"/>
        </w:rPr>
        <w:t xml:space="preserve">（生产厂址）</w:t>
      </w:r>
      <w:r>
        <w:rPr>
          <w:rFonts w:hint="eastAsia" w:eastAsia="宋体"/>
          <w:color w:val="auto"/>
          <w:szCs w:val="24"/>
          <w:shd w:val="clear" w:color="auto" w:fill="ffffff"/>
        </w:rPr>
        <w:t xml:space="preserve">。</w:t>
      </w:r>
      <w:r>
        <w:rPr>
          <w:rStyle w:val="1198"/>
          <w:rFonts w:hint="eastAsia" w:ascii="宋体" w:hAnsi="宋体" w:eastAsia="宋体" w:cs="宋体"/>
          <w:color w:val="auto"/>
          <w:sz w:val="24"/>
          <w:szCs w:val="24"/>
          <w:u w:val="single"/>
          <w:shd w:val="clear" w:color="auto" w:fill="ffffff"/>
        </w:rPr>
        <w:t xml:space="preserve">（产品名称1）</w:t>
      </w:r>
      <w:r>
        <w:rPr>
          <w:rFonts w:hint="eastAsia" w:eastAsia="宋体"/>
          <w:color w:val="auto"/>
          <w:szCs w:val="24"/>
          <w:shd w:val="clear" w:color="auto" w:fill="ffffff"/>
        </w:rPr>
        <w:t xml:space="preserve">的中国境内生产的组件成本占比≥</w:t>
      </w:r>
      <w:r>
        <w:rPr>
          <w:rStyle w:val="1198"/>
          <w:rFonts w:hint="eastAsia" w:ascii="宋体" w:hAnsi="宋体" w:eastAsia="宋体" w:cs="宋体"/>
          <w:color w:val="auto"/>
          <w:sz w:val="24"/>
          <w:szCs w:val="24"/>
          <w:u w:val="single"/>
          <w:shd w:val="clear" w:color="auto" w:fill="ffffff"/>
        </w:rPr>
        <w:t xml:space="preserve">（规定比例）</w:t>
      </w:r>
      <w:r>
        <w:rPr>
          <w:rStyle w:val="1198"/>
          <w:rFonts w:hint="eastAsia" w:ascii="宋体" w:hAnsi="宋体" w:eastAsia="宋体" w:cs="宋体"/>
          <w:color w:val="auto"/>
          <w:sz w:val="24"/>
          <w:szCs w:val="24"/>
          <w:u w:val="single"/>
          <w:shd w:val="clear" w:color="auto" w:fill="ffffff"/>
          <w:vertAlign w:val="superscript"/>
        </w:rPr>
        <w:t xml:space="preserve">3</w:t>
      </w:r>
      <w:r>
        <w:rPr>
          <w:rFonts w:hint="eastAsia" w:eastAsia="宋体"/>
          <w:color w:val="auto"/>
          <w:szCs w:val="24"/>
          <w:shd w:val="clear" w:color="auto" w:fill="ffffff"/>
        </w:rPr>
        <w:t xml:space="preserve">。</w:t>
      </w:r>
      <w:r>
        <w:rPr>
          <w:rStyle w:val="1198"/>
          <w:rFonts w:hint="eastAsia" w:ascii="宋体" w:hAnsi="宋体" w:eastAsia="宋体" w:cs="宋体"/>
          <w:color w:val="auto"/>
          <w:sz w:val="24"/>
          <w:szCs w:val="24"/>
          <w:u w:val="single"/>
          <w:shd w:val="clear" w:color="auto" w:fill="ffffff"/>
        </w:rPr>
        <w:t xml:space="preserve">（产品名称1）</w:t>
      </w:r>
      <w:r>
        <w:rPr>
          <w:rFonts w:hint="eastAsia" w:eastAsia="宋体"/>
          <w:color w:val="auto"/>
          <w:szCs w:val="24"/>
          <w:shd w:val="clear" w:color="auto" w:fill="ffffff"/>
        </w:rPr>
        <w:t xml:space="preserve">的</w:t>
      </w:r>
      <w:r>
        <w:rPr>
          <w:rStyle w:val="1198"/>
          <w:rFonts w:hint="eastAsia" w:ascii="宋体" w:hAnsi="宋体" w:eastAsia="宋体" w:cs="宋体"/>
          <w:color w:val="auto"/>
          <w:sz w:val="24"/>
          <w:szCs w:val="24"/>
          <w:u w:val="single"/>
          <w:shd w:val="clear" w:color="auto" w:fill="ffffff"/>
        </w:rPr>
        <w:t xml:space="preserve">（关键组件）</w:t>
      </w:r>
      <w:r>
        <w:rPr>
          <w:rStyle w:val="1198"/>
          <w:rFonts w:hint="eastAsia" w:ascii="宋体" w:hAnsi="宋体" w:eastAsia="宋体" w:cs="宋体"/>
          <w:color w:val="auto"/>
          <w:sz w:val="24"/>
          <w:szCs w:val="24"/>
          <w:u w:val="single"/>
          <w:shd w:val="clear" w:color="auto" w:fill="ffffff"/>
          <w:vertAlign w:val="superscript"/>
        </w:rPr>
        <w:t xml:space="preserve">4</w:t>
      </w:r>
      <w:r>
        <w:rPr>
          <w:rFonts w:hint="eastAsia" w:eastAsia="宋体"/>
          <w:color w:val="auto"/>
          <w:szCs w:val="24"/>
          <w:shd w:val="clear" w:color="auto" w:fill="ffffff"/>
        </w:rPr>
        <w:t xml:space="preserve">在中国境内生产。</w:t>
      </w:r>
      <w:r>
        <w:rPr>
          <w:rStyle w:val="1198"/>
          <w:rFonts w:hint="eastAsia" w:ascii="宋体" w:hAnsi="宋体" w:eastAsia="宋体" w:cs="宋体"/>
          <w:color w:val="auto"/>
          <w:sz w:val="24"/>
          <w:szCs w:val="24"/>
          <w:u w:val="single"/>
          <w:shd w:val="clear" w:color="auto" w:fill="ffffff"/>
        </w:rPr>
        <w:t xml:space="preserve">（产品名称1）</w:t>
      </w:r>
      <w:r>
        <w:rPr>
          <w:rFonts w:hint="eastAsia" w:eastAsia="宋体"/>
          <w:color w:val="auto"/>
          <w:szCs w:val="24"/>
          <w:shd w:val="clear" w:color="auto" w:fill="ffffff"/>
        </w:rPr>
        <w:t xml:space="preserve">的</w:t>
      </w:r>
      <w:r>
        <w:rPr>
          <w:rStyle w:val="1198"/>
          <w:rFonts w:hint="eastAsia" w:ascii="宋体" w:hAnsi="宋体" w:eastAsia="宋体" w:cs="宋体"/>
          <w:color w:val="auto"/>
          <w:sz w:val="24"/>
          <w:szCs w:val="24"/>
          <w:u w:val="single"/>
          <w:shd w:val="clear" w:color="auto" w:fill="ffffff"/>
        </w:rPr>
        <w:t xml:space="preserve">（关键工序）</w:t>
      </w:r>
      <w:r>
        <w:rPr>
          <w:rStyle w:val="1198"/>
          <w:rFonts w:hint="eastAsia" w:ascii="宋体" w:hAnsi="宋体" w:eastAsia="宋体" w:cs="宋体"/>
          <w:color w:val="auto"/>
          <w:sz w:val="24"/>
          <w:szCs w:val="24"/>
          <w:u w:val="single"/>
          <w:shd w:val="clear" w:color="auto" w:fill="ffffff"/>
          <w:vertAlign w:val="superscript"/>
        </w:rPr>
        <w:t xml:space="preserve">5</w:t>
      </w:r>
      <w:r>
        <w:rPr>
          <w:rFonts w:hint="eastAsia" w:eastAsia="宋体"/>
          <w:color w:val="auto"/>
          <w:szCs w:val="24"/>
          <w:shd w:val="clear" w:color="auto" w:fill="ffffff"/>
        </w:rPr>
        <w:t xml:space="preserve">在中国境内完成。</w:t>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2.</w:t>
      </w:r>
      <w:r>
        <w:rPr>
          <w:rStyle w:val="1198"/>
          <w:rFonts w:hint="eastAsia" w:ascii="宋体" w:hAnsi="宋体" w:eastAsia="宋体" w:cs="宋体"/>
          <w:color w:val="auto"/>
          <w:sz w:val="24"/>
          <w:szCs w:val="24"/>
          <w:u w:val="single"/>
          <w:shd w:val="clear" w:color="auto" w:fill="ffffff"/>
        </w:rPr>
        <w:t xml:space="preserve">（产品名称2）</w:t>
      </w:r>
      <w:r>
        <w:rPr>
          <w:rFonts w:hint="eastAsia" w:eastAsia="宋体"/>
          <w:color w:val="auto"/>
          <w:szCs w:val="24"/>
          <w:shd w:val="clear" w:color="auto" w:fill="ffffff"/>
        </w:rPr>
        <w:t xml:space="preserve">，生产厂为</w:t>
      </w:r>
      <w:r>
        <w:rPr>
          <w:rStyle w:val="1198"/>
          <w:rFonts w:hint="eastAsia" w:ascii="宋体" w:hAnsi="宋体" w:eastAsia="宋体" w:cs="宋体"/>
          <w:color w:val="auto"/>
          <w:sz w:val="24"/>
          <w:szCs w:val="24"/>
          <w:u w:val="single"/>
          <w:shd w:val="clear" w:color="auto" w:fill="ffffff"/>
        </w:rPr>
        <w:t xml:space="preserve">（厂名）</w:t>
      </w:r>
      <w:r>
        <w:rPr>
          <w:rFonts w:hint="eastAsia" w:eastAsia="宋体"/>
          <w:color w:val="auto"/>
          <w:szCs w:val="24"/>
          <w:shd w:val="clear" w:color="auto" w:fill="ffffff"/>
        </w:rPr>
        <w:t xml:space="preserve">，厂址为</w:t>
      </w:r>
      <w:r>
        <w:rPr>
          <w:rStyle w:val="1198"/>
          <w:rFonts w:hint="eastAsia" w:ascii="宋体" w:hAnsi="宋体" w:eastAsia="宋体" w:cs="宋体"/>
          <w:color w:val="auto"/>
          <w:sz w:val="24"/>
          <w:szCs w:val="24"/>
          <w:u w:val="single"/>
          <w:shd w:val="clear" w:color="auto" w:fill="ffffff"/>
        </w:rPr>
        <w:t xml:space="preserve">（生产厂址）</w:t>
      </w:r>
      <w:r>
        <w:rPr>
          <w:rFonts w:hint="eastAsia" w:eastAsia="宋体"/>
          <w:color w:val="auto"/>
          <w:szCs w:val="24"/>
          <w:shd w:val="clear" w:color="auto" w:fill="ffffff"/>
        </w:rPr>
        <w:t xml:space="preserve">。</w:t>
      </w:r>
      <w:r>
        <w:rPr>
          <w:rStyle w:val="1198"/>
          <w:rFonts w:hint="eastAsia" w:ascii="宋体" w:hAnsi="宋体" w:eastAsia="宋体" w:cs="宋体"/>
          <w:color w:val="auto"/>
          <w:sz w:val="24"/>
          <w:szCs w:val="24"/>
          <w:u w:val="single"/>
          <w:shd w:val="clear" w:color="auto" w:fill="ffffff"/>
        </w:rPr>
        <w:t xml:space="preserve">（产品名称2）</w:t>
      </w:r>
      <w:r>
        <w:rPr>
          <w:rFonts w:hint="eastAsia" w:eastAsia="宋体"/>
          <w:color w:val="auto"/>
          <w:szCs w:val="24"/>
          <w:shd w:val="clear" w:color="auto" w:fill="ffffff"/>
        </w:rPr>
        <w:t xml:space="preserve">的中国境内生产的组件成本占比≥</w:t>
      </w:r>
      <w:r>
        <w:rPr>
          <w:rStyle w:val="1198"/>
          <w:rFonts w:hint="eastAsia" w:ascii="宋体" w:hAnsi="宋体" w:eastAsia="宋体" w:cs="宋体"/>
          <w:color w:val="auto"/>
          <w:sz w:val="24"/>
          <w:szCs w:val="24"/>
          <w:u w:val="single"/>
          <w:shd w:val="clear" w:color="auto" w:fill="ffffff"/>
        </w:rPr>
        <w:t xml:space="preserve">（规定比例）</w:t>
      </w:r>
      <w:r>
        <w:rPr>
          <w:rFonts w:hint="eastAsia" w:eastAsia="宋体"/>
          <w:color w:val="auto"/>
          <w:szCs w:val="24"/>
          <w:shd w:val="clear" w:color="auto" w:fill="ffffff"/>
        </w:rPr>
        <w:t xml:space="preserve">。</w:t>
      </w:r>
      <w:r>
        <w:rPr>
          <w:rStyle w:val="1198"/>
          <w:rFonts w:hint="eastAsia" w:ascii="宋体" w:hAnsi="宋体" w:eastAsia="宋体" w:cs="宋体"/>
          <w:color w:val="auto"/>
          <w:sz w:val="24"/>
          <w:szCs w:val="24"/>
          <w:u w:val="single"/>
          <w:shd w:val="clear" w:color="auto" w:fill="ffffff"/>
        </w:rPr>
        <w:t xml:space="preserve">（产品名称2）</w:t>
      </w:r>
      <w:r>
        <w:rPr>
          <w:rFonts w:hint="eastAsia" w:eastAsia="宋体"/>
          <w:color w:val="auto"/>
          <w:szCs w:val="24"/>
          <w:shd w:val="clear" w:color="auto" w:fill="ffffff"/>
        </w:rPr>
        <w:t xml:space="preserve">的</w:t>
      </w:r>
      <w:r>
        <w:rPr>
          <w:rStyle w:val="1198"/>
          <w:rFonts w:hint="eastAsia" w:ascii="宋体" w:hAnsi="宋体" w:eastAsia="宋体" w:cs="宋体"/>
          <w:color w:val="auto"/>
          <w:sz w:val="24"/>
          <w:szCs w:val="24"/>
          <w:u w:val="single"/>
          <w:shd w:val="clear" w:color="auto" w:fill="ffffff"/>
        </w:rPr>
        <w:t xml:space="preserve">（关键组件）</w:t>
      </w:r>
      <w:r>
        <w:rPr>
          <w:rFonts w:hint="eastAsia" w:eastAsia="宋体"/>
          <w:color w:val="auto"/>
          <w:szCs w:val="24"/>
          <w:shd w:val="clear" w:color="auto" w:fill="ffffff"/>
        </w:rPr>
        <w:t xml:space="preserve">在中国境内生产。</w:t>
      </w:r>
      <w:r>
        <w:rPr>
          <w:rStyle w:val="1198"/>
          <w:rFonts w:hint="eastAsia" w:ascii="宋体" w:hAnsi="宋体" w:eastAsia="宋体" w:cs="宋体"/>
          <w:color w:val="auto"/>
          <w:sz w:val="24"/>
          <w:szCs w:val="24"/>
          <w:u w:val="single"/>
          <w:shd w:val="clear" w:color="auto" w:fill="ffffff"/>
        </w:rPr>
        <w:t xml:space="preserve">（产品名称2）</w:t>
      </w:r>
      <w:r>
        <w:rPr>
          <w:rFonts w:hint="eastAsia" w:eastAsia="宋体"/>
          <w:color w:val="auto"/>
          <w:szCs w:val="24"/>
          <w:shd w:val="clear" w:color="auto" w:fill="ffffff"/>
        </w:rPr>
        <w:t xml:space="preserve">的</w:t>
      </w:r>
      <w:r>
        <w:rPr>
          <w:rStyle w:val="1198"/>
          <w:rFonts w:hint="eastAsia" w:ascii="宋体" w:hAnsi="宋体" w:eastAsia="宋体" w:cs="宋体"/>
          <w:color w:val="auto"/>
          <w:sz w:val="24"/>
          <w:szCs w:val="24"/>
          <w:u w:val="single"/>
          <w:shd w:val="clear" w:color="auto" w:fill="ffffff"/>
        </w:rPr>
        <w:t xml:space="preserve">（关键工序）</w:t>
      </w:r>
      <w:r>
        <w:rPr>
          <w:rFonts w:hint="eastAsia" w:eastAsia="宋体"/>
          <w:color w:val="auto"/>
          <w:szCs w:val="24"/>
          <w:shd w:val="clear" w:color="auto" w:fill="ffffff"/>
        </w:rPr>
        <w:t xml:space="preserve">在中国境内完成。</w:t>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w:t>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本公司（单位）对上述声明内容的真实性负责。如有虚假，愿承担相应法律责任。</w:t>
      </w:r>
      <w:r/>
    </w:p>
    <w:p>
      <w:pPr>
        <w:pStyle w:val="1039"/>
        <w:ind w:firstLine="420"/>
        <w:jc w:val="right"/>
        <w:spacing w:before="30" w:beforeAutospacing="0" w:after="30" w:afterAutospacing="0" w:line="360" w:lineRule="auto"/>
        <w:shd w:val="clear" w:color="auto" w:fill="ffffff"/>
        <w:rPr>
          <w:rFonts w:eastAsia="宋体"/>
          <w:color w:val="auto"/>
          <w:szCs w:val="24"/>
          <w:shd w:val="clear" w:color="auto" w:fill="ffffff"/>
        </w:rPr>
        <w:pBdr>
          <w:top w:val="none" w:color="000000" w:sz="0" w:space="0"/>
          <w:left w:val="none" w:color="000000" w:sz="0" w:space="0"/>
          <w:bottom w:val="none" w:color="000000" w:sz="0" w:space="0"/>
          <w:right w:val="none" w:color="000000" w:sz="0" w:space="0"/>
        </w:pBdr>
      </w:pPr>
      <w:r>
        <w:rPr>
          <w:rFonts w:eastAsia="宋体"/>
          <w:color w:val="auto"/>
          <w:szCs w:val="24"/>
          <w:shd w:val="clear" w:color="auto" w:fill="ffffff"/>
        </w:rPr>
      </w:r>
      <w:r/>
    </w:p>
    <w:p>
      <w:pPr>
        <w:pStyle w:val="1039"/>
        <w:ind w:firstLine="420"/>
        <w:jc w:val="right"/>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rPr>
        <w:t xml:space="preserve">投标人名称（加盖CA电子公章）：</w:t>
      </w:r>
      <w:r>
        <w:rPr>
          <w:rFonts w:hint="eastAsia" w:eastAsia="宋体"/>
          <w:color w:val="auto"/>
          <w:szCs w:val="24"/>
          <w:shd w:val="clear" w:color="auto" w:fill="ffffff"/>
        </w:rPr>
        <w:t xml:space="preserve">      </w:t>
      </w:r>
      <w:r/>
    </w:p>
    <w:p>
      <w:pPr>
        <w:pStyle w:val="1039"/>
        <w:ind w:firstLine="420"/>
        <w:jc w:val="right"/>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日期：　　　　　年　　月　日    </w:t>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eastAsia="宋体"/>
          <w:color w:val="auto"/>
          <w:szCs w:val="24"/>
        </w:rPr>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eastAsia="宋体"/>
          <w:color w:val="auto"/>
          <w:szCs w:val="24"/>
        </w:rPr>
      </w:r>
      <w:r/>
    </w:p>
    <w:p>
      <w:pPr>
        <w:pStyle w:val="1039"/>
        <w:jc w:val="both"/>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_____________________________</w:t>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1.产品如有型号，请在“产品名称”栏一并填写。</w:t>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2.生产厂名与厂址应与生产厂营业执照载明的相关信息保持一致。</w:t>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3.该产品的中国境内生产的组件成本占比相关要求实施前，“规定比例”栏可不填，下同。</w:t>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4.该产品的关键组件要求实施前，“关键组件”栏可不填，下同。</w:t>
      </w:r>
      <w:r/>
    </w:p>
    <w:p>
      <w:pPr>
        <w:pStyle w:val="1039"/>
        <w:ind w:firstLine="420"/>
        <w:spacing w:before="30" w:beforeAutospacing="0" w:after="30" w:afterAutospacing="0" w:line="360" w:lineRule="auto"/>
        <w:shd w:val="clear" w:color="auto" w:fill="ffffff"/>
        <w:rPr>
          <w:rFonts w:eastAsia="宋体"/>
          <w:color w:val="auto"/>
          <w:szCs w:val="24"/>
        </w:rPr>
        <w:pBdr>
          <w:top w:val="none" w:color="000000" w:sz="0" w:space="0"/>
          <w:left w:val="none" w:color="000000" w:sz="0" w:space="0"/>
          <w:bottom w:val="none" w:color="000000" w:sz="0" w:space="0"/>
          <w:right w:val="none" w:color="000000" w:sz="0" w:space="0"/>
        </w:pBdr>
      </w:pPr>
      <w:r>
        <w:rPr>
          <w:rFonts w:hint="eastAsia" w:eastAsia="宋体"/>
          <w:color w:val="auto"/>
          <w:szCs w:val="24"/>
          <w:shd w:val="clear" w:color="auto" w:fill="ffffff"/>
        </w:rPr>
        <w:t xml:space="preserve">5.该产品的关键工序要求实施前，“关键工序”栏可不填，下同。</w:t>
      </w:r>
      <w:r/>
    </w:p>
    <w:p>
      <w:pPr>
        <w:pStyle w:val="823"/>
        <w:spacing w:line="360" w:lineRule="auto"/>
        <w:rPr>
          <w:rFonts w:ascii="宋体" w:hAnsi="宋体" w:eastAsia="宋体" w:cs="宋体"/>
          <w:color w:val="auto"/>
          <w:sz w:val="24"/>
          <w:szCs w:val="24"/>
          <w:lang w:bidi="ar"/>
        </w:rPr>
        <w:sectPr>
          <w:footerReference w:type="default" r:id="rId13"/>
          <w:footnotePr/>
          <w:endnotePr/>
          <w:type w:val="nextPage"/>
          <w:pgSz w:w="11907" w:h="16840" w:orient="portrait"/>
          <w:pgMar w:top="1440" w:right="1463" w:bottom="1440" w:left="1463" w:header="851" w:footer="851" w:gutter="0"/>
          <w:cols w:num="1" w:sep="0" w:space="1701" w:equalWidth="1"/>
          <w:docGrid w:linePitch="360"/>
        </w:sectPr>
      </w:pPr>
      <w:r>
        <w:rPr>
          <w:rFonts w:ascii="宋体" w:hAnsi="宋体" w:eastAsia="宋体" w:cs="宋体"/>
          <w:color w:val="auto"/>
          <w:sz w:val="24"/>
          <w:szCs w:val="24"/>
          <w:lang w:bidi="ar"/>
        </w:rPr>
      </w:r>
      <w:r/>
    </w:p>
    <w:p>
      <w:pPr>
        <w:jc w:val="center"/>
        <w:rPr>
          <w:rFonts w:ascii="宋体" w:hAnsi="宋体" w:eastAsia="宋体" w:cs="宋体"/>
          <w:b/>
          <w:color w:val="auto"/>
          <w:sz w:val="30"/>
          <w:szCs w:val="30"/>
        </w:rPr>
      </w:pPr>
      <w:r>
        <w:rPr>
          <w:rFonts w:hint="eastAsia" w:ascii="宋体" w:hAnsi="宋体" w:eastAsia="宋体" w:cs="宋体"/>
          <w:b/>
          <w:color w:val="auto"/>
          <w:sz w:val="30"/>
          <w:szCs w:val="30"/>
        </w:rPr>
        <w:t xml:space="preserve">投标报价明细表（采购包一）</w:t>
      </w:r>
      <w:r/>
    </w:p>
    <w:p>
      <w:pPr>
        <w:jc w:val="center"/>
        <w:spacing w:line="520" w:lineRule="exact"/>
        <w:widowControl/>
        <w:rPr>
          <w:rFonts w:ascii="宋体" w:hAnsi="宋体" w:eastAsia="宋体" w:cs="宋体"/>
          <w:b/>
          <w:color w:val="auto"/>
          <w:sz w:val="28"/>
          <w:szCs w:val="28"/>
        </w:rPr>
      </w:pPr>
      <w:r>
        <w:rPr>
          <w:rFonts w:ascii="宋体" w:hAnsi="宋体" w:eastAsia="宋体" w:cs="宋体"/>
          <w:b/>
          <w:color w:val="auto"/>
          <w:sz w:val="28"/>
          <w:szCs w:val="28"/>
        </w:rPr>
      </w:r>
      <w:r/>
    </w:p>
    <w:tbl>
      <w:tblPr>
        <w:tblStyle w:val="773"/>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color w:val="auto"/>
                <w:sz w:val="24"/>
                <w:szCs w:val="24"/>
              </w:rPr>
              <w:t xml:space="preserve">兽用生物制品区域性检验实验室（华东）自动影像分析菌落计数仪等仪器设备采购项目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共聚焦显微镜</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电位纳米粒度仪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总价：</w:t>
            </w:r>
            <w:r>
              <w:rPr>
                <w:rFonts w:hint="eastAsia" w:ascii="宋体" w:hAnsi="宋体" w:eastAsia="宋体" w:cs="宋体"/>
                <w:b/>
                <w:bCs/>
                <w:color w:val="auto"/>
                <w:sz w:val="24"/>
                <w:szCs w:val="24"/>
                <w:u w:val="single"/>
                <w:lang w:bidi="ar"/>
              </w:rPr>
              <w:t xml:space="preserve">          </w:t>
            </w:r>
            <w:r>
              <w:rPr>
                <w:rFonts w:hint="eastAsia" w:ascii="宋体" w:hAnsi="宋体" w:eastAsia="宋体" w:cs="宋体"/>
                <w:b/>
                <w:bCs/>
                <w:color w:val="auto"/>
                <w:sz w:val="24"/>
                <w:szCs w:val="24"/>
                <w:lang w:bidi="ar"/>
              </w:rPr>
              <w:t xml:space="preserve">元</w:t>
            </w:r>
            <w:r>
              <w:rPr>
                <w:rFonts w:hint="eastAsia" w:ascii="宋体" w:hAnsi="宋体" w:eastAsia="宋体" w:cs="宋体"/>
                <w:color w:val="auto"/>
                <w:sz w:val="24"/>
                <w:szCs w:val="24"/>
                <w:lang w:bidi="ar"/>
              </w:rPr>
              <w:t xml:space="preserve"> </w:t>
            </w:r>
            <w:r/>
          </w:p>
        </w:tc>
      </w:tr>
    </w:tbl>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投标人名称：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b/>
          <w:color w:val="auto"/>
          <w:spacing w:val="-4"/>
          <w:sz w:val="24"/>
          <w:szCs w:val="24"/>
        </w:rPr>
      </w:pPr>
      <w:r>
        <w:rPr>
          <w:rFonts w:hint="eastAsia" w:ascii="宋体" w:hAnsi="宋体" w:eastAsia="宋体" w:cs="宋体"/>
          <w:color w:val="auto"/>
          <w:sz w:val="24"/>
          <w:szCs w:val="24"/>
        </w:rPr>
        <w:t xml:space="preserve">年   月   日 </w:t>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jc w:val="center"/>
        <w:rPr>
          <w:rFonts w:ascii="宋体" w:hAnsi="宋体" w:eastAsia="宋体" w:cs="宋体"/>
          <w:b/>
          <w:color w:val="auto"/>
          <w:sz w:val="30"/>
          <w:szCs w:val="30"/>
        </w:rPr>
      </w:pPr>
      <w:r>
        <w:rPr>
          <w:rFonts w:hint="eastAsia" w:ascii="宋体" w:hAnsi="宋体" w:eastAsia="宋体" w:cs="宋体"/>
          <w:b/>
          <w:color w:val="auto"/>
          <w:sz w:val="30"/>
          <w:szCs w:val="30"/>
        </w:rPr>
        <w:t xml:space="preserve">投标报价明细表（采购包二）</w:t>
      </w:r>
      <w:r/>
    </w:p>
    <w:p>
      <w:pPr>
        <w:jc w:val="center"/>
        <w:spacing w:line="520" w:lineRule="exact"/>
        <w:widowControl/>
        <w:rPr>
          <w:rFonts w:ascii="宋体" w:hAnsi="宋体" w:eastAsia="宋体" w:cs="宋体"/>
          <w:b/>
          <w:color w:val="auto"/>
          <w:sz w:val="28"/>
          <w:szCs w:val="28"/>
        </w:rPr>
      </w:pPr>
      <w:r>
        <w:rPr>
          <w:rFonts w:ascii="宋体" w:hAnsi="宋体" w:eastAsia="宋体" w:cs="宋体"/>
          <w:b/>
          <w:color w:val="auto"/>
          <w:sz w:val="28"/>
          <w:szCs w:val="28"/>
        </w:rPr>
      </w:r>
      <w:r/>
    </w:p>
    <w:tbl>
      <w:tblPr>
        <w:tblStyle w:val="773"/>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color w:val="auto"/>
                <w:sz w:val="24"/>
                <w:szCs w:val="24"/>
              </w:rPr>
              <w:t xml:space="preserve">兽用生物制品区域性检验实验室（华东）自动影像分析菌落计数仪等仪器设备采购项目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流式细胞分选仪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自动影像分析菌落计数仪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总价：</w:t>
            </w:r>
            <w:r>
              <w:rPr>
                <w:rFonts w:hint="eastAsia" w:ascii="宋体" w:hAnsi="宋体" w:eastAsia="宋体" w:cs="宋体"/>
                <w:b/>
                <w:bCs/>
                <w:color w:val="auto"/>
                <w:sz w:val="24"/>
                <w:szCs w:val="24"/>
                <w:u w:val="single"/>
                <w:lang w:bidi="ar"/>
              </w:rPr>
              <w:t xml:space="preserve">          </w:t>
            </w:r>
            <w:r>
              <w:rPr>
                <w:rFonts w:hint="eastAsia" w:ascii="宋体" w:hAnsi="宋体" w:eastAsia="宋体" w:cs="宋体"/>
                <w:b/>
                <w:bCs/>
                <w:color w:val="auto"/>
                <w:sz w:val="24"/>
                <w:szCs w:val="24"/>
                <w:lang w:bidi="ar"/>
              </w:rPr>
              <w:t xml:space="preserve">元</w:t>
            </w:r>
            <w:r>
              <w:rPr>
                <w:rFonts w:hint="eastAsia" w:ascii="宋体" w:hAnsi="宋体" w:eastAsia="宋体" w:cs="宋体"/>
                <w:color w:val="auto"/>
                <w:sz w:val="24"/>
                <w:szCs w:val="24"/>
                <w:lang w:bidi="ar"/>
              </w:rPr>
              <w:t xml:space="preserve"> </w:t>
            </w:r>
            <w:r/>
          </w:p>
        </w:tc>
      </w:tr>
    </w:tbl>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投标人名称：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b/>
          <w:color w:val="auto"/>
          <w:spacing w:val="-4"/>
          <w:sz w:val="24"/>
          <w:szCs w:val="24"/>
        </w:rPr>
      </w:pPr>
      <w:r>
        <w:rPr>
          <w:rFonts w:hint="eastAsia" w:ascii="宋体" w:hAnsi="宋体" w:eastAsia="宋体" w:cs="宋体"/>
          <w:color w:val="auto"/>
          <w:sz w:val="24"/>
          <w:szCs w:val="24"/>
        </w:rPr>
        <w:t xml:space="preserve">年   月   日 </w:t>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jc w:val="center"/>
        <w:rPr>
          <w:rFonts w:ascii="宋体" w:hAnsi="宋体" w:eastAsia="宋体" w:cs="宋体"/>
          <w:b/>
          <w:color w:val="auto"/>
          <w:sz w:val="30"/>
          <w:szCs w:val="30"/>
        </w:rPr>
      </w:pPr>
      <w:r>
        <w:rPr>
          <w:rFonts w:hint="eastAsia" w:ascii="宋体" w:hAnsi="宋体" w:eastAsia="宋体" w:cs="宋体"/>
          <w:b/>
          <w:color w:val="auto"/>
          <w:sz w:val="30"/>
          <w:szCs w:val="30"/>
        </w:rPr>
        <w:t xml:space="preserve">投标报价明细表（采购包三）</w:t>
      </w:r>
      <w:r/>
    </w:p>
    <w:p>
      <w:pPr>
        <w:jc w:val="center"/>
        <w:spacing w:line="520" w:lineRule="exact"/>
        <w:widowControl/>
        <w:rPr>
          <w:rFonts w:ascii="宋体" w:hAnsi="宋体" w:eastAsia="宋体" w:cs="宋体"/>
          <w:b/>
          <w:color w:val="auto"/>
          <w:sz w:val="28"/>
          <w:szCs w:val="28"/>
        </w:rPr>
      </w:pPr>
      <w:r>
        <w:rPr>
          <w:rFonts w:ascii="宋体" w:hAnsi="宋体" w:eastAsia="宋体" w:cs="宋体"/>
          <w:b/>
          <w:color w:val="auto"/>
          <w:sz w:val="28"/>
          <w:szCs w:val="28"/>
        </w:rPr>
      </w:r>
      <w:r/>
    </w:p>
    <w:tbl>
      <w:tblPr>
        <w:tblStyle w:val="773"/>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color w:val="auto"/>
                <w:sz w:val="24"/>
                <w:szCs w:val="24"/>
              </w:rPr>
              <w:t xml:space="preserve">兽用生物制品区域性检验实验室（华东）自动影像分析菌落计数仪等仪器设备采购项目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数字PCR仪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实时荧光定量PCR仪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总价：</w:t>
            </w:r>
            <w:r>
              <w:rPr>
                <w:rFonts w:hint="eastAsia" w:ascii="宋体" w:hAnsi="宋体" w:eastAsia="宋体" w:cs="宋体"/>
                <w:b/>
                <w:bCs/>
                <w:color w:val="auto"/>
                <w:sz w:val="24"/>
                <w:szCs w:val="24"/>
                <w:u w:val="single"/>
                <w:lang w:bidi="ar"/>
              </w:rPr>
              <w:t xml:space="preserve">          </w:t>
            </w:r>
            <w:r>
              <w:rPr>
                <w:rFonts w:hint="eastAsia" w:ascii="宋体" w:hAnsi="宋体" w:eastAsia="宋体" w:cs="宋体"/>
                <w:b/>
                <w:bCs/>
                <w:color w:val="auto"/>
                <w:sz w:val="24"/>
                <w:szCs w:val="24"/>
                <w:lang w:bidi="ar"/>
              </w:rPr>
              <w:t xml:space="preserve">元</w:t>
            </w:r>
            <w:r>
              <w:rPr>
                <w:rFonts w:hint="eastAsia" w:ascii="宋体" w:hAnsi="宋体" w:eastAsia="宋体" w:cs="宋体"/>
                <w:color w:val="auto"/>
                <w:sz w:val="24"/>
                <w:szCs w:val="24"/>
                <w:lang w:bidi="ar"/>
              </w:rPr>
              <w:t xml:space="preserve"> </w:t>
            </w:r>
            <w:r/>
          </w:p>
        </w:tc>
      </w:tr>
    </w:tbl>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投标人名称：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b/>
          <w:color w:val="auto"/>
          <w:spacing w:val="-4"/>
          <w:sz w:val="24"/>
          <w:szCs w:val="24"/>
        </w:rPr>
      </w:pPr>
      <w:r>
        <w:rPr>
          <w:rFonts w:hint="eastAsia" w:ascii="宋体" w:hAnsi="宋体" w:eastAsia="宋体" w:cs="宋体"/>
          <w:color w:val="auto"/>
          <w:sz w:val="24"/>
          <w:szCs w:val="24"/>
        </w:rPr>
        <w:t xml:space="preserve">年   月   日 </w:t>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jc w:val="center"/>
        <w:rPr>
          <w:rFonts w:ascii="宋体" w:hAnsi="宋体" w:eastAsia="宋体" w:cs="宋体"/>
          <w:b/>
          <w:color w:val="auto"/>
          <w:sz w:val="30"/>
          <w:szCs w:val="30"/>
        </w:rPr>
      </w:pPr>
      <w:r>
        <w:rPr>
          <w:rFonts w:hint="eastAsia" w:ascii="宋体" w:hAnsi="宋体" w:eastAsia="宋体" w:cs="宋体"/>
          <w:b/>
          <w:color w:val="auto"/>
          <w:sz w:val="30"/>
          <w:szCs w:val="30"/>
        </w:rPr>
        <w:t xml:space="preserve">投标报价明细表（采购包四）</w:t>
      </w:r>
      <w:r/>
    </w:p>
    <w:p>
      <w:pPr>
        <w:jc w:val="center"/>
        <w:spacing w:line="520" w:lineRule="exact"/>
        <w:widowControl/>
        <w:rPr>
          <w:rFonts w:ascii="宋体" w:hAnsi="宋体" w:eastAsia="宋体" w:cs="宋体"/>
          <w:b/>
          <w:color w:val="auto"/>
          <w:sz w:val="28"/>
          <w:szCs w:val="28"/>
        </w:rPr>
      </w:pPr>
      <w:r>
        <w:rPr>
          <w:rFonts w:ascii="宋体" w:hAnsi="宋体" w:eastAsia="宋体" w:cs="宋体"/>
          <w:b/>
          <w:color w:val="auto"/>
          <w:sz w:val="28"/>
          <w:szCs w:val="28"/>
        </w:rPr>
      </w:r>
      <w:r/>
    </w:p>
    <w:tbl>
      <w:tblPr>
        <w:tblStyle w:val="773"/>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color w:val="auto"/>
                <w:sz w:val="24"/>
                <w:szCs w:val="24"/>
              </w:rPr>
              <w:t xml:space="preserve">兽用生物制品区域性检验实验室（华东）自动影像分析菌落计数仪等仪器设备采购项目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酶联免疫斑点检测分析系统</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倒置荧光显微镜</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倒置光学显微镜</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总价：</w:t>
            </w:r>
            <w:r>
              <w:rPr>
                <w:rFonts w:hint="eastAsia" w:ascii="宋体" w:hAnsi="宋体" w:eastAsia="宋体" w:cs="宋体"/>
                <w:b/>
                <w:bCs/>
                <w:color w:val="auto"/>
                <w:sz w:val="24"/>
                <w:szCs w:val="24"/>
                <w:u w:val="single"/>
                <w:lang w:bidi="ar"/>
              </w:rPr>
              <w:t xml:space="preserve">          </w:t>
            </w:r>
            <w:r>
              <w:rPr>
                <w:rFonts w:hint="eastAsia" w:ascii="宋体" w:hAnsi="宋体" w:eastAsia="宋体" w:cs="宋体"/>
                <w:b/>
                <w:bCs/>
                <w:color w:val="auto"/>
                <w:sz w:val="24"/>
                <w:szCs w:val="24"/>
                <w:lang w:bidi="ar"/>
              </w:rPr>
              <w:t xml:space="preserve">元</w:t>
            </w:r>
            <w:r>
              <w:rPr>
                <w:rFonts w:hint="eastAsia" w:ascii="宋体" w:hAnsi="宋体" w:eastAsia="宋体" w:cs="宋体"/>
                <w:color w:val="auto"/>
                <w:sz w:val="24"/>
                <w:szCs w:val="24"/>
                <w:lang w:bidi="ar"/>
              </w:rPr>
              <w:t xml:space="preserve"> </w:t>
            </w:r>
            <w:r/>
          </w:p>
        </w:tc>
      </w:tr>
    </w:tbl>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投标人名称：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b/>
          <w:color w:val="auto"/>
          <w:spacing w:val="-4"/>
          <w:sz w:val="24"/>
          <w:szCs w:val="24"/>
        </w:rPr>
      </w:pPr>
      <w:r>
        <w:rPr>
          <w:rFonts w:hint="eastAsia" w:ascii="宋体" w:hAnsi="宋体" w:eastAsia="宋体" w:cs="宋体"/>
          <w:color w:val="auto"/>
          <w:sz w:val="24"/>
          <w:szCs w:val="24"/>
        </w:rPr>
        <w:t xml:space="preserve">年   月   日 </w:t>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jc w:val="center"/>
        <w:rPr>
          <w:rFonts w:ascii="宋体" w:hAnsi="宋体" w:eastAsia="宋体" w:cs="宋体"/>
          <w:b/>
          <w:color w:val="auto"/>
          <w:sz w:val="30"/>
          <w:szCs w:val="30"/>
        </w:rPr>
      </w:pPr>
      <w:r>
        <w:rPr>
          <w:rFonts w:hint="eastAsia" w:ascii="宋体" w:hAnsi="宋体" w:eastAsia="宋体" w:cs="宋体"/>
          <w:b/>
          <w:color w:val="auto"/>
          <w:sz w:val="30"/>
          <w:szCs w:val="30"/>
        </w:rPr>
        <w:t xml:space="preserve">投标报价明细表（采购包五）</w:t>
      </w:r>
      <w:r/>
    </w:p>
    <w:p>
      <w:pPr>
        <w:jc w:val="center"/>
        <w:spacing w:line="520" w:lineRule="exact"/>
        <w:widowControl/>
        <w:rPr>
          <w:rFonts w:ascii="宋体" w:hAnsi="宋体" w:eastAsia="宋体" w:cs="宋体"/>
          <w:b/>
          <w:color w:val="auto"/>
          <w:sz w:val="28"/>
          <w:szCs w:val="28"/>
        </w:rPr>
      </w:pPr>
      <w:r>
        <w:rPr>
          <w:rFonts w:ascii="宋体" w:hAnsi="宋体" w:eastAsia="宋体" w:cs="宋体"/>
          <w:b/>
          <w:color w:val="auto"/>
          <w:sz w:val="28"/>
          <w:szCs w:val="28"/>
        </w:rPr>
      </w:r>
      <w:r/>
    </w:p>
    <w:tbl>
      <w:tblPr>
        <w:tblStyle w:val="773"/>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color w:val="auto"/>
                <w:sz w:val="24"/>
                <w:szCs w:val="24"/>
              </w:rPr>
              <w:t xml:space="preserve">兽用生物制品区域性检验实验室（华东）自动影像分析菌落计数仪等仪器设备采购项目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实验室管理系统</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物联网控制系统</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总价：</w:t>
            </w:r>
            <w:r>
              <w:rPr>
                <w:rFonts w:hint="eastAsia" w:ascii="宋体" w:hAnsi="宋体" w:eastAsia="宋体" w:cs="宋体"/>
                <w:b/>
                <w:bCs/>
                <w:color w:val="auto"/>
                <w:sz w:val="24"/>
                <w:szCs w:val="24"/>
                <w:u w:val="single"/>
                <w:lang w:bidi="ar"/>
              </w:rPr>
              <w:t xml:space="preserve">          </w:t>
            </w:r>
            <w:r>
              <w:rPr>
                <w:rFonts w:hint="eastAsia" w:ascii="宋体" w:hAnsi="宋体" w:eastAsia="宋体" w:cs="宋体"/>
                <w:b/>
                <w:bCs/>
                <w:color w:val="auto"/>
                <w:sz w:val="24"/>
                <w:szCs w:val="24"/>
                <w:lang w:bidi="ar"/>
              </w:rPr>
              <w:t xml:space="preserve">元</w:t>
            </w:r>
            <w:r>
              <w:rPr>
                <w:rFonts w:hint="eastAsia" w:ascii="宋体" w:hAnsi="宋体" w:eastAsia="宋体" w:cs="宋体"/>
                <w:color w:val="auto"/>
                <w:sz w:val="24"/>
                <w:szCs w:val="24"/>
                <w:lang w:bidi="ar"/>
              </w:rPr>
              <w:t xml:space="preserve"> </w:t>
            </w:r>
            <w:r/>
          </w:p>
        </w:tc>
      </w:tr>
    </w:tbl>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20" w:lineRule="exact"/>
        <w:rPr>
          <w:rFonts w:ascii="宋体" w:hAnsi="宋体" w:eastAsia="宋体" w:cs="宋体"/>
          <w:color w:val="auto"/>
          <w:sz w:val="24"/>
          <w:szCs w:val="24"/>
          <w:u w:val="single"/>
        </w:rPr>
      </w:pPr>
      <w:r>
        <w:rPr>
          <w:rFonts w:hint="eastAsia" w:ascii="宋体" w:hAnsi="宋体" w:eastAsia="宋体" w:cs="宋体"/>
          <w:color w:val="auto"/>
          <w:sz w:val="24"/>
          <w:szCs w:val="24"/>
        </w:rPr>
        <w:t xml:space="preserve">投标人名称：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jc w:val="right"/>
        <w:spacing w:line="520" w:lineRule="exact"/>
        <w:rPr>
          <w:rFonts w:ascii="宋体" w:hAnsi="宋体" w:eastAsia="宋体" w:cs="宋体"/>
          <w:b/>
          <w:color w:val="auto"/>
          <w:spacing w:val="-4"/>
          <w:sz w:val="24"/>
          <w:szCs w:val="24"/>
        </w:rPr>
      </w:pPr>
      <w:r>
        <w:rPr>
          <w:rFonts w:hint="eastAsia" w:ascii="宋体" w:hAnsi="宋体" w:eastAsia="宋体" w:cs="宋体"/>
          <w:color w:val="auto"/>
          <w:sz w:val="24"/>
          <w:szCs w:val="24"/>
        </w:rPr>
        <w:t xml:space="preserve">年   月   日 </w:t>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ascii="宋体" w:hAnsi="宋体" w:eastAsia="宋体" w:cs="宋体"/>
          <w:b/>
          <w:color w:val="auto"/>
          <w:sz w:val="32"/>
          <w:szCs w:val="32"/>
        </w:rPr>
      </w:r>
      <w:r/>
    </w:p>
    <w:p>
      <w:pPr>
        <w:pStyle w:val="805"/>
        <w:jc w:val="center"/>
        <w:widowControl/>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一、质疑供应商基本信息</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质疑供应商：</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地址：邮编：</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联系人：联系电话：</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授权代表：</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联系电话：</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地址：邮编：</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二、质疑项目基本情况</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质疑项目的名称：</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质疑项目的编号：包号：</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采购人名称：</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采购文件获取日期：</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三、质疑事项具体内容</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质疑事项1：</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事实依据：</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法律依据：</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质疑事项2</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四、与质疑事项相关的质疑请求</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请求：</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签字（签字或盖章）：    公章：</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日期：</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质疑函制作说明：</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1.供应商质疑时，应提交质疑函和必要的证明材料。</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3.质疑供应商若对项目的某一分包进行质疑，质疑函中应列明具体分包号。</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4.质疑函的质疑事项应具体、明确，并有必要的事实依据和法律依据。</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5.质疑函的质疑请求应与质疑事项相关。</w:t>
      </w:r>
      <w:r/>
    </w:p>
    <w:p>
      <w:pPr>
        <w:pStyle w:val="805"/>
        <w:ind w:firstLine="480"/>
        <w:jc w:val="both"/>
        <w:spacing w:beforeAutospacing="0" w:afterAutospacing="0" w:line="520" w:lineRule="exact"/>
        <w:widowControl/>
        <w:rPr>
          <w:rFonts w:ascii="宋体" w:hAnsi="宋体" w:eastAsia="宋体" w:cs="宋体"/>
          <w:color w:val="auto"/>
          <w:szCs w:val="24"/>
        </w:rPr>
      </w:pPr>
      <w:r>
        <w:rPr>
          <w:rFonts w:hint="eastAsia" w:ascii="宋体" w:hAnsi="宋体" w:eastAsia="宋体" w:cs="宋体"/>
          <w:color w:val="auto"/>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eastAsia="宋体" w:cs="宋体"/>
          <w:color w:val="auto"/>
          <w:sz w:val="24"/>
          <w:szCs w:val="24"/>
        </w:rPr>
      </w:pPr>
      <w:r>
        <w:rPr>
          <w:rFonts w:ascii="宋体" w:hAnsi="宋体" w:eastAsia="宋体" w:cs="宋体"/>
          <w:color w:val="auto"/>
          <w:sz w:val="24"/>
          <w:szCs w:val="24"/>
        </w:rPr>
      </w:r>
      <w:r/>
    </w:p>
    <w:sectPr>
      <w:footnotePr/>
      <w:endnotePr/>
      <w:type w:val="nextPage"/>
      <w:pgSz w:w="11906" w:h="16838" w:orient="portrait"/>
      <w:pgMar w:top="1440" w:right="1417" w:bottom="1440" w:left="1417"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FZFangSong-Z02">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 xml:space="preserve">60</w:t>
                          </w:r>
                          <w:r>
                            <w:rPr>
                              <w:rFonts w:hint="eastAsia"/>
                              <w:sz w:val="21"/>
                              <w:szCs w:val="21"/>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 xml:space="preserve">60</w:t>
                    </w:r>
                    <w:r>
                      <w:rPr>
                        <w:rFonts w:hint="eastAsia"/>
                        <w:sz w:val="21"/>
                        <w:szCs w:val="21"/>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tabs>
        <w:tab w:val="center" w:pos="4490" w:leader="none"/>
        <w:tab w:val="clear" w:pos="7143" w:leader="none"/>
      </w:tabs>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61</w:t>
                          </w:r>
                          <w:r>
                            <w:rPr>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61</w:t>
                    </w:r>
                    <w:r>
                      <w:rPr>
                        <w:sz w:val="21"/>
                        <w:szCs w:val="21"/>
                      </w:rP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clear" w:pos="7143" w:leader="none"/>
        <w:tab w:val="right" w:pos="8306" w:leader="none"/>
        <w:tab w:val="clear" w:pos="14287"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2" w:default="1">
    <w:name w:val="Normal"/>
    <w:next w:val="774"/>
    <w:uiPriority w:val="0"/>
    <w:qFormat/>
    <w:pPr>
      <w:jc w:val="both"/>
      <w:widowControl w:val="off"/>
    </w:pPr>
    <w:rPr>
      <w:rFonts w:ascii="Times New Roman" w:hAnsi="Times New Roman" w:eastAsia="楷体_GB2312" w:cs="Times New Roman"/>
      <w:sz w:val="26"/>
      <w:lang w:val="en-US" w:eastAsia="zh-CN" w:bidi="ar-SA"/>
    </w:rPr>
  </w:style>
  <w:style w:type="paragraph" w:styleId="763">
    <w:name w:val="Heading 1"/>
    <w:basedOn w:val="762"/>
    <w:next w:val="762"/>
    <w:link w:val="1003"/>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69"/>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70"/>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71"/>
    <w:uiPriority w:val="9"/>
    <w:unhideWhenUsed/>
    <w:qFormat/>
    <w:pPr>
      <w:keepLines/>
      <w:keepNext/>
      <w:spacing w:before="320" w:after="200"/>
      <w:outlineLvl w:val="3"/>
    </w:pPr>
    <w:rPr>
      <w:rFonts w:ascii="Arial" w:hAnsi="Arial" w:eastAsia="Arial" w:cs="Arial"/>
      <w:b/>
      <w:bCs/>
      <w:szCs w:val="26"/>
    </w:rPr>
  </w:style>
  <w:style w:type="paragraph" w:styleId="767">
    <w:name w:val="Heading 5"/>
    <w:basedOn w:val="762"/>
    <w:next w:val="762"/>
    <w:link w:val="87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73"/>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75"/>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76"/>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Body Text First Indent"/>
    <w:basedOn w:val="775"/>
    <w:next w:val="776"/>
    <w:uiPriority w:val="0"/>
    <w:qFormat/>
    <w:pPr>
      <w:ind w:firstLine="420"/>
    </w:pPr>
    <w:rPr>
      <w:rFonts w:ascii="Verdana" w:hAnsi="Verdana"/>
      <w:szCs w:val="28"/>
      <w:lang w:eastAsia="en-US"/>
    </w:rPr>
  </w:style>
  <w:style w:type="paragraph" w:styleId="775">
    <w:name w:val="Body Text"/>
    <w:basedOn w:val="762"/>
    <w:next w:val="762"/>
    <w:uiPriority w:val="0"/>
    <w:qFormat/>
    <w:rPr>
      <w:rFonts w:ascii="楷体_GB2312" w:hAnsi="Arial"/>
      <w:sz w:val="28"/>
    </w:rPr>
  </w:style>
  <w:style w:type="paragraph" w:styleId="776">
    <w:name w:val="annotation subject"/>
    <w:basedOn w:val="777"/>
    <w:next w:val="778"/>
    <w:uiPriority w:val="0"/>
    <w:qFormat/>
    <w:rPr>
      <w:b/>
      <w:bCs/>
    </w:rPr>
  </w:style>
  <w:style w:type="paragraph" w:styleId="777">
    <w:name w:val="annotation text"/>
    <w:basedOn w:val="762"/>
    <w:uiPriority w:val="0"/>
    <w:qFormat/>
    <w:pPr>
      <w:jc w:val="left"/>
    </w:pPr>
  </w:style>
  <w:style w:type="paragraph" w:styleId="778" w:customStyle="1">
    <w:name w:val="Plain Text1"/>
    <w:basedOn w:val="762"/>
    <w:next w:val="779"/>
    <w:uiPriority w:val="0"/>
    <w:qFormat/>
    <w:pPr>
      <w:ind w:firstLine="3584"/>
      <w:spacing w:line="360" w:lineRule="auto"/>
    </w:pPr>
  </w:style>
  <w:style w:type="paragraph" w:styleId="779">
    <w:name w:val="toc 7"/>
    <w:basedOn w:val="762"/>
    <w:next w:val="762"/>
    <w:uiPriority w:val="39"/>
    <w:unhideWhenUsed/>
    <w:qFormat/>
    <w:pPr>
      <w:ind w:left="1701"/>
      <w:spacing w:after="57"/>
    </w:pPr>
  </w:style>
  <w:style w:type="paragraph" w:styleId="780">
    <w:name w:val="table of authorities"/>
    <w:basedOn w:val="762"/>
    <w:next w:val="762"/>
    <w:uiPriority w:val="99"/>
    <w:qFormat/>
    <w:pPr>
      <w:jc w:val="center"/>
      <w:spacing w:after="200"/>
    </w:pPr>
    <w:rPr>
      <w:rFonts w:eastAsia="黑体"/>
      <w:b/>
      <w:sz w:val="18"/>
    </w:rPr>
  </w:style>
  <w:style w:type="paragraph" w:styleId="781">
    <w:name w:val="Note Heading"/>
    <w:basedOn w:val="762"/>
    <w:next w:val="762"/>
    <w:uiPriority w:val="0"/>
    <w:qFormat/>
    <w:rPr>
      <w:rFonts w:ascii="Verdana" w:hAnsi="Verdana"/>
    </w:rPr>
  </w:style>
  <w:style w:type="paragraph" w:styleId="782">
    <w:name w:val="Normal Indent"/>
    <w:basedOn w:val="762"/>
    <w:link w:val="1149"/>
    <w:uiPriority w:val="0"/>
    <w:unhideWhenUsed/>
    <w:qFormat/>
    <w:pPr>
      <w:ind w:firstLine="420"/>
      <w:jc w:val="left"/>
    </w:pPr>
    <w:rPr>
      <w:sz w:val="24"/>
    </w:rPr>
  </w:style>
  <w:style w:type="paragraph" w:styleId="783">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Document Map"/>
    <w:basedOn w:val="762"/>
    <w:uiPriority w:val="0"/>
    <w:unhideWhenUsed/>
    <w:qFormat/>
    <w:pPr>
      <w:shd w:val="clear" w:color="auto" w:fill="000080"/>
    </w:pPr>
    <w:rPr>
      <w:rFonts w:eastAsia="宋体"/>
      <w:sz w:val="21"/>
      <w:szCs w:val="24"/>
    </w:rPr>
  </w:style>
  <w:style w:type="paragraph" w:styleId="785">
    <w:name w:val="Body Text Indent"/>
    <w:basedOn w:val="762"/>
    <w:next w:val="786"/>
    <w:link w:val="1190"/>
    <w:uiPriority w:val="0"/>
    <w:qFormat/>
    <w:pPr>
      <w:ind w:firstLine="645"/>
    </w:pPr>
    <w:rPr>
      <w:rFonts w:ascii="楷体_GB2312" w:hAnsiTheme="minorHAnsi" w:cstheme="minorBidi"/>
      <w:sz w:val="32"/>
      <w:szCs w:val="22"/>
    </w:rPr>
  </w:style>
  <w:style w:type="paragraph" w:styleId="786">
    <w:name w:val="Body Text First Indent 2"/>
    <w:basedOn w:val="785"/>
    <w:next w:val="782"/>
    <w:uiPriority w:val="99"/>
    <w:unhideWhenUsed/>
    <w:qFormat/>
    <w:pPr>
      <w:ind w:firstLine="200"/>
    </w:pPr>
  </w:style>
  <w:style w:type="paragraph" w:styleId="787">
    <w:name w:val="index 4"/>
    <w:basedOn w:val="762"/>
    <w:next w:val="762"/>
    <w:uiPriority w:val="0"/>
    <w:semiHidden/>
    <w:qFormat/>
    <w:pPr>
      <w:ind w:left="1260"/>
    </w:pPr>
  </w:style>
  <w:style w:type="paragraph" w:styleId="788">
    <w:name w:val="toc 5"/>
    <w:basedOn w:val="762"/>
    <w:next w:val="762"/>
    <w:uiPriority w:val="39"/>
    <w:unhideWhenUsed/>
    <w:qFormat/>
    <w:pPr>
      <w:ind w:left="1134"/>
      <w:spacing w:after="57"/>
    </w:pPr>
  </w:style>
  <w:style w:type="paragraph" w:styleId="789">
    <w:name w:val="toc 3"/>
    <w:basedOn w:val="762"/>
    <w:next w:val="762"/>
    <w:uiPriority w:val="39"/>
    <w:unhideWhenUsed/>
    <w:qFormat/>
    <w:pPr>
      <w:ind w:left="567"/>
      <w:spacing w:after="57"/>
    </w:pPr>
  </w:style>
  <w:style w:type="paragraph" w:styleId="790">
    <w:name w:val="Plain Text"/>
    <w:basedOn w:val="762"/>
    <w:next w:val="782"/>
    <w:link w:val="1143"/>
    <w:uiPriority w:val="0"/>
    <w:unhideWhenUsed/>
    <w:qFormat/>
    <w:rPr>
      <w:rFonts w:ascii="宋体" w:hAnsi="Courier New"/>
    </w:rPr>
  </w:style>
  <w:style w:type="paragraph" w:styleId="791">
    <w:name w:val="toc 8"/>
    <w:basedOn w:val="762"/>
    <w:next w:val="762"/>
    <w:uiPriority w:val="39"/>
    <w:unhideWhenUsed/>
    <w:qFormat/>
    <w:pPr>
      <w:ind w:left="1984"/>
      <w:spacing w:after="57"/>
    </w:pPr>
  </w:style>
  <w:style w:type="paragraph" w:styleId="792">
    <w:name w:val="endnote text"/>
    <w:basedOn w:val="762"/>
    <w:link w:val="993"/>
    <w:uiPriority w:val="99"/>
    <w:semiHidden/>
    <w:unhideWhenUsed/>
    <w:qFormat/>
    <w:rPr>
      <w:sz w:val="20"/>
    </w:rPr>
  </w:style>
  <w:style w:type="paragraph" w:styleId="793">
    <w:name w:val="Footer"/>
    <w:basedOn w:val="762"/>
    <w:link w:val="885"/>
    <w:uiPriority w:val="99"/>
    <w:unhideWhenUsed/>
    <w:qFormat/>
    <w:pPr>
      <w:tabs>
        <w:tab w:val="center" w:pos="7143" w:leader="none"/>
        <w:tab w:val="right" w:pos="14287" w:leader="none"/>
      </w:tabs>
    </w:pPr>
  </w:style>
  <w:style w:type="paragraph" w:styleId="794">
    <w:name w:val="envelope return"/>
    <w:basedOn w:val="762"/>
    <w:uiPriority w:val="0"/>
    <w:unhideWhenUsed/>
    <w:qFormat/>
    <w:rPr>
      <w:rFonts w:ascii="Arial" w:hAnsi="Arial"/>
    </w:rPr>
  </w:style>
  <w:style w:type="paragraph" w:styleId="795">
    <w:name w:val="Header"/>
    <w:basedOn w:val="762"/>
    <w:link w:val="883"/>
    <w:uiPriority w:val="99"/>
    <w:unhideWhenUsed/>
    <w:qFormat/>
    <w:pPr>
      <w:tabs>
        <w:tab w:val="center" w:pos="7143" w:leader="none"/>
        <w:tab w:val="right" w:pos="14287" w:leader="none"/>
      </w:tabs>
    </w:pPr>
  </w:style>
  <w:style w:type="paragraph" w:styleId="796">
    <w:name w:val="toc 1"/>
    <w:basedOn w:val="762"/>
    <w:next w:val="762"/>
    <w:uiPriority w:val="39"/>
    <w:unhideWhenUsed/>
    <w:qFormat/>
    <w:pPr>
      <w:spacing w:after="57"/>
    </w:pPr>
  </w:style>
  <w:style w:type="paragraph" w:styleId="797">
    <w:name w:val="toc 4"/>
    <w:basedOn w:val="762"/>
    <w:next w:val="762"/>
    <w:uiPriority w:val="39"/>
    <w:unhideWhenUsed/>
    <w:qFormat/>
    <w:pPr>
      <w:ind w:left="850"/>
      <w:spacing w:after="57"/>
    </w:pPr>
  </w:style>
  <w:style w:type="paragraph" w:styleId="798">
    <w:name w:val="Subtitle"/>
    <w:basedOn w:val="762"/>
    <w:next w:val="762"/>
    <w:link w:val="878"/>
    <w:uiPriority w:val="11"/>
    <w:qFormat/>
    <w:pPr>
      <w:spacing w:before="200" w:after="200"/>
    </w:pPr>
    <w:rPr>
      <w:sz w:val="24"/>
      <w:szCs w:val="24"/>
    </w:rPr>
  </w:style>
  <w:style w:type="paragraph" w:styleId="799">
    <w:name w:val="footnote text"/>
    <w:basedOn w:val="762"/>
    <w:link w:val="992"/>
    <w:uiPriority w:val="99"/>
    <w:semiHidden/>
    <w:unhideWhenUsed/>
    <w:qFormat/>
    <w:pPr>
      <w:spacing w:after="40"/>
    </w:pPr>
    <w:rPr>
      <w:sz w:val="18"/>
    </w:rPr>
  </w:style>
  <w:style w:type="paragraph" w:styleId="800">
    <w:name w:val="toc 6"/>
    <w:basedOn w:val="762"/>
    <w:next w:val="762"/>
    <w:uiPriority w:val="39"/>
    <w:unhideWhenUsed/>
    <w:qFormat/>
    <w:pPr>
      <w:ind w:left="1417"/>
      <w:spacing w:after="57"/>
    </w:pPr>
  </w:style>
  <w:style w:type="paragraph" w:styleId="801">
    <w:name w:val="table of figures"/>
    <w:basedOn w:val="762"/>
    <w:next w:val="762"/>
    <w:uiPriority w:val="99"/>
    <w:unhideWhenUsed/>
    <w:qFormat/>
  </w:style>
  <w:style w:type="paragraph" w:styleId="802">
    <w:name w:val="toc 2"/>
    <w:basedOn w:val="762"/>
    <w:next w:val="762"/>
    <w:uiPriority w:val="39"/>
    <w:unhideWhenUsed/>
    <w:qFormat/>
    <w:pPr>
      <w:ind w:left="283"/>
      <w:spacing w:after="57"/>
    </w:pPr>
  </w:style>
  <w:style w:type="paragraph" w:styleId="803">
    <w:name w:val="toc 9"/>
    <w:basedOn w:val="762"/>
    <w:next w:val="762"/>
    <w:uiPriority w:val="39"/>
    <w:unhideWhenUsed/>
    <w:qFormat/>
    <w:pPr>
      <w:ind w:left="2268"/>
      <w:spacing w:after="57"/>
    </w:pPr>
  </w:style>
  <w:style w:type="paragraph" w:styleId="804">
    <w:name w:val="Body Text 2"/>
    <w:basedOn w:val="762"/>
    <w:uiPriority w:val="0"/>
    <w:qFormat/>
    <w:pPr>
      <w:jc w:val="center"/>
    </w:pPr>
    <w:rPr>
      <w:rFonts w:ascii="仿宋_GB2312" w:eastAsia="仿宋_GB2312"/>
      <w:sz w:val="44"/>
    </w:rPr>
  </w:style>
  <w:style w:type="paragraph" w:styleId="805">
    <w:name w:val="Normal (Web)"/>
    <w:basedOn w:val="762"/>
    <w:uiPriority w:val="0"/>
    <w:unhideWhenUsed/>
    <w:qFormat/>
    <w:pPr>
      <w:jc w:val="left"/>
      <w:spacing w:beforeAutospacing="1" w:afterAutospacing="1"/>
    </w:pPr>
    <w:rPr>
      <w:sz w:val="24"/>
    </w:rPr>
  </w:style>
  <w:style w:type="paragraph" w:styleId="806">
    <w:name w:val="Title"/>
    <w:basedOn w:val="762"/>
    <w:next w:val="762"/>
    <w:link w:val="877"/>
    <w:uiPriority w:val="10"/>
    <w:qFormat/>
    <w:pPr>
      <w:contextualSpacing/>
      <w:spacing w:before="300" w:after="200"/>
    </w:pPr>
    <w:rPr>
      <w:sz w:val="48"/>
      <w:szCs w:val="48"/>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72"/>
    <w:uiPriority w:val="0"/>
    <w:qFormat/>
    <w:rPr>
      <w:b/>
      <w:bCs/>
    </w:rPr>
  </w:style>
  <w:style w:type="character" w:styleId="809">
    <w:name w:val="endnote reference"/>
    <w:uiPriority w:val="99"/>
    <w:semiHidden/>
    <w:unhideWhenUsed/>
    <w:qFormat/>
    <w:rPr>
      <w:vertAlign w:val="superscript"/>
    </w:rPr>
  </w:style>
  <w:style w:type="character" w:styleId="810">
    <w:name w:val="page number"/>
    <w:uiPriority w:val="0"/>
    <w:qFormat/>
  </w:style>
  <w:style w:type="character" w:styleId="811">
    <w:name w:val="FollowedHyperlink"/>
    <w:basedOn w:val="772"/>
    <w:uiPriority w:val="99"/>
    <w:semiHidden/>
    <w:unhideWhenUsed/>
    <w:qFormat/>
    <w:rPr>
      <w:color w:val="5c5c5c"/>
      <w:u w:val="none"/>
    </w:rPr>
  </w:style>
  <w:style w:type="character" w:styleId="812">
    <w:name w:val="Emphasis"/>
    <w:basedOn w:val="772"/>
    <w:uiPriority w:val="20"/>
    <w:qFormat/>
    <w:rPr>
      <w:b/>
      <w:bCs/>
    </w:rPr>
  </w:style>
  <w:style w:type="character" w:styleId="813">
    <w:name w:val="HTML Definition"/>
    <w:basedOn w:val="772"/>
    <w:uiPriority w:val="99"/>
    <w:semiHidden/>
    <w:unhideWhenUsed/>
    <w:qFormat/>
  </w:style>
  <w:style w:type="character" w:styleId="814">
    <w:name w:val="HTML Typewriter"/>
    <w:basedOn w:val="772"/>
    <w:uiPriority w:val="99"/>
    <w:semiHidden/>
    <w:unhideWhenUsed/>
    <w:qFormat/>
    <w:rPr>
      <w:rFonts w:ascii="monospace" w:hAnsi="monospace" w:eastAsia="monospace" w:cs="monospace"/>
      <w:sz w:val="20"/>
    </w:rPr>
  </w:style>
  <w:style w:type="character" w:styleId="815">
    <w:name w:val="HTML Acronym"/>
    <w:basedOn w:val="772"/>
    <w:uiPriority w:val="99"/>
    <w:semiHidden/>
    <w:unhideWhenUsed/>
    <w:qFormat/>
  </w:style>
  <w:style w:type="character" w:styleId="816">
    <w:name w:val="HTML Variable"/>
    <w:basedOn w:val="772"/>
    <w:uiPriority w:val="99"/>
    <w:semiHidden/>
    <w:unhideWhenUsed/>
    <w:qFormat/>
  </w:style>
  <w:style w:type="character" w:styleId="817">
    <w:name w:val="Hyperlink"/>
    <w:uiPriority w:val="99"/>
    <w:unhideWhenUsed/>
    <w:qFormat/>
    <w:rPr>
      <w:color w:val="0000ff" w:themeColor="hyperlink"/>
      <w:u w:val="single"/>
      <w14:textFill>
        <w14:solidFill>
          <w14:schemeClr w14:val="hlink"/>
        </w14:solidFill>
      </w14:textFill>
    </w:rPr>
  </w:style>
  <w:style w:type="character" w:styleId="818">
    <w:name w:val="HTML Code"/>
    <w:basedOn w:val="772"/>
    <w:uiPriority w:val="99"/>
    <w:semiHidden/>
    <w:unhideWhenUsed/>
    <w:qFormat/>
    <w:rPr>
      <w:rFonts w:hint="default" w:ascii="monospace" w:hAnsi="monospace" w:eastAsia="monospace" w:cs="monospace"/>
      <w:vanish/>
      <w:sz w:val="20"/>
    </w:rPr>
  </w:style>
  <w:style w:type="character" w:styleId="819">
    <w:name w:val="HTML Cite"/>
    <w:basedOn w:val="772"/>
    <w:uiPriority w:val="99"/>
    <w:semiHidden/>
    <w:unhideWhenUsed/>
    <w:qFormat/>
  </w:style>
  <w:style w:type="character" w:styleId="820">
    <w:name w:val="footnote reference"/>
    <w:uiPriority w:val="99"/>
    <w:unhideWhenUsed/>
    <w:qFormat/>
    <w:rPr>
      <w:vertAlign w:val="superscript"/>
    </w:rPr>
  </w:style>
  <w:style w:type="character" w:styleId="821">
    <w:name w:val="HTML Keyboard"/>
    <w:basedOn w:val="772"/>
    <w:uiPriority w:val="99"/>
    <w:semiHidden/>
    <w:unhideWhenUsed/>
    <w:qFormat/>
    <w:rPr>
      <w:rFonts w:hint="default" w:ascii="monospace" w:hAnsi="monospace" w:eastAsia="monospace" w:cs="monospace"/>
      <w:sz w:val="20"/>
    </w:rPr>
  </w:style>
  <w:style w:type="character" w:styleId="822">
    <w:name w:val="HTML Sample"/>
    <w:basedOn w:val="772"/>
    <w:uiPriority w:val="99"/>
    <w:semiHidden/>
    <w:unhideWhenUsed/>
    <w:qFormat/>
    <w:rPr>
      <w:rFonts w:hint="default" w:ascii="monospace" w:hAnsi="monospace" w:eastAsia="monospace" w:cs="monospace"/>
    </w:rPr>
  </w:style>
  <w:style w:type="paragraph" w:styleId="823" w:customStyle="1">
    <w:name w:val="正文文本1"/>
    <w:basedOn w:val="762"/>
    <w:link w:val="1016"/>
    <w:uiPriority w:val="0"/>
    <w:unhideWhenUsed/>
    <w:qFormat/>
    <w:rPr>
      <w:rFonts w:ascii="楷体_GB2312"/>
      <w:b/>
      <w:bCs/>
      <w:sz w:val="28"/>
    </w:rPr>
  </w:style>
  <w:style w:type="paragraph" w:styleId="824" w:customStyle="1">
    <w:name w:val="正文文本缩进1"/>
    <w:basedOn w:val="762"/>
    <w:next w:val="825"/>
    <w:link w:val="1017"/>
    <w:uiPriority w:val="0"/>
    <w:unhideWhenUsed/>
    <w:qFormat/>
    <w:pPr>
      <w:ind w:firstLine="570"/>
    </w:pPr>
    <w:rPr>
      <w:rFonts w:ascii="宋体" w:eastAsia="宋体"/>
      <w:sz w:val="28"/>
    </w:rPr>
  </w:style>
  <w:style w:type="paragraph" w:styleId="825" w:customStyle="1">
    <w:name w:val="寄信人地址1"/>
    <w:basedOn w:val="762"/>
    <w:uiPriority w:val="99"/>
    <w:unhideWhenUsed/>
    <w:qFormat/>
    <w:rPr>
      <w:rFonts w:ascii="Arial" w:hAnsi="Arial"/>
    </w:rPr>
  </w:style>
  <w:style w:type="paragraph" w:styleId="826" w:customStyle="1">
    <w:name w:val="列出段落1"/>
    <w:basedOn w:val="762"/>
    <w:uiPriority w:val="0"/>
    <w:qFormat/>
    <w:pPr>
      <w:ind w:firstLine="420"/>
    </w:pPr>
    <w:rPr>
      <w:rFonts w:ascii="Calibri" w:hAnsi="Calibri" w:eastAsia="宋体"/>
      <w:sz w:val="21"/>
      <w:szCs w:val="22"/>
    </w:rPr>
  </w:style>
  <w:style w:type="paragraph" w:styleId="82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28" w:customStyle="1">
    <w:name w:val="正文文本11"/>
    <w:basedOn w:val="762"/>
    <w:next w:val="762"/>
    <w:uiPriority w:val="0"/>
    <w:qFormat/>
    <w:rPr>
      <w:rFonts w:ascii="楷体_GB2312" w:hAnsi="Arial"/>
      <w:sz w:val="28"/>
    </w:rPr>
  </w:style>
  <w:style w:type="table" w:styleId="829" w:customStyle="1">
    <w:name w:val="无格式表格 1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basedOn w:val="77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basedOn w:val="77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basedOn w:val="77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网格表 1 浅色1"/>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网格表 2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网格表 3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网格表 6 彩色1"/>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网格表 7 彩色1"/>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清单表 1 浅色1"/>
    <w:basedOn w:val="77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清单表 21"/>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清单表 5 深色1"/>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清单表 6 彩色1"/>
    <w:basedOn w:val="77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清单表 7 彩色1"/>
    <w:basedOn w:val="77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标题1"/>
    <w:uiPriority w:val="39"/>
    <w:unhideWhenUsed/>
    <w:qFormat/>
    <w:rPr>
      <w:rFonts w:ascii="Times New Roman" w:hAnsi="Times New Roman" w:eastAsia="宋体" w:cs="Times New Roman"/>
      <w:lang w:val="en-US" w:eastAsia="zh-CN" w:bidi="ar-SA"/>
    </w:rPr>
  </w:style>
  <w:style w:type="paragraph" w:styleId="849" w:customStyle="1">
    <w:name w:val="TOC 标题112"/>
    <w:uiPriority w:val="39"/>
    <w:unhideWhenUsed/>
    <w:qFormat/>
    <w:rPr>
      <w:rFonts w:ascii="Times New Roman" w:hAnsi="Times New Roman" w:eastAsia="宋体" w:cs="Times New Roman"/>
      <w:lang w:val="en-US" w:eastAsia="zh-CN" w:bidi="ar-SA"/>
    </w:rPr>
  </w:style>
  <w:style w:type="paragraph" w:styleId="850">
    <w:name w:val="List Paragraph"/>
    <w:basedOn w:val="762"/>
    <w:uiPriority w:val="34"/>
    <w:qFormat/>
    <w:pPr>
      <w:ind w:firstLine="420"/>
    </w:pPr>
    <w:rPr>
      <w:rFonts w:ascii="Calibri" w:hAnsi="Calibri" w:eastAsia="宋体"/>
      <w:sz w:val="21"/>
      <w:szCs w:val="22"/>
    </w:rPr>
  </w:style>
  <w:style w:type="character" w:styleId="851" w:customStyle="1">
    <w:name w:val="Heading 2 Char"/>
    <w:basedOn w:val="772"/>
    <w:uiPriority w:val="9"/>
    <w:qFormat/>
    <w:rPr>
      <w:rFonts w:ascii="Arial" w:hAnsi="Arial" w:eastAsia="Arial" w:cs="Arial"/>
      <w:sz w:val="34"/>
    </w:rPr>
  </w:style>
  <w:style w:type="character" w:styleId="852" w:customStyle="1">
    <w:name w:val="Heading 3 Char"/>
    <w:basedOn w:val="772"/>
    <w:uiPriority w:val="9"/>
    <w:qFormat/>
    <w:rPr>
      <w:rFonts w:ascii="Arial" w:hAnsi="Arial" w:eastAsia="Arial" w:cs="Arial"/>
      <w:sz w:val="30"/>
      <w:szCs w:val="30"/>
    </w:rPr>
  </w:style>
  <w:style w:type="character" w:styleId="853" w:customStyle="1">
    <w:name w:val="Heading 4 Char"/>
    <w:basedOn w:val="772"/>
    <w:uiPriority w:val="9"/>
    <w:qFormat/>
    <w:rPr>
      <w:rFonts w:ascii="Arial" w:hAnsi="Arial" w:eastAsia="Arial" w:cs="Arial"/>
      <w:b/>
      <w:bCs/>
      <w:sz w:val="26"/>
      <w:szCs w:val="26"/>
    </w:rPr>
  </w:style>
  <w:style w:type="character" w:styleId="854" w:customStyle="1">
    <w:name w:val="Heading 5 Char"/>
    <w:basedOn w:val="772"/>
    <w:uiPriority w:val="9"/>
    <w:qFormat/>
    <w:rPr>
      <w:rFonts w:ascii="Arial" w:hAnsi="Arial" w:eastAsia="Arial" w:cs="Arial"/>
      <w:b/>
      <w:bCs/>
      <w:sz w:val="24"/>
      <w:szCs w:val="24"/>
    </w:rPr>
  </w:style>
  <w:style w:type="character" w:styleId="855" w:customStyle="1">
    <w:name w:val="Heading 6 Char"/>
    <w:basedOn w:val="772"/>
    <w:uiPriority w:val="9"/>
    <w:qFormat/>
    <w:rPr>
      <w:rFonts w:ascii="Arial" w:hAnsi="Arial" w:eastAsia="Arial" w:cs="Arial"/>
      <w:b/>
      <w:bCs/>
      <w:sz w:val="22"/>
      <w:szCs w:val="22"/>
    </w:rPr>
  </w:style>
  <w:style w:type="character" w:styleId="856" w:customStyle="1">
    <w:name w:val="Heading 7 Char"/>
    <w:basedOn w:val="772"/>
    <w:uiPriority w:val="9"/>
    <w:qFormat/>
    <w:rPr>
      <w:rFonts w:ascii="Arial" w:hAnsi="Arial" w:eastAsia="Arial" w:cs="Arial"/>
      <w:b/>
      <w:bCs/>
      <w:i/>
      <w:iCs/>
      <w:sz w:val="22"/>
      <w:szCs w:val="22"/>
    </w:rPr>
  </w:style>
  <w:style w:type="character" w:styleId="857" w:customStyle="1">
    <w:name w:val="Heading 8 Char"/>
    <w:basedOn w:val="772"/>
    <w:uiPriority w:val="9"/>
    <w:qFormat/>
    <w:rPr>
      <w:rFonts w:ascii="Arial" w:hAnsi="Arial" w:eastAsia="Arial" w:cs="Arial"/>
      <w:i/>
      <w:iCs/>
      <w:sz w:val="22"/>
      <w:szCs w:val="22"/>
    </w:rPr>
  </w:style>
  <w:style w:type="character" w:styleId="858" w:customStyle="1">
    <w:name w:val="Heading 9 Char"/>
    <w:basedOn w:val="772"/>
    <w:uiPriority w:val="9"/>
    <w:qFormat/>
    <w:rPr>
      <w:rFonts w:ascii="Arial" w:hAnsi="Arial" w:eastAsia="Arial" w:cs="Arial"/>
      <w:i/>
      <w:iCs/>
      <w:sz w:val="21"/>
      <w:szCs w:val="21"/>
    </w:rPr>
  </w:style>
  <w:style w:type="character" w:styleId="859" w:customStyle="1">
    <w:name w:val="Title Char"/>
    <w:basedOn w:val="772"/>
    <w:uiPriority w:val="10"/>
    <w:qFormat/>
    <w:rPr>
      <w:sz w:val="48"/>
      <w:szCs w:val="48"/>
    </w:rPr>
  </w:style>
  <w:style w:type="character" w:styleId="860" w:customStyle="1">
    <w:name w:val="Subtitle Char"/>
    <w:basedOn w:val="772"/>
    <w:uiPriority w:val="11"/>
    <w:qFormat/>
    <w:rPr>
      <w:sz w:val="24"/>
      <w:szCs w:val="24"/>
    </w:rPr>
  </w:style>
  <w:style w:type="character" w:styleId="861" w:customStyle="1">
    <w:name w:val="Quote Char"/>
    <w:uiPriority w:val="29"/>
    <w:qFormat/>
    <w:rPr>
      <w:i/>
    </w:rPr>
  </w:style>
  <w:style w:type="character" w:styleId="862" w:customStyle="1">
    <w:name w:val="Intense Quote Char"/>
    <w:uiPriority w:val="30"/>
    <w:qFormat/>
    <w:rPr>
      <w:i/>
    </w:rPr>
  </w:style>
  <w:style w:type="character" w:styleId="863" w:customStyle="1">
    <w:name w:val="Header Char"/>
    <w:basedOn w:val="772"/>
    <w:uiPriority w:val="99"/>
    <w:qFormat/>
  </w:style>
  <w:style w:type="character" w:styleId="864" w:customStyle="1">
    <w:name w:val="Caption Char"/>
    <w:uiPriority w:val="99"/>
    <w:qFormat/>
  </w:style>
  <w:style w:type="character" w:styleId="865" w:customStyle="1">
    <w:name w:val="Footnote Text Char"/>
    <w:uiPriority w:val="99"/>
    <w:qFormat/>
    <w:rPr>
      <w:sz w:val="18"/>
    </w:rPr>
  </w:style>
  <w:style w:type="character" w:styleId="866" w:customStyle="1">
    <w:name w:val="Endnote Text Char"/>
    <w:uiPriority w:val="99"/>
    <w:qFormat/>
    <w:rPr>
      <w:sz w:val="20"/>
    </w:rPr>
  </w:style>
  <w:style w:type="paragraph" w:styleId="867" w:customStyle="1">
    <w:name w:val="TOC 标题111"/>
    <w:uiPriority w:val="39"/>
    <w:unhideWhenUsed/>
    <w:qFormat/>
    <w:rPr>
      <w:rFonts w:ascii="Calibri" w:hAnsi="Calibri" w:eastAsia="宋体" w:cs="Calibri"/>
      <w:lang w:val="en-US" w:eastAsia="zh-CN" w:bidi="ar-SA"/>
    </w:rPr>
  </w:style>
  <w:style w:type="character" w:styleId="868" w:customStyle="1">
    <w:name w:val="Heading 1 Char"/>
    <w:uiPriority w:val="9"/>
    <w:qFormat/>
    <w:rPr>
      <w:rFonts w:ascii="Arial" w:hAnsi="Arial" w:eastAsia="Arial" w:cs="Arial"/>
      <w:sz w:val="40"/>
      <w:szCs w:val="40"/>
    </w:rPr>
  </w:style>
  <w:style w:type="character" w:styleId="869" w:customStyle="1">
    <w:name w:val="标题 2 字符"/>
    <w:link w:val="764"/>
    <w:uiPriority w:val="9"/>
    <w:qFormat/>
    <w:rPr>
      <w:rFonts w:ascii="Arial" w:hAnsi="Arial" w:eastAsia="Arial" w:cs="Arial"/>
      <w:sz w:val="34"/>
    </w:rPr>
  </w:style>
  <w:style w:type="character" w:styleId="870" w:customStyle="1">
    <w:name w:val="标题 3 字符"/>
    <w:link w:val="765"/>
    <w:uiPriority w:val="9"/>
    <w:qFormat/>
    <w:rPr>
      <w:rFonts w:ascii="Arial" w:hAnsi="Arial" w:eastAsia="Arial" w:cs="Arial"/>
      <w:sz w:val="30"/>
      <w:szCs w:val="30"/>
    </w:rPr>
  </w:style>
  <w:style w:type="character" w:styleId="871" w:customStyle="1">
    <w:name w:val="标题 4 字符"/>
    <w:link w:val="766"/>
    <w:uiPriority w:val="9"/>
    <w:qFormat/>
    <w:rPr>
      <w:rFonts w:ascii="Arial" w:hAnsi="Arial" w:eastAsia="Arial" w:cs="Arial"/>
      <w:b/>
      <w:bCs/>
      <w:sz w:val="26"/>
      <w:szCs w:val="26"/>
    </w:rPr>
  </w:style>
  <w:style w:type="character" w:styleId="872" w:customStyle="1">
    <w:name w:val="标题 5 字符"/>
    <w:link w:val="767"/>
    <w:uiPriority w:val="9"/>
    <w:qFormat/>
    <w:rPr>
      <w:rFonts w:ascii="Arial" w:hAnsi="Arial" w:eastAsia="Arial" w:cs="Arial"/>
      <w:b/>
      <w:bCs/>
      <w:sz w:val="24"/>
      <w:szCs w:val="24"/>
    </w:rPr>
  </w:style>
  <w:style w:type="character" w:styleId="873" w:customStyle="1">
    <w:name w:val="标题 6 字符"/>
    <w:link w:val="768"/>
    <w:uiPriority w:val="9"/>
    <w:qFormat/>
    <w:rPr>
      <w:rFonts w:ascii="Arial" w:hAnsi="Arial" w:eastAsia="Arial" w:cs="Arial"/>
      <w:b/>
      <w:bCs/>
      <w:sz w:val="22"/>
      <w:szCs w:val="22"/>
    </w:rPr>
  </w:style>
  <w:style w:type="character" w:styleId="874" w:customStyle="1">
    <w:name w:val="标题 7 字符"/>
    <w:link w:val="769"/>
    <w:uiPriority w:val="9"/>
    <w:qFormat/>
    <w:rPr>
      <w:rFonts w:ascii="Arial" w:hAnsi="Arial" w:eastAsia="Arial" w:cs="Arial"/>
      <w:b/>
      <w:bCs/>
      <w:i/>
      <w:iCs/>
      <w:sz w:val="22"/>
      <w:szCs w:val="22"/>
    </w:rPr>
  </w:style>
  <w:style w:type="character" w:styleId="875" w:customStyle="1">
    <w:name w:val="标题 8 字符"/>
    <w:link w:val="770"/>
    <w:uiPriority w:val="9"/>
    <w:qFormat/>
    <w:rPr>
      <w:rFonts w:ascii="Arial" w:hAnsi="Arial" w:eastAsia="Arial" w:cs="Arial"/>
      <w:i/>
      <w:iCs/>
      <w:sz w:val="22"/>
      <w:szCs w:val="22"/>
    </w:rPr>
  </w:style>
  <w:style w:type="character" w:styleId="876" w:customStyle="1">
    <w:name w:val="标题 9 字符"/>
    <w:link w:val="771"/>
    <w:uiPriority w:val="9"/>
    <w:qFormat/>
    <w:rPr>
      <w:rFonts w:ascii="Arial" w:hAnsi="Arial" w:eastAsia="Arial" w:cs="Arial"/>
      <w:i/>
      <w:iCs/>
      <w:sz w:val="21"/>
      <w:szCs w:val="21"/>
    </w:rPr>
  </w:style>
  <w:style w:type="character" w:styleId="877" w:customStyle="1">
    <w:name w:val="标题 字符"/>
    <w:link w:val="806"/>
    <w:uiPriority w:val="10"/>
    <w:qFormat/>
    <w:rPr>
      <w:sz w:val="48"/>
      <w:szCs w:val="48"/>
    </w:rPr>
  </w:style>
  <w:style w:type="character" w:styleId="878" w:customStyle="1">
    <w:name w:val="副标题 字符"/>
    <w:link w:val="798"/>
    <w:uiPriority w:val="11"/>
    <w:qFormat/>
    <w:rPr>
      <w:sz w:val="24"/>
      <w:szCs w:val="24"/>
    </w:rPr>
  </w:style>
  <w:style w:type="paragraph" w:styleId="879">
    <w:name w:val="Quote"/>
    <w:basedOn w:val="762"/>
    <w:next w:val="762"/>
    <w:link w:val="880"/>
    <w:uiPriority w:val="29"/>
    <w:qFormat/>
    <w:pPr>
      <w:ind w:left="720" w:right="720"/>
    </w:pPr>
    <w:rPr>
      <w:i/>
    </w:rPr>
  </w:style>
  <w:style w:type="character" w:styleId="880" w:customStyle="1">
    <w:name w:val="引用 字符"/>
    <w:link w:val="879"/>
    <w:uiPriority w:val="29"/>
    <w:qFormat/>
    <w:rPr>
      <w:i/>
    </w:rPr>
  </w:style>
  <w:style w:type="paragraph" w:styleId="881">
    <w:name w:val="Intense Quote"/>
    <w:basedOn w:val="762"/>
    <w:next w:val="762"/>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字符"/>
    <w:link w:val="881"/>
    <w:uiPriority w:val="30"/>
    <w:qFormat/>
    <w:rPr>
      <w:i/>
    </w:rPr>
  </w:style>
  <w:style w:type="character" w:styleId="883" w:customStyle="1">
    <w:name w:val="页眉 字符"/>
    <w:link w:val="795"/>
    <w:uiPriority w:val="99"/>
    <w:qFormat/>
  </w:style>
  <w:style w:type="character" w:styleId="884" w:customStyle="1">
    <w:name w:val="Footer Char"/>
    <w:uiPriority w:val="99"/>
    <w:qFormat/>
  </w:style>
  <w:style w:type="character" w:styleId="885" w:customStyle="1">
    <w:name w:val="页脚 字符"/>
    <w:link w:val="793"/>
    <w:uiPriority w:val="99"/>
    <w:qFormat/>
  </w:style>
  <w:style w:type="table" w:styleId="8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脚注文本 字符"/>
    <w:link w:val="799"/>
    <w:uiPriority w:val="99"/>
    <w:qFormat/>
    <w:rPr>
      <w:sz w:val="18"/>
    </w:rPr>
  </w:style>
  <w:style w:type="character" w:styleId="993" w:customStyle="1">
    <w:name w:val="尾注文本 字符"/>
    <w:link w:val="792"/>
    <w:uiPriority w:val="99"/>
    <w:qFormat/>
    <w:rPr>
      <w:sz w:val="20"/>
    </w:rPr>
  </w:style>
  <w:style w:type="paragraph" w:styleId="994" w:customStyle="1">
    <w:name w:val="TOC 标题11"/>
    <w:uiPriority w:val="39"/>
    <w:unhideWhenUsed/>
    <w:qFormat/>
    <w:rPr>
      <w:rFonts w:ascii="Times New Roman" w:hAnsi="Times New Roman" w:eastAsia="宋体" w:cs="Times New Roman"/>
      <w:lang w:val="en-US" w:eastAsia="zh-CN" w:bidi="ar-SA"/>
    </w:rPr>
  </w:style>
  <w:style w:type="paragraph" w:styleId="995" w:customStyle="1">
    <w:name w:val="标题 11"/>
    <w:basedOn w:val="762"/>
    <w:next w:val="762"/>
    <w:uiPriority w:val="0"/>
    <w:qFormat/>
    <w:pPr>
      <w:keepLines/>
      <w:keepNext/>
      <w:spacing w:before="340" w:after="330" w:line="578" w:lineRule="auto"/>
      <w:outlineLvl w:val="0"/>
    </w:pPr>
    <w:rPr>
      <w:b/>
      <w:sz w:val="44"/>
    </w:rPr>
  </w:style>
  <w:style w:type="paragraph" w:styleId="996" w:customStyle="1">
    <w:name w:val="标题 21"/>
    <w:basedOn w:val="762"/>
    <w:next w:val="762"/>
    <w:link w:val="1004"/>
    <w:uiPriority w:val="0"/>
    <w:qFormat/>
    <w:pPr>
      <w:keepLines/>
      <w:keepNext/>
      <w:spacing w:before="260" w:after="260" w:line="416" w:lineRule="auto"/>
      <w:outlineLvl w:val="1"/>
    </w:pPr>
    <w:rPr>
      <w:rFonts w:ascii="Cambria" w:hAnsi="Cambria" w:eastAsia="宋体"/>
      <w:b/>
      <w:bCs/>
      <w:sz w:val="32"/>
      <w:szCs w:val="32"/>
    </w:rPr>
  </w:style>
  <w:style w:type="paragraph" w:styleId="997" w:customStyle="1">
    <w:name w:val="标题 31"/>
    <w:basedOn w:val="762"/>
    <w:next w:val="762"/>
    <w:link w:val="1005"/>
    <w:uiPriority w:val="0"/>
    <w:qFormat/>
    <w:pPr>
      <w:keepLines/>
      <w:keepNext/>
      <w:spacing w:before="260" w:after="260" w:line="416" w:lineRule="auto"/>
      <w:outlineLvl w:val="2"/>
    </w:pPr>
    <w:rPr>
      <w:b/>
      <w:bCs/>
      <w:sz w:val="32"/>
      <w:szCs w:val="32"/>
    </w:rPr>
  </w:style>
  <w:style w:type="paragraph" w:styleId="998" w:customStyle="1">
    <w:name w:val="标题 41"/>
    <w:basedOn w:val="762"/>
    <w:next w:val="762"/>
    <w:link w:val="1006"/>
    <w:uiPriority w:val="0"/>
    <w:qFormat/>
    <w:pPr>
      <w:keepLines/>
      <w:keepNext/>
      <w:spacing w:before="280" w:after="290" w:line="376" w:lineRule="auto"/>
      <w:outlineLvl w:val="3"/>
    </w:pPr>
    <w:rPr>
      <w:rFonts w:ascii="Cambria" w:hAnsi="Cambria" w:eastAsia="宋体"/>
      <w:b/>
      <w:bCs/>
      <w:sz w:val="28"/>
      <w:szCs w:val="28"/>
    </w:rPr>
  </w:style>
  <w:style w:type="paragraph" w:styleId="999" w:customStyle="1">
    <w:name w:val="标题 51"/>
    <w:basedOn w:val="762"/>
    <w:next w:val="762"/>
    <w:link w:val="1007"/>
    <w:uiPriority w:val="0"/>
    <w:qFormat/>
    <w:pPr>
      <w:jc w:val="center"/>
      <w:keepLines/>
      <w:keepNext/>
      <w:outlineLvl w:val="4"/>
    </w:pPr>
    <w:rPr>
      <w:rFonts w:eastAsia="宋体"/>
      <w:b/>
      <w:bCs/>
      <w:sz w:val="28"/>
      <w:szCs w:val="28"/>
    </w:rPr>
  </w:style>
  <w:style w:type="character" w:styleId="1000" w:customStyle="1">
    <w:name w:val="默认段落字体1"/>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paragraph" w:styleId="1002" w:customStyle="1">
    <w:name w:val="DAS正文"/>
    <w:basedOn w:val="762"/>
    <w:uiPriority w:val="0"/>
    <w:qFormat/>
    <w:pPr>
      <w:ind w:right="181" w:firstLine="480"/>
      <w:spacing w:line="360" w:lineRule="auto"/>
    </w:pPr>
    <w:rPr>
      <w:rFonts w:ascii="Verdana" w:hAnsi="Verdana"/>
      <w:sz w:val="24"/>
      <w:szCs w:val="24"/>
    </w:rPr>
  </w:style>
  <w:style w:type="character" w:styleId="1003" w:customStyle="1">
    <w:name w:val="标题 1 字符"/>
    <w:basedOn w:val="772"/>
    <w:link w:val="763"/>
    <w:uiPriority w:val="9"/>
    <w:qFormat/>
    <w:rPr>
      <w:rFonts w:eastAsia="楷体_GB2312"/>
      <w:b/>
      <w:sz w:val="44"/>
    </w:rPr>
  </w:style>
  <w:style w:type="character" w:styleId="1004" w:customStyle="1">
    <w:name w:val="标题 2 Char"/>
    <w:link w:val="996"/>
    <w:uiPriority w:val="0"/>
    <w:qFormat/>
    <w:rPr>
      <w:rFonts w:ascii="Cambria" w:hAnsi="Cambria" w:eastAsia="宋体" w:cs="Times New Roman"/>
      <w:b/>
      <w:bCs/>
      <w:sz w:val="32"/>
      <w:szCs w:val="32"/>
    </w:rPr>
  </w:style>
  <w:style w:type="character" w:styleId="1005" w:customStyle="1">
    <w:name w:val="标题 3 Char"/>
    <w:link w:val="997"/>
    <w:uiPriority w:val="0"/>
    <w:qFormat/>
    <w:rPr>
      <w:rFonts w:eastAsia="楷体_GB2312"/>
      <w:b/>
      <w:bCs/>
      <w:sz w:val="32"/>
      <w:szCs w:val="32"/>
    </w:rPr>
  </w:style>
  <w:style w:type="character" w:styleId="1006" w:customStyle="1">
    <w:name w:val="标题 4 Char"/>
    <w:link w:val="998"/>
    <w:uiPriority w:val="0"/>
    <w:qFormat/>
    <w:rPr>
      <w:rFonts w:ascii="Cambria" w:hAnsi="Cambria" w:eastAsia="宋体" w:cs="Times New Roman"/>
      <w:b/>
      <w:bCs/>
      <w:sz w:val="28"/>
      <w:szCs w:val="28"/>
    </w:rPr>
  </w:style>
  <w:style w:type="character" w:styleId="1007" w:customStyle="1">
    <w:name w:val="标题 5 Char"/>
    <w:link w:val="999"/>
    <w:uiPriority w:val="0"/>
    <w:qFormat/>
    <w:rPr>
      <w:b/>
      <w:bCs/>
      <w:sz w:val="28"/>
      <w:szCs w:val="28"/>
    </w:rPr>
  </w:style>
  <w:style w:type="paragraph" w:styleId="1008" w:customStyle="1">
    <w:name w:val="正文缩进1"/>
    <w:basedOn w:val="762"/>
    <w:next w:val="762"/>
    <w:link w:val="1009"/>
    <w:uiPriority w:val="0"/>
    <w:unhideWhenUsed/>
    <w:qFormat/>
    <w:pPr>
      <w:ind w:firstLine="420"/>
      <w:jc w:val="left"/>
    </w:pPr>
    <w:rPr>
      <w:sz w:val="24"/>
    </w:rPr>
  </w:style>
  <w:style w:type="character" w:styleId="1009" w:customStyle="1">
    <w:name w:val="正文缩进 Char"/>
    <w:link w:val="1008"/>
    <w:uiPriority w:val="0"/>
    <w:qFormat/>
    <w:rPr>
      <w:rFonts w:eastAsia="楷体_GB2312"/>
      <w:sz w:val="24"/>
    </w:rPr>
  </w:style>
  <w:style w:type="paragraph" w:styleId="1010" w:customStyle="1">
    <w:name w:val="文档结构图1"/>
    <w:basedOn w:val="762"/>
    <w:link w:val="1011"/>
    <w:uiPriority w:val="0"/>
    <w:unhideWhenUsed/>
    <w:qFormat/>
    <w:pPr>
      <w:shd w:val="clear" w:color="auto" w:fill="000080"/>
    </w:pPr>
    <w:rPr>
      <w:rFonts w:eastAsia="宋体"/>
      <w:sz w:val="21"/>
      <w:szCs w:val="24"/>
    </w:rPr>
  </w:style>
  <w:style w:type="character" w:styleId="1011" w:customStyle="1">
    <w:name w:val="文档结构图 Char"/>
    <w:link w:val="1010"/>
    <w:uiPriority w:val="0"/>
    <w:qFormat/>
    <w:rPr>
      <w:sz w:val="21"/>
      <w:szCs w:val="24"/>
      <w:shd w:val="clear" w:color="auto" w:fill="000080"/>
    </w:rPr>
  </w:style>
  <w:style w:type="paragraph" w:styleId="1012" w:customStyle="1">
    <w:name w:val="批注文字1"/>
    <w:basedOn w:val="762"/>
    <w:link w:val="1013"/>
    <w:uiPriority w:val="0"/>
    <w:qFormat/>
    <w:pPr>
      <w:jc w:val="left"/>
    </w:pPr>
  </w:style>
  <w:style w:type="character" w:styleId="1013" w:customStyle="1">
    <w:name w:val="批注文字 Char"/>
    <w:link w:val="1012"/>
    <w:uiPriority w:val="0"/>
    <w:qFormat/>
    <w:rPr>
      <w:rFonts w:eastAsia="楷体_GB2312"/>
      <w:sz w:val="26"/>
    </w:rPr>
  </w:style>
  <w:style w:type="paragraph" w:styleId="1014" w:customStyle="1">
    <w:name w:val="正文文本 31"/>
    <w:basedOn w:val="762"/>
    <w:link w:val="1015"/>
    <w:uiPriority w:val="0"/>
    <w:unhideWhenUsed/>
    <w:qFormat/>
    <w:pPr>
      <w:jc w:val="center"/>
    </w:pPr>
    <w:rPr>
      <w:rFonts w:ascii="宋体" w:hAnsi="宋体"/>
    </w:rPr>
  </w:style>
  <w:style w:type="character" w:styleId="1015" w:customStyle="1">
    <w:name w:val="正文文本 3 Char"/>
    <w:link w:val="1014"/>
    <w:uiPriority w:val="0"/>
    <w:qFormat/>
    <w:rPr>
      <w:rFonts w:ascii="宋体" w:hAnsi="宋体" w:eastAsia="楷体_GB2312"/>
      <w:sz w:val="26"/>
    </w:rPr>
  </w:style>
  <w:style w:type="character" w:styleId="1016" w:customStyle="1">
    <w:name w:val="正文文本 Char1"/>
    <w:link w:val="823"/>
    <w:uiPriority w:val="0"/>
    <w:qFormat/>
    <w:rPr>
      <w:rFonts w:ascii="楷体_GB2312" w:eastAsia="楷体_GB2312"/>
      <w:b/>
      <w:bCs/>
      <w:sz w:val="28"/>
    </w:rPr>
  </w:style>
  <w:style w:type="character" w:styleId="1017" w:customStyle="1">
    <w:name w:val="正文文本缩进 Char"/>
    <w:link w:val="824"/>
    <w:uiPriority w:val="0"/>
    <w:qFormat/>
    <w:rPr>
      <w:rFonts w:ascii="宋体"/>
      <w:sz w:val="28"/>
    </w:rPr>
  </w:style>
  <w:style w:type="paragraph" w:styleId="1018" w:customStyle="1">
    <w:name w:val="目录 31"/>
    <w:basedOn w:val="762"/>
    <w:next w:val="762"/>
    <w:uiPriority w:val="0"/>
    <w:qFormat/>
    <w:pPr>
      <w:ind w:left="359"/>
      <w:tabs>
        <w:tab w:val="right" w:pos="8302" w:leader="dot"/>
      </w:tabs>
    </w:pPr>
    <w:rPr>
      <w:rFonts w:eastAsia="宋体"/>
      <w:sz w:val="21"/>
      <w:szCs w:val="24"/>
    </w:rPr>
  </w:style>
  <w:style w:type="paragraph" w:styleId="1019" w:customStyle="1">
    <w:name w:val="纯文本1111"/>
    <w:basedOn w:val="762"/>
    <w:next w:val="1020"/>
    <w:link w:val="1021"/>
    <w:uiPriority w:val="0"/>
    <w:unhideWhenUsed/>
    <w:qFormat/>
    <w:rPr>
      <w:rFonts w:ascii="宋体" w:hAnsi="Courier New"/>
    </w:rPr>
  </w:style>
  <w:style w:type="paragraph" w:styleId="1020" w:customStyle="1">
    <w:name w:val="正文缩进11"/>
    <w:basedOn w:val="762"/>
    <w:uiPriority w:val="0"/>
    <w:unhideWhenUsed/>
    <w:qFormat/>
    <w:pPr>
      <w:ind w:firstLine="420"/>
      <w:jc w:val="left"/>
    </w:pPr>
    <w:rPr>
      <w:sz w:val="24"/>
    </w:rPr>
  </w:style>
  <w:style w:type="character" w:styleId="1021" w:customStyle="1">
    <w:name w:val="纯文本 Char"/>
    <w:link w:val="1019"/>
    <w:uiPriority w:val="0"/>
    <w:qFormat/>
    <w:rPr>
      <w:rFonts w:ascii="宋体" w:hAnsi="Courier New" w:eastAsia="楷体_GB2312"/>
      <w:sz w:val="26"/>
    </w:rPr>
  </w:style>
  <w:style w:type="paragraph" w:styleId="1022" w:customStyle="1">
    <w:name w:val="日期1"/>
    <w:basedOn w:val="762"/>
    <w:next w:val="762"/>
    <w:link w:val="1023"/>
    <w:uiPriority w:val="0"/>
    <w:unhideWhenUsed/>
    <w:qFormat/>
    <w:rPr>
      <w:rFonts w:ascii="宋体" w:hAnsi="宋体"/>
      <w:sz w:val="24"/>
    </w:rPr>
  </w:style>
  <w:style w:type="character" w:styleId="1023" w:customStyle="1">
    <w:name w:val="日期 Char"/>
    <w:link w:val="1022"/>
    <w:uiPriority w:val="0"/>
    <w:qFormat/>
    <w:rPr>
      <w:rFonts w:ascii="宋体" w:hAnsi="宋体" w:eastAsia="楷体_GB2312"/>
      <w:sz w:val="24"/>
    </w:rPr>
  </w:style>
  <w:style w:type="paragraph" w:styleId="1024" w:customStyle="1">
    <w:name w:val="正文文本缩进 21"/>
    <w:basedOn w:val="762"/>
    <w:link w:val="1025"/>
    <w:uiPriority w:val="0"/>
    <w:unhideWhenUsed/>
    <w:qFormat/>
    <w:pPr>
      <w:ind w:left="420"/>
      <w:spacing w:after="120" w:line="480" w:lineRule="auto"/>
    </w:pPr>
  </w:style>
  <w:style w:type="character" w:styleId="1025" w:customStyle="1">
    <w:name w:val="正文文本缩进 2 Char"/>
    <w:link w:val="1024"/>
    <w:uiPriority w:val="0"/>
    <w:qFormat/>
    <w:rPr>
      <w:rFonts w:eastAsia="楷体_GB2312"/>
      <w:sz w:val="26"/>
    </w:rPr>
  </w:style>
  <w:style w:type="paragraph" w:styleId="1026" w:customStyle="1">
    <w:name w:val="尾注文本1"/>
    <w:basedOn w:val="762"/>
    <w:link w:val="1027"/>
    <w:uiPriority w:val="0"/>
    <w:unhideWhenUsed/>
    <w:qFormat/>
    <w:pPr>
      <w:jc w:val="left"/>
    </w:pPr>
    <w:rPr>
      <w:rFonts w:ascii="宋体" w:hAnsi="宋体" w:eastAsia="宋体"/>
      <w:sz w:val="21"/>
      <w:szCs w:val="24"/>
    </w:rPr>
  </w:style>
  <w:style w:type="character" w:styleId="1027" w:customStyle="1">
    <w:name w:val="尾注文本 Char"/>
    <w:link w:val="1026"/>
    <w:uiPriority w:val="0"/>
    <w:qFormat/>
    <w:rPr>
      <w:rFonts w:ascii="宋体" w:hAnsi="宋体"/>
      <w:sz w:val="21"/>
      <w:szCs w:val="24"/>
    </w:rPr>
  </w:style>
  <w:style w:type="paragraph" w:styleId="1028" w:customStyle="1">
    <w:name w:val="批注框文本1"/>
    <w:basedOn w:val="762"/>
    <w:link w:val="1029"/>
    <w:uiPriority w:val="0"/>
    <w:qFormat/>
    <w:rPr>
      <w:sz w:val="18"/>
      <w:szCs w:val="18"/>
    </w:rPr>
  </w:style>
  <w:style w:type="character" w:styleId="1029" w:customStyle="1">
    <w:name w:val="批注框文本 Char"/>
    <w:link w:val="1028"/>
    <w:uiPriority w:val="0"/>
    <w:qFormat/>
    <w:rPr>
      <w:rFonts w:eastAsia="楷体_GB2312"/>
      <w:sz w:val="18"/>
      <w:szCs w:val="18"/>
    </w:rPr>
  </w:style>
  <w:style w:type="paragraph" w:styleId="1030" w:customStyle="1">
    <w:name w:val="页脚1"/>
    <w:basedOn w:val="762"/>
    <w:link w:val="1031"/>
    <w:uiPriority w:val="0"/>
    <w:unhideWhenUsed/>
    <w:qFormat/>
    <w:pPr>
      <w:jc w:val="left"/>
      <w:tabs>
        <w:tab w:val="center" w:pos="4153" w:leader="none"/>
        <w:tab w:val="right" w:pos="8306" w:leader="none"/>
      </w:tabs>
    </w:pPr>
    <w:rPr>
      <w:sz w:val="18"/>
    </w:rPr>
  </w:style>
  <w:style w:type="character" w:styleId="1031" w:customStyle="1">
    <w:name w:val="页脚 Char"/>
    <w:link w:val="1030"/>
    <w:uiPriority w:val="0"/>
    <w:qFormat/>
    <w:rPr>
      <w:rFonts w:eastAsia="楷体_GB2312"/>
      <w:sz w:val="18"/>
    </w:rPr>
  </w:style>
  <w:style w:type="paragraph" w:styleId="1032" w:customStyle="1">
    <w:name w:val="页眉1"/>
    <w:basedOn w:val="762"/>
    <w:link w:val="1033"/>
    <w:uiPriority w:val="0"/>
    <w:unhideWhenUsed/>
    <w:qFormat/>
    <w:pPr>
      <w:jc w:val="center"/>
      <w:tabs>
        <w:tab w:val="center" w:pos="4153" w:leader="none"/>
        <w:tab w:val="right" w:pos="8306" w:leader="none"/>
      </w:tabs>
      <w:pBdr>
        <w:bottom w:val="single" w:color="000000" w:sz="6" w:space="1"/>
      </w:pBdr>
    </w:pPr>
    <w:rPr>
      <w:sz w:val="18"/>
    </w:rPr>
  </w:style>
  <w:style w:type="character" w:styleId="1033" w:customStyle="1">
    <w:name w:val="页眉 Char"/>
    <w:link w:val="1032"/>
    <w:uiPriority w:val="0"/>
    <w:qFormat/>
    <w:rPr>
      <w:rFonts w:eastAsia="楷体_GB2312"/>
      <w:sz w:val="18"/>
    </w:rPr>
  </w:style>
  <w:style w:type="paragraph" w:styleId="1034" w:customStyle="1">
    <w:name w:val="目录 11"/>
    <w:basedOn w:val="762"/>
    <w:next w:val="762"/>
    <w:uiPriority w:val="0"/>
    <w:unhideWhenUsed/>
    <w:qFormat/>
    <w:pPr>
      <w:jc w:val="left"/>
    </w:pPr>
    <w:rPr>
      <w:sz w:val="24"/>
    </w:rPr>
  </w:style>
  <w:style w:type="paragraph" w:styleId="1035" w:customStyle="1">
    <w:name w:val="副标题1"/>
    <w:basedOn w:val="762"/>
    <w:link w:val="1036"/>
    <w:uiPriority w:val="0"/>
    <w:qFormat/>
    <w:pPr>
      <w:jc w:val="center"/>
      <w:spacing w:before="240" w:after="60" w:line="312" w:lineRule="auto"/>
      <w:outlineLvl w:val="1"/>
    </w:pPr>
    <w:rPr>
      <w:rFonts w:ascii="Arial" w:hAnsi="Arial" w:eastAsia="宋体"/>
      <w:b/>
      <w:bCs/>
      <w:sz w:val="32"/>
      <w:szCs w:val="32"/>
    </w:rPr>
  </w:style>
  <w:style w:type="character" w:styleId="1036" w:customStyle="1">
    <w:name w:val="副标题 Char"/>
    <w:link w:val="1035"/>
    <w:uiPriority w:val="0"/>
    <w:qFormat/>
    <w:rPr>
      <w:rFonts w:ascii="Arial" w:hAnsi="Arial" w:cs="Arial"/>
      <w:b/>
      <w:bCs/>
      <w:sz w:val="32"/>
      <w:szCs w:val="32"/>
    </w:rPr>
  </w:style>
  <w:style w:type="paragraph" w:styleId="1037" w:customStyle="1">
    <w:name w:val="目录 21"/>
    <w:basedOn w:val="762"/>
    <w:next w:val="762"/>
    <w:uiPriority w:val="0"/>
    <w:unhideWhenUsed/>
    <w:qFormat/>
    <w:pPr>
      <w:ind w:left="420"/>
    </w:pPr>
  </w:style>
  <w:style w:type="paragraph" w:styleId="1038" w:customStyle="1">
    <w:name w:val="目录 91"/>
    <w:basedOn w:val="762"/>
    <w:next w:val="762"/>
    <w:uiPriority w:val="0"/>
    <w:semiHidden/>
    <w:qFormat/>
    <w:pPr>
      <w:ind w:left="3360"/>
    </w:pPr>
  </w:style>
  <w:style w:type="paragraph" w:styleId="1039" w:customStyle="1">
    <w:name w:val="普通(网站)1"/>
    <w:basedOn w:val="762"/>
    <w:uiPriority w:val="0"/>
    <w:unhideWhenUsed/>
    <w:qFormat/>
    <w:pPr>
      <w:jc w:val="left"/>
      <w:spacing w:before="100" w:beforeAutospacing="1" w:after="100" w:afterAutospacing="1"/>
      <w:widowControl/>
    </w:pPr>
    <w:rPr>
      <w:rFonts w:ascii="宋体" w:hAnsi="宋体" w:cs="宋体"/>
      <w:sz w:val="24"/>
    </w:rPr>
  </w:style>
  <w:style w:type="paragraph" w:styleId="1040" w:customStyle="1">
    <w:name w:val="索引 11"/>
    <w:basedOn w:val="762"/>
    <w:next w:val="762"/>
    <w:uiPriority w:val="0"/>
    <w:unhideWhenUsed/>
    <w:qFormat/>
    <w:pPr>
      <w:jc w:val="center"/>
      <w:spacing w:line="220" w:lineRule="exact"/>
    </w:pPr>
    <w:rPr>
      <w:rFonts w:ascii="仿宋_GB2312" w:eastAsia="仿宋_GB2312"/>
      <w:szCs w:val="21"/>
    </w:rPr>
  </w:style>
  <w:style w:type="paragraph" w:styleId="1041" w:customStyle="1">
    <w:name w:val="标题1"/>
    <w:basedOn w:val="762"/>
    <w:link w:val="1042"/>
    <w:uiPriority w:val="10"/>
    <w:qFormat/>
    <w:pPr>
      <w:jc w:val="center"/>
      <w:spacing w:before="240" w:after="60"/>
      <w:outlineLvl w:val="0"/>
    </w:pPr>
    <w:rPr>
      <w:rFonts w:ascii="Arial" w:hAnsi="Arial" w:eastAsia="宋体"/>
      <w:b/>
      <w:bCs/>
      <w:sz w:val="32"/>
      <w:szCs w:val="32"/>
    </w:rPr>
  </w:style>
  <w:style w:type="character" w:styleId="1042" w:customStyle="1">
    <w:name w:val="标题 Char"/>
    <w:link w:val="1041"/>
    <w:uiPriority w:val="10"/>
    <w:qFormat/>
    <w:rPr>
      <w:rFonts w:ascii="Arial" w:hAnsi="Arial"/>
      <w:b/>
      <w:bCs/>
      <w:sz w:val="32"/>
      <w:szCs w:val="32"/>
    </w:rPr>
  </w:style>
  <w:style w:type="paragraph" w:styleId="1043" w:customStyle="1">
    <w:name w:val="批注主题1"/>
    <w:basedOn w:val="1012"/>
    <w:next w:val="1012"/>
    <w:link w:val="1044"/>
    <w:uiPriority w:val="99"/>
    <w:qFormat/>
    <w:rPr>
      <w:b/>
      <w:bCs/>
    </w:rPr>
  </w:style>
  <w:style w:type="character" w:styleId="1044" w:customStyle="1">
    <w:name w:val="批注主题 Char"/>
    <w:link w:val="1043"/>
    <w:uiPriority w:val="99"/>
    <w:qFormat/>
    <w:rPr>
      <w:b/>
      <w:bCs/>
    </w:rPr>
  </w:style>
  <w:style w:type="paragraph" w:styleId="1045" w:customStyle="1">
    <w:name w:val="正文首行缩进1"/>
    <w:basedOn w:val="823"/>
    <w:link w:val="1046"/>
    <w:uiPriority w:val="0"/>
    <w:unhideWhenUsed/>
    <w:qFormat/>
    <w:pPr>
      <w:ind w:firstLine="420"/>
      <w:spacing w:after="120"/>
    </w:pPr>
    <w:rPr>
      <w:rFonts w:ascii="Times New Roman" w:eastAsia="宋体"/>
      <w:b w:val="0"/>
      <w:bCs w:val="0"/>
      <w:sz w:val="21"/>
      <w:szCs w:val="24"/>
    </w:rPr>
  </w:style>
  <w:style w:type="character" w:styleId="1046" w:customStyle="1">
    <w:name w:val="正文首行缩进 Char"/>
    <w:link w:val="1045"/>
    <w:uiPriority w:val="0"/>
    <w:qFormat/>
  </w:style>
  <w:style w:type="character" w:styleId="1047" w:customStyle="1">
    <w:name w:val="正文文本 Char"/>
    <w:uiPriority w:val="0"/>
    <w:qFormat/>
    <w:rPr>
      <w:sz w:val="21"/>
      <w:szCs w:val="24"/>
    </w:rPr>
  </w:style>
  <w:style w:type="paragraph" w:styleId="1048" w:customStyle="1">
    <w:name w:val="正文首行缩进 21"/>
    <w:basedOn w:val="824"/>
    <w:next w:val="1049"/>
    <w:uiPriority w:val="99"/>
    <w:unhideWhenUsed/>
    <w:qFormat/>
    <w:pPr>
      <w:ind w:firstLine="420"/>
    </w:pPr>
  </w:style>
  <w:style w:type="paragraph" w:styleId="1049" w:customStyle="1">
    <w:name w:val="正文11"/>
    <w:next w:val="1048"/>
    <w:uiPriority w:val="0"/>
    <w:qFormat/>
    <w:pPr>
      <w:jc w:val="both"/>
      <w:widowControl w:val="off"/>
    </w:pPr>
    <w:rPr>
      <w:rFonts w:ascii="Times New Roman" w:hAnsi="Times New Roman" w:eastAsia="宋体" w:cs="Times New Roman"/>
      <w:sz w:val="21"/>
      <w:szCs w:val="22"/>
      <w:lang w:val="en-US" w:eastAsia="zh-CN" w:bidi="ar-SA"/>
    </w:rPr>
  </w:style>
  <w:style w:type="table" w:styleId="1050" w:customStyle="1">
    <w:name w:val="网格型1"/>
    <w:basedOn w:val="1001"/>
    <w:uiPriority w:val="0"/>
    <w:unhideWhenUsed/>
    <w:qFormat/>
    <w:pPr>
      <w:jc w:val="both"/>
      <w:widowControl w:val="off"/>
    </w:pPr>
    <w:tblPr/>
  </w:style>
  <w:style w:type="character" w:styleId="1051" w:customStyle="1">
    <w:name w:val="要点1"/>
    <w:uiPriority w:val="0"/>
    <w:qFormat/>
    <w:rPr>
      <w:b/>
      <w:bCs/>
    </w:rPr>
  </w:style>
  <w:style w:type="character" w:styleId="1052" w:customStyle="1">
    <w:name w:val="页码1"/>
    <w:uiPriority w:val="0"/>
    <w:unhideWhenUsed/>
    <w:qFormat/>
  </w:style>
  <w:style w:type="character" w:styleId="1053" w:customStyle="1">
    <w:name w:val="访问过的超链接1"/>
    <w:uiPriority w:val="0"/>
    <w:qFormat/>
    <w:rPr>
      <w:rFonts w:ascii="微软雅黑" w:hAnsi="微软雅黑" w:eastAsia="微软雅黑" w:cs="微软雅黑"/>
      <w:color w:val="3d3d3d"/>
      <w:u w:val="none"/>
    </w:rPr>
  </w:style>
  <w:style w:type="character" w:styleId="1054" w:customStyle="1">
    <w:name w:val="超链接1"/>
    <w:uiPriority w:val="99"/>
    <w:unhideWhenUsed/>
    <w:qFormat/>
    <w:rPr>
      <w:rFonts w:hint="eastAsia" w:ascii="微软雅黑" w:hAnsi="微软雅黑" w:eastAsia="微软雅黑" w:cs="微软雅黑"/>
      <w:color w:val="3d3d3d"/>
      <w:u w:val="none"/>
    </w:rPr>
  </w:style>
  <w:style w:type="character" w:styleId="1055" w:customStyle="1">
    <w:name w:val="批注引用1"/>
    <w:uiPriority w:val="0"/>
    <w:qFormat/>
    <w:rPr>
      <w:sz w:val="21"/>
      <w:szCs w:val="21"/>
    </w:rPr>
  </w:style>
  <w:style w:type="character" w:styleId="1056" w:customStyle="1">
    <w:name w:val="font11"/>
    <w:uiPriority w:val="0"/>
    <w:qFormat/>
    <w:rPr>
      <w:rFonts w:hint="eastAsia" w:ascii="宋体" w:hAnsi="宋体" w:eastAsia="宋体" w:cs="宋体"/>
      <w:color w:val="000000"/>
      <w:sz w:val="20"/>
      <w:szCs w:val="20"/>
      <w:u w:val="none"/>
    </w:rPr>
  </w:style>
  <w:style w:type="character" w:styleId="1057" w:customStyle="1">
    <w:name w:val="z-窗体底端 Char"/>
    <w:link w:val="1058"/>
    <w:uiPriority w:val="0"/>
    <w:qFormat/>
    <w:rPr>
      <w:rFonts w:ascii="Arial" w:hAnsi="Arial" w:cs="Arial"/>
      <w:vanish/>
      <w:sz w:val="16"/>
      <w:szCs w:val="16"/>
    </w:rPr>
  </w:style>
  <w:style w:type="paragraph" w:styleId="1058" w:customStyle="1">
    <w:name w:val="z-窗体底端1"/>
    <w:basedOn w:val="762"/>
    <w:next w:val="762"/>
    <w:link w:val="1057"/>
    <w:uiPriority w:val="0"/>
    <w:unhideWhenUsed/>
    <w:qFormat/>
    <w:pPr>
      <w:jc w:val="center"/>
      <w:pBdr>
        <w:top w:val="single" w:color="000000" w:sz="6" w:space="1"/>
      </w:pBdr>
    </w:pPr>
    <w:rPr>
      <w:rFonts w:ascii="Arial" w:hAnsi="Arial" w:eastAsia="宋体" w:cs="Arial"/>
      <w:vanish/>
      <w:sz w:val="16"/>
      <w:szCs w:val="16"/>
    </w:rPr>
  </w:style>
  <w:style w:type="character" w:styleId="1059" w:customStyle="1">
    <w:name w:val="Char Char Char"/>
    <w:uiPriority w:val="0"/>
    <w:qFormat/>
    <w:rPr>
      <w:rFonts w:hint="eastAsia" w:ascii="黑体" w:hAnsi="黑体" w:eastAsia="黑体"/>
      <w:bCs/>
      <w:sz w:val="28"/>
      <w:szCs w:val="32"/>
      <w:lang w:val="en-US" w:eastAsia="zh-CN" w:bidi="ar-SA"/>
    </w:rPr>
  </w:style>
  <w:style w:type="character" w:styleId="1060" w:customStyle="1">
    <w:name w:val="尾注文本 Char1"/>
    <w:uiPriority w:val="99"/>
    <w:semiHidden/>
    <w:qFormat/>
    <w:rPr>
      <w:rFonts w:eastAsia="楷体_GB2312"/>
      <w:sz w:val="26"/>
    </w:rPr>
  </w:style>
  <w:style w:type="character" w:styleId="1061" w:customStyle="1">
    <w:name w:val="font01"/>
    <w:uiPriority w:val="0"/>
    <w:qFormat/>
    <w:rPr>
      <w:rFonts w:ascii="Calibri" w:hAnsi="Calibri" w:cs="Calibri"/>
      <w:color w:val="000000"/>
      <w:sz w:val="20"/>
      <w:szCs w:val="20"/>
      <w:u w:val="none"/>
    </w:rPr>
  </w:style>
  <w:style w:type="character" w:styleId="1062" w:customStyle="1">
    <w:name w:val="纯文本 Char Char"/>
    <w:uiPriority w:val="0"/>
    <w:qFormat/>
    <w:rPr>
      <w:rFonts w:ascii="宋体" w:hAnsi="Courier New" w:eastAsia="宋体" w:cs="Courier New"/>
      <w:sz w:val="21"/>
      <w:szCs w:val="21"/>
      <w:lang w:val="en-US" w:eastAsia="zh-CN" w:bidi="ar-SA"/>
    </w:rPr>
  </w:style>
  <w:style w:type="character" w:styleId="1063" w:customStyle="1">
    <w:name w:val="Plain Text Char Char"/>
    <w:link w:val="1064"/>
    <w:uiPriority w:val="0"/>
    <w:qFormat/>
    <w:rPr>
      <w:rFonts w:ascii="宋体" w:hAnsi="Courier New" w:eastAsia="楷体_GB2312"/>
      <w:sz w:val="26"/>
      <w:lang w:val="en-US" w:eastAsia="zh-CN" w:bidi="ar-SA"/>
    </w:rPr>
  </w:style>
  <w:style w:type="paragraph" w:styleId="1064" w:customStyle="1">
    <w:name w:val="纯文本1"/>
    <w:basedOn w:val="762"/>
    <w:link w:val="1063"/>
    <w:uiPriority w:val="0"/>
    <w:qFormat/>
    <w:rPr>
      <w:rFonts w:ascii="宋体" w:hAnsi="Courier New"/>
    </w:rPr>
  </w:style>
  <w:style w:type="character" w:styleId="1065" w:customStyle="1">
    <w:name w:val="样式 粉红"/>
    <w:uiPriority w:val="0"/>
    <w:qFormat/>
    <w:rPr>
      <w:color w:val="000000"/>
      <w:u w:val="none"/>
    </w:rPr>
  </w:style>
  <w:style w:type="character" w:styleId="1066" w:customStyle="1">
    <w:name w:val="Char Char5"/>
    <w:uiPriority w:val="0"/>
    <w:qFormat/>
    <w:rPr>
      <w:rFonts w:hint="eastAsia" w:ascii="黑体" w:hAnsi="黑体" w:eastAsia="黑体"/>
      <w:b/>
      <w:bCs/>
      <w:sz w:val="72"/>
      <w:szCs w:val="44"/>
      <w:lang w:val="en-US" w:eastAsia="zh-CN" w:bidi="ar-SA"/>
    </w:rPr>
  </w:style>
  <w:style w:type="character" w:styleId="1067" w:customStyle="1">
    <w:name w:val="文档结构图 Char1"/>
    <w:uiPriority w:val="99"/>
    <w:semiHidden/>
    <w:qFormat/>
    <w:rPr>
      <w:rFonts w:ascii="宋体"/>
      <w:sz w:val="18"/>
      <w:szCs w:val="18"/>
    </w:rPr>
  </w:style>
  <w:style w:type="character" w:styleId="1068" w:customStyle="1">
    <w:name w:val="font112"/>
    <w:uiPriority w:val="0"/>
    <w:qFormat/>
    <w:rPr>
      <w:rFonts w:hint="eastAsia" w:ascii="宋体" w:hAnsi="宋体" w:eastAsia="宋体" w:cs="宋体"/>
      <w:color w:val="000000"/>
      <w:sz w:val="20"/>
      <w:szCs w:val="20"/>
      <w:u w:val="none"/>
    </w:rPr>
  </w:style>
  <w:style w:type="character" w:styleId="1069" w:customStyle="1">
    <w:name w:val="Char Char1"/>
    <w:uiPriority w:val="0"/>
    <w:qFormat/>
    <w:rPr>
      <w:rFonts w:ascii="Arial" w:hAnsi="Arial" w:eastAsia="黑体"/>
      <w:b/>
      <w:bCs/>
      <w:sz w:val="32"/>
      <w:szCs w:val="32"/>
      <w:lang w:val="en-US" w:eastAsia="zh-CN" w:bidi="ar-SA"/>
    </w:rPr>
  </w:style>
  <w:style w:type="character" w:styleId="1070" w:customStyle="1">
    <w:name w:val="z-窗体顶端 Char1"/>
    <w:link w:val="1071"/>
    <w:uiPriority w:val="0"/>
    <w:qFormat/>
    <w:rPr>
      <w:rFonts w:ascii="Arial" w:hAnsi="Arial" w:cs="Arial"/>
      <w:vanish/>
      <w:sz w:val="16"/>
      <w:szCs w:val="16"/>
    </w:rPr>
  </w:style>
  <w:style w:type="paragraph" w:styleId="1071" w:customStyle="1">
    <w:name w:val="z-窗体顶端1"/>
    <w:basedOn w:val="762"/>
    <w:next w:val="762"/>
    <w:link w:val="1070"/>
    <w:uiPriority w:val="0"/>
    <w:qFormat/>
    <w:pPr>
      <w:jc w:val="center"/>
      <w:pBdr>
        <w:bottom w:val="single" w:color="000000" w:sz="6" w:space="1"/>
      </w:pBdr>
    </w:pPr>
    <w:rPr>
      <w:rFonts w:ascii="Arial" w:hAnsi="Arial" w:eastAsia="宋体" w:cs="Arial"/>
      <w:vanish/>
      <w:sz w:val="16"/>
      <w:szCs w:val="16"/>
    </w:rPr>
  </w:style>
  <w:style w:type="character" w:styleId="1072" w:customStyle="1">
    <w:name w:val="grame"/>
    <w:uiPriority w:val="0"/>
    <w:qFormat/>
  </w:style>
  <w:style w:type="character" w:styleId="1073" w:customStyle="1">
    <w:name w:val="Heading #1|1_"/>
    <w:link w:val="1074"/>
    <w:uiPriority w:val="0"/>
    <w:qFormat/>
    <w:rPr>
      <w:rFonts w:ascii="宋体" w:hAnsi="宋体" w:eastAsia="宋体" w:cs="宋体"/>
      <w:color w:val="fc5c77"/>
      <w:sz w:val="138"/>
      <w:szCs w:val="138"/>
      <w:lang w:val="zh-TW" w:eastAsia="zh-TW" w:bidi="zh-TW"/>
    </w:rPr>
  </w:style>
  <w:style w:type="paragraph" w:styleId="1074" w:customStyle="1">
    <w:name w:val="Heading #1|1"/>
    <w:basedOn w:val="762"/>
    <w:link w:val="1073"/>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75" w:customStyle="1">
    <w:name w:val="font21"/>
    <w:basedOn w:val="772"/>
    <w:uiPriority w:val="0"/>
    <w:qFormat/>
    <w:rPr>
      <w:rFonts w:hint="eastAsia" w:ascii="宋体" w:hAnsi="宋体" w:eastAsia="宋体" w:cs="宋体"/>
      <w:color w:val="000000"/>
      <w:sz w:val="20"/>
      <w:szCs w:val="20"/>
      <w:u w:val="none"/>
    </w:rPr>
  </w:style>
  <w:style w:type="character" w:styleId="1076" w:customStyle="1">
    <w:name w:val="z-窗体顶端 Char"/>
    <w:link w:val="1077"/>
    <w:uiPriority w:val="0"/>
    <w:qFormat/>
    <w:rPr>
      <w:rFonts w:ascii="Arial" w:hAnsi="Arial" w:cs="Arial"/>
      <w:vanish/>
      <w:sz w:val="16"/>
      <w:szCs w:val="16"/>
    </w:rPr>
  </w:style>
  <w:style w:type="paragraph" w:styleId="1077" w:customStyle="1">
    <w:name w:val="z-窗体顶端11"/>
    <w:basedOn w:val="762"/>
    <w:next w:val="762"/>
    <w:link w:val="1076"/>
    <w:uiPriority w:val="0"/>
    <w:unhideWhenUsed/>
    <w:qFormat/>
    <w:pPr>
      <w:jc w:val="center"/>
      <w:pBdr>
        <w:bottom w:val="single" w:color="000000" w:sz="6" w:space="1"/>
      </w:pBdr>
    </w:pPr>
    <w:rPr>
      <w:rFonts w:ascii="Arial" w:hAnsi="Arial" w:eastAsia="宋体" w:cs="Arial"/>
      <w:vanish/>
      <w:sz w:val="16"/>
      <w:szCs w:val="16"/>
    </w:rPr>
  </w:style>
  <w:style w:type="character" w:styleId="1078" w:customStyle="1">
    <w:name w:val="标题 Char1"/>
    <w:uiPriority w:val="10"/>
    <w:qFormat/>
    <w:rPr>
      <w:rFonts w:ascii="Cambria" w:hAnsi="Cambria" w:cs="Times New Roman"/>
      <w:b/>
      <w:bCs/>
      <w:sz w:val="32"/>
      <w:szCs w:val="32"/>
    </w:rPr>
  </w:style>
  <w:style w:type="character" w:styleId="1079" w:customStyle="1">
    <w:name w:val="Char Char3"/>
    <w:uiPriority w:val="0"/>
    <w:qFormat/>
    <w:rPr>
      <w:b/>
      <w:bCs/>
      <w:sz w:val="32"/>
      <w:szCs w:val="32"/>
    </w:rPr>
  </w:style>
  <w:style w:type="character" w:styleId="1080" w:customStyle="1">
    <w:name w:val="Blockquote Char Char"/>
    <w:link w:val="1081"/>
    <w:uiPriority w:val="0"/>
    <w:qFormat/>
    <w:rPr>
      <w:rFonts w:cs="宋体"/>
      <w:sz w:val="24"/>
      <w:szCs w:val="24"/>
    </w:rPr>
  </w:style>
  <w:style w:type="paragraph" w:styleId="1081" w:customStyle="1">
    <w:name w:val="Blockquote"/>
    <w:basedOn w:val="762"/>
    <w:link w:val="1080"/>
    <w:uiPriority w:val="0"/>
    <w:qFormat/>
    <w:pPr>
      <w:ind w:left="360" w:right="360"/>
      <w:jc w:val="left"/>
      <w:spacing w:before="100" w:after="100"/>
    </w:pPr>
    <w:rPr>
      <w:rFonts w:eastAsia="宋体" w:cs="宋体"/>
      <w:sz w:val="24"/>
      <w:szCs w:val="24"/>
    </w:rPr>
  </w:style>
  <w:style w:type="character" w:styleId="1082" w:customStyle="1">
    <w:name w:val="Char Char4"/>
    <w:uiPriority w:val="0"/>
    <w:qFormat/>
    <w:rPr>
      <w:rFonts w:ascii="Arial" w:hAnsi="Arial" w:eastAsia="黑体" w:cs="Arial"/>
      <w:bCs/>
      <w:sz w:val="24"/>
      <w:szCs w:val="28"/>
      <w:lang w:val="en-US" w:eastAsia="zh-CN" w:bidi="ar-SA"/>
    </w:rPr>
  </w:style>
  <w:style w:type="character" w:styleId="1083" w:customStyle="1">
    <w:name w:val="Other|1_"/>
    <w:link w:val="1084"/>
    <w:uiPriority w:val="0"/>
    <w:qFormat/>
    <w:rPr>
      <w:rFonts w:ascii="宋体" w:hAnsi="宋体" w:eastAsia="宋体" w:cs="宋体"/>
      <w:color w:val="4e4a50"/>
      <w:lang w:val="zh-TW" w:eastAsia="zh-TW" w:bidi="zh-TW"/>
    </w:rPr>
  </w:style>
  <w:style w:type="paragraph" w:styleId="1084" w:customStyle="1">
    <w:name w:val="Other|1"/>
    <w:basedOn w:val="762"/>
    <w:link w:val="1083"/>
    <w:uiPriority w:val="0"/>
    <w:qFormat/>
    <w:pPr>
      <w:jc w:val="center"/>
      <w:spacing w:line="308" w:lineRule="exact"/>
    </w:pPr>
    <w:rPr>
      <w:rFonts w:ascii="宋体" w:hAnsi="宋体" w:eastAsia="宋体" w:cs="宋体"/>
      <w:color w:val="4e4a50"/>
      <w:sz w:val="20"/>
      <w:lang w:val="zh-TW" w:eastAsia="zh-TW" w:bidi="zh-TW"/>
    </w:rPr>
  </w:style>
  <w:style w:type="character" w:styleId="1085" w:customStyle="1">
    <w:name w:val="z-窗体底端 Char2"/>
    <w:uiPriority w:val="99"/>
    <w:semiHidden/>
    <w:qFormat/>
    <w:rPr>
      <w:rFonts w:ascii="Arial" w:hAnsi="Arial" w:eastAsia="楷体_GB2312" w:cs="Arial"/>
      <w:vanish/>
      <w:sz w:val="16"/>
      <w:szCs w:val="16"/>
    </w:rPr>
  </w:style>
  <w:style w:type="character" w:styleId="1086" w:customStyle="1">
    <w:name w:val="font61"/>
    <w:uiPriority w:val="0"/>
    <w:qFormat/>
    <w:rPr>
      <w:rFonts w:ascii="Calibri" w:hAnsi="Calibri" w:cs="Calibri"/>
      <w:color w:val="000000"/>
      <w:sz w:val="20"/>
      <w:szCs w:val="20"/>
      <w:u w:val="none"/>
    </w:rPr>
  </w:style>
  <w:style w:type="character" w:styleId="1087" w:customStyle="1">
    <w:name w:val="Body text|3_"/>
    <w:link w:val="1088"/>
    <w:uiPriority w:val="0"/>
    <w:qFormat/>
    <w:rPr>
      <w:color w:val="5c575b"/>
      <w:sz w:val="26"/>
      <w:szCs w:val="26"/>
      <w:lang w:val="zh-TW" w:eastAsia="zh-TW" w:bidi="zh-TW"/>
    </w:rPr>
  </w:style>
  <w:style w:type="paragraph" w:styleId="1088" w:customStyle="1">
    <w:name w:val="Body text|3"/>
    <w:basedOn w:val="762"/>
    <w:link w:val="1087"/>
    <w:uiPriority w:val="0"/>
    <w:qFormat/>
    <w:pPr>
      <w:jc w:val="left"/>
    </w:pPr>
    <w:rPr>
      <w:rFonts w:eastAsia="宋体"/>
      <w:color w:val="5c575b"/>
      <w:szCs w:val="26"/>
      <w:lang w:val="zh-TW" w:eastAsia="zh-TW" w:bidi="zh-TW"/>
    </w:rPr>
  </w:style>
  <w:style w:type="character" w:styleId="1089" w:customStyle="1">
    <w:name w:val="Char Char2"/>
    <w:uiPriority w:val="0"/>
    <w:qFormat/>
    <w:rPr>
      <w:rFonts w:ascii="Arial" w:hAnsi="Arial" w:eastAsia="黑体" w:cs="Arial"/>
      <w:b/>
      <w:bCs/>
      <w:sz w:val="32"/>
      <w:szCs w:val="32"/>
      <w:lang w:val="en-US" w:eastAsia="zh-CN" w:bidi="ar-SA"/>
    </w:rPr>
  </w:style>
  <w:style w:type="character" w:styleId="1090" w:customStyle="1">
    <w:name w:val="z-窗体顶端 Char2"/>
    <w:uiPriority w:val="99"/>
    <w:semiHidden/>
    <w:qFormat/>
    <w:rPr>
      <w:rFonts w:ascii="Arial" w:hAnsi="Arial" w:eastAsia="楷体_GB2312" w:cs="Arial"/>
      <w:vanish/>
      <w:sz w:val="16"/>
      <w:szCs w:val="16"/>
    </w:rPr>
  </w:style>
  <w:style w:type="character" w:styleId="1091" w:customStyle="1">
    <w:name w:val="Header or footer|2_"/>
    <w:link w:val="1092"/>
    <w:uiPriority w:val="0"/>
    <w:qFormat/>
    <w:rPr>
      <w:lang w:val="zh-TW" w:eastAsia="zh-TW" w:bidi="zh-TW"/>
    </w:rPr>
  </w:style>
  <w:style w:type="paragraph" w:styleId="1092" w:customStyle="1">
    <w:name w:val="Header or footer|2"/>
    <w:basedOn w:val="762"/>
    <w:link w:val="1091"/>
    <w:uiPriority w:val="0"/>
    <w:qFormat/>
    <w:pPr>
      <w:jc w:val="left"/>
    </w:pPr>
    <w:rPr>
      <w:rFonts w:eastAsia="宋体"/>
      <w:sz w:val="20"/>
      <w:lang w:val="zh-TW" w:eastAsia="zh-TW" w:bidi="zh-TW"/>
    </w:rPr>
  </w:style>
  <w:style w:type="character" w:styleId="1093" w:customStyle="1">
    <w:name w:val="正文首行缩进 Char1"/>
    <w:uiPriority w:val="0"/>
    <w:qFormat/>
  </w:style>
  <w:style w:type="character" w:styleId="1094" w:customStyle="1">
    <w:name w:val="Body text|1_"/>
    <w:link w:val="1095"/>
    <w:uiPriority w:val="0"/>
    <w:qFormat/>
    <w:rPr>
      <w:rFonts w:ascii="宋体" w:hAnsi="宋体" w:eastAsia="宋体" w:cs="宋体"/>
      <w:color w:val="4e4a50"/>
      <w:sz w:val="26"/>
      <w:szCs w:val="26"/>
      <w:lang w:val="zh-TW" w:eastAsia="zh-TW" w:bidi="zh-TW"/>
    </w:rPr>
  </w:style>
  <w:style w:type="paragraph" w:styleId="1095" w:customStyle="1">
    <w:name w:val="Body text|1"/>
    <w:basedOn w:val="762"/>
    <w:link w:val="1094"/>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96" w:customStyle="1">
    <w:name w:val="Picture caption|1_"/>
    <w:link w:val="1097"/>
    <w:uiPriority w:val="0"/>
    <w:qFormat/>
    <w:rPr>
      <w:rFonts w:ascii="宋体" w:hAnsi="宋体" w:eastAsia="宋体" w:cs="宋体"/>
      <w:color w:val="4e4a50"/>
      <w:sz w:val="26"/>
      <w:szCs w:val="26"/>
      <w:lang w:val="zh-TW" w:eastAsia="zh-TW" w:bidi="zh-TW"/>
    </w:rPr>
  </w:style>
  <w:style w:type="paragraph" w:styleId="1097" w:customStyle="1">
    <w:name w:val="Picture caption|1"/>
    <w:basedOn w:val="762"/>
    <w:link w:val="1096"/>
    <w:uiPriority w:val="0"/>
    <w:qFormat/>
    <w:pPr>
      <w:jc w:val="left"/>
    </w:pPr>
    <w:rPr>
      <w:rFonts w:ascii="宋体" w:hAnsi="宋体" w:eastAsia="宋体" w:cs="宋体"/>
      <w:color w:val="4e4a50"/>
      <w:szCs w:val="26"/>
      <w:lang w:val="zh-TW" w:eastAsia="zh-TW" w:bidi="zh-TW"/>
    </w:rPr>
  </w:style>
  <w:style w:type="character" w:styleId="1098" w:customStyle="1">
    <w:name w:val="Char Char"/>
    <w:uiPriority w:val="0"/>
    <w:qFormat/>
    <w:rPr>
      <w:rFonts w:eastAsia="黑体"/>
      <w:bCs/>
      <w:sz w:val="28"/>
      <w:szCs w:val="32"/>
      <w:lang w:val="en-US" w:eastAsia="zh-CN" w:bidi="ar-SA"/>
    </w:rPr>
  </w:style>
  <w:style w:type="character" w:styleId="1099" w:customStyle="1">
    <w:name w:val="Heading #2|1_"/>
    <w:link w:val="1100"/>
    <w:uiPriority w:val="0"/>
    <w:qFormat/>
    <w:rPr>
      <w:rFonts w:ascii="宋体" w:hAnsi="宋体" w:eastAsia="宋体" w:cs="宋体"/>
      <w:color w:val="4e4a50"/>
      <w:sz w:val="40"/>
      <w:szCs w:val="40"/>
      <w:lang w:val="zh-TW" w:eastAsia="zh-TW" w:bidi="zh-TW"/>
    </w:rPr>
  </w:style>
  <w:style w:type="paragraph" w:styleId="1100" w:customStyle="1">
    <w:name w:val="Heading #2|1"/>
    <w:basedOn w:val="762"/>
    <w:link w:val="1099"/>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01" w:customStyle="1">
    <w:name w:val="font51"/>
    <w:uiPriority w:val="0"/>
    <w:qFormat/>
    <w:rPr>
      <w:rFonts w:hint="eastAsia" w:ascii="宋体" w:hAnsi="宋体" w:eastAsia="宋体" w:cs="宋体"/>
      <w:color w:val="000000"/>
      <w:sz w:val="20"/>
      <w:szCs w:val="20"/>
      <w:u w:val="none"/>
    </w:rPr>
  </w:style>
  <w:style w:type="character" w:styleId="1102" w:customStyle="1">
    <w:name w:val="z-窗体底端 Char1"/>
    <w:link w:val="1103"/>
    <w:uiPriority w:val="0"/>
    <w:qFormat/>
    <w:rPr>
      <w:rFonts w:ascii="Arial" w:hAnsi="Arial" w:cs="Arial"/>
      <w:vanish/>
      <w:sz w:val="16"/>
      <w:szCs w:val="16"/>
    </w:rPr>
  </w:style>
  <w:style w:type="paragraph" w:styleId="1103" w:customStyle="1">
    <w:name w:val="z-窗体底端2"/>
    <w:basedOn w:val="762"/>
    <w:next w:val="762"/>
    <w:link w:val="1102"/>
    <w:uiPriority w:val="0"/>
    <w:qFormat/>
    <w:pPr>
      <w:jc w:val="center"/>
      <w:pBdr>
        <w:top w:val="single" w:color="000000" w:sz="6" w:space="1"/>
      </w:pBdr>
    </w:pPr>
    <w:rPr>
      <w:rFonts w:ascii="Arial" w:hAnsi="Arial" w:eastAsia="宋体" w:cs="Arial"/>
      <w:vanish/>
      <w:sz w:val="16"/>
      <w:szCs w:val="16"/>
    </w:rPr>
  </w:style>
  <w:style w:type="paragraph" w:styleId="1104" w:customStyle="1">
    <w:name w:val="样式 标题 2 + Times New Roman 四号 非加粗 段前: 5 磅 段后: 0 磅 行距: 固定值 20..."/>
    <w:basedOn w:val="996"/>
    <w:uiPriority w:val="0"/>
    <w:qFormat/>
    <w:pPr>
      <w:jc w:val="center"/>
      <w:spacing w:before="100" w:after="0" w:line="400" w:lineRule="exact"/>
    </w:pPr>
    <w:rPr>
      <w:rFonts w:ascii="Times New Roman" w:hAnsi="Times New Roman" w:cs="宋体"/>
      <w:b w:val="0"/>
      <w:bCs w:val="0"/>
      <w:sz w:val="28"/>
      <w:szCs w:val="20"/>
    </w:rPr>
  </w:style>
  <w:style w:type="paragraph" w:styleId="1105" w:customStyle="1">
    <w:name w:val="正文首行缩进两字符"/>
    <w:basedOn w:val="762"/>
    <w:uiPriority w:val="0"/>
    <w:qFormat/>
    <w:pPr>
      <w:ind w:firstLine="200"/>
      <w:spacing w:line="360" w:lineRule="auto"/>
    </w:pPr>
    <w:rPr>
      <w:rFonts w:eastAsia="宋体"/>
      <w:sz w:val="21"/>
      <w:szCs w:val="24"/>
    </w:rPr>
  </w:style>
  <w:style w:type="paragraph" w:styleId="1106" w:customStyle="1">
    <w:name w:val="red"/>
    <w:basedOn w:val="762"/>
    <w:uiPriority w:val="0"/>
    <w:qFormat/>
    <w:pPr>
      <w:jc w:val="left"/>
      <w:spacing w:before="100" w:beforeAutospacing="1" w:after="100" w:afterAutospacing="1"/>
      <w:widowControl/>
    </w:pPr>
    <w:rPr>
      <w:rFonts w:ascii="宋体" w:hAnsi="宋体" w:eastAsia="宋体" w:cs="宋体"/>
      <w:sz w:val="21"/>
      <w:szCs w:val="21"/>
    </w:rPr>
  </w:style>
  <w:style w:type="paragraph" w:styleId="1107" w:customStyle="1">
    <w:name w:val="z-窗体底端3"/>
    <w:basedOn w:val="762"/>
    <w:next w:val="762"/>
    <w:uiPriority w:val="0"/>
    <w:unhideWhenUsed/>
    <w:qFormat/>
    <w:pPr>
      <w:jc w:val="center"/>
      <w:pBdr>
        <w:top w:val="single" w:color="000000" w:sz="6" w:space="1"/>
      </w:pBdr>
    </w:pPr>
    <w:rPr>
      <w:rFonts w:ascii="Arial" w:hAnsi="Arial" w:eastAsia="宋体" w:cs="Arial"/>
      <w:vanish/>
      <w:sz w:val="16"/>
      <w:szCs w:val="16"/>
    </w:rPr>
  </w:style>
  <w:style w:type="paragraph" w:styleId="1108" w:customStyle="1">
    <w:name w:val="_Style 4"/>
    <w:basedOn w:val="762"/>
    <w:next w:val="762"/>
    <w:uiPriority w:val="0"/>
    <w:qFormat/>
    <w:pPr>
      <w:ind w:firstLine="420"/>
    </w:pPr>
    <w:rPr>
      <w:rFonts w:ascii="Calibri" w:hAnsi="Calibri" w:eastAsia="宋体"/>
      <w:sz w:val="21"/>
      <w:szCs w:val="22"/>
    </w:rPr>
  </w:style>
  <w:style w:type="paragraph" w:styleId="1109"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1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默认段落字体 Para Char Char Char Char Char Char Char"/>
    <w:basedOn w:val="762"/>
    <w:uiPriority w:val="0"/>
    <w:qFormat/>
    <w:rPr>
      <w:rFonts w:ascii="Tahoma" w:hAnsi="Tahoma" w:eastAsia="宋体"/>
      <w:sz w:val="24"/>
    </w:rPr>
  </w:style>
  <w:style w:type="paragraph" w:styleId="1112" w:customStyle="1">
    <w:name w:val="Char"/>
    <w:basedOn w:val="762"/>
    <w:uiPriority w:val="0"/>
    <w:qFormat/>
    <w:rPr>
      <w:rFonts w:ascii="Tahoma" w:hAnsi="Tahoma" w:eastAsia="宋体"/>
      <w:sz w:val="24"/>
    </w:rPr>
  </w:style>
  <w:style w:type="paragraph" w:styleId="1113" w:customStyle="1">
    <w:name w:val="样式1"/>
    <w:basedOn w:val="998"/>
    <w:uiPriority w:val="0"/>
    <w:qFormat/>
    <w:pPr>
      <w:jc w:val="left"/>
      <w:spacing w:before="0" w:after="0" w:line="240" w:lineRule="auto"/>
    </w:pPr>
    <w:rPr>
      <w:rFonts w:ascii="黑体" w:hAnsi="宋体" w:eastAsia="黑体" w:cs="黑体"/>
      <w:b w:val="0"/>
      <w:color w:val="000000"/>
      <w:sz w:val="21"/>
    </w:rPr>
  </w:style>
  <w:style w:type="paragraph" w:styleId="1114" w:customStyle="1">
    <w:name w:val="修订1"/>
    <w:uiPriority w:val="99"/>
    <w:unhideWhenUsed/>
    <w:qFormat/>
    <w:rPr>
      <w:rFonts w:ascii="Times New Roman" w:hAnsi="Times New Roman" w:eastAsia="楷体_GB2312" w:cs="Times New Roman"/>
      <w:sz w:val="26"/>
      <w:lang w:val="en-US" w:eastAsia="zh-CN" w:bidi="ar-SA"/>
    </w:rPr>
  </w:style>
  <w:style w:type="paragraph" w:styleId="1115" w:customStyle="1">
    <w:name w:val="列出段落2"/>
    <w:basedOn w:val="762"/>
    <w:uiPriority w:val="0"/>
    <w:qFormat/>
    <w:pPr>
      <w:ind w:firstLine="420"/>
    </w:pPr>
  </w:style>
  <w:style w:type="paragraph" w:styleId="1116" w:customStyle="1">
    <w:name w:val="样式 样式 宋体 + 首行缩进:  1 字符"/>
    <w:basedOn w:val="1117"/>
    <w:uiPriority w:val="0"/>
    <w:qFormat/>
    <w:pPr>
      <w:spacing w:line="240" w:lineRule="auto"/>
    </w:pPr>
  </w:style>
  <w:style w:type="paragraph" w:styleId="1117" w:customStyle="1">
    <w:name w:val="样式 宋体"/>
    <w:basedOn w:val="762"/>
    <w:uiPriority w:val="0"/>
    <w:qFormat/>
    <w:pPr>
      <w:ind w:firstLine="100"/>
      <w:spacing w:line="360" w:lineRule="auto"/>
    </w:pPr>
    <w:rPr>
      <w:rFonts w:ascii="宋体" w:hAnsi="宋体" w:eastAsia="宋体" w:cs="宋体"/>
      <w:sz w:val="21"/>
    </w:rPr>
  </w:style>
  <w:style w:type="paragraph" w:styleId="1118" w:customStyle="1">
    <w:name w:val="正文1"/>
    <w:basedOn w:val="762"/>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19" w:customStyle="1">
    <w:name w:val="正文 + 黑体"/>
    <w:basedOn w:val="762"/>
    <w:uiPriority w:val="0"/>
    <w:qFormat/>
    <w:pPr>
      <w:jc w:val="left"/>
    </w:pPr>
    <w:rPr>
      <w:rFonts w:ascii="黑体" w:hAnsi="宋体" w:eastAsia="黑体" w:cs="TimesNewRomanPSMT"/>
      <w:sz w:val="24"/>
      <w:szCs w:val="24"/>
    </w:rPr>
  </w:style>
  <w:style w:type="paragraph" w:styleId="1120" w:customStyle="1">
    <w:name w:val="1"/>
    <w:basedOn w:val="762"/>
    <w:uiPriority w:val="0"/>
    <w:qFormat/>
    <w:rPr>
      <w:rFonts w:eastAsia="宋体"/>
      <w:sz w:val="21"/>
      <w:szCs w:val="24"/>
    </w:rPr>
  </w:style>
  <w:style w:type="paragraph" w:styleId="1121" w:customStyle="1">
    <w:name w:val="[基本段落]"/>
    <w:basedOn w:val="762"/>
    <w:uiPriority w:val="99"/>
    <w:qFormat/>
    <w:pPr>
      <w:jc w:val="left"/>
      <w:spacing w:line="288" w:lineRule="auto"/>
    </w:pPr>
    <w:rPr>
      <w:rFonts w:ascii="Myriad Roman" w:hAnsi="Myriad Roman" w:cs="Myriad Roman"/>
      <w:color w:val="000000"/>
      <w:sz w:val="24"/>
    </w:rPr>
  </w:style>
  <w:style w:type="paragraph" w:styleId="1122" w:customStyle="1">
    <w:name w:val="纯文本4"/>
    <w:basedOn w:val="762"/>
    <w:uiPriority w:val="0"/>
    <w:qFormat/>
    <w:rPr>
      <w:rFonts w:ascii="宋体" w:hAnsi="Courier New" w:eastAsia="宋体"/>
      <w:sz w:val="28"/>
      <w:szCs w:val="24"/>
    </w:rPr>
  </w:style>
  <w:style w:type="paragraph" w:styleId="1123" w:customStyle="1">
    <w:name w:val="Address"/>
    <w:basedOn w:val="762"/>
    <w:uiPriority w:val="0"/>
    <w:qFormat/>
    <w:pPr>
      <w:jc w:val="left"/>
      <w:spacing w:line="249" w:lineRule="auto"/>
      <w:widowControl/>
    </w:pPr>
    <w:rPr>
      <w:rFonts w:ascii="Centaur" w:hAnsi="Centaur"/>
      <w:sz w:val="20"/>
      <w:lang w:eastAsia="en-US"/>
    </w:rPr>
  </w:style>
  <w:style w:type="paragraph" w:styleId="1124" w:customStyle="1">
    <w:name w:val="金安桥正文"/>
    <w:basedOn w:val="824"/>
    <w:uiPriority w:val="0"/>
    <w:qFormat/>
    <w:pPr>
      <w:ind w:firstLine="200"/>
      <w:jc w:val="left"/>
      <w:spacing w:line="300" w:lineRule="auto"/>
    </w:pPr>
    <w:rPr>
      <w:rFonts w:ascii="Times New Roman"/>
      <w:sz w:val="24"/>
    </w:rPr>
  </w:style>
  <w:style w:type="paragraph" w:styleId="1125" w:customStyle="1">
    <w:name w:val="普通正文"/>
    <w:basedOn w:val="762"/>
    <w:uiPriority w:val="0"/>
    <w:qFormat/>
    <w:pPr>
      <w:ind w:firstLine="480"/>
      <w:jc w:val="left"/>
      <w:spacing w:before="120" w:after="120" w:line="360" w:lineRule="auto"/>
    </w:pPr>
    <w:rPr>
      <w:rFonts w:ascii="Arial" w:hAnsi="Arial"/>
      <w:sz w:val="24"/>
    </w:rPr>
  </w:style>
  <w:style w:type="paragraph" w:styleId="1126" w:customStyle="1">
    <w:name w:val="纯文本11"/>
    <w:basedOn w:val="762"/>
    <w:uiPriority w:val="0"/>
    <w:qFormat/>
    <w:rPr>
      <w:rFonts w:ascii="宋体" w:hAnsi="Courier New"/>
    </w:rPr>
  </w:style>
  <w:style w:type="paragraph" w:styleId="1127" w:customStyle="1">
    <w:name w:val="WPS Plain"/>
    <w:uiPriority w:val="0"/>
    <w:qFormat/>
    <w:rPr>
      <w:rFonts w:ascii="Times New Roman" w:hAnsi="Times New Roman" w:eastAsia="宋体" w:cs="Times New Roman"/>
      <w:lang w:val="en-US" w:eastAsia="zh-CN" w:bidi="ar-SA"/>
    </w:rPr>
  </w:style>
  <w:style w:type="paragraph" w:styleId="1128" w:customStyle="1">
    <w:name w:val="p0"/>
    <w:basedOn w:val="762"/>
    <w:uiPriority w:val="0"/>
    <w:qFormat/>
    <w:pPr>
      <w:widowControl/>
    </w:pPr>
    <w:rPr>
      <w:rFonts w:ascii="黑体" w:hAnsi="黑体"/>
      <w:szCs w:val="21"/>
    </w:rPr>
  </w:style>
  <w:style w:type="paragraph" w:styleId="1129" w:customStyle="1">
    <w:name w:val="首行缩进"/>
    <w:basedOn w:val="762"/>
    <w:uiPriority w:val="0"/>
    <w:qFormat/>
    <w:pPr>
      <w:ind w:firstLine="480"/>
      <w:spacing w:line="360" w:lineRule="auto"/>
    </w:pPr>
    <w:rPr>
      <w:rFonts w:hAnsi="宋体" w:eastAsia="宋体" w:cs="宋体"/>
      <w:sz w:val="24"/>
      <w:szCs w:val="24"/>
    </w:rPr>
  </w:style>
  <w:style w:type="paragraph" w:styleId="1130" w:customStyle="1">
    <w:name w:val="Char1"/>
    <w:basedOn w:val="762"/>
    <w:uiPriority w:val="0"/>
    <w:qFormat/>
    <w:pPr>
      <w:tabs>
        <w:tab w:val="left" w:pos="360" w:leader="none"/>
      </w:tabs>
    </w:pPr>
    <w:rPr>
      <w:rFonts w:eastAsia="宋体"/>
      <w:sz w:val="24"/>
      <w:szCs w:val="24"/>
    </w:rPr>
  </w:style>
  <w:style w:type="paragraph" w:styleId="1131" w:customStyle="1">
    <w:name w:val="z-窗体顶端2"/>
    <w:basedOn w:val="762"/>
    <w:next w:val="762"/>
    <w:uiPriority w:val="0"/>
    <w:unhideWhenUsed/>
    <w:qFormat/>
    <w:pPr>
      <w:jc w:val="center"/>
      <w:pBdr>
        <w:bottom w:val="single" w:color="000000" w:sz="6" w:space="1"/>
      </w:pBdr>
    </w:pPr>
    <w:rPr>
      <w:rFonts w:ascii="Arial" w:hAnsi="Arial" w:eastAsia="宋体" w:cs="Arial"/>
      <w:vanish/>
      <w:sz w:val="16"/>
      <w:szCs w:val="16"/>
    </w:rPr>
  </w:style>
  <w:style w:type="paragraph" w:styleId="1132" w:customStyle="1">
    <w:name w:val="样式 标题 3 + (中文) 黑体 小四 非加粗 段前: 7.8 磅 段后: 0 磅 行距: 固定值 20 磅"/>
    <w:basedOn w:val="997"/>
    <w:next w:val="762"/>
    <w:uiPriority w:val="0"/>
    <w:qFormat/>
    <w:pPr>
      <w:spacing w:before="0" w:after="0" w:line="400" w:lineRule="exact"/>
    </w:pPr>
    <w:rPr>
      <w:rFonts w:eastAsia="宋体"/>
      <w:sz w:val="24"/>
      <w:szCs w:val="20"/>
    </w:rPr>
  </w:style>
  <w:style w:type="paragraph" w:styleId="1133"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34">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35" w:customStyle="1">
    <w:name w:val="Char Char Char Char Char Char Char Char Char Char"/>
    <w:basedOn w:val="762"/>
    <w:uiPriority w:val="0"/>
    <w:qFormat/>
    <w:pPr>
      <w:ind w:hanging="425"/>
      <w:keepNext/>
      <w:spacing w:before="80" w:after="80"/>
      <w:widowControl/>
      <w:tabs>
        <w:tab w:val="left" w:pos="425" w:leader="none"/>
      </w:tabs>
    </w:pPr>
    <w:rPr>
      <w:rFonts w:eastAsia="宋体"/>
      <w:sz w:val="20"/>
    </w:rPr>
  </w:style>
  <w:style w:type="paragraph" w:styleId="1136" w:customStyle="1">
    <w:name w:val="Style1"/>
    <w:basedOn w:val="762"/>
    <w:uiPriority w:val="0"/>
    <w:qFormat/>
    <w:pPr>
      <w:spacing w:after="120"/>
      <w:widowControl/>
      <w:tabs>
        <w:tab w:val="left" w:pos="-720" w:leader="none"/>
      </w:tabs>
    </w:pPr>
    <w:rPr>
      <w:spacing w:val="-3"/>
      <w:sz w:val="24"/>
      <w:lang w:val="en-AU" w:eastAsia="en-US"/>
    </w:rPr>
  </w:style>
  <w:style w:type="paragraph" w:styleId="1137" w:customStyle="1">
    <w:name w:val="样式2"/>
    <w:basedOn w:val="762"/>
    <w:next w:val="999"/>
    <w:uiPriority w:val="0"/>
    <w:qFormat/>
    <w:pPr>
      <w:jc w:val="center"/>
    </w:pPr>
    <w:rPr>
      <w:rFonts w:ascii="宋体" w:hAnsi="宋体" w:eastAsia="宋体" w:cs="Arial"/>
      <w:b/>
      <w:color w:val="000000"/>
      <w:sz w:val="21"/>
      <w:szCs w:val="21"/>
    </w:rPr>
  </w:style>
  <w:style w:type="paragraph" w:styleId="1138" w:customStyle="1">
    <w:name w:val="纯文本3"/>
    <w:basedOn w:val="762"/>
    <w:uiPriority w:val="0"/>
    <w:qFormat/>
    <w:rPr>
      <w:rFonts w:hint="eastAsia" w:ascii="宋体" w:hAnsi="Courier New"/>
      <w:sz w:val="28"/>
    </w:rPr>
  </w:style>
  <w:style w:type="paragraph" w:styleId="1139" w:customStyle="1">
    <w:name w:val="Table Paragraph"/>
    <w:basedOn w:val="762"/>
    <w:uiPriority w:val="1"/>
    <w:qFormat/>
  </w:style>
  <w:style w:type="table" w:styleId="1140" w:customStyle="1">
    <w:name w:val="Table Normal"/>
    <w:uiPriority w:val="2"/>
    <w:unhideWhenUsed/>
    <w:qFormat/>
    <w:tblPr>
      <w:tblCellMar>
        <w:left w:w="0" w:type="dxa"/>
        <w:top w:w="0" w:type="dxa"/>
        <w:right w:w="0" w:type="dxa"/>
        <w:bottom w:w="0" w:type="dxa"/>
      </w:tblCellMar>
    </w:tblPr>
  </w:style>
  <w:style w:type="paragraph" w:styleId="1141" w:customStyle="1">
    <w:name w:val="段"/>
    <w:next w:val="762"/>
    <w:uiPriority w:val="0"/>
    <w:qFormat/>
    <w:pPr>
      <w:ind w:firstLine="200"/>
      <w:jc w:val="both"/>
    </w:pPr>
    <w:rPr>
      <w:rFonts w:ascii="宋体" w:hAnsi="Times New Roman" w:eastAsia="宋体" w:cs="Times New Roman"/>
      <w:sz w:val="21"/>
      <w:szCs w:val="22"/>
      <w:lang w:val="en-US" w:eastAsia="zh-CN" w:bidi="ar-SA"/>
    </w:rPr>
  </w:style>
  <w:style w:type="paragraph" w:styleId="1142" w:customStyle="1">
    <w:name w:val="纯文本111"/>
    <w:basedOn w:val="762"/>
    <w:uiPriority w:val="0"/>
    <w:qFormat/>
    <w:rPr>
      <w:rFonts w:ascii="宋体" w:hAnsi="Courier New"/>
    </w:rPr>
  </w:style>
  <w:style w:type="character" w:styleId="1143" w:customStyle="1">
    <w:name w:val="纯文本 字符"/>
    <w:basedOn w:val="772"/>
    <w:link w:val="790"/>
    <w:uiPriority w:val="0"/>
    <w:qFormat/>
    <w:rPr>
      <w:rFonts w:hint="eastAsia" w:ascii="宋体" w:hAnsi="Courier New" w:eastAsia="宋体" w:cs="Courier New"/>
      <w:sz w:val="26"/>
    </w:rPr>
  </w:style>
  <w:style w:type="character" w:styleId="1144" w:customStyle="1">
    <w:name w:val="未处理的提及1"/>
    <w:basedOn w:val="772"/>
    <w:uiPriority w:val="99"/>
    <w:semiHidden/>
    <w:unhideWhenUsed/>
    <w:qFormat/>
    <w:rPr>
      <w:color w:val="605e5c"/>
      <w:shd w:val="clear" w:color="auto" w:fill="e1dfdd"/>
    </w:rPr>
  </w:style>
  <w:style w:type="character" w:styleId="1145" w:customStyle="1">
    <w:name w:val="未处理的提及2"/>
    <w:basedOn w:val="772"/>
    <w:uiPriority w:val="99"/>
    <w:semiHidden/>
    <w:unhideWhenUsed/>
    <w:qFormat/>
    <w:rPr>
      <w:color w:val="605e5c"/>
      <w:shd w:val="clear" w:color="auto" w:fill="e1dfdd"/>
    </w:rPr>
  </w:style>
  <w:style w:type="character" w:styleId="1146" w:customStyle="1">
    <w:name w:val="font41"/>
    <w:basedOn w:val="772"/>
    <w:uiPriority w:val="0"/>
    <w:qFormat/>
    <w:rPr>
      <w:rFonts w:ascii="黑体" w:hAnsi="宋体" w:eastAsia="黑体" w:cs="黑体"/>
      <w:color w:val="000000"/>
      <w:sz w:val="18"/>
      <w:szCs w:val="18"/>
      <w:u w:val="none"/>
    </w:rPr>
  </w:style>
  <w:style w:type="character" w:styleId="1147" w:customStyle="1">
    <w:name w:val="font31"/>
    <w:basedOn w:val="772"/>
    <w:uiPriority w:val="0"/>
    <w:qFormat/>
    <w:rPr>
      <w:rFonts w:ascii="FZFangSong-Z02" w:hAnsi="FZFangSong-Z02" w:eastAsia="FZFangSong-Z02" w:cs="FZFangSong-Z02"/>
      <w:color w:val="000000"/>
      <w:sz w:val="18"/>
      <w:szCs w:val="18"/>
      <w:u w:val="none"/>
    </w:rPr>
  </w:style>
  <w:style w:type="paragraph" w:styleId="1148" w:customStyle="1">
    <w:name w:val="Table Text"/>
    <w:basedOn w:val="762"/>
    <w:uiPriority w:val="0"/>
    <w:semiHidden/>
    <w:qFormat/>
    <w:rPr>
      <w:rFonts w:ascii="宋体" w:hAnsi="宋体" w:eastAsia="宋体" w:cs="宋体"/>
      <w:sz w:val="20"/>
      <w:lang w:eastAsia="en-US"/>
    </w:rPr>
  </w:style>
  <w:style w:type="character" w:styleId="1149" w:customStyle="1">
    <w:name w:val="正文缩进 字符"/>
    <w:link w:val="782"/>
    <w:uiPriority w:val="0"/>
    <w:qFormat/>
    <w:rPr>
      <w:rFonts w:eastAsia="楷体_GB2312"/>
      <w:sz w:val="24"/>
    </w:rPr>
  </w:style>
  <w:style w:type="paragraph" w:styleId="1150" w:customStyle="1">
    <w:name w:val="正文(其它)"/>
    <w:basedOn w:val="762"/>
    <w:uiPriority w:val="0"/>
    <w:qFormat/>
    <w:pPr>
      <w:jc w:val="center"/>
      <w:spacing w:line="312" w:lineRule="auto"/>
    </w:pPr>
    <w:rPr>
      <w:rFonts w:ascii="黑体" w:eastAsia="黑体"/>
      <w:sz w:val="32"/>
      <w:szCs w:val="32"/>
    </w:rPr>
  </w:style>
  <w:style w:type="character" w:styleId="1151" w:customStyle="1">
    <w:name w:val="jj101"/>
    <w:uiPriority w:val="0"/>
    <w:qFormat/>
    <w:rPr>
      <w:sz w:val="20"/>
      <w:szCs w:val="20"/>
      <w:u w:val="none"/>
    </w:rPr>
  </w:style>
  <w:style w:type="character" w:styleId="1152" w:customStyle="1">
    <w:name w:val="apple-style-span"/>
    <w:basedOn w:val="772"/>
    <w:uiPriority w:val="0"/>
    <w:qFormat/>
  </w:style>
  <w:style w:type="paragraph" w:styleId="1153" w:customStyle="1">
    <w:name w:val="xl31"/>
    <w:basedOn w:val="762"/>
    <w:next w:val="774"/>
    <w:uiPriority w:val="0"/>
    <w:qFormat/>
    <w:pPr>
      <w:ind w:firstLine="3584"/>
      <w:spacing w:before="280" w:after="280"/>
      <w:widowControl/>
    </w:pPr>
  </w:style>
  <w:style w:type="paragraph" w:styleId="1154" w:customStyle="1">
    <w:name w:val="样式 小四 段前: 5 磅 段后: 5 磅 首行缩进:  2 字符"/>
    <w:basedOn w:val="762"/>
    <w:uiPriority w:val="0"/>
    <w:qFormat/>
    <w:pPr>
      <w:spacing w:line="360" w:lineRule="auto"/>
    </w:pPr>
    <w:rPr>
      <w:rFonts w:ascii="宋体" w:hAnsi="宋体"/>
      <w:szCs w:val="21"/>
    </w:rPr>
  </w:style>
  <w:style w:type="character" w:styleId="1155" w:customStyle="1">
    <w:name w:val="hover"/>
    <w:basedOn w:val="772"/>
    <w:uiPriority w:val="0"/>
    <w:qFormat/>
    <w:rPr>
      <w:color w:val="2590eb"/>
      <w:shd w:val="clear" w:color="auto" w:fill="e9f4fd"/>
    </w:rPr>
  </w:style>
  <w:style w:type="character" w:styleId="1156" w:customStyle="1">
    <w:name w:val="hover1"/>
    <w:basedOn w:val="772"/>
    <w:uiPriority w:val="0"/>
    <w:qFormat/>
  </w:style>
  <w:style w:type="character" w:styleId="1157" w:customStyle="1">
    <w:name w:val="hover2"/>
    <w:basedOn w:val="772"/>
    <w:uiPriority w:val="0"/>
    <w:qFormat/>
    <w:rPr>
      <w:color w:val="2590eb"/>
    </w:rPr>
  </w:style>
  <w:style w:type="character" w:styleId="1158" w:customStyle="1">
    <w:name w:val="hover3"/>
    <w:basedOn w:val="772"/>
    <w:uiPriority w:val="0"/>
    <w:qFormat/>
    <w:rPr>
      <w:color w:val="2590eb"/>
    </w:rPr>
  </w:style>
  <w:style w:type="paragraph" w:styleId="1159" w:customStyle="1">
    <w:name w:val="注释标题1"/>
    <w:basedOn w:val="762"/>
    <w:next w:val="762"/>
    <w:uiPriority w:val="0"/>
    <w:qFormat/>
    <w:pPr>
      <w:ind w:firstLine="480"/>
      <w:jc w:val="center"/>
      <w:spacing w:line="360" w:lineRule="auto"/>
    </w:pPr>
    <w:rPr>
      <w:rFonts w:eastAsia="宋体"/>
      <w:sz w:val="21"/>
      <w:szCs w:val="24"/>
      <w:lang w:val="zh-CN"/>
    </w:rPr>
  </w:style>
  <w:style w:type="paragraph" w:styleId="1160" w:customStyle="1">
    <w:name w:val="列表段落1"/>
    <w:basedOn w:val="762"/>
    <w:uiPriority w:val="34"/>
    <w:qFormat/>
    <w:pPr>
      <w:ind w:firstLine="420"/>
    </w:pPr>
    <w:rPr>
      <w:rFonts w:eastAsia="宋体"/>
      <w:sz w:val="21"/>
      <w:szCs w:val="24"/>
    </w:rPr>
  </w:style>
  <w:style w:type="character" w:styleId="1161" w:customStyle="1">
    <w:name w:val="明显强调1"/>
    <w:basedOn w:val="772"/>
    <w:uiPriority w:val="21"/>
    <w:qFormat/>
    <w:rPr>
      <w:i/>
      <w:iCs/>
      <w:color w:val="0f4761"/>
    </w:rPr>
  </w:style>
  <w:style w:type="character" w:styleId="1162" w:customStyle="1">
    <w:name w:val="明显参考1"/>
    <w:basedOn w:val="772"/>
    <w:uiPriority w:val="32"/>
    <w:qFormat/>
    <w:rPr>
      <w:b/>
      <w:bCs/>
      <w:smallCaps/>
      <w:color w:val="0f4761"/>
      <w:spacing w:val="5"/>
    </w:rPr>
  </w:style>
  <w:style w:type="table" w:styleId="1163" w:customStyle="1">
    <w:name w:val="网格型2"/>
    <w:basedOn w:val="77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4" w:customStyle="1">
    <w:name w:val="网格型11"/>
    <w:basedOn w:val="77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5" w:customStyle="1">
    <w:name w:val="msonormal"/>
    <w:basedOn w:val="762"/>
    <w:uiPriority w:val="0"/>
    <w:qFormat/>
    <w:pPr>
      <w:jc w:val="left"/>
      <w:spacing w:before="100" w:beforeAutospacing="1" w:after="100" w:afterAutospacing="1"/>
      <w:widowControl/>
    </w:pPr>
    <w:rPr>
      <w:rFonts w:ascii="宋体" w:hAnsi="宋体" w:eastAsia="宋体" w:cs="宋体"/>
      <w:sz w:val="24"/>
      <w:szCs w:val="24"/>
    </w:rPr>
  </w:style>
  <w:style w:type="paragraph" w:styleId="1166" w:customStyle="1">
    <w:name w:val="font0"/>
    <w:basedOn w:val="762"/>
    <w:uiPriority w:val="0"/>
    <w:qFormat/>
    <w:pPr>
      <w:jc w:val="left"/>
      <w:spacing w:before="100" w:beforeAutospacing="1" w:after="100" w:afterAutospacing="1"/>
      <w:widowControl/>
    </w:pPr>
    <w:rPr>
      <w:rFonts w:ascii="宋体" w:hAnsi="宋体" w:eastAsia="宋体" w:cs="宋体"/>
      <w:sz w:val="24"/>
      <w:szCs w:val="24"/>
    </w:rPr>
  </w:style>
  <w:style w:type="paragraph" w:styleId="1167" w:customStyle="1">
    <w:name w:val="font5"/>
    <w:basedOn w:val="762"/>
    <w:uiPriority w:val="0"/>
    <w:qFormat/>
    <w:pPr>
      <w:jc w:val="left"/>
      <w:spacing w:before="100" w:beforeAutospacing="1" w:after="100" w:afterAutospacing="1"/>
      <w:widowControl/>
    </w:pPr>
    <w:rPr>
      <w:rFonts w:ascii="宋体" w:hAnsi="宋体" w:eastAsia="宋体" w:cs="宋体"/>
      <w:sz w:val="18"/>
      <w:szCs w:val="18"/>
    </w:rPr>
  </w:style>
  <w:style w:type="paragraph" w:styleId="1168" w:customStyle="1">
    <w:name w:val="font6"/>
    <w:basedOn w:val="762"/>
    <w:uiPriority w:val="0"/>
    <w:qFormat/>
    <w:pPr>
      <w:jc w:val="left"/>
      <w:spacing w:before="100" w:beforeAutospacing="1" w:after="100" w:afterAutospacing="1"/>
      <w:widowControl/>
    </w:pPr>
    <w:rPr>
      <w:rFonts w:ascii="宋体" w:hAnsi="宋体" w:eastAsia="宋体" w:cs="宋体"/>
      <w:b/>
      <w:bCs/>
      <w:sz w:val="24"/>
      <w:szCs w:val="24"/>
    </w:rPr>
  </w:style>
  <w:style w:type="paragraph" w:styleId="1169" w:customStyle="1">
    <w:name w:val="font7"/>
    <w:basedOn w:val="762"/>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70" w:customStyle="1">
    <w:name w:val="font8"/>
    <w:basedOn w:val="762"/>
    <w:uiPriority w:val="0"/>
    <w:qFormat/>
    <w:pPr>
      <w:jc w:val="left"/>
      <w:spacing w:before="100" w:beforeAutospacing="1" w:after="100" w:afterAutospacing="1"/>
      <w:widowControl/>
    </w:pPr>
    <w:rPr>
      <w:rFonts w:ascii="宋体" w:hAnsi="宋体" w:eastAsia="宋体" w:cs="宋体"/>
      <w:sz w:val="24"/>
      <w:szCs w:val="24"/>
    </w:rPr>
  </w:style>
  <w:style w:type="paragraph" w:styleId="1171" w:customStyle="1">
    <w:name w:val="font9"/>
    <w:basedOn w:val="762"/>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72" w:customStyle="1">
    <w:name w:val="font10"/>
    <w:basedOn w:val="762"/>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73" w:customStyle="1">
    <w:name w:val="xl65"/>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4" w:customStyle="1">
    <w:name w:val="xl66"/>
    <w:basedOn w:val="76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5" w:customStyle="1">
    <w:name w:val="xl6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6" w:customStyle="1">
    <w:name w:val="xl6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7" w:customStyle="1">
    <w:name w:val="xl69"/>
    <w:basedOn w:val="76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78" w:customStyle="1">
    <w:name w:val="xl70"/>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9" w:customStyle="1">
    <w:name w:val="xl71"/>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80" w:customStyle="1">
    <w:name w:val="xl7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1" w:customStyle="1">
    <w:name w:val="xl7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2" w:customStyle="1">
    <w:name w:val="xl7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83" w:customStyle="1">
    <w:name w:val="xl75"/>
    <w:basedOn w:val="762"/>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4" w:customStyle="1">
    <w:name w:val="xl7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85" w:customStyle="1">
    <w:name w:val="xl7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6" w:customStyle="1">
    <w:name w:val="xl7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7" w:customStyle="1">
    <w:name w:val="xl79"/>
    <w:basedOn w:val="76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88" w:customStyle="1">
    <w:name w:val="xl80"/>
    <w:basedOn w:val="76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9" w:customStyle="1">
    <w:name w:val="xl8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190" w:customStyle="1">
    <w:name w:val="正文文本缩进 字符"/>
    <w:basedOn w:val="772"/>
    <w:link w:val="785"/>
    <w:uiPriority w:val="0"/>
    <w:qFormat/>
    <w:rPr>
      <w:rFonts w:ascii="楷体_GB2312" w:eastAsia="楷体_GB2312" w:hAnsiTheme="minorHAnsi" w:cstheme="minorBidi"/>
      <w:sz w:val="32"/>
      <w:szCs w:val="22"/>
    </w:rPr>
  </w:style>
  <w:style w:type="paragraph" w:styleId="1191" w:customStyle="1">
    <w:name w:val="acbfdd8b-e11b-4d36-88ff-6049b138f862"/>
    <w:basedOn w:val="762"/>
    <w:link w:val="1192"/>
    <w:uiPriority w:val="0"/>
    <w:qFormat/>
    <w:pPr>
      <w:jc w:val="left"/>
      <w:spacing w:line="288" w:lineRule="auto"/>
    </w:pPr>
    <w:rPr>
      <w:rFonts w:ascii="微软雅黑" w:hAnsi="微软雅黑" w:eastAsia="微软雅黑"/>
      <w:color w:val="000000"/>
      <w:sz w:val="22"/>
      <w:szCs w:val="28"/>
    </w:rPr>
  </w:style>
  <w:style w:type="character" w:styleId="1192" w:customStyle="1">
    <w:name w:val="acbfdd8b-e11b-4d36-88ff-6049b138f862 字符"/>
    <w:basedOn w:val="772"/>
    <w:link w:val="1191"/>
    <w:uiPriority w:val="0"/>
    <w:qFormat/>
    <w:rPr>
      <w:rFonts w:ascii="微软雅黑" w:hAnsi="微软雅黑" w:eastAsia="微软雅黑"/>
      <w:color w:val="000000"/>
      <w:sz w:val="22"/>
      <w:szCs w:val="28"/>
    </w:rPr>
  </w:style>
  <w:style w:type="character" w:styleId="1193" w:customStyle="1">
    <w:name w:val="明显强调2"/>
    <w:basedOn w:val="772"/>
    <w:uiPriority w:val="21"/>
    <w:qFormat/>
    <w:rPr>
      <w:i/>
      <w:iCs/>
      <w:color w:val="4f81bd" w:themeColor="accent1"/>
      <w14:textFill>
        <w14:solidFill>
          <w14:schemeClr w14:val="accent1"/>
        </w14:solidFill>
      </w14:textFill>
    </w:rPr>
  </w:style>
  <w:style w:type="character" w:styleId="1194" w:customStyle="1">
    <w:name w:val="明显参考2"/>
    <w:basedOn w:val="772"/>
    <w:uiPriority w:val="32"/>
    <w:qFormat/>
    <w:rPr>
      <w:b/>
      <w:bCs/>
      <w:smallCaps/>
      <w:color w:val="4f81bd" w:themeColor="accent1"/>
      <w:spacing w:val="5"/>
      <w14:textFill>
        <w14:solidFill>
          <w14:schemeClr w14:val="accent1"/>
        </w14:solidFill>
      </w14:textFill>
    </w:rPr>
  </w:style>
  <w:style w:type="paragraph" w:styleId="1195" w:customStyle="1">
    <w:name w:val="BodyTextIndent"/>
    <w:basedOn w:val="762"/>
    <w:uiPriority w:val="0"/>
    <w:qFormat/>
    <w:pPr>
      <w:ind w:firstLine="425"/>
      <w:spacing w:line="360" w:lineRule="auto"/>
    </w:pPr>
  </w:style>
  <w:style w:type="paragraph" w:styleId="1196" w:customStyle="1">
    <w:name w:val="正文文本 21"/>
    <w:basedOn w:val="762"/>
    <w:uiPriority w:val="0"/>
    <w:qFormat/>
    <w:pPr>
      <w:spacing w:after="120" w:line="480" w:lineRule="auto"/>
    </w:pPr>
  </w:style>
  <w:style w:type="paragraph" w:styleId="1197" w:customStyle="1">
    <w:name w:val="_正文段落"/>
    <w:basedOn w:val="762"/>
    <w:uiPriority w:val="0"/>
    <w:qFormat/>
    <w:pPr>
      <w:ind w:firstLine="200"/>
      <w:jc w:val="left"/>
      <w:spacing w:line="360" w:lineRule="auto"/>
    </w:pPr>
    <w:rPr>
      <w:rFonts w:ascii="宋体" w:hAnsi="宋体"/>
      <w:sz w:val="24"/>
    </w:rPr>
  </w:style>
  <w:style w:type="character" w:styleId="1198" w:customStyle="1">
    <w:name w:val="强调1"/>
    <w:basedOn w:val="1199"/>
    <w:uiPriority w:val="20"/>
    <w:qFormat/>
    <w:rPr>
      <w:rFonts w:ascii="Times New Roman" w:hAnsi="Times New Roman" w:eastAsia="楷体_GB2312" w:cs="Times New Roman"/>
      <w:sz w:val="26"/>
      <w:lang w:val="en-US" w:eastAsia="zh-CN" w:bidi="ar-SA"/>
    </w:rPr>
  </w:style>
  <w:style w:type="character" w:styleId="1199" w:customStyle="1">
    <w:name w:val="默认段落字体11"/>
    <w:uiPriority w:val="0"/>
    <w:semiHidden/>
    <w:qFormat/>
  </w:style>
  <w:style w:type="numbering" w:styleId="19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56274683-175b-4df2-a1e6-080d10211d46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4D17DB34</paraID>
      <start>23</start>
      <end>26</end>
      <status>unmodified</status>
      <modifiedWord/>
      <trackRevisions>false</trackRevisions>
    </reviewItem>
    <reviewItem>
      <errorID>79dd3574-fbc4-45ea-80f3-4507af1c57fa</errorID>
      <errorWord>[2020]123号</errorWord>
      <group>L1_Knowledge</group>
      <groupName>知识性问题</groupName>
      <ability>L2_Knowledge</ability>
      <abilityName>其他知识</abilityName>
      <candidateList>
        <item>〔2020〕123号</item>
      </candidateList>
      <explain>发文字号格式错误。</explain>
      <paraID>4D17DB34</paraID>
      <start>50</start>
      <end>60</end>
      <status>modified</status>
      <modifiedWord>〔2020〕123号</modifiedWord>
      <trackRevisions>false</trackRevisions>
    </reviewItem>
    <reviewItem>
      <errorID>6c84a5d4-6b5e-434c-931b-074d1eee2673</errorID>
      <errorWord>rpm</errorWord>
      <group>L1_Word</group>
      <groupName>字词问题</groupName>
      <ability>L2_Typo</ability>
      <abilityName>字词错误</abilityName>
      <candidateList/>
      <explain>非法定单位</explain>
      <paraID>751B8346</paraID>
      <start>138</start>
      <end>141</end>
      <status>unmodified</status>
      <modifiedWord/>
      <trackRevisions>false</trackRevisions>
    </reviewItem>
    <reviewItem>
      <errorID>26d377ee-f96d-4391-bafb-cdc9c8a0cae2</errorID>
      <errorWord>5%-20%</errorWord>
      <group>L1_Knowledge</group>
      <groupName>知识性问题</groupName>
      <ability>L2_Knowledge</ability>
      <abilityName>其他知识</abilityName>
      <candidateList>
        <item>5%—20%</item>
      </candidateList>
      <explain>1. “5%-20%”中的单位“%”仅出现在后一个数字上，容易引起歧义；根据《现代汉语标点符号数字用法规范手册》，数字表示范围两边需要使用统一的格式。2. 根据标点国标 4.13 中的规则，数字、时间或地域连接符应使用（视觉上更长的）“—”或“～”。</explain>
      <paraID>6CBEF932</paraID>
      <start>14</start>
      <end>20</end>
      <status>unmodified</status>
      <modifiedWord/>
      <trackRevisions>false</trackRevisions>
    </reviewItem>
    <reviewItem>
      <errorID>89b63246-7b80-45fa-8eff-2435a8d61ac3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1D846AEF</paraID>
      <start>0</start>
      <end>2</end>
      <status>modified</status>
      <modifiedWord>a）</modifiedWord>
      <trackRevisions>false</trackRevisions>
    </reviewItem>
    <reviewItem>
      <errorID>970c7f36-d4ea-4670-84e0-f2e1ce1e5f3c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8DBC443</paraID>
      <start>0</start>
      <end>2</end>
      <status>modified</status>
      <modifiedWord>b）</modifiedWord>
      <trackRevisions>false</trackRevisions>
    </reviewItem>
    <reviewItem>
      <errorID>e3bdf9c8-3f60-4ad8-a633-f8afb7327ce5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28C10EF6</paraID>
      <start>0</start>
      <end>2</end>
      <status>modified</status>
      <modifiedWord>c）</modifiedWord>
      <trackRevisions>false</trackRevisions>
    </reviewItem>
    <reviewItem>
      <errorID>8b52d71d-baa0-45e1-99c2-89dc7a08b3f3</errorID>
      <errorWord>（</errorWord>
      <group>L1_Format</group>
      <groupName>格式问题</groupName>
      <ability>L2_HalfPunc_CN</ability>
      <abilityName>全半角问题</abilityName>
      <candidateList>
        <item>(</item>
      </candidateList>
      <explain>文本全半角错误。</explain>
      <paraID>28C10EF6</paraID>
      <start>30</start>
      <end>31</end>
      <status>unmodified</status>
      <modifiedWord/>
      <trackRevisions>false</trackRevisions>
    </reviewItem>
    <reviewItem>
      <errorID>70dc257a-8196-4378-8670-1cdc22af1c84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1FBE229F</paraID>
      <start>0</start>
      <end>2</end>
      <status>modified</status>
      <modifiedWord>d）</modifiedWord>
      <trackRevisions>false</trackRevisions>
    </reviewItem>
    <reviewItem>
      <errorID>2a643dc5-c949-47e5-b02e-c79ec9557869</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43CC7A5C</paraID>
      <start>0</start>
      <end>2</end>
      <status>modified</status>
      <modifiedWord>e）</modifiedWord>
      <trackRevisions>false</trackRevisions>
    </reviewItem>
    <reviewItem>
      <errorID>37bce875-4bc0-444c-8656-dc524ac6478e</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4DB7AF80</paraID>
      <start>0</start>
      <end>2</end>
      <status>modified</status>
      <modifiedWord>f）</modifiedWord>
      <trackRevisions>false</trackRevisions>
    </reviewItem>
    <reviewItem>
      <errorID>e8e432d3-a485-4ad2-b4f4-e8bf6dc6e0d0</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252A160</paraID>
      <start>0</start>
      <end>2</end>
      <status>modified</status>
      <modifiedWord>g）</modifiedWord>
      <trackRevisions>false</trackRevisions>
    </reviewItem>
    <reviewItem>
      <errorID>a167d671-9d41-4b72-94b8-6641ec4c97cd</errorID>
      <errorWord>-</errorWord>
      <group>L1_Format</group>
      <groupName>格式问题</groupName>
      <ability>L2_HalfPunc_CN</ability>
      <abilityName>全半角问题</abilityName>
      <candidateList>
        <item>－</item>
      </candidateList>
      <explain>文本全半角错误。</explain>
      <paraID>4FE0DD2B</paraID>
      <start>32</start>
      <end>33</end>
      <status>unmodified</status>
      <modifiedWord/>
      <trackRevisions>false</trackRevisions>
    </reviewItem>
    <reviewItem>
      <errorID>b23f5ff7-d960-488f-8bd0-c49e0a1a8cd6</errorID>
      <errorWord>&lt;</errorWord>
      <group>L1_Format</group>
      <groupName>格式问题</groupName>
      <ability>L2_HalfPunc_CN</ability>
      <abilityName>全半角问题</abilityName>
      <candidateList>
        <item>〈</item>
      </candidateList>
      <explain>文本全半角错误。</explain>
      <paraID>26D83B0C</paraID>
      <start>19</start>
      <end>20</end>
      <status>unmodified</status>
      <modifiedWord/>
      <trackRevisions>false</trackRevisions>
    </reviewItem>
    <reviewItem>
      <errorID>1e8ad060-c778-4976-b452-6527c3b74966</errorID>
      <errorWord>震荡</errorWord>
      <group>L1_Word</group>
      <groupName>字词问题</groupName>
      <ability>L2_Typo</ability>
      <abilityName>字词错误</abilityName>
      <candidateList>
        <item>振荡</item>
      </candidateList>
      <explain>存在发音相同字词的误用。</explain>
      <paraID>338D4940</paraID>
      <start>21</start>
      <end>23</end>
      <status>unmodified</status>
      <modifiedWord/>
      <trackRevisions>false</trackRevisions>
    </reviewItem>
    <reviewItem>
      <errorID>fe92b380-13c0-47d5-b0ed-666edf2fb36d</errorID>
      <errorWord>构成</errorWord>
      <group>L1_Grammar</group>
      <groupName>语法问题</groupName>
      <ability>L2_Grammar</ability>
      <abilityName>语法错误</abilityName>
      <candidateList>
        <item>形成</item>
      </candidateList>
      <explain>“构成～模式”搭配不当，建议修改为“形成～模式”。</explain>
      <paraID>13A13D4B</paraID>
      <start>34</start>
      <end>36</end>
      <status>unmodified</status>
      <modifiedWord/>
      <trackRevisions>false</trackRevisions>
    </reviewItem>
    <reviewItem>
      <errorID>96d7feb0-c768-44bb-b1b7-1e5c7b356b26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7AF2E227</paraID>
      <start>9</start>
      <end>10</end>
      <status>unmodified</status>
      <modifiedWord/>
      <trackRevisions>false</trackRevisions>
    </reviewItem>
    <reviewItem>
      <errorID>276304d3-f12a-49ae-ad80-4462f0da364a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5F01E138</paraID>
      <start>0</start>
      <end>2</end>
      <status>modified</status>
      <modifiedWord>a）</modifiedWord>
      <trackRevisions>false</trackRevisions>
    </reviewItem>
    <reviewItem>
      <errorID>4f998b7b-e7ac-4d30-8772-ddca10f3d729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CDB2436</paraID>
      <start>0</start>
      <end>2</end>
      <status>modified</status>
      <modifiedWord>b）</modifiedWord>
      <trackRevisions>false</trackRevisions>
    </reviewItem>
    <reviewItem>
      <errorID>2b9dfa70-a612-41d5-9aa4-b010880b745f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646E9B21</paraID>
      <start>0</start>
      <end>2</end>
      <status>modified</status>
      <modifiedWord>c）</modifiedWord>
      <trackRevisions>false</trackRevisions>
    </reviewItem>
    <reviewItem>
      <errorID>caf4ae7a-b1e5-4005-8ea9-3073de7b51e2</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3381FF61</paraID>
      <start>0</start>
      <end>2</end>
      <status>modified</status>
      <modifiedWord>d）</modifiedWord>
      <trackRevisions>false</trackRevisions>
    </reviewItem>
    <reviewItem>
      <errorID>0aa4e98e-dd57-4a10-b547-c2bd859f46fc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33BDB2E5</paraID>
      <start>36</start>
      <end>37</end>
      <status>unmodified</status>
      <modifiedWord/>
      <trackRevisions>false</trackRevisions>
    </reviewItem>
    <reviewItem>
      <errorID>f977c5c1-c72e-492e-af66-79a41bbf0183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760C7917</paraID>
      <start>36</start>
      <end>37</end>
      <status>unmodified</status>
      <modifiedWord/>
      <trackRevisions>false</trackRevisions>
    </reviewItem>
    <reviewItem>
      <errorID>52dead44-80a7-4184-935c-eb390b280772</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265C69D9</paraID>
      <start>40</start>
      <end>46</end>
      <status>unmodified</status>
      <modifiedWord/>
      <trackRevisions>false</trackRevisions>
    </reviewItem>
    <reviewItem>
      <errorID>3fd83e9e-6acc-4ce3-a0b9-4c7a2894bcf7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1E7F5B55</paraID>
      <start>25</start>
      <end>26</end>
      <status>unmodified</status>
      <modifiedWord/>
      <trackRevisions>false</trackRevisions>
    </reviewItem>
    <reviewItem>
      <errorID>f29488c5-a1f3-4fb5-b113-0e7ecc1372dd</errorID>
      <errorWord>以</errorWord>
      <group>L1_Word</group>
      <groupName>字词问题</groupName>
      <ability>L2_Typo</ability>
      <abilityName>字词错误</abilityName>
      <candidateList>
        <item>以在</item>
      </candidateList>
      <explain/>
      <paraID>72F5A862</paraID>
      <start>50</start>
      <end>52</end>
      <status>modified</status>
      <modifiedWord>以在</modifiedWord>
      <trackRevisions>false</trackRevisions>
    </reviewItem>
    <reviewItem>
      <errorID>dbfe6939-5aa0-4f1b-b179-9810e5e4ca9a</errorID>
      <errorWord>共用</errorWord>
      <group>L1_Word</group>
      <groupName>字词问题</groupName>
      <ability>L2_Typo</ability>
      <abilityName>字词错误</abilityName>
      <candidateList>
        <item>公用</item>
      </candidateList>
      <explain/>
      <paraID>5E656C9E</paraID>
      <start>0</start>
      <end>2</end>
      <status>unmodified</status>
      <modifiedWord/>
      <trackRevisions>false</trackRevisions>
    </reviewItem>
    <reviewItem>
      <errorID>2d3d3ea0-5690-4530-ad34-c7685782f291</errorID>
      <errorWord>inux</errorWord>
      <group>L1_English</group>
      <groupName>英文问题</groupName>
      <ability>L2_Spell</ability>
      <abilityName>拼写问题</abilityName>
      <candidateList>
        <item>Linux</item>
      </candidateList>
      <explain>疑似单词拼写有误，建议将inux修改为Linux</explain>
      <paraID>512D7F5B</paraID>
      <start>236</start>
      <end>240</end>
      <status>unmodified</status>
      <modifiedWord/>
      <trackRevisions>false</trackRevisions>
    </reviewItem>
    <reviewItem>
      <errorID>8ea1dcd2-c1db-451c-9898-817e7fa078cc</errorID>
      <errorWord>共用</errorWord>
      <group>L1_Word</group>
      <groupName>字词问题</groupName>
      <ability>L2_Typo</ability>
      <abilityName>字词错误</abilityName>
      <candidateList>
        <item>公用</item>
      </candidateList>
      <explain/>
      <paraID>67C35302</paraID>
      <start>0</start>
      <end>2</end>
      <status>unmodified</status>
      <modifiedWord/>
      <trackRevisions>false</trackRevisions>
    </reviewItem>
    <reviewItem>
      <errorID>2201dd9b-1ce5-4d6c-addd-4e503a6a62f7</errorID>
      <errorWord>共用</errorWord>
      <group>L1_Word</group>
      <groupName>字词问题</groupName>
      <ability>L2_Typo</ability>
      <abilityName>字词错误</abilityName>
      <candidateList>
        <item>公用</item>
      </candidateList>
      <explain/>
      <paraID>63B871DD</paraID>
      <start>0</start>
      <end>2</end>
      <status>unmodified</status>
      <modifiedWord/>
      <trackRevisions>false</trackRevisions>
    </reviewItem>
    <reviewItem>
      <errorID>ac9c67fa-444d-4daa-ad49-b9b84cb15468</errorID>
      <errorWord>共用</errorWord>
      <group>L1_Word</group>
      <groupName>字词问题</groupName>
      <ability>L2_Typo</ability>
      <abilityName>字词错误</abilityName>
      <candidateList>
        <item>公用</item>
      </candidateList>
      <explain/>
      <paraID> 84389B6</paraID>
      <start>0</start>
      <end>2</end>
      <status>unmodified</status>
      <modifiedWord/>
      <trackRevisions>false</trackRevisions>
    </reviewItem>
    <reviewItem>
      <errorID>42473c8f-76aa-4e69-bdc7-b0ac874cd18e</errorID>
      <errorWord>共用</errorWord>
      <group>L1_Word</group>
      <groupName>字词问题</groupName>
      <ability>L2_Typo</ability>
      <abilityName>字词错误</abilityName>
      <candidateList>
        <item>公用</item>
      </candidateList>
      <explain/>
      <paraID>1801FE98</paraID>
      <start>0</start>
      <end>2</end>
      <status>unmodified</status>
      <modifiedWord/>
      <trackRevisions>false</trackRevisions>
    </reviewItem>
    <reviewItem>
      <errorID>285a12e9-5115-4da8-a646-4bf3cbb5d0c1</errorID>
      <errorWord>共用</errorWord>
      <group>L1_Word</group>
      <groupName>字词问题</groupName>
      <ability>L2_Typo</ability>
      <abilityName>字词错误</abilityName>
      <candidateList>
        <item>公用</item>
      </candidateList>
      <explain/>
      <paraID>7AD12B82</paraID>
      <start>0</start>
      <end>2</end>
      <status>unmodified</status>
      <modifiedWord/>
      <trackRevisions>false</trackRevisions>
    </reviewItem>
    <reviewItem>
      <errorID>e0ebb82b-86af-45ac-8839-b972faefddae</errorID>
      <errorWord>共用</errorWord>
      <group>L1_Word</group>
      <groupName>字词问题</groupName>
      <ability>L2_Typo</ability>
      <abilityName>字词错误</abilityName>
      <candidateList>
        <item>公用</item>
      </candidateList>
      <explain/>
      <paraID>33A3A2ED</paraID>
      <start>0</start>
      <end>2</end>
      <status>unmodified</status>
      <modifiedWord/>
      <trackRevisions>false</trackRevisions>
    </reviewItem>
    <reviewItem>
      <errorID>90c3de81-c258-4318-ba69-64b95cba7f6e</errorID>
      <errorWord>共用</errorWord>
      <group>L1_Word</group>
      <groupName>字词问题</groupName>
      <ability>L2_Typo</ability>
      <abilityName>字词错误</abilityName>
      <candidateList>
        <item>公用</item>
      </candidateList>
      <explain/>
      <paraID> A6D07ED</paraID>
      <start>0</start>
      <end>2</end>
      <status>unmodified</status>
      <modifiedWord/>
      <trackRevisions>false</trackRevisions>
    </reviewItem>
    <reviewItem>
      <errorID>cebf01d2-206d-4990-9a5e-26eb6ff366e4</errorID>
      <errorWord>共用</errorWord>
      <group>L1_Word</group>
      <groupName>字词问题</groupName>
      <ability>L2_Typo</ability>
      <abilityName>字词错误</abilityName>
      <candidateList>
        <item>公用</item>
      </candidateList>
      <explain/>
      <paraID>384A986D</paraID>
      <start>0</start>
      <end>2</end>
      <status>unmodified</status>
      <modifiedWord/>
      <trackRevisions>false</trackRevisions>
    </reviewItem>
    <reviewItem>
      <errorID>a679a127-e9a4-4d09-bee5-ef8e1c84810b</errorID>
      <errorWord>共用</errorWord>
      <group>L1_Word</group>
      <groupName>字词问题</groupName>
      <ability>L2_Typo</ability>
      <abilityName>字词错误</abilityName>
      <candidateList>
        <item>公用</item>
      </candidateList>
      <explain/>
      <paraID>26E926B9</paraID>
      <start>0</start>
      <end>2</end>
      <status>unmodified</status>
      <modifiedWord/>
      <trackRevisions>false</trackRevisions>
    </reviewItem>
    <reviewItem>
      <errorID>98b60064-82ee-4bb2-ab14-26116decb6a8</errorID>
      <errorWord>共用</errorWord>
      <group>L1_Word</group>
      <groupName>字词问题</groupName>
      <ability>L2_Typo</ability>
      <abilityName>字词错误</abilityName>
      <candidateList>
        <item>公用</item>
      </candidateList>
      <explain/>
      <paraID> 32C75CD</paraID>
      <start>0</start>
      <end>2</end>
      <status>unmodified</status>
      <modifiedWord/>
      <trackRevisions>false</trackRevisions>
    </reviewItem>
    <reviewItem>
      <errorID>013ab702-0089-4478-b6af-9d24609867d0</errorID>
      <errorWord>辅</errorWord>
      <group>L1_Word</group>
      <groupName>字词问题</groupName>
      <ability>L2_Typo</ability>
      <abilityName>字词错误</abilityName>
      <candidateList>
        <item>敷</item>
      </candidateList>
      <explain/>
      <paraID>2ADAEA92</paraID>
      <start>2</start>
      <end>3</end>
      <status>unmodified</status>
      <modifiedWord/>
      <trackRevisions>false</trackRevisions>
    </reviewItem>
    <reviewItem>
      <errorID>48e7a7e7-3ebf-4b49-8312-d843e75fe598</errorID>
      <errorWord>辅</errorWord>
      <group>L1_Word</group>
      <groupName>字词问题</groupName>
      <ability>L2_Typo</ability>
      <abilityName>字词错误</abilityName>
      <candidateList>
        <item>敷</item>
      </candidateList>
      <explain/>
      <paraID>4D9E1D26</paraID>
      <start>2</start>
      <end>3</end>
      <status>unmodified</status>
      <modifiedWord/>
      <trackRevisions>false</trackRevisions>
    </reviewItem>
    <reviewItem>
      <errorID>32ca0e07-40b5-40c5-bb19-ce045da3380d</errorID>
      <errorWord>共用</errorWord>
      <group>L1_Word</group>
      <groupName>字词问题</groupName>
      <ability>L2_Typo</ability>
      <abilityName>字词错误</abilityName>
      <candidateList>
        <item>公用</item>
      </candidateList>
      <explain/>
      <paraID>510DBFBE</paraID>
      <start>0</start>
      <end>2</end>
      <status>unmodified</status>
      <modifiedWord/>
      <trackRevisions>false</trackRevisions>
    </reviewItem>
    <reviewItem>
      <errorID>8a41ede8-3194-4c9e-91bc-d7b721bb18d3</errorID>
      <errorWord>共用</errorWord>
      <group>L1_Word</group>
      <groupName>字词问题</groupName>
      <ability>L2_Typo</ability>
      <abilityName>字词错误</abilityName>
      <candidateList>
        <item>公用</item>
      </candidateList>
      <explain/>
      <paraID>  A73C36</paraID>
      <start>0</start>
      <end>2</end>
      <status>unmodified</status>
      <modifiedWord/>
      <trackRevisions>false</trackRevisions>
    </reviewItem>
    <reviewItem>
      <errorID>f3a89d8e-790e-4ad0-851d-074cf2de3b51</errorID>
      <errorWord>共用</errorWord>
      <group>L1_Word</group>
      <groupName>字词问题</groupName>
      <ability>L2_Typo</ability>
      <abilityName>字词错误</abilityName>
      <candidateList>
        <item>公用</item>
      </candidateList>
      <explain/>
      <paraID>4CA251F3</paraID>
      <start>0</start>
      <end>2</end>
      <status>unmodified</status>
      <modifiedWord/>
      <trackRevisions>false</trackRevisions>
    </reviewItem>
    <reviewItem>
      <errorID>29f09fde-8263-4451-b1fc-7f091548da83</errorID>
      <errorWord>共用</errorWord>
      <group>L1_Word</group>
      <groupName>字词问题</groupName>
      <ability>L2_Typo</ability>
      <abilityName>字词错误</abilityName>
      <candidateList>
        <item>公用</item>
      </candidateList>
      <explain/>
      <paraID>3F7490E9</paraID>
      <start>0</start>
      <end>2</end>
      <status>unmodified</status>
      <modifiedWord/>
      <trackRevisions>false</trackRevisions>
    </reviewItem>
    <reviewItem>
      <errorID>4a7cc61b-2194-474c-906a-01101bcc4b62</errorID>
      <errorWord>共用</errorWord>
      <group>L1_Word</group>
      <groupName>字词问题</groupName>
      <ability>L2_Typo</ability>
      <abilityName>字词错误</abilityName>
      <candidateList>
        <item>公用</item>
      </candidateList>
      <explain/>
      <paraID>1C2DE3A7</paraID>
      <start>0</start>
      <end>2</end>
      <status>unmodified</status>
      <modifiedWord/>
      <trackRevisions>false</trackRevisions>
    </reviewItem>
    <reviewItem>
      <errorID>d3c593dc-3c5e-4b3b-82a9-4d03936201a6</errorID>
      <errorWord>共用</errorWord>
      <group>L1_Word</group>
      <groupName>字词问题</groupName>
      <ability>L2_Typo</ability>
      <abilityName>字词错误</abilityName>
      <candidateList>
        <item>公用</item>
      </candidateList>
      <explain/>
      <paraID>43855CC4</paraID>
      <start>0</start>
      <end>2</end>
      <status>unmodified</status>
      <modifiedWord/>
      <trackRevisions>false</trackRevisions>
    </reviewItem>
    <reviewItem>
      <errorID>c3a6f3af-b3d0-4b85-9cc9-96cd33eccfde</errorID>
      <errorWord>共用</errorWord>
      <group>L1_Word</group>
      <groupName>字词问题</groupName>
      <ability>L2_Typo</ability>
      <abilityName>字词错误</abilityName>
      <candidateList>
        <item>公用</item>
      </candidateList>
      <explain/>
      <paraID>456EC1A1</paraID>
      <start>0</start>
      <end>2</end>
      <status>unmodified</status>
      <modifiedWord/>
      <trackRevisions>false</trackRevisions>
    </reviewItem>
    <reviewItem>
      <errorID>44407c24-86e6-4c4c-8893-305f9f2f7b28</errorID>
      <errorWord>共用</errorWord>
      <group>L1_Word</group>
      <groupName>字词问题</groupName>
      <ability>L2_Typo</ability>
      <abilityName>字词错误</abilityName>
      <candidateList>
        <item>公用</item>
      </candidateList>
      <explain/>
      <paraID> BBDFD94</paraID>
      <start>0</start>
      <end>2</end>
      <status>unmodified</status>
      <modifiedWord/>
      <trackRevisions>false</trackRevisions>
    </reviewItem>
    <reviewItem>
      <errorID>12979271-7222-4e75-8bbc-94dc64b5eca4</errorID>
      <errorWord>共用</errorWord>
      <group>L1_Word</group>
      <groupName>字词问题</groupName>
      <ability>L2_Typo</ability>
      <abilityName>字词错误</abilityName>
      <candidateList>
        <item>公用</item>
      </candidateList>
      <explain/>
      <paraID>4EA3A754</paraID>
      <start>0</start>
      <end>2</end>
      <status>unmodified</status>
      <modifiedWord/>
      <trackRevisions>false</trackRevisions>
    </reviewItem>
    <reviewItem>
      <errorID>4221a5c2-1438-4ac9-bff0-cf4f18a9d16d</errorID>
      <errorWord>共用</errorWord>
      <group>L1_Word</group>
      <groupName>字词问题</groupName>
      <ability>L2_Typo</ability>
      <abilityName>字词错误</abilityName>
      <candidateList>
        <item>公用</item>
      </candidateList>
      <explain/>
      <paraID>175EE4BE</paraID>
      <start>0</start>
      <end>2</end>
      <status>unmodified</status>
      <modifiedWord/>
      <trackRevisions>false</trackRevisions>
    </reviewItem>
    <reviewItem>
      <errorID>4ef79dc4-0c45-417b-98e7-2eedfd0ff18e</errorID>
      <errorWord>共用</errorWord>
      <group>L1_Word</group>
      <groupName>字词问题</groupName>
      <ability>L2_Typo</ability>
      <abilityName>字词错误</abilityName>
      <candidateList>
        <item>公用</item>
      </candidateList>
      <explain/>
      <paraID>1A004DFB</paraID>
      <start>0</start>
      <end>2</end>
      <status>unmodified</status>
      <modifiedWord/>
      <trackRevisions>false</trackRevisions>
    </reviewItem>
    <reviewItem>
      <errorID>096e89ac-2e67-48e9-bc10-c617bcd99349</errorID>
      <errorWord>共用</errorWord>
      <group>L1_Word</group>
      <groupName>字词问题</groupName>
      <ability>L2_Typo</ability>
      <abilityName>字词错误</abilityName>
      <candidateList>
        <item>公用</item>
      </candidateList>
      <explain/>
      <paraID>2352D96C</paraID>
      <start>0</start>
      <end>2</end>
      <status>unmodified</status>
      <modifiedWord/>
      <trackRevisions>false</trackRevisions>
    </reviewItem>
    <reviewItem>
      <errorID>d0d9992a-2b4e-486f-aeb8-7b9b735955ed</errorID>
      <errorWord>共用</errorWord>
      <group>L1_Word</group>
      <groupName>字词问题</groupName>
      <ability>L2_Typo</ability>
      <abilityName>字词错误</abilityName>
      <candidateList>
        <item>公用</item>
      </candidateList>
      <explain/>
      <paraID>75DF07D4</paraID>
      <start>0</start>
      <end>2</end>
      <status>unmodified</status>
      <modifiedWord/>
      <trackRevisions>false</trackRevisions>
    </reviewItem>
    <reviewItem>
      <errorID>c7ca9e19-05c5-48e4-b1cc-4ca1b19573e0</errorID>
      <errorWord>共用</errorWord>
      <group>L1_Word</group>
      <groupName>字词问题</groupName>
      <ability>L2_Typo</ability>
      <abilityName>字词错误</abilityName>
      <candidateList>
        <item>公用</item>
      </candidateList>
      <explain/>
      <paraID> 4C1A31E</paraID>
      <start>0</start>
      <end>2</end>
      <status>unmodified</status>
      <modifiedWord/>
      <trackRevisions>false</trackRevisions>
    </reviewItem>
    <reviewItem>
      <errorID>995361c7-28b5-4093-ad7d-e14e5a0edad0</errorID>
      <errorWord>共用</errorWord>
      <group>L1_Word</group>
      <groupName>字词问题</groupName>
      <ability>L2_Typo</ability>
      <abilityName>字词错误</abilityName>
      <candidateList>
        <item>公用</item>
      </candidateList>
      <explain/>
      <paraID>5E0D9FA2</paraID>
      <start>0</start>
      <end>2</end>
      <status>unmodified</status>
      <modifiedWord/>
      <trackRevisions>false</trackRevisions>
    </reviewItem>
    <reviewItem>
      <errorID>7810e359-dc94-47df-8be3-37a6e5417849</errorID>
      <errorWord>暗装</errorWord>
      <group>L1_Word</group>
      <groupName>字词问题</groupName>
      <ability>L2_Typo</ability>
      <abilityName>字词错误</abilityName>
      <candidateList>
        <item>安装</item>
      </candidateList>
      <explain/>
      <paraID>2CADB717</paraID>
      <start>98</start>
      <end>100</end>
      <status>unmodified</status>
      <modifiedWord/>
      <trackRevisions>false</trackRevisions>
    </reviewItem>
    <reviewItem>
      <errorID>7cf69f63-be11-4e9b-9510-9f1f1bc348df</errorID>
      <errorWord>共用</errorWord>
      <group>L1_Word</group>
      <groupName>字词问题</groupName>
      <ability>L2_Typo</ability>
      <abilityName>字词错误</abilityName>
      <candidateList>
        <item>公用</item>
      </candidateList>
      <explain/>
      <paraID>1A16D64D</paraID>
      <start>0</start>
      <end>2</end>
      <status>unmodified</status>
      <modifiedWord/>
      <trackRevisions>false</trackRevisions>
    </reviewItem>
    <reviewItem>
      <errorID>bb20e8e6-bf83-4c52-a067-488e5a83cc7c</errorID>
      <errorWord>护</errorWord>
      <group>L1_Word</group>
      <groupName>字词问题</groupName>
      <ability>L2_Typo</ability>
      <abilityName>字词错误</abilityName>
      <candidateList>
        <item>护等</item>
      </candidateList>
      <explain/>
      <paraID>77A046BB</paraID>
      <start>36</start>
      <end>37</end>
      <status>unmodified</status>
      <modifiedWord/>
      <trackRevisions>false</trackRevisions>
    </reviewItem>
    <reviewItem>
      <errorID>2ad5080b-c120-480b-8ae1-d88b6c943ca5</errorID>
      <errorWord>(</errorWord>
      <group>L1_Format</group>
      <groupName>格式问题</groupName>
      <ability>L2_HalfPunc_CN</ability>
      <abilityName>全半角问题</abilityName>
      <candidateList>
        <item>（</item>
      </candidateList>
      <explain>文本全半角错误。</explain>
      <paraID>6B858D02</paraID>
      <start>96</start>
      <end>97</end>
      <status>modified</status>
      <modifiedWord>（</modifiedWord>
      <trackRevisions>false</trackRevisions>
    </reviewItem>
    <reviewItem>
      <errorID>61fb7361-5d5b-4fee-9393-24df86242689</errorID>
      <errorWord>&lt;</errorWord>
      <group>L1_Format</group>
      <groupName>格式问题</groupName>
      <ability>L2_HalfPunc_CN</ability>
      <abilityName>全半角问题</abilityName>
      <candidateList>
        <item>〈</item>
      </candidateList>
      <explain>文本全半角错误。</explain>
      <paraID>37A06645</paraID>
      <start>48</start>
      <end>49</end>
      <status>unmodified</status>
      <modifiedWord/>
      <trackRevisions>false</trackRevisions>
    </reviewItem>
    <reviewItem>
      <errorID>eced0692-af48-463b-b995-265e7211eeb3</errorID>
      <errorWord>&lt;</errorWord>
      <group>L1_Format</group>
      <groupName>格式问题</groupName>
      <ability>L2_HalfPunc_CN</ability>
      <abilityName>全半角问题</abilityName>
      <candidateList>
        <item>〈</item>
      </candidateList>
      <explain>文本全半角错误。</explain>
      <paraID>1F802CA0</paraID>
      <start>48</start>
      <end>49</end>
      <status>unmodified</status>
      <modifiedWord/>
      <trackRevisions>false</trackRevisions>
    </reviewItem>
    <reviewItem>
      <errorID>7c478973-0b16-445a-bd4d-ca39376f6b86</errorID>
      <errorWord>&lt;</errorWord>
      <group>L1_Format</group>
      <groupName>格式问题</groupName>
      <ability>L2_HalfPunc_CN</ability>
      <abilityName>全半角问题</abilityName>
      <candidateList>
        <item>〈</item>
      </candidateList>
      <explain>文本全半角错误。</explain>
      <paraID>133CBB83</paraID>
      <start>33</start>
      <end>34</end>
      <status>unmodified</status>
      <modifiedWord/>
      <trackRevisions>false</trackRevisions>
    </reviewItem>
    <reviewItem>
      <errorID>68e74bd7-6bbe-4f68-9536-84be581311d5</errorID>
      <errorWord>》</errorWord>
      <group>L1_Word</group>
      <groupName>字词问题</groupName>
      <ability>L2_Typo</ability>
      <abilityName>字词错误</abilityName>
      <candidateList>
        <item>》和</item>
      </candidateList>
      <explain/>
      <paraID>5A866392</paraID>
      <start>15</start>
      <end>16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C6CDCF-FD80-4702-ABDA-71F2F1D91458}"/>
</file>

<file path=customXml/itemProps2.xml><?xml version="1.0" encoding="utf-8"?>
<ds:datastoreItem xmlns:ds="http://schemas.openxmlformats.org/officeDocument/2006/customXml" ds:itemID="{5D8A6801-0A74-455E-9EE0-148774C5BBA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5</cp:revision>
  <dcterms:created xsi:type="dcterms:W3CDTF">2026-09-09T00:14:00Z</dcterms:created>
  <dcterms:modified xsi:type="dcterms:W3CDTF">2026-09-15T06:37:09Z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BC39045215C04C96BC202B473B7EC421_13</vt:lpwstr>
  </property>
  <property fmtid="{D5CDD505-2E9C-101B-9397-08002B2CF9AE}" pid="4" name="KSOTemplateDocerSaveRecord">
    <vt:lpwstr>eyJoZGlkIjoiNWNkMGZmZGUxNzNkMTZmNDUwMjEzYmY4NTVhNzIxZDgiLCJ1c2VySWQiOiIzMTU1ODEyOTcifQ==</vt:lpwstr>
  </property>
</Properties>
</file>