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hint="eastAsia" w:ascii="宋体" w:hAnsi="宋体" w:eastAsia="宋体"/>
          <w:b/>
          <w:bCs/>
          <w:color w:val="auto"/>
          <w:sz w:val="28"/>
          <w:szCs w:val="20"/>
          <w:highlight w:val="none"/>
          <w:lang w:eastAsia="zh-CN"/>
        </w:rPr>
      </w:pPr>
      <w:r>
        <w:rPr>
          <w:rFonts w:hint="eastAsia" w:ascii="宋体" w:hAnsi="宋体"/>
          <w:b/>
          <w:bCs/>
          <w:color w:val="auto"/>
          <w:sz w:val="22"/>
          <w:szCs w:val="16"/>
          <w:highlight w:val="none"/>
        </w:rPr>
        <w:t xml:space="preserve">编号：</w:t>
      </w:r>
      <w:r>
        <w:rPr>
          <w:rFonts w:ascii="Segoe UI" w:hAnsi="Segoe UI" w:eastAsia="Segoe UI" w:cs="Segoe UI"/>
          <w:i w:val="0"/>
          <w:iCs w:val="0"/>
          <w:caps w:val="0"/>
          <w:spacing w:val="0"/>
          <w:sz w:val="22"/>
          <w:szCs w:val="22"/>
          <w:shd w:val="clear" w:color="auto" w:fill="ffffff"/>
        </w:rPr>
        <w:t xml:space="preserve">JSZC-321084-CSXC-G2026-0043</w:t>
      </w:r>
      <w:r>
        <w:rPr>
          <w:rFonts w:hint="eastAsia" w:ascii="宋体" w:hAnsi="宋体"/>
          <w:b/>
          <w:bCs/>
          <w:color w:val="auto"/>
          <w:sz w:val="22"/>
          <w:szCs w:val="16"/>
          <w:highlight w:val="none"/>
          <w:lang w:eastAsia="zh-CN"/>
        </w:rPr>
        <w:t xml:space="preserve">号</w:t>
      </w:r>
      <w:r/>
    </w:p>
    <w:p>
      <w:pPr>
        <w:jc w:val="center"/>
        <w:rPr>
          <w:rFonts w:hint="eastAsia" w:ascii="宋体" w:hAnsi="宋体"/>
          <w:b/>
          <w:bCs/>
          <w:color w:val="auto"/>
          <w:sz w:val="36"/>
          <w:highlight w:val="none"/>
        </w:rPr>
      </w:pPr>
      <w:r>
        <w:rPr>
          <w:rFonts w:hint="eastAsia" w:ascii="宋体" w:hAnsi="宋体"/>
          <w:b/>
          <w:bCs/>
          <w:color w:val="auto"/>
          <w:sz w:val="36"/>
          <w:highlight w:val="none"/>
        </w:rPr>
      </w:r>
      <w:r/>
    </w:p>
    <w:p>
      <w:pPr>
        <w:jc w:val="center"/>
        <w:rPr>
          <w:rFonts w:hint="eastAsia" w:ascii="宋体" w:hAnsi="宋体"/>
          <w:b/>
          <w:bCs/>
          <w:color w:val="auto"/>
          <w:sz w:val="36"/>
          <w:highlight w:val="none"/>
        </w:rPr>
      </w:pPr>
      <w:r>
        <w:rPr>
          <w:rFonts w:hint="eastAsia" w:ascii="宋体" w:hAnsi="宋体"/>
          <w:b/>
          <w:bCs/>
          <w:color w:val="auto"/>
          <w:sz w:val="36"/>
          <w:highlight w:val="none"/>
        </w:rPr>
      </w:r>
      <w:r/>
    </w:p>
    <w:p>
      <w:pPr>
        <w:jc w:val="center"/>
        <w:rPr>
          <w:rFonts w:hint="eastAsia" w:ascii="宋体" w:hAnsi="宋体"/>
          <w:b/>
          <w:bCs/>
          <w:color w:val="auto"/>
          <w:sz w:val="36"/>
          <w:highlight w:val="none"/>
        </w:rPr>
      </w:pPr>
      <w:r>
        <w:rPr>
          <w:rFonts w:hint="eastAsia" w:ascii="宋体" w:hAnsi="宋体"/>
          <w:b/>
          <w:bCs/>
          <w:color w:val="auto"/>
          <w:sz w:val="36"/>
          <w:highlight w:val="none"/>
        </w:rPr>
      </w:r>
      <w:r/>
    </w:p>
    <w:p>
      <w:pPr>
        <w:jc w:val="center"/>
        <w:rPr>
          <w:rFonts w:hint="eastAsia" w:ascii="宋体" w:hAnsi="宋体"/>
          <w:b/>
          <w:bCs/>
          <w:color w:val="auto"/>
          <w:sz w:val="36"/>
          <w:highlight w:val="none"/>
        </w:rPr>
      </w:pPr>
      <w:r>
        <w:rPr>
          <w:rFonts w:hint="eastAsia" w:ascii="宋体" w:hAnsi="宋体"/>
          <w:b/>
          <w:bCs/>
          <w:color w:val="auto"/>
          <w:sz w:val="36"/>
          <w:highlight w:val="none"/>
        </w:rPr>
      </w:r>
      <w:r/>
    </w:p>
    <w:p>
      <w:pPr>
        <w:jc w:val="center"/>
        <w:rPr>
          <w:rFonts w:hint="eastAsia" w:ascii="宋体" w:hAnsi="宋体"/>
          <w:b/>
          <w:bCs/>
          <w:color w:val="auto"/>
          <w:sz w:val="36"/>
          <w:highlight w:val="none"/>
        </w:rPr>
      </w:pPr>
      <w:r>
        <w:rPr>
          <w:rFonts w:hint="eastAsia" w:ascii="宋体" w:hAnsi="宋体"/>
          <w:b/>
          <w:bCs/>
          <w:color w:val="auto"/>
          <w:sz w:val="36"/>
          <w:highlight w:val="none"/>
        </w:rPr>
      </w:r>
      <w:r/>
    </w:p>
    <w:p>
      <w:pPr>
        <w:jc w:val="center"/>
        <w:keepLines w:val="0"/>
        <w:keepNext w:val="0"/>
        <w:pageBreakBefore w:val="0"/>
        <w:spacing w:line="480" w:lineRule="auto"/>
        <w:widowControl w:val="off"/>
        <w:rPr>
          <w:rFonts w:hint="eastAsia" w:ascii="宋体" w:hAnsi="宋体"/>
          <w:b/>
          <w:bCs/>
          <w:color w:val="auto"/>
          <w:spacing w:val="-20"/>
          <w:sz w:val="44"/>
          <w:szCs w:val="28"/>
          <w:highlight w:val="none"/>
          <w:lang w:eastAsia="zh-CN"/>
        </w:rPr>
      </w:pPr>
      <w:r>
        <w:rPr>
          <w:rFonts w:hint="eastAsia" w:ascii="宋体" w:hAnsi="宋体"/>
          <w:b/>
          <w:bCs/>
          <w:color w:val="auto"/>
          <w:spacing w:val="-20"/>
          <w:sz w:val="44"/>
          <w:szCs w:val="28"/>
          <w:highlight w:val="none"/>
          <w:lang w:val="en-US" w:eastAsia="zh-CN"/>
        </w:rPr>
        <w:t xml:space="preserve">高邮市2026年中央财政高素质农民培育</w:t>
      </w:r>
      <w:r>
        <w:rPr>
          <w:rFonts w:hint="eastAsia" w:ascii="宋体" w:hAnsi="宋体"/>
          <w:b/>
          <w:bCs/>
          <w:color w:val="auto"/>
          <w:spacing w:val="-20"/>
          <w:sz w:val="44"/>
          <w:szCs w:val="28"/>
          <w:highlight w:val="none"/>
          <w:lang w:eastAsia="zh-CN"/>
        </w:rPr>
        <w:t xml:space="preserve">项目</w:t>
      </w:r>
      <w:r/>
    </w:p>
    <w:p>
      <w:pPr>
        <w:jc w:val="center"/>
        <w:keepLines w:val="0"/>
        <w:keepNext w:val="0"/>
        <w:pageBreakBefore w:val="0"/>
        <w:spacing w:line="480" w:lineRule="auto"/>
        <w:widowControl w:val="off"/>
        <w:rPr>
          <w:rFonts w:ascii="宋体" w:hAnsi="宋体"/>
          <w:b/>
          <w:bCs/>
          <w:color w:val="auto"/>
          <w:sz w:val="48"/>
          <w:szCs w:val="32"/>
          <w:highlight w:val="none"/>
        </w:rPr>
      </w:pPr>
      <w:r>
        <w:rPr>
          <w:rFonts w:hint="eastAsia" w:ascii="宋体" w:hAnsi="宋体"/>
          <w:b/>
          <w:bCs/>
          <w:color w:val="auto"/>
          <w:sz w:val="48"/>
          <w:szCs w:val="32"/>
          <w:highlight w:val="none"/>
        </w:rPr>
        <w:t xml:space="preserve">公开招标文件</w:t>
      </w:r>
      <w:r/>
    </w:p>
    <w:p>
      <w:pPr>
        <w:jc w:val="both"/>
        <w:keepLines w:val="0"/>
        <w:keepNext w:val="0"/>
        <w:pageBreakBefore w:val="0"/>
        <w:spacing w:line="480" w:lineRule="auto"/>
        <w:widowControl w:val="off"/>
        <w:rPr>
          <w:rFonts w:ascii="宋体" w:hAnsi="宋体"/>
          <w:color w:val="auto"/>
          <w:sz w:val="36"/>
          <w:highlight w:val="none"/>
        </w:rPr>
      </w:pPr>
      <w:r>
        <w:rPr>
          <w:rFonts w:ascii="宋体" w:hAnsi="宋体"/>
          <w:color w:val="auto"/>
          <w:sz w:val="36"/>
          <w:highlight w:val="none"/>
        </w:rPr>
      </w:r>
      <w:r/>
    </w:p>
    <w:p>
      <w:pPr>
        <w:jc w:val="center"/>
        <w:keepLines w:val="0"/>
        <w:keepNext w:val="0"/>
        <w:pageBreakBefore w:val="0"/>
        <w:spacing w:line="480" w:lineRule="auto"/>
        <w:widowControl w:val="off"/>
        <w:rPr>
          <w:rFonts w:ascii="宋体" w:hAnsi="宋体"/>
          <w:color w:val="auto"/>
          <w:sz w:val="36"/>
          <w:highlight w:val="none"/>
        </w:rPr>
      </w:pPr>
      <w:r>
        <w:rPr>
          <w:rFonts w:ascii="宋体" w:hAnsi="宋体"/>
          <w:color w:val="auto"/>
          <w:sz w:val="36"/>
          <w:highlight w:val="none"/>
        </w:rPr>
      </w:r>
      <w:r/>
    </w:p>
    <w:p>
      <w:pPr>
        <w:jc w:val="center"/>
        <w:keepLines w:val="0"/>
        <w:keepNext w:val="0"/>
        <w:pageBreakBefore w:val="0"/>
        <w:spacing w:line="480" w:lineRule="auto"/>
        <w:widowControl w:val="off"/>
        <w:rPr>
          <w:rFonts w:ascii="宋体" w:hAnsi="宋体"/>
          <w:color w:val="auto"/>
          <w:sz w:val="36"/>
          <w:highlight w:val="none"/>
        </w:rPr>
      </w:pPr>
      <w:r>
        <w:rPr>
          <w:rFonts w:ascii="宋体" w:hAnsi="宋体"/>
          <w:color w:val="auto"/>
          <w:sz w:val="36"/>
          <w:highlight w:val="none"/>
        </w:rPr>
      </w:r>
      <w:r/>
    </w:p>
    <w:p>
      <w:pPr>
        <w:jc w:val="center"/>
        <w:keepLines w:val="0"/>
        <w:keepNext w:val="0"/>
        <w:pageBreakBefore w:val="0"/>
        <w:spacing w:line="480" w:lineRule="auto"/>
        <w:widowControl w:val="off"/>
        <w:rPr>
          <w:rFonts w:ascii="宋体" w:hAnsi="宋体"/>
          <w:color w:val="auto"/>
          <w:sz w:val="36"/>
          <w:highlight w:val="none"/>
        </w:rPr>
      </w:pPr>
      <w:r>
        <w:rPr>
          <w:rFonts w:ascii="宋体" w:hAnsi="宋体"/>
          <w:color w:val="auto"/>
          <w:sz w:val="36"/>
          <w:highlight w:val="none"/>
        </w:rPr>
      </w:r>
      <w:r/>
    </w:p>
    <w:p>
      <w:pPr>
        <w:jc w:val="center"/>
        <w:keepLines w:val="0"/>
        <w:keepNext w:val="0"/>
        <w:pageBreakBefore w:val="0"/>
        <w:spacing w:line="480" w:lineRule="auto"/>
        <w:widowControl w:val="off"/>
        <w:rPr>
          <w:rFonts w:ascii="宋体" w:hAnsi="宋体"/>
          <w:color w:val="auto"/>
          <w:sz w:val="36"/>
          <w:highlight w:val="none"/>
        </w:rPr>
      </w:pPr>
      <w:r>
        <w:rPr>
          <w:rFonts w:ascii="宋体" w:hAnsi="宋体"/>
          <w:color w:val="auto"/>
          <w:sz w:val="36"/>
          <w:highlight w:val="none"/>
        </w:rPr>
      </w:r>
      <w:r/>
    </w:p>
    <w:p>
      <w:pPr>
        <w:ind w:left="0" w:firstLine="1687"/>
        <w:jc w:val="left"/>
        <w:keepLines w:val="0"/>
        <w:keepNext w:val="0"/>
        <w:pageBreakBefore w:val="0"/>
        <w:spacing w:line="480" w:lineRule="auto"/>
        <w:widowControl w:val="off"/>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采</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购</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人：</w:t>
      </w:r>
      <w:r>
        <w:rPr>
          <w:rFonts w:hint="eastAsia" w:ascii="宋体" w:hAnsi="宋体" w:eastAsia="宋体" w:cs="宋体"/>
          <w:b/>
          <w:color w:val="auto"/>
          <w:sz w:val="32"/>
          <w:szCs w:val="32"/>
          <w:highlight w:val="none"/>
          <w:lang w:val="en-US" w:eastAsia="zh-CN"/>
        </w:rPr>
        <w:t xml:space="preserve">高邮市农业农村局</w:t>
      </w:r>
      <w:r/>
    </w:p>
    <w:p>
      <w:pPr>
        <w:pStyle w:val="761"/>
        <w:ind w:left="0" w:firstLine="1687"/>
        <w:jc w:val="left"/>
        <w:keepLines w:val="0"/>
        <w:keepNext w:val="0"/>
        <w:pageBreakBefore w:val="0"/>
        <w:spacing w:line="48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招标代理：</w:t>
      </w:r>
      <w:r>
        <w:rPr>
          <w:rFonts w:hint="eastAsia" w:ascii="宋体" w:hAnsi="宋体" w:eastAsia="宋体" w:cs="宋体"/>
          <w:b/>
          <w:bCs/>
          <w:color w:val="auto"/>
          <w:sz w:val="32"/>
          <w:szCs w:val="32"/>
          <w:highlight w:val="none"/>
        </w:rPr>
        <w:t xml:space="preserve">江苏协诚工程咨询有限公司</w:t>
      </w:r>
      <w:r/>
    </w:p>
    <w:p>
      <w:pPr>
        <w:pStyle w:val="761"/>
        <w:ind w:left="0" w:firstLine="1687"/>
        <w:jc w:val="left"/>
        <w:keepLines w:val="0"/>
        <w:keepNext w:val="0"/>
        <w:pageBreakBefore w:val="0"/>
        <w:spacing w:line="480" w:lineRule="auto"/>
        <w:widowControl w:val="off"/>
        <w:rPr>
          <w:rFonts w:hint="default" w:ascii="宋体" w:hAnsi="宋体" w:eastAsia="宋体"/>
          <w:color w:val="auto"/>
          <w:sz w:val="32"/>
          <w:highlight w:val="none"/>
          <w:lang w:val="en-US" w:eastAsia="zh-CN"/>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auto"/>
          <w:sz w:val="32"/>
          <w:szCs w:val="32"/>
          <w:highlight w:val="none"/>
        </w:rPr>
        <w:t xml:space="preserve">发布日期</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2026年9月11</w:t>
      </w:r>
      <w:r>
        <w:rPr>
          <w:rFonts w:hint="eastAsia" w:ascii="宋体" w:hAnsi="宋体" w:eastAsia="宋体" w:cs="宋体"/>
          <w:b/>
          <w:color w:val="auto"/>
          <w:sz w:val="32"/>
          <w:szCs w:val="32"/>
          <w:highlight w:val="none"/>
          <w:lang w:val="en-US" w:eastAsia="zh-CN"/>
        </w:rPr>
        <w:t xml:space="preserve">日</w:t>
      </w:r>
      <w:r/>
    </w:p>
    <w:p>
      <w:pPr>
        <w:rPr>
          <w:rFonts w:hint="eastAsia" w:ascii="宋体" w:hAnsi="宋体"/>
          <w:color w:val="auto"/>
          <w:sz w:val="32"/>
          <w:highlight w:val="none"/>
        </w:rPr>
      </w:pPr>
      <w:r>
        <w:rPr>
          <w:rFonts w:hint="eastAsia"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752"/>
        <w:tabs>
          <w:tab w:val="right" w:pos="8620" w:leader="dot"/>
        </w:tabs>
        <w:rPr>
          <w:color w:val="auto"/>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TOC \o "1-3" \f </w:instrText>
      </w:r>
      <w:r>
        <w:rPr>
          <w:rFonts w:hint="eastAsia" w:ascii="宋体" w:hAnsi="宋体" w:cs="宋体"/>
          <w:color w:val="auto"/>
          <w:sz w:val="24"/>
          <w:szCs w:val="24"/>
          <w:highlight w:val="none"/>
        </w:rPr>
        <w:fldChar w:fldCharType="separate"/>
      </w:r>
      <w:r>
        <w:rPr>
          <w:rFonts w:hint="eastAsia" w:ascii="宋体" w:hAnsi="宋体"/>
          <w:color w:val="auto"/>
          <w:szCs w:val="36"/>
          <w:highlight w:val="none"/>
        </w:rPr>
        <w:t xml:space="preserve">第一章 </w:t>
      </w:r>
      <w:r>
        <w:rPr>
          <w:rFonts w:hint="eastAsia" w:ascii="宋体" w:hAnsi="宋体"/>
          <w:color w:val="auto"/>
          <w:szCs w:val="36"/>
          <w:highlight w:val="none"/>
          <w:lang w:val="en-US" w:eastAsia="zh-CN"/>
        </w:rPr>
        <w:t xml:space="preserve">高邮市</w:t>
      </w:r>
      <w:r>
        <w:rPr>
          <w:rFonts w:hint="eastAsia" w:ascii="宋体" w:hAnsi="宋体"/>
          <w:color w:val="auto"/>
          <w:szCs w:val="36"/>
          <w:highlight w:val="none"/>
          <w:lang w:eastAsia="zh-CN"/>
        </w:rPr>
        <w:t xml:space="preserve">202</w:t>
      </w:r>
      <w:r>
        <w:rPr>
          <w:rFonts w:hint="eastAsia" w:ascii="宋体" w:hAnsi="宋体"/>
          <w:color w:val="auto"/>
          <w:szCs w:val="36"/>
          <w:highlight w:val="none"/>
          <w:lang w:val="en-US" w:eastAsia="zh-CN"/>
        </w:rPr>
        <w:t xml:space="preserve">6</w:t>
      </w:r>
      <w:r>
        <w:rPr>
          <w:rFonts w:hint="eastAsia" w:ascii="宋体" w:hAnsi="宋体"/>
          <w:color w:val="auto"/>
          <w:szCs w:val="36"/>
          <w:highlight w:val="none"/>
          <w:lang w:eastAsia="zh-CN"/>
        </w:rPr>
        <w:t xml:space="preserve">年</w:t>
      </w:r>
      <w:r>
        <w:rPr>
          <w:rFonts w:hint="eastAsia" w:ascii="宋体" w:hAnsi="宋体"/>
          <w:color w:val="auto"/>
          <w:szCs w:val="36"/>
          <w:highlight w:val="none"/>
          <w:lang w:val="en-US" w:eastAsia="zh-CN"/>
        </w:rPr>
        <w:t xml:space="preserve">中央财政高素质农民培育</w:t>
      </w:r>
      <w:r>
        <w:rPr>
          <w:rFonts w:hint="eastAsia" w:ascii="宋体" w:hAnsi="宋体"/>
          <w:color w:val="auto"/>
          <w:szCs w:val="36"/>
          <w:highlight w:val="none"/>
          <w:lang w:eastAsia="zh-CN"/>
        </w:rPr>
        <w:t xml:space="preserve">项目</w:t>
      </w:r>
      <w:r>
        <w:rPr>
          <w:rFonts w:hint="eastAsia" w:ascii="宋体" w:hAnsi="宋体"/>
          <w:color w:val="auto"/>
          <w:szCs w:val="36"/>
          <w:highlight w:val="none"/>
        </w:rPr>
        <w:t xml:space="preserve">采购公告</w:t>
      </w:r>
      <w:r>
        <w:rPr>
          <w:color w:val="auto"/>
          <w:highlight w:val="none"/>
        </w:rPr>
        <w:tab/>
      </w:r>
      <w:r>
        <w:rPr>
          <w:color w:val="auto"/>
          <w:highlight w:val="none"/>
        </w:rPr>
        <w:fldChar w:fldCharType="begin"/>
      </w:r>
      <w:r>
        <w:rPr>
          <w:color w:val="auto"/>
          <w:highlight w:val="none"/>
        </w:rPr>
        <w:instrText xml:space="preserve"> PAGEREF _Toc22605 \h </w:instrText>
      </w:r>
      <w:r>
        <w:rPr>
          <w:color w:val="auto"/>
          <w:highlight w:val="none"/>
        </w:rPr>
        <w:fldChar w:fldCharType="separate"/>
      </w:r>
      <w:r>
        <w:rPr>
          <w:color w:val="auto"/>
          <w:highlight w:val="none"/>
        </w:rPr>
        <w:t xml:space="preserve">3</w:t>
      </w:r>
      <w:r>
        <w:rPr>
          <w:color w:val="auto"/>
          <w:highlight w:val="none"/>
        </w:rPr>
        <w:fldChar w:fldCharType="end"/>
      </w:r>
      <w:r/>
    </w:p>
    <w:p>
      <w:pPr>
        <w:pStyle w:val="752"/>
        <w:tabs>
          <w:tab w:val="right" w:pos="8620" w:leader="dot"/>
        </w:tabs>
        <w:rPr>
          <w:color w:val="auto"/>
          <w:highlight w:val="none"/>
        </w:rPr>
      </w:pPr>
      <w:r>
        <w:rPr>
          <w:rFonts w:hint="eastAsia" w:ascii="宋体" w:hAnsi="宋体"/>
          <w:color w:val="auto"/>
          <w:szCs w:val="36"/>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_Toc25812 \h </w:instrText>
      </w:r>
      <w:r>
        <w:rPr>
          <w:color w:val="auto"/>
          <w:highlight w:val="none"/>
        </w:rPr>
        <w:fldChar w:fldCharType="separate"/>
      </w:r>
      <w:r>
        <w:rPr>
          <w:color w:val="auto"/>
          <w:highlight w:val="none"/>
        </w:rPr>
        <w:t xml:space="preserve">7</w:t>
      </w:r>
      <w:r>
        <w:rPr>
          <w:color w:val="auto"/>
          <w:highlight w:val="none"/>
        </w:rPr>
        <w:fldChar w:fldCharType="end"/>
      </w:r>
      <w:r/>
    </w:p>
    <w:p>
      <w:pPr>
        <w:pStyle w:val="752"/>
        <w:tabs>
          <w:tab w:val="right" w:pos="8620" w:leader="dot"/>
        </w:tabs>
        <w:rPr>
          <w:color w:val="auto"/>
          <w:highlight w:val="none"/>
        </w:rPr>
      </w:pPr>
      <w:r>
        <w:rPr>
          <w:rFonts w:hint="eastAsia" w:ascii="宋体" w:hAnsi="宋体"/>
          <w:color w:val="auto"/>
          <w:szCs w:val="36"/>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_Toc16583 \h </w:instrText>
      </w:r>
      <w:r>
        <w:rPr>
          <w:color w:val="auto"/>
          <w:highlight w:val="none"/>
        </w:rPr>
        <w:fldChar w:fldCharType="separate"/>
      </w:r>
      <w:r>
        <w:rPr>
          <w:color w:val="auto"/>
          <w:highlight w:val="none"/>
        </w:rPr>
        <w:t xml:space="preserve">17</w:t>
      </w:r>
      <w:r>
        <w:rPr>
          <w:color w:val="auto"/>
          <w:highlight w:val="none"/>
        </w:rPr>
        <w:fldChar w:fldCharType="end"/>
      </w:r>
      <w:r/>
    </w:p>
    <w:p>
      <w:pPr>
        <w:pStyle w:val="752"/>
        <w:tabs>
          <w:tab w:val="right" w:pos="8620" w:leader="dot"/>
        </w:tabs>
        <w:rPr>
          <w:color w:val="auto"/>
          <w:highlight w:val="none"/>
        </w:rPr>
      </w:pPr>
      <w:r>
        <w:rPr>
          <w:rFonts w:hint="eastAsia" w:ascii="宋体" w:hAnsi="宋体"/>
          <w:bCs/>
          <w:color w:val="auto"/>
          <w:szCs w:val="44"/>
          <w:highlight w:val="none"/>
          <w:lang w:val="en-US" w:eastAsia="zh-CN" w:bidi="ar-SA"/>
        </w:rPr>
        <w:t xml:space="preserve">第四章 </w:t>
      </w:r>
      <w:r>
        <w:rPr>
          <w:rFonts w:hint="eastAsia" w:ascii="宋体" w:hAnsi="宋体"/>
          <w:color w:val="auto"/>
          <w:highlight w:val="none"/>
        </w:rPr>
        <w:t xml:space="preserve">项目需求</w:t>
      </w:r>
      <w:r>
        <w:rPr>
          <w:color w:val="auto"/>
          <w:highlight w:val="none"/>
        </w:rPr>
        <w:tab/>
      </w:r>
      <w:r>
        <w:rPr>
          <w:color w:val="auto"/>
          <w:highlight w:val="none"/>
        </w:rPr>
        <w:fldChar w:fldCharType="begin"/>
      </w:r>
      <w:r>
        <w:rPr>
          <w:color w:val="auto"/>
          <w:highlight w:val="none"/>
        </w:rPr>
        <w:instrText xml:space="preserve"> PAGEREF _Toc27852 \h </w:instrText>
      </w:r>
      <w:r>
        <w:rPr>
          <w:color w:val="auto"/>
          <w:highlight w:val="none"/>
        </w:rPr>
        <w:fldChar w:fldCharType="separate"/>
      </w:r>
      <w:r>
        <w:rPr>
          <w:color w:val="auto"/>
          <w:highlight w:val="none"/>
        </w:rPr>
        <w:t xml:space="preserve">21</w:t>
      </w:r>
      <w:r>
        <w:rPr>
          <w:color w:val="auto"/>
          <w:highlight w:val="none"/>
        </w:rPr>
        <w:fldChar w:fldCharType="end"/>
      </w:r>
      <w:r/>
    </w:p>
    <w:p>
      <w:pPr>
        <w:pStyle w:val="752"/>
        <w:tabs>
          <w:tab w:val="right" w:pos="8620" w:leader="dot"/>
        </w:tabs>
        <w:rPr>
          <w:color w:val="auto"/>
          <w:highlight w:val="none"/>
        </w:rPr>
      </w:pPr>
      <w:r>
        <w:rPr>
          <w:rFonts w:hint="eastAsia"/>
          <w:color w:val="auto"/>
          <w:highlight w:val="none"/>
          <w:lang w:val="en-US" w:eastAsia="zh-CN"/>
        </w:rPr>
        <w:t xml:space="preserve">第五章 评标方法及评标标准</w:t>
      </w:r>
      <w:r>
        <w:rPr>
          <w:color w:val="auto"/>
          <w:highlight w:val="none"/>
        </w:rPr>
        <w:tab/>
      </w:r>
      <w:r>
        <w:rPr>
          <w:color w:val="auto"/>
          <w:highlight w:val="none"/>
        </w:rPr>
        <w:fldChar w:fldCharType="begin"/>
      </w:r>
      <w:r>
        <w:rPr>
          <w:color w:val="auto"/>
          <w:highlight w:val="none"/>
        </w:rPr>
        <w:instrText xml:space="preserve"> PAGEREF _Toc7126 \h </w:instrText>
      </w:r>
      <w:r>
        <w:rPr>
          <w:color w:val="auto"/>
          <w:highlight w:val="none"/>
        </w:rPr>
        <w:fldChar w:fldCharType="separate"/>
      </w:r>
      <w:r>
        <w:rPr>
          <w:color w:val="auto"/>
          <w:highlight w:val="none"/>
        </w:rPr>
        <w:t xml:space="preserve">25</w:t>
      </w:r>
      <w:r>
        <w:rPr>
          <w:color w:val="auto"/>
          <w:highlight w:val="none"/>
        </w:rPr>
        <w:fldChar w:fldCharType="end"/>
      </w:r>
      <w:r/>
    </w:p>
    <w:p>
      <w:pPr>
        <w:pStyle w:val="752"/>
        <w:tabs>
          <w:tab w:val="right" w:pos="8620" w:leader="dot"/>
        </w:tabs>
        <w:rPr>
          <w:color w:val="auto"/>
          <w:highlight w:val="none"/>
        </w:rPr>
      </w:pPr>
      <w:r>
        <w:rPr>
          <w:rFonts w:hint="eastAsia"/>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_Toc23900 \h </w:instrText>
      </w:r>
      <w:r>
        <w:rPr>
          <w:color w:val="auto"/>
          <w:highlight w:val="none"/>
        </w:rPr>
        <w:fldChar w:fldCharType="separate"/>
      </w:r>
      <w:r>
        <w:rPr>
          <w:color w:val="auto"/>
          <w:highlight w:val="none"/>
        </w:rPr>
        <w:t xml:space="preserve">30</w:t>
      </w:r>
      <w:r>
        <w:rPr>
          <w:color w:val="auto"/>
          <w:highlight w:val="none"/>
        </w:rPr>
        <w:fldChar w:fldCharType="end"/>
      </w:r>
      <w:r/>
    </w:p>
    <w:p>
      <w:pPr>
        <w:spacing w:line="360" w:lineRule="auto"/>
        <w:rPr>
          <w:rFonts w:hint="eastAsia" w:ascii="宋体" w:hAnsi="宋体" w:cs="宋体"/>
          <w:color w:val="auto"/>
          <w:sz w:val="24"/>
          <w:szCs w:val="24"/>
          <w:highlight w:val="none"/>
        </w:rPr>
      </w:pPr>
      <w:r>
        <w:rPr>
          <w:rFonts w:hint="eastAsia" w:ascii="宋体" w:hAnsi="宋体" w:cs="宋体"/>
          <w:color w:val="auto"/>
          <w:szCs w:val="24"/>
          <w:highlight w:val="none"/>
        </w:rPr>
        <w:fldChar w:fldCharType="end"/>
      </w:r>
      <w:r/>
    </w:p>
    <w:p>
      <w:pPr>
        <w:rPr>
          <w:color w:val="auto"/>
          <w:highlight w:val="none"/>
        </w:rPr>
      </w:pPr>
      <w:r>
        <w:rPr>
          <w:rFonts w:hint="eastAsia" w:ascii="宋体" w:hAnsi="宋体"/>
          <w:color w:val="auto"/>
          <w:sz w:val="28"/>
          <w:highlight w:val="none"/>
        </w:rPr>
        <w:br w:type="page" w:clear="all"/>
      </w:r>
      <w:r/>
    </w:p>
    <w:p>
      <w:pPr>
        <w:pStyle w:val="915"/>
        <w:jc w:val="center"/>
        <w:rPr>
          <w:rFonts w:hint="eastAsia" w:ascii="宋体" w:hAnsi="宋体"/>
          <w:color w:val="auto"/>
          <w:highlight w:val="none"/>
          <w:lang w:val="en-US" w:eastAsia="zh-CN"/>
        </w:rPr>
      </w:pPr>
      <w:r/>
      <w:bookmarkStart w:id="0" w:name="_Toc22605"/>
      <w:r/>
      <w:bookmarkStart w:id="1" w:name="_Toc55204177"/>
      <w:r>
        <w:rPr>
          <w:rFonts w:hint="eastAsia" w:ascii="宋体" w:hAnsi="宋体"/>
          <w:color w:val="auto"/>
          <w:szCs w:val="36"/>
          <w:highlight w:val="none"/>
        </w:rPr>
        <w:t xml:space="preserve">第一章 </w:t>
      </w:r>
      <w:r>
        <w:rPr>
          <w:rFonts w:hint="eastAsia" w:ascii="宋体" w:hAnsi="宋体"/>
          <w:color w:val="auto"/>
          <w:szCs w:val="36"/>
          <w:highlight w:val="none"/>
          <w:lang w:val="en-US" w:eastAsia="zh-CN"/>
        </w:rPr>
        <w:t xml:space="preserve">高邮市</w:t>
      </w:r>
      <w:r>
        <w:rPr>
          <w:rFonts w:hint="eastAsia" w:ascii="宋体" w:hAnsi="宋体"/>
          <w:color w:val="auto"/>
          <w:szCs w:val="36"/>
          <w:highlight w:val="none"/>
          <w:lang w:eastAsia="zh-CN"/>
        </w:rPr>
        <w:t xml:space="preserve">202</w:t>
      </w:r>
      <w:r>
        <w:rPr>
          <w:rFonts w:hint="eastAsia" w:ascii="宋体" w:hAnsi="宋体"/>
          <w:color w:val="auto"/>
          <w:szCs w:val="36"/>
          <w:highlight w:val="none"/>
          <w:lang w:val="en-US" w:eastAsia="zh-CN"/>
        </w:rPr>
        <w:t xml:space="preserve">6</w:t>
      </w:r>
      <w:r>
        <w:rPr>
          <w:rFonts w:hint="eastAsia" w:ascii="宋体" w:hAnsi="宋体"/>
          <w:color w:val="auto"/>
          <w:szCs w:val="36"/>
          <w:highlight w:val="none"/>
          <w:lang w:eastAsia="zh-CN"/>
        </w:rPr>
        <w:t xml:space="preserve">年</w:t>
      </w:r>
      <w:r>
        <w:rPr>
          <w:rFonts w:hint="eastAsia" w:ascii="宋体" w:hAnsi="宋体"/>
          <w:color w:val="auto"/>
          <w:szCs w:val="36"/>
          <w:highlight w:val="none"/>
          <w:lang w:val="en-US" w:eastAsia="zh-CN"/>
        </w:rPr>
        <w:t xml:space="preserve">中央财政高素质农民</w:t>
      </w:r>
      <w:r>
        <w:rPr>
          <w:rFonts w:hint="eastAsia" w:ascii="宋体" w:hAnsi="宋体"/>
          <w:color w:val="auto"/>
          <w:highlight w:val="none"/>
          <w:lang w:val="en-US" w:eastAsia="zh-CN"/>
        </w:rPr>
      </w:r>
      <w:r/>
    </w:p>
    <w:p>
      <w:pPr>
        <w:pStyle w:val="915"/>
        <w:jc w:val="center"/>
        <w:rPr>
          <w:rFonts w:hint="eastAsia" w:ascii="宋体" w:hAnsi="宋体"/>
          <w:color w:val="auto"/>
          <w:highlight w:val="none"/>
          <w:lang w:val="en-US" w:eastAsia="zh-CN"/>
        </w:rPr>
      </w:pPr>
      <w:r>
        <w:rPr>
          <w:rFonts w:hint="eastAsia" w:ascii="宋体" w:hAnsi="宋体"/>
          <w:color w:val="auto"/>
          <w:szCs w:val="36"/>
          <w:highlight w:val="none"/>
          <w:lang w:val="en-US" w:eastAsia="zh-CN"/>
        </w:rPr>
      </w:r>
      <w:r>
        <w:rPr>
          <w:rFonts w:hint="eastAsia" w:ascii="宋体" w:hAnsi="宋体"/>
          <w:color w:val="auto"/>
          <w:szCs w:val="36"/>
          <w:highlight w:val="none"/>
          <w:lang w:val="en-US" w:eastAsia="zh-CN"/>
        </w:rPr>
        <w:t xml:space="preserve">培育</w:t>
      </w:r>
      <w:r>
        <w:rPr>
          <w:rFonts w:hint="eastAsia" w:ascii="宋体" w:hAnsi="宋体"/>
          <w:color w:val="auto"/>
          <w:szCs w:val="36"/>
          <w:highlight w:val="none"/>
          <w:lang w:eastAsia="zh-CN"/>
        </w:rPr>
        <w:t xml:space="preserve">项目</w:t>
      </w:r>
      <w:r>
        <w:rPr>
          <w:rFonts w:hint="eastAsia" w:ascii="宋体" w:hAnsi="宋体"/>
          <w:color w:val="auto"/>
          <w:szCs w:val="36"/>
          <w:highlight w:val="none"/>
        </w:rPr>
        <w:t xml:space="preserve">采购公告</w:t>
      </w:r>
      <w:bookmarkEnd w:id="0"/>
      <w:r/>
      <w:bookmarkEnd w:id="1"/>
      <w:r>
        <w:rPr>
          <w:rFonts w:hint="eastAsia" w:ascii="宋体" w:hAnsi="宋体"/>
          <w:color w:val="auto"/>
          <w:highlight w:val="none"/>
          <w:lang w:val="en-US" w:eastAsia="zh-CN"/>
        </w:rPr>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val="en-US" w:eastAsia="zh-CN"/>
        </w:rPr>
        <w:t xml:space="preserve">高邮市农业农村局</w:t>
      </w:r>
      <w:r>
        <w:rPr>
          <w:rFonts w:hint="eastAsia" w:ascii="宋体" w:hAnsi="宋体" w:cs="宋体"/>
          <w:color w:val="auto"/>
          <w:highlight w:val="none"/>
        </w:rPr>
        <w:t xml:space="preserve">的委托，江苏协诚工程咨询有限公司就</w:t>
      </w:r>
      <w:r>
        <w:rPr>
          <w:rFonts w:hint="eastAsia" w:ascii="宋体" w:hAnsi="宋体" w:cs="宋体"/>
          <w:color w:val="auto"/>
          <w:highlight w:val="none"/>
          <w:lang w:val="en-US" w:eastAsia="zh-CN"/>
        </w:rPr>
        <w:t xml:space="preserve">高邮</w:t>
      </w:r>
      <w:r>
        <w:rPr>
          <w:rFonts w:hint="eastAsia" w:ascii="宋体" w:hAnsi="宋体"/>
          <w:color w:val="auto"/>
          <w:szCs w:val="36"/>
          <w:highlight w:val="none"/>
          <w:lang w:val="en-US" w:eastAsia="zh-CN"/>
        </w:rPr>
        <w:t xml:space="preserve">市</w:t>
      </w:r>
      <w:r>
        <w:rPr>
          <w:rFonts w:hint="eastAsia" w:ascii="宋体" w:hAnsi="宋体"/>
          <w:color w:val="auto"/>
          <w:szCs w:val="36"/>
          <w:highlight w:val="none"/>
          <w:lang w:eastAsia="zh-CN"/>
        </w:rPr>
        <w:t xml:space="preserve">202</w:t>
      </w:r>
      <w:r>
        <w:rPr>
          <w:rFonts w:hint="eastAsia" w:ascii="宋体" w:hAnsi="宋体"/>
          <w:color w:val="auto"/>
          <w:szCs w:val="36"/>
          <w:highlight w:val="none"/>
          <w:lang w:val="en-US" w:eastAsia="zh-CN"/>
        </w:rPr>
        <w:t xml:space="preserve">6</w:t>
      </w:r>
      <w:r>
        <w:rPr>
          <w:rFonts w:hint="eastAsia" w:ascii="宋体" w:hAnsi="宋体"/>
          <w:color w:val="auto"/>
          <w:szCs w:val="36"/>
          <w:highlight w:val="none"/>
          <w:lang w:eastAsia="zh-CN"/>
        </w:rPr>
        <w:t xml:space="preserve">年</w:t>
      </w:r>
      <w:r>
        <w:rPr>
          <w:rFonts w:hint="eastAsia" w:ascii="宋体" w:hAnsi="宋体"/>
          <w:color w:val="auto"/>
          <w:szCs w:val="36"/>
          <w:highlight w:val="none"/>
          <w:lang w:val="en-US" w:eastAsia="zh-CN"/>
        </w:rPr>
        <w:t xml:space="preserve">中央财政高素质农民培育</w:t>
      </w:r>
      <w:r>
        <w:rPr>
          <w:rFonts w:hint="eastAsia" w:ascii="宋体" w:hAnsi="宋体"/>
          <w:color w:val="auto"/>
          <w:szCs w:val="36"/>
          <w:highlight w:val="none"/>
          <w:lang w:eastAsia="zh-CN"/>
        </w:rPr>
        <w:t xml:space="preserve">项目</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lang w:val="en-US" w:eastAsia="zh-CN"/>
        </w:rPr>
        <w:t xml:space="preserve">高邮</w:t>
      </w:r>
      <w:r>
        <w:rPr>
          <w:rFonts w:hint="eastAsia" w:ascii="宋体" w:hAnsi="宋体" w:cs="宋体"/>
          <w:color w:val="auto"/>
          <w:highlight w:val="none"/>
          <w:u w:val="single"/>
        </w:rPr>
        <w:t xml:space="preserve">市20</w:t>
      </w:r>
      <w:r>
        <w:rPr>
          <w:rFonts w:hint="eastAsia" w:ascii="宋体" w:hAnsi="宋体" w:cs="宋体"/>
          <w:color w:val="auto"/>
          <w:highlight w:val="none"/>
          <w:u w:val="single"/>
          <w:lang w:val="en-US" w:eastAsia="zh-CN"/>
        </w:rPr>
        <w:t xml:space="preserve">26</w:t>
      </w:r>
      <w:r>
        <w:rPr>
          <w:rFonts w:hint="eastAsia" w:ascii="宋体" w:hAnsi="宋体" w:cs="宋体"/>
          <w:color w:val="auto"/>
          <w:highlight w:val="none"/>
          <w:u w:val="single"/>
        </w:rPr>
        <w:t xml:space="preserve">年中央财政高素质农民培育项目 </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“扬州市政府采购网”、“江苏政府采购网”、“中国政府采购网”自行免费下载 </w:t>
      </w:r>
      <w:r>
        <w:rPr>
          <w:rFonts w:hint="eastAsia" w:ascii="宋体" w:hAnsi="宋体" w:cs="宋体"/>
          <w:color w:val="auto"/>
          <w:highlight w:val="none"/>
        </w:rPr>
        <w:t xml:space="preserve">招标文件，并于</w:t>
      </w:r>
      <w:r>
        <w:rPr>
          <w:rFonts w:hint="eastAsia" w:ascii="宋体" w:hAnsi="宋体" w:cs="宋体"/>
          <w:bCs/>
          <w:color w:val="auto"/>
          <w:highlight w:val="none"/>
          <w:u w:val="single"/>
        </w:rPr>
        <w:t xml:space="preserve">20</w:t>
      </w:r>
      <w:r>
        <w:rPr>
          <w:rFonts w:hint="eastAsia" w:ascii="宋体" w:hAnsi="宋体" w:cs="宋体"/>
          <w:bCs/>
          <w:color w:val="auto"/>
          <w:highlight w:val="none"/>
          <w:u w:val="single"/>
          <w:lang w:val="en-US" w:eastAsia="zh-CN"/>
        </w:rPr>
        <w:t xml:space="preserve">26</w:t>
      </w:r>
      <w:r>
        <w:rPr>
          <w:rFonts w:hint="eastAsia" w:ascii="宋体" w:hAnsi="宋体" w:cs="宋体"/>
          <w:bCs/>
          <w:color w:val="auto"/>
          <w:highlight w:val="none"/>
          <w:u w:val="single"/>
        </w:rPr>
        <w:t xml:space="preserve">年</w:t>
      </w:r>
      <w:r>
        <w:rPr>
          <w:rFonts w:hint="eastAsia" w:ascii="宋体" w:hAnsi="宋体" w:cs="宋体"/>
          <w:bCs/>
          <w:color w:val="auto"/>
          <w:highlight w:val="none"/>
          <w:u w:val="single"/>
          <w:lang w:val="en-US" w:eastAsia="zh-CN"/>
        </w:rPr>
        <w:t xml:space="preserve">10</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8</w:t>
      </w:r>
      <w:r>
        <w:rPr>
          <w:rFonts w:hint="eastAsia" w:ascii="宋体" w:hAnsi="宋体" w:cs="宋体"/>
          <w:bCs/>
          <w:color w:val="auto"/>
          <w:highlight w:val="none"/>
          <w:u w:val="single"/>
        </w:rPr>
        <w:t xml:space="preserve">日上午9:</w:t>
      </w:r>
      <w:r>
        <w:rPr>
          <w:rFonts w:hint="eastAsia" w:ascii="宋体" w:hAnsi="宋体" w:cs="宋体"/>
          <w:bCs/>
          <w:color w:val="auto"/>
          <w:highlight w:val="none"/>
          <w:u w:val="single"/>
          <w:lang w:val="en-US" w:eastAsia="zh-CN"/>
        </w:rPr>
        <w:t xml:space="preserve">0</w:t>
      </w:r>
      <w:r>
        <w:rPr>
          <w:rFonts w:hint="eastAsia" w:ascii="宋体" w:hAnsi="宋体" w:cs="宋体"/>
          <w:bCs/>
          <w:color w:val="auto"/>
          <w:highlight w:val="none"/>
          <w:u w:val="single"/>
        </w:rPr>
        <w:t xml:space="preserve">0</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ascii="宋体" w:hAnsi="宋体" w:cs="宋体"/>
          <w:b/>
          <w:bCs/>
          <w:color w:val="auto"/>
          <w:highlight w:val="none"/>
        </w:rPr>
      </w:pPr>
      <w:r/>
      <w:bookmarkStart w:id="2" w:name="_Toc28359079"/>
      <w:r/>
      <w:bookmarkStart w:id="3" w:name="_Toc28359002"/>
      <w:r/>
      <w:bookmarkStart w:id="4" w:name="_Toc35393790"/>
      <w:r/>
      <w:bookmarkStart w:id="5" w:name="_Toc38985263"/>
      <w:r/>
      <w:bookmarkStart w:id="6" w:name="_Toc35393621"/>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highlight w:val="none"/>
        </w:rPr>
        <w:t xml:space="preserve">1.项目编号：</w:t>
      </w:r>
      <w:r>
        <w:rPr>
          <w:rFonts w:hint="eastAsia" w:ascii="宋体" w:hAnsi="宋体" w:cs="宋体"/>
          <w:color w:val="auto"/>
          <w:highlight w:val="none"/>
          <w:lang w:val="en-US" w:eastAsia="zh-CN"/>
        </w:rPr>
        <w:t xml:space="preserve">JSZC-321084-CSXC-G2026-0043</w:t>
      </w:r>
      <w:bookmarkStart w:id="87" w:name="_GoBack"/>
      <w:r/>
      <w:bookmarkEnd w:id="87"/>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2.项目名称：</w:t>
      </w:r>
      <w:r>
        <w:rPr>
          <w:rFonts w:hint="eastAsia" w:ascii="宋体" w:hAnsi="宋体"/>
          <w:color w:val="auto"/>
          <w:szCs w:val="36"/>
          <w:highlight w:val="none"/>
          <w:lang w:val="en-US" w:eastAsia="zh-CN"/>
        </w:rPr>
        <w:t xml:space="preserve">高邮市</w:t>
      </w:r>
      <w:r>
        <w:rPr>
          <w:rFonts w:hint="eastAsia" w:ascii="宋体" w:hAnsi="宋体"/>
          <w:color w:val="auto"/>
          <w:szCs w:val="36"/>
          <w:highlight w:val="none"/>
          <w:lang w:eastAsia="zh-CN"/>
        </w:rPr>
        <w:t xml:space="preserve">202</w:t>
      </w:r>
      <w:r>
        <w:rPr>
          <w:rFonts w:hint="eastAsia" w:ascii="宋体" w:hAnsi="宋体"/>
          <w:color w:val="auto"/>
          <w:szCs w:val="36"/>
          <w:highlight w:val="none"/>
          <w:lang w:val="en-US" w:eastAsia="zh-CN"/>
        </w:rPr>
        <w:t xml:space="preserve">6</w:t>
      </w:r>
      <w:r>
        <w:rPr>
          <w:rFonts w:hint="eastAsia" w:ascii="宋体" w:hAnsi="宋体"/>
          <w:color w:val="auto"/>
          <w:szCs w:val="36"/>
          <w:highlight w:val="none"/>
          <w:lang w:eastAsia="zh-CN"/>
        </w:rPr>
        <w:t xml:space="preserve">年</w:t>
      </w:r>
      <w:r>
        <w:rPr>
          <w:rFonts w:hint="eastAsia" w:ascii="宋体" w:hAnsi="宋体"/>
          <w:color w:val="auto"/>
          <w:szCs w:val="36"/>
          <w:highlight w:val="none"/>
          <w:lang w:val="en-US" w:eastAsia="zh-CN"/>
        </w:rPr>
        <w:t xml:space="preserve">中</w:t>
      </w:r>
      <w:r>
        <w:rPr>
          <w:rFonts w:hint="eastAsia" w:ascii="宋体" w:hAnsi="宋体" w:cs="宋体"/>
          <w:color w:val="auto"/>
          <w:highlight w:val="none"/>
          <w:lang w:val="en-US" w:eastAsia="zh-CN"/>
        </w:rPr>
        <w:t xml:space="preserve">央财政高素质农民培育</w:t>
      </w:r>
      <w:r>
        <w:rPr>
          <w:rFonts w:hint="eastAsia" w:ascii="宋体" w:hAnsi="宋体" w:cs="宋体"/>
          <w:color w:val="auto"/>
          <w:highlight w:val="none"/>
          <w:lang w:eastAsia="zh-CN"/>
        </w:rPr>
        <w:t xml:space="preserve">项目</w:t>
      </w:r>
      <w:r>
        <w:rPr>
          <w:rFonts w:hint="eastAsia" w:ascii="宋体" w:hAnsi="宋体" w:cs="宋体"/>
          <w:color w:val="auto"/>
          <w:highlight w:val="none"/>
        </w:rPr>
        <w:t xml:space="preserve"> </w:t>
      </w:r>
      <w:bookmarkEnd w:id="7"/>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157</w:t>
      </w:r>
      <w:r>
        <w:rPr>
          <w:rFonts w:hint="eastAsia" w:ascii="宋体" w:hAnsi="宋体" w:cs="宋体"/>
          <w:color w:val="auto"/>
          <w:highlight w:val="none"/>
        </w:rPr>
        <w:t xml:space="preserve">万元（采购包</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38</w:t>
      </w:r>
      <w:r>
        <w:rPr>
          <w:rFonts w:hint="eastAsia" w:ascii="宋体" w:hAnsi="宋体" w:cs="宋体"/>
          <w:color w:val="auto"/>
          <w:highlight w:val="none"/>
        </w:rPr>
        <w:t xml:space="preserve">万元；采购包</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57</w:t>
      </w:r>
      <w:r>
        <w:rPr>
          <w:rFonts w:hint="eastAsia" w:ascii="宋体" w:hAnsi="宋体" w:cs="宋体"/>
          <w:color w:val="auto"/>
          <w:highlight w:val="none"/>
        </w:rPr>
        <w:t xml:space="preserve">万元；采购包</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38</w:t>
      </w:r>
      <w:r>
        <w:rPr>
          <w:rFonts w:hint="eastAsia" w:ascii="宋体" w:hAnsi="宋体" w:cs="宋体"/>
          <w:color w:val="auto"/>
          <w:highlight w:val="none"/>
        </w:rPr>
        <w:t xml:space="preserve">万元；采购包</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24</w:t>
      </w:r>
      <w:r>
        <w:rPr>
          <w:rFonts w:hint="eastAsia" w:ascii="宋体" w:hAnsi="宋体" w:cs="宋体"/>
          <w:color w:val="auto"/>
          <w:highlight w:val="none"/>
        </w:rPr>
        <w:t xml:space="preserve">万元</w:t>
      </w:r>
      <w:r>
        <w:rPr>
          <w:rFonts w:hint="eastAsia" w:ascii="宋体" w:hAnsi="宋体" w:cs="宋体"/>
          <w:color w:val="auto"/>
          <w:highlight w:val="none"/>
          <w:lang w:eastAsia="zh-CN"/>
        </w:rPr>
        <w:t xml:space="preserve">。</w:t>
      </w:r>
      <w:r/>
    </w:p>
    <w:p>
      <w:pPr>
        <w:ind w:firstLine="420"/>
        <w:spacing w:line="360" w:lineRule="auto"/>
        <w:rPr>
          <w:rFonts w:ascii="宋体" w:hAnsi="宋体" w:cs="宋体"/>
          <w:color w:val="auto"/>
          <w:highlight w:val="none"/>
          <w:lang w:val="en-US"/>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.本项目设置最高限价：最高限价</w:t>
      </w:r>
      <w:r>
        <w:rPr>
          <w:rFonts w:hint="eastAsia" w:ascii="宋体" w:hAnsi="宋体" w:cs="宋体"/>
          <w:color w:val="auto"/>
          <w:highlight w:val="none"/>
          <w:lang w:val="en-US" w:eastAsia="zh-CN"/>
        </w:rPr>
        <w:t xml:space="preserve">157</w:t>
      </w:r>
      <w:r>
        <w:rPr>
          <w:rFonts w:hint="eastAsia" w:ascii="宋体" w:hAnsi="宋体" w:cs="宋体"/>
          <w:color w:val="auto"/>
          <w:highlight w:val="none"/>
        </w:rPr>
        <w:t xml:space="preserve">万元</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本项目共分</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个包，各采购包最高限价如下：采购包1：</w:t>
      </w:r>
      <w:r>
        <w:rPr>
          <w:rFonts w:hint="eastAsia" w:ascii="宋体" w:hAnsi="宋体" w:cs="宋体"/>
          <w:color w:val="auto"/>
          <w:highlight w:val="none"/>
          <w:lang w:val="en-US" w:eastAsia="zh-CN"/>
        </w:rPr>
        <w:t xml:space="preserve">38</w:t>
      </w:r>
      <w:r>
        <w:rPr>
          <w:rFonts w:hint="eastAsia" w:ascii="宋体" w:hAnsi="宋体" w:cs="宋体"/>
          <w:color w:val="auto"/>
          <w:highlight w:val="none"/>
        </w:rPr>
        <w:t xml:space="preserve">万元；采购包2：</w:t>
      </w:r>
      <w:r>
        <w:rPr>
          <w:rFonts w:hint="eastAsia" w:ascii="宋体" w:hAnsi="宋体" w:cs="宋体"/>
          <w:color w:val="auto"/>
          <w:highlight w:val="none"/>
          <w:lang w:val="en-US" w:eastAsia="zh-CN"/>
        </w:rPr>
        <w:t xml:space="preserve">57</w:t>
      </w:r>
      <w:r>
        <w:rPr>
          <w:rFonts w:hint="eastAsia" w:ascii="宋体" w:hAnsi="宋体" w:cs="宋体"/>
          <w:color w:val="auto"/>
          <w:highlight w:val="none"/>
        </w:rPr>
        <w:t xml:space="preserve">万元；采购包3：</w:t>
      </w:r>
      <w:r>
        <w:rPr>
          <w:rFonts w:hint="eastAsia" w:ascii="宋体" w:hAnsi="宋体" w:cs="宋体"/>
          <w:color w:val="auto"/>
          <w:highlight w:val="none"/>
          <w:lang w:val="en-US" w:eastAsia="zh-CN"/>
        </w:rPr>
        <w:t xml:space="preserve">38</w:t>
      </w:r>
      <w:r>
        <w:rPr>
          <w:rFonts w:hint="eastAsia" w:ascii="宋体" w:hAnsi="宋体" w:cs="宋体"/>
          <w:color w:val="auto"/>
          <w:highlight w:val="none"/>
        </w:rPr>
        <w:t xml:space="preserve">万元；采购包4：</w:t>
      </w:r>
      <w:r>
        <w:rPr>
          <w:rFonts w:hint="eastAsia" w:ascii="宋体" w:hAnsi="宋体" w:cs="宋体"/>
          <w:color w:val="auto"/>
          <w:highlight w:val="none"/>
          <w:lang w:val="en-US" w:eastAsia="zh-CN"/>
        </w:rPr>
        <w:t xml:space="preserve">24</w:t>
      </w:r>
      <w:r>
        <w:rPr>
          <w:rFonts w:hint="eastAsia" w:ascii="宋体" w:hAnsi="宋体" w:cs="宋体"/>
          <w:color w:val="auto"/>
          <w:highlight w:val="none"/>
        </w:rPr>
        <w:t xml:space="preserve">万元</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单个采购包超过对应的最高限价，视为无效投。</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.采购需求：具体详情见招标文件第四章。</w:t>
      </w: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投标人可多包兼投，但最多中标2个包，若投多个包，请各投标人按所投采购包分别制作投标文件上传系统。开标、评标顺序为采购包1至采购包</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。如某采购包第一中标候选人已中满2个采购包的，则此采购包由第二中标候选人中标，并以此类推。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.合同履行期限：合同签订至202</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年12月31日前完成所有班次的课堂教学、实践教学和交流观摩。在课堂教学、实践教学和交流观摩全部完成后对学员开展跟踪服务，并于202</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年</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月底之前完成。</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.本项目</w:t>
      </w:r>
      <w:r>
        <w:rPr>
          <w:rFonts w:hint="eastAsia" w:ascii="宋体" w:hAnsi="宋体" w:cs="宋体"/>
          <w:color w:val="auto"/>
          <w:highlight w:val="none"/>
          <w:u w:val="single"/>
        </w:rPr>
        <w:t xml:space="preserve">不接受</w:t>
      </w:r>
      <w:r>
        <w:rPr>
          <w:rFonts w:hint="eastAsia" w:ascii="宋体" w:hAnsi="宋体" w:cs="宋体"/>
          <w:color w:val="auto"/>
          <w:highlight w:val="none"/>
        </w:rPr>
        <w:t xml:space="preserve">联合体投标</w:t>
      </w:r>
      <w:r/>
    </w:p>
    <w:p>
      <w:pPr>
        <w:spacing w:line="360" w:lineRule="auto"/>
        <w:tabs>
          <w:tab w:val="left" w:pos="266" w:leader="none"/>
        </w:tabs>
        <w:rPr>
          <w:rFonts w:ascii="宋体" w:hAnsi="宋体" w:cs="宋体"/>
          <w:b/>
          <w:bCs/>
          <w:color w:val="auto"/>
          <w:highlight w:val="none"/>
        </w:rPr>
      </w:pPr>
      <w:r/>
      <w:bookmarkStart w:id="8" w:name="_Toc28359003"/>
      <w:r/>
      <w:bookmarkStart w:id="9" w:name="_Toc35393622"/>
      <w:r/>
      <w:bookmarkStart w:id="10" w:name="_Toc35393791"/>
      <w:r/>
      <w:bookmarkStart w:id="11" w:name="_Toc28359080"/>
      <w:r/>
      <w:bookmarkStart w:id="12" w:name="_Toc38985264"/>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cs="宋体"/>
          <w:color w:val="auto"/>
          <w:szCs w:val="21"/>
          <w:highlight w:val="none"/>
        </w:rPr>
      </w:pPr>
      <w:r/>
      <w:bookmarkStart w:id="13" w:name="_Toc28359081"/>
      <w:r/>
      <w:bookmarkStart w:id="14" w:name="_Toc35393623"/>
      <w:r/>
      <w:bookmarkStart w:id="15" w:name="_Toc28359004"/>
      <w:r/>
      <w:bookmarkStart w:id="16" w:name="_Toc38985265"/>
      <w:r/>
      <w:bookmarkStart w:id="17" w:name="_Toc35393792"/>
      <w:r>
        <w:rPr>
          <w:rFonts w:hint="eastAsia" w:ascii="宋体" w:hAnsi="宋体" w:cs="宋体"/>
          <w:color w:val="auto"/>
          <w:szCs w:val="21"/>
          <w:highlight w:val="none"/>
        </w:rPr>
        <w:t xml:space="preserve">1.满足《中华人民共和国政府采购法》第二十二条规定： </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1.2 上一年度的财务报告情况（成立不满一年无需提供）</w:t>
      </w:r>
      <w:r>
        <w:rPr>
          <w:rFonts w:hint="eastAsia" w:ascii="宋体" w:hAnsi="宋体" w:cs="宋体"/>
          <w:i/>
          <w:iCs/>
          <w:color w:val="auto"/>
          <w:szCs w:val="21"/>
          <w:highlight w:val="none"/>
          <w:u w:val="single"/>
          <w:lang w:eastAsia="zh-CN"/>
        </w:rPr>
        <w:t xml:space="preserve">；</w:t>
      </w:r>
      <w:r/>
    </w:p>
    <w:p>
      <w:pPr>
        <w:ind w:firstLine="420"/>
        <w:pageBreakBefore w:val="0"/>
        <w:spacing w:line="360" w:lineRule="auto"/>
        <w:widowControl w:val="off"/>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w:t>
      </w:r>
      <w:r>
        <w:rPr>
          <w:rFonts w:hint="eastAsia" w:ascii="宋体" w:hAnsi="宋体" w:eastAsia="宋体" w:cs="宋体"/>
          <w:i/>
          <w:iCs/>
          <w:color w:val="auto"/>
          <w:szCs w:val="21"/>
          <w:highlight w:val="none"/>
          <w:u w:val="single"/>
          <w:lang w:val="en-US" w:eastAsia="zh-CN"/>
        </w:rPr>
        <w:t xml:space="preserve">3</w:t>
      </w:r>
      <w:r>
        <w:rPr>
          <w:rFonts w:hint="eastAsia" w:ascii="宋体" w:hAnsi="宋体" w:eastAsia="宋体" w:cs="宋体"/>
          <w:i/>
          <w:iCs/>
          <w:color w:val="auto"/>
          <w:szCs w:val="21"/>
          <w:highlight w:val="none"/>
          <w:u w:val="single"/>
        </w:rPr>
        <w:t xml:space="preserve">依法缴纳职工社会保障资金的证明材料</w:t>
      </w:r>
      <w:r>
        <w:rPr>
          <w:rFonts w:hint="eastAsia" w:ascii="宋体" w:hAnsi="宋体" w:cs="宋体"/>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rPr>
        <w:t xml:space="preserve">(</w:t>
      </w:r>
      <w:r>
        <w:rPr>
          <w:rFonts w:hint="eastAsia" w:ascii="宋体" w:hAnsi="宋体" w:cs="宋体"/>
          <w:b/>
          <w:bCs/>
          <w:i/>
          <w:iCs/>
          <w:color w:val="auto"/>
          <w:szCs w:val="21"/>
          <w:highlight w:val="none"/>
          <w:u w:val="single"/>
        </w:rPr>
        <w:t xml:space="preserve">提供提交投标文件截止时间前一年内至少一个月依法缴纳社会保障资金的证明材料。投标人依法享受缓缴、免缴的提供证明材料。</w:t>
      </w:r>
      <w:r>
        <w:rPr>
          <w:rFonts w:hint="eastAsia" w:ascii="宋体" w:hAnsi="宋体" w:eastAsia="宋体" w:cs="宋体"/>
          <w:b/>
          <w:bCs/>
          <w:i/>
          <w:iCs/>
          <w:color w:val="auto"/>
          <w:szCs w:val="21"/>
          <w:highlight w:val="none"/>
          <w:u w:val="single"/>
        </w:rPr>
        <w:t xml:space="preserve">）</w:t>
      </w:r>
      <w:r/>
    </w:p>
    <w:p>
      <w:pPr>
        <w:ind w:firstLine="420"/>
        <w:pageBreakBefore w:val="0"/>
        <w:spacing w:line="360" w:lineRule="auto"/>
        <w:widowControl w:val="off"/>
        <w:rPr>
          <w:rFonts w:hint="eastAsia" w:ascii="宋体" w:hAnsi="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w:t>
      </w:r>
      <w:r>
        <w:rPr>
          <w:rFonts w:hint="eastAsia" w:ascii="宋体" w:hAnsi="宋体" w:eastAsia="宋体" w:cs="宋体"/>
          <w:i/>
          <w:iCs/>
          <w:color w:val="auto"/>
          <w:szCs w:val="21"/>
          <w:highlight w:val="none"/>
          <w:u w:val="single"/>
          <w:lang w:val="en-US" w:eastAsia="zh-CN"/>
        </w:rPr>
        <w:t xml:space="preserve">4依法缴纳税收</w:t>
      </w:r>
      <w:r>
        <w:rPr>
          <w:rFonts w:hint="eastAsia" w:ascii="宋体" w:hAnsi="宋体" w:eastAsia="宋体" w:cs="宋体"/>
          <w:i/>
          <w:iCs/>
          <w:color w:val="auto"/>
          <w:szCs w:val="21"/>
          <w:highlight w:val="none"/>
          <w:u w:val="single"/>
        </w:rPr>
        <w:t xml:space="preserve">的缴款凭证</w:t>
      </w:r>
      <w:r>
        <w:rPr>
          <w:rFonts w:hint="eastAsia" w:ascii="宋体" w:hAnsi="宋体" w:eastAsia="宋体" w:cs="宋体"/>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rPr>
        <w:t xml:space="preserve">（</w:t>
      </w:r>
      <w:r>
        <w:rPr>
          <w:rFonts w:hint="eastAsia" w:ascii="宋体" w:hAnsi="宋体" w:cs="宋体"/>
          <w:b/>
          <w:bCs/>
          <w:i/>
          <w:iCs/>
          <w:color w:val="auto"/>
          <w:szCs w:val="21"/>
          <w:highlight w:val="none"/>
          <w:u w:val="single"/>
        </w:rPr>
        <w:t xml:space="preserve">提供提交投标文件截止时间前一年内至少一个月依法纳税的缴款凭证。投标人依法享受缓缴、免缴的提供证明材料。</w:t>
      </w:r>
      <w:r>
        <w:rPr>
          <w:rFonts w:hint="eastAsia" w:ascii="宋体" w:hAnsi="宋体" w:eastAsia="宋体" w:cs="宋体"/>
          <w:b/>
          <w:bCs/>
          <w:i/>
          <w:iCs/>
          <w:color w:val="auto"/>
          <w:szCs w:val="21"/>
          <w:highlight w:val="none"/>
          <w:u w:val="single"/>
        </w:rPr>
        <w:t xml:space="preserve">）</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5</w:t>
      </w:r>
      <w:r>
        <w:rPr>
          <w:rFonts w:hint="eastAsia" w:ascii="宋体" w:hAnsi="宋体" w:cs="宋体"/>
          <w:i/>
          <w:iCs/>
          <w:color w:val="auto"/>
          <w:szCs w:val="21"/>
          <w:highlight w:val="none"/>
          <w:u w:val="single"/>
        </w:rPr>
        <w:t xml:space="preserve"> 具备履行合同所必需的设备和专业技术能力的书面声明；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6</w:t>
      </w:r>
      <w:r>
        <w:rPr>
          <w:rFonts w:hint="eastAsia" w:ascii="宋体" w:hAnsi="宋体" w:cs="宋体"/>
          <w:i/>
          <w:iCs/>
          <w:color w:val="auto"/>
          <w:szCs w:val="21"/>
          <w:highlight w:val="none"/>
          <w:u w:val="single"/>
        </w:rPr>
        <w:t xml:space="preserve"> 参加政府采购活动前3年内在经营活动中没有重大违法记录的书面声明；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7</w:t>
      </w:r>
      <w:r>
        <w:rPr>
          <w:rFonts w:hint="eastAsia" w:ascii="宋体" w:hAnsi="宋体" w:cs="宋体"/>
          <w:i/>
          <w:iCs/>
          <w:color w:val="auto"/>
          <w:szCs w:val="21"/>
          <w:highlight w:val="none"/>
          <w:u w:val="single"/>
        </w:rPr>
        <w:t xml:space="preserve"> 供应商信用承诺函；</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w:t>
      </w:r>
      <w:r>
        <w:rPr>
          <w:rFonts w:hint="eastAsia" w:ascii="宋体" w:hAnsi="宋体" w:cs="宋体"/>
          <w:i/>
          <w:iCs/>
          <w:color w:val="auto"/>
          <w:szCs w:val="21"/>
          <w:highlight w:val="none"/>
          <w:u w:val="single"/>
          <w:lang w:val="en-US" w:eastAsia="zh-CN"/>
        </w:rPr>
        <w:t xml:space="preserve">8</w:t>
      </w:r>
      <w:r>
        <w:rPr>
          <w:rFonts w:hint="eastAsia" w:ascii="宋体" w:hAnsi="宋体" w:cs="宋体"/>
          <w:i/>
          <w:iCs/>
          <w:color w:val="auto"/>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cs="宋体"/>
          <w:color w:val="auto"/>
          <w:szCs w:val="21"/>
          <w:highlight w:val="none"/>
        </w:rPr>
        <w:t xml:space="preserve">2.落实政府采购政策需满足的资格要求：</w:t>
      </w:r>
      <w:r>
        <w:rPr>
          <w:rFonts w:hint="eastAsia" w:ascii="宋体" w:hAnsi="宋体" w:cs="宋体"/>
          <w:color w:val="auto"/>
          <w:szCs w:val="21"/>
          <w:highlight w:val="none"/>
          <w:lang w:val="en-US" w:eastAsia="zh-CN"/>
        </w:rPr>
        <w:t xml:space="preserve">无</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.本项目的特定资格要求：</w:t>
      </w:r>
      <w:r>
        <w:rPr>
          <w:rFonts w:hint="eastAsia" w:ascii="宋体" w:hAnsi="宋体" w:cs="宋体"/>
          <w:color w:val="auto"/>
          <w:szCs w:val="21"/>
          <w:highlight w:val="none"/>
          <w:lang w:val="en-US" w:eastAsia="zh-CN"/>
        </w:rPr>
        <w:t xml:space="preserve">无</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540"/>
        <w:spacing w:line="360" w:lineRule="auto"/>
        <w:rPr>
          <w:rFonts w:ascii="宋体" w:hAnsi="宋体" w:cs="宋体"/>
          <w:color w:val="auto"/>
          <w:highlight w:val="none"/>
        </w:rPr>
      </w:pPr>
      <w:r/>
      <w:bookmarkStart w:id="18" w:name="_Toc35393793"/>
      <w:r/>
      <w:bookmarkStart w:id="19" w:name="_Toc35393624"/>
      <w:r/>
      <w:bookmarkStart w:id="20" w:name="_Toc38985266"/>
      <w:r/>
      <w:bookmarkStart w:id="21" w:name="_Toc28359005"/>
      <w:r/>
      <w:bookmarkStart w:id="22" w:name="_Toc28359082"/>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bookmarkEnd w:id="18"/>
      <w:r/>
      <w:bookmarkEnd w:id="19"/>
      <w:r/>
      <w:bookmarkEnd w:id="20"/>
      <w:r/>
      <w:bookmarkEnd w:id="21"/>
      <w:r/>
      <w:bookmarkEnd w:id="22"/>
      <w:r/>
      <w:r/>
    </w:p>
    <w:p>
      <w:pPr>
        <w:ind w:firstLine="540"/>
        <w:spacing w:line="360" w:lineRule="auto"/>
        <w:rPr>
          <w:rFonts w:ascii="宋体" w:hAnsi="宋体"/>
          <w:b/>
          <w:bCs/>
          <w:color w:val="auto"/>
          <w:szCs w:val="21"/>
          <w:highlight w:val="none"/>
        </w:rPr>
      </w:pPr>
      <w:r/>
      <w:bookmarkStart w:id="23" w:name="_Toc38985267"/>
      <w:r/>
      <w:bookmarkStart w:id="24" w:name="_Toc35393794"/>
      <w:r/>
      <w:bookmarkStart w:id="25" w:name="_Toc28359007"/>
      <w:r/>
      <w:bookmarkStart w:id="26" w:name="_Toc35393625"/>
      <w:r/>
      <w:bookmarkStart w:id="27" w:name="_Toc28359084"/>
      <w:r>
        <w:rPr>
          <w:rFonts w:hint="eastAsia" w:ascii="宋体" w:hAnsi="宋体"/>
          <w:b/>
          <w:bCs/>
          <w:color w:val="auto"/>
          <w:szCs w:val="21"/>
          <w:highlight w:val="none"/>
        </w:rPr>
        <w:t xml:space="preserve">3.潜在供应商访问政府采购管理交易系统（苏采云）的网络地址和方法：</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（3）“CA数字证书”的办理材料以及供应商操作手册详见：</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http://zfcg.yangzhou.gov.cn/xzzx/art/2023/art_4d7de1f7865f4a2894fc22bc452f94d8.html。</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（4）潜在供应商访问“苏采云”系统的网络地址和方法：“苏采云”系统的网址：http://jszfcg.jsczt.cn/。</w:t>
      </w:r>
      <w:r/>
    </w:p>
    <w:p>
      <w:pPr>
        <w:ind w:firstLine="540"/>
        <w:spacing w:line="360" w:lineRule="auto"/>
        <w:rPr>
          <w:rFonts w:ascii="宋体" w:hAnsi="宋体"/>
          <w:b/>
          <w:bCs/>
          <w:color w:val="auto"/>
          <w:szCs w:val="21"/>
          <w:highlight w:val="none"/>
        </w:rPr>
      </w:pPr>
      <w:r>
        <w:rPr>
          <w:rFonts w:hint="eastAsia" w:ascii="宋体" w:hAnsi="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（6）招标代理机构（采购代理机构）将数据电文形式的采购文件加载至“苏采云”系统，供潜在供应商下载或者查阅。     </w:t>
      </w:r>
      <w:r/>
    </w:p>
    <w:p>
      <w:pPr>
        <w:ind w:firstLine="54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（7）苏采云系统使用谷歌浏览器参与不见面开标。</w:t>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四、提交投标文件截止时间、开标时间和地点</w:t>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rPr>
        <w:t xml:space="preserve">20</w:t>
      </w:r>
      <w:r>
        <w:rPr>
          <w:rFonts w:hint="eastAsia" w:ascii="宋体" w:hAnsi="宋体" w:cs="宋体"/>
          <w:bCs/>
          <w:color w:val="auto"/>
          <w:highlight w:val="none"/>
          <w:u w:val="single"/>
          <w:lang w:val="en-US" w:eastAsia="zh-CN"/>
        </w:rPr>
        <w:t xml:space="preserve">26</w:t>
      </w:r>
      <w:r>
        <w:rPr>
          <w:rFonts w:hint="eastAsia" w:ascii="宋体" w:hAnsi="宋体" w:cs="宋体"/>
          <w:bCs/>
          <w:color w:val="auto"/>
          <w:highlight w:val="none"/>
          <w:u w:val="single"/>
        </w:rPr>
        <w:t xml:space="preserve">年</w:t>
      </w:r>
      <w:r>
        <w:rPr>
          <w:rFonts w:hint="eastAsia" w:ascii="宋体" w:hAnsi="宋体" w:cs="宋体"/>
          <w:bCs/>
          <w:color w:val="auto"/>
          <w:highlight w:val="none"/>
          <w:u w:val="single"/>
          <w:lang w:val="en-US" w:eastAsia="zh-CN"/>
        </w:rPr>
        <w:t xml:space="preserve">10</w:t>
      </w:r>
      <w:r>
        <w:rPr>
          <w:rFonts w:hint="eastAsia" w:ascii="宋体" w:hAnsi="宋体" w:cs="宋体"/>
          <w:bCs/>
          <w:color w:val="auto"/>
          <w:highlight w:val="none"/>
          <w:u w:val="single"/>
        </w:rPr>
        <w:t xml:space="preserve">月</w:t>
      </w:r>
      <w:r>
        <w:rPr>
          <w:rFonts w:hint="eastAsia" w:ascii="宋体" w:hAnsi="宋体" w:cs="宋体"/>
          <w:bCs/>
          <w:color w:val="auto"/>
          <w:highlight w:val="none"/>
          <w:u w:val="single"/>
          <w:lang w:val="en-US" w:eastAsia="zh-CN"/>
        </w:rPr>
        <w:t xml:space="preserve">8</w:t>
      </w:r>
      <w:r>
        <w:rPr>
          <w:rFonts w:hint="eastAsia" w:ascii="宋体" w:hAnsi="宋体" w:cs="宋体"/>
          <w:bCs/>
          <w:color w:val="auto"/>
          <w:highlight w:val="none"/>
          <w:u w:val="single"/>
        </w:rPr>
        <w:t xml:space="preserve">日上午9：</w:t>
      </w:r>
      <w:r>
        <w:rPr>
          <w:rFonts w:hint="eastAsia" w:ascii="宋体" w:hAnsi="宋体" w:cs="宋体"/>
          <w:bCs/>
          <w:color w:val="auto"/>
          <w:highlight w:val="none"/>
          <w:u w:val="single"/>
          <w:lang w:val="en-US" w:eastAsia="zh-CN"/>
        </w:rPr>
        <w:t xml:space="preserve">00</w:t>
      </w:r>
      <w:r>
        <w:rPr>
          <w:rFonts w:hint="eastAsia" w:ascii="宋体" w:hAnsi="宋体" w:cs="宋体"/>
          <w:bCs/>
          <w:color w:val="auto"/>
          <w:highlight w:val="none"/>
          <w:u w:val="single"/>
        </w:rPr>
        <w:t xml:space="preserve">（北京时间）</w:t>
      </w:r>
      <w:r/>
    </w:p>
    <w:p>
      <w:pPr>
        <w:ind w:firstLine="420"/>
        <w:spacing w:line="360" w:lineRule="auto"/>
        <w:rPr>
          <w:rFonts w:hint="eastAsia" w:ascii="宋体" w:hAnsi="宋体"/>
          <w:b/>
          <w:color w:val="auto"/>
          <w:szCs w:val="21"/>
          <w:highlight w:val="non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 HYPERLINK "http://jszfcg.jsczt.cn/）\“开标大厅\”" </w:instrText>
      </w:r>
      <w:r>
        <w:rPr>
          <w:rFonts w:hint="eastAsia" w:ascii="宋体" w:hAnsi="宋体"/>
          <w:b/>
          <w:color w:val="auto"/>
          <w:szCs w:val="21"/>
          <w:highlight w:val="none"/>
        </w:rPr>
        <w:fldChar w:fldCharType="separate"/>
      </w:r>
      <w:r>
        <w:rPr>
          <w:rFonts w:hint="eastAsia" w:ascii="宋体" w:hAnsi="宋体"/>
          <w:b/>
          <w:color w:val="auto"/>
          <w:szCs w:val="21"/>
          <w:highlight w:val="none"/>
        </w:rPr>
        <w:t xml:space="preserve">http://jszfcg.jsczt.cn/）</w:t>
      </w:r>
      <w:r>
        <w:rPr>
          <w:rFonts w:hint="eastAsia" w:ascii="宋体" w:hAnsi="宋体"/>
          <w:b/>
          <w:color w:val="auto"/>
          <w:szCs w:val="21"/>
          <w:highlight w:val="none"/>
        </w:rPr>
        <w:fldChar w:fldCharType="end"/>
      </w:r>
      <w:bookmarkEnd w:id="23"/>
      <w:r/>
      <w:bookmarkEnd w:id="24"/>
      <w:r/>
      <w:bookmarkEnd w:id="25"/>
      <w:r/>
      <w:bookmarkEnd w:id="26"/>
      <w:r/>
      <w:bookmarkEnd w:id="27"/>
      <w:r/>
      <w:r/>
    </w:p>
    <w:p>
      <w:pPr>
        <w:spacing w:line="360" w:lineRule="auto"/>
        <w:tabs>
          <w:tab w:val="left" w:pos="266" w:leader="none"/>
        </w:tabs>
        <w:rPr>
          <w:rFonts w:ascii="宋体" w:hAnsi="宋体" w:cs="宋体"/>
          <w:b/>
          <w:bCs/>
          <w:color w:val="auto"/>
          <w:highlight w:val="none"/>
        </w:rPr>
      </w:pPr>
      <w:r/>
      <w:bookmarkStart w:id="28" w:name="_Toc35393626"/>
      <w:r/>
      <w:bookmarkStart w:id="29" w:name="_Toc38985268"/>
      <w:r/>
      <w:bookmarkStart w:id="30" w:name="_Toc35393795"/>
      <w:r>
        <w:rPr>
          <w:rFonts w:hint="eastAsia" w:ascii="宋体" w:hAnsi="宋体" w:cs="宋体"/>
          <w:b/>
          <w:bCs/>
          <w:color w:val="auto"/>
          <w:highlight w:val="none"/>
        </w:rPr>
        <w:t xml:space="preserve">五、公告期限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招标公告及招标文件公告期限为自本公告发布之日起5个工作日。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ind w:firstLine="422"/>
        <w:spacing w:line="360" w:lineRule="auto"/>
        <w:rPr>
          <w:rFonts w:ascii="宋体" w:hAnsi="宋体"/>
          <w:b/>
          <w:bCs/>
          <w:color w:val="auto"/>
          <w:highlight w:val="none"/>
        </w:rPr>
      </w:pPr>
      <w:r/>
      <w:bookmarkStart w:id="31" w:name="_Toc35393796"/>
      <w:r/>
      <w:bookmarkStart w:id="32" w:name="_Toc38985269"/>
      <w:r/>
      <w:bookmarkStart w:id="33" w:name="_Toc35393627"/>
      <w:r/>
      <w:bookmarkStart w:id="34" w:name="_Toc28359008"/>
      <w:r/>
      <w:bookmarkStart w:id="35" w:name="_Toc28359085"/>
      <w:r>
        <w:rPr>
          <w:rFonts w:hint="eastAsia" w:ascii="宋体" w:hAnsi="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shd w:val="clear" w:color="auto" w:fill="ffffff"/>
        <w:rPr>
          <w:rFonts w:hint="eastAsia" w:ascii="宋体" w:hAnsi="宋体"/>
          <w:b/>
          <w:bCs/>
          <w:color w:val="auto"/>
          <w:szCs w:val="21"/>
          <w:highlight w:val="none"/>
        </w:rPr>
      </w:pPr>
      <w:r>
        <w:rPr>
          <w:rFonts w:hint="eastAsia" w:ascii="宋体" w:hAnsi="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olor w:val="auto"/>
          <w:highlight w:val="none"/>
        </w:rPr>
        <w:t xml:space="preserve">本次招标</w:t>
      </w:r>
      <w:r>
        <w:rPr>
          <w:rFonts w:hint="eastAsia" w:ascii="宋体" w:hAnsi="宋体"/>
          <w:color w:val="auto"/>
          <w:highlight w:val="none"/>
          <w:u w:val="single"/>
        </w:rPr>
        <w:t xml:space="preserve">不收取</w:t>
      </w:r>
      <w:r>
        <w:rPr>
          <w:rFonts w:hint="eastAsia" w:ascii="宋体" w:hAnsi="宋体"/>
          <w:color w:val="auto"/>
          <w:highlight w:val="none"/>
        </w:rPr>
        <w:t xml:space="preserve">投标保证金。</w:t>
      </w:r>
      <w:r/>
    </w:p>
    <w:p>
      <w:pPr>
        <w:ind w:firstLine="420"/>
        <w:spacing w:line="360" w:lineRule="auto"/>
        <w:rPr>
          <w:rFonts w:hint="eastAsia" w:ascii="宋体" w:hAnsi="宋体" w:cs="宋体"/>
          <w:bCs/>
          <w:color w:val="auto"/>
          <w:highlight w:val="none"/>
        </w:rPr>
      </w:pPr>
      <w:r>
        <w:rPr>
          <w:rFonts w:hint="eastAsia" w:ascii="宋体" w:hAnsi="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有关本次招标的事项若存在变动或修改，敬请及时关注“扬州市政府采购网”、“江苏省政府采购网”、“中国政府采购网”发布的信息。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color w:val="auto"/>
          <w:highlight w:val="none"/>
        </w:rPr>
      </w:pPr>
      <w:r>
        <w:rPr>
          <w:rFonts w:hint="eastAsia" w:ascii="宋体" w:hAnsi="宋体" w:cs="宋体"/>
          <w:bCs/>
          <w:color w:val="auto"/>
          <w:highlight w:val="none"/>
        </w:rPr>
        <w:t xml:space="preserve">8.本项目严格执行政府采购关于支持节能产品</w:t>
      </w:r>
      <w:r>
        <w:rPr>
          <w:rFonts w:hint="eastAsia" w:ascii="宋体" w:hAnsi="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9.供应商对于所投产品的包装应按照“财办库〔2020〕123号《关于印发</w:t>
      </w:r>
      <w:r>
        <w:rPr>
          <w:rFonts w:hint="eastAsia" w:ascii="宋体" w:hAnsi="宋体" w:cs="宋体"/>
          <w:bCs/>
          <w:color w:val="auto"/>
          <w:highlight w:val="none"/>
          <w:lang w:val="en-US" w:eastAsia="zh-CN"/>
        </w:rPr>
        <w:t xml:space="preserve">〈</w:t>
      </w:r>
      <w:r>
        <w:rPr>
          <w:rFonts w:hint="eastAsia" w:ascii="宋体" w:hAnsi="宋体" w:cs="宋体"/>
          <w:bCs/>
          <w:color w:val="auto"/>
          <w:highlight w:val="none"/>
        </w:rPr>
        <w:t xml:space="preserve">商品包装政府采购需求标准（试行）</w:t>
      </w:r>
      <w:r>
        <w:rPr>
          <w:rFonts w:hint="eastAsia" w:ascii="宋体" w:hAnsi="宋体" w:cs="宋体"/>
          <w:bCs/>
          <w:color w:val="auto"/>
          <w:highlight w:val="none"/>
          <w:lang w:val="en-US" w:eastAsia="zh-CN"/>
        </w:rPr>
        <w:t xml:space="preserve">〉</w:t>
      </w:r>
      <w:r>
        <w:rPr>
          <w:rFonts w:hint="eastAsia" w:ascii="宋体" w:hAnsi="宋体" w:cs="宋体"/>
          <w:bCs/>
          <w:color w:val="auto"/>
          <w:highlight w:val="none"/>
        </w:rPr>
        <w:t xml:space="preserve">、</w:t>
      </w:r>
      <w:r>
        <w:rPr>
          <w:rFonts w:hint="eastAsia" w:ascii="宋体" w:hAnsi="宋体" w:cs="宋体"/>
          <w:bCs/>
          <w:color w:val="auto"/>
          <w:highlight w:val="none"/>
          <w:lang w:val="en-US" w:eastAsia="zh-CN"/>
        </w:rPr>
        <w:t xml:space="preserve">〈</w:t>
      </w:r>
      <w:r>
        <w:rPr>
          <w:rFonts w:hint="eastAsia" w:ascii="宋体" w:hAnsi="宋体" w:cs="宋体"/>
          <w:bCs/>
          <w:color w:val="auto"/>
          <w:highlight w:val="none"/>
        </w:rPr>
        <w:t xml:space="preserve">快递包装政府采购需求标准（试行）</w:t>
      </w:r>
      <w:r>
        <w:rPr>
          <w:rFonts w:hint="eastAsia" w:ascii="宋体" w:hAnsi="宋体" w:cs="宋体"/>
          <w:bCs/>
          <w:color w:val="auto"/>
          <w:highlight w:val="none"/>
          <w:lang w:val="en-US" w:eastAsia="zh-CN"/>
        </w:rPr>
        <w:t xml:space="preserve">〉</w:t>
      </w:r>
      <w:r>
        <w:rPr>
          <w:rFonts w:hint="eastAsia" w:ascii="宋体" w:hAnsi="宋体" w:cs="宋体"/>
          <w:bCs/>
          <w:color w:val="auto"/>
          <w:highlight w:val="none"/>
        </w:rPr>
        <w:t xml:space="preserve">的通知》”执行。</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spacing w:line="360" w:lineRule="auto"/>
        <w:rPr>
          <w:rFonts w:ascii="宋体" w:hAnsi="宋体" w:eastAsia="宋体"/>
          <w:color w:val="auto"/>
          <w:szCs w:val="21"/>
          <w:highlight w:val="none"/>
          <w:lang w:val="en-US" w:eastAsia="zh-CN"/>
        </w:rPr>
      </w:pPr>
      <w:r>
        <w:rPr>
          <w:rFonts w:hint="eastAsia" w:ascii="宋体" w:hAnsi="宋体"/>
          <w:color w:val="auto"/>
          <w:szCs w:val="21"/>
          <w:highlight w:val="none"/>
        </w:rPr>
        <w:t xml:space="preserve">名 称：</w:t>
      </w:r>
      <w:r>
        <w:rPr>
          <w:rFonts w:hint="eastAsia" w:ascii="宋体" w:hAnsi="宋体" w:cs="宋体"/>
          <w:color w:val="auto"/>
          <w:highlight w:val="none"/>
          <w:lang w:val="en-US" w:eastAsia="zh-CN"/>
        </w:rPr>
        <w:t xml:space="preserve">高邮市农业农村局</w:t>
      </w:r>
      <w:r/>
    </w:p>
    <w:p>
      <w:pPr>
        <w:ind w:firstLine="420"/>
        <w:jc w:val="left"/>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rPr>
        <w:t xml:space="preserve">地 址：</w:t>
      </w:r>
      <w:r>
        <w:rPr>
          <w:rFonts w:hint="eastAsia" w:ascii="宋体" w:hAnsi="宋体"/>
          <w:color w:val="auto"/>
          <w:szCs w:val="21"/>
          <w:highlight w:val="none"/>
          <w:lang w:val="en-US" w:eastAsia="zh-CN"/>
        </w:rPr>
        <w:t xml:space="preserve">高邮市文游中路173号</w:t>
      </w:r>
      <w:r/>
    </w:p>
    <w:p>
      <w:pPr>
        <w:ind w:firstLine="420"/>
        <w:jc w:val="left"/>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茆先生</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w:t>
      </w:r>
      <w:r>
        <w:rPr>
          <w:rFonts w:hint="eastAsia" w:ascii="宋体" w:hAnsi="宋体" w:cs="宋体"/>
          <w:color w:val="auto"/>
          <w:highlight w:val="none"/>
          <w:lang w:val="en-US" w:eastAsia="zh-CN"/>
        </w:rPr>
        <w:t xml:space="preserve">15852887858</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2.代理机构信息</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olor w:val="auto"/>
          <w:szCs w:val="21"/>
          <w:highlight w:val="none"/>
        </w:rPr>
        <w:t xml:space="preserve">江苏协诚工程咨询有限公司</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rPr>
        <w:t xml:space="preserve">高邮市</w:t>
      </w:r>
      <w:r>
        <w:rPr>
          <w:rFonts w:hint="eastAsia" w:ascii="宋体" w:hAnsi="宋体" w:cs="宋体"/>
          <w:color w:val="auto"/>
          <w:highlight w:val="none"/>
        </w:rPr>
        <w:t xml:space="preserve">屏淮路盐河嘉境S9号楼二楼</w:t>
      </w:r>
      <w:r/>
    </w:p>
    <w:p>
      <w:pPr>
        <w:ind w:firstLine="420"/>
        <w:spacing w:line="360" w:lineRule="auto"/>
        <w:rPr>
          <w:rFonts w:hint="default" w:ascii="宋体" w:hAnsi="宋体" w:eastAsia="宋体" w:cs="宋体"/>
          <w:color w:val="auto"/>
          <w:highlight w:val="none"/>
          <w:lang w:val="en-US" w:eastAsia="zh-CN"/>
        </w:rPr>
      </w:pPr>
      <w:r/>
      <w:bookmarkStart w:id="36" w:name="_Toc28359087"/>
      <w:r/>
      <w:bookmarkStart w:id="37" w:name="_Toc28359010"/>
      <w:r>
        <w:rPr>
          <w:rFonts w:hint="eastAsia" w:ascii="宋体" w:hAnsi="宋体" w:cs="宋体"/>
          <w:color w:val="auto"/>
          <w:highlight w:val="none"/>
        </w:rPr>
        <w:t xml:space="preserve">联系人：</w:t>
      </w:r>
      <w:r>
        <w:rPr>
          <w:rFonts w:hint="eastAsia" w:ascii="宋体" w:hAnsi="宋体" w:cs="宋体"/>
          <w:color w:val="auto"/>
          <w:highlight w:val="none"/>
          <w:lang w:val="en-US" w:eastAsia="zh-CN"/>
        </w:rPr>
        <w:t xml:space="preserve">朱工</w:t>
      </w:r>
      <w:r/>
    </w:p>
    <w:p>
      <w:pPr>
        <w:ind w:firstLine="42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w:t>
      </w:r>
      <w:r>
        <w:rPr>
          <w:rFonts w:hint="eastAsia" w:ascii="宋体" w:hAnsi="宋体" w:cs="宋体"/>
          <w:color w:val="auto"/>
          <w:highlight w:val="none"/>
          <w:lang w:val="en-US" w:eastAsia="zh-CN"/>
        </w:rPr>
        <w:t xml:space="preserve">18118213393</w:t>
      </w:r>
      <w:bookmarkEnd w:id="36"/>
      <w:r/>
      <w:bookmarkEnd w:id="37"/>
      <w:r/>
      <w:r/>
    </w:p>
    <w:p>
      <w:pPr>
        <w:rPr>
          <w:color w:val="auto"/>
          <w:highlight w:val="none"/>
        </w:rPr>
      </w:pPr>
      <w:r>
        <w:rPr>
          <w:color w:val="auto"/>
          <w:highlight w:val="none"/>
        </w:rPr>
        <w:br w:type="page" w:clear="all"/>
      </w:r>
      <w:r/>
    </w:p>
    <w:p>
      <w:pPr>
        <w:pStyle w:val="915"/>
        <w:jc w:val="center"/>
        <w:rPr>
          <w:rFonts w:ascii="宋体" w:hAnsi="宋体"/>
          <w:color w:val="auto"/>
          <w:szCs w:val="36"/>
          <w:highlight w:val="none"/>
        </w:rPr>
      </w:pPr>
      <w:r/>
      <w:bookmarkStart w:id="38" w:name="_Toc55204178"/>
      <w:r/>
      <w:bookmarkStart w:id="39" w:name="_Toc25812"/>
      <w:r>
        <w:rPr>
          <w:rFonts w:hint="eastAsia" w:ascii="宋体" w:hAnsi="宋体"/>
          <w:color w:val="auto"/>
          <w:szCs w:val="36"/>
          <w:highlight w:val="none"/>
        </w:rPr>
        <w:t xml:space="preserve">第二章 投标人须知</w:t>
      </w:r>
      <w:bookmarkEnd w:id="38"/>
      <w:r/>
      <w:bookmarkEnd w:id="39"/>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1.1本次招标采取公开招标方式，本招标文件仅适用于</w:t>
      </w:r>
      <w:r>
        <w:rPr>
          <w:rFonts w:ascii="Segoe UI" w:hAnsi="Segoe UI" w:eastAsia="Segoe UI" w:cs="Segoe UI"/>
          <w:i w:val="0"/>
          <w:iCs w:val="0"/>
          <w:caps w:val="0"/>
          <w:spacing w:val="0"/>
          <w:sz w:val="21"/>
          <w:szCs w:val="21"/>
          <w:shd w:val="clear" w:color="auto" w:fill="ffffff"/>
        </w:rPr>
        <w:t xml:space="preserve">JSZC-321084-CSXC-G2026-0043</w:t>
      </w:r>
      <w:r>
        <w:rPr>
          <w:rFonts w:hint="eastAsia" w:ascii="宋体" w:hAnsi="宋体"/>
          <w:bCs/>
          <w:color w:val="auto"/>
          <w:szCs w:val="21"/>
          <w:highlight w:val="none"/>
          <w:lang w:eastAsia="zh-CN"/>
        </w:rPr>
        <w:t xml:space="preserve">号</w:t>
      </w:r>
      <w:r>
        <w:rPr>
          <w:rFonts w:hint="eastAsia" w:ascii="宋体" w:hAnsi="宋体"/>
          <w:bCs/>
          <w:color w:val="auto"/>
          <w:szCs w:val="21"/>
          <w:highlight w:val="none"/>
        </w:rPr>
        <w:t xml:space="preserve">项目。</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keepLines w:val="0"/>
        <w:keepNext w:val="0"/>
        <w:pageBreakBefore w:val="0"/>
        <w:spacing w:line="360" w:lineRule="auto"/>
        <w:widowControl w:val="off"/>
        <w:rPr>
          <w:color w:val="auto"/>
          <w:highlight w:val="none"/>
        </w:rPr>
      </w:pPr>
      <w:r>
        <w:rPr>
          <w:color w:val="auto"/>
          <w:highlight w:val="none"/>
        </w:rPr>
        <w:t xml:space="preserve">4.1投标人应自行承担所有与参加投标有关的费用，无论投标过程中的做法和结果如 何，代理机构在任何情况下均无义务和责任承担这些费用。 </w:t>
      </w:r>
      <w:r/>
    </w:p>
    <w:p>
      <w:pPr>
        <w:ind w:firstLine="422"/>
        <w:keepLines w:val="0"/>
        <w:keepNext w:val="0"/>
        <w:pageBreakBefore w:val="0"/>
        <w:spacing w:line="360" w:lineRule="auto"/>
        <w:widowControl w:val="off"/>
        <w:rPr>
          <w:rFonts w:hint="eastAsia" w:ascii="宋体" w:hAnsi="宋体" w:eastAsia="宋体" w:cs="宋体"/>
          <w:b/>
          <w:bCs w:val="0"/>
          <w:color w:val="auto"/>
          <w:szCs w:val="21"/>
          <w:highlight w:val="none"/>
        </w:rPr>
      </w:pPr>
      <w:r>
        <w:rPr>
          <w:rFonts w:hint="eastAsia" w:ascii="宋体" w:hAnsi="宋体"/>
          <w:b/>
          <w:bCs w:val="0"/>
          <w:color w:val="auto"/>
          <w:szCs w:val="21"/>
          <w:highlight w:val="none"/>
        </w:rPr>
        <w:t xml:space="preserve">4.2</w:t>
      </w:r>
      <w:r>
        <w:rPr>
          <w:rFonts w:hint="eastAsia" w:ascii="宋体" w:hAnsi="宋体" w:eastAsia="宋体" w:cs="宋体"/>
          <w:b/>
          <w:bCs w:val="0"/>
          <w:color w:val="auto"/>
          <w:sz w:val="21"/>
          <w:szCs w:val="21"/>
          <w:highlight w:val="none"/>
        </w:rPr>
        <w:t xml:space="preserve">本次采购代理服务费由</w:t>
      </w:r>
      <w:r>
        <w:rPr>
          <w:rFonts w:hint="eastAsia" w:ascii="宋体" w:hAnsi="宋体" w:cs="宋体"/>
          <w:b/>
          <w:bCs w:val="0"/>
          <w:color w:val="auto"/>
          <w:sz w:val="21"/>
          <w:szCs w:val="21"/>
          <w:highlight w:val="none"/>
          <w:lang w:val="en-US" w:eastAsia="zh-CN"/>
        </w:rPr>
        <w:t xml:space="preserve">中标人</w:t>
      </w:r>
      <w:r>
        <w:rPr>
          <w:rFonts w:hint="eastAsia" w:ascii="宋体" w:hAnsi="宋体" w:eastAsia="宋体" w:cs="宋体"/>
          <w:b/>
          <w:bCs w:val="0"/>
          <w:color w:val="auto"/>
          <w:sz w:val="21"/>
          <w:szCs w:val="21"/>
          <w:highlight w:val="none"/>
        </w:rPr>
        <w:t xml:space="preserve">在领取成交通知书前按照国家计委印发的《招标代理服务收费管理暂行办法》(计价格【2002】1980号文)（</w:t>
      </w:r>
      <w:r>
        <w:rPr>
          <w:rFonts w:hint="eastAsia" w:ascii="宋体" w:hAnsi="宋体" w:eastAsia="宋体" w:cs="宋体"/>
          <w:b/>
          <w:bCs w:val="0"/>
          <w:color w:val="auto"/>
          <w:sz w:val="21"/>
          <w:szCs w:val="21"/>
          <w:highlight w:val="none"/>
          <w:lang w:val="en-US" w:eastAsia="zh-CN"/>
        </w:rPr>
        <w:t xml:space="preserve">服务</w:t>
      </w:r>
      <w:r>
        <w:rPr>
          <w:rFonts w:hint="eastAsia" w:ascii="宋体" w:hAnsi="宋体" w:eastAsia="宋体" w:cs="宋体"/>
          <w:b/>
          <w:bCs w:val="0"/>
          <w:color w:val="auto"/>
          <w:sz w:val="21"/>
          <w:szCs w:val="21"/>
          <w:highlight w:val="none"/>
        </w:rPr>
        <w:t xml:space="preserve">类）的标准一次性支付给招标代理机构。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（2）代理服务费一次性以电汇、转账等非现金形式支付；</w:t>
      </w:r>
      <w:r/>
    </w:p>
    <w:p>
      <w:pPr>
        <w:ind w:firstLine="422"/>
        <w:spacing w:line="360" w:lineRule="auto"/>
        <w:rPr>
          <w:rFonts w:hint="eastAsia" w:ascii="宋体" w:hAnsi="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w:t>
      </w:r>
      <w:r>
        <w:rPr>
          <w:rFonts w:hint="eastAsia" w:ascii="宋体" w:hAnsi="宋体"/>
          <w:bCs/>
          <w:color w:val="auto"/>
          <w:szCs w:val="21"/>
          <w:highlight w:val="none"/>
          <w:lang w:eastAsia="zh-CN"/>
        </w:rPr>
        <w:t xml:space="preserve">由以下部分组成</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w:t>
      </w:r>
      <w:r>
        <w:rPr>
          <w:rFonts w:hint="eastAsia" w:ascii="宋体" w:hAnsi="宋体"/>
          <w:bCs/>
          <w:color w:val="auto"/>
          <w:szCs w:val="21"/>
          <w:highlight w:val="none"/>
          <w:lang w:eastAsia="zh-CN"/>
        </w:rPr>
        <w:t xml:space="preserve">间之</w:t>
      </w:r>
      <w:r>
        <w:rPr>
          <w:rFonts w:hint="eastAsia" w:ascii="宋体" w:hAnsi="宋体"/>
          <w:bCs/>
          <w:color w:val="auto"/>
          <w:szCs w:val="21"/>
          <w:highlight w:val="none"/>
        </w:rPr>
        <w:t xml:space="preserve">前，代理机构可以对招标文件进行修改。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8.3招标文件的修改将在“扬州市政府采购网”、“江苏政府采购网”、“中国政府采购网”公布，补充文件将作为招标文件的组成部分，并对投标人具有约束力。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9.2除技术性能另有规定外，投标文件所使用的度量衡单位，均须采用国家法定计量单位。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left="420"/>
        <w:spacing w:line="360" w:lineRule="auto"/>
        <w:rPr>
          <w:rFonts w:ascii="宋体" w:hAnsi="宋体"/>
          <w:b/>
          <w:color w:val="auto"/>
          <w:szCs w:val="21"/>
          <w:highlight w:val="none"/>
        </w:rPr>
      </w:pPr>
      <w:r>
        <w:rPr>
          <w:rFonts w:hint="eastAsia" w:ascii="宋体" w:hAnsi="宋体"/>
          <w:b/>
          <w:color w:val="auto"/>
          <w:szCs w:val="21"/>
          <w:highlight w:val="none"/>
        </w:rPr>
        <w:t xml:space="preserve">12、</w:t>
      </w:r>
      <w:r>
        <w:rPr>
          <w:rFonts w:hint="eastAsia"/>
          <w:b/>
          <w:bCs/>
          <w:color w:val="auto"/>
          <w:highlight w:val="none"/>
        </w:rPr>
        <w:t xml:space="preserve">分项报价表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360" w:lineRule="auto"/>
        <w:rPr>
          <w:rFonts w:ascii="宋体" w:hAnsi="宋体"/>
          <w:color w:val="auto"/>
          <w:highlight w:val="none"/>
        </w:rPr>
      </w:pPr>
      <w:r>
        <w:rPr>
          <w:rFonts w:hint="eastAsia" w:ascii="宋体" w:hAnsi="宋体"/>
          <w:color w:val="auto"/>
          <w:highlight w:val="none"/>
        </w:rPr>
        <w:t xml:space="preserve">12.3其它费用处理</w:t>
      </w:r>
      <w:r/>
    </w:p>
    <w:p>
      <w:pPr>
        <w:ind w:firstLine="420"/>
        <w:spacing w:line="360" w:lineRule="auto"/>
        <w:rPr>
          <w:rFonts w:ascii="宋体" w:hAnsi="宋体"/>
          <w:color w:val="auto"/>
          <w:highlight w:val="none"/>
        </w:rPr>
      </w:pPr>
      <w:r>
        <w:rPr>
          <w:rFonts w:hint="eastAsia" w:ascii="宋体" w:hAnsi="宋体"/>
          <w:color w:val="auto"/>
          <w:highlight w:val="none"/>
        </w:rPr>
        <w:t xml:space="preserve">招标文件未列明，而投标人认为必需的费用也需列入报价。</w:t>
      </w:r>
      <w:r/>
    </w:p>
    <w:p>
      <w:pPr>
        <w:ind w:firstLine="420"/>
        <w:spacing w:line="360" w:lineRule="auto"/>
        <w:rPr>
          <w:rFonts w:ascii="宋体" w:hAnsi="宋体"/>
          <w:color w:val="auto"/>
          <w:highlight w:val="none"/>
        </w:rPr>
      </w:pPr>
      <w:r>
        <w:rPr>
          <w:rFonts w:hint="eastAsia" w:ascii="宋体" w:hAnsi="宋体"/>
          <w:color w:val="auto"/>
          <w:highlight w:val="none"/>
        </w:rPr>
        <w:t xml:space="preserve">12.4投标货币</w:t>
      </w:r>
      <w:r/>
    </w:p>
    <w:p>
      <w:pPr>
        <w:ind w:firstLine="420"/>
        <w:spacing w:line="360" w:lineRule="auto"/>
        <w:rPr>
          <w:rFonts w:ascii="宋体" w:hAnsi="宋体"/>
          <w:color w:val="auto"/>
          <w:highlight w:val="none"/>
        </w:rPr>
      </w:pPr>
      <w:r>
        <w:rPr>
          <w:rFonts w:hint="eastAsia" w:ascii="宋体" w:hAnsi="宋体"/>
          <w:color w:val="auto"/>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auto"/>
          <w:szCs w:val="21"/>
          <w:highlight w:val="none"/>
        </w:rPr>
      </w:pPr>
      <w:r/>
      <w:bookmarkStart w:id="40" w:name="_Toc513029225"/>
      <w:r/>
      <w:bookmarkStart w:id="41" w:name="_Toc16938541"/>
      <w:r/>
      <w:bookmarkStart w:id="42" w:name="_Toc20823297"/>
      <w:r/>
      <w:bookmarkStart w:id="43" w:name="_Toc462564084"/>
      <w:r>
        <w:rPr>
          <w:rFonts w:hint="eastAsia" w:ascii="宋体" w:hAnsi="宋体"/>
          <w:b/>
          <w:color w:val="auto"/>
          <w:szCs w:val="21"/>
          <w:highlight w:val="none"/>
        </w:rPr>
        <w:t xml:space="preserve">17、投标文件</w:t>
      </w:r>
      <w:bookmarkEnd w:id="40"/>
      <w:r/>
      <w:bookmarkEnd w:id="41"/>
      <w:r/>
      <w:bookmarkEnd w:id="42"/>
      <w:r/>
      <w:bookmarkEnd w:id="43"/>
      <w:r>
        <w:rPr>
          <w:rFonts w:hint="eastAsia" w:ascii="宋体" w:hAnsi="宋体"/>
          <w:b/>
          <w:color w:val="auto"/>
          <w:szCs w:val="21"/>
          <w:highlight w:val="none"/>
        </w:rPr>
        <w:t xml:space="preserve">的递交</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44" w:name="_Toc20823298"/>
      <w:r/>
      <w:bookmarkStart w:id="45" w:name="_Toc513029226"/>
      <w:r/>
      <w:bookmarkStart w:id="46" w:name="_Toc16938542"/>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bookmarkEnd w:id="44"/>
      <w:r/>
      <w:bookmarkEnd w:id="45"/>
      <w:r/>
      <w:bookmarkEnd w:id="46"/>
      <w: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w:t>
      </w:r>
      <w:r>
        <w:rPr>
          <w:rFonts w:hint="eastAsia" w:ascii="宋体" w:hAnsi="宋体"/>
          <w:bCs/>
          <w:color w:val="auto"/>
          <w:szCs w:val="21"/>
          <w:highlight w:val="none"/>
          <w:lang w:eastAsia="zh-CN"/>
        </w:rPr>
        <w:t xml:space="preserve">充分考虑</w:t>
      </w:r>
      <w:r>
        <w:rPr>
          <w:rFonts w:hint="eastAsia" w:ascii="宋体" w:hAnsi="宋体"/>
          <w:bCs/>
          <w:color w:val="auto"/>
          <w:szCs w:val="21"/>
          <w:highlight w:val="none"/>
        </w:rPr>
        <w:t xml:space="preserve">网络环境、网络带宽等风险因素，如因投标人自身原因造成的电子投标文件上传不成功由投标人自行承担全部责任。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auto"/>
          <w:szCs w:val="21"/>
          <w:highlight w:val="none"/>
        </w:rPr>
      </w:pPr>
      <w:r/>
      <w:bookmarkStart w:id="47" w:name="_Toc16938543"/>
      <w:r/>
      <w:bookmarkStart w:id="48" w:name="_Toc513029227"/>
      <w:r/>
      <w:bookmarkStart w:id="49" w:name="_Toc20823299"/>
      <w:r>
        <w:rPr>
          <w:rFonts w:hint="eastAsia" w:ascii="宋体" w:hAnsi="宋体"/>
          <w:b/>
          <w:color w:val="auto"/>
          <w:szCs w:val="21"/>
          <w:highlight w:val="none"/>
        </w:rPr>
        <w:t xml:space="preserve">19、投标文件</w:t>
      </w:r>
      <w:bookmarkEnd w:id="47"/>
      <w:r/>
      <w:bookmarkEnd w:id="48"/>
      <w:r/>
      <w:bookmarkEnd w:id="49"/>
      <w:r>
        <w:rPr>
          <w:rFonts w:hint="eastAsia" w:ascii="宋体" w:hAnsi="宋体"/>
          <w:b/>
          <w:color w:val="auto"/>
          <w:szCs w:val="21"/>
          <w:highlight w:val="none"/>
        </w:rPr>
        <w:t xml:space="preserve">的拒收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ascii="宋体" w:hAnsi="宋体"/>
          <w:b/>
          <w:color w:val="auto"/>
          <w:szCs w:val="21"/>
          <w:highlight w:val="none"/>
        </w:rPr>
      </w:pPr>
      <w:r/>
      <w:bookmarkStart w:id="50" w:name="_Toc20823300"/>
      <w:r/>
      <w:bookmarkStart w:id="51" w:name="_Toc16938544"/>
      <w:r/>
      <w:bookmarkStart w:id="52" w:name="_Toc513029228"/>
      <w:r>
        <w:rPr>
          <w:rFonts w:hint="eastAsia" w:ascii="宋体" w:hAnsi="宋体"/>
          <w:b/>
          <w:color w:val="auto"/>
          <w:szCs w:val="21"/>
          <w:highlight w:val="none"/>
        </w:rPr>
        <w:t xml:space="preserve">20、投标文件的撤回和修改</w:t>
      </w:r>
      <w:bookmarkEnd w:id="50"/>
      <w:r/>
      <w:bookmarkEnd w:id="51"/>
      <w:r/>
      <w:bookmarkEnd w:id="52"/>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w:t>
      </w:r>
      <w:r>
        <w:rPr>
          <w:rFonts w:hint="eastAsia" w:ascii="宋体" w:hAnsi="宋体"/>
          <w:bCs/>
          <w:color w:val="auto"/>
          <w:szCs w:val="21"/>
          <w:highlight w:val="none"/>
          <w:lang w:eastAsia="zh-CN"/>
        </w:rPr>
        <w:t xml:space="preserve">涉及</w:t>
      </w:r>
      <w:r>
        <w:rPr>
          <w:rFonts w:hint="eastAsia" w:ascii="宋体" w:hAnsi="宋体"/>
          <w:bCs/>
          <w:color w:val="auto"/>
          <w:szCs w:val="21"/>
          <w:highlight w:val="none"/>
        </w:rPr>
        <w:t xml:space="preserve">的投标文件解密、开标结果确认等工作，应按照《操作手册》规定执行。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360" w:lineRule="auto"/>
        <w:rPr>
          <w:rFonts w:ascii="宋体" w:hAnsi="宋"/>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w:t>
      </w:r>
      <w:r>
        <w:rPr>
          <w:rFonts w:hint="eastAsia" w:ascii="宋体" w:hAnsi="宋体"/>
          <w:bCs/>
          <w:color w:val="auto"/>
          <w:szCs w:val="21"/>
          <w:highlight w:val="none"/>
          <w:lang w:eastAsia="zh-CN"/>
        </w:rPr>
        <w:t xml:space="preserve">投标</w:t>
      </w:r>
      <w:r>
        <w:rPr>
          <w:rFonts w:hint="eastAsia" w:ascii="宋体" w:hAnsi="宋体"/>
          <w:bCs/>
          <w:color w:val="auto"/>
          <w:szCs w:val="21"/>
          <w:highlight w:val="none"/>
        </w:rPr>
        <w:t xml:space="preserve">建议等，采购人、评委、代理机构工作人员均不得向投标人或与评标无关的其他人员透露。</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left="0" w:right="0" w:firstLine="425"/>
        <w:spacing w:line="360" w:lineRule="auto"/>
        <w:rPr>
          <w:rFonts w:ascii="宋体" w:hAnsi="宋体"/>
          <w:bCs/>
          <w:color w:val="auto"/>
          <w:szCs w:val="21"/>
          <w:highlight w:val="none"/>
        </w:rPr>
      </w:pPr>
      <w:r>
        <w:rPr>
          <w:rFonts w:hint="eastAsia" w:ascii="宋体" w:hAnsi="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w:t>
      </w:r>
      <w:r>
        <w:rPr>
          <w:rFonts w:hint="eastAsia" w:ascii="宋体" w:hAnsi="宋体"/>
          <w:bCs/>
          <w:color w:val="auto"/>
          <w:szCs w:val="21"/>
          <w:highlight w:val="none"/>
          <w:lang w:eastAsia="zh-CN"/>
        </w:rPr>
        <w:t xml:space="preserve">作出</w:t>
      </w:r>
      <w:r>
        <w:rPr>
          <w:rFonts w:hint="eastAsia" w:ascii="宋体" w:hAnsi="宋体"/>
          <w:bCs/>
          <w:color w:val="auto"/>
          <w:szCs w:val="21"/>
          <w:highlight w:val="none"/>
        </w:rPr>
        <w:t xml:space="preserve">澄清，其风险由投标人自行承担。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w:t>
      </w:r>
      <w:r>
        <w:rPr>
          <w:rFonts w:hint="eastAsia" w:ascii="宋体" w:hAnsi="宋体"/>
          <w:bCs/>
          <w:color w:val="auto"/>
          <w:szCs w:val="21"/>
          <w:highlight w:val="none"/>
          <w:lang w:eastAsia="zh-CN"/>
        </w:rPr>
        <w:t xml:space="preserve">对</w:t>
      </w:r>
      <w:r>
        <w:rPr>
          <w:rFonts w:hint="eastAsia" w:ascii="宋体" w:hAnsi="宋体"/>
          <w:bCs/>
          <w:color w:val="auto"/>
          <w:szCs w:val="21"/>
          <w:highlight w:val="none"/>
        </w:rPr>
        <w:t xml:space="preserve">投标人具有约束力。如果投标人不接受修正后的价格，则其投标将被拒绝。</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25.7 投标人在开、评标全过程中应</w:t>
      </w:r>
      <w:r>
        <w:rPr>
          <w:rFonts w:hint="eastAsia" w:ascii="宋体" w:hAnsi="宋体"/>
          <w:color w:val="auto"/>
          <w:highlight w:val="none"/>
          <w:lang w:eastAsia="zh-CN"/>
        </w:rPr>
        <w:t xml:space="preserve">保持通信畅通</w:t>
      </w:r>
      <w:r>
        <w:rPr>
          <w:rFonts w:hint="eastAsia" w:ascii="宋体" w:hAnsi="宋体"/>
          <w:color w:val="auto"/>
          <w:highlight w:val="none"/>
        </w:rPr>
        <w:t xml:space="preserve">，并安排专人与代理机构及评委会联系。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26.1.11本项目采购产品被财政部、国家发改委、生态环境部等列入“节能产品品目清单”、“环境标志产品品目清单”强制采购范围，而投标人所投标产品不在强制采购范围内的。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2"/>
        <w:keepLines w:val="0"/>
        <w:keepNext w:val="0"/>
        <w:pageBreakBefore w:val="0"/>
        <w:spacing w:line="360" w:lineRule="auto"/>
        <w:widowControl w:val="off"/>
        <w:rPr>
          <w:rFonts w:hint="eastAsia" w:ascii="宋体" w:hAnsi="宋体" w:eastAsia="宋体" w:cs="宋体"/>
          <w:b/>
          <w:bCs w:val="0"/>
          <w:color w:val="auto"/>
          <w:szCs w:val="21"/>
          <w:highlight w:val="none"/>
        </w:rPr>
      </w:pPr>
      <w:r>
        <w:rPr>
          <w:rFonts w:hint="eastAsia" w:ascii="宋体" w:hAnsi="宋体" w:cs="宋体"/>
          <w:b/>
          <w:bCs w:val="0"/>
          <w:color w:val="auto"/>
          <w:szCs w:val="21"/>
          <w:highlight w:val="none"/>
          <w:lang w:val="en-US" w:eastAsia="zh-CN"/>
        </w:rPr>
        <w:t xml:space="preserve">26</w:t>
      </w:r>
      <w:r>
        <w:rPr>
          <w:rFonts w:hint="eastAsia" w:ascii="宋体" w:hAnsi="宋体" w:eastAsia="宋体" w:cs="宋体"/>
          <w:b/>
          <w:bCs w:val="0"/>
          <w:color w:val="auto"/>
          <w:szCs w:val="21"/>
          <w:highlight w:val="none"/>
        </w:rPr>
        <w:t xml:space="preserve">.1.</w:t>
      </w:r>
      <w:r>
        <w:rPr>
          <w:rFonts w:hint="eastAsia" w:ascii="宋体" w:hAnsi="宋体" w:cs="宋体"/>
          <w:b/>
          <w:bCs w:val="0"/>
          <w:color w:val="auto"/>
          <w:szCs w:val="21"/>
          <w:highlight w:val="none"/>
          <w:lang w:val="en-US" w:eastAsia="zh-CN"/>
        </w:rPr>
        <w:t xml:space="preserve">13</w:t>
      </w:r>
      <w:r>
        <w:rPr>
          <w:rFonts w:hint="eastAsia" w:ascii="宋体" w:hAnsi="宋体" w:eastAsia="宋体" w:cs="宋体"/>
          <w:b/>
          <w:bCs w:val="0"/>
          <w:color w:val="auto"/>
          <w:szCs w:val="21"/>
          <w:highlight w:val="none"/>
        </w:rPr>
        <w:t xml:space="preserve"> 异常低价投标（响应）</w:t>
      </w:r>
      <w:r/>
    </w:p>
    <w:p>
      <w:pPr>
        <w:ind w:firstLine="422"/>
        <w:keepLines w:val="0"/>
        <w:keepNext w:val="0"/>
        <w:pageBreakBefore w:val="0"/>
        <w:spacing w:line="360" w:lineRule="auto"/>
        <w:widowControl w:val="off"/>
        <w:rPr>
          <w:rFonts w:hint="eastAsia" w:ascii="宋体" w:hAnsi="宋体" w:eastAsia="宋体" w:cs="宋体"/>
          <w:b/>
          <w:bCs w:val="0"/>
          <w:color w:val="auto"/>
          <w:szCs w:val="21"/>
          <w:highlight w:val="none"/>
        </w:rPr>
      </w:pPr>
      <w:r>
        <w:rPr>
          <w:rFonts w:hint="eastAsia" w:ascii="宋体" w:hAnsi="宋体" w:cs="宋体"/>
          <w:b/>
          <w:bCs w:val="0"/>
          <w:color w:val="auto"/>
          <w:szCs w:val="21"/>
          <w:highlight w:val="none"/>
          <w:lang w:val="en-US" w:eastAsia="zh-CN"/>
        </w:rPr>
        <w:t xml:space="preserve">26</w:t>
      </w:r>
      <w:r>
        <w:rPr>
          <w:rFonts w:hint="eastAsia" w:ascii="宋体" w:hAnsi="宋体" w:eastAsia="宋体" w:cs="宋体"/>
          <w:b/>
          <w:bCs w:val="0"/>
          <w:color w:val="auto"/>
          <w:szCs w:val="21"/>
          <w:highlight w:val="none"/>
        </w:rPr>
        <w:t xml:space="preserve">.1.</w:t>
      </w:r>
      <w:r>
        <w:rPr>
          <w:rFonts w:hint="eastAsia" w:ascii="宋体" w:hAnsi="宋体" w:cs="宋体"/>
          <w:b/>
          <w:bCs w:val="0"/>
          <w:color w:val="auto"/>
          <w:szCs w:val="21"/>
          <w:highlight w:val="none"/>
          <w:lang w:val="en-US" w:eastAsia="zh-CN"/>
        </w:rPr>
        <w:t xml:space="preserve">13</w:t>
      </w:r>
      <w:r>
        <w:rPr>
          <w:rFonts w:hint="eastAsia" w:ascii="宋体" w:hAnsi="宋体" w:eastAsia="宋体" w:cs="宋体"/>
          <w:b/>
          <w:bCs w:val="0"/>
          <w:color w:val="auto"/>
          <w:szCs w:val="21"/>
          <w:highlight w:val="none"/>
        </w:rPr>
        <w:t xml:space="preserve">.1</w:t>
      </w:r>
      <w:r>
        <w:rPr>
          <w:rFonts w:hint="eastAsia" w:ascii="宋体" w:hAnsi="宋体" w:eastAsia="宋体" w:cs="宋体"/>
          <w:b/>
          <w:bCs/>
          <w:color w:val="auto"/>
          <w:sz w:val="21"/>
          <w:szCs w:val="21"/>
          <w:highlight w:val="none"/>
        </w:rPr>
        <w:t xml:space="preserve">投标（响应）报价低于全部通过符合性审查供应商投标（响应）报价平均值</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%的，即投标（响应）报价＜全部通过符合性审查供应商投标（响应）报价平均值×</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w:t>
      </w:r>
      <w:r>
        <w:rPr>
          <w:rFonts w:hint="eastAsia" w:ascii="宋体" w:hAnsi="宋体" w:eastAsia="宋体" w:cs="宋体"/>
          <w:b/>
          <w:bCs w:val="0"/>
          <w:color w:val="auto"/>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val="0"/>
          <w:color w:val="auto"/>
          <w:szCs w:val="21"/>
          <w:highlight w:val="none"/>
          <w:lang w:val="en-US" w:eastAsia="zh-CN"/>
        </w:rPr>
        <w:t xml:space="preserve">26</w:t>
      </w:r>
      <w:r>
        <w:rPr>
          <w:rFonts w:hint="eastAsia" w:ascii="宋体" w:hAnsi="宋体" w:eastAsia="宋体" w:cs="宋体"/>
          <w:b/>
          <w:bCs w:val="0"/>
          <w:color w:val="auto"/>
          <w:szCs w:val="21"/>
          <w:highlight w:val="none"/>
        </w:rPr>
        <w:t xml:space="preserve">.1.</w:t>
      </w:r>
      <w:r>
        <w:rPr>
          <w:rFonts w:hint="eastAsia" w:ascii="宋体" w:hAnsi="宋体" w:cs="宋体"/>
          <w:b/>
          <w:bCs w:val="0"/>
          <w:color w:val="auto"/>
          <w:szCs w:val="21"/>
          <w:highlight w:val="none"/>
          <w:lang w:val="en-US" w:eastAsia="zh-CN"/>
        </w:rPr>
        <w:t xml:space="preserve">13</w:t>
      </w:r>
      <w:r>
        <w:rPr>
          <w:rFonts w:hint="eastAsia" w:ascii="宋体" w:hAnsi="宋体" w:eastAsia="宋体" w:cs="宋体"/>
          <w:b/>
          <w:bCs w:val="0"/>
          <w:color w:val="auto"/>
          <w:szCs w:val="21"/>
          <w:highlight w:val="none"/>
        </w:rPr>
        <w:t xml:space="preserve">.2</w:t>
      </w:r>
      <w:r>
        <w:rPr>
          <w:rFonts w:hint="eastAsia" w:ascii="宋体" w:hAnsi="宋体" w:eastAsia="宋体" w:cs="宋体"/>
          <w:b/>
          <w:bCs/>
          <w:color w:val="auto"/>
          <w:sz w:val="21"/>
          <w:szCs w:val="21"/>
          <w:highlight w:val="none"/>
        </w:rPr>
        <w:t xml:space="preserve">投标（响应）报价低于通过符合性审查的次低报价供应商投标（响应）报价</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%的，即投标（响应）报价＜通过符合性审查的次低报价供应商投标（响应）报价×</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w:t>
      </w:r>
      <w:r/>
    </w:p>
    <w:p>
      <w:pPr>
        <w:ind w:left="0" w:firstLine="422"/>
        <w:jc w:val="left"/>
        <w:pageBreakBefore w:val="0"/>
        <w:spacing w:line="360" w:lineRule="auto"/>
        <w:widowControl w:val="off"/>
        <w:rPr>
          <w:rFonts w:hint="eastAsia"/>
          <w:color w:val="auto"/>
          <w:highlight w:val="none"/>
        </w:rPr>
      </w:pPr>
      <w:r>
        <w:rPr>
          <w:rFonts w:hint="eastAsia" w:ascii="宋体" w:hAnsi="宋体" w:cs="宋体"/>
          <w:b/>
          <w:bCs w:val="0"/>
          <w:color w:val="auto"/>
          <w:szCs w:val="21"/>
          <w:highlight w:val="none"/>
          <w:lang w:val="en-US" w:eastAsia="zh-CN"/>
        </w:rPr>
        <w:t xml:space="preserve">26</w:t>
      </w:r>
      <w:r>
        <w:rPr>
          <w:rFonts w:hint="eastAsia" w:ascii="宋体" w:hAnsi="宋体" w:eastAsia="宋体" w:cs="宋体"/>
          <w:b/>
          <w:bCs w:val="0"/>
          <w:color w:val="auto"/>
          <w:szCs w:val="21"/>
          <w:highlight w:val="none"/>
        </w:rPr>
        <w:t xml:space="preserve">.1.</w:t>
      </w:r>
      <w:r>
        <w:rPr>
          <w:rFonts w:hint="eastAsia" w:ascii="宋体" w:hAnsi="宋体" w:cs="宋体"/>
          <w:b/>
          <w:bCs w:val="0"/>
          <w:color w:val="auto"/>
          <w:szCs w:val="21"/>
          <w:highlight w:val="none"/>
          <w:lang w:val="en-US" w:eastAsia="zh-CN"/>
        </w:rPr>
        <w:t xml:space="preserve">13</w:t>
      </w:r>
      <w:r>
        <w:rPr>
          <w:rFonts w:hint="eastAsia" w:ascii="宋体" w:hAnsi="宋体" w:eastAsia="宋体" w:cs="宋体"/>
          <w:b/>
          <w:bCs w:val="0"/>
          <w:color w:val="auto"/>
          <w:szCs w:val="21"/>
          <w:highlight w:val="none"/>
        </w:rPr>
        <w:t xml:space="preserve">.</w:t>
      </w:r>
      <w:r>
        <w:rPr>
          <w:rFonts w:hint="eastAsia" w:ascii="宋体" w:hAnsi="宋体" w:eastAsia="宋体" w:cs="宋体"/>
          <w:b/>
          <w:bCs w:val="0"/>
          <w:color w:val="auto"/>
          <w:szCs w:val="21"/>
          <w:highlight w:val="none"/>
          <w:lang w:val="en-US" w:eastAsia="zh-CN"/>
        </w:rPr>
        <w:t xml:space="preserve">3</w:t>
      </w:r>
      <w:r>
        <w:rPr>
          <w:rFonts w:hint="eastAsia" w:ascii="宋体" w:hAnsi="宋体" w:eastAsia="宋体" w:cs="宋体"/>
          <w:b/>
          <w:bCs/>
          <w:color w:val="auto"/>
          <w:sz w:val="21"/>
          <w:szCs w:val="21"/>
          <w:highlight w:val="none"/>
        </w:rPr>
        <w:t xml:space="preserve">投标（响应）报价低于采购项目最高限价</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%的，即投标（响应）报价＜采购项目最高限价×</w:t>
      </w:r>
      <w:r>
        <w:rPr>
          <w:rFonts w:hint="eastAsia" w:ascii="宋体" w:hAnsi="宋体" w:cs="宋体"/>
          <w:b/>
          <w:bCs/>
          <w:color w:val="auto"/>
          <w:sz w:val="21"/>
          <w:szCs w:val="21"/>
          <w:highlight w:val="none"/>
          <w:lang w:val="en-US" w:eastAsia="zh-CN"/>
        </w:rPr>
        <w:t xml:space="preserve">65</w:t>
      </w:r>
      <w:r>
        <w:rPr>
          <w:rFonts w:hint="eastAsia" w:ascii="宋体" w:hAnsi="宋体" w:eastAsia="宋体" w:cs="宋体"/>
          <w:b/>
          <w:bCs/>
          <w:color w:val="auto"/>
          <w:sz w:val="21"/>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26.1.13.</w:t>
      </w:r>
      <w:r>
        <w:rPr>
          <w:rFonts w:hint="eastAsia" w:ascii="宋体" w:hAnsi="宋体" w:cs="宋体"/>
          <w:b/>
          <w:bCs w:val="0"/>
          <w:color w:val="auto"/>
          <w:szCs w:val="21"/>
          <w:highlight w:val="none"/>
          <w:lang w:val="en-US" w:eastAsia="zh-CN"/>
        </w:rPr>
        <w:t xml:space="preserve">4</w:t>
      </w:r>
      <w:r>
        <w:rPr>
          <w:rFonts w:hint="eastAsia" w:ascii="宋体" w:hAnsi="宋体" w:eastAsia="宋体" w:cs="宋体"/>
          <w:b/>
          <w:bCs w:val="0"/>
          <w:color w:val="auto"/>
          <w:szCs w:val="21"/>
          <w:highlight w:val="none"/>
        </w:rPr>
        <w:t xml:space="preserve">评审委员会认定的供应商报价过低、有可能影响产品质量或者不能诚信履约的其他情形。</w:t>
      </w:r>
      <w:r/>
    </w:p>
    <w:p>
      <w:pPr>
        <w:ind w:firstLine="482"/>
        <w:spacing w:line="360" w:lineRule="auto"/>
        <w:tabs>
          <w:tab w:val="left" w:pos="1365" w:leader="none"/>
        </w:tabs>
        <w:rPr>
          <w:rFonts w:hint="eastAsia"/>
          <w:color w:val="auto"/>
          <w:highlight w:val="none"/>
        </w:rPr>
      </w:pPr>
      <w:r>
        <w:rPr>
          <w:rFonts w:hint="eastAsia" w:ascii="宋体" w:hAnsi="宋体" w:eastAsia="宋体" w:cs="宋体"/>
          <w:b/>
          <w:bCs w:val="0"/>
          <w:color w:val="auto"/>
          <w:szCs w:val="21"/>
          <w:highlight w:val="none"/>
        </w:rPr>
        <w:t xml:space="preserve">26.1.13.</w:t>
      </w:r>
      <w:r>
        <w:rPr>
          <w:rFonts w:hint="eastAsia" w:ascii="宋体" w:hAnsi="宋体" w:cs="宋体"/>
          <w:b/>
          <w:bCs w:val="0"/>
          <w:color w:val="auto"/>
          <w:szCs w:val="21"/>
          <w:highlight w:val="none"/>
          <w:lang w:val="en-US" w:eastAsia="zh-CN"/>
        </w:rPr>
        <w:t xml:space="preserve">5</w:t>
      </w:r>
      <w:r>
        <w:rPr>
          <w:rFonts w:hint="default" w:ascii="宋体" w:hAnsi="宋体" w:eastAsia="宋体" w:cs="宋体"/>
          <w:b/>
          <w:bCs w:val="0"/>
          <w:color w:val="auto"/>
          <w:szCs w:val="21"/>
          <w:highlight w:val="none"/>
        </w:rPr>
        <w:t xml:space="preserve">启动异常低价投标审查后，评审委员会应当要求相关供应商在评标现场合理的时间内，</w:t>
      </w:r>
      <w:r>
        <w:rPr>
          <w:rFonts w:hint="eastAsia" w:ascii="宋体" w:hAnsi="宋体" w:eastAsia="宋体" w:cs="宋体"/>
          <w:b/>
          <w:bCs w:val="0"/>
          <w:color w:val="auto"/>
          <w:szCs w:val="21"/>
          <w:highlight w:val="none"/>
          <w:lang w:val="en-US" w:eastAsia="zh-CN"/>
        </w:rPr>
        <w:t xml:space="preserve">在</w:t>
      </w:r>
      <w:r>
        <w:rPr>
          <w:rFonts w:hint="eastAsia" w:ascii="宋体" w:hAnsi="宋体" w:eastAsia="宋体" w:cs="宋体"/>
          <w:b/>
          <w:bCs w:val="0"/>
          <w:color w:val="auto"/>
          <w:szCs w:val="21"/>
          <w:highlight w:val="none"/>
        </w:rPr>
        <w:t xml:space="preserve">江苏省政府采购（苏采云）平台</w:t>
      </w:r>
      <w:r>
        <w:rPr>
          <w:rFonts w:hint="eastAsia" w:ascii="宋体" w:hAnsi="宋体" w:eastAsia="宋体" w:cs="宋体"/>
          <w:b/>
          <w:bCs w:val="0"/>
          <w:color w:val="auto"/>
          <w:szCs w:val="21"/>
          <w:highlight w:val="none"/>
          <w:lang w:val="en-US" w:eastAsia="zh-CN"/>
        </w:rPr>
        <w:t xml:space="preserve">上</w:t>
      </w:r>
      <w:r>
        <w:rPr>
          <w:rFonts w:hint="default" w:ascii="宋体" w:hAnsi="宋体" w:eastAsia="宋体" w:cs="宋体"/>
          <w:b/>
          <w:bCs w:val="0"/>
          <w:color w:val="auto"/>
          <w:szCs w:val="21"/>
          <w:highlight w:val="none"/>
        </w:rPr>
        <w:t xml:space="preserve">提供项目具体成本测算等与报价合理性相关的书面说明及相关证明材料</w:t>
      </w:r>
      <w:r>
        <w:rPr>
          <w:rFonts w:hint="eastAsia" w:ascii="宋体" w:hAnsi="宋体" w:eastAsia="宋体" w:cs="宋体"/>
          <w:b/>
          <w:bCs w:val="0"/>
          <w:color w:val="auto"/>
          <w:szCs w:val="21"/>
          <w:highlight w:val="none"/>
          <w:lang w:val="en-US" w:eastAsia="zh-CN"/>
        </w:rPr>
        <w:t xml:space="preserve">并加盖供应商电子签章</w:t>
      </w:r>
      <w:r>
        <w:rPr>
          <w:rFonts w:hint="default" w:ascii="宋体" w:hAnsi="宋体" w:eastAsia="宋体" w:cs="宋体"/>
          <w:b/>
          <w:bCs w:val="0"/>
          <w:color w:val="auto"/>
          <w:szCs w:val="21"/>
          <w:highlight w:val="none"/>
        </w:rPr>
        <w:t xml:space="preserve">，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left="0" w:firstLine="420"/>
        <w:keepLines w:val="0"/>
        <w:keepNext w:val="0"/>
        <w:pageBreakBefore w:val="0"/>
        <w:spacing w:line="360" w:lineRule="auto"/>
        <w:widowControl w:val="off"/>
        <w:rPr>
          <w:rFonts w:ascii="宋体" w:hAnsi="宋体"/>
          <w:bCs/>
          <w:color w:val="auto"/>
          <w:szCs w:val="21"/>
          <w:highlight w:val="none"/>
        </w:rPr>
      </w:pPr>
      <w:r>
        <w:rPr>
          <w:rFonts w:hint="eastAsia" w:ascii="宋体" w:hAnsi="宋体" w:eastAsia="宋体" w:cs="宋体"/>
          <w:bCs/>
          <w:color w:val="auto"/>
          <w:szCs w:val="21"/>
          <w:highlight w:val="none"/>
        </w:rPr>
        <w:t xml:space="preserve">26.1.1</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其他法律、法规及本招标文件规定的属无效投标的情形。</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w:t>
      </w: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26.2.2出现影响采购公正的违法、违规行为的。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27.3代理机构将在“扬州市政府采购网”、“江苏省政府采购网”、“中国政府采购网”发布中标公告，公告期限为1个工作日。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Times New Roman"/>
          <w:bCs/>
          <w:color w:val="auto"/>
          <w:szCs w:val="21"/>
          <w:highlight w:val="none"/>
        </w:rPr>
      </w:pPr>
      <w:r>
        <w:rPr>
          <w:rFonts w:hint="eastAsia" w:ascii="宋体" w:hAnsi="宋体"/>
          <w:bCs/>
          <w:color w:val="auto"/>
          <w:szCs w:val="21"/>
          <w:highlight w:val="none"/>
        </w:rPr>
        <w:t xml:space="preserve">27.5.5不同投标人的投标文件相互混</w:t>
      </w:r>
      <w:r>
        <w:rPr>
          <w:rFonts w:hint="eastAsia" w:ascii="宋体" w:hAnsi="宋体" w:eastAsia="宋体" w:cs="Times New Roman"/>
          <w:bCs/>
          <w:color w:val="auto"/>
          <w:szCs w:val="21"/>
          <w:highlight w:val="none"/>
        </w:rPr>
        <w:t xml:space="preserve">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rPr>
          <w:rFonts w:hint="eastAsia" w:ascii="宋体" w:hAnsi="宋体"/>
          <w:b/>
          <w:color w:val="auto"/>
          <w:szCs w:val="21"/>
          <w:highlight w:val="none"/>
          <w:u w:val="single"/>
        </w:rPr>
        <w:t xml:space="preserve">同时需与采购代理机构经办人确认是否收到《质疑函》，如供应商未按上述要求去做，将自行承担所产生的风险。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w:t>
      </w:r>
      <w:r>
        <w:rPr>
          <w:rFonts w:hint="eastAsia" w:ascii="宋体" w:hAnsi="宋体"/>
          <w:bCs/>
          <w:color w:val="auto"/>
          <w:szCs w:val="21"/>
          <w:highlight w:val="none"/>
          <w:lang w:val="en-US" w:eastAsia="zh-CN"/>
        </w:rPr>
        <w:t xml:space="preserve">7个工作日</w:t>
      </w:r>
      <w:r>
        <w:rPr>
          <w:rFonts w:hint="eastAsia" w:ascii="宋体" w:hAnsi="宋体"/>
          <w:bCs/>
          <w:color w:val="auto"/>
          <w:szCs w:val="21"/>
          <w:highlight w:val="none"/>
        </w:rPr>
        <w:t xml:space="preserve">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30.2招标文件、中标人的投标文件及招标过程中有关澄清、承诺文件均应作为合同附件。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b/>
          <w:bCs/>
          <w:color w:val="auto"/>
          <w:highlight w:val="none"/>
        </w:rPr>
      </w:pPr>
      <w:r>
        <w:rPr>
          <w:b/>
          <w:bCs/>
          <w:color w:val="auto"/>
          <w:highlight w:val="none"/>
        </w:rPr>
        <w:t xml:space="preserve">3</w:t>
      </w:r>
      <w:r>
        <w:rPr>
          <w:rFonts w:hint="eastAsia"/>
          <w:b/>
          <w:bCs/>
          <w:color w:val="auto"/>
          <w:highlight w:val="none"/>
        </w:rPr>
        <w:t xml:space="preserve">1其他</w:t>
      </w:r>
      <w:r/>
    </w:p>
    <w:p>
      <w:pPr>
        <w:ind w:firstLine="420"/>
        <w:spacing w:line="360" w:lineRule="auto"/>
        <w:rPr>
          <w:rFonts w:hint="eastAsia"/>
          <w:color w:val="auto"/>
          <w:highlight w:val="none"/>
        </w:rPr>
      </w:pPr>
      <w:r>
        <w:rPr>
          <w:b w:val="0"/>
          <w:bCs w:val="0"/>
          <w:color w:val="auto"/>
          <w:highlight w:val="none"/>
        </w:rPr>
        <w:t xml:space="preserve">3</w:t>
      </w:r>
      <w:r>
        <w:rPr>
          <w:rFonts w:hint="eastAsia"/>
          <w:b w:val="0"/>
          <w:bCs w:val="0"/>
          <w:color w:val="auto"/>
          <w:highlight w:val="none"/>
        </w:rPr>
        <w:t xml:space="preserve">1</w:t>
      </w:r>
      <w:r>
        <w:rPr>
          <w:b w:val="0"/>
          <w:bCs w:val="0"/>
          <w:color w:val="auto"/>
          <w:highlight w:val="none"/>
        </w:rPr>
        <w:t xml:space="preserve">.1</w:t>
      </w:r>
      <w:r>
        <w:rPr>
          <w:color w:val="auto"/>
          <w:highlight w:val="none"/>
        </w:rPr>
        <w:t xml:space="preserve"> </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pStyle w:val="915"/>
        <w:jc w:val="center"/>
        <w:rPr>
          <w:rFonts w:ascii="宋体" w:hAnsi="宋体"/>
          <w:color w:val="auto"/>
          <w:szCs w:val="36"/>
          <w:highlight w:val="none"/>
        </w:rPr>
      </w:pPr>
      <w:r/>
      <w:bookmarkStart w:id="53" w:name="_Toc55204179"/>
      <w:r/>
      <w:bookmarkStart w:id="54" w:name="_Hlk69392822"/>
      <w:r>
        <w:rPr>
          <w:rFonts w:hint="eastAsia" w:ascii="宋体" w:hAnsi="宋体"/>
          <w:color w:val="auto"/>
          <w:szCs w:val="36"/>
          <w:highlight w:val="none"/>
        </w:rPr>
        <w:br w:type="page" w:clear="all"/>
      </w:r>
      <w:bookmarkStart w:id="55" w:name="_Toc16583"/>
      <w:r>
        <w:rPr>
          <w:rFonts w:hint="eastAsia" w:ascii="宋体" w:hAnsi="宋体"/>
          <w:color w:val="auto"/>
          <w:szCs w:val="36"/>
          <w:highlight w:val="none"/>
        </w:rPr>
        <w:t xml:space="preserve">第三章 合同条款及格式</w:t>
      </w:r>
      <w:bookmarkEnd w:id="53"/>
      <w:r/>
      <w:bookmarkEnd w:id="55"/>
      <w:r/>
      <w:r/>
    </w:p>
    <w:p>
      <w:pPr>
        <w:pStyle w:val="930"/>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w:t>
      </w:r>
      <w:r>
        <w:rPr>
          <w:rFonts w:hint="eastAsia" w:hAnsi="宋体"/>
          <w:color w:val="auto"/>
          <w:sz w:val="21"/>
          <w:highlight w:val="none"/>
          <w:lang w:eastAsia="zh-CN"/>
        </w:rPr>
        <w:t xml:space="preserve">签订</w:t>
      </w:r>
      <w:r>
        <w:rPr>
          <w:rFonts w:hint="eastAsia" w:hAnsi="宋体"/>
          <w:color w:val="auto"/>
          <w:sz w:val="21"/>
          <w:highlight w:val="none"/>
        </w:rPr>
        <w:t xml:space="preserve">本项目合同的通用条款，中标人不得提出实质性的修改，关于专用条款将由采购人与中标人结合本项目具体情况协商后签订。</w:t>
      </w:r>
      <w:r/>
    </w:p>
    <w:p>
      <w:pPr>
        <w:pStyle w:val="930"/>
        <w:ind w:firstLine="422"/>
        <w:jc w:val="center"/>
        <w:spacing w:before="120" w:after="120" w:line="360" w:lineRule="auto"/>
        <w:rPr>
          <w:rFonts w:hAnsi="宋体"/>
          <w:b/>
          <w:bCs/>
          <w:color w:val="auto"/>
          <w:sz w:val="21"/>
          <w:highlight w:val="none"/>
        </w:rPr>
      </w:pPr>
      <w:r>
        <w:rPr>
          <w:rFonts w:hint="eastAsia" w:hAnsi="宋体"/>
          <w:b/>
          <w:bCs/>
          <w:color w:val="auto"/>
          <w:sz w:val="21"/>
          <w:highlight w:val="none"/>
          <w:lang w:val="en-US" w:eastAsia="zh-CN"/>
        </w:rPr>
        <w:t xml:space="preserve">高邮</w:t>
      </w:r>
      <w:r>
        <w:rPr>
          <w:rFonts w:hint="eastAsia" w:hAnsi="宋体"/>
          <w:b/>
          <w:bCs/>
          <w:color w:val="auto"/>
          <w:sz w:val="21"/>
          <w:highlight w:val="none"/>
        </w:rPr>
        <w:t xml:space="preserve">市政府采购合同（服务)（合同编号）</w:t>
      </w:r>
      <w:r/>
    </w:p>
    <w:p>
      <w:pPr>
        <w:pStyle w:val="930"/>
        <w:ind w:firstLine="420"/>
        <w:spacing w:before="120" w:after="120" w:line="276" w:lineRule="auto"/>
        <w:rPr>
          <w:rFonts w:hint="eastAsia" w:hAnsi="宋体"/>
          <w:color w:val="auto"/>
          <w:sz w:val="21"/>
          <w:highlight w:val="none"/>
        </w:rPr>
      </w:pPr>
      <w:r>
        <w:rPr>
          <w:rFonts w:hint="eastAsia" w:hAnsi="宋体"/>
          <w:color w:val="auto"/>
          <w:sz w:val="21"/>
          <w:highlight w:val="none"/>
        </w:rPr>
        <w:t xml:space="preserve">项目名称：                </w:t>
      </w:r>
      <w:r/>
    </w:p>
    <w:p>
      <w:pPr>
        <w:pStyle w:val="930"/>
        <w:ind w:firstLine="420"/>
        <w:spacing w:before="120" w:after="120" w:line="276" w:lineRule="auto"/>
        <w:rPr>
          <w:rFonts w:hint="eastAsia" w:hAnsi="宋体" w:eastAsia="宋体"/>
          <w:color w:val="auto"/>
          <w:sz w:val="21"/>
          <w:highlight w:val="none"/>
          <w:lang w:eastAsia="zh-CN"/>
        </w:rPr>
      </w:pPr>
      <w:r>
        <w:rPr>
          <w:rFonts w:hint="eastAsia" w:hAnsi="宋体"/>
          <w:color w:val="auto"/>
          <w:sz w:val="21"/>
          <w:highlight w:val="none"/>
        </w:rPr>
        <w:t xml:space="preserve">项目编号：</w:t>
      </w:r>
      <w:r/>
    </w:p>
    <w:p>
      <w:pPr>
        <w:pStyle w:val="930"/>
        <w:ind w:firstLine="420"/>
        <w:keepLines w:val="0"/>
        <w:keepNext w:val="0"/>
        <w:pageBreakBefore w:val="0"/>
        <w:spacing w:before="120" w:after="120" w:line="240" w:lineRule="auto"/>
        <w:widowControl w:val="off"/>
        <w:rPr>
          <w:rFonts w:hint="eastAsia" w:hAnsi="宋体"/>
          <w:color w:val="auto"/>
          <w:sz w:val="21"/>
          <w:highlight w:val="none"/>
        </w:rPr>
      </w:pPr>
      <w:r>
        <w:rPr>
          <w:rFonts w:hint="eastAsia" w:hAnsi="宋体"/>
          <w:color w:val="auto"/>
          <w:sz w:val="21"/>
          <w:highlight w:val="none"/>
        </w:rPr>
        <w:t xml:space="preserve">甲方：（买方）</w:t>
      </w:r>
      <w:r/>
    </w:p>
    <w:p>
      <w:pPr>
        <w:pStyle w:val="930"/>
        <w:ind w:firstLine="420"/>
        <w:keepLines w:val="0"/>
        <w:keepNext w:val="0"/>
        <w:pageBreakBefore w:val="0"/>
        <w:spacing w:before="120" w:after="120" w:line="240" w:lineRule="auto"/>
        <w:widowControl w:val="off"/>
        <w:rPr>
          <w:rFonts w:hint="eastAsia" w:hAnsi="宋体"/>
          <w:color w:val="auto"/>
          <w:sz w:val="21"/>
          <w:highlight w:val="none"/>
        </w:rPr>
      </w:pPr>
      <w:r>
        <w:rPr>
          <w:rFonts w:hint="eastAsia" w:hAnsi="宋体"/>
          <w:color w:val="auto"/>
          <w:sz w:val="21"/>
          <w:highlight w:val="none"/>
        </w:rPr>
        <w:t xml:space="preserve">乙方：（卖方）_________</w:t>
      </w:r>
      <w:r/>
    </w:p>
    <w:p>
      <w:pPr>
        <w:pStyle w:val="930"/>
        <w:ind w:firstLine="420"/>
        <w:keepLines w:val="0"/>
        <w:keepNext w:val="0"/>
        <w:pageBreakBefore w:val="0"/>
        <w:spacing w:before="120" w:after="120" w:line="240" w:lineRule="auto"/>
        <w:widowControl w:val="off"/>
        <w:rPr>
          <w:rFonts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u w:val="single"/>
        </w:rPr>
        <w:t xml:space="preserve"> </w:t>
      </w:r>
      <w:r>
        <w:rPr>
          <w:rFonts w:hint="eastAsia" w:hAnsi="宋体"/>
          <w:color w:val="auto"/>
          <w:sz w:val="21"/>
          <w:highlight w:val="none"/>
          <w:u w:val="single"/>
          <w:lang w:val="en-US" w:eastAsia="zh-CN"/>
        </w:rPr>
        <w:t xml:space="preserve">                      </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930"/>
        <w:ind w:firstLine="422"/>
        <w:spacing w:before="120" w:after="120" w:line="240" w:lineRule="auto"/>
        <w:rPr>
          <w:rFonts w:hAnsi="宋体"/>
          <w:b/>
          <w:bCs/>
          <w:color w:val="auto"/>
          <w:sz w:val="21"/>
          <w:highlight w:val="none"/>
        </w:rPr>
      </w:pPr>
      <w:r>
        <w:rPr>
          <w:rFonts w:hint="eastAsia" w:hAnsi="宋体"/>
          <w:b/>
          <w:bCs/>
          <w:color w:val="auto"/>
          <w:sz w:val="21"/>
          <w:highlight w:val="none"/>
        </w:rPr>
        <w:t xml:space="preserve">一、服务及货物</w:t>
      </w:r>
      <w:r/>
    </w:p>
    <w:p>
      <w:pPr>
        <w:pStyle w:val="930"/>
        <w:ind w:firstLine="420"/>
        <w:keepLines w:val="0"/>
        <w:keepNext w:val="0"/>
        <w:pageBreakBefore w:val="0"/>
        <w:spacing w:before="120" w:after="120" w:line="240" w:lineRule="auto"/>
        <w:widowControl w:val="off"/>
        <w:rPr>
          <w:rFonts w:hint="eastAsia" w:hAnsi="宋体"/>
          <w:color w:val="auto"/>
          <w:sz w:val="21"/>
          <w:highlight w:val="none"/>
        </w:rPr>
      </w:pPr>
      <w:r>
        <w:rPr>
          <w:rFonts w:hint="eastAsia" w:hAnsi="宋体"/>
          <w:color w:val="auto"/>
          <w:sz w:val="21"/>
          <w:highlight w:val="none"/>
        </w:rPr>
        <w:t xml:space="preserve">1.1 服务及货物名称：</w:t>
      </w:r>
      <w:r/>
    </w:p>
    <w:p>
      <w:pPr>
        <w:pStyle w:val="930"/>
        <w:ind w:firstLine="420"/>
        <w:keepLines w:val="0"/>
        <w:keepNext w:val="0"/>
        <w:pageBreakBefore w:val="0"/>
        <w:spacing w:before="120" w:after="120" w:line="240" w:lineRule="auto"/>
        <w:widowControl w:val="off"/>
        <w:rPr>
          <w:rFonts w:hint="eastAsia" w:hAnsi="宋体" w:eastAsia="宋体"/>
          <w:color w:val="auto"/>
          <w:sz w:val="21"/>
          <w:highlight w:val="none"/>
          <w:lang w:val="en-US" w:eastAsia="zh-CN"/>
        </w:rPr>
      </w:pPr>
      <w:r>
        <w:rPr>
          <w:rFonts w:hAnsi="宋体"/>
          <w:color w:val="auto"/>
          <w:sz w:val="21"/>
          <w:highlight w:val="none"/>
        </w:rPr>
        <w:t xml:space="preserve">1.2 型号规格：</w:t>
      </w:r>
      <w:r/>
    </w:p>
    <w:p>
      <w:pPr>
        <w:pStyle w:val="930"/>
        <w:ind w:firstLine="420"/>
        <w:keepLines w:val="0"/>
        <w:keepNext w:val="0"/>
        <w:pageBreakBefore w:val="0"/>
        <w:spacing w:before="120" w:after="120" w:line="240" w:lineRule="auto"/>
        <w:widowControl w:val="off"/>
        <w:rPr>
          <w:rFonts w:hAnsi="宋体" w:eastAsia="宋体"/>
          <w:color w:val="auto"/>
          <w:sz w:val="21"/>
          <w:highlight w:val="none"/>
          <w:lang w:val="en-US" w:eastAsia="zh-CN"/>
        </w:rPr>
      </w:pPr>
      <w:r>
        <w:rPr>
          <w:rFonts w:hAnsi="宋体"/>
          <w:color w:val="auto"/>
          <w:sz w:val="21"/>
          <w:highlight w:val="none"/>
        </w:rPr>
        <w:t xml:space="preserve">1.3 数量（单位）</w:t>
      </w:r>
      <w:r>
        <w:rPr>
          <w:rFonts w:hint="eastAsia" w:hAnsi="宋体"/>
          <w:color w:val="auto"/>
          <w:sz w:val="21"/>
          <w:highlight w:val="none"/>
          <w:lang w:eastAsia="zh-CN"/>
        </w:rPr>
        <w:t xml:space="preserve">：</w:t>
      </w:r>
      <w:r/>
    </w:p>
    <w:p>
      <w:pPr>
        <w:pStyle w:val="930"/>
        <w:ind w:firstLine="422"/>
        <w:spacing w:before="120" w:after="120" w:line="276" w:lineRule="auto"/>
        <w:rPr>
          <w:rFonts w:hAnsi="宋体"/>
          <w:b/>
          <w:bCs/>
          <w:color w:val="auto"/>
          <w:sz w:val="21"/>
          <w:highlight w:val="none"/>
        </w:rPr>
      </w:pPr>
      <w:r>
        <w:rPr>
          <w:rFonts w:hint="eastAsia" w:hAnsi="宋体"/>
          <w:b/>
          <w:bCs/>
          <w:color w:val="auto"/>
          <w:sz w:val="21"/>
          <w:highlight w:val="none"/>
        </w:rPr>
        <w:t xml:space="preserve">二、合同金额</w:t>
      </w:r>
      <w:r/>
    </w:p>
    <w:p>
      <w:pPr>
        <w:pStyle w:val="930"/>
        <w:ind w:firstLine="420"/>
        <w:spacing w:before="120" w:after="120" w:line="276" w:lineRule="auto"/>
        <w:rPr>
          <w:rFonts w:hAnsi="宋体"/>
          <w:color w:val="auto"/>
          <w:sz w:val="21"/>
          <w:highlight w:val="none"/>
        </w:rPr>
      </w:pPr>
      <w:r>
        <w:rPr>
          <w:rFonts w:hint="eastAsia" w:hAnsi="宋体"/>
          <w:color w:val="auto"/>
          <w:sz w:val="21"/>
          <w:highlight w:val="none"/>
        </w:rPr>
        <w:t xml:space="preserve">2.1 本合同金额为（大写）：________________</w:t>
      </w:r>
      <w:r>
        <w:rPr>
          <w:rFonts w:hint="eastAsia" w:hAnsi="宋体"/>
          <w:color w:val="auto"/>
          <w:sz w:val="21"/>
          <w:highlight w:val="none"/>
          <w:lang w:val="en-US" w:eastAsia="zh-CN"/>
        </w:rPr>
        <w:t xml:space="preserve">元</w:t>
      </w:r>
      <w:r>
        <w:rPr>
          <w:rFonts w:hint="eastAsia" w:hAnsi="宋体"/>
          <w:color w:val="auto"/>
          <w:sz w:val="21"/>
          <w:highlight w:val="none"/>
        </w:rPr>
        <w:t xml:space="preserve">（_______________元）人民币。</w:t>
      </w:r>
      <w:r/>
    </w:p>
    <w:p>
      <w:pPr>
        <w:pStyle w:val="930"/>
        <w:ind w:firstLine="422"/>
        <w:spacing w:before="120" w:after="120" w:line="276" w:lineRule="auto"/>
        <w:rPr>
          <w:rFonts w:hAnsi="宋体"/>
          <w:b/>
          <w:bCs/>
          <w:color w:val="auto"/>
          <w:sz w:val="21"/>
          <w:highlight w:val="none"/>
        </w:rPr>
      </w:pPr>
      <w:r>
        <w:rPr>
          <w:rFonts w:hint="eastAsia" w:hAnsi="宋体"/>
          <w:b/>
          <w:bCs/>
          <w:color w:val="auto"/>
          <w:sz w:val="21"/>
          <w:highlight w:val="none"/>
        </w:rPr>
        <w:t xml:space="preserve">三、技术资料</w:t>
      </w:r>
      <w:r/>
    </w:p>
    <w:p>
      <w:pPr>
        <w:pStyle w:val="930"/>
        <w:ind w:firstLine="420"/>
        <w:spacing w:before="120" w:after="120" w:line="276" w:lineRule="auto"/>
        <w:rPr>
          <w:rFonts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930"/>
        <w:ind w:firstLine="420"/>
        <w:spacing w:before="120" w:after="120" w:line="276" w:lineRule="auto"/>
        <w:rPr>
          <w:rFonts w:hAnsi="宋体"/>
          <w:color w:val="auto"/>
          <w:sz w:val="21"/>
          <w:highlight w:val="none"/>
        </w:rPr>
      </w:pPr>
      <w:r>
        <w:rPr>
          <w:rFonts w:hint="eastAsia" w:hAnsi="宋体"/>
          <w:color w:val="auto"/>
          <w:sz w:val="21"/>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0"/>
        <w:ind w:firstLine="422"/>
        <w:spacing w:before="120" w:after="120" w:line="276" w:lineRule="auto"/>
        <w:rPr>
          <w:rFonts w:hAnsi="宋体"/>
          <w:b/>
          <w:bCs/>
          <w:color w:val="auto"/>
          <w:sz w:val="21"/>
          <w:highlight w:val="none"/>
        </w:rPr>
      </w:pPr>
      <w:r>
        <w:rPr>
          <w:rFonts w:hint="eastAsia" w:hAnsi="宋体"/>
          <w:b/>
          <w:bCs/>
          <w:color w:val="auto"/>
          <w:sz w:val="21"/>
          <w:highlight w:val="none"/>
        </w:rPr>
        <w:t xml:space="preserve">四、知识产权</w:t>
      </w:r>
      <w:r/>
    </w:p>
    <w:p>
      <w:pPr>
        <w:pStyle w:val="930"/>
        <w:ind w:firstLine="420"/>
        <w:spacing w:before="120" w:after="120" w:line="276" w:lineRule="auto"/>
        <w:rPr>
          <w:rFonts w:hint="eastAsia"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30"/>
        <w:ind w:firstLine="420"/>
        <w:spacing w:before="120" w:after="120" w:line="276" w:lineRule="auto"/>
        <w:rPr>
          <w:rFonts w:hAnsi="宋体"/>
          <w:b/>
          <w:bCs/>
          <w:color w:val="auto"/>
          <w:sz w:val="21"/>
          <w:highlight w:val="none"/>
        </w:rPr>
      </w:pPr>
      <w:r>
        <w:rPr>
          <w:rFonts w:hint="eastAsia" w:hAnsi="宋体"/>
          <w:b/>
          <w:bCs/>
          <w:color w:val="auto"/>
          <w:sz w:val="21"/>
          <w:highlight w:val="none"/>
        </w:rPr>
        <w:t xml:space="preserve">五、产权担保</w:t>
      </w:r>
      <w:r/>
    </w:p>
    <w:p>
      <w:pPr>
        <w:pStyle w:val="930"/>
        <w:ind w:firstLine="420"/>
        <w:spacing w:before="120" w:after="120" w:line="276" w:lineRule="auto"/>
        <w:rPr>
          <w:rFonts w:hAnsi="宋体"/>
          <w:color w:val="auto"/>
          <w:sz w:val="21"/>
          <w:highlight w:val="none"/>
        </w:rPr>
      </w:pPr>
      <w:r>
        <w:rPr>
          <w:rFonts w:hint="eastAsia" w:hAnsi="宋体"/>
          <w:color w:val="auto"/>
          <w:sz w:val="21"/>
          <w:highlight w:val="none"/>
        </w:rPr>
        <w:t xml:space="preserve">5.1乙方保证所交付的货物及服务的所有权完全属于乙方且无任何抵押、查封等产权瑕疵。</w:t>
      </w:r>
      <w:r/>
    </w:p>
    <w:p>
      <w:pPr>
        <w:pStyle w:val="930"/>
        <w:ind w:firstLine="422"/>
        <w:spacing w:before="120" w:after="120" w:line="276" w:lineRule="auto"/>
        <w:rPr>
          <w:rFonts w:hAnsi="宋体"/>
          <w:b/>
          <w:bCs/>
          <w:color w:val="auto"/>
          <w:sz w:val="21"/>
          <w:highlight w:val="none"/>
        </w:rPr>
      </w:pPr>
      <w:r>
        <w:rPr>
          <w:rFonts w:hint="eastAsia" w:hAnsi="宋体"/>
          <w:b/>
          <w:bCs/>
          <w:color w:val="auto"/>
          <w:sz w:val="21"/>
          <w:highlight w:val="none"/>
        </w:rPr>
        <w:t xml:space="preserve">六、履约保证金</w:t>
      </w:r>
      <w:r/>
    </w:p>
    <w:p>
      <w:pPr>
        <w:pStyle w:val="930"/>
        <w:ind w:firstLine="420"/>
        <w:spacing w:before="120" w:after="120" w:line="276"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930"/>
        <w:ind w:firstLine="42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30"/>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30"/>
        <w:ind w:firstLine="420"/>
        <w:spacing w:before="120" w:after="120" w:line="360" w:lineRule="auto"/>
        <w:rPr>
          <w:rFonts w:hAnsi="宋体"/>
          <w:color w:val="auto"/>
          <w:sz w:val="21"/>
          <w:highlight w:val="none"/>
        </w:rPr>
      </w:pPr>
      <w:r>
        <w:rPr>
          <w:rFonts w:hint="eastAsia" w:hAnsi="宋体"/>
          <w:color w:val="auto"/>
          <w:sz w:val="21"/>
          <w:highlight w:val="none"/>
        </w:rPr>
        <w:t xml:space="preserve">6.4 履约保证金收取：无</w:t>
      </w:r>
      <w:r/>
    </w:p>
    <w:p>
      <w:pPr>
        <w:pStyle w:val="93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930"/>
        <w:ind w:firstLine="420"/>
        <w:keepLines w:val="0"/>
        <w:keepNext w:val="0"/>
        <w:pageBreakBefore w:val="0"/>
        <w:spacing w:before="120" w:after="120" w:line="240" w:lineRule="auto"/>
        <w:widowControl w:val="off"/>
        <w:rPr>
          <w:rFonts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930"/>
        <w:ind w:firstLine="420"/>
        <w:keepLines w:val="0"/>
        <w:keepNext w:val="0"/>
        <w:pageBreakBefore w:val="0"/>
        <w:spacing w:before="120" w:after="120" w:line="240" w:lineRule="auto"/>
        <w:widowControl w:val="off"/>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930"/>
        <w:ind w:firstLine="420"/>
        <w:keepLines w:val="0"/>
        <w:keepNext w:val="0"/>
        <w:pageBreakBefore w:val="0"/>
        <w:spacing w:before="120" w:after="120" w:line="240" w:lineRule="auto"/>
        <w:widowControl w:val="off"/>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930"/>
        <w:ind w:left="315" w:firstLine="105"/>
        <w:spacing w:before="120" w:after="120" w:line="360" w:lineRule="auto"/>
        <w:rPr>
          <w:rFonts w:hAnsi="宋体"/>
          <w:b/>
          <w:bCs/>
          <w:color w:val="auto"/>
          <w:sz w:val="21"/>
          <w:highlight w:val="none"/>
        </w:rPr>
      </w:pPr>
      <w:r>
        <w:rPr>
          <w:rFonts w:hint="eastAsia" w:hAnsi="宋体"/>
          <w:b/>
          <w:bCs/>
          <w:color w:val="auto"/>
          <w:sz w:val="21"/>
          <w:highlight w:val="none"/>
        </w:rPr>
        <w:t xml:space="preserve">八、服务期</w:t>
      </w:r>
      <w:r/>
    </w:p>
    <w:p>
      <w:pPr>
        <w:pStyle w:val="930"/>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8.1 服务期：</w:t>
      </w:r>
      <w:r>
        <w:rPr>
          <w:rFonts w:hint="eastAsia" w:hAnsi="宋体"/>
          <w:color w:val="auto"/>
          <w:sz w:val="21"/>
          <w:highlight w:val="none"/>
          <w:u w:val="single"/>
        </w:rPr>
        <w:t xml:space="preserve">合同签订至202</w:t>
      </w:r>
      <w:r>
        <w:rPr>
          <w:rFonts w:hint="eastAsia" w:hAnsi="宋体"/>
          <w:color w:val="auto"/>
          <w:sz w:val="21"/>
          <w:highlight w:val="none"/>
          <w:u w:val="single"/>
          <w:lang w:val="en-US" w:eastAsia="zh-CN"/>
        </w:rPr>
        <w:t xml:space="preserve">6</w:t>
      </w:r>
      <w:r>
        <w:rPr>
          <w:rFonts w:hint="eastAsia" w:hAnsi="宋体"/>
          <w:color w:val="auto"/>
          <w:sz w:val="21"/>
          <w:highlight w:val="none"/>
          <w:u w:val="single"/>
        </w:rPr>
        <w:t xml:space="preserve">年12月31日前完成所有班次的课堂教学、实践教学和交流观摩。在课堂教学、实践教学和交流观摩全部完成后对学员开展跟踪服务，并于202</w:t>
      </w:r>
      <w:r>
        <w:rPr>
          <w:rFonts w:hint="eastAsia" w:hAnsi="宋体"/>
          <w:color w:val="auto"/>
          <w:sz w:val="21"/>
          <w:highlight w:val="none"/>
          <w:u w:val="single"/>
          <w:lang w:val="en-US" w:eastAsia="zh-CN"/>
        </w:rPr>
        <w:t xml:space="preserve">7</w:t>
      </w:r>
      <w:r>
        <w:rPr>
          <w:rFonts w:hint="eastAsia" w:hAnsi="宋体"/>
          <w:color w:val="auto"/>
          <w:sz w:val="21"/>
          <w:highlight w:val="none"/>
          <w:u w:val="single"/>
        </w:rPr>
        <w:t xml:space="preserve">年</w:t>
      </w:r>
      <w:r>
        <w:rPr>
          <w:rFonts w:hint="eastAsia" w:hAnsi="宋体"/>
          <w:color w:val="auto"/>
          <w:sz w:val="21"/>
          <w:highlight w:val="none"/>
          <w:u w:val="single"/>
          <w:lang w:val="en-US" w:eastAsia="zh-CN"/>
        </w:rPr>
        <w:t xml:space="preserve">5</w:t>
      </w:r>
      <w:r>
        <w:rPr>
          <w:rFonts w:hint="eastAsia" w:hAnsi="宋体"/>
          <w:color w:val="auto"/>
          <w:sz w:val="21"/>
          <w:highlight w:val="none"/>
          <w:u w:val="single"/>
        </w:rPr>
        <w:t xml:space="preserve">月底之前完成。</w:t>
      </w:r>
      <w:r/>
    </w:p>
    <w:p>
      <w:pPr>
        <w:pStyle w:val="968"/>
        <w:ind w:firstLine="422"/>
        <w:spacing w:line="360" w:lineRule="auto"/>
        <w:rPr>
          <w:rFonts w:hAnsi="宋体"/>
          <w:b/>
          <w:bCs/>
          <w:color w:val="auto"/>
          <w:sz w:val="21"/>
          <w:highlight w:val="none"/>
        </w:rPr>
      </w:pPr>
      <w:r>
        <w:rPr>
          <w:rFonts w:hint="eastAsia" w:hAnsi="宋体"/>
          <w:b/>
          <w:bCs/>
          <w:color w:val="auto"/>
          <w:sz w:val="21"/>
          <w:highlight w:val="none"/>
        </w:rPr>
        <w:t xml:space="preserve">九</w:t>
      </w:r>
      <w:r>
        <w:rPr>
          <w:rFonts w:hAnsi="宋体"/>
          <w:b/>
          <w:bCs/>
          <w:color w:val="auto"/>
          <w:sz w:val="21"/>
          <w:highlight w:val="none"/>
        </w:rPr>
        <w:t xml:space="preserve">、服务方式及服务地点</w:t>
      </w:r>
      <w:r/>
    </w:p>
    <w:p>
      <w:pPr>
        <w:pStyle w:val="968"/>
        <w:ind w:firstLine="420"/>
        <w:keepLines w:val="0"/>
        <w:keepNext w:val="0"/>
        <w:pageBreakBefore w:val="0"/>
        <w:spacing w:line="240" w:lineRule="auto"/>
        <w:widowControl w:val="off"/>
        <w:rPr>
          <w:rFonts w:hAnsi="宋体"/>
          <w:bCs/>
          <w:color w:val="auto"/>
          <w:sz w:val="21"/>
          <w:highlight w:val="none"/>
        </w:rPr>
      </w:pPr>
      <w:r>
        <w:rPr>
          <w:rFonts w:hAnsi="宋体"/>
          <w:bCs/>
          <w:color w:val="auto"/>
          <w:sz w:val="21"/>
          <w:highlight w:val="none"/>
        </w:rPr>
        <w:t xml:space="preserve">9.1 服务方式：</w:t>
      </w:r>
      <w:r>
        <w:rPr>
          <w:rFonts w:hAnsi="宋体"/>
          <w:color w:val="auto"/>
          <w:sz w:val="21"/>
          <w:highlight w:val="none"/>
          <w:u w:val="single"/>
        </w:rPr>
        <w:t xml:space="preserve">_</w:t>
      </w:r>
      <w:r>
        <w:rPr>
          <w:rFonts w:hint="eastAsia" w:hAnsi="宋体"/>
          <w:b/>
          <w:bCs/>
          <w:color w:val="auto"/>
          <w:sz w:val="21"/>
          <w:highlight w:val="none"/>
          <w:u w:val="single"/>
          <w:lang w:val="en-US" w:eastAsia="zh-CN"/>
        </w:rPr>
        <w:t xml:space="preserve">线下</w:t>
      </w:r>
      <w:r>
        <w:rPr>
          <w:rFonts w:hint="eastAsia" w:hAnsi="宋体"/>
          <w:b/>
          <w:bCs/>
          <w:color w:val="auto"/>
          <w:sz w:val="21"/>
          <w:highlight w:val="none"/>
          <w:u w:val="single"/>
        </w:rPr>
        <w:t xml:space="preserve">教学、</w:t>
      </w:r>
      <w:r>
        <w:rPr>
          <w:rFonts w:hint="eastAsia" w:hAnsi="宋体"/>
          <w:b/>
          <w:bCs/>
          <w:color w:val="auto"/>
          <w:sz w:val="21"/>
          <w:highlight w:val="none"/>
          <w:u w:val="single"/>
          <w:lang w:eastAsia="zh-CN"/>
        </w:rPr>
        <w:t xml:space="preserve">线上教学、</w:t>
      </w:r>
      <w:r>
        <w:rPr>
          <w:rFonts w:hint="eastAsia" w:hAnsi="宋体"/>
          <w:b/>
          <w:bCs/>
          <w:color w:val="auto"/>
          <w:sz w:val="21"/>
          <w:highlight w:val="none"/>
          <w:u w:val="single"/>
        </w:rPr>
        <w:t xml:space="preserve">实践教学</w:t>
      </w:r>
      <w:r>
        <w:rPr>
          <w:rFonts w:hint="eastAsia" w:hAnsi="宋体"/>
          <w:b/>
          <w:bCs/>
          <w:color w:val="auto"/>
          <w:sz w:val="21"/>
          <w:highlight w:val="none"/>
          <w:u w:val="single"/>
          <w:lang w:eastAsia="zh-CN"/>
        </w:rPr>
        <w:t xml:space="preserve">、</w:t>
      </w:r>
      <w:r>
        <w:rPr>
          <w:rFonts w:hint="eastAsia" w:hAnsi="宋体"/>
          <w:b/>
          <w:bCs/>
          <w:color w:val="auto"/>
          <w:sz w:val="21"/>
          <w:highlight w:val="none"/>
          <w:u w:val="single"/>
        </w:rPr>
        <w:t xml:space="preserve">交流观摩</w:t>
      </w:r>
      <w:r>
        <w:rPr>
          <w:rFonts w:hint="eastAsia" w:hAnsi="宋体"/>
          <w:b/>
          <w:bCs/>
          <w:color w:val="auto"/>
          <w:sz w:val="21"/>
          <w:highlight w:val="none"/>
          <w:u w:val="single"/>
          <w:lang w:eastAsia="zh-CN"/>
        </w:rPr>
        <w:t xml:space="preserve">、跟踪指导</w:t>
      </w:r>
      <w:r>
        <w:rPr>
          <w:rFonts w:hAnsi="宋体"/>
          <w:color w:val="auto"/>
          <w:sz w:val="21"/>
          <w:highlight w:val="none"/>
        </w:rPr>
        <w:t xml:space="preserve">___</w:t>
      </w:r>
      <w:r/>
    </w:p>
    <w:p>
      <w:pPr>
        <w:pStyle w:val="968"/>
        <w:ind w:firstLine="420"/>
        <w:keepLines w:val="0"/>
        <w:keepNext w:val="0"/>
        <w:pageBreakBefore w:val="0"/>
        <w:spacing w:line="240" w:lineRule="auto"/>
        <w:widowControl w:val="off"/>
        <w:rPr>
          <w:rFonts w:hint="default" w:hAnsi="宋体" w:eastAsia="宋体"/>
          <w:b/>
          <w:bCs/>
          <w:color w:val="auto"/>
          <w:sz w:val="21"/>
          <w:highlight w:val="none"/>
          <w:u w:val="single"/>
          <w:lang w:val="en-US" w:eastAsia="zh-CN"/>
        </w:rPr>
      </w:pPr>
      <w:r>
        <w:rPr>
          <w:rFonts w:hAnsi="宋体"/>
          <w:bCs/>
          <w:color w:val="auto"/>
          <w:sz w:val="21"/>
          <w:highlight w:val="none"/>
        </w:rPr>
        <w:t xml:space="preserve">9.2 服务地点：</w:t>
      </w:r>
      <w:r>
        <w:rPr>
          <w:rFonts w:hint="eastAsia" w:hAnsi="宋体"/>
          <w:bCs/>
          <w:color w:val="auto"/>
          <w:sz w:val="21"/>
          <w:highlight w:val="none"/>
          <w:u w:val="single"/>
          <w:lang w:val="en-US" w:eastAsia="zh-CN"/>
        </w:rPr>
        <w:t xml:space="preserve"> </w:t>
      </w:r>
      <w:r>
        <w:rPr>
          <w:rFonts w:hint="eastAsia" w:hAnsi="宋体"/>
          <w:b/>
          <w:bCs/>
          <w:color w:val="auto"/>
          <w:sz w:val="21"/>
          <w:highlight w:val="none"/>
          <w:u w:val="single"/>
          <w:lang w:val="en-US" w:eastAsia="zh-CN"/>
        </w:rPr>
        <w:t xml:space="preserve">线下</w:t>
      </w:r>
      <w:r>
        <w:rPr>
          <w:rFonts w:hint="eastAsia" w:hAnsi="宋体"/>
          <w:b/>
          <w:bCs/>
          <w:color w:val="auto"/>
          <w:sz w:val="21"/>
          <w:highlight w:val="none"/>
          <w:u w:val="single"/>
          <w:lang w:eastAsia="zh-CN"/>
        </w:rPr>
        <w:t xml:space="preserve">教学、实践</w:t>
      </w:r>
      <w:r>
        <w:rPr>
          <w:rFonts w:hint="eastAsia" w:hAnsi="宋体"/>
          <w:b/>
          <w:bCs/>
          <w:color w:val="auto"/>
          <w:sz w:val="21"/>
          <w:highlight w:val="none"/>
          <w:u w:val="single"/>
        </w:rPr>
        <w:t xml:space="preserve">教学和交流观摩</w:t>
      </w:r>
      <w:r>
        <w:rPr>
          <w:rFonts w:hint="eastAsia" w:hAnsi="宋体"/>
          <w:b/>
          <w:bCs/>
          <w:color w:val="auto"/>
          <w:sz w:val="21"/>
          <w:highlight w:val="none"/>
          <w:u w:val="single"/>
          <w:lang w:eastAsia="zh-CN"/>
        </w:rPr>
        <w:t xml:space="preserve">最低</w:t>
      </w:r>
      <w:r>
        <w:rPr>
          <w:rFonts w:hint="eastAsia" w:hAnsi="宋体"/>
          <w:b/>
          <w:bCs/>
          <w:color w:val="auto"/>
          <w:sz w:val="21"/>
          <w:highlight w:val="none"/>
          <w:u w:val="single"/>
          <w:lang w:val="en-US" w:eastAsia="zh-CN"/>
        </w:rPr>
        <w:t xml:space="preserve">1－2天</w:t>
      </w:r>
      <w:r>
        <w:rPr>
          <w:rFonts w:hint="eastAsia" w:hAnsi="宋体"/>
          <w:b/>
          <w:bCs/>
          <w:color w:val="auto"/>
          <w:sz w:val="21"/>
          <w:highlight w:val="none"/>
          <w:u w:val="single"/>
          <w:lang w:eastAsia="zh-CN"/>
        </w:rPr>
        <w:t xml:space="preserve">需在</w:t>
      </w:r>
      <w:r>
        <w:rPr>
          <w:rFonts w:hint="eastAsia" w:hAnsi="宋体"/>
          <w:b/>
          <w:bCs/>
          <w:color w:val="auto"/>
          <w:sz w:val="21"/>
          <w:highlight w:val="none"/>
          <w:u w:val="single"/>
          <w:lang w:val="en-US" w:eastAsia="zh-CN"/>
        </w:rPr>
        <w:t xml:space="preserve">高邮实施</w:t>
      </w:r>
      <w:r>
        <w:rPr>
          <w:rFonts w:hint="eastAsia" w:hAnsi="宋体"/>
          <w:color w:val="auto"/>
          <w:sz w:val="21"/>
          <w:highlight w:val="none"/>
          <w:u w:val="single"/>
          <w:lang w:val="en-US" w:eastAsia="zh-CN"/>
        </w:rPr>
        <w:t xml:space="preserve"> 、</w:t>
      </w:r>
      <w:r>
        <w:rPr>
          <w:rFonts w:hint="eastAsia" w:hAnsi="宋体"/>
          <w:b/>
          <w:bCs/>
          <w:color w:val="auto"/>
          <w:sz w:val="21"/>
          <w:highlight w:val="none"/>
          <w:u w:val="single"/>
          <w:lang w:val="en-US" w:eastAsia="zh-CN"/>
        </w:rPr>
        <w:t xml:space="preserve">如无特殊需要，跟踪指导需在高邮实施 </w:t>
      </w:r>
      <w:r/>
    </w:p>
    <w:p>
      <w:pPr>
        <w:pStyle w:val="93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930"/>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10.3 甲方付款方式：</w:t>
      </w:r>
      <w:r/>
    </w:p>
    <w:p>
      <w:pPr>
        <w:pStyle w:val="968"/>
        <w:ind w:firstLine="840"/>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u w:val="single"/>
          <w:lang w:val="en-US" w:eastAsia="zh-CN"/>
        </w:rPr>
        <w:t xml:space="preserve">项目验收合格后，</w:t>
      </w:r>
      <w:r>
        <w:rPr>
          <w:rFonts w:hint="eastAsia" w:hAnsi="宋体" w:cs="宋体"/>
          <w:color w:val="auto"/>
          <w:sz w:val="21"/>
          <w:szCs w:val="21"/>
          <w:highlight w:val="none"/>
          <w:u w:val="single"/>
        </w:rPr>
        <w:t xml:space="preserve">乙方</w:t>
      </w:r>
      <w:r>
        <w:rPr>
          <w:rFonts w:hint="eastAsia" w:hAnsi="宋体" w:cs="宋体"/>
          <w:color w:val="auto"/>
          <w:sz w:val="21"/>
          <w:szCs w:val="21"/>
          <w:highlight w:val="none"/>
          <w:u w:val="single"/>
          <w:lang w:eastAsia="zh-CN"/>
        </w:rPr>
        <w:t xml:space="preserve">开据相关税票，</w:t>
      </w:r>
      <w:r>
        <w:rPr>
          <w:rFonts w:hint="eastAsia" w:hAnsi="宋体" w:cs="宋体"/>
          <w:color w:val="auto"/>
          <w:sz w:val="21"/>
          <w:szCs w:val="21"/>
          <w:highlight w:val="none"/>
          <w:u w:val="single"/>
        </w:rPr>
        <w:t xml:space="preserve">甲方</w:t>
      </w:r>
      <w:r>
        <w:rPr>
          <w:rFonts w:hint="eastAsia" w:hAnsi="宋体" w:cs="宋体"/>
          <w:color w:val="auto"/>
          <w:sz w:val="21"/>
          <w:szCs w:val="21"/>
          <w:highlight w:val="none"/>
          <w:u w:val="single"/>
          <w:lang w:eastAsia="zh-CN"/>
        </w:rPr>
        <w:t xml:space="preserve">一式次性</w:t>
      </w:r>
      <w:r>
        <w:rPr>
          <w:rFonts w:hint="eastAsia" w:hAnsi="宋体" w:cs="宋体"/>
          <w:color w:val="auto"/>
          <w:sz w:val="21"/>
          <w:szCs w:val="21"/>
          <w:highlight w:val="none"/>
          <w:u w:val="single"/>
        </w:rPr>
        <w:t xml:space="preserve">支付乙方合同</w:t>
      </w:r>
      <w:r>
        <w:rPr>
          <w:rFonts w:hint="eastAsia" w:hAnsi="宋体" w:cs="宋体"/>
          <w:color w:val="auto"/>
          <w:sz w:val="21"/>
          <w:szCs w:val="21"/>
          <w:highlight w:val="none"/>
          <w:u w:val="single"/>
          <w:lang w:val="en-US" w:eastAsia="zh-CN"/>
        </w:rPr>
        <w:t xml:space="preserve">全款。</w:t>
      </w:r>
      <w:r/>
    </w:p>
    <w:p>
      <w:pPr>
        <w:pStyle w:val="968"/>
        <w:ind w:firstLine="422"/>
        <w:spacing w:line="360" w:lineRule="auto"/>
        <w:rPr>
          <w:rFonts w:hint="eastAsia" w:hAnsi="宋体"/>
          <w:b/>
          <w:bCs/>
          <w:color w:val="auto"/>
          <w:sz w:val="21"/>
          <w:highlight w:val="none"/>
        </w:rPr>
      </w:pPr>
      <w:r>
        <w:rPr>
          <w:rFonts w:hint="eastAsia" w:hAnsi="宋体"/>
          <w:b/>
          <w:bCs/>
          <w:color w:val="auto"/>
          <w:sz w:val="21"/>
          <w:highlight w:val="none"/>
        </w:rPr>
        <w:t xml:space="preserve">十一、税费</w:t>
      </w:r>
      <w:r/>
    </w:p>
    <w:p>
      <w:pPr>
        <w:pStyle w:val="930"/>
        <w:ind w:firstLine="42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930"/>
        <w:ind w:firstLine="422"/>
        <w:spacing w:before="120" w:after="120" w:line="360" w:lineRule="auto"/>
        <w:rPr>
          <w:rFonts w:hint="eastAsia" w:hAnsi="宋体" w:eastAsia="宋体"/>
          <w:b/>
          <w:bCs/>
          <w:color w:val="auto"/>
          <w:sz w:val="21"/>
          <w:highlight w:val="none"/>
          <w:lang w:eastAsia="zh-CN"/>
        </w:rPr>
      </w:pPr>
      <w:r>
        <w:rPr>
          <w:rFonts w:hint="eastAsia" w:hAnsi="宋体"/>
          <w:b/>
          <w:bCs/>
          <w:color w:val="auto"/>
          <w:sz w:val="21"/>
          <w:highlight w:val="none"/>
        </w:rPr>
        <w:t xml:space="preserve">十二、质量保证及售后服务</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12.1 乙方应按招标文件规定及响应文件承诺的技术性能、</w:t>
      </w:r>
      <w:r>
        <w:rPr>
          <w:rFonts w:hint="eastAsia" w:ascii="宋体" w:hAnsi="宋体" w:cs="宋体"/>
          <w:color w:val="auto"/>
          <w:szCs w:val="21"/>
          <w:highlight w:val="none"/>
          <w:lang w:val="en-US" w:eastAsia="zh-CN"/>
        </w:rPr>
        <w:t xml:space="preserve">服务</w:t>
      </w:r>
      <w:r>
        <w:rPr>
          <w:rFonts w:hint="eastAsia" w:ascii="宋体" w:hAnsi="宋体" w:cs="宋体"/>
          <w:color w:val="auto"/>
          <w:szCs w:val="21"/>
          <w:highlight w:val="none"/>
        </w:rPr>
        <w:t xml:space="preserve">要求、质量标准向甲方提供服务；若无特殊说明，则按国家有关部门最新颁布的标准及规范为准。</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12.2乙方应保证其提供的服务是全面和规范的，并完全符合招投标文件。如因乙方提供的服务有瑕疵造成甲方损失的，所需费用由乙方承担。</w:t>
      </w:r>
      <w:r/>
    </w:p>
    <w:p>
      <w:pPr>
        <w:ind w:firstLine="420"/>
        <w:spacing w:line="360" w:lineRule="auto"/>
        <w:rPr>
          <w:rFonts w:hAnsi="宋体"/>
          <w:color w:val="auto"/>
          <w:highlight w:val="none"/>
        </w:rPr>
      </w:pPr>
      <w:r>
        <w:rPr>
          <w:rFonts w:hint="eastAsia" w:ascii="宋体" w:hAnsi="宋体" w:cs="宋体"/>
          <w:color w:val="auto"/>
          <w:szCs w:val="21"/>
          <w:highlight w:val="none"/>
        </w:rPr>
        <w:t xml:space="preserve">12.3 如在使用过程中发生质量问题，乙方在接到甲方通知后在___小时内到达甲方现场。</w:t>
      </w:r>
      <w:r/>
    </w:p>
    <w:p>
      <w:pPr>
        <w:pStyle w:val="93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十三、交付和验收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13.1 乙方应当在合同签订后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天内完成服务事项，招标文件有约定的，从其约定。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在交付前，乙方应作出全面检查和对验收文件进行整理，并列出清单，作为甲方初验收和使用的技术条件依据，检验的结果交甲方。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13.2 验收标准：按乙方投标文件的承诺，并不低于国家相关标准。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对于乙方要交付的服务，甲乙双方须在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工作日内初验收，甲方对乙方提交的服务依据招标文件上的要求和国家有关质量标准进行现场初步验收，外观、说明书、包装符合招标文件技术要求的，给予签收，初步验收不合格的不予签收。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13.3 乙方按照招标文件要求负责安装并培训甲方的使用操作人员，乙方在甲方使用前进行调试，调试直到符合技术要求的甲方才做最终验收。</w:t>
      </w:r>
      <w:r/>
    </w:p>
    <w:p>
      <w:pPr>
        <w:ind w:firstLine="420"/>
        <w:spacing w:line="360" w:lineRule="auto"/>
        <w:rPr>
          <w:rFonts w:hint="eastAsia" w:ascii="宋体" w:hAnsi="宋体" w:eastAsia="宋体"/>
          <w:color w:val="000000"/>
          <w:szCs w:val="21"/>
          <w:lang w:eastAsia="zh-CN"/>
        </w:rPr>
      </w:pPr>
      <w:r>
        <w:rPr>
          <w:rFonts w:hint="eastAsia" w:ascii="宋体" w:hAnsi="宋体"/>
          <w:color w:val="auto"/>
          <w:szCs w:val="21"/>
          <w:highlight w:val="none"/>
        </w:rPr>
        <w:t xml:space="preserve">13.4</w:t>
      </w:r>
      <w:r>
        <w:rPr>
          <w:rFonts w:hint="eastAsia" w:ascii="宋体" w:hAnsi="宋体"/>
          <w:color w:val="000000"/>
          <w:szCs w:val="21"/>
        </w:rPr>
        <w:t xml:space="preserve">甲方牵头</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乙方配合甲方</w:t>
      </w:r>
      <w:r>
        <w:rPr>
          <w:rFonts w:hint="eastAsia" w:ascii="宋体" w:hAnsi="宋体"/>
          <w:color w:val="000000"/>
          <w:szCs w:val="21"/>
        </w:rPr>
        <w:t xml:space="preserve">对</w:t>
      </w:r>
      <w:r>
        <w:rPr>
          <w:rFonts w:hint="eastAsia" w:ascii="宋体" w:hAnsi="宋体"/>
          <w:color w:val="000000"/>
          <w:szCs w:val="21"/>
          <w:lang w:val="en-US" w:eastAsia="zh-CN"/>
        </w:rPr>
        <w:t xml:space="preserve">项目进行验收，并在农业农村部转移支付管理平台（zyzf.xnzb.org.cn）对项目资金使用情况进行录入。</w:t>
      </w:r>
      <w:r>
        <w:rPr>
          <w:rFonts w:hint="eastAsia" w:ascii="宋体" w:hAnsi="宋体"/>
          <w:color w:val="000000"/>
          <w:szCs w:val="21"/>
        </w:rPr>
        <w:t xml:space="preserve">技术复杂的货物，甲方可请国家认可的专业检测机构或者相关专家参与初步验收及最终验收，并由其出具质量检测报告或者评审报告。验收时乙方必须在现场，验收完毕后作出验收结果报告</w:t>
      </w:r>
      <w:r>
        <w:rPr>
          <w:rFonts w:hint="eastAsia" w:ascii="宋体" w:hAnsi="宋体"/>
          <w:color w:val="000000"/>
          <w:szCs w:val="21"/>
          <w:lang w:eastAsia="zh-CN"/>
        </w:rPr>
        <w:t xml:space="preserve">，</w:t>
      </w:r>
      <w:r>
        <w:rPr>
          <w:rFonts w:hint="eastAsia" w:ascii="宋体" w:hAnsi="宋体"/>
          <w:color w:val="000000"/>
          <w:szCs w:val="21"/>
        </w:rPr>
        <w:t xml:space="preserve">验收相关费用由乙方支付。</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13.5 甲乙双方关于调试和验收的其他约定：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pStyle w:val="93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十四、包装、发运及运输</w:t>
      </w:r>
      <w:r/>
    </w:p>
    <w:p>
      <w:pPr>
        <w:pStyle w:val="930"/>
        <w:ind w:firstLine="420"/>
        <w:spacing w:line="360" w:lineRule="auto"/>
        <w:rPr>
          <w:rFonts w:hAnsi="宋体"/>
          <w:color w:val="auto"/>
          <w:sz w:val="21"/>
          <w:highlight w:val="none"/>
        </w:rPr>
      </w:pPr>
      <w:r>
        <w:rPr>
          <w:rFonts w:hint="eastAsia" w:hAnsi="宋体"/>
          <w:color w:val="auto"/>
          <w:sz w:val="21"/>
          <w:highlight w:val="none"/>
        </w:rPr>
        <w:t xml:space="preserve">14.1乙方应对其提供的服务所涉及物品在发运前对其进行满足运输距离、防潮、防震、防锈和防破损装卸等要求包装，以保证安全运达甲方指定地点。</w:t>
      </w:r>
      <w:r/>
    </w:p>
    <w:p>
      <w:pPr>
        <w:pStyle w:val="930"/>
        <w:ind w:firstLine="420"/>
        <w:spacing w:line="360" w:lineRule="auto"/>
        <w:rPr>
          <w:rFonts w:hAnsi="宋体"/>
          <w:color w:val="auto"/>
          <w:sz w:val="21"/>
          <w:highlight w:val="none"/>
        </w:rPr>
      </w:pPr>
      <w:r>
        <w:rPr>
          <w:rFonts w:hint="eastAsia" w:hAnsi="宋体"/>
          <w:color w:val="auto"/>
          <w:sz w:val="21"/>
          <w:highlight w:val="none"/>
        </w:rPr>
        <w:t xml:space="preserve">14.2 乙方交付时，使用说明书、检验证明书、随配附件和工具以及清单一并附于内。</w:t>
      </w:r>
      <w:r/>
    </w:p>
    <w:p>
      <w:pPr>
        <w:pStyle w:val="930"/>
        <w:ind w:firstLine="420"/>
        <w:spacing w:line="360" w:lineRule="auto"/>
        <w:rPr>
          <w:rFonts w:hAnsi="宋体"/>
          <w:color w:val="auto"/>
          <w:sz w:val="21"/>
          <w:highlight w:val="none"/>
        </w:rPr>
      </w:pPr>
      <w:r>
        <w:rPr>
          <w:rFonts w:hint="eastAsia" w:hAnsi="宋体"/>
          <w:color w:val="auto"/>
          <w:sz w:val="21"/>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930"/>
        <w:ind w:firstLine="420"/>
        <w:spacing w:line="360" w:lineRule="auto"/>
        <w:rPr>
          <w:rFonts w:hAnsi="宋体"/>
          <w:color w:val="auto"/>
          <w:sz w:val="21"/>
          <w:highlight w:val="none"/>
        </w:rPr>
      </w:pPr>
      <w:r>
        <w:rPr>
          <w:rFonts w:hint="eastAsia" w:hAnsi="宋体"/>
          <w:color w:val="auto"/>
          <w:sz w:val="21"/>
          <w:highlight w:val="none"/>
        </w:rPr>
        <w:t xml:space="preserve">14.4 服务在交付甲方前发生的风险均由乙方负责。</w:t>
      </w:r>
      <w:r/>
    </w:p>
    <w:p>
      <w:pPr>
        <w:pStyle w:val="93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14.5 服务在规定的交付期限内由乙方送达甲方指定的地点。</w:t>
      </w:r>
      <w:r/>
    </w:p>
    <w:p>
      <w:pPr>
        <w:pStyle w:val="93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930"/>
        <w:ind w:firstLine="42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甲方无正当理由拒收服务的，甲方向乙方偿付拒收款项总值的百分之五违约金。</w:t>
      </w:r>
      <w:r/>
    </w:p>
    <w:p>
      <w:pPr>
        <w:pStyle w:val="930"/>
        <w:ind w:firstLine="42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930"/>
        <w:ind w:firstLine="420"/>
        <w:spacing w:before="120" w:after="120" w:line="360" w:lineRule="auto"/>
        <w:rPr>
          <w:rFonts w:hAnsi="宋体"/>
          <w:color w:val="auto"/>
          <w:sz w:val="21"/>
          <w:highlight w:val="none"/>
        </w:rPr>
      </w:pPr>
      <w:r>
        <w:rPr>
          <w:rFonts w:hint="eastAsia" w:hAnsi="宋体"/>
          <w:color w:val="auto"/>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30"/>
        <w:ind w:firstLine="420"/>
        <w:spacing w:before="120" w:after="120" w:line="360" w:lineRule="auto"/>
        <w:rPr>
          <w:rFonts w:hAnsi="宋体"/>
          <w:color w:val="auto"/>
          <w:sz w:val="21"/>
          <w:highlight w:val="none"/>
        </w:rPr>
      </w:pPr>
      <w:r>
        <w:rPr>
          <w:rFonts w:hint="eastAsia" w:hAnsi="宋体"/>
          <w:color w:val="auto"/>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93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930"/>
        <w:ind w:firstLine="42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930"/>
        <w:ind w:firstLine="42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930"/>
        <w:ind w:firstLine="42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93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930"/>
        <w:ind w:firstLine="42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s="宋体"/>
          <w:bCs/>
          <w:color w:val="auto"/>
          <w:highlight w:val="none"/>
        </w:rPr>
        <w:t xml:space="preserve">为落实好政府采购履约资金扶持政策，乙方可凭政府采购合同办理融资贷款，详见江苏政府采购网“政采贷”专栏。</w:t>
      </w:r>
      <w:r/>
    </w:p>
    <w:p>
      <w:pPr>
        <w:pStyle w:val="930"/>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930"/>
        <w:ind w:firstLine="420"/>
        <w:spacing w:before="120" w:after="120" w:line="360" w:lineRule="auto"/>
        <w:rPr>
          <w:rFonts w:hAnsi="宋体"/>
          <w:color w:val="auto"/>
          <w:sz w:val="21"/>
          <w:highlight w:val="none"/>
        </w:rPr>
      </w:pPr>
      <w:r>
        <w:rPr>
          <w:rFonts w:hint="eastAsia" w:hAnsi="宋体"/>
          <w:color w:val="auto"/>
          <w:sz w:val="21"/>
          <w:highlight w:val="none"/>
        </w:rPr>
        <w:t xml:space="preserve">19.1 合同经双方法定代表人签章并加盖单位公章后生效。</w:t>
      </w:r>
      <w:r/>
    </w:p>
    <w:p>
      <w:pPr>
        <w:pStyle w:val="930"/>
        <w:ind w:firstLine="420"/>
        <w:spacing w:before="120" w:after="120" w:line="360" w:lineRule="auto"/>
        <w:rPr>
          <w:rFonts w:hAnsi="宋体"/>
          <w:color w:val="auto"/>
          <w:sz w:val="21"/>
          <w:highlight w:val="none"/>
        </w:rPr>
      </w:pPr>
      <w:r>
        <w:rPr>
          <w:rFonts w:hint="eastAsia" w:hAnsi="宋体"/>
          <w:color w:val="auto"/>
          <w:sz w:val="21"/>
          <w:highlight w:val="none"/>
        </w:rPr>
        <w:t xml:space="preserve">19.2本合同未尽事宜，遵照《</w:t>
      </w:r>
      <w:r>
        <w:rPr>
          <w:rFonts w:hint="eastAsia" w:hAnsi="宋体"/>
          <w:color w:val="auto"/>
          <w:sz w:val="21"/>
          <w:highlight w:val="none"/>
          <w:lang w:val="en-US" w:eastAsia="zh-CN"/>
        </w:rPr>
        <w:t xml:space="preserve">中华人民共和国</w:t>
      </w:r>
      <w:r>
        <w:rPr>
          <w:rFonts w:hint="eastAsia" w:hAnsi="宋体"/>
          <w:color w:val="auto"/>
          <w:sz w:val="21"/>
          <w:highlight w:val="none"/>
        </w:rPr>
        <w:t xml:space="preserve">民法典》有关条文执行。</w:t>
      </w:r>
      <w:r/>
    </w:p>
    <w:p>
      <w:pPr>
        <w:pStyle w:val="930"/>
        <w:ind w:firstLine="420"/>
        <w:spacing w:before="120" w:after="120" w:line="360" w:lineRule="auto"/>
        <w:rPr>
          <w:rFonts w:hAnsi="宋体"/>
          <w:color w:val="auto"/>
          <w:sz w:val="21"/>
          <w:highlight w:val="none"/>
        </w:rPr>
      </w:pPr>
      <w:r>
        <w:rPr>
          <w:rFonts w:hint="eastAsia" w:hAnsi="宋体"/>
          <w:color w:val="auto"/>
          <w:sz w:val="21"/>
          <w:highlight w:val="none"/>
        </w:rPr>
        <w:t xml:space="preserve">19.3 本合同正本一式四份，具有同等法律效力，甲方、乙方各执</w:t>
      </w:r>
      <w:r>
        <w:rPr>
          <w:rFonts w:hint="eastAsia" w:hAnsi="宋体"/>
          <w:color w:val="auto"/>
          <w:sz w:val="21"/>
          <w:highlight w:val="none"/>
          <w:lang w:val="en-US" w:eastAsia="zh-CN"/>
        </w:rPr>
        <w:t xml:space="preserve">两</w:t>
      </w:r>
      <w:r>
        <w:rPr>
          <w:rFonts w:hint="eastAsia" w:hAnsi="宋体"/>
          <w:color w:val="auto"/>
          <w:sz w:val="21"/>
          <w:highlight w:val="none"/>
        </w:rPr>
        <w:t xml:space="preserve">份。  </w:t>
      </w:r>
      <w:r/>
    </w:p>
    <w:tbl>
      <w:tblPr>
        <w:tblStyle w:val="740"/>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0"/>
              <w:spacing w:before="120" w:after="120" w:line="360" w:lineRule="auto"/>
              <w:rPr>
                <w:rFonts w:hAnsi="宋体" w:eastAsia="宋体"/>
                <w:color w:val="auto"/>
                <w:sz w:val="21"/>
                <w:highlight w:val="none"/>
                <w:lang w:val="en-US" w:eastAsia="zh-CN"/>
              </w:rPr>
            </w:pPr>
            <w:r>
              <w:rPr>
                <w:rFonts w:hint="eastAsia" w:hAnsi="宋体"/>
                <w:color w:val="auto"/>
                <w:sz w:val="21"/>
                <w:highlight w:val="none"/>
              </w:rPr>
              <w:t xml:space="preserve">甲方：</w:t>
            </w:r>
            <w:r>
              <w:rPr>
                <w:rFonts w:hint="eastAsia" w:hAnsi="宋体"/>
                <w:color w:val="auto"/>
                <w:sz w:val="21"/>
                <w:highlight w:val="none"/>
                <w:lang w:val="en-US" w:eastAsia="zh-CN"/>
              </w:rPr>
              <w:t xml:space="preserve">高邮市农业农村局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0"/>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0"/>
              <w:spacing w:before="120" w:after="120" w:line="360" w:lineRule="auto"/>
              <w:rPr>
                <w:rFonts w:hint="eastAsia" w:hAnsi="宋体"/>
                <w:color w:val="auto"/>
                <w:sz w:val="21"/>
                <w:highlight w:val="none"/>
              </w:rPr>
            </w:pPr>
            <w:r>
              <w:rPr>
                <w:rFonts w:hint="eastAsia" w:hAnsi="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0"/>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0"/>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rHeight w:val="420"/>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0"/>
              <w:spacing w:before="120" w:after="120" w:line="360" w:lineRule="auto"/>
              <w:rPr>
                <w:rFonts w:hAnsi="宋体" w:eastAsia="宋体"/>
                <w:color w:val="auto"/>
                <w:sz w:val="21"/>
                <w:highlight w:val="none"/>
                <w:lang w:val="en-US" w:eastAsia="zh-CN"/>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0"/>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30"/>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30"/>
              <w:spacing w:before="120" w:after="120" w:line="360" w:lineRule="auto"/>
              <w:rPr>
                <w:rFonts w:hAnsi="宋体"/>
                <w:color w:val="auto"/>
                <w:sz w:val="21"/>
                <w:highlight w:val="none"/>
              </w:rPr>
            </w:pPr>
            <w:r>
              <w:rPr>
                <w:rFonts w:hint="eastAsia" w:hAnsi="宋体"/>
                <w:color w:val="auto"/>
                <w:sz w:val="21"/>
                <w:highlight w:val="none"/>
              </w:rPr>
              <w:t xml:space="preserve">日期：      年    月    日</w:t>
            </w:r>
            <w:bookmarkEnd w:id="54"/>
            <w:r/>
            <w:r/>
          </w:p>
        </w:tc>
      </w:tr>
    </w:tbl>
    <w:p>
      <w:pPr>
        <w:pStyle w:val="915"/>
        <w:numPr>
          <w:ilvl w:val="0"/>
          <w:numId w:val="0"/>
        </w:numPr>
        <w:jc w:val="center"/>
        <w:rPr>
          <w:rFonts w:ascii="宋体" w:hAnsi="宋体"/>
          <w:color w:val="auto"/>
          <w:highlight w:val="none"/>
        </w:rPr>
      </w:pPr>
      <w:r>
        <w:rPr>
          <w:rFonts w:hint="eastAsia" w:ascii="宋体" w:hAnsi="宋体"/>
          <w:b/>
          <w:bCs/>
          <w:color w:val="auto"/>
          <w:sz w:val="44"/>
          <w:szCs w:val="44"/>
          <w:highlight w:val="none"/>
          <w:lang w:val="en-US" w:eastAsia="zh-CN" w:bidi="ar-SA"/>
        </w:rPr>
        <w:br w:type="page" w:clear="all"/>
      </w:r>
      <w:bookmarkStart w:id="56" w:name="_Toc27852"/>
      <w:r>
        <w:rPr>
          <w:rFonts w:hint="eastAsia" w:ascii="宋体" w:hAnsi="宋体"/>
          <w:b/>
          <w:bCs/>
          <w:color w:val="000000"/>
          <w:sz w:val="44"/>
          <w:szCs w:val="44"/>
          <w:lang w:val="en-US" w:eastAsia="zh-CN" w:bidi="ar-SA"/>
        </w:rPr>
        <w:t xml:space="preserve">第四章 项目需求</w:t>
      </w:r>
      <w:bookmarkEnd w:id="56"/>
      <w:r/>
      <w:r/>
    </w:p>
    <w:p>
      <w:pPr>
        <w:spacing w:line="360" w:lineRule="auto"/>
        <w:rPr>
          <w:rFonts w:hint="eastAsia"/>
          <w:color w:val="auto"/>
          <w:highlight w:val="none"/>
        </w:rPr>
      </w:pPr>
      <w:r>
        <w:rPr>
          <w:rFonts w:hint="eastAsia"/>
          <w:b/>
          <w:bCs/>
          <w:color w:val="auto"/>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auto"/>
          <w:highlight w:val="none"/>
        </w:rPr>
        <w:t xml:space="preserve">“</w:t>
      </w:r>
      <w:r>
        <w:rPr>
          <w:rFonts w:hint="eastAsia"/>
          <w:b/>
          <w:bCs/>
          <w:color w:val="auto"/>
          <w:highlight w:val="none"/>
        </w:rPr>
        <w:t xml:space="preserve">符合证明文件格式</w:t>
      </w:r>
      <w:r>
        <w:rPr>
          <w:b/>
          <w:bCs/>
          <w:color w:val="auto"/>
          <w:highlight w:val="none"/>
        </w:rPr>
        <w:t xml:space="preserve">”</w:t>
      </w:r>
      <w:r>
        <w:rPr>
          <w:rFonts w:hint="eastAsia"/>
          <w:b/>
          <w:bCs/>
          <w:color w:val="auto"/>
          <w:highlight w:val="none"/>
        </w:rPr>
        <w:t xml:space="preserve">中准确填写或上传。</w:t>
      </w:r>
      <w:r/>
    </w:p>
    <w:p>
      <w:pPr>
        <w:ind w:firstLine="420"/>
        <w:spacing w:line="360" w:lineRule="auto"/>
        <w:rPr>
          <w:rFonts w:hint="eastAsia"/>
          <w:color w:val="auto"/>
          <w:highlight w:val="none"/>
        </w:rPr>
      </w:pPr>
      <w:r>
        <w:rPr>
          <w:rFonts w:hint="eastAsia"/>
          <w:color w:val="auto"/>
          <w:highlight w:val="none"/>
        </w:rPr>
        <w:t xml:space="preserve">项目属性：服务类项目</w:t>
      </w:r>
      <w:r/>
    </w:p>
    <w:p>
      <w:pPr>
        <w:ind w:firstLine="422"/>
        <w:jc w:val="both"/>
        <w:spacing w:after="0" w:line="360" w:lineRule="auto"/>
        <w:widowControl w:val="off"/>
        <w:rPr>
          <w:rFonts w:ascii="宋体" w:hAnsi="宋体" w:eastAsia="宋体" w:cs="宋体"/>
          <w:b/>
          <w:bCs/>
          <w:color w:val="auto"/>
          <w:sz w:val="21"/>
          <w:szCs w:val="21"/>
          <w:highlight w:val="none"/>
        </w:rPr>
      </w:pPr>
      <w:r/>
      <w:bookmarkStart w:id="57" w:name="_Toc55204181"/>
      <w:r>
        <w:rPr>
          <w:rFonts w:hint="eastAsia" w:ascii="宋体" w:hAnsi="宋体" w:eastAsia="宋体" w:cs="宋体"/>
          <w:b/>
          <w:bCs/>
          <w:color w:val="auto"/>
          <w:sz w:val="21"/>
          <w:szCs w:val="21"/>
          <w:highlight w:val="none"/>
        </w:rPr>
        <w:t xml:space="preserve">一、项目概况</w:t>
      </w:r>
      <w:r/>
    </w:p>
    <w:p>
      <w:pPr>
        <w:ind w:firstLine="480"/>
        <w:jc w:val="both"/>
        <w:spacing w:after="0" w:line="360" w:lineRule="auto"/>
        <w:widowControl w:val="off"/>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1</w:t>
      </w:r>
      <w:r>
        <w:rPr>
          <w:rFonts w:ascii="宋体" w:hAnsi="宋体" w:eastAsia="宋体" w:cs="Times New Roman"/>
          <w:bCs/>
          <w:color w:val="auto"/>
          <w:sz w:val="21"/>
          <w:szCs w:val="21"/>
          <w:highlight w:val="none"/>
        </w:rPr>
        <w:t xml:space="preserve">.</w:t>
      </w:r>
      <w:r>
        <w:rPr>
          <w:rFonts w:hint="eastAsia" w:ascii="宋体" w:hAnsi="宋体" w:eastAsia="宋体" w:cs="Times New Roman"/>
          <w:bCs/>
          <w:color w:val="auto"/>
          <w:sz w:val="21"/>
          <w:szCs w:val="21"/>
          <w:highlight w:val="none"/>
        </w:rPr>
        <w:t xml:space="preserve">项目简介</w:t>
      </w:r>
      <w:r/>
    </w:p>
    <w:p>
      <w:pPr>
        <w:ind w:firstLine="480"/>
        <w:jc w:val="both"/>
        <w:spacing w:after="0" w:line="360" w:lineRule="auto"/>
        <w:widowControl w:val="off"/>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根据《农业农村部办公厅关于做好202</w:t>
      </w:r>
      <w:r>
        <w:rPr>
          <w:rFonts w:hint="eastAsia" w:ascii="宋体" w:hAnsi="宋体" w:cs="Times New Roman"/>
          <w:bCs/>
          <w:color w:val="auto"/>
          <w:sz w:val="21"/>
          <w:szCs w:val="21"/>
          <w:highlight w:val="none"/>
          <w:lang w:val="en-US" w:eastAsia="zh-CN"/>
        </w:rPr>
        <w:t xml:space="preserve">6</w:t>
      </w:r>
      <w:r>
        <w:rPr>
          <w:rFonts w:hint="eastAsia" w:ascii="宋体" w:hAnsi="宋体" w:eastAsia="宋体" w:cs="Times New Roman"/>
          <w:bCs/>
          <w:color w:val="auto"/>
          <w:sz w:val="21"/>
          <w:szCs w:val="21"/>
          <w:highlight w:val="none"/>
          <w:lang w:val="en-US" w:eastAsia="zh-CN"/>
        </w:rPr>
        <w:t xml:space="preserve">年高素质农民培育工作的通知》（农办社〔202</w:t>
      </w:r>
      <w:r>
        <w:rPr>
          <w:rFonts w:hint="eastAsia" w:ascii="宋体" w:hAnsi="宋体" w:cs="Times New Roman"/>
          <w:bCs/>
          <w:color w:val="auto"/>
          <w:sz w:val="21"/>
          <w:szCs w:val="21"/>
          <w:highlight w:val="none"/>
          <w:lang w:val="en-US" w:eastAsia="zh-CN"/>
        </w:rPr>
        <w:t xml:space="preserve">6</w:t>
      </w:r>
      <w:r>
        <w:rPr>
          <w:rFonts w:hint="eastAsia" w:ascii="宋体" w:hAnsi="宋体" w:eastAsia="宋体" w:cs="Times New Roman"/>
          <w:bCs/>
          <w:color w:val="auto"/>
          <w:sz w:val="21"/>
          <w:szCs w:val="21"/>
          <w:highlight w:val="none"/>
          <w:lang w:val="en-US" w:eastAsia="zh-CN"/>
        </w:rPr>
        <w:t xml:space="preserve">〕</w:t>
      </w:r>
      <w:r>
        <w:rPr>
          <w:rFonts w:hint="eastAsia" w:ascii="宋体" w:hAnsi="宋体" w:cs="Times New Roman"/>
          <w:bCs/>
          <w:color w:val="auto"/>
          <w:sz w:val="21"/>
          <w:szCs w:val="21"/>
          <w:highlight w:val="none"/>
          <w:lang w:val="en-US" w:eastAsia="zh-CN"/>
        </w:rPr>
        <w:t xml:space="preserve">4</w:t>
      </w:r>
      <w:r>
        <w:rPr>
          <w:rFonts w:hint="eastAsia" w:ascii="宋体" w:hAnsi="宋体" w:eastAsia="宋体" w:cs="Times New Roman"/>
          <w:bCs/>
          <w:color w:val="auto"/>
          <w:sz w:val="21"/>
          <w:szCs w:val="21"/>
          <w:highlight w:val="none"/>
          <w:lang w:val="en-US" w:eastAsia="zh-CN"/>
        </w:rPr>
        <w:t xml:space="preserve"> 号）要求，紧扣</w:t>
      </w:r>
      <w:r>
        <w:rPr>
          <w:rFonts w:hint="default" w:ascii="宋体" w:hAnsi="宋体" w:eastAsia="宋体" w:cs="Times New Roman"/>
          <w:bCs/>
          <w:color w:val="auto"/>
          <w:sz w:val="21"/>
          <w:szCs w:val="21"/>
          <w:highlight w:val="none"/>
          <w:lang w:val="en-US" w:eastAsia="zh-CN"/>
        </w:rPr>
        <w:t xml:space="preserve">提升农业综合生产能力和质量效益、统筹发展“</w:t>
      </w:r>
      <w:r>
        <w:rPr>
          <w:rFonts w:hint="eastAsia" w:ascii="宋体" w:hAnsi="宋体" w:eastAsia="宋体" w:cs="Times New Roman"/>
          <w:bCs/>
          <w:color w:val="auto"/>
          <w:sz w:val="21"/>
          <w:szCs w:val="21"/>
          <w:highlight w:val="none"/>
          <w:lang w:val="en-US" w:eastAsia="zh-CN"/>
        </w:rPr>
        <w:t xml:space="preserve">四个农业</w:t>
      </w:r>
      <w:r>
        <w:rPr>
          <w:rFonts w:hint="default" w:ascii="宋体" w:hAnsi="宋体" w:eastAsia="宋体" w:cs="Times New Roman"/>
          <w:bCs/>
          <w:color w:val="auto"/>
          <w:sz w:val="21"/>
          <w:szCs w:val="21"/>
          <w:highlight w:val="none"/>
          <w:lang w:val="en-US" w:eastAsia="zh-CN"/>
        </w:rPr>
        <w:t xml:space="preserve">”</w:t>
      </w:r>
      <w:r>
        <w:rPr>
          <w:rFonts w:hint="eastAsia" w:ascii="宋体" w:hAnsi="宋体" w:eastAsia="宋体" w:cs="Times New Roman"/>
          <w:bCs/>
          <w:color w:val="auto"/>
          <w:sz w:val="21"/>
          <w:szCs w:val="21"/>
          <w:highlight w:val="none"/>
          <w:lang w:val="en-US" w:eastAsia="zh-CN"/>
        </w:rPr>
        <w:t xml:space="preserve">、加快建设宜居宜业和美乡村等人才需求，</w:t>
      </w:r>
      <w:r>
        <w:rPr>
          <w:rFonts w:hint="default" w:ascii="宋体" w:hAnsi="宋体" w:eastAsia="宋体" w:cs="Times New Roman"/>
          <w:bCs/>
          <w:color w:val="auto"/>
          <w:sz w:val="21"/>
          <w:szCs w:val="21"/>
          <w:highlight w:val="none"/>
          <w:lang w:val="en-US" w:eastAsia="zh-CN"/>
        </w:rPr>
        <w:t xml:space="preserve">结合《江苏省“</w:t>
      </w:r>
      <w:r>
        <w:rPr>
          <w:rFonts w:hint="eastAsia" w:ascii="宋体" w:hAnsi="宋体" w:eastAsia="宋体" w:cs="Times New Roman"/>
          <w:bCs/>
          <w:color w:val="auto"/>
          <w:sz w:val="21"/>
          <w:szCs w:val="21"/>
          <w:highlight w:val="none"/>
          <w:lang w:val="en-US" w:eastAsia="zh-CN"/>
        </w:rPr>
        <w:t xml:space="preserve">新农人</w:t>
      </w:r>
      <w:r>
        <w:rPr>
          <w:rFonts w:hint="default" w:ascii="宋体" w:hAnsi="宋体" w:eastAsia="宋体" w:cs="Times New Roman"/>
          <w:bCs/>
          <w:color w:val="auto"/>
          <w:sz w:val="21"/>
          <w:szCs w:val="21"/>
          <w:highlight w:val="none"/>
          <w:lang w:val="en-US" w:eastAsia="zh-CN"/>
        </w:rPr>
        <w:t xml:space="preserve">”</w:t>
      </w:r>
      <w:r>
        <w:rPr>
          <w:rFonts w:hint="eastAsia" w:ascii="宋体" w:hAnsi="宋体" w:eastAsia="宋体" w:cs="Times New Roman"/>
          <w:bCs/>
          <w:color w:val="auto"/>
          <w:sz w:val="21"/>
          <w:szCs w:val="21"/>
          <w:highlight w:val="none"/>
          <w:lang w:val="en-US" w:eastAsia="zh-CN"/>
        </w:rPr>
        <w:t xml:space="preserve">培育三年行动计划（</w:t>
      </w:r>
      <w:r>
        <w:rPr>
          <w:rFonts w:hint="default" w:ascii="宋体" w:hAnsi="宋体" w:eastAsia="宋体" w:cs="Times New Roman"/>
          <w:bCs/>
          <w:color w:val="auto"/>
          <w:sz w:val="21"/>
          <w:szCs w:val="21"/>
          <w:highlight w:val="none"/>
          <w:lang w:val="en-US" w:eastAsia="zh-CN"/>
        </w:rPr>
        <w:t xml:space="preserve">2025—2027 </w:t>
      </w:r>
      <w:r>
        <w:rPr>
          <w:rFonts w:hint="eastAsia" w:ascii="宋体" w:hAnsi="宋体" w:eastAsia="宋体" w:cs="Times New Roman"/>
          <w:bCs/>
          <w:color w:val="auto"/>
          <w:sz w:val="21"/>
          <w:szCs w:val="21"/>
          <w:highlight w:val="none"/>
          <w:lang w:val="en-US" w:eastAsia="zh-CN"/>
        </w:rPr>
        <w:t xml:space="preserve">年）》部署要求，按照需求导向、质量优先、突出实效原则，以工程化、项目化、闭环化方式组织实施，着力提升农民技术技能水平、产业发展能力与综合素质素养，为推进农业现代化走在前、高水平建设农业强省提供坚实人才支撑。</w:t>
      </w:r>
      <w:r/>
    </w:p>
    <w:p>
      <w:pPr>
        <w:ind w:firstLine="480"/>
        <w:jc w:val="both"/>
        <w:spacing w:after="0" w:line="360" w:lineRule="auto"/>
        <w:widowControl w:val="off"/>
        <w:rPr>
          <w:rFonts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采购人拟委托具有培训能力的第三方机构，2</w:t>
      </w:r>
      <w:r>
        <w:rPr>
          <w:rFonts w:ascii="宋体" w:hAnsi="宋体" w:eastAsia="宋体" w:cs="Times New Roman"/>
          <w:bCs/>
          <w:color w:val="auto"/>
          <w:sz w:val="21"/>
          <w:szCs w:val="21"/>
          <w:highlight w:val="none"/>
        </w:rPr>
        <w:t xml:space="preserve">02</w:t>
      </w:r>
      <w:r>
        <w:rPr>
          <w:rFonts w:hint="eastAsia" w:ascii="宋体" w:hAnsi="宋体" w:cs="Times New Roman"/>
          <w:bCs/>
          <w:color w:val="auto"/>
          <w:sz w:val="21"/>
          <w:szCs w:val="21"/>
          <w:highlight w:val="none"/>
          <w:lang w:val="en-US" w:eastAsia="zh-CN"/>
        </w:rPr>
        <w:t xml:space="preserve">6</w:t>
      </w:r>
      <w:r>
        <w:rPr>
          <w:rFonts w:hint="eastAsia" w:ascii="宋体" w:hAnsi="宋体" w:eastAsia="宋体" w:cs="Times New Roman"/>
          <w:bCs/>
          <w:color w:val="auto"/>
          <w:sz w:val="21"/>
          <w:szCs w:val="21"/>
          <w:highlight w:val="none"/>
        </w:rPr>
        <w:t xml:space="preserve">年在</w:t>
      </w:r>
      <w:r>
        <w:rPr>
          <w:rFonts w:ascii="宋体" w:hAnsi="宋体" w:eastAsia="宋体" w:cs="Times New Roman"/>
          <w:bCs/>
          <w:color w:val="auto"/>
          <w:sz w:val="21"/>
          <w:szCs w:val="21"/>
          <w:highlight w:val="none"/>
        </w:rPr>
        <w:t xml:space="preserve">全</w:t>
      </w:r>
      <w:r>
        <w:rPr>
          <w:rFonts w:hint="eastAsia" w:ascii="宋体" w:hAnsi="宋体" w:eastAsia="宋体" w:cs="Times New Roman"/>
          <w:bCs/>
          <w:color w:val="auto"/>
          <w:sz w:val="21"/>
          <w:szCs w:val="21"/>
          <w:highlight w:val="none"/>
          <w:lang w:val="en-US" w:eastAsia="zh-CN"/>
        </w:rPr>
        <w:t xml:space="preserve">市</w:t>
      </w:r>
      <w:r>
        <w:rPr>
          <w:rFonts w:ascii="宋体" w:hAnsi="宋体" w:eastAsia="宋体" w:cs="Times New Roman"/>
          <w:bCs/>
          <w:color w:val="auto"/>
          <w:sz w:val="21"/>
          <w:szCs w:val="21"/>
          <w:highlight w:val="none"/>
        </w:rPr>
        <w:t xml:space="preserve">组织开展</w:t>
      </w:r>
      <w:r>
        <w:rPr>
          <w:rFonts w:hint="eastAsia" w:ascii="宋体" w:hAnsi="宋体" w:cs="Times New Roman"/>
          <w:bCs/>
          <w:color w:val="auto"/>
          <w:sz w:val="21"/>
          <w:szCs w:val="21"/>
          <w:highlight w:val="none"/>
          <w:lang w:val="en-US" w:eastAsia="zh-CN"/>
        </w:rPr>
        <w:t xml:space="preserve">350</w:t>
      </w:r>
      <w:r>
        <w:rPr>
          <w:rFonts w:hint="eastAsia" w:ascii="宋体" w:hAnsi="宋体" w:eastAsia="宋体" w:cs="Times New Roman"/>
          <w:bCs/>
          <w:color w:val="auto"/>
          <w:sz w:val="21"/>
          <w:szCs w:val="21"/>
          <w:highlight w:val="none"/>
          <w:lang w:val="en-US" w:eastAsia="zh-CN"/>
        </w:rPr>
        <w:t xml:space="preserve">人高素质农民常规培训</w:t>
      </w:r>
      <w:r>
        <w:rPr>
          <w:rFonts w:ascii="宋体" w:hAnsi="宋体" w:eastAsia="宋体" w:cs="Times New Roman"/>
          <w:bCs/>
          <w:color w:val="auto"/>
          <w:sz w:val="21"/>
          <w:szCs w:val="21"/>
          <w:highlight w:val="none"/>
        </w:rPr>
        <w:t xml:space="preserve">和</w:t>
      </w:r>
      <w:r>
        <w:rPr>
          <w:rFonts w:hint="eastAsia" w:ascii="宋体" w:hAnsi="宋体" w:eastAsia="宋体" w:cs="Times New Roman"/>
          <w:bCs/>
          <w:color w:val="auto"/>
          <w:sz w:val="21"/>
          <w:szCs w:val="21"/>
          <w:highlight w:val="none"/>
          <w:lang w:val="en-US" w:eastAsia="zh-CN"/>
        </w:rPr>
        <w:t xml:space="preserve">40</w:t>
      </w:r>
      <w:r>
        <w:rPr>
          <w:rFonts w:ascii="宋体" w:hAnsi="宋体" w:eastAsia="宋体" w:cs="Times New Roman"/>
          <w:bCs/>
          <w:color w:val="auto"/>
          <w:sz w:val="21"/>
          <w:szCs w:val="21"/>
          <w:highlight w:val="none"/>
        </w:rPr>
        <w:t xml:space="preserve">人</w:t>
      </w:r>
      <w:r>
        <w:rPr>
          <w:rFonts w:hint="eastAsia" w:ascii="宋体" w:hAnsi="宋体" w:eastAsia="宋体" w:cs="Times New Roman"/>
          <w:bCs/>
          <w:color w:val="auto"/>
          <w:sz w:val="21"/>
          <w:szCs w:val="21"/>
          <w:highlight w:val="none"/>
          <w:lang w:val="en-US" w:eastAsia="zh-CN"/>
        </w:rPr>
        <w:t xml:space="preserve">专题培训</w:t>
      </w:r>
      <w:r>
        <w:rPr>
          <w:rFonts w:hint="eastAsia" w:ascii="宋体" w:hAnsi="宋体" w:eastAsia="宋体" w:cs="Times New Roman"/>
          <w:bCs/>
          <w:color w:val="auto"/>
          <w:sz w:val="21"/>
          <w:szCs w:val="21"/>
          <w:highlight w:val="none"/>
        </w:rPr>
        <w:t xml:space="preserve">（农机</w:t>
      </w:r>
      <w:r>
        <w:rPr>
          <w:rFonts w:hint="eastAsia" w:ascii="宋体" w:hAnsi="宋体" w:eastAsia="宋体" w:cs="Times New Roman"/>
          <w:bCs/>
          <w:color w:val="auto"/>
          <w:sz w:val="21"/>
          <w:szCs w:val="21"/>
          <w:highlight w:val="none"/>
          <w:lang w:val="en-US" w:eastAsia="zh-CN"/>
        </w:rPr>
        <w:t xml:space="preserve">手技能提升培训</w:t>
      </w:r>
      <w:r>
        <w:rPr>
          <w:rFonts w:hint="eastAsia" w:ascii="宋体" w:hAnsi="宋体" w:eastAsia="宋体" w:cs="Times New Roman"/>
          <w:bCs/>
          <w:color w:val="auto"/>
          <w:sz w:val="21"/>
          <w:szCs w:val="21"/>
          <w:highlight w:val="none"/>
        </w:rPr>
        <w:t xml:space="preserve">）</w:t>
      </w:r>
      <w:r>
        <w:rPr>
          <w:rFonts w:ascii="宋体" w:hAnsi="宋体" w:eastAsia="宋体" w:cs="Times New Roman"/>
          <w:bCs/>
          <w:color w:val="auto"/>
          <w:sz w:val="21"/>
          <w:szCs w:val="21"/>
          <w:highlight w:val="none"/>
        </w:rPr>
        <w:t xml:space="preserve">。遵循产业人才的职业特点和成长规律，按照培育内容模块化、师资队伍品牌化、研修基地标准化、培育方式特色化的要求，对培育对象实施多种形式的孵化培养。</w:t>
      </w:r>
      <w:r>
        <w:rPr>
          <w:rFonts w:hint="eastAsia" w:ascii="宋体" w:hAnsi="宋体" w:eastAsia="宋体" w:cs="Times New Roman"/>
          <w:bCs/>
          <w:color w:val="auto"/>
          <w:sz w:val="21"/>
          <w:szCs w:val="21"/>
          <w:highlight w:val="none"/>
        </w:rPr>
        <w:t xml:space="preserve">总体上，课程设置层次高端、内容新颖先进，授课师资团队实力强、专家知名度高；对标学习考察对象具有代表性、启发性强；教学方式方法创新，小班化教学，切合成人教育特点；跟踪指导服务持续，绩效考评符合实际；教学组织管理与后勤服务高效有序，保障能力强。</w:t>
      </w:r>
      <w:r/>
    </w:p>
    <w:p>
      <w:pPr>
        <w:numPr>
          <w:ilvl w:val="0"/>
          <w:numId w:val="2"/>
        </w:numPr>
        <w:ind w:firstLine="420"/>
        <w:jc w:val="both"/>
        <w:spacing w:after="0" w:line="560" w:lineRule="exact"/>
        <w:widowControl w:val="off"/>
        <w:tabs>
          <w:tab w:val="clear" w:pos="312" w:leader="none"/>
          <w:tab w:val="left" w:pos="900" w:leader="none"/>
        </w:tabs>
        <w:rPr>
          <w:rFonts w:hint="eastAsia" w:ascii="宋体" w:hAnsi="Calibri" w:eastAsia="宋体" w:cs="Times New Roman"/>
          <w:b w:val="0"/>
          <w:bCs/>
          <w:color w:val="auto"/>
          <w:sz w:val="21"/>
          <w:szCs w:val="21"/>
          <w:highlight w:val="none"/>
        </w:rPr>
      </w:pPr>
      <w:r>
        <w:rPr>
          <w:rFonts w:hint="eastAsia" w:ascii="宋体" w:hAnsi="Calibri" w:eastAsia="宋体" w:cs="Times New Roman"/>
          <w:b w:val="0"/>
          <w:bCs/>
          <w:color w:val="auto"/>
          <w:sz w:val="21"/>
          <w:szCs w:val="21"/>
          <w:highlight w:val="none"/>
        </w:rPr>
        <w:t xml:space="preserve">项目清单</w:t>
      </w:r>
      <w:r/>
    </w:p>
    <w:tbl>
      <w:tblPr>
        <w:tblStyle w:val="944"/>
        <w:tblW w:w="88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5236"/>
        <w:gridCol w:w="1300"/>
        <w:gridCol w:w="1381"/>
      </w:tblGrid>
      <w:tr>
        <w:trPr>
          <w:jc w:val="center"/>
        </w:trPr>
        <w:tc>
          <w:tcPr>
            <w:tcW w:w="893" w:type="dxa"/>
            <w:vAlign w:val="center"/>
            <w:textDirection w:val="lrTb"/>
            <w:noWrap w:val="false"/>
          </w:tcPr>
          <w:p>
            <w:pPr>
              <w:jc w:val="center"/>
              <w:spacing w:after="0" w:line="240" w:lineRule="auto"/>
              <w:widowControl w:val="off"/>
              <w:tabs>
                <w:tab w:val="left" w:pos="900" w:leader="none"/>
              </w:tabs>
              <w:rPr>
                <w:rFonts w:ascii="宋体" w:hAnsi="Calibri" w:eastAsia="宋体" w:cs="Times New Roman"/>
                <w:b w:val="0"/>
                <w:bCs/>
                <w:color w:val="auto"/>
                <w:sz w:val="21"/>
                <w:szCs w:val="21"/>
                <w:highlight w:val="none"/>
              </w:rPr>
            </w:pPr>
            <w:r>
              <w:rPr>
                <w:rFonts w:hint="eastAsia" w:ascii="宋体" w:hAnsi="Calibri" w:eastAsia="宋体" w:cs="Times New Roman"/>
                <w:b w:val="0"/>
                <w:bCs/>
                <w:color w:val="auto"/>
                <w:sz w:val="21"/>
                <w:szCs w:val="21"/>
                <w:highlight w:val="none"/>
              </w:rPr>
              <w:t xml:space="preserve">分包号</w:t>
            </w:r>
            <w:r/>
          </w:p>
        </w:tc>
        <w:tc>
          <w:tcPr>
            <w:tcW w:w="5236" w:type="dxa"/>
            <w:vAlign w:val="center"/>
            <w:textDirection w:val="lrTb"/>
            <w:noWrap w:val="false"/>
          </w:tcPr>
          <w:p>
            <w:pPr>
              <w:jc w:val="center"/>
              <w:spacing w:after="0" w:line="240" w:lineRule="auto"/>
              <w:widowControl w:val="off"/>
              <w:tabs>
                <w:tab w:val="left" w:pos="900" w:leader="none"/>
              </w:tabs>
              <w:rPr>
                <w:rFonts w:ascii="宋体" w:hAnsi="Calibri" w:eastAsia="宋体" w:cs="Times New Roman"/>
                <w:b w:val="0"/>
                <w:bCs/>
                <w:color w:val="auto"/>
                <w:sz w:val="21"/>
                <w:szCs w:val="21"/>
                <w:highlight w:val="none"/>
              </w:rPr>
            </w:pPr>
            <w:r>
              <w:rPr>
                <w:rFonts w:hint="eastAsia" w:ascii="宋体" w:eastAsia="宋体" w:cs="Times New Roman"/>
                <w:b w:val="0"/>
                <w:bCs/>
                <w:color w:val="auto"/>
                <w:sz w:val="21"/>
                <w:szCs w:val="21"/>
                <w:highlight w:val="none"/>
                <w:lang w:val="en-US" w:eastAsia="zh-CN"/>
              </w:rPr>
              <w:t xml:space="preserve">培育类型和培训</w:t>
            </w:r>
            <w:r>
              <w:rPr>
                <w:rFonts w:hint="eastAsia" w:ascii="宋体" w:hAnsi="Calibri" w:eastAsia="宋体" w:cs="Times New Roman"/>
                <w:b w:val="0"/>
                <w:bCs/>
                <w:color w:val="auto"/>
                <w:sz w:val="21"/>
                <w:szCs w:val="21"/>
                <w:highlight w:val="none"/>
              </w:rPr>
              <w:t xml:space="preserve">内容简介</w:t>
            </w:r>
            <w:r/>
          </w:p>
        </w:tc>
        <w:tc>
          <w:tcPr>
            <w:tcW w:w="1300" w:type="dxa"/>
            <w:vAlign w:val="center"/>
            <w:textDirection w:val="lrTb"/>
            <w:noWrap w:val="false"/>
          </w:tcPr>
          <w:p>
            <w:pPr>
              <w:jc w:val="center"/>
              <w:spacing w:after="0" w:line="240" w:lineRule="auto"/>
              <w:widowControl w:val="off"/>
              <w:tabs>
                <w:tab w:val="left" w:pos="900" w:leader="none"/>
              </w:tabs>
              <w:rPr>
                <w:rFonts w:hint="eastAsia" w:ascii="宋体" w:hAnsi="Calibri" w:eastAsia="宋体" w:cs="Times New Roman"/>
                <w:b w:val="0"/>
                <w:bCs/>
                <w:color w:val="auto"/>
                <w:sz w:val="21"/>
                <w:szCs w:val="21"/>
                <w:highlight w:val="none"/>
                <w:lang w:val="en-US" w:eastAsia="zh-CN"/>
              </w:rPr>
            </w:pPr>
            <w:r>
              <w:rPr>
                <w:rFonts w:hint="eastAsia" w:ascii="宋体" w:eastAsia="宋体" w:cs="Times New Roman"/>
                <w:b w:val="0"/>
                <w:bCs/>
                <w:color w:val="auto"/>
                <w:sz w:val="21"/>
                <w:szCs w:val="21"/>
                <w:highlight w:val="none"/>
                <w:lang w:val="en-US" w:eastAsia="zh-CN"/>
              </w:rPr>
              <w:t xml:space="preserve">任务数</w:t>
            </w:r>
            <w:r/>
          </w:p>
        </w:tc>
        <w:tc>
          <w:tcPr>
            <w:tcW w:w="1381" w:type="dxa"/>
            <w:vAlign w:val="center"/>
            <w:textDirection w:val="lrTb"/>
            <w:noWrap w:val="false"/>
          </w:tcPr>
          <w:p>
            <w:pPr>
              <w:jc w:val="center"/>
              <w:spacing w:after="0" w:line="240" w:lineRule="auto"/>
              <w:widowControl w:val="off"/>
              <w:tabs>
                <w:tab w:val="left" w:pos="900" w:leader="none"/>
              </w:tabs>
              <w:rPr>
                <w:rFonts w:ascii="宋体" w:hAnsi="Calibri" w:eastAsia="宋体" w:cs="Times New Roman"/>
                <w:b w:val="0"/>
                <w:bCs/>
                <w:color w:val="auto"/>
                <w:sz w:val="21"/>
                <w:szCs w:val="21"/>
                <w:highlight w:val="none"/>
              </w:rPr>
            </w:pPr>
            <w:r>
              <w:rPr>
                <w:rFonts w:hint="eastAsia" w:ascii="宋体" w:hAnsi="Calibri" w:eastAsia="宋体" w:cs="Times New Roman"/>
                <w:b w:val="0"/>
                <w:bCs/>
                <w:color w:val="auto"/>
                <w:sz w:val="21"/>
                <w:szCs w:val="21"/>
                <w:highlight w:val="none"/>
              </w:rPr>
              <w:t xml:space="preserve">预算及其他</w:t>
            </w:r>
            <w:r/>
          </w:p>
        </w:tc>
      </w:tr>
      <w:tr>
        <w:trPr>
          <w:jc w:val="center"/>
        </w:trPr>
        <w:tc>
          <w:tcPr>
            <w:tcW w:w="893" w:type="dxa"/>
            <w:vAlign w:val="center"/>
            <w:textDirection w:val="lrTb"/>
            <w:noWrap w:val="false"/>
          </w:tcPr>
          <w:p>
            <w:pPr>
              <w:jc w:val="center"/>
              <w:spacing w:after="0" w:line="240" w:lineRule="auto"/>
              <w:widowControl w:val="off"/>
              <w:tabs>
                <w:tab w:val="left" w:pos="900" w:leader="none"/>
              </w:tabs>
              <w:rPr>
                <w:rFonts w:hint="eastAsia" w:ascii="宋体" w:eastAsia="宋体" w:cs="Times New Roman"/>
                <w:b w:val="0"/>
                <w:bCs/>
                <w:color w:val="auto"/>
                <w:sz w:val="21"/>
                <w:szCs w:val="21"/>
                <w:highlight w:val="none"/>
                <w:lang w:val="en-US" w:eastAsia="zh-CN"/>
              </w:rPr>
            </w:pPr>
            <w:r>
              <w:rPr>
                <w:rFonts w:hint="eastAsia" w:ascii="宋体" w:eastAsia="宋体" w:cs="Times New Roman"/>
                <w:b w:val="0"/>
                <w:bCs/>
                <w:color w:val="auto"/>
                <w:sz w:val="21"/>
                <w:szCs w:val="21"/>
                <w:highlight w:val="none"/>
                <w:lang w:val="en-US" w:eastAsia="zh-CN"/>
              </w:rPr>
              <w:t xml:space="preserve">采购包1</w:t>
            </w:r>
            <w:r/>
          </w:p>
        </w:tc>
        <w:tc>
          <w:tcPr>
            <w:tcW w:w="5236" w:type="dxa"/>
            <w:vAlign w:val="center"/>
            <w:textDirection w:val="lrTb"/>
            <w:noWrap w:val="false"/>
          </w:tcPr>
          <w:p>
            <w:pPr>
              <w:jc w:val="both"/>
              <w:spacing w:after="0" w:line="240" w:lineRule="auto"/>
              <w:widowControl w:val="off"/>
              <w:tabs>
                <w:tab w:val="left" w:pos="900" w:leader="none"/>
              </w:tabs>
              <w:rPr>
                <w:rFonts w:hint="default"/>
                <w:b w:val="0"/>
                <w:bCs/>
                <w:color w:val="auto"/>
                <w:sz w:val="21"/>
                <w:szCs w:val="21"/>
                <w:highlight w:val="none"/>
                <w:lang w:val="en-US" w:eastAsia="zh-CN"/>
              </w:rPr>
            </w:pPr>
            <w:r>
              <w:rPr>
                <w:rFonts w:hint="eastAsia"/>
                <w:b w:val="0"/>
                <w:bCs/>
                <w:color w:val="auto"/>
                <w:sz w:val="21"/>
                <w:szCs w:val="21"/>
                <w:highlight w:val="none"/>
                <w:lang w:val="en-US" w:eastAsia="zh-CN"/>
              </w:rPr>
              <w:t xml:space="preserve">新农匠</w:t>
            </w:r>
            <w:r/>
          </w:p>
          <w:p>
            <w:pPr>
              <w:jc w:val="both"/>
              <w:spacing w:after="0" w:line="240" w:lineRule="auto"/>
              <w:widowControl w:val="off"/>
              <w:tabs>
                <w:tab w:val="left" w:pos="900" w:leader="none"/>
              </w:tabs>
              <w:rPr>
                <w:rFonts w:hint="eastAsia"/>
                <w:b w:val="0"/>
                <w:bCs/>
                <w:color w:val="auto"/>
                <w:sz w:val="21"/>
                <w:szCs w:val="21"/>
                <w:highlight w:val="none"/>
                <w:lang w:val="en-US" w:eastAsia="zh-CN"/>
              </w:rPr>
            </w:pPr>
            <w:r>
              <w:rPr>
                <w:rFonts w:hint="eastAsia"/>
                <w:b w:val="0"/>
                <w:bCs/>
                <w:color w:val="auto"/>
                <w:sz w:val="21"/>
                <w:szCs w:val="21"/>
                <w:highlight w:val="none"/>
                <w:lang w:val="en-US" w:eastAsia="zh-CN"/>
              </w:rPr>
              <w:t xml:space="preserve">粮油和重要农产品生产经营主体提升工程。围绕粮油生产稳定发展、“菜篮子”产业提质增效，服务科技农业、绿色农业、质量农业、品牌农业统筹发展，促进新品种、新技术、新装备应用，包括粮油作物产能提升培育、重要农产品产能提升培育等，安排专项工程任务100人。根据省级文件要求，在我市开展小麦单产提升专项培训。</w:t>
            </w:r>
            <w:r/>
          </w:p>
        </w:tc>
        <w:tc>
          <w:tcPr>
            <w:tcW w:w="1300" w:type="dxa"/>
            <w:vAlign w:val="center"/>
            <w:textDirection w:val="lrTb"/>
            <w:noWrap w:val="false"/>
          </w:tcPr>
          <w:p>
            <w:pPr>
              <w:jc w:val="center"/>
              <w:spacing w:after="0" w:line="240" w:lineRule="auto"/>
              <w:widowControl w:val="off"/>
              <w:tabs>
                <w:tab w:val="left" w:pos="900" w:leader="none"/>
              </w:tabs>
              <w:rPr>
                <w:rFonts w:hint="default" w:ascii="宋体" w:eastAsia="宋体" w:cs="Times New Roman"/>
                <w:b w:val="0"/>
                <w:bCs/>
                <w:color w:val="auto"/>
                <w:sz w:val="21"/>
                <w:szCs w:val="21"/>
                <w:highlight w:val="none"/>
                <w:lang w:val="en-US" w:eastAsia="zh-CN"/>
              </w:rPr>
            </w:pPr>
            <w:r>
              <w:rPr>
                <w:rFonts w:hint="eastAsia" w:ascii="宋体" w:cs="Times New Roman"/>
                <w:b w:val="0"/>
                <w:bCs/>
                <w:color w:val="auto"/>
                <w:sz w:val="21"/>
                <w:szCs w:val="21"/>
                <w:highlight w:val="none"/>
                <w:lang w:val="en-US" w:eastAsia="zh-CN"/>
              </w:rPr>
              <w:t xml:space="preserve">100人</w:t>
            </w:r>
            <w:r/>
          </w:p>
        </w:tc>
        <w:tc>
          <w:tcPr>
            <w:tcW w:w="1381" w:type="dxa"/>
            <w:vAlign w:val="center"/>
            <w:textDirection w:val="lrTb"/>
            <w:noWrap w:val="false"/>
          </w:tcPr>
          <w:p>
            <w:pPr>
              <w:jc w:val="both"/>
              <w:spacing w:after="0" w:line="240" w:lineRule="auto"/>
              <w:widowControl w:val="off"/>
              <w:tabs>
                <w:tab w:val="left" w:pos="900" w:leader="none"/>
              </w:tabs>
              <w:rPr>
                <w:rFonts w:hint="eastAsia" w:ascii="宋体" w:hAnsi="Calibri" w:eastAsia="宋体" w:cs="Times New Roman"/>
                <w:b w:val="0"/>
                <w:bCs/>
                <w:color w:val="auto"/>
                <w:sz w:val="21"/>
                <w:szCs w:val="21"/>
                <w:highlight w:val="none"/>
              </w:rPr>
            </w:pPr>
            <w:r>
              <w:rPr>
                <w:rFonts w:hint="eastAsia" w:ascii="宋体" w:hAnsi="Calibri" w:eastAsia="宋体" w:cs="Times New Roman"/>
                <w:b w:val="0"/>
                <w:bCs/>
                <w:color w:val="auto"/>
                <w:sz w:val="21"/>
                <w:szCs w:val="21"/>
                <w:highlight w:val="none"/>
              </w:rPr>
              <w:t xml:space="preserve">预算</w:t>
            </w:r>
            <w:r>
              <w:rPr>
                <w:rFonts w:hint="eastAsia" w:ascii="宋体" w:cs="Times New Roman"/>
                <w:b w:val="0"/>
                <w:bCs/>
                <w:color w:val="auto"/>
                <w:sz w:val="21"/>
                <w:szCs w:val="21"/>
                <w:highlight w:val="none"/>
                <w:lang w:val="en-US" w:eastAsia="zh-CN"/>
              </w:rPr>
              <w:t xml:space="preserve">38</w:t>
            </w:r>
            <w:r>
              <w:rPr>
                <w:rFonts w:hint="eastAsia" w:ascii="宋体" w:hAnsi="Calibri" w:eastAsia="宋体" w:cs="Times New Roman"/>
                <w:b w:val="0"/>
                <w:bCs/>
                <w:color w:val="auto"/>
                <w:sz w:val="21"/>
                <w:szCs w:val="21"/>
                <w:highlight w:val="none"/>
              </w:rPr>
              <w:t xml:space="preserve">万元。择优确定1家机构承担实施。</w:t>
            </w:r>
            <w:r/>
          </w:p>
        </w:tc>
      </w:tr>
      <w:tr>
        <w:trPr>
          <w:jc w:val="center"/>
          <w:trHeight w:val="2545"/>
        </w:trPr>
        <w:tc>
          <w:tcPr>
            <w:tcW w:w="893" w:type="dxa"/>
            <w:vAlign w:val="center"/>
            <w:textDirection w:val="lrTb"/>
            <w:noWrap w:val="false"/>
          </w:tcPr>
          <w:p>
            <w:pPr>
              <w:jc w:val="center"/>
              <w:spacing w:after="0" w:line="240" w:lineRule="auto"/>
              <w:widowControl w:val="off"/>
              <w:tabs>
                <w:tab w:val="left" w:pos="900" w:leader="none"/>
              </w:tabs>
              <w:rPr>
                <w:rFonts w:ascii="宋体" w:hAnsi="Calibri" w:eastAsia="宋体" w:cs="Times New Roman"/>
                <w:b w:val="0"/>
                <w:bCs/>
                <w:color w:val="auto"/>
                <w:sz w:val="21"/>
                <w:szCs w:val="21"/>
                <w:highlight w:val="none"/>
                <w:lang w:val="en-US" w:eastAsia="zh-CN"/>
              </w:rPr>
            </w:pPr>
            <w:r>
              <w:rPr>
                <w:rFonts w:hint="eastAsia" w:ascii="宋体" w:eastAsia="宋体" w:cs="Times New Roman"/>
                <w:b w:val="0"/>
                <w:bCs/>
                <w:color w:val="auto"/>
                <w:sz w:val="21"/>
                <w:szCs w:val="21"/>
                <w:highlight w:val="none"/>
                <w:lang w:val="en-US" w:eastAsia="zh-CN"/>
              </w:rPr>
              <w:t xml:space="preserve">采购包2</w:t>
            </w:r>
            <w:r/>
          </w:p>
        </w:tc>
        <w:tc>
          <w:tcPr>
            <w:tcW w:w="5236" w:type="dxa"/>
            <w:vAlign w:val="center"/>
            <w:textDirection w:val="lrTb"/>
            <w:noWrap w:val="false"/>
          </w:tcPr>
          <w:p>
            <w:pPr>
              <w:pStyle w:val="926"/>
              <w:ind w:left="0" w:firstLine="0"/>
              <w:spacing w:line="240" w:lineRule="auto"/>
              <w:rPr>
                <w:rFonts w:hint="default" w:eastAsia="宋体" w:cs="Times New Roman"/>
                <w:b w:val="0"/>
                <w:bCs/>
                <w:color w:val="auto"/>
                <w:sz w:val="21"/>
                <w:szCs w:val="21"/>
                <w:highlight w:val="none"/>
                <w:lang w:val="en-US" w:eastAsia="zh-CN" w:bidi="ar-SA"/>
              </w:rPr>
            </w:pPr>
            <w:r>
              <w:rPr>
                <w:rFonts w:hint="eastAsia" w:ascii="Calibri" w:hAnsi="Calibri" w:eastAsia="宋体" w:cs="Times New Roman"/>
                <w:b w:val="0"/>
                <w:bCs/>
                <w:color w:val="auto"/>
                <w:sz w:val="21"/>
                <w:szCs w:val="21"/>
                <w:highlight w:val="none"/>
                <w:lang w:val="en-US" w:eastAsia="zh-CN" w:bidi="ar-SA"/>
              </w:rPr>
              <w:t xml:space="preserve">新农</w:t>
            </w:r>
            <w:r>
              <w:rPr>
                <w:rFonts w:hint="eastAsia" w:eastAsia="宋体" w:cs="Times New Roman"/>
                <w:b w:val="0"/>
                <w:bCs/>
                <w:color w:val="auto"/>
                <w:sz w:val="21"/>
                <w:szCs w:val="21"/>
                <w:highlight w:val="none"/>
                <w:lang w:val="en-US" w:eastAsia="zh-CN" w:bidi="ar-SA"/>
              </w:rPr>
              <w:t xml:space="preserve">创</w:t>
            </w:r>
            <w:r>
              <w:rPr>
                <w:rFonts w:hint="eastAsia" w:cs="Times New Roman"/>
                <w:b w:val="0"/>
                <w:bCs/>
                <w:color w:val="auto"/>
                <w:sz w:val="21"/>
                <w:szCs w:val="21"/>
                <w:highlight w:val="none"/>
                <w:lang w:val="en-US" w:eastAsia="zh-CN" w:bidi="ar-SA"/>
              </w:rPr>
              <w:t xml:space="preserve">  新农商</w:t>
            </w:r>
            <w:r/>
          </w:p>
          <w:p>
            <w:pPr>
              <w:rPr>
                <w:rFonts w:hint="eastAsia" w:ascii="Calibri" w:hAnsi="Calibri" w:eastAsia="宋体" w:cs="Times New Roman"/>
                <w:b w:val="0"/>
                <w:bCs/>
                <w:color w:val="auto"/>
                <w:sz w:val="21"/>
                <w:szCs w:val="21"/>
                <w:highlight w:val="none"/>
                <w:lang w:val="en-US" w:eastAsia="zh-CN" w:bidi="ar-SA"/>
              </w:rPr>
            </w:pPr>
            <w:r>
              <w:rPr>
                <w:rFonts w:hint="eastAsia" w:ascii="Calibri" w:hAnsi="Calibri" w:eastAsia="宋体" w:cs="Times New Roman"/>
                <w:b w:val="0"/>
                <w:bCs/>
                <w:color w:val="auto"/>
                <w:sz w:val="21"/>
                <w:szCs w:val="21"/>
                <w:highlight w:val="none"/>
                <w:lang w:val="en-US" w:eastAsia="zh-CN" w:bidi="ar-SA"/>
              </w:rPr>
              <w:t xml:space="preserve">乡村新产业新业态带头人培育工程。围绕农村一二三产业融合发展、农业多种功能开发方面人才需求，突出“农业+”科技教育、休闲旅游、人工智能、生态康养、传统技艺等新产业新业态方向。支持返乡大学生、农民工、退役军人等参加培训，包括农产品经纪人和农产品电商直播带头人培育、农村青年带头人及农村创业群体培育等，安排专项工程任务150人。</w:t>
            </w:r>
            <w:r/>
          </w:p>
        </w:tc>
        <w:tc>
          <w:tcPr>
            <w:tcW w:w="1300" w:type="dxa"/>
            <w:vAlign w:val="center"/>
            <w:textDirection w:val="lrTb"/>
            <w:noWrap w:val="false"/>
          </w:tcPr>
          <w:p>
            <w:pPr>
              <w:jc w:val="left"/>
              <w:spacing w:after="0" w:line="240" w:lineRule="auto"/>
              <w:widowControl w:val="off"/>
              <w:tabs>
                <w:tab w:val="left" w:pos="900" w:leader="none"/>
              </w:tabs>
              <w:rPr>
                <w:rFonts w:hint="eastAsia" w:cs="Times New Roman"/>
                <w:b w:val="0"/>
                <w:bCs/>
                <w:color w:val="auto"/>
                <w:sz w:val="21"/>
                <w:szCs w:val="21"/>
                <w:highlight w:val="none"/>
                <w:lang w:val="en-US" w:eastAsia="zh-CN" w:bidi="ar-SA"/>
              </w:rPr>
            </w:pPr>
            <w:r>
              <w:rPr>
                <w:rFonts w:hint="eastAsia" w:ascii="Calibri" w:hAnsi="Calibri" w:eastAsia="宋体" w:cs="Times New Roman"/>
                <w:b w:val="0"/>
                <w:bCs/>
                <w:color w:val="auto"/>
                <w:sz w:val="21"/>
                <w:szCs w:val="21"/>
                <w:highlight w:val="none"/>
                <w:lang w:val="en-US" w:eastAsia="zh-CN" w:bidi="ar-SA"/>
              </w:rPr>
              <w:t xml:space="preserve">新农</w:t>
            </w:r>
            <w:r>
              <w:rPr>
                <w:rFonts w:hint="eastAsia" w:eastAsia="宋体" w:cs="Times New Roman"/>
                <w:b w:val="0"/>
                <w:bCs/>
                <w:color w:val="auto"/>
                <w:sz w:val="21"/>
                <w:szCs w:val="21"/>
                <w:highlight w:val="none"/>
                <w:lang w:val="en-US" w:eastAsia="zh-CN" w:bidi="ar-SA"/>
              </w:rPr>
              <w:t xml:space="preserve">创</w:t>
            </w:r>
            <w:r>
              <w:rPr>
                <w:rFonts w:hint="eastAsia" w:cs="Times New Roman"/>
                <w:b w:val="0"/>
                <w:bCs/>
                <w:color w:val="auto"/>
                <w:sz w:val="21"/>
                <w:szCs w:val="21"/>
                <w:highlight w:val="none"/>
                <w:lang w:val="en-US" w:eastAsia="zh-CN" w:bidi="ar-SA"/>
              </w:rPr>
              <w:t xml:space="preserve">50人  </w:t>
            </w:r>
            <w:r/>
          </w:p>
          <w:p>
            <w:pPr>
              <w:jc w:val="left"/>
              <w:spacing w:after="0" w:line="240" w:lineRule="auto"/>
              <w:widowControl w:val="off"/>
              <w:tabs>
                <w:tab w:val="left" w:pos="900" w:leader="none"/>
              </w:tabs>
              <w:rPr>
                <w:rFonts w:hint="default" w:ascii="宋体" w:hAnsi="Calibri" w:eastAsia="宋体" w:cs="Times New Roman"/>
                <w:b w:val="0"/>
                <w:bCs/>
                <w:color w:val="auto"/>
                <w:sz w:val="21"/>
                <w:szCs w:val="21"/>
                <w:highlight w:val="none"/>
                <w:lang w:val="en-US" w:eastAsia="zh-CN"/>
              </w:rPr>
            </w:pPr>
            <w:r>
              <w:rPr>
                <w:rFonts w:hint="eastAsia" w:cs="Times New Roman"/>
                <w:b w:val="0"/>
                <w:bCs/>
                <w:color w:val="auto"/>
                <w:sz w:val="21"/>
                <w:szCs w:val="21"/>
                <w:highlight w:val="none"/>
                <w:lang w:val="en-US" w:eastAsia="zh-CN" w:bidi="ar-SA"/>
              </w:rPr>
              <w:t xml:space="preserve">新农商100人</w:t>
            </w:r>
            <w:r/>
          </w:p>
        </w:tc>
        <w:tc>
          <w:tcPr>
            <w:tcW w:w="1381" w:type="dxa"/>
            <w:vAlign w:val="center"/>
            <w:textDirection w:val="lrTb"/>
            <w:noWrap w:val="false"/>
          </w:tcPr>
          <w:p>
            <w:pPr>
              <w:jc w:val="center"/>
              <w:spacing w:after="0" w:line="240" w:lineRule="auto"/>
              <w:widowControl w:val="off"/>
              <w:tabs>
                <w:tab w:val="left" w:pos="900" w:leader="none"/>
              </w:tabs>
              <w:rPr>
                <w:rFonts w:ascii="宋体" w:hAnsi="Calibri" w:eastAsia="宋体" w:cs="Times New Roman"/>
                <w:b w:val="0"/>
                <w:bCs/>
                <w:color w:val="auto"/>
                <w:sz w:val="21"/>
                <w:szCs w:val="21"/>
                <w:highlight w:val="none"/>
              </w:rPr>
            </w:pPr>
            <w:r>
              <w:rPr>
                <w:rFonts w:hint="eastAsia" w:ascii="宋体" w:hAnsi="Calibri" w:eastAsia="宋体" w:cs="Times New Roman"/>
                <w:b w:val="0"/>
                <w:bCs/>
                <w:color w:val="auto"/>
                <w:sz w:val="21"/>
                <w:szCs w:val="21"/>
                <w:highlight w:val="none"/>
              </w:rPr>
              <w:t xml:space="preserve">预算</w:t>
            </w:r>
            <w:r>
              <w:rPr>
                <w:rFonts w:hint="eastAsia" w:ascii="宋体" w:cs="Times New Roman"/>
                <w:b w:val="0"/>
                <w:bCs/>
                <w:color w:val="auto"/>
                <w:sz w:val="21"/>
                <w:szCs w:val="21"/>
                <w:highlight w:val="none"/>
                <w:lang w:val="en-US" w:eastAsia="zh-CN"/>
              </w:rPr>
              <w:t xml:space="preserve">57</w:t>
            </w:r>
            <w:r>
              <w:rPr>
                <w:rFonts w:hint="eastAsia" w:ascii="宋体" w:hAnsi="Calibri" w:eastAsia="宋体" w:cs="Times New Roman"/>
                <w:b w:val="0"/>
                <w:bCs/>
                <w:color w:val="auto"/>
                <w:sz w:val="21"/>
                <w:szCs w:val="21"/>
                <w:highlight w:val="none"/>
              </w:rPr>
              <w:t xml:space="preserve">万元。择优确定1家机构承担实施。</w:t>
            </w:r>
            <w:r/>
          </w:p>
        </w:tc>
      </w:tr>
      <w:tr>
        <w:trPr>
          <w:jc w:val="center"/>
          <w:trHeight w:val="2383"/>
        </w:trPr>
        <w:tc>
          <w:tcPr>
            <w:tcW w:w="893" w:type="dxa"/>
            <w:vAlign w:val="center"/>
            <w:textDirection w:val="lrTb"/>
            <w:noWrap w:val="false"/>
          </w:tcPr>
          <w:p>
            <w:pPr>
              <w:jc w:val="center"/>
              <w:spacing w:after="0" w:line="240" w:lineRule="auto"/>
              <w:widowControl w:val="off"/>
              <w:tabs>
                <w:tab w:val="left" w:pos="900" w:leader="none"/>
              </w:tabs>
              <w:rPr>
                <w:rFonts w:ascii="宋体" w:hAnsi="Calibri" w:eastAsia="宋体" w:cs="Times New Roman"/>
                <w:b w:val="0"/>
                <w:bCs/>
                <w:color w:val="auto"/>
                <w:sz w:val="21"/>
                <w:szCs w:val="21"/>
                <w:highlight w:val="none"/>
                <w:lang w:val="en-US" w:eastAsia="zh-CN"/>
              </w:rPr>
            </w:pPr>
            <w:r>
              <w:rPr>
                <w:rFonts w:hint="eastAsia" w:ascii="宋体" w:eastAsia="宋体" w:cs="Times New Roman"/>
                <w:b w:val="0"/>
                <w:bCs/>
                <w:color w:val="auto"/>
                <w:sz w:val="21"/>
                <w:szCs w:val="21"/>
                <w:highlight w:val="none"/>
                <w:lang w:val="en-US" w:eastAsia="zh-CN"/>
              </w:rPr>
              <w:t xml:space="preserve">采购包3</w:t>
            </w:r>
            <w:r/>
          </w:p>
        </w:tc>
        <w:tc>
          <w:tcPr>
            <w:tcW w:w="5236" w:type="dxa"/>
            <w:vAlign w:val="center"/>
            <w:textDirection w:val="lrTb"/>
            <w:noWrap w:val="false"/>
          </w:tcPr>
          <w:p>
            <w:pPr>
              <w:jc w:val="both"/>
              <w:spacing w:after="0" w:line="240" w:lineRule="auto"/>
              <w:widowControl w:val="off"/>
              <w:tabs>
                <w:tab w:val="left" w:pos="900" w:leader="none"/>
              </w:tabs>
              <w:rPr>
                <w:rFonts w:hint="eastAsia" w:ascii="宋体" w:eastAsia="宋体" w:cs="Times New Roman"/>
                <w:b w:val="0"/>
                <w:bCs/>
                <w:color w:val="auto"/>
                <w:sz w:val="21"/>
                <w:szCs w:val="21"/>
                <w:highlight w:val="none"/>
                <w:lang w:val="en-US" w:eastAsia="zh-CN"/>
              </w:rPr>
            </w:pPr>
            <w:r>
              <w:rPr>
                <w:rFonts w:hint="eastAsia" w:ascii="宋体" w:eastAsia="宋体" w:cs="Times New Roman"/>
                <w:b w:val="0"/>
                <w:bCs/>
                <w:color w:val="auto"/>
                <w:sz w:val="21"/>
                <w:szCs w:val="21"/>
                <w:highlight w:val="none"/>
                <w:lang w:val="en-US" w:eastAsia="zh-CN"/>
              </w:rPr>
              <w:t xml:space="preserve">新农服</w:t>
            </w:r>
            <w:r/>
          </w:p>
          <w:p>
            <w:pPr>
              <w:jc w:val="both"/>
              <w:spacing w:after="0" w:line="240" w:lineRule="auto"/>
              <w:widowControl w:val="off"/>
              <w:tabs>
                <w:tab w:val="left" w:pos="900" w:leader="none"/>
              </w:tabs>
              <w:rPr>
                <w:rFonts w:ascii="宋体" w:hAnsi="Calibri" w:eastAsia="宋体" w:cs="Times New Roman"/>
                <w:b w:val="0"/>
                <w:bCs/>
                <w:color w:val="auto"/>
                <w:sz w:val="21"/>
                <w:szCs w:val="21"/>
                <w:highlight w:val="none"/>
              </w:rPr>
            </w:pPr>
            <w:r>
              <w:rPr>
                <w:rFonts w:hint="eastAsia" w:ascii="宋体" w:eastAsia="宋体" w:cs="Times New Roman"/>
                <w:b w:val="0"/>
                <w:bCs/>
                <w:color w:val="auto"/>
                <w:sz w:val="21"/>
                <w:szCs w:val="21"/>
                <w:highlight w:val="none"/>
                <w:lang w:val="en-US" w:eastAsia="zh-CN"/>
              </w:rPr>
              <w:t xml:space="preserve">文明乡风建设素质素养提升工程。推进“习近平新时代中国特色社会主义思想”相关课程覆盖所有培训班。强化社会主义核心价值观、移风易俗、法治素养、科学技术、健康生活等领域知识进课堂。聚焦农耕文化保护传承、乡村文艺创作、乡村文化传播和乡村建设治理等内容，包括农耕文化传承人培育、农村集体经济组织带头人培育，安排专项工程任务100人</w:t>
            </w:r>
            <w:r>
              <w:rPr>
                <w:rFonts w:hint="eastAsia" w:ascii="宋体" w:cs="Times New Roman"/>
                <w:b w:val="0"/>
                <w:bCs/>
                <w:color w:val="auto"/>
                <w:sz w:val="21"/>
                <w:szCs w:val="21"/>
                <w:highlight w:val="none"/>
                <w:lang w:val="en-US" w:eastAsia="zh-CN"/>
              </w:rPr>
              <w:t xml:space="preserve">。</w:t>
            </w:r>
            <w:r/>
          </w:p>
        </w:tc>
        <w:tc>
          <w:tcPr>
            <w:tcW w:w="1300" w:type="dxa"/>
            <w:vAlign w:val="center"/>
            <w:textDirection w:val="lrTb"/>
            <w:noWrap w:val="false"/>
          </w:tcPr>
          <w:p>
            <w:pPr>
              <w:jc w:val="left"/>
              <w:spacing w:after="0" w:line="240" w:lineRule="auto"/>
              <w:widowControl w:val="off"/>
              <w:tabs>
                <w:tab w:val="left" w:pos="900" w:leader="none"/>
              </w:tabs>
              <w:rPr>
                <w:rFonts w:hint="default"/>
                <w:color w:val="auto"/>
                <w:highlight w:val="none"/>
                <w:lang w:val="en-US" w:eastAsia="zh-CN"/>
              </w:rPr>
            </w:pPr>
            <w:r>
              <w:rPr>
                <w:rFonts w:hint="eastAsia"/>
                <w:color w:val="auto"/>
                <w:highlight w:val="none"/>
                <w:lang w:val="en-US" w:eastAsia="zh-CN"/>
              </w:rPr>
              <w:t xml:space="preserve">100人</w:t>
            </w:r>
            <w:r/>
          </w:p>
        </w:tc>
        <w:tc>
          <w:tcPr>
            <w:tcW w:w="1381" w:type="dxa"/>
            <w:vAlign w:val="center"/>
            <w:textDirection w:val="lrTb"/>
            <w:noWrap w:val="false"/>
          </w:tcPr>
          <w:p>
            <w:pPr>
              <w:jc w:val="both"/>
              <w:spacing w:after="0" w:line="240" w:lineRule="auto"/>
              <w:widowControl w:val="off"/>
              <w:tabs>
                <w:tab w:val="left" w:pos="900" w:leader="none"/>
              </w:tabs>
              <w:rPr>
                <w:rFonts w:ascii="宋体" w:hAnsi="Calibri" w:eastAsia="宋体" w:cs="Times New Roman"/>
                <w:b w:val="0"/>
                <w:bCs/>
                <w:color w:val="auto"/>
                <w:sz w:val="21"/>
                <w:szCs w:val="21"/>
                <w:highlight w:val="none"/>
              </w:rPr>
            </w:pPr>
            <w:r>
              <w:rPr>
                <w:rFonts w:hint="eastAsia" w:ascii="宋体" w:hAnsi="Calibri" w:eastAsia="宋体" w:cs="Times New Roman"/>
                <w:b w:val="0"/>
                <w:bCs/>
                <w:color w:val="auto"/>
                <w:sz w:val="21"/>
                <w:szCs w:val="21"/>
                <w:highlight w:val="none"/>
              </w:rPr>
              <w:t xml:space="preserve">预算</w:t>
            </w:r>
            <w:r>
              <w:rPr>
                <w:rFonts w:hint="eastAsia" w:ascii="宋体" w:cs="Times New Roman"/>
                <w:b w:val="0"/>
                <w:bCs/>
                <w:color w:val="auto"/>
                <w:sz w:val="21"/>
                <w:szCs w:val="21"/>
                <w:highlight w:val="none"/>
                <w:lang w:val="en-US" w:eastAsia="zh-CN"/>
              </w:rPr>
              <w:t xml:space="preserve">38</w:t>
            </w:r>
            <w:r>
              <w:rPr>
                <w:rFonts w:hint="eastAsia" w:ascii="宋体" w:hAnsi="Calibri" w:eastAsia="宋体" w:cs="Times New Roman"/>
                <w:b w:val="0"/>
                <w:bCs/>
                <w:color w:val="auto"/>
                <w:sz w:val="21"/>
                <w:szCs w:val="21"/>
                <w:highlight w:val="none"/>
              </w:rPr>
              <w:t xml:space="preserve">万元。择优确定1家机构承担实施。</w:t>
            </w:r>
            <w:r/>
          </w:p>
        </w:tc>
      </w:tr>
      <w:tr>
        <w:trPr>
          <w:jc w:val="center"/>
          <w:trHeight w:val="1681"/>
        </w:trPr>
        <w:tc>
          <w:tcPr>
            <w:tcW w:w="893" w:type="dxa"/>
            <w:vAlign w:val="center"/>
            <w:textDirection w:val="lrTb"/>
            <w:noWrap w:val="false"/>
          </w:tcPr>
          <w:p>
            <w:pPr>
              <w:jc w:val="center"/>
              <w:spacing w:after="0" w:line="240" w:lineRule="auto"/>
              <w:widowControl w:val="off"/>
              <w:tabs>
                <w:tab w:val="left" w:pos="900" w:leader="none"/>
              </w:tabs>
              <w:rPr>
                <w:rFonts w:ascii="宋体" w:hAnsi="Calibri" w:eastAsia="宋体" w:cs="Times New Roman"/>
                <w:b w:val="0"/>
                <w:bCs/>
                <w:color w:val="auto"/>
                <w:sz w:val="21"/>
                <w:szCs w:val="21"/>
                <w:highlight w:val="none"/>
                <w:lang w:val="en-US" w:eastAsia="zh-CN"/>
              </w:rPr>
            </w:pPr>
            <w:r>
              <w:rPr>
                <w:rFonts w:hint="eastAsia" w:ascii="宋体" w:eastAsia="宋体" w:cs="Times New Roman"/>
                <w:b w:val="0"/>
                <w:bCs/>
                <w:color w:val="auto"/>
                <w:sz w:val="21"/>
                <w:szCs w:val="21"/>
                <w:highlight w:val="none"/>
                <w:lang w:val="en-US" w:eastAsia="zh-CN"/>
              </w:rPr>
              <w:t xml:space="preserve">采购包4</w:t>
            </w:r>
            <w:r/>
          </w:p>
        </w:tc>
        <w:tc>
          <w:tcPr>
            <w:tcW w:w="5236" w:type="dxa"/>
            <w:vAlign w:val="center"/>
            <w:textDirection w:val="lrTb"/>
            <w:noWrap w:val="false"/>
          </w:tcPr>
          <w:p>
            <w:pPr>
              <w:jc w:val="both"/>
              <w:spacing w:after="0" w:line="240" w:lineRule="auto"/>
              <w:widowControl w:val="off"/>
              <w:tabs>
                <w:tab w:val="left" w:pos="900" w:leader="none"/>
              </w:tabs>
              <w:rPr>
                <w:rFonts w:hint="eastAsia" w:ascii="宋体" w:cs="Times New Roman"/>
                <w:b w:val="0"/>
                <w:bCs/>
                <w:color w:val="auto"/>
                <w:sz w:val="21"/>
                <w:szCs w:val="21"/>
                <w:highlight w:val="none"/>
                <w:lang w:val="en-US" w:eastAsia="zh-CN"/>
              </w:rPr>
            </w:pPr>
            <w:r>
              <w:rPr>
                <w:rFonts w:hint="eastAsia" w:ascii="宋体" w:cs="Times New Roman"/>
                <w:b w:val="0"/>
                <w:bCs/>
                <w:color w:val="auto"/>
                <w:sz w:val="21"/>
                <w:szCs w:val="21"/>
                <w:highlight w:val="none"/>
                <w:lang w:val="en-US" w:eastAsia="zh-CN"/>
              </w:rPr>
              <w:t xml:space="preserve">农机手技能提升</w:t>
            </w:r>
            <w:r>
              <w:rPr>
                <w:rFonts w:hint="eastAsia" w:ascii="宋体" w:eastAsia="宋体" w:cs="Times New Roman"/>
                <w:b w:val="0"/>
                <w:bCs/>
                <w:color w:val="auto"/>
                <w:sz w:val="21"/>
                <w:szCs w:val="21"/>
                <w:highlight w:val="none"/>
                <w:lang w:val="en-US" w:eastAsia="zh-CN"/>
              </w:rPr>
              <w:t xml:space="preserve">专题</w:t>
            </w:r>
            <w:r>
              <w:rPr>
                <w:rFonts w:hint="eastAsia" w:ascii="宋体" w:cs="Times New Roman"/>
                <w:b w:val="0"/>
                <w:bCs/>
                <w:color w:val="auto"/>
                <w:sz w:val="21"/>
                <w:szCs w:val="21"/>
                <w:highlight w:val="none"/>
                <w:lang w:val="en-US" w:eastAsia="zh-CN"/>
              </w:rPr>
              <w:t xml:space="preserve">班</w:t>
            </w:r>
            <w:r/>
          </w:p>
          <w:p>
            <w:pPr>
              <w:jc w:val="both"/>
              <w:spacing w:after="0" w:line="240" w:lineRule="auto"/>
              <w:widowControl w:val="off"/>
              <w:tabs>
                <w:tab w:val="left" w:pos="900" w:leader="none"/>
              </w:tabs>
              <w:rPr>
                <w:rFonts w:hint="eastAsia" w:ascii="宋体" w:eastAsia="宋体" w:cs="Times New Roman"/>
                <w:b w:val="0"/>
                <w:bCs/>
                <w:color w:val="auto"/>
                <w:sz w:val="21"/>
                <w:szCs w:val="21"/>
                <w:highlight w:val="none"/>
                <w:lang w:val="en-US" w:eastAsia="zh-CN"/>
              </w:rPr>
            </w:pPr>
            <w:r>
              <w:rPr>
                <w:rFonts w:hint="eastAsia" w:ascii="宋体" w:eastAsia="宋体" w:cs="Times New Roman"/>
                <w:b w:val="0"/>
                <w:bCs/>
                <w:color w:val="auto"/>
                <w:sz w:val="21"/>
                <w:szCs w:val="21"/>
                <w:highlight w:val="none"/>
                <w:lang w:val="en-US" w:eastAsia="zh-CN"/>
              </w:rPr>
              <w:t xml:space="preserve">开展粮油作物高质量机播、高效飞防植保、机收减损、农机抗灾救灾、农机安全生产、农机保养维修等内容培训。围绕无人机植保飞防、低空经济政策法规与安全管理等培训，普及农用无人机操作规范、农药安全喷施、应急处置等知识</w:t>
            </w:r>
            <w:r>
              <w:rPr>
                <w:rFonts w:hint="eastAsia" w:ascii="宋体" w:cs="Times New Roman"/>
                <w:b w:val="0"/>
                <w:bCs/>
                <w:color w:val="auto"/>
                <w:sz w:val="21"/>
                <w:szCs w:val="21"/>
                <w:highlight w:val="none"/>
                <w:lang w:val="en-US" w:eastAsia="zh-CN"/>
              </w:rPr>
              <w:t xml:space="preserve">培训。安排专题任务40人。</w:t>
            </w:r>
            <w:r/>
          </w:p>
        </w:tc>
        <w:tc>
          <w:tcPr>
            <w:tcW w:w="1300" w:type="dxa"/>
            <w:vAlign w:val="center"/>
            <w:textDirection w:val="lrTb"/>
            <w:noWrap w:val="false"/>
          </w:tcPr>
          <w:p>
            <w:pPr>
              <w:jc w:val="left"/>
              <w:spacing w:after="0" w:line="240" w:lineRule="auto"/>
              <w:widowControl w:val="off"/>
              <w:tabs>
                <w:tab w:val="left" w:pos="900" w:leader="none"/>
              </w:tabs>
              <w:rPr>
                <w:rFonts w:hint="default"/>
                <w:color w:val="auto"/>
                <w:highlight w:val="none"/>
                <w:lang w:val="en-US" w:eastAsia="zh-CN"/>
              </w:rPr>
            </w:pPr>
            <w:r>
              <w:rPr>
                <w:rFonts w:hint="eastAsia"/>
                <w:color w:val="auto"/>
                <w:highlight w:val="none"/>
                <w:lang w:val="en-US" w:eastAsia="zh-CN"/>
              </w:rPr>
              <w:t xml:space="preserve">40人</w:t>
            </w:r>
            <w:r/>
          </w:p>
        </w:tc>
        <w:tc>
          <w:tcPr>
            <w:tcW w:w="1381" w:type="dxa"/>
            <w:vAlign w:val="center"/>
            <w:textDirection w:val="lrTb"/>
            <w:noWrap w:val="false"/>
          </w:tcPr>
          <w:p>
            <w:pPr>
              <w:jc w:val="both"/>
              <w:spacing w:after="0" w:line="240" w:lineRule="auto"/>
              <w:widowControl w:val="off"/>
              <w:tabs>
                <w:tab w:val="left" w:pos="900" w:leader="none"/>
              </w:tabs>
              <w:rPr>
                <w:rFonts w:hint="eastAsia" w:ascii="宋体" w:hAnsi="Calibri" w:eastAsia="宋体" w:cs="Times New Roman"/>
                <w:b w:val="0"/>
                <w:bCs/>
                <w:color w:val="auto"/>
                <w:sz w:val="21"/>
                <w:szCs w:val="21"/>
                <w:highlight w:val="none"/>
              </w:rPr>
            </w:pPr>
            <w:r>
              <w:rPr>
                <w:rFonts w:hint="eastAsia" w:ascii="宋体" w:hAnsi="Calibri" w:eastAsia="宋体" w:cs="Times New Roman"/>
                <w:b w:val="0"/>
                <w:bCs/>
                <w:color w:val="auto"/>
                <w:sz w:val="21"/>
                <w:szCs w:val="21"/>
                <w:highlight w:val="none"/>
              </w:rPr>
              <w:t xml:space="preserve">预算</w:t>
            </w:r>
            <w:r>
              <w:rPr>
                <w:rFonts w:hint="eastAsia" w:ascii="宋体" w:cs="Times New Roman"/>
                <w:b w:val="0"/>
                <w:bCs/>
                <w:color w:val="auto"/>
                <w:sz w:val="21"/>
                <w:szCs w:val="21"/>
                <w:highlight w:val="none"/>
                <w:lang w:val="en-US" w:eastAsia="zh-CN"/>
              </w:rPr>
              <w:t xml:space="preserve">24</w:t>
            </w:r>
            <w:r>
              <w:rPr>
                <w:rFonts w:hint="eastAsia" w:ascii="宋体" w:hAnsi="Calibri" w:eastAsia="宋体" w:cs="Times New Roman"/>
                <w:b w:val="0"/>
                <w:bCs/>
                <w:color w:val="auto"/>
                <w:sz w:val="21"/>
                <w:szCs w:val="21"/>
                <w:highlight w:val="none"/>
              </w:rPr>
              <w:t xml:space="preserve">万元。择优确定1家机构承担实施。</w:t>
            </w:r>
            <w:r/>
          </w:p>
        </w:tc>
      </w:tr>
    </w:tbl>
    <w:p>
      <w:pPr>
        <w:numPr>
          <w:ilvl w:val="0"/>
          <w:numId w:val="0"/>
        </w:numPr>
        <w:jc w:val="both"/>
        <w:spacing w:after="0" w:line="560" w:lineRule="exact"/>
        <w:widowControl w:val="off"/>
        <w:tabs>
          <w:tab w:val="left" w:pos="900" w:leader="none"/>
        </w:tabs>
        <w:rPr>
          <w:rFonts w:hint="eastAsia" w:ascii="宋体" w:hAnsi="Calibri" w:eastAsia="宋体" w:cs="Times New Roman"/>
          <w:b w:val="0"/>
          <w:bCs/>
          <w:color w:val="auto"/>
          <w:sz w:val="21"/>
          <w:szCs w:val="21"/>
          <w:highlight w:val="none"/>
        </w:rPr>
      </w:pPr>
      <w:r>
        <w:rPr>
          <w:rFonts w:hint="eastAsia" w:ascii="宋体" w:hAnsi="Calibri" w:eastAsia="宋体" w:cs="Times New Roman"/>
          <w:b w:val="0"/>
          <w:bCs/>
          <w:color w:val="auto"/>
          <w:sz w:val="21"/>
          <w:szCs w:val="21"/>
          <w:highlight w:val="none"/>
        </w:rPr>
      </w:r>
      <w:r/>
    </w:p>
    <w:p>
      <w:pPr>
        <w:ind w:firstLine="422"/>
        <w:jc w:val="both"/>
        <w:spacing w:after="0" w:line="360" w:lineRule="auto"/>
        <w:widowControl w:val="off"/>
        <w:rPr>
          <w:rFonts w:ascii="宋体" w:hAnsi="宋体" w:eastAsia="宋体" w:cs="宋体"/>
          <w:b/>
          <w:bCs/>
          <w:color w:val="auto"/>
          <w:sz w:val="21"/>
          <w:szCs w:val="21"/>
          <w:highlight w:val="none"/>
          <w:lang w:val="en-US" w:eastAsia="zh-CN"/>
        </w:rPr>
      </w:pPr>
      <w:r>
        <w:rPr>
          <w:rFonts w:hint="eastAsia" w:ascii="宋体" w:hAnsi="宋体" w:eastAsia="宋体" w:cs="宋体"/>
          <w:b/>
          <w:color w:val="auto"/>
          <w:sz w:val="21"/>
          <w:szCs w:val="21"/>
          <w:highlight w:val="none"/>
        </w:rPr>
        <w:t xml:space="preserve">二、</w:t>
      </w:r>
      <w:r>
        <w:rPr>
          <w:rFonts w:hint="eastAsia" w:ascii="宋体" w:hAnsi="宋体" w:eastAsia="宋体" w:cs="宋体"/>
          <w:b/>
          <w:color w:val="auto"/>
          <w:sz w:val="21"/>
          <w:szCs w:val="21"/>
          <w:highlight w:val="none"/>
          <w:lang w:val="en-US" w:eastAsia="zh-CN"/>
        </w:rPr>
        <w:t xml:space="preserve">服务要求</w:t>
      </w:r>
      <w:r/>
    </w:p>
    <w:p>
      <w:pPr>
        <w:ind w:firstLine="480"/>
        <w:jc w:val="both"/>
        <w:spacing w:after="0" w:line="360" w:lineRule="auto"/>
        <w:widowControl w:val="off"/>
        <w:rPr>
          <w:rFonts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rPr>
        <w:t xml:space="preserve">1.</w:t>
      </w:r>
      <w:r>
        <w:rPr>
          <w:rFonts w:hint="eastAsia" w:ascii="宋体" w:hAnsi="宋体" w:eastAsia="宋体" w:cs="Times New Roman"/>
          <w:bCs/>
          <w:color w:val="auto"/>
          <w:sz w:val="21"/>
          <w:szCs w:val="21"/>
          <w:highlight w:val="none"/>
          <w:lang w:val="en-US" w:eastAsia="zh-CN"/>
        </w:rPr>
        <w:t xml:space="preserve">建立培训对象数据库</w:t>
      </w:r>
      <w:r/>
    </w:p>
    <w:p>
      <w:pPr>
        <w:ind w:firstLine="480"/>
        <w:jc w:val="both"/>
        <w:spacing w:after="0" w:line="360" w:lineRule="auto"/>
        <w:widowControl w:val="off"/>
        <w:rPr>
          <w:rFonts w:ascii="宋体" w:hAnsi="宋体" w:eastAsia="宋体" w:cs="宋体"/>
          <w:bCs/>
          <w:color w:val="auto"/>
          <w:sz w:val="21"/>
          <w:szCs w:val="21"/>
          <w:highlight w:val="none"/>
        </w:rPr>
      </w:pPr>
      <w:r>
        <w:rPr>
          <w:rFonts w:hint="eastAsia" w:ascii="宋体" w:hAnsi="宋体" w:eastAsia="宋体" w:cs="Times New Roman"/>
          <w:bCs/>
          <w:color w:val="auto"/>
          <w:sz w:val="21"/>
          <w:szCs w:val="21"/>
          <w:highlight w:val="none"/>
        </w:rPr>
        <w:t xml:space="preserve">在采购人规定的时间内，</w:t>
      </w:r>
      <w:r>
        <w:rPr>
          <w:rFonts w:hint="eastAsia" w:ascii="宋体" w:hAnsi="宋体" w:cs="Times New Roman"/>
          <w:bCs/>
          <w:color w:val="auto"/>
          <w:sz w:val="21"/>
          <w:szCs w:val="21"/>
          <w:highlight w:val="none"/>
          <w:lang w:val="en-US" w:eastAsia="zh-CN"/>
        </w:rPr>
        <w:t xml:space="preserve">中标人</w:t>
      </w:r>
      <w:r>
        <w:rPr>
          <w:rFonts w:hint="eastAsia" w:ascii="宋体" w:hAnsi="宋体" w:eastAsia="宋体" w:cs="Times New Roman"/>
          <w:bCs/>
          <w:color w:val="auto"/>
          <w:sz w:val="21"/>
          <w:szCs w:val="21"/>
          <w:highlight w:val="none"/>
        </w:rPr>
        <w:t xml:space="preserve">应</w:t>
      </w:r>
      <w:r>
        <w:rPr>
          <w:rFonts w:hint="eastAsia" w:ascii="宋体" w:hAnsi="宋体" w:eastAsia="宋体" w:cs="Times New Roman"/>
          <w:bCs/>
          <w:color w:val="auto"/>
          <w:sz w:val="21"/>
          <w:szCs w:val="21"/>
          <w:highlight w:val="none"/>
          <w:lang w:val="en-US" w:eastAsia="zh-CN"/>
        </w:rPr>
        <w:t xml:space="preserve">主动与各地农业农村部门对接，加强沟通协调，围绕农事生产活动和农时季节要求等，共同建立培训对象数据库，组织培训对象登录中国农村远程教育网“农民教育培训申报系统”或手机端下载“云上智农”APP报名参加培训</w:t>
      </w:r>
      <w:r>
        <w:rPr>
          <w:rFonts w:hint="eastAsia" w:ascii="宋体" w:hAnsi="宋体" w:eastAsia="宋体" w:cs="Times New Roman"/>
          <w:bCs/>
          <w:color w:val="auto"/>
          <w:sz w:val="21"/>
          <w:szCs w:val="21"/>
          <w:highlight w:val="none"/>
        </w:rPr>
        <w:t xml:space="preserve">。</w:t>
      </w:r>
      <w:r/>
    </w:p>
    <w:p>
      <w:pPr>
        <w:numPr>
          <w:ilvl w:val="0"/>
          <w:numId w:val="3"/>
        </w:numPr>
        <w:ind w:firstLine="480"/>
        <w:jc w:val="both"/>
        <w:spacing w:after="0" w:line="360" w:lineRule="auto"/>
        <w:widowControl w:val="off"/>
        <w:rPr>
          <w:color w:val="auto"/>
          <w:highlight w:val="none"/>
        </w:rPr>
      </w:pPr>
      <w:r>
        <w:rPr>
          <w:rFonts w:hint="eastAsia" w:ascii="宋体" w:hAnsi="宋体" w:eastAsia="宋体" w:cs="Times New Roman"/>
          <w:bCs/>
          <w:color w:val="auto"/>
          <w:sz w:val="21"/>
          <w:szCs w:val="21"/>
          <w:highlight w:val="none"/>
        </w:rPr>
        <w:t xml:space="preserve">强化课程模块设计</w:t>
      </w:r>
      <w:r/>
    </w:p>
    <w:p>
      <w:pPr>
        <w:ind w:firstLine="480"/>
        <w:jc w:val="both"/>
        <w:spacing w:after="0" w:line="360" w:lineRule="auto"/>
        <w:widowControl w:val="off"/>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val="en-US" w:eastAsia="zh-CN"/>
        </w:rPr>
        <w:t xml:space="preserve">各投标人</w:t>
      </w:r>
      <w:r>
        <w:rPr>
          <w:rFonts w:hint="eastAsia" w:ascii="宋体" w:hAnsi="宋体" w:eastAsia="宋体" w:cs="Times New Roman"/>
          <w:bCs/>
          <w:color w:val="auto"/>
          <w:sz w:val="21"/>
          <w:szCs w:val="21"/>
          <w:highlight w:val="none"/>
        </w:rPr>
        <w:t xml:space="preserve">要切实按照</w:t>
      </w:r>
      <w:r>
        <w:rPr>
          <w:rFonts w:hint="eastAsia" w:ascii="宋体" w:hAnsi="宋体" w:eastAsia="宋体" w:cs="Times New Roman"/>
          <w:bCs/>
          <w:color w:val="auto"/>
          <w:sz w:val="21"/>
          <w:szCs w:val="21"/>
          <w:highlight w:val="none"/>
          <w:lang w:val="en-US" w:eastAsia="zh-CN"/>
        </w:rPr>
        <w:t xml:space="preserve">农业农村部</w:t>
      </w:r>
      <w:r>
        <w:rPr>
          <w:rFonts w:hint="eastAsia" w:ascii="宋体" w:hAnsi="宋体" w:eastAsia="宋体" w:cs="Times New Roman"/>
          <w:bCs/>
          <w:color w:val="auto"/>
          <w:sz w:val="21"/>
          <w:szCs w:val="21"/>
          <w:highlight w:val="none"/>
        </w:rPr>
        <w:t xml:space="preserve">《高素质农民培育项目管理工作规程（试行）》《高素质农民培育规范（修订）》要求，遵循立足产业需要、满足农民需求、服务提质增</w:t>
      </w:r>
      <w:r>
        <w:rPr>
          <w:rFonts w:hint="eastAsia" w:ascii="宋体" w:hAnsi="宋体" w:eastAsia="宋体" w:cs="Times New Roman"/>
          <w:bCs/>
          <w:color w:val="auto"/>
          <w:sz w:val="21"/>
          <w:szCs w:val="21"/>
          <w:highlight w:val="none"/>
          <w:lang w:val="en-US" w:eastAsia="zh-CN"/>
        </w:rPr>
        <w:t xml:space="preserve">效</w:t>
      </w:r>
      <w:r>
        <w:rPr>
          <w:rFonts w:hint="eastAsia" w:ascii="宋体" w:hAnsi="宋体" w:eastAsia="宋体" w:cs="Times New Roman"/>
          <w:bCs/>
          <w:color w:val="auto"/>
          <w:sz w:val="21"/>
          <w:szCs w:val="21"/>
          <w:highlight w:val="none"/>
        </w:rPr>
        <w:t xml:space="preserve">的原则，建立模块化课程体系，科学设计培训课程。课程体系分为综合素养</w:t>
      </w:r>
      <w:r>
        <w:rPr>
          <w:rFonts w:hint="eastAsia" w:ascii="宋体" w:hAnsi="宋体" w:eastAsia="宋体" w:cs="Times New Roman"/>
          <w:bCs/>
          <w:color w:val="auto"/>
          <w:sz w:val="21"/>
          <w:szCs w:val="21"/>
          <w:highlight w:val="none"/>
          <w:lang w:val="en-US" w:eastAsia="zh-CN"/>
        </w:rPr>
        <w:t xml:space="preserve">课</w:t>
      </w:r>
      <w:r>
        <w:rPr>
          <w:rFonts w:hint="eastAsia" w:ascii="宋体" w:hAnsi="宋体" w:eastAsia="宋体" w:cs="Times New Roman"/>
          <w:bCs/>
          <w:color w:val="auto"/>
          <w:sz w:val="21"/>
          <w:szCs w:val="21"/>
          <w:highlight w:val="none"/>
        </w:rPr>
        <w:t xml:space="preserve">、专业</w:t>
      </w:r>
      <w:r>
        <w:rPr>
          <w:rFonts w:hint="eastAsia" w:ascii="宋体" w:hAnsi="宋体" w:eastAsia="宋体" w:cs="Times New Roman"/>
          <w:bCs/>
          <w:color w:val="auto"/>
          <w:sz w:val="21"/>
          <w:szCs w:val="21"/>
          <w:highlight w:val="none"/>
          <w:lang w:val="en-US" w:eastAsia="zh-CN"/>
        </w:rPr>
        <w:t xml:space="preserve">技能课</w:t>
      </w:r>
      <w:r>
        <w:rPr>
          <w:rFonts w:hint="eastAsia" w:ascii="宋体" w:hAnsi="宋体" w:eastAsia="宋体" w:cs="Times New Roman"/>
          <w:bCs/>
          <w:color w:val="auto"/>
          <w:sz w:val="21"/>
          <w:szCs w:val="21"/>
          <w:highlight w:val="none"/>
        </w:rPr>
        <w:t xml:space="preserve">、能力拓展</w:t>
      </w:r>
      <w:r>
        <w:rPr>
          <w:rFonts w:hint="eastAsia" w:ascii="宋体" w:hAnsi="宋体" w:eastAsia="宋体" w:cs="Times New Roman"/>
          <w:bCs/>
          <w:color w:val="auto"/>
          <w:sz w:val="21"/>
          <w:szCs w:val="21"/>
          <w:highlight w:val="none"/>
          <w:lang w:val="en-US" w:eastAsia="zh-CN"/>
        </w:rPr>
        <w:t xml:space="preserve">课</w:t>
      </w:r>
      <w:r>
        <w:rPr>
          <w:rFonts w:hint="eastAsia" w:ascii="宋体" w:hAnsi="宋体" w:eastAsia="宋体" w:cs="Times New Roman"/>
          <w:bCs/>
          <w:color w:val="auto"/>
          <w:sz w:val="21"/>
          <w:szCs w:val="21"/>
          <w:highlight w:val="none"/>
        </w:rPr>
        <w:t xml:space="preserve">三类。</w:t>
      </w:r>
      <w:r/>
    </w:p>
    <w:p>
      <w:pPr>
        <w:ind w:firstLine="480"/>
        <w:jc w:val="both"/>
        <w:spacing w:after="0" w:line="360" w:lineRule="auto"/>
        <w:widowControl w:val="off"/>
        <w:rPr>
          <w:rFonts w:hint="eastAsia" w:ascii="宋体" w:hAnsi="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综合素养课包括：思想政治、政策法规、职业素养、文化素养等课程，</w:t>
      </w:r>
      <w:r>
        <w:rPr>
          <w:rFonts w:hint="eastAsia" w:ascii="宋体" w:hAnsi="宋体" w:cs="Times New Roman"/>
          <w:bCs/>
          <w:color w:val="auto"/>
          <w:sz w:val="21"/>
          <w:szCs w:val="21"/>
          <w:highlight w:val="none"/>
          <w:lang w:val="en-US" w:eastAsia="zh-CN" w:bidi="ar-SA"/>
        </w:rPr>
        <w:t xml:space="preserve">包含“开班第一课”，“开班第一课”应包括当年中央一号文件和农业农村部相关部署要求等内容。</w:t>
      </w:r>
      <w:r>
        <w:rPr>
          <w:rFonts w:hint="eastAsia" w:ascii="宋体" w:hAnsi="宋体" w:eastAsia="宋体" w:cs="Times New Roman"/>
          <w:bCs/>
          <w:color w:val="auto"/>
          <w:sz w:val="21"/>
          <w:szCs w:val="21"/>
          <w:highlight w:val="none"/>
          <w:lang w:val="en-US" w:eastAsia="zh-CN" w:bidi="ar-SA"/>
        </w:rPr>
        <w:t xml:space="preserve">综合素养课</w:t>
      </w:r>
      <w:r>
        <w:rPr>
          <w:rFonts w:hint="eastAsia" w:ascii="宋体" w:hAnsi="宋体" w:eastAsia="宋体" w:cs="Times New Roman"/>
          <w:bCs/>
          <w:color w:val="auto"/>
          <w:sz w:val="21"/>
          <w:szCs w:val="21"/>
          <w:highlight w:val="none"/>
        </w:rPr>
        <w:t xml:space="preserve">学时数不低于</w:t>
      </w:r>
      <w:r>
        <w:rPr>
          <w:rFonts w:hint="eastAsia" w:ascii="宋体" w:hAnsi="宋体" w:cs="Times New Roman"/>
          <w:bCs/>
          <w:color w:val="auto"/>
          <w:sz w:val="21"/>
          <w:szCs w:val="21"/>
          <w:highlight w:val="none"/>
          <w:lang w:val="en-US" w:eastAsia="zh-CN"/>
        </w:rPr>
        <w:t xml:space="preserve">总学时数的10%</w:t>
      </w:r>
      <w:r>
        <w:rPr>
          <w:rFonts w:hint="eastAsia" w:ascii="宋体" w:hAnsi="宋体" w:eastAsia="宋体" w:cs="Times New Roman"/>
          <w:bCs/>
          <w:color w:val="auto"/>
          <w:sz w:val="21"/>
          <w:szCs w:val="21"/>
          <w:highlight w:val="none"/>
        </w:rPr>
        <w:t xml:space="preserve">。</w:t>
      </w:r>
      <w:r/>
    </w:p>
    <w:p>
      <w:pPr>
        <w:ind w:firstLine="480"/>
        <w:jc w:val="both"/>
        <w:spacing w:after="0" w:line="360" w:lineRule="auto"/>
        <w:widowControl w:val="off"/>
        <w:rPr>
          <w:rFonts w:hint="default" w:ascii="宋体" w:hAnsi="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rPr>
        <w:t xml:space="preserve">专业</w:t>
      </w:r>
      <w:r>
        <w:rPr>
          <w:rFonts w:hint="eastAsia" w:ascii="宋体" w:hAnsi="宋体" w:cs="Times New Roman"/>
          <w:bCs/>
          <w:color w:val="auto"/>
          <w:sz w:val="21"/>
          <w:szCs w:val="21"/>
          <w:highlight w:val="none"/>
          <w:lang w:val="en-US" w:eastAsia="zh-CN"/>
        </w:rPr>
        <w:t xml:space="preserve">技能</w:t>
      </w:r>
      <w:r>
        <w:rPr>
          <w:rFonts w:hint="eastAsia" w:ascii="宋体" w:hAnsi="宋体" w:eastAsia="宋体" w:cs="Times New Roman"/>
          <w:bCs/>
          <w:color w:val="auto"/>
          <w:sz w:val="21"/>
          <w:szCs w:val="21"/>
          <w:highlight w:val="none"/>
        </w:rPr>
        <w:t xml:space="preserve">课</w:t>
      </w:r>
      <w:r>
        <w:rPr>
          <w:rFonts w:hint="eastAsia" w:ascii="宋体" w:hAnsi="宋体" w:eastAsia="宋体" w:cs="Times New Roman"/>
          <w:bCs/>
          <w:color w:val="auto"/>
          <w:sz w:val="21"/>
          <w:szCs w:val="21"/>
          <w:highlight w:val="none"/>
          <w:lang w:val="en-US" w:eastAsia="zh-CN"/>
        </w:rPr>
        <w:t xml:space="preserve">应根据不同培育类型和培育对象实际需求，</w:t>
      </w:r>
      <w:r>
        <w:rPr>
          <w:rFonts w:hint="eastAsia" w:ascii="宋体" w:hAnsi="宋体" w:cs="Times New Roman"/>
          <w:bCs/>
          <w:color w:val="auto"/>
          <w:sz w:val="21"/>
          <w:szCs w:val="21"/>
          <w:highlight w:val="none"/>
          <w:lang w:val="en-US" w:eastAsia="zh-CN"/>
        </w:rPr>
        <w:t xml:space="preserve">紧紧围绕培育主题，</w:t>
      </w:r>
      <w:r>
        <w:rPr>
          <w:rFonts w:hint="eastAsia" w:ascii="宋体" w:hAnsi="宋体" w:eastAsia="宋体" w:cs="Times New Roman"/>
          <w:bCs/>
          <w:color w:val="auto"/>
          <w:sz w:val="21"/>
          <w:szCs w:val="21"/>
          <w:highlight w:val="none"/>
          <w:lang w:val="en-US" w:eastAsia="zh-CN"/>
        </w:rPr>
        <w:t xml:space="preserve">合理设置课程</w:t>
      </w:r>
      <w:r>
        <w:rPr>
          <w:rFonts w:hint="eastAsia" w:ascii="宋体" w:hAnsi="宋体" w:eastAsia="宋体" w:cs="Times New Roman"/>
          <w:bCs/>
          <w:color w:val="auto"/>
          <w:sz w:val="21"/>
          <w:szCs w:val="21"/>
          <w:highlight w:val="none"/>
        </w:rPr>
        <w:t xml:space="preserve">，学时数不低于总学时数的</w:t>
      </w:r>
      <w:r>
        <w:rPr>
          <w:rFonts w:hint="eastAsia" w:ascii="宋体" w:hAnsi="宋体" w:cs="Times New Roman"/>
          <w:bCs/>
          <w:color w:val="auto"/>
          <w:sz w:val="21"/>
          <w:szCs w:val="21"/>
          <w:highlight w:val="none"/>
          <w:lang w:val="en-US" w:eastAsia="zh-CN"/>
        </w:rPr>
        <w:t xml:space="preserve">70</w:t>
      </w:r>
      <w:r>
        <w:rPr>
          <w:rFonts w:hint="eastAsia" w:ascii="宋体" w:hAnsi="宋体" w:eastAsia="宋体" w:cs="Times New Roman"/>
          <w:bCs/>
          <w:color w:val="auto"/>
          <w:sz w:val="21"/>
          <w:szCs w:val="21"/>
          <w:highlight w:val="none"/>
        </w:rPr>
        <w:t xml:space="preserve">%</w:t>
      </w:r>
      <w:r>
        <w:rPr>
          <w:rFonts w:hint="eastAsia" w:ascii="宋体" w:hAnsi="宋体" w:cs="Times New Roman"/>
          <w:bCs/>
          <w:color w:val="auto"/>
          <w:sz w:val="21"/>
          <w:szCs w:val="21"/>
          <w:highlight w:val="none"/>
          <w:lang w:eastAsia="zh-CN"/>
        </w:rPr>
        <w:t xml:space="preserve">，</w:t>
      </w:r>
      <w:r>
        <w:rPr>
          <w:rFonts w:hint="eastAsia" w:ascii="宋体" w:hAnsi="宋体" w:cs="Times New Roman"/>
          <w:bCs/>
          <w:color w:val="auto"/>
          <w:sz w:val="21"/>
          <w:szCs w:val="21"/>
          <w:highlight w:val="none"/>
          <w:lang w:val="en-US" w:eastAsia="zh-CN" w:bidi="ar-SA"/>
        </w:rPr>
        <w:t xml:space="preserve">采取实践教学的比例不低于专业技能课学时数的50%。</w:t>
      </w:r>
      <w:r/>
    </w:p>
    <w:p>
      <w:pPr>
        <w:pStyle w:val="761"/>
        <w:keepLines w:val="0"/>
        <w:keepNext w:val="0"/>
        <w:pageBreakBefore w:val="0"/>
        <w:spacing w:line="360" w:lineRule="auto"/>
        <w:widowControl w:val="off"/>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rPr>
        <w:t xml:space="preserve">能力拓展课由</w:t>
      </w:r>
      <w:r>
        <w:rPr>
          <w:rFonts w:hint="eastAsia" w:ascii="宋体" w:hAnsi="宋体" w:eastAsia="宋体" w:cs="Times New Roman"/>
          <w:bCs/>
          <w:color w:val="auto"/>
          <w:sz w:val="21"/>
          <w:szCs w:val="21"/>
          <w:highlight w:val="none"/>
          <w:lang w:val="en-US" w:eastAsia="zh-CN"/>
        </w:rPr>
        <w:t xml:space="preserve">各中标人</w:t>
      </w:r>
      <w:r>
        <w:rPr>
          <w:rFonts w:hint="eastAsia" w:ascii="宋体" w:hAnsi="宋体" w:eastAsia="宋体" w:cs="Times New Roman"/>
          <w:bCs/>
          <w:color w:val="auto"/>
          <w:sz w:val="21"/>
          <w:szCs w:val="21"/>
          <w:highlight w:val="none"/>
        </w:rPr>
        <w:t xml:space="preserve">根据培训对象和培训目标自行</w:t>
      </w:r>
      <w:r>
        <w:rPr>
          <w:rFonts w:hint="eastAsia" w:ascii="宋体" w:hAnsi="宋体" w:eastAsia="宋体" w:cs="Times New Roman"/>
          <w:bCs/>
          <w:color w:val="auto"/>
          <w:sz w:val="21"/>
          <w:szCs w:val="21"/>
          <w:highlight w:val="none"/>
          <w:lang w:val="en-US" w:eastAsia="zh-CN"/>
        </w:rPr>
        <w:t xml:space="preserve">开展、自行</w:t>
      </w:r>
      <w:r>
        <w:rPr>
          <w:rFonts w:hint="eastAsia" w:ascii="宋体" w:hAnsi="宋体" w:eastAsia="宋体" w:cs="Times New Roman"/>
          <w:bCs/>
          <w:color w:val="auto"/>
          <w:sz w:val="21"/>
          <w:szCs w:val="21"/>
          <w:highlight w:val="none"/>
        </w:rPr>
        <w:t xml:space="preserve">设计</w:t>
      </w:r>
      <w:r>
        <w:rPr>
          <w:rFonts w:hint="eastAsia" w:ascii="宋体" w:hAnsi="宋体" w:eastAsia="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lang w:val="en-US" w:eastAsia="zh-CN"/>
        </w:rPr>
        <w:t xml:space="preserve">学时数应不高于总</w:t>
      </w:r>
      <w:r>
        <w:rPr>
          <w:rFonts w:hint="eastAsia" w:ascii="宋体" w:hAnsi="宋体" w:eastAsia="宋体" w:cs="Times New Roman"/>
          <w:bCs/>
          <w:color w:val="auto"/>
          <w:sz w:val="21"/>
          <w:szCs w:val="21"/>
          <w:highlight w:val="none"/>
          <w:lang w:val="en-US" w:eastAsia="zh-CN" w:bidi="ar-SA"/>
        </w:rPr>
        <w:t xml:space="preserve">学时数的20%。</w:t>
      </w:r>
      <w:r/>
    </w:p>
    <w:p>
      <w:pPr>
        <w:ind w:firstLine="480"/>
        <w:jc w:val="both"/>
        <w:keepLines w:val="0"/>
        <w:keepNext w:val="0"/>
        <w:pageBreakBefore w:val="0"/>
        <w:spacing w:after="0" w:line="360" w:lineRule="auto"/>
        <w:widowControl w:val="off"/>
        <w:rPr>
          <w:rFonts w:hint="default"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应制定开班计划，包括培训主题、课程、学时、培育对象、培育形式、师资、教材、经费支出计划和预期效果等培育全过程内容，明确班级管理相关要求，并严格按照开班计划实施培育。每个培训班人数不超过70人，以实践教学为主的，每班不超过50人。</w:t>
      </w:r>
      <w:r/>
    </w:p>
    <w:p>
      <w:pPr>
        <w:pStyle w:val="761"/>
        <w:keepLines w:val="0"/>
        <w:keepNext w:val="0"/>
        <w:pageBreakBefore w:val="0"/>
        <w:spacing w:line="360" w:lineRule="auto"/>
        <w:widowControl w:val="off"/>
        <w:rPr>
          <w:rFonts w:hint="default"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bidi="ar-SA"/>
        </w:rPr>
        <w:t xml:space="preserve">根据培训主题实际需要确定培训班总学时，每个培训班不少于40个学时（不包含报到、返程时间）。1学时为45分钟，每天不超过8个学时。</w:t>
      </w:r>
      <w:r/>
    </w:p>
    <w:p>
      <w:pPr>
        <w:ind w:left="0" w:firstLine="420"/>
        <w:jc w:val="both"/>
        <w:spacing w:after="0" w:line="360" w:lineRule="auto"/>
        <w:widowControl w:val="off"/>
        <w:rPr>
          <w:rFonts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3.鼓励培育模式创新</w:t>
      </w:r>
      <w:r/>
    </w:p>
    <w:p>
      <w:pPr>
        <w:ind w:firstLine="480"/>
        <w:jc w:val="both"/>
        <w:spacing w:after="0" w:line="360" w:lineRule="auto"/>
        <w:widowControl w:val="off"/>
        <w:rPr>
          <w:rFonts w:hint="eastAsia" w:ascii="宋体" w:hAnsi="宋体" w:cs="Times New Roman"/>
          <w:bCs/>
          <w:color w:val="auto"/>
          <w:sz w:val="21"/>
          <w:szCs w:val="21"/>
          <w:highlight w:val="none"/>
          <w:lang w:eastAsia="zh-CN"/>
        </w:rPr>
      </w:pPr>
      <w:r>
        <w:rPr>
          <w:rFonts w:hint="eastAsia" w:ascii="宋体" w:hAnsi="宋体" w:eastAsia="宋体" w:cs="Times New Roman"/>
          <w:bCs/>
          <w:color w:val="auto"/>
          <w:sz w:val="21"/>
          <w:szCs w:val="21"/>
          <w:highlight w:val="none"/>
        </w:rPr>
        <w:t xml:space="preserve">要遵循农民教育培训特点和规律，根据培育对象和培训内容制定差异化的培训计划。坚持训育结合，强化实习实训、训后技术指导和跟踪服务</w:t>
      </w:r>
      <w:r>
        <w:rPr>
          <w:rFonts w:hint="eastAsia" w:ascii="宋体" w:hAnsi="宋体" w:cs="Times New Roman"/>
          <w:bCs/>
          <w:color w:val="auto"/>
          <w:sz w:val="21"/>
          <w:szCs w:val="21"/>
          <w:highlight w:val="none"/>
          <w:lang w:eastAsia="zh-CN"/>
        </w:rPr>
        <w:t xml:space="preserve">。</w:t>
      </w:r>
      <w:r/>
    </w:p>
    <w:p>
      <w:pPr>
        <w:ind w:firstLine="480"/>
        <w:jc w:val="both"/>
        <w:spacing w:after="0" w:line="360" w:lineRule="auto"/>
        <w:widowControl w:val="off"/>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val="en-US" w:eastAsia="zh-CN"/>
        </w:rPr>
        <w:t xml:space="preserve">农机</w:t>
      </w:r>
      <w:r>
        <w:rPr>
          <w:rFonts w:hint="eastAsia" w:ascii="宋体" w:hAnsi="宋体" w:eastAsia="宋体" w:cs="Times New Roman"/>
          <w:bCs/>
          <w:color w:val="auto"/>
          <w:sz w:val="21"/>
          <w:szCs w:val="21"/>
          <w:highlight w:val="none"/>
        </w:rPr>
        <w:t xml:space="preserve">专题班培训天数不少于8天</w:t>
      </w:r>
      <w:r>
        <w:rPr>
          <w:rFonts w:hint="eastAsia" w:ascii="宋体" w:hAnsi="宋体" w:cs="Times New Roman"/>
          <w:bCs/>
          <w:color w:val="auto"/>
          <w:sz w:val="21"/>
          <w:szCs w:val="21"/>
          <w:highlight w:val="none"/>
          <w:lang w:eastAsia="zh-CN"/>
        </w:rPr>
        <w:t xml:space="preserve">（</w:t>
      </w:r>
      <w:r>
        <w:rPr>
          <w:rFonts w:hint="eastAsia" w:ascii="宋体" w:hAnsi="宋体" w:cs="Times New Roman"/>
          <w:bCs/>
          <w:color w:val="auto"/>
          <w:sz w:val="21"/>
          <w:szCs w:val="21"/>
          <w:highlight w:val="none"/>
          <w:lang w:val="en-US" w:eastAsia="zh-CN"/>
        </w:rPr>
        <w:t xml:space="preserve">64学时</w:t>
      </w:r>
      <w:r>
        <w:rPr>
          <w:rFonts w:hint="eastAsia" w:ascii="宋体" w:hAnsi="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rPr>
        <w:t xml:space="preserve">，跟踪</w:t>
      </w:r>
      <w:r>
        <w:rPr>
          <w:rFonts w:hint="eastAsia" w:ascii="宋体" w:hAnsi="宋体" w:cs="Times New Roman"/>
          <w:bCs/>
          <w:color w:val="auto"/>
          <w:sz w:val="21"/>
          <w:szCs w:val="21"/>
          <w:highlight w:val="none"/>
          <w:lang w:val="en-US" w:eastAsia="zh-CN"/>
        </w:rPr>
        <w:t xml:space="preserve">指导</w:t>
      </w:r>
      <w:r>
        <w:rPr>
          <w:rFonts w:hint="eastAsia" w:ascii="宋体" w:hAnsi="宋体" w:eastAsia="宋体" w:cs="Times New Roman"/>
          <w:bCs/>
          <w:color w:val="auto"/>
          <w:sz w:val="21"/>
          <w:szCs w:val="21"/>
          <w:highlight w:val="none"/>
        </w:rPr>
        <w:t xml:space="preserve">服务人数不少于培训班总人数60%</w:t>
      </w:r>
      <w:r>
        <w:rPr>
          <w:rFonts w:hint="eastAsia" w:ascii="宋体" w:hAnsi="宋体" w:cs="Times New Roman"/>
          <w:bCs/>
          <w:color w:val="auto"/>
          <w:sz w:val="21"/>
          <w:szCs w:val="21"/>
          <w:highlight w:val="none"/>
          <w:lang w:eastAsia="zh-CN"/>
        </w:rPr>
        <w:t xml:space="preserve">，</w:t>
      </w:r>
      <w:r>
        <w:rPr>
          <w:rFonts w:hint="eastAsia" w:ascii="宋体" w:hAnsi="宋体" w:cs="Times New Roman"/>
          <w:bCs/>
          <w:color w:val="auto"/>
          <w:sz w:val="21"/>
          <w:szCs w:val="21"/>
          <w:highlight w:val="none"/>
          <w:lang w:val="en-US" w:eastAsia="zh-CN"/>
        </w:rPr>
        <w:t xml:space="preserve">跟踪服务次数不少于2次，不计入总学时</w:t>
      </w:r>
      <w:r>
        <w:rPr>
          <w:rFonts w:hint="eastAsia" w:ascii="宋体" w:hAnsi="宋体" w:eastAsia="宋体" w:cs="Times New Roman"/>
          <w:bCs/>
          <w:color w:val="auto"/>
          <w:sz w:val="21"/>
          <w:szCs w:val="21"/>
          <w:highlight w:val="none"/>
        </w:rPr>
        <w:t xml:space="preserve">；</w:t>
      </w:r>
      <w:r/>
    </w:p>
    <w:p>
      <w:pPr>
        <w:ind w:firstLine="480"/>
        <w:jc w:val="both"/>
        <w:spacing w:after="0" w:line="360" w:lineRule="auto"/>
        <w:widowControl w:val="off"/>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val="en-US" w:eastAsia="zh-CN"/>
        </w:rPr>
        <w:t xml:space="preserve">新农匠、新农创、新农商、新农服等</w:t>
      </w:r>
      <w:r>
        <w:rPr>
          <w:rFonts w:hint="eastAsia" w:ascii="宋体" w:hAnsi="宋体" w:eastAsia="宋体" w:cs="Times New Roman"/>
          <w:bCs/>
          <w:color w:val="auto"/>
          <w:sz w:val="21"/>
          <w:szCs w:val="21"/>
          <w:highlight w:val="none"/>
        </w:rPr>
        <w:t xml:space="preserve">常规任务总天数不少于5天</w:t>
      </w:r>
      <w:r>
        <w:rPr>
          <w:rFonts w:hint="eastAsia" w:ascii="宋体" w:hAnsi="宋体" w:cs="Times New Roman"/>
          <w:bCs/>
          <w:color w:val="auto"/>
          <w:sz w:val="21"/>
          <w:szCs w:val="21"/>
          <w:highlight w:val="none"/>
          <w:lang w:eastAsia="zh-CN"/>
        </w:rPr>
        <w:t xml:space="preserve">（</w:t>
      </w:r>
      <w:r>
        <w:rPr>
          <w:rFonts w:hint="eastAsia" w:ascii="宋体" w:hAnsi="宋体" w:cs="Times New Roman"/>
          <w:bCs/>
          <w:color w:val="auto"/>
          <w:sz w:val="21"/>
          <w:szCs w:val="21"/>
          <w:highlight w:val="none"/>
          <w:lang w:val="en-US" w:eastAsia="zh-CN"/>
        </w:rPr>
        <w:t xml:space="preserve">40个学时</w:t>
      </w:r>
      <w:r>
        <w:rPr>
          <w:rFonts w:hint="eastAsia" w:ascii="宋体" w:hAnsi="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rPr>
        <w:t xml:space="preserve">，跟踪服务人数不少于培训班总人数30%，跟踪服务次数不少于2次，不计入总学时。</w:t>
      </w:r>
      <w:r/>
    </w:p>
    <w:p>
      <w:pPr>
        <w:ind w:firstLine="480"/>
        <w:jc w:val="both"/>
        <w:keepLines w:val="0"/>
        <w:keepNext w:val="0"/>
        <w:pageBreakBefore w:val="0"/>
        <w:spacing w:after="0" w:line="360" w:lineRule="auto"/>
        <w:widowControl w:val="off"/>
        <w:rPr>
          <w:rFonts w:hint="eastAsia" w:ascii="宋体" w:hAnsi="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rPr>
        <w:t xml:space="preserve">鼓励培育机构创新教学方法，改进培育形式，提高教学效果，积极开展线上线下融合培训</w:t>
      </w:r>
      <w:r>
        <w:rPr>
          <w:rFonts w:hint="eastAsia" w:ascii="宋体" w:hAnsi="宋体" w:eastAsia="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rPr>
        <w:t xml:space="preserve">线上学习以网络直播</w:t>
      </w:r>
      <w:r>
        <w:rPr>
          <w:rFonts w:hint="eastAsia" w:ascii="宋体" w:hAnsi="宋体" w:eastAsia="宋体" w:cs="Times New Roman"/>
          <w:bCs/>
          <w:color w:val="auto"/>
          <w:sz w:val="21"/>
          <w:szCs w:val="21"/>
          <w:highlight w:val="none"/>
          <w:lang w:val="en-US" w:eastAsia="zh-CN"/>
        </w:rPr>
        <w:t xml:space="preserve">或</w:t>
      </w:r>
      <w:r>
        <w:rPr>
          <w:rFonts w:hint="eastAsia" w:ascii="宋体" w:hAnsi="宋体" w:eastAsia="宋体" w:cs="Times New Roman"/>
          <w:bCs/>
          <w:color w:val="auto"/>
          <w:sz w:val="21"/>
          <w:szCs w:val="21"/>
          <w:highlight w:val="none"/>
        </w:rPr>
        <w:t xml:space="preserve">课件学习为主要形式开展</w:t>
      </w:r>
      <w:r>
        <w:rPr>
          <w:rFonts w:hint="eastAsia" w:ascii="宋体" w:hAnsi="宋体" w:eastAsia="宋体" w:cs="Times New Roman"/>
          <w:bCs/>
          <w:color w:val="auto"/>
          <w:sz w:val="21"/>
          <w:szCs w:val="21"/>
          <w:highlight w:val="none"/>
          <w:lang w:eastAsia="zh-CN"/>
        </w:rPr>
        <w:t xml:space="preserve">。</w:t>
      </w:r>
      <w:r>
        <w:rPr>
          <w:rFonts w:hint="eastAsia" w:ascii="宋体" w:hAnsi="宋体" w:cs="Times New Roman"/>
          <w:bCs/>
          <w:color w:val="auto"/>
          <w:sz w:val="21"/>
          <w:szCs w:val="21"/>
          <w:highlight w:val="none"/>
          <w:lang w:val="en-US" w:eastAsia="zh-CN"/>
        </w:rPr>
        <w:t xml:space="preserve">线上学习平台应具备完善的在线学习、直播授课、课程考核及及相关统计、监测和评价功能。其中线上学习学时数不超过总学时的15%。</w:t>
      </w:r>
      <w:r/>
    </w:p>
    <w:p>
      <w:pPr>
        <w:pStyle w:val="761"/>
        <w:keepLines w:val="0"/>
        <w:keepNext w:val="0"/>
        <w:pageBreakBefore w:val="0"/>
        <w:spacing w:line="360" w:lineRule="auto"/>
        <w:widowControl w:val="off"/>
        <w:rPr>
          <w:rFonts w:hint="default" w:ascii="宋体" w:hAnsi="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bidi="ar-SA"/>
        </w:rPr>
        <w:t xml:space="preserve">实践教学应在与课程内容直接相关的实习实训场所或生产经营一线开展，包括场地实训、顶岗实习、跟岗见习、模拟教学、实践孵化等形式。</w:t>
      </w:r>
      <w:r/>
    </w:p>
    <w:p>
      <w:pPr>
        <w:ind w:firstLine="480"/>
        <w:jc w:val="both"/>
        <w:keepLines w:val="0"/>
        <w:keepNext w:val="0"/>
        <w:pageBreakBefore w:val="0"/>
        <w:spacing w:after="0" w:line="360" w:lineRule="auto"/>
        <w:widowControl w:val="off"/>
        <w:rPr>
          <w:rFonts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4.完善培训信息管理</w:t>
      </w:r>
      <w:r/>
    </w:p>
    <w:p>
      <w:pPr>
        <w:ind w:firstLine="480"/>
        <w:jc w:val="both"/>
        <w:keepLines w:val="0"/>
        <w:keepNext w:val="0"/>
        <w:pageBreakBefore w:val="0"/>
        <w:spacing w:after="0" w:line="360" w:lineRule="auto"/>
        <w:widowControl w:val="off"/>
        <w:rPr>
          <w:rFonts w:hint="eastAsia"/>
          <w:color w:val="auto"/>
          <w:highlight w:val="none"/>
          <w:lang w:val="en-US" w:eastAsia="zh-CN"/>
        </w:rPr>
      </w:pPr>
      <w:r>
        <w:rPr>
          <w:rFonts w:hint="eastAsia" w:ascii="宋体" w:hAnsi="宋体" w:eastAsia="宋体" w:cs="Times New Roman"/>
          <w:bCs/>
          <w:color w:val="auto"/>
          <w:sz w:val="21"/>
          <w:szCs w:val="21"/>
          <w:highlight w:val="none"/>
          <w:lang w:val="en-US" w:eastAsia="zh-CN"/>
        </w:rPr>
        <w:t xml:space="preserve">中标人</w:t>
      </w:r>
      <w:r>
        <w:rPr>
          <w:rFonts w:hint="eastAsia" w:ascii="宋体" w:hAnsi="宋体" w:eastAsia="宋体" w:cs="Times New Roman"/>
          <w:bCs/>
          <w:color w:val="auto"/>
          <w:sz w:val="21"/>
          <w:szCs w:val="21"/>
          <w:highlight w:val="none"/>
        </w:rPr>
        <w:t xml:space="preserve">应在培训班首次考核前将学员基础信息100%入库，并及时更新相关培育和考核信息。培训班结业前，组织所有班次学员对组织管理、培训教师、实训基地</w:t>
      </w:r>
      <w:r>
        <w:rPr>
          <w:rFonts w:hint="eastAsia" w:ascii="宋体" w:hAnsi="宋体" w:eastAsia="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rPr>
        <w:t xml:space="preserve">培训效果等进行在线评价，培育对象满意度需达9</w:t>
      </w:r>
      <w:r>
        <w:rPr>
          <w:rFonts w:hint="eastAsia" w:ascii="宋体" w:hAnsi="宋体" w:eastAsia="宋体" w:cs="Times New Roman"/>
          <w:bCs/>
          <w:color w:val="auto"/>
          <w:sz w:val="21"/>
          <w:szCs w:val="21"/>
          <w:highlight w:val="none"/>
          <w:lang w:val="en-US" w:eastAsia="zh-CN"/>
        </w:rPr>
        <w:t xml:space="preserve">0</w:t>
      </w:r>
      <w:r>
        <w:rPr>
          <w:rFonts w:hint="eastAsia" w:ascii="宋体" w:hAnsi="宋体" w:eastAsia="宋体" w:cs="Times New Roman"/>
          <w:bCs/>
          <w:color w:val="auto"/>
          <w:sz w:val="21"/>
          <w:szCs w:val="21"/>
          <w:highlight w:val="none"/>
        </w:rPr>
        <w:t xml:space="preserve">%以上。项目实施各个环节，特别是培训学员档案和跟踪服务台账要完整规范、符合</w:t>
      </w:r>
      <w:r>
        <w:rPr>
          <w:rFonts w:hint="eastAsia" w:ascii="宋体" w:hAnsi="宋体" w:eastAsia="宋体" w:cs="Times New Roman"/>
          <w:bCs/>
          <w:color w:val="auto"/>
          <w:sz w:val="21"/>
          <w:szCs w:val="21"/>
          <w:highlight w:val="none"/>
          <w:lang w:val="en-US" w:eastAsia="zh-CN"/>
        </w:rPr>
        <w:t xml:space="preserve">农业农村部</w:t>
      </w:r>
      <w:r>
        <w:rPr>
          <w:rFonts w:hint="eastAsia" w:ascii="宋体" w:hAnsi="宋体" w:eastAsia="宋体" w:cs="Times New Roman"/>
          <w:bCs/>
          <w:color w:val="auto"/>
          <w:sz w:val="21"/>
          <w:szCs w:val="21"/>
          <w:highlight w:val="none"/>
        </w:rPr>
        <w:t xml:space="preserve">规定的建档和台账要求</w:t>
      </w:r>
      <w:r>
        <w:rPr>
          <w:rFonts w:hint="eastAsia" w:ascii="宋体" w:hAnsi="宋体" w:eastAsia="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rPr>
        <w:t xml:space="preserve">项目培训台账要</w:t>
      </w:r>
      <w:r>
        <w:rPr>
          <w:rFonts w:hint="eastAsia" w:ascii="宋体" w:hAnsi="宋体" w:eastAsia="宋体" w:cs="Times New Roman"/>
          <w:bCs/>
          <w:color w:val="auto"/>
          <w:sz w:val="21"/>
          <w:szCs w:val="21"/>
          <w:highlight w:val="none"/>
          <w:lang w:val="en-US" w:eastAsia="zh-CN"/>
        </w:rPr>
        <w:t xml:space="preserve">与资金使用台账互为补充，相互衔接、有据可查。</w:t>
      </w:r>
      <w:r/>
    </w:p>
    <w:p>
      <w:pPr>
        <w:numPr>
          <w:ilvl w:val="0"/>
          <w:numId w:val="0"/>
        </w:numPr>
        <w:ind w:firstLine="480"/>
        <w:jc w:val="both"/>
        <w:spacing w:after="0" w:line="360" w:lineRule="auto"/>
        <w:widowControl w:val="off"/>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val="en-US" w:eastAsia="zh-CN" w:bidi="ar-SA"/>
        </w:rPr>
        <w:t xml:space="preserve">5.</w:t>
      </w:r>
      <w:r>
        <w:rPr>
          <w:rFonts w:hint="eastAsia" w:ascii="宋体" w:hAnsi="宋体" w:eastAsia="宋体" w:cs="Times New Roman"/>
          <w:bCs/>
          <w:color w:val="auto"/>
          <w:sz w:val="21"/>
          <w:szCs w:val="21"/>
          <w:highlight w:val="none"/>
        </w:rPr>
        <w:t xml:space="preserve">加强培育成果推广</w:t>
      </w:r>
      <w:r/>
    </w:p>
    <w:p>
      <w:pPr>
        <w:numPr>
          <w:ilvl w:val="0"/>
          <w:numId w:val="0"/>
        </w:numPr>
        <w:ind w:firstLine="480"/>
        <w:jc w:val="both"/>
        <w:spacing w:after="0" w:line="360" w:lineRule="auto"/>
        <w:widowControl w:val="off"/>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rPr>
        <w:t xml:space="preserve">要深度挖掘形成具有普遍推广价值的好经验、好模式、好典型，讲好高素质农民成长成才成就故事。要遴选推介优秀学员</w:t>
      </w:r>
      <w:r>
        <w:rPr>
          <w:rFonts w:hint="eastAsia" w:ascii="宋体" w:hAnsi="宋体" w:eastAsia="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rPr>
        <w:t xml:space="preserve">鼓励争优</w:t>
      </w:r>
      <w:r>
        <w:rPr>
          <w:rFonts w:hint="eastAsia" w:ascii="宋体" w:hAnsi="宋体" w:eastAsia="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rPr>
        <w:t xml:space="preserve">倡导学优</w:t>
      </w:r>
      <w:r>
        <w:rPr>
          <w:rFonts w:hint="eastAsia" w:ascii="宋体" w:hAnsi="宋体" w:eastAsia="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rPr>
        <w:t xml:space="preserve">营造有利于</w:t>
      </w:r>
      <w:r>
        <w:rPr>
          <w:rFonts w:hint="eastAsia" w:ascii="宋体" w:hAnsi="宋体" w:eastAsia="宋体" w:cs="Times New Roman"/>
          <w:bCs/>
          <w:color w:val="auto"/>
          <w:sz w:val="21"/>
          <w:szCs w:val="21"/>
          <w:highlight w:val="none"/>
          <w:lang w:val="en-US" w:eastAsia="zh-CN"/>
        </w:rPr>
        <w:t xml:space="preserve">高素质</w:t>
      </w:r>
      <w:r>
        <w:rPr>
          <w:rFonts w:hint="eastAsia" w:ascii="宋体" w:hAnsi="宋体" w:eastAsia="宋体" w:cs="Times New Roman"/>
          <w:bCs/>
          <w:color w:val="auto"/>
          <w:sz w:val="21"/>
          <w:szCs w:val="21"/>
          <w:highlight w:val="none"/>
        </w:rPr>
        <w:t xml:space="preserve">农民</w:t>
      </w:r>
      <w:r>
        <w:rPr>
          <w:rFonts w:hint="eastAsia" w:ascii="宋体" w:hAnsi="宋体" w:eastAsia="宋体" w:cs="Times New Roman"/>
          <w:bCs/>
          <w:color w:val="auto"/>
          <w:sz w:val="21"/>
          <w:szCs w:val="21"/>
          <w:highlight w:val="none"/>
          <w:lang w:val="en-US" w:eastAsia="zh-CN"/>
        </w:rPr>
        <w:t xml:space="preserve">成长发展的</w:t>
      </w:r>
      <w:r>
        <w:rPr>
          <w:rFonts w:hint="eastAsia" w:ascii="宋体" w:hAnsi="宋体" w:eastAsia="宋体" w:cs="Times New Roman"/>
          <w:bCs/>
          <w:color w:val="auto"/>
          <w:sz w:val="21"/>
          <w:szCs w:val="21"/>
          <w:highlight w:val="none"/>
        </w:rPr>
        <w:t xml:space="preserve">的良好氛围。</w:t>
      </w:r>
      <w:r/>
    </w:p>
    <w:p>
      <w:pPr>
        <w:pStyle w:val="761"/>
        <w:numPr>
          <w:ilvl w:val="0"/>
          <w:numId w:val="4"/>
        </w:numPr>
        <w:rPr>
          <w:rFonts w:hint="eastAsia"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线下教学、实践教学和交流观摩最低1－2天需在高邮实施；如无特殊需要，跟踪指导需在高邮实施。</w:t>
      </w:r>
      <w:r/>
    </w:p>
    <w:p>
      <w:pPr>
        <w:pStyle w:val="761"/>
        <w:numPr>
          <w:ilvl w:val="0"/>
          <w:numId w:val="0"/>
        </w:numPr>
        <w:rPr>
          <w:rFonts w:hint="default" w:ascii="宋体" w:hAnsi="宋体" w:eastAsia="宋体" w:cs="Times New Roman"/>
          <w:b w:val="0"/>
          <w:bCs w:val="0"/>
          <w:color w:val="auto"/>
          <w:sz w:val="21"/>
          <w:szCs w:val="21"/>
          <w:highlight w:val="none"/>
          <w:lang w:val="en-US" w:eastAsia="zh-CN"/>
        </w:rPr>
      </w:pPr>
      <w:r>
        <w:rPr>
          <w:rFonts w:hint="default" w:ascii="宋体" w:hAnsi="宋体" w:eastAsia="宋体" w:cs="Times New Roman"/>
          <w:b w:val="0"/>
          <w:bCs w:val="0"/>
          <w:color w:val="auto"/>
          <w:sz w:val="21"/>
          <w:szCs w:val="21"/>
          <w:highlight w:val="none"/>
          <w:lang w:val="en-US" w:eastAsia="zh-CN"/>
        </w:rPr>
      </w:r>
      <w:r/>
    </w:p>
    <w:p>
      <w:pPr>
        <w:numPr>
          <w:ilvl w:val="0"/>
          <w:numId w:val="0"/>
        </w:numPr>
        <w:ind w:firstLine="422"/>
        <w:jc w:val="both"/>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三、</w:t>
      </w:r>
      <w:r>
        <w:rPr>
          <w:rFonts w:hint="eastAsia" w:ascii="宋体" w:hAnsi="宋体" w:eastAsia="宋体" w:cs="宋体"/>
          <w:b/>
          <w:bCs/>
          <w:color w:val="auto"/>
          <w:sz w:val="21"/>
          <w:szCs w:val="21"/>
          <w:highlight w:val="none"/>
          <w:lang w:val="en-US" w:eastAsia="zh-CN"/>
        </w:rPr>
        <w:t xml:space="preserve">项目履行期限</w:t>
      </w:r>
      <w:r/>
    </w:p>
    <w:p>
      <w:pPr>
        <w:numPr>
          <w:ilvl w:val="0"/>
          <w:numId w:val="0"/>
        </w:numPr>
        <w:ind w:firstLine="480"/>
        <w:jc w:val="both"/>
        <w:spacing w:after="0" w:line="360" w:lineRule="auto"/>
        <w:widowControl w:val="off"/>
        <w:rPr>
          <w:rFonts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val="en-US" w:eastAsia="zh-CN"/>
        </w:rPr>
        <w:t xml:space="preserve">中标人</w:t>
      </w:r>
      <w:r>
        <w:rPr>
          <w:rFonts w:ascii="宋体" w:hAnsi="宋体" w:eastAsia="宋体" w:cs="Times New Roman"/>
          <w:bCs/>
          <w:color w:val="auto"/>
          <w:sz w:val="21"/>
          <w:szCs w:val="21"/>
          <w:highlight w:val="none"/>
        </w:rPr>
        <w:t xml:space="preserve">须于202</w:t>
      </w:r>
      <w:r>
        <w:rPr>
          <w:rFonts w:hint="eastAsia" w:ascii="宋体" w:hAnsi="宋体" w:cs="Times New Roman"/>
          <w:bCs/>
          <w:color w:val="auto"/>
          <w:sz w:val="21"/>
          <w:szCs w:val="21"/>
          <w:highlight w:val="none"/>
          <w:lang w:val="en-US" w:eastAsia="zh-CN"/>
        </w:rPr>
        <w:t xml:space="preserve">6</w:t>
      </w:r>
      <w:r>
        <w:rPr>
          <w:rFonts w:ascii="宋体" w:hAnsi="宋体" w:eastAsia="宋体" w:cs="Times New Roman"/>
          <w:bCs/>
          <w:color w:val="auto"/>
          <w:sz w:val="21"/>
          <w:szCs w:val="21"/>
          <w:highlight w:val="none"/>
        </w:rPr>
        <w:t xml:space="preserve">年12月</w:t>
      </w:r>
      <w:r>
        <w:rPr>
          <w:rFonts w:hint="eastAsia" w:ascii="宋体" w:hAnsi="宋体" w:eastAsia="宋体" w:cs="Times New Roman"/>
          <w:bCs/>
          <w:color w:val="auto"/>
          <w:sz w:val="21"/>
          <w:szCs w:val="21"/>
          <w:highlight w:val="none"/>
          <w:lang w:val="en-US" w:eastAsia="zh-CN"/>
        </w:rPr>
        <w:t xml:space="preserve">31日</w:t>
      </w:r>
      <w:r>
        <w:rPr>
          <w:rFonts w:ascii="宋体" w:hAnsi="宋体" w:eastAsia="宋体" w:cs="Times New Roman"/>
          <w:bCs/>
          <w:color w:val="auto"/>
          <w:sz w:val="21"/>
          <w:szCs w:val="21"/>
          <w:highlight w:val="none"/>
        </w:rPr>
        <w:t xml:space="preserve">前完成</w:t>
      </w:r>
      <w:r>
        <w:rPr>
          <w:rFonts w:hint="eastAsia" w:ascii="宋体" w:hAnsi="宋体" w:eastAsia="宋体" w:cs="Times New Roman"/>
          <w:bCs/>
          <w:color w:val="auto"/>
          <w:sz w:val="21"/>
          <w:szCs w:val="21"/>
          <w:highlight w:val="none"/>
          <w:lang w:val="en-US" w:eastAsia="zh-CN"/>
        </w:rPr>
        <w:t xml:space="preserve">所有班次的</w:t>
      </w:r>
      <w:r>
        <w:rPr>
          <w:rFonts w:ascii="宋体" w:hAnsi="宋体" w:eastAsia="宋体" w:cs="Times New Roman"/>
          <w:bCs/>
          <w:color w:val="auto"/>
          <w:sz w:val="21"/>
          <w:szCs w:val="21"/>
          <w:highlight w:val="none"/>
        </w:rPr>
        <w:t xml:space="preserve">课堂教学、实践教学和交流观摩。在课堂教学、实践教学和交流观摩全部完成后对学员开展跟踪服务，并于202</w:t>
      </w:r>
      <w:r>
        <w:rPr>
          <w:rFonts w:hint="eastAsia" w:ascii="宋体" w:hAnsi="宋体" w:cs="Times New Roman"/>
          <w:bCs/>
          <w:color w:val="auto"/>
          <w:sz w:val="21"/>
          <w:szCs w:val="21"/>
          <w:highlight w:val="none"/>
          <w:lang w:val="en-US" w:eastAsia="zh-CN"/>
        </w:rPr>
        <w:t xml:space="preserve">7</w:t>
      </w:r>
      <w:r>
        <w:rPr>
          <w:rFonts w:ascii="宋体" w:hAnsi="宋体" w:eastAsia="宋体" w:cs="Times New Roman"/>
          <w:bCs/>
          <w:color w:val="auto"/>
          <w:sz w:val="21"/>
          <w:szCs w:val="21"/>
          <w:highlight w:val="none"/>
        </w:rPr>
        <w:t xml:space="preserve">年</w:t>
      </w:r>
      <w:r>
        <w:rPr>
          <w:rFonts w:hint="eastAsia" w:ascii="宋体" w:hAnsi="宋体" w:cs="Times New Roman"/>
          <w:bCs/>
          <w:color w:val="auto"/>
          <w:sz w:val="21"/>
          <w:szCs w:val="21"/>
          <w:highlight w:val="none"/>
          <w:lang w:val="en-US" w:eastAsia="zh-CN"/>
        </w:rPr>
        <w:t xml:space="preserve">5</w:t>
      </w:r>
      <w:r>
        <w:rPr>
          <w:rFonts w:ascii="宋体" w:hAnsi="宋体" w:eastAsia="宋体" w:cs="Times New Roman"/>
          <w:bCs/>
          <w:color w:val="auto"/>
          <w:sz w:val="21"/>
          <w:szCs w:val="21"/>
          <w:highlight w:val="none"/>
        </w:rPr>
        <w:t xml:space="preserve">月底之前完成。</w:t>
      </w:r>
      <w:r/>
    </w:p>
    <w:p>
      <w:pPr>
        <w:pStyle w:val="741"/>
        <w:rPr>
          <w:lang w:val="en-US" w:eastAsia="zh-CN"/>
        </w:rPr>
      </w:pPr>
      <w:r>
        <w:rPr>
          <w:lang w:val="en-US" w:eastAsia="zh-CN"/>
        </w:rPr>
      </w:r>
      <w:r/>
    </w:p>
    <w:p>
      <w:pPr>
        <w:numPr>
          <w:ilvl w:val="0"/>
          <w:numId w:val="5"/>
        </w:numPr>
        <w:ind w:firstLine="422"/>
        <w:jc w:val="both"/>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其他要求</w:t>
      </w:r>
      <w:r/>
    </w:p>
    <w:p>
      <w:pPr>
        <w:ind w:firstLine="570"/>
        <w:jc w:val="both"/>
        <w:spacing w:after="0" w:line="360" w:lineRule="auto"/>
        <w:widowControl w:val="off"/>
        <w:rPr>
          <w:rFonts w:hint="eastAsia" w:ascii="宋体" w:hAnsi="宋体" w:eastAsia="宋体" w:cs="宋体"/>
          <w:color w:val="auto"/>
          <w:sz w:val="21"/>
          <w:szCs w:val="21"/>
          <w:highlight w:val="none"/>
          <w:lang w:eastAsia="zh-CN"/>
        </w:rPr>
      </w:pPr>
      <w:r>
        <w:rPr>
          <w:rFonts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投标人</w:t>
      </w:r>
      <w:r>
        <w:rPr>
          <w:rFonts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en-US" w:eastAsia="zh-CN"/>
        </w:rPr>
        <w:t xml:space="preserve">项目清单</w:t>
      </w:r>
      <w:r>
        <w:rPr>
          <w:rFonts w:ascii="宋体" w:hAnsi="宋体" w:eastAsia="宋体" w:cs="宋体"/>
          <w:color w:val="auto"/>
          <w:sz w:val="21"/>
          <w:szCs w:val="21"/>
          <w:highlight w:val="none"/>
        </w:rPr>
        <w:t xml:space="preserve">，结合</w:t>
      </w:r>
      <w:r>
        <w:rPr>
          <w:rFonts w:hint="eastAsia" w:ascii="宋体" w:hAnsi="宋体" w:eastAsia="宋体" w:cs="宋体"/>
          <w:color w:val="auto"/>
          <w:sz w:val="21"/>
          <w:szCs w:val="21"/>
          <w:highlight w:val="none"/>
          <w:lang w:val="en-US" w:eastAsia="zh-CN"/>
        </w:rPr>
        <w:t xml:space="preserve">自身教学特色和</w:t>
      </w:r>
      <w:r>
        <w:rPr>
          <w:rFonts w:ascii="宋体" w:hAnsi="宋体" w:eastAsia="宋体" w:cs="宋体"/>
          <w:color w:val="auto"/>
          <w:sz w:val="21"/>
          <w:szCs w:val="21"/>
          <w:highlight w:val="none"/>
        </w:rPr>
        <w:t xml:space="preserve">工作实际，投标人可多包兼投，但最多中标</w:t>
      </w:r>
      <w:r>
        <w:rPr>
          <w:rFonts w:hint="eastAsia" w:ascii="宋体" w:hAnsi="宋体" w:eastAsia="宋体" w:cs="宋体"/>
          <w:color w:val="auto"/>
          <w:sz w:val="21"/>
          <w:szCs w:val="21"/>
          <w:highlight w:val="none"/>
          <w:lang w:val="en-US" w:eastAsia="zh-CN"/>
        </w:rPr>
        <w:t xml:space="preserve">2</w:t>
      </w:r>
      <w:r>
        <w:rPr>
          <w:rFonts w:ascii="宋体" w:hAnsi="宋体" w:eastAsia="宋体" w:cs="宋体"/>
          <w:color w:val="auto"/>
          <w:sz w:val="21"/>
          <w:szCs w:val="21"/>
          <w:highlight w:val="none"/>
        </w:rPr>
        <w:t xml:space="preserve">个包，若投多个包，请各投标人按所投采购包分别制作投标文件上传系统。开标、评标顺序为采购包1至采购包</w:t>
      </w:r>
      <w:r>
        <w:rPr>
          <w:rFonts w:hint="eastAsia" w:ascii="宋体" w:hAnsi="宋体" w:cs="宋体"/>
          <w:color w:val="auto"/>
          <w:sz w:val="21"/>
          <w:szCs w:val="21"/>
          <w:highlight w:val="none"/>
          <w:lang w:val="en-US" w:eastAsia="zh-CN"/>
        </w:rPr>
        <w:t xml:space="preserve">4</w:t>
      </w:r>
      <w:r>
        <w:rPr>
          <w:rFonts w:ascii="宋体" w:hAnsi="宋体" w:eastAsia="宋体" w:cs="宋体"/>
          <w:color w:val="auto"/>
          <w:sz w:val="21"/>
          <w:szCs w:val="21"/>
          <w:highlight w:val="none"/>
        </w:rPr>
        <w:t xml:space="preserve">。如某采购包第一中标候选人已中满</w:t>
      </w:r>
      <w:r>
        <w:rPr>
          <w:rFonts w:hint="eastAsia" w:ascii="宋体" w:hAnsi="宋体" w:eastAsia="宋体" w:cs="宋体"/>
          <w:color w:val="auto"/>
          <w:sz w:val="21"/>
          <w:szCs w:val="21"/>
          <w:highlight w:val="none"/>
          <w:lang w:val="en-US" w:eastAsia="zh-CN"/>
        </w:rPr>
        <w:t xml:space="preserve">2</w:t>
      </w:r>
      <w:r>
        <w:rPr>
          <w:rFonts w:ascii="宋体" w:hAnsi="宋体" w:eastAsia="宋体" w:cs="宋体"/>
          <w:color w:val="auto"/>
          <w:sz w:val="21"/>
          <w:szCs w:val="21"/>
          <w:highlight w:val="none"/>
        </w:rPr>
        <w:t xml:space="preserve">个采购包的，则此采购包由第二中标候选人中标，并以此类推。</w:t>
      </w:r>
      <w:r/>
    </w:p>
    <w:p>
      <w:pPr>
        <w:ind w:firstLine="570"/>
        <w:jc w:val="both"/>
        <w:spacing w:after="0" w:line="360" w:lineRule="auto"/>
        <w:widowControl w:val="off"/>
        <w:rPr>
          <w:rFonts w:hint="default" w:ascii="宋体" w:hAnsi="宋体" w:eastAsia="宋体" w:cs="宋体"/>
          <w:color w:val="auto"/>
          <w:sz w:val="21"/>
          <w:szCs w:val="21"/>
          <w:highlight w:val="none"/>
          <w:lang w:val="en-US" w:eastAsia="zh-CN" w:bidi="ar-SA"/>
        </w:rPr>
      </w:pPr>
      <w:r>
        <w:rPr>
          <w:rFonts w:ascii="宋体" w:hAnsi="宋体" w:eastAsia="宋体" w:cs="宋体"/>
          <w:b/>
          <w:bCs/>
          <w:i/>
          <w:iCs/>
          <w:color w:val="auto"/>
          <w:sz w:val="21"/>
          <w:szCs w:val="21"/>
          <w:highlight w:val="none"/>
          <w:u w:val="single"/>
        </w:rPr>
        <w:t xml:space="preserve">2.</w:t>
      </w:r>
      <w:r>
        <w:rPr>
          <w:rFonts w:hint="eastAsia" w:ascii="宋体" w:hAnsi="宋体" w:eastAsia="宋体" w:cs="宋体"/>
          <w:b/>
          <w:bCs/>
          <w:i/>
          <w:iCs/>
          <w:color w:val="auto"/>
          <w:sz w:val="21"/>
          <w:szCs w:val="21"/>
          <w:highlight w:val="none"/>
          <w:u w:val="single"/>
          <w:lang w:eastAsia="zh-CN"/>
        </w:rPr>
        <w:t xml:space="preserve">投标人</w:t>
      </w:r>
      <w:r>
        <w:rPr>
          <w:rFonts w:hint="eastAsia" w:ascii="宋体" w:hAnsi="宋体" w:eastAsia="宋体" w:cs="宋体"/>
          <w:b/>
          <w:bCs/>
          <w:i/>
          <w:iCs/>
          <w:color w:val="auto"/>
          <w:sz w:val="21"/>
          <w:szCs w:val="21"/>
          <w:highlight w:val="none"/>
          <w:u w:val="single"/>
        </w:rPr>
        <w:t xml:space="preserve">应具有承担该项目的履约服务能力和实践经验，信誉良好，具备开展该项目必要的培训场所、现代化的教学设备、雄厚的师资力量，具备协调落实对标学习考察对象、后续跟踪指导持续培养的师资与资源的能力。</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lang w:val="en-US" w:eastAsia="zh-CN"/>
        </w:rPr>
        <w:t xml:space="preserve">对以上全部内容进行承诺，提供承诺函，格式自拟，盖章原件扫描件上传</w:t>
      </w:r>
      <w:r>
        <w:rPr>
          <w:rFonts w:hint="eastAsia" w:ascii="宋体" w:hAnsi="宋体" w:eastAsia="宋体" w:cs="宋体"/>
          <w:b/>
          <w:bCs/>
          <w:i/>
          <w:iCs/>
          <w:color w:val="auto"/>
          <w:sz w:val="21"/>
          <w:szCs w:val="21"/>
          <w:highlight w:val="none"/>
          <w:u w:val="single"/>
          <w:lang w:eastAsia="zh-CN"/>
        </w:rPr>
        <w:t xml:space="preserve">）</w:t>
      </w:r>
      <w:r/>
    </w:p>
    <w:p>
      <w:pPr>
        <w:ind w:firstLine="570"/>
        <w:jc w:val="both"/>
        <w:spacing w:after="0" w:line="360" w:lineRule="auto"/>
        <w:widowControl w:val="off"/>
        <w:rPr>
          <w:rFonts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rPr>
        <w:t xml:space="preserve">3</w:t>
      </w:r>
      <w:r>
        <w:rPr>
          <w:rFonts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w:t>
      </w:r>
      <w:r>
        <w:rPr>
          <w:rFonts w:hint="eastAsia" w:ascii="宋体" w:hAnsi="宋体" w:eastAsia="宋体" w:cs="宋体"/>
          <w:color w:val="auto"/>
          <w:sz w:val="21"/>
          <w:szCs w:val="21"/>
          <w:highlight w:val="none"/>
          <w:lang w:val="en-US" w:eastAsia="zh-CN"/>
        </w:rPr>
        <w:t xml:space="preserve">成立相应的项目管理小组，人数不低于5人，并明确职责分工。</w:t>
      </w:r>
      <w:r/>
    </w:p>
    <w:p>
      <w:pPr>
        <w:ind w:firstLine="570"/>
        <w:jc w:val="both"/>
        <w:spacing w:after="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4.投标人应</w:t>
      </w:r>
      <w:r>
        <w:rPr>
          <w:rFonts w:hint="eastAsia" w:ascii="宋体" w:hAnsi="宋体" w:eastAsia="宋体" w:cs="宋体"/>
          <w:color w:val="auto"/>
          <w:sz w:val="21"/>
          <w:szCs w:val="21"/>
          <w:highlight w:val="none"/>
        </w:rPr>
        <w:t xml:space="preserve">具有稳定的专兼职师资库。服务本项目的师资力量应包含</w:t>
      </w:r>
      <w:r>
        <w:rPr>
          <w:rFonts w:hint="eastAsia" w:ascii="宋体" w:hAnsi="宋体" w:eastAsia="宋体" w:cs="宋体"/>
          <w:color w:val="auto"/>
          <w:sz w:val="21"/>
          <w:szCs w:val="21"/>
          <w:highlight w:val="none"/>
          <w:lang w:eastAsia="zh-CN"/>
        </w:rPr>
        <w:t xml:space="preserve">地市</w:t>
      </w:r>
      <w:r>
        <w:rPr>
          <w:rFonts w:hint="eastAsia" w:ascii="宋体" w:hAnsi="宋体" w:eastAsia="宋体" w:cs="宋体"/>
          <w:color w:val="auto"/>
          <w:sz w:val="21"/>
          <w:szCs w:val="21"/>
          <w:highlight w:val="none"/>
        </w:rPr>
        <w:t xml:space="preserve">级及以上或国内一流及更高层次专家学者。</w:t>
      </w:r>
      <w:r/>
    </w:p>
    <w:p>
      <w:pPr>
        <w:ind w:firstLine="570"/>
        <w:jc w:val="both"/>
        <w:spacing w:after="0" w:line="360" w:lineRule="auto"/>
        <w:widowControl w:val="off"/>
        <w:rPr>
          <w:rFonts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val="en-US" w:eastAsia="zh-CN"/>
        </w:rPr>
        <w:t xml:space="preserve">5</w:t>
      </w:r>
      <w:r>
        <w:rPr>
          <w:rFonts w:hint="eastAsia" w:ascii="宋体" w:hAnsi="宋体" w:eastAsia="宋体" w:cs="Times New Roman"/>
          <w:bCs/>
          <w:color w:val="auto"/>
          <w:sz w:val="21"/>
          <w:szCs w:val="21"/>
          <w:highlight w:val="none"/>
        </w:rPr>
        <w:t xml:space="preserve">.</w:t>
      </w:r>
      <w:r>
        <w:rPr>
          <w:rFonts w:hint="eastAsia" w:ascii="宋体" w:hAnsi="宋体" w:eastAsia="宋体" w:cs="Times New Roman"/>
          <w:bCs/>
          <w:color w:val="auto"/>
          <w:sz w:val="21"/>
          <w:szCs w:val="21"/>
          <w:highlight w:val="none"/>
          <w:lang w:eastAsia="zh-CN"/>
        </w:rPr>
        <w:t xml:space="preserve">投标人</w:t>
      </w:r>
      <w:r>
        <w:rPr>
          <w:rFonts w:hint="eastAsia" w:ascii="宋体" w:hAnsi="宋体" w:eastAsia="宋体" w:cs="Times New Roman"/>
          <w:bCs/>
          <w:color w:val="auto"/>
          <w:sz w:val="21"/>
          <w:szCs w:val="21"/>
          <w:highlight w:val="none"/>
        </w:rPr>
        <w:t xml:space="preserve">需拟定详细的</w:t>
      </w:r>
      <w:r>
        <w:rPr>
          <w:rFonts w:hint="eastAsia" w:ascii="宋体" w:hAnsi="宋体" w:eastAsia="宋体" w:cs="Times New Roman"/>
          <w:bCs/>
          <w:color w:val="auto"/>
          <w:sz w:val="21"/>
          <w:szCs w:val="21"/>
          <w:highlight w:val="none"/>
          <w:lang w:val="en-US" w:eastAsia="zh-CN"/>
        </w:rPr>
        <w:t xml:space="preserve">项目实施</w:t>
      </w:r>
      <w:r>
        <w:rPr>
          <w:rFonts w:hint="eastAsia" w:ascii="宋体" w:hAnsi="宋体" w:eastAsia="宋体" w:cs="Times New Roman"/>
          <w:bCs/>
          <w:color w:val="auto"/>
          <w:sz w:val="21"/>
          <w:szCs w:val="21"/>
          <w:highlight w:val="none"/>
        </w:rPr>
        <w:t xml:space="preserve">方案，包含但不限于对本项目的理解、</w:t>
      </w:r>
      <w:r>
        <w:rPr>
          <w:rFonts w:hint="eastAsia" w:ascii="宋体" w:hAnsi="宋体" w:eastAsia="宋体" w:cs="Times New Roman"/>
          <w:bCs/>
          <w:color w:val="auto"/>
          <w:sz w:val="21"/>
          <w:szCs w:val="21"/>
          <w:highlight w:val="none"/>
          <w:lang w:val="en-US" w:eastAsia="zh-CN"/>
        </w:rPr>
        <w:t xml:space="preserve">教学计划</w:t>
      </w:r>
      <w:r>
        <w:rPr>
          <w:rFonts w:hint="eastAsia" w:ascii="宋体" w:hAnsi="宋体" w:eastAsia="宋体" w:cs="Times New Roman"/>
          <w:bCs/>
          <w:color w:val="auto"/>
          <w:sz w:val="21"/>
          <w:szCs w:val="21"/>
          <w:highlight w:val="none"/>
        </w:rPr>
        <w:t xml:space="preserve">、课程设置、师资安排及候选人选、服务团队组建及人员安排、教学组织管理制度、档案管理制度、学员综合管理制度及其他安全与应急预案等为顺利实施该项目需包含的内容。</w:t>
      </w:r>
      <w:r/>
    </w:p>
    <w:p>
      <w:pPr>
        <w:ind w:firstLine="420"/>
        <w:jc w:val="both"/>
        <w:spacing w:after="0" w:line="360" w:lineRule="auto"/>
        <w:widowControl w:val="off"/>
        <w:rPr>
          <w:rFonts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val="en-US" w:eastAsia="zh-CN"/>
        </w:rPr>
        <w:t xml:space="preserve">6.投标人竞得</w:t>
      </w:r>
      <w:r>
        <w:rPr>
          <w:color w:val="auto"/>
          <w:spacing w:val="3"/>
          <w:highlight w:val="none"/>
        </w:rPr>
        <w:t xml:space="preserve">项目</w:t>
      </w:r>
      <w:r>
        <w:rPr>
          <w:rFonts w:hint="eastAsia"/>
          <w:color w:val="auto"/>
          <w:spacing w:val="3"/>
          <w:highlight w:val="none"/>
          <w:lang w:val="en-US" w:eastAsia="zh-CN"/>
        </w:rPr>
        <w:t xml:space="preserve">的</w:t>
      </w:r>
      <w:r>
        <w:rPr>
          <w:color w:val="auto"/>
          <w:spacing w:val="3"/>
          <w:highlight w:val="none"/>
        </w:rPr>
        <w:t xml:space="preserve">资金</w:t>
      </w:r>
      <w:r>
        <w:rPr>
          <w:rFonts w:hint="eastAsia"/>
          <w:color w:val="auto"/>
          <w:spacing w:val="3"/>
          <w:highlight w:val="none"/>
          <w:lang w:val="en-US" w:eastAsia="zh-CN"/>
        </w:rPr>
        <w:t xml:space="preserve">须</w:t>
      </w:r>
      <w:r>
        <w:rPr>
          <w:color w:val="auto"/>
          <w:spacing w:val="3"/>
          <w:highlight w:val="none"/>
        </w:rPr>
        <w:t xml:space="preserve">用于需求调查、课堂教学</w:t>
      </w:r>
      <w:r>
        <w:rPr>
          <w:color w:val="auto"/>
          <w:spacing w:val="-2"/>
          <w:highlight w:val="none"/>
        </w:rPr>
        <w:t xml:space="preserve">（含线上线下）</w:t>
      </w:r>
      <w:r>
        <w:rPr>
          <w:color w:val="auto"/>
          <w:spacing w:val="-35"/>
          <w:highlight w:val="none"/>
        </w:rPr>
        <w:t xml:space="preserve"> </w:t>
      </w:r>
      <w:r>
        <w:rPr>
          <w:color w:val="auto"/>
          <w:spacing w:val="-2"/>
          <w:highlight w:val="none"/>
        </w:rPr>
        <w:t xml:space="preserve">、</w:t>
      </w:r>
      <w:r>
        <w:rPr>
          <w:color w:val="auto"/>
          <w:spacing w:val="-49"/>
          <w:highlight w:val="none"/>
        </w:rPr>
        <w:t xml:space="preserve"> </w:t>
      </w:r>
      <w:r>
        <w:rPr>
          <w:color w:val="auto"/>
          <w:spacing w:val="-2"/>
          <w:highlight w:val="none"/>
        </w:rPr>
        <w:t xml:space="preserve">实践教学</w:t>
      </w:r>
      <w:r>
        <w:rPr>
          <w:color w:val="auto"/>
          <w:spacing w:val="-41"/>
          <w:highlight w:val="none"/>
        </w:rPr>
        <w:t xml:space="preserve"> </w:t>
      </w:r>
      <w:r>
        <w:rPr>
          <w:color w:val="auto"/>
          <w:spacing w:val="-2"/>
          <w:highlight w:val="none"/>
        </w:rPr>
        <w:t xml:space="preserve">、</w:t>
      </w:r>
      <w:r>
        <w:rPr>
          <w:color w:val="auto"/>
          <w:spacing w:val="-54"/>
          <w:highlight w:val="none"/>
        </w:rPr>
        <w:t xml:space="preserve"> </w:t>
      </w:r>
      <w:r>
        <w:rPr>
          <w:color w:val="auto"/>
          <w:spacing w:val="-2"/>
          <w:highlight w:val="none"/>
        </w:rPr>
        <w:t xml:space="preserve">交流观摩</w:t>
      </w:r>
      <w:r>
        <w:rPr>
          <w:color w:val="auto"/>
          <w:spacing w:val="-39"/>
          <w:highlight w:val="none"/>
        </w:rPr>
        <w:t xml:space="preserve"> </w:t>
      </w:r>
      <w:r>
        <w:rPr>
          <w:color w:val="auto"/>
          <w:spacing w:val="-2"/>
          <w:highlight w:val="none"/>
        </w:rPr>
        <w:t xml:space="preserve">、跟踪服务</w:t>
      </w:r>
      <w:r>
        <w:rPr>
          <w:color w:val="auto"/>
          <w:spacing w:val="-38"/>
          <w:highlight w:val="none"/>
        </w:rPr>
        <w:t xml:space="preserve"> </w:t>
      </w:r>
      <w:r>
        <w:rPr>
          <w:color w:val="auto"/>
          <w:spacing w:val="-2"/>
          <w:highlight w:val="none"/>
        </w:rPr>
        <w:t xml:space="preserve">、</w:t>
      </w:r>
      <w:r>
        <w:rPr>
          <w:color w:val="auto"/>
          <w:spacing w:val="-43"/>
          <w:highlight w:val="none"/>
        </w:rPr>
        <w:t xml:space="preserve"> </w:t>
      </w:r>
      <w:r>
        <w:rPr>
          <w:color w:val="auto"/>
          <w:spacing w:val="-2"/>
          <w:highlight w:val="none"/>
        </w:rPr>
        <w:t xml:space="preserve">总结评价、</w:t>
      </w:r>
      <w:r>
        <w:rPr>
          <w:color w:val="auto"/>
          <w:spacing w:val="5"/>
          <w:highlight w:val="none"/>
        </w:rPr>
        <w:t xml:space="preserve">验收费用，可向实训基地支付场地耗材</w:t>
      </w:r>
      <w:r>
        <w:rPr>
          <w:rFonts w:hint="eastAsia"/>
          <w:color w:val="auto"/>
          <w:spacing w:val="5"/>
          <w:highlight w:val="none"/>
          <w:lang w:eastAsia="zh-CN"/>
        </w:rPr>
        <w:t xml:space="preserve">、</w:t>
      </w:r>
      <w:r>
        <w:rPr>
          <w:color w:val="auto"/>
          <w:spacing w:val="5"/>
          <w:highlight w:val="none"/>
        </w:rPr>
        <w:t xml:space="preserve">实训师资等实际费用；不得列支</w:t>
      </w:r>
      <w:r>
        <w:rPr>
          <w:rFonts w:hint="eastAsia"/>
          <w:color w:val="auto"/>
          <w:spacing w:val="5"/>
          <w:highlight w:val="none"/>
          <w:lang w:val="en-US" w:eastAsia="zh-CN"/>
        </w:rPr>
        <w:t xml:space="preserve">此次</w:t>
      </w:r>
      <w:r>
        <w:rPr>
          <w:color w:val="auto"/>
          <w:spacing w:val="5"/>
          <w:highlight w:val="none"/>
        </w:rPr>
        <w:t xml:space="preserve">招投标费</w:t>
      </w:r>
      <w:r>
        <w:rPr>
          <w:color w:val="auto"/>
          <w:spacing w:val="-30"/>
          <w:highlight w:val="none"/>
        </w:rPr>
        <w:t xml:space="preserve"> </w:t>
      </w:r>
      <w:r>
        <w:rPr>
          <w:rFonts w:hint="eastAsia"/>
          <w:color w:val="auto"/>
          <w:spacing w:val="-30"/>
          <w:highlight w:val="none"/>
          <w:lang w:eastAsia="zh-CN"/>
        </w:rPr>
        <w:t xml:space="preserve">、</w:t>
      </w:r>
      <w:r>
        <w:rPr>
          <w:color w:val="auto"/>
          <w:spacing w:val="-25"/>
          <w:highlight w:val="none"/>
        </w:rPr>
        <w:t xml:space="preserve"> </w:t>
      </w:r>
      <w:r>
        <w:rPr>
          <w:color w:val="auto"/>
          <w:spacing w:val="5"/>
          <w:highlight w:val="none"/>
        </w:rPr>
        <w:t xml:space="preserve">审计费</w:t>
      </w:r>
      <w:r>
        <w:rPr>
          <w:color w:val="auto"/>
          <w:spacing w:val="-37"/>
          <w:highlight w:val="none"/>
        </w:rPr>
        <w:t xml:space="preserve"> </w:t>
      </w:r>
      <w:r>
        <w:rPr>
          <w:color w:val="auto"/>
          <w:spacing w:val="5"/>
          <w:highlight w:val="none"/>
        </w:rPr>
        <w:t xml:space="preserve">、</w:t>
      </w:r>
      <w:r>
        <w:rPr>
          <w:color w:val="auto"/>
          <w:spacing w:val="-32"/>
          <w:highlight w:val="none"/>
        </w:rPr>
        <w:t xml:space="preserve"> </w:t>
      </w:r>
      <w:r>
        <w:rPr>
          <w:color w:val="auto"/>
          <w:spacing w:val="5"/>
          <w:highlight w:val="none"/>
        </w:rPr>
        <w:t xml:space="preserve">第三方评估费等</w:t>
      </w:r>
      <w:r>
        <w:rPr>
          <w:rFonts w:hint="eastAsia" w:ascii="Times New Roman" w:hAnsi="Times New Roman" w:eastAsia="宋体" w:cs="Times New Roman"/>
          <w:color w:val="auto"/>
          <w:spacing w:val="5"/>
          <w:highlight w:val="none"/>
          <w:lang w:eastAsia="zh-CN"/>
        </w:rPr>
        <w:t xml:space="preserve">“</w:t>
      </w:r>
      <w:r>
        <w:rPr>
          <w:rFonts w:ascii="Times New Roman" w:hAnsi="Times New Roman" w:eastAsia="Times New Roman" w:cs="Times New Roman"/>
          <w:color w:val="auto"/>
          <w:spacing w:val="-36"/>
          <w:highlight w:val="none"/>
        </w:rPr>
        <w:t xml:space="preserve"> </w:t>
      </w:r>
      <w:r>
        <w:rPr>
          <w:color w:val="auto"/>
          <w:spacing w:val="5"/>
          <w:highlight w:val="none"/>
        </w:rPr>
        <w:t xml:space="preserve">三公</w:t>
      </w:r>
      <w:r>
        <w:rPr>
          <w:rFonts w:hint="eastAsia" w:ascii="Times New Roman" w:hAnsi="Times New Roman" w:eastAsia="宋体" w:cs="Times New Roman"/>
          <w:color w:val="auto"/>
          <w:spacing w:val="5"/>
          <w:highlight w:val="none"/>
          <w:lang w:eastAsia="zh-CN"/>
        </w:rPr>
        <w:t xml:space="preserve">”</w:t>
      </w:r>
      <w:r>
        <w:rPr>
          <w:color w:val="auto"/>
          <w:spacing w:val="5"/>
          <w:highlight w:val="none"/>
        </w:rPr>
        <w:t xml:space="preserve">经费，</w:t>
      </w:r>
      <w:r>
        <w:rPr>
          <w:color w:val="auto"/>
          <w:spacing w:val="-38"/>
          <w:highlight w:val="none"/>
        </w:rPr>
        <w:t xml:space="preserve"> </w:t>
      </w:r>
      <w:r>
        <w:rPr>
          <w:color w:val="auto"/>
          <w:spacing w:val="5"/>
          <w:highlight w:val="none"/>
        </w:rPr>
        <w:t xml:space="preserve">不得向培育对象发放补助</w:t>
      </w:r>
      <w:r>
        <w:rPr>
          <w:color w:val="auto"/>
          <w:spacing w:val="-32"/>
          <w:highlight w:val="none"/>
        </w:rPr>
        <w:t xml:space="preserve"> </w:t>
      </w:r>
      <w:r>
        <w:rPr>
          <w:color w:val="auto"/>
          <w:spacing w:val="5"/>
          <w:highlight w:val="none"/>
        </w:rPr>
        <w:t xml:space="preserve">。</w:t>
      </w:r>
      <w:r/>
    </w:p>
    <w:p>
      <w:pPr>
        <w:ind w:firstLine="420"/>
        <w:jc w:val="both"/>
        <w:spacing w:after="0" w:line="360" w:lineRule="auto"/>
        <w:widowControl w:val="off"/>
        <w:rPr>
          <w:rFonts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val="en-US" w:eastAsia="zh-CN"/>
        </w:rPr>
        <w:t xml:space="preserve">7.</w:t>
      </w:r>
      <w:r>
        <w:rPr>
          <w:rFonts w:hint="eastAsia" w:ascii="宋体" w:hAnsi="宋体" w:eastAsia="宋体" w:cs="Times New Roman"/>
          <w:bCs/>
          <w:color w:val="auto"/>
          <w:sz w:val="21"/>
          <w:szCs w:val="21"/>
          <w:highlight w:val="none"/>
          <w:lang w:eastAsia="zh-CN"/>
        </w:rPr>
        <w:t xml:space="preserve">投标人</w:t>
      </w:r>
      <w:r>
        <w:rPr>
          <w:rFonts w:hint="eastAsia" w:ascii="宋体" w:hAnsi="宋体" w:eastAsia="宋体" w:cs="Times New Roman"/>
          <w:bCs/>
          <w:color w:val="auto"/>
          <w:sz w:val="21"/>
          <w:szCs w:val="21"/>
          <w:highlight w:val="none"/>
          <w:lang w:val="en-US" w:eastAsia="zh-CN"/>
        </w:rPr>
        <w:t xml:space="preserve">投标</w:t>
      </w:r>
      <w:r>
        <w:rPr>
          <w:rFonts w:hint="eastAsia" w:ascii="宋体" w:hAnsi="宋体" w:eastAsia="宋体" w:cs="Times New Roman"/>
          <w:bCs/>
          <w:color w:val="auto"/>
          <w:sz w:val="21"/>
          <w:szCs w:val="21"/>
          <w:highlight w:val="none"/>
        </w:rPr>
        <w:t xml:space="preserve">文件中提供的师资安排方案及候选人选在实际履约时未经采购人同意不得替换，如果发生不可抗力原因或经采购人同意的客观原因需调换，</w:t>
      </w:r>
      <w:r>
        <w:rPr>
          <w:rFonts w:hint="eastAsia" w:ascii="宋体" w:hAnsi="宋体" w:eastAsia="宋体" w:cs="Times New Roman"/>
          <w:bCs/>
          <w:color w:val="auto"/>
          <w:sz w:val="21"/>
          <w:szCs w:val="21"/>
          <w:highlight w:val="none"/>
          <w:lang w:eastAsia="zh-CN"/>
        </w:rPr>
        <w:t xml:space="preserve">投标人</w:t>
      </w:r>
      <w:r>
        <w:rPr>
          <w:rFonts w:hint="eastAsia" w:ascii="宋体" w:hAnsi="宋体" w:eastAsia="宋体" w:cs="Times New Roman"/>
          <w:bCs/>
          <w:color w:val="auto"/>
          <w:sz w:val="21"/>
          <w:szCs w:val="21"/>
          <w:highlight w:val="none"/>
        </w:rPr>
        <w:t xml:space="preserve">须安排同层次、同级别或以上的师资力量报采购人同意后予以实施，师资调换不影响合同继续履行，不得因此增加费用或延迟该项目实施。</w:t>
      </w:r>
      <w:r/>
    </w:p>
    <w:p>
      <w:pPr>
        <w:ind w:firstLine="420"/>
        <w:jc w:val="both"/>
        <w:spacing w:after="0" w:line="360" w:lineRule="auto"/>
        <w:widowControl w:val="off"/>
        <w:rPr>
          <w:rFonts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val="en-US" w:eastAsia="zh-CN"/>
        </w:rPr>
        <w:t xml:space="preserve">8.</w:t>
      </w:r>
      <w:r>
        <w:rPr>
          <w:rFonts w:hint="eastAsia" w:ascii="宋体" w:hAnsi="宋体" w:eastAsia="宋体" w:cs="Times New Roman"/>
          <w:bCs/>
          <w:color w:val="auto"/>
          <w:sz w:val="21"/>
          <w:szCs w:val="21"/>
          <w:highlight w:val="none"/>
          <w:lang w:eastAsia="zh-CN"/>
        </w:rPr>
        <w:t xml:space="preserve">投标人</w:t>
      </w:r>
      <w:r>
        <w:rPr>
          <w:rFonts w:hint="eastAsia" w:ascii="宋体" w:hAnsi="宋体" w:eastAsia="宋体" w:cs="Times New Roman"/>
          <w:bCs/>
          <w:color w:val="auto"/>
          <w:sz w:val="21"/>
          <w:szCs w:val="21"/>
          <w:highlight w:val="none"/>
        </w:rPr>
        <w:t xml:space="preserve">应配备具有丰富教学组织管理经验、具备较强现场教学及学员管理能力的工作团队，负责学员培训期间的管理及安全教育、治安防范工作，维护课堂秩序，维护班级管理秩序。课堂培训应为每位培训学员提供符合该项目要求的有针对性的教材、讲义、学习资料、讲课课件以及基本的学习用品。</w:t>
      </w:r>
      <w:r/>
    </w:p>
    <w:p>
      <w:pPr>
        <w:ind w:firstLine="420"/>
        <w:jc w:val="both"/>
        <w:spacing w:after="0" w:line="360" w:lineRule="auto"/>
        <w:widowControl w:val="off"/>
        <w:rPr>
          <w:rFonts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val="en-US" w:eastAsia="zh-CN"/>
        </w:rPr>
        <w:t xml:space="preserve">9.实践教学</w:t>
      </w:r>
      <w:r>
        <w:rPr>
          <w:rFonts w:hint="eastAsia" w:ascii="宋体" w:hAnsi="宋体" w:eastAsia="宋体" w:cs="Times New Roman"/>
          <w:bCs/>
          <w:color w:val="auto"/>
          <w:sz w:val="21"/>
          <w:szCs w:val="21"/>
          <w:highlight w:val="none"/>
        </w:rPr>
        <w:t xml:space="preserve">需按采购人要求在投标文件的基础上进一步细化完善，拟定详细的交通、食宿、考察方案</w:t>
      </w:r>
      <w:r>
        <w:rPr>
          <w:rFonts w:hint="eastAsia" w:ascii="宋体" w:hAnsi="宋体" w:eastAsia="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rPr>
        <w:t xml:space="preserve">落实现场教学讲解人员，配备专职工作人员，做好交通、饮食安全防范工作，经采购人同意后具体实施，确保</w:t>
      </w:r>
      <w:r>
        <w:rPr>
          <w:rFonts w:hint="eastAsia" w:ascii="宋体" w:hAnsi="宋体" w:eastAsia="宋体" w:cs="Times New Roman"/>
          <w:bCs/>
          <w:color w:val="auto"/>
          <w:sz w:val="21"/>
          <w:szCs w:val="21"/>
          <w:highlight w:val="none"/>
          <w:lang w:val="en-US" w:eastAsia="zh-CN"/>
        </w:rPr>
        <w:t xml:space="preserve">实习实训</w:t>
      </w:r>
      <w:r>
        <w:rPr>
          <w:rFonts w:hint="eastAsia" w:ascii="宋体" w:hAnsi="宋体" w:eastAsia="宋体" w:cs="Times New Roman"/>
          <w:bCs/>
          <w:color w:val="auto"/>
          <w:sz w:val="21"/>
          <w:szCs w:val="21"/>
          <w:highlight w:val="none"/>
        </w:rPr>
        <w:t xml:space="preserve">任务顺利实施。</w:t>
      </w:r>
      <w:r/>
    </w:p>
    <w:p>
      <w:pPr>
        <w:ind w:firstLine="420"/>
        <w:jc w:val="both"/>
        <w:keepLines w:val="0"/>
        <w:keepNext w:val="0"/>
        <w:pageBreakBefore w:val="0"/>
        <w:spacing w:after="0" w:line="360" w:lineRule="auto"/>
        <w:widowControl w:val="off"/>
        <w:rPr>
          <w:rFonts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val="en-US" w:eastAsia="zh-CN"/>
        </w:rPr>
        <w:t xml:space="preserve">10</w:t>
      </w:r>
      <w:r>
        <w:rPr>
          <w:rFonts w:hint="eastAsia" w:ascii="宋体" w:hAnsi="宋体" w:eastAsia="宋体" w:cs="Times New Roman"/>
          <w:bCs/>
          <w:color w:val="auto"/>
          <w:sz w:val="21"/>
          <w:szCs w:val="21"/>
          <w:highlight w:val="none"/>
          <w:lang w:eastAsia="zh-CN"/>
        </w:rPr>
        <w:t xml:space="preserve">投标人</w:t>
      </w:r>
      <w:r>
        <w:rPr>
          <w:rFonts w:hint="eastAsia" w:ascii="宋体" w:hAnsi="宋体" w:eastAsia="宋体" w:cs="Times New Roman"/>
          <w:bCs/>
          <w:color w:val="auto"/>
          <w:sz w:val="21"/>
          <w:szCs w:val="21"/>
          <w:highlight w:val="none"/>
          <w:lang w:val="en-US" w:eastAsia="zh-CN"/>
        </w:rPr>
        <w:t xml:space="preserve">成交</w:t>
      </w:r>
      <w:r>
        <w:rPr>
          <w:rFonts w:hint="eastAsia" w:ascii="宋体" w:hAnsi="宋体" w:eastAsia="宋体" w:cs="Times New Roman"/>
          <w:bCs/>
          <w:color w:val="auto"/>
          <w:sz w:val="21"/>
          <w:szCs w:val="21"/>
          <w:highlight w:val="none"/>
        </w:rPr>
        <w:t xml:space="preserve">后需在</w:t>
      </w:r>
      <w:r>
        <w:rPr>
          <w:rFonts w:hint="eastAsia" w:ascii="宋体" w:hAnsi="宋体" w:eastAsia="宋体" w:cs="Times New Roman"/>
          <w:bCs/>
          <w:color w:val="auto"/>
          <w:sz w:val="21"/>
          <w:szCs w:val="21"/>
          <w:highlight w:val="none"/>
          <w:lang w:val="en-US" w:eastAsia="zh-CN"/>
        </w:rPr>
        <w:t xml:space="preserve">响应</w:t>
      </w:r>
      <w:r>
        <w:rPr>
          <w:rFonts w:hint="eastAsia" w:ascii="宋体" w:hAnsi="宋体" w:eastAsia="宋体" w:cs="Times New Roman"/>
          <w:bCs/>
          <w:color w:val="auto"/>
          <w:sz w:val="21"/>
          <w:szCs w:val="21"/>
          <w:highlight w:val="none"/>
        </w:rPr>
        <w:t xml:space="preserve">文件基础上，进一步细化组织策划方案，每场</w:t>
      </w:r>
      <w:r>
        <w:rPr>
          <w:rFonts w:hint="eastAsia" w:ascii="宋体" w:hAnsi="宋体" w:eastAsia="宋体" w:cs="Times New Roman"/>
          <w:bCs/>
          <w:color w:val="auto"/>
          <w:sz w:val="21"/>
          <w:szCs w:val="21"/>
          <w:highlight w:val="none"/>
          <w:lang w:val="en-US" w:eastAsia="zh-CN"/>
        </w:rPr>
        <w:t xml:space="preserve">培训</w:t>
      </w:r>
      <w:r>
        <w:rPr>
          <w:rFonts w:hint="eastAsia" w:ascii="宋体" w:hAnsi="宋体" w:eastAsia="宋体" w:cs="Times New Roman"/>
          <w:bCs/>
          <w:color w:val="auto"/>
          <w:sz w:val="21"/>
          <w:szCs w:val="21"/>
          <w:highlight w:val="none"/>
        </w:rPr>
        <w:t xml:space="preserve">活动需提前提交策划和实施的细化方案报采购人审阅修订，经采购人同意后予以实施。</w:t>
      </w:r>
      <w:r/>
    </w:p>
    <w:p>
      <w:pPr>
        <w:ind w:firstLine="420"/>
        <w:jc w:val="both"/>
        <w:keepLines w:val="0"/>
        <w:keepNext w:val="0"/>
        <w:pageBreakBefore w:val="0"/>
        <w:spacing w:after="0" w:line="360" w:lineRule="auto"/>
        <w:widowControl w:val="off"/>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val="en-US" w:eastAsia="zh-CN"/>
        </w:rPr>
        <w:t xml:space="preserve">11</w:t>
      </w:r>
      <w:r>
        <w:rPr>
          <w:rFonts w:ascii="宋体" w:hAnsi="宋体" w:eastAsia="宋体" w:cs="Times New Roman"/>
          <w:bCs/>
          <w:color w:val="auto"/>
          <w:sz w:val="21"/>
          <w:szCs w:val="21"/>
          <w:highlight w:val="none"/>
        </w:rPr>
        <w:t xml:space="preserve">.</w:t>
      </w:r>
      <w:r>
        <w:rPr>
          <w:rFonts w:hint="eastAsia" w:ascii="宋体" w:hAnsi="宋体" w:eastAsia="宋体" w:cs="Times New Roman"/>
          <w:bCs/>
          <w:color w:val="auto"/>
          <w:sz w:val="21"/>
          <w:szCs w:val="21"/>
          <w:highlight w:val="none"/>
          <w:lang w:eastAsia="zh-CN"/>
        </w:rPr>
        <w:t xml:space="preserve">投标人</w:t>
      </w:r>
      <w:r>
        <w:rPr>
          <w:rFonts w:hint="eastAsia" w:ascii="宋体" w:hAnsi="宋体" w:eastAsia="宋体" w:cs="Times New Roman"/>
          <w:bCs/>
          <w:color w:val="auto"/>
          <w:sz w:val="21"/>
          <w:szCs w:val="21"/>
          <w:highlight w:val="none"/>
        </w:rPr>
        <w:t xml:space="preserve">在履约过程中须做好后勤保障工作，不得降低服务标准，不得违反采购人所在省关于会议培训的有关标准和纪律要求。</w:t>
      </w:r>
      <w:r/>
    </w:p>
    <w:p>
      <w:pPr>
        <w:ind w:firstLine="420"/>
        <w:jc w:val="both"/>
        <w:keepLines w:val="0"/>
        <w:keepNext w:val="0"/>
        <w:pageBreakBefore w:val="0"/>
        <w:spacing w:after="0" w:line="360" w:lineRule="auto"/>
        <w:widowControl w:val="off"/>
        <w:rPr>
          <w:rFonts w:hint="eastAsia"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lang w:val="en-US" w:eastAsia="zh-CN"/>
        </w:rPr>
        <w:t xml:space="preserve">12.</w:t>
      </w:r>
      <w:r>
        <w:rPr>
          <w:rFonts w:hint="eastAsia" w:ascii="宋体" w:hAnsi="宋体" w:eastAsia="宋体" w:cs="Times New Roman"/>
          <w:bCs/>
          <w:color w:val="auto"/>
          <w:sz w:val="21"/>
          <w:szCs w:val="21"/>
          <w:highlight w:val="none"/>
        </w:rPr>
        <w:t xml:space="preserve">未尽事项详见《江苏省202</w:t>
      </w:r>
      <w:r>
        <w:rPr>
          <w:rFonts w:hint="eastAsia" w:ascii="宋体" w:hAnsi="宋体" w:cs="Times New Roman"/>
          <w:bCs/>
          <w:color w:val="auto"/>
          <w:sz w:val="21"/>
          <w:szCs w:val="21"/>
          <w:highlight w:val="none"/>
          <w:lang w:val="en-US" w:eastAsia="zh-CN"/>
        </w:rPr>
        <w:t xml:space="preserve">6</w:t>
      </w:r>
      <w:r>
        <w:rPr>
          <w:rFonts w:hint="eastAsia" w:ascii="宋体" w:hAnsi="宋体" w:eastAsia="宋体" w:cs="Times New Roman"/>
          <w:bCs/>
          <w:color w:val="auto"/>
          <w:sz w:val="21"/>
          <w:szCs w:val="21"/>
          <w:highlight w:val="none"/>
        </w:rPr>
        <w:t xml:space="preserve">年中央财政高素质农民培育工作实施方案》要求，最终</w:t>
      </w:r>
      <w:r>
        <w:rPr>
          <w:rFonts w:hint="eastAsia" w:ascii="宋体" w:hAnsi="宋体" w:cs="Times New Roman"/>
          <w:bCs/>
          <w:color w:val="auto"/>
          <w:sz w:val="21"/>
          <w:szCs w:val="21"/>
          <w:highlight w:val="none"/>
          <w:lang w:val="en-US" w:eastAsia="zh-CN"/>
        </w:rPr>
        <w:t xml:space="preserve">实</w:t>
      </w:r>
      <w:r>
        <w:rPr>
          <w:rFonts w:hint="eastAsia" w:ascii="宋体" w:hAnsi="宋体" w:eastAsia="宋体" w:cs="Times New Roman"/>
          <w:bCs/>
          <w:color w:val="auto"/>
          <w:sz w:val="21"/>
          <w:szCs w:val="21"/>
          <w:highlight w:val="none"/>
        </w:rPr>
        <w:t xml:space="preserve">施方案以采购人</w:t>
      </w:r>
      <w:r>
        <w:rPr>
          <w:rFonts w:hint="eastAsia" w:ascii="宋体" w:hAnsi="宋体" w:eastAsia="宋体" w:cs="Times New Roman"/>
          <w:bCs/>
          <w:color w:val="auto"/>
          <w:sz w:val="21"/>
          <w:szCs w:val="21"/>
          <w:highlight w:val="none"/>
          <w:lang w:val="en-US" w:eastAsia="zh-CN"/>
        </w:rPr>
        <w:t xml:space="preserve">认可</w:t>
      </w:r>
      <w:r>
        <w:rPr>
          <w:rFonts w:hint="eastAsia" w:ascii="宋体" w:hAnsi="宋体" w:eastAsia="宋体" w:cs="Times New Roman"/>
          <w:bCs/>
          <w:color w:val="auto"/>
          <w:sz w:val="21"/>
          <w:szCs w:val="21"/>
          <w:highlight w:val="none"/>
        </w:rPr>
        <w:t xml:space="preserve">方案为准</w:t>
      </w:r>
      <w:r>
        <w:rPr>
          <w:rFonts w:hint="eastAsia" w:ascii="宋体" w:hAnsi="宋体" w:eastAsia="宋体" w:cs="Times New Roman"/>
          <w:bCs/>
          <w:color w:val="auto"/>
          <w:sz w:val="21"/>
          <w:szCs w:val="21"/>
          <w:highlight w:val="none"/>
          <w:lang w:eastAsia="zh-CN"/>
        </w:rPr>
        <w:t xml:space="preserve">。</w:t>
      </w:r>
      <w:bookmarkStart w:id="58" w:name="_Toc19956"/>
      <w:r/>
      <w:r/>
    </w:p>
    <w:p>
      <w:pPr>
        <w:rPr>
          <w:rFonts w:hint="eastAsia" w:ascii="宋体" w:hAnsi="宋体" w:eastAsia="宋体" w:cs="Times New Roman"/>
          <w:bCs/>
          <w:color w:val="auto"/>
          <w:sz w:val="21"/>
          <w:szCs w:val="21"/>
          <w:highlight w:val="none"/>
          <w:lang w:eastAsia="zh-CN"/>
        </w:rPr>
      </w:pPr>
      <w:r>
        <w:rPr>
          <w:rFonts w:hint="eastAsia" w:ascii="宋体" w:hAnsi="宋体" w:eastAsia="宋体" w:cs="Times New Roman"/>
          <w:bCs/>
          <w:color w:val="auto"/>
          <w:sz w:val="21"/>
          <w:szCs w:val="21"/>
          <w:highlight w:val="none"/>
          <w:lang w:eastAsia="zh-CN"/>
        </w:rPr>
        <w:br w:type="page" w:clear="all"/>
      </w:r>
      <w:r/>
    </w:p>
    <w:p>
      <w:pPr>
        <w:pStyle w:val="915"/>
        <w:jc w:val="center"/>
        <w:rPr>
          <w:color w:val="auto"/>
          <w:highlight w:val="none"/>
        </w:rPr>
      </w:pPr>
      <w:r/>
      <w:bookmarkStart w:id="59" w:name="_Toc7126"/>
      <w:r>
        <w:rPr>
          <w:rFonts w:hint="eastAsia"/>
          <w:color w:val="auto"/>
          <w:highlight w:val="none"/>
          <w:lang w:val="en-US" w:eastAsia="zh-CN"/>
        </w:rPr>
        <w:t xml:space="preserve">第五章 评标方法及评标标准</w:t>
      </w:r>
      <w:bookmarkEnd w:id="57"/>
      <w:r/>
      <w:bookmarkEnd w:id="58"/>
      <w:r/>
      <w:bookmarkEnd w:id="59"/>
      <w:r/>
      <w:r/>
    </w:p>
    <w:p>
      <w:pPr>
        <w:pStyle w:val="966"/>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966"/>
        <w:ind w:firstLine="420"/>
        <w:keepLines w:val="0"/>
        <w:keepNext w:val="0"/>
        <w:pageBreakBefore w:val="0"/>
        <w:spacing w:before="0" w:after="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66"/>
        <w:ind w:firstLine="420"/>
        <w:keepLines w:val="0"/>
        <w:keepNext w:val="0"/>
        <w:pageBreakBefore w:val="0"/>
        <w:spacing w:before="0" w:after="0"/>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投标人可多包兼投，但最多中标2个包，若投多个包，请各投标人按所投采购包分别制作投标文件上传系统。开标、评标顺序为采购包1至采购包</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。如某采购包第一中标候选人已中满2个采购包的，则此采购包由第二中标候选人中标，并以此类推</w:t>
      </w:r>
      <w:r>
        <w:rPr>
          <w:rFonts w:hint="eastAsia" w:ascii="宋体" w:hAnsi="宋体"/>
          <w:color w:val="auto"/>
          <w:sz w:val="21"/>
          <w:szCs w:val="21"/>
          <w:highlight w:val="none"/>
          <w:lang w:eastAsia="zh-CN"/>
        </w:rPr>
        <w:t xml:space="preserve">。</w:t>
      </w:r>
      <w:r/>
    </w:p>
    <w:p>
      <w:pPr>
        <w:ind w:firstLine="422"/>
        <w:spacing w:line="360" w:lineRule="auto"/>
        <w:rPr>
          <w:rFonts w:ascii="Times New Roman" w:hAnsi="Times New Roman"/>
          <w:b/>
          <w:color w:val="auto"/>
          <w:szCs w:val="21"/>
          <w:highlight w:val="none"/>
        </w:rPr>
      </w:pPr>
      <w:r/>
      <w:bookmarkStart w:id="60" w:name="_Toc449016388"/>
      <w:r/>
      <w:bookmarkStart w:id="61" w:name="_Toc449017024"/>
      <w:r>
        <w:rPr>
          <w:rFonts w:ascii="Times New Roman" w:hAnsi="Times New Roman"/>
          <w:b/>
          <w:color w:val="auto"/>
          <w:szCs w:val="21"/>
          <w:highlight w:val="none"/>
        </w:rPr>
        <w:t xml:space="preserve">二、</w:t>
      </w:r>
      <w:r>
        <w:rPr>
          <w:rFonts w:hint="eastAsia" w:ascii="Times New Roman" w:hAnsi="Times New Roman"/>
          <w:b/>
          <w:color w:val="auto"/>
          <w:szCs w:val="21"/>
          <w:highlight w:val="none"/>
        </w:rPr>
        <w:t xml:space="preserve">政府采购政策功能落实</w:t>
      </w:r>
      <w:bookmarkEnd w:id="60"/>
      <w:r/>
      <w:bookmarkEnd w:id="61"/>
      <w:r/>
      <w:r/>
    </w:p>
    <w:p>
      <w:pPr>
        <w:ind w:firstLine="420"/>
        <w:spacing w:line="360" w:lineRule="auto"/>
        <w:rPr>
          <w:rFonts w:ascii="Times New Roman" w:hAnsi="Times New Roman"/>
          <w:b/>
          <w:color w:val="auto"/>
          <w:szCs w:val="21"/>
          <w:highlight w:val="none"/>
        </w:rPr>
      </w:pPr>
      <w:r>
        <w:rPr>
          <w:rFonts w:ascii="Times New Roman" w:hAnsi="Times New Roman"/>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66"/>
        <w:ind w:left="315" w:firstLine="105"/>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1、小微型企业价格扣除</w:t>
      </w:r>
      <w:r/>
    </w:p>
    <w:p>
      <w:pPr>
        <w:pStyle w:val="966"/>
        <w:ind w:firstLine="420"/>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（1）本项目对小型和微型企业产品给予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%的扣除价格，用扣除后的价格参与评审。</w:t>
      </w:r>
      <w:r/>
    </w:p>
    <w:p>
      <w:pPr>
        <w:pStyle w:val="966"/>
        <w:ind w:firstLine="420"/>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（2）供应商需按照采购文件的要求提供相应的《</w:t>
      </w:r>
      <w:r>
        <w:rPr>
          <w:rFonts w:hint="eastAsia" w:ascii="Times New Roman" w:hAnsi="Times New Roman"/>
          <w:color w:val="auto"/>
          <w:sz w:val="21"/>
          <w:szCs w:val="21"/>
          <w:highlight w:val="none"/>
        </w:rPr>
        <w:t xml:space="preserve">中小</w:t>
      </w:r>
      <w:r>
        <w:rPr>
          <w:rFonts w:ascii="Times New Roman" w:hAnsi="Times New Roman"/>
          <w:color w:val="auto"/>
          <w:sz w:val="21"/>
          <w:szCs w:val="21"/>
          <w:highlight w:val="none"/>
        </w:rPr>
        <w:t xml:space="preserve">企业声明函》。</w:t>
      </w:r>
      <w:r/>
    </w:p>
    <w:p>
      <w:pPr>
        <w:pStyle w:val="966"/>
        <w:ind w:left="420" w:firstLine="0"/>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2、残疾人福利单位价格扣除</w:t>
      </w:r>
      <w:r/>
    </w:p>
    <w:p>
      <w:pPr>
        <w:pStyle w:val="966"/>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（1）本项目对残疾人福利性单位视同小型、微型企业，给予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966"/>
        <w:ind w:left="420" w:firstLine="0"/>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（2）残疾人福利单位需按照采购文件的要求提供《残疾人福利性单位声明函》。</w:t>
      </w:r>
      <w:r/>
    </w:p>
    <w:p>
      <w:pPr>
        <w:pStyle w:val="966"/>
        <w:ind w:firstLine="420"/>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（3）残疾人福利单位标准请参照《关于促进残疾人就业政府采购政策的通知》（财库2017〕141号）。</w:t>
      </w:r>
      <w:r/>
    </w:p>
    <w:p>
      <w:pPr>
        <w:pStyle w:val="966"/>
        <w:ind w:left="420" w:firstLine="0"/>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3、监狱和戒毒企业价格扣除</w:t>
      </w:r>
      <w:r/>
    </w:p>
    <w:p>
      <w:pPr>
        <w:pStyle w:val="966"/>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（1）本项目对监狱和戒毒企业（简称监狱企业）视同小型、微型企业，给予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966"/>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（2）监狱企业参加政府采购活动时，需提供由省级以上监狱管理局、戒毒管理局</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含新疆生产建设兵团</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出具的属于监狱企业的证明文件。供应商如不提供上述证明文件，价格将不做相应扣除。</w:t>
      </w:r>
      <w:r/>
    </w:p>
    <w:p>
      <w:pPr>
        <w:pStyle w:val="966"/>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（3）监狱企业标准请参照《关于政府采购支持监狱企业发展有关问题的通知》（财库</w:t>
      </w:r>
      <w:r>
        <w:rPr>
          <w:rFonts w:hint="eastAsia" w:ascii="Times New Roman" w:hAnsi="Times New Roman"/>
          <w:color w:val="auto"/>
          <w:sz w:val="21"/>
          <w:szCs w:val="21"/>
          <w:highlight w:val="none"/>
          <w:lang w:eastAsia="zh-CN"/>
        </w:rPr>
        <w:t xml:space="preserve">〔2014〕68号</w:t>
      </w:r>
      <w:r>
        <w:rPr>
          <w:rFonts w:ascii="Times New Roman" w:hAnsi="Times New Roman"/>
          <w:color w:val="auto"/>
          <w:sz w:val="21"/>
          <w:szCs w:val="21"/>
          <w:highlight w:val="none"/>
        </w:rPr>
        <w:t xml:space="preserve">）。</w:t>
      </w:r>
      <w:r/>
    </w:p>
    <w:p>
      <w:pPr>
        <w:pStyle w:val="966"/>
        <w:ind w:firstLine="420"/>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4、残疾人福利单位、监狱企业属于小型、微型企业的，不重复享受政策。</w:t>
      </w:r>
      <w:r/>
    </w:p>
    <w:p>
      <w:pPr>
        <w:pStyle w:val="966"/>
        <w:ind w:left="0" w:firstLine="420"/>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highlight w:val="none"/>
        </w:rPr>
        <w:t xml:space="preserve">6</w:t>
      </w:r>
      <w:r>
        <w:rPr>
          <w:rFonts w:ascii="Times New Roman" w:hAnsi="Times New Roman"/>
          <w:color w:val="auto"/>
          <w:sz w:val="21"/>
          <w:szCs w:val="21"/>
          <w:highlight w:val="none"/>
        </w:rPr>
        <w:t xml:space="preserve">%的价格扣除，用扣除后的价格参与评审。</w:t>
      </w:r>
      <w:r/>
    </w:p>
    <w:p>
      <w:pPr>
        <w:pStyle w:val="966"/>
        <w:keepLines w:val="0"/>
        <w:keepNext w:val="0"/>
        <w:pageBreakBefore w:val="0"/>
        <w:spacing w:before="0" w:after="0"/>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6、联合体各方均为小型、微型企业（残疾人福利单位、监狱企业）的，联合体享受</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%价格扣除，用扣除后的价格参与评审。</w:t>
      </w:r>
      <w:r/>
    </w:p>
    <w:p>
      <w:pPr>
        <w:ind w:firstLine="420"/>
        <w:keepLines w:val="0"/>
        <w:keepNext w:val="0"/>
        <w:pageBreakBefore w:val="0"/>
        <w:spacing w:line="36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7、大中型企业向小型、微型企业分包的，分包意向协议约定小型、微型企业合同份额占到合同总金额</w:t>
      </w:r>
      <w:r>
        <w:rPr>
          <w:rFonts w:hint="eastAsia" w:ascii="Times New Roman" w:hAnsi="Times New Roman"/>
          <w:color w:val="auto"/>
          <w:szCs w:val="21"/>
          <w:highlight w:val="none"/>
          <w:lang w:val="en-US" w:eastAsia="zh-CN"/>
        </w:rPr>
        <w:t xml:space="preserve">30</w:t>
      </w:r>
      <w:r>
        <w:rPr>
          <w:rFonts w:hint="eastAsia" w:ascii="Times New Roman" w:hAnsi="Times New Roman"/>
          <w:color w:val="auto"/>
          <w:szCs w:val="21"/>
          <w:highlight w:val="none"/>
        </w:rPr>
        <w:t xml:space="preserve">%以上的，给予6%的价格扣除，用扣除后的价格参与评审。</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三、评标标准</w:t>
      </w:r>
      <w:r/>
    </w:p>
    <w:tbl>
      <w:tblPr>
        <w:tblStyle w:val="74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6737"/>
        <w:gridCol w:w="846"/>
      </w:tblGrid>
      <w:tr>
        <w:trPr>
          <w:trHeight w:val="445"/>
        </w:trPr>
        <w:tc>
          <w:tcPr>
            <w:tcW w:w="1249" w:type="dxa"/>
            <w:vAlign w:val="center"/>
            <w:textDirection w:val="lrTb"/>
            <w:noWrap w:val="false"/>
          </w:tcPr>
          <w:p>
            <w:pPr>
              <w:jc w:val="center"/>
              <w:keepLines w:val="0"/>
              <w:keepNext w:val="0"/>
              <w:pageBreakBefore w:val="0"/>
              <w:spacing w:after="0" w:line="400" w:lineRule="exact"/>
              <w:widowControl w:val="off"/>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t xml:space="preserve">评审内容</w:t>
            </w:r>
            <w:r/>
          </w:p>
        </w:tc>
        <w:tc>
          <w:tcPr>
            <w:tcW w:w="6737" w:type="dxa"/>
            <w:vAlign w:val="center"/>
            <w:textDirection w:val="lrTb"/>
            <w:noWrap w:val="false"/>
          </w:tcPr>
          <w:p>
            <w:pPr>
              <w:jc w:val="center"/>
              <w:keepLines w:val="0"/>
              <w:keepNext w:val="0"/>
              <w:pageBreakBefore w:val="0"/>
              <w:spacing w:after="0" w:line="400" w:lineRule="exact"/>
              <w:widowControl w:val="off"/>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t xml:space="preserve">评</w:t>
            </w:r>
            <w:r>
              <w:rPr>
                <w:rFonts w:hint="eastAsia" w:ascii="Times New Roman" w:hAnsi="Times New Roman" w:eastAsia="宋体" w:cs="Times New Roman"/>
                <w:b/>
                <w:color w:val="auto"/>
                <w:sz w:val="21"/>
                <w:szCs w:val="21"/>
                <w:highlight w:val="none"/>
              </w:rPr>
              <w:t xml:space="preserve">分</w:t>
            </w:r>
            <w:r>
              <w:rPr>
                <w:rFonts w:ascii="Times New Roman" w:hAnsi="Times New Roman" w:eastAsia="宋体" w:cs="Times New Roman"/>
                <w:b/>
                <w:color w:val="auto"/>
                <w:sz w:val="21"/>
                <w:szCs w:val="21"/>
                <w:highlight w:val="none"/>
              </w:rPr>
              <w:t xml:space="preserve">标准</w:t>
            </w:r>
            <w:r/>
          </w:p>
        </w:tc>
        <w:tc>
          <w:tcPr>
            <w:tcW w:w="846" w:type="dxa"/>
            <w:vAlign w:val="center"/>
            <w:textDirection w:val="lrTb"/>
            <w:noWrap w:val="false"/>
          </w:tcPr>
          <w:p>
            <w:pPr>
              <w:jc w:val="center"/>
              <w:keepLines w:val="0"/>
              <w:keepNext w:val="0"/>
              <w:pageBreakBefore w:val="0"/>
              <w:spacing w:after="0" w:line="400" w:lineRule="exact"/>
              <w:widowControl w:val="off"/>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t xml:space="preserve">分值</w:t>
            </w:r>
            <w:r/>
          </w:p>
        </w:tc>
      </w:tr>
      <w:tr>
        <w:trPr>
          <w:trHeight w:val="811"/>
        </w:trPr>
        <w:tc>
          <w:tcPr>
            <w:tcW w:w="1249"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37"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其他投标人的价格分统一按照下列公式计算：</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×100%，结果保留两位有效小数。</w:t>
            </w:r>
            <w:r/>
          </w:p>
          <w:p>
            <w:pPr>
              <w:jc w:val="both"/>
              <w:keepLines w:val="0"/>
              <w:keepNext w:val="0"/>
              <w:pageBreakBefore w:val="0"/>
              <w:spacing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rPr>
              <w:t xml:space="preserve">评标委员会认为投标人的报价明显低于其他通过符合性审查投标人的报价，有可能影响服务质量或不能诚信履约的，且投标人不能在评标现场合理的时间内证明其报价合理性的，评标委员会有权将其作为无效投标处理。</w:t>
            </w:r>
            <w:r/>
          </w:p>
        </w:tc>
        <w:tc>
          <w:tcPr>
            <w:tcW w:w="846"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分</w:t>
            </w:r>
            <w:r/>
          </w:p>
        </w:tc>
      </w:tr>
      <w:tr>
        <w:trPr>
          <w:trHeight w:val="2720"/>
        </w:trPr>
        <w:tc>
          <w:tcPr>
            <w:tcW w:w="1249"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业绩</w:t>
            </w:r>
            <w:r/>
          </w:p>
        </w:tc>
        <w:tc>
          <w:tcPr>
            <w:tcW w:w="6737" w:type="dxa"/>
            <w:vAlign w:val="center"/>
            <w:textDirection w:val="lrTb"/>
            <w:noWrap w:val="false"/>
          </w:tcPr>
          <w:p>
            <w:pPr>
              <w:jc w:val="both"/>
              <w:keepLines w:val="0"/>
              <w:keepNext w:val="0"/>
              <w:pageBreakBefore w:val="0"/>
              <w:spacing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eastAsia="zh-CN"/>
              </w:rPr>
              <w:t xml:space="preserve">自</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w:t>
            </w:r>
            <w:r>
              <w:rPr>
                <w:rFonts w:hint="eastAsia" w:ascii="宋体" w:hAnsi="宋体" w:eastAsia="宋体" w:cs="宋体"/>
                <w:color w:val="auto"/>
                <w:sz w:val="21"/>
                <w:szCs w:val="21"/>
                <w:highlight w:val="none"/>
                <w:lang w:val="en-US" w:eastAsia="zh-CN"/>
              </w:rPr>
              <w:t xml:space="preserve">以来</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具备</w:t>
            </w:r>
            <w:r>
              <w:rPr>
                <w:rFonts w:hint="eastAsia" w:ascii="宋体" w:hAnsi="宋体" w:eastAsia="宋体" w:cs="宋体"/>
                <w:color w:val="auto"/>
                <w:sz w:val="21"/>
                <w:szCs w:val="21"/>
                <w:highlight w:val="none"/>
              </w:rPr>
              <w:t xml:space="preserve">独立承担过</w:t>
            </w:r>
            <w:r>
              <w:rPr>
                <w:rFonts w:hint="eastAsia" w:ascii="宋体" w:hAnsi="宋体" w:eastAsia="宋体" w:cs="宋体"/>
                <w:color w:val="auto"/>
                <w:sz w:val="21"/>
                <w:szCs w:val="21"/>
                <w:highlight w:val="none"/>
                <w:lang w:val="en-US" w:eastAsia="zh-CN"/>
              </w:rPr>
              <w:t xml:space="preserve">类似</w:t>
            </w:r>
            <w:r>
              <w:rPr>
                <w:rFonts w:hint="eastAsia" w:ascii="宋体" w:hAnsi="宋体" w:eastAsia="宋体" w:cs="宋体"/>
                <w:color w:val="auto"/>
                <w:sz w:val="21"/>
                <w:szCs w:val="21"/>
                <w:highlight w:val="none"/>
              </w:rPr>
              <w:t xml:space="preserve">涉农培训项目、</w:t>
            </w:r>
            <w:r>
              <w:rPr>
                <w:rFonts w:hint="eastAsia" w:ascii="宋体" w:hAnsi="宋体" w:eastAsia="宋体" w:cs="宋体"/>
                <w:color w:val="auto"/>
                <w:sz w:val="21"/>
                <w:szCs w:val="21"/>
                <w:highlight w:val="none"/>
                <w:lang w:val="en-US" w:eastAsia="zh-CN"/>
              </w:rPr>
              <w:t xml:space="preserve">相关主题</w:t>
            </w:r>
            <w:r>
              <w:rPr>
                <w:rFonts w:hint="eastAsia" w:ascii="宋体" w:hAnsi="宋体" w:eastAsia="宋体" w:cs="宋体"/>
                <w:color w:val="auto"/>
                <w:sz w:val="21"/>
                <w:szCs w:val="21"/>
                <w:highlight w:val="none"/>
              </w:rPr>
              <w:t xml:space="preserve">农业论坛等</w:t>
            </w:r>
            <w:r>
              <w:rPr>
                <w:rFonts w:hint="eastAsia" w:ascii="宋体" w:hAnsi="宋体" w:eastAsia="宋体" w:cs="宋体"/>
                <w:color w:val="auto"/>
                <w:sz w:val="21"/>
                <w:szCs w:val="21"/>
                <w:highlight w:val="none"/>
                <w:lang w:val="en-US" w:eastAsia="zh-CN"/>
              </w:rPr>
              <w:t xml:space="preserve">业绩</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每提供一个得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分，此项累计最高得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jc w:val="both"/>
              <w:keepLines w:val="0"/>
              <w:keepNext w:val="0"/>
              <w:pageBreakBefore w:val="0"/>
              <w:spacing w:after="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（提供合同扫描件系统上传，以签订时间为准，合同要素至少包含签订时间、合同双方名称、合同内容、合同总价，合同要素不完整或者内容不清晰无法辨认或提供不全不得分）</w:t>
            </w:r>
            <w:r/>
          </w:p>
          <w:p>
            <w:pPr>
              <w:jc w:val="both"/>
              <w:keepLines w:val="0"/>
              <w:keepNext w:val="0"/>
              <w:pageBreakBefore w:val="0"/>
              <w:spacing w:after="0"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自202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年1月1日以来，</w:t>
            </w:r>
            <w:r>
              <w:rPr>
                <w:rFonts w:hint="eastAsia" w:ascii="宋体" w:hAnsi="宋体" w:eastAsia="宋体" w:cs="宋体"/>
                <w:color w:val="auto"/>
                <w:szCs w:val="21"/>
                <w:highlight w:val="none"/>
              </w:rPr>
              <w:t xml:space="preserve">公开的网络渠道</w:t>
            </w:r>
            <w:r>
              <w:rPr>
                <w:rFonts w:hint="eastAsia" w:ascii="宋体" w:hAnsi="宋体" w:eastAsia="宋体" w:cs="宋体"/>
                <w:color w:val="auto"/>
                <w:sz w:val="21"/>
                <w:szCs w:val="21"/>
                <w:highlight w:val="none"/>
              </w:rPr>
              <w:t xml:space="preserve">宣传报道</w:t>
            </w:r>
            <w:r>
              <w:rPr>
                <w:rFonts w:hint="eastAsia" w:ascii="宋体" w:hAnsi="宋体" w:eastAsia="宋体" w:cs="宋体"/>
                <w:color w:val="auto"/>
                <w:sz w:val="21"/>
                <w:szCs w:val="21"/>
                <w:highlight w:val="none"/>
                <w:lang w:val="en-US" w:eastAsia="zh-CN"/>
              </w:rPr>
              <w:t xml:space="preserve">过</w:t>
            </w:r>
            <w:r>
              <w:rPr>
                <w:rFonts w:hint="eastAsia" w:ascii="宋体" w:hAnsi="宋体" w:eastAsia="宋体" w:cs="宋体"/>
                <w:color w:val="auto"/>
                <w:sz w:val="21"/>
                <w:szCs w:val="21"/>
                <w:highlight w:val="none"/>
              </w:rPr>
              <w:t xml:space="preserve">相关培训、</w:t>
            </w:r>
            <w:r>
              <w:rPr>
                <w:rFonts w:hint="eastAsia" w:ascii="宋体" w:hAnsi="宋体" w:eastAsia="宋体" w:cs="宋体"/>
                <w:color w:val="auto"/>
                <w:sz w:val="21"/>
                <w:szCs w:val="21"/>
                <w:highlight w:val="none"/>
                <w:lang w:val="en-US" w:eastAsia="zh-CN"/>
              </w:rPr>
              <w:t xml:space="preserve">学员典型、</w:t>
            </w:r>
            <w:r>
              <w:rPr>
                <w:rFonts w:hint="eastAsia" w:ascii="宋体" w:hAnsi="宋体" w:eastAsia="宋体" w:cs="宋体"/>
                <w:color w:val="auto"/>
                <w:sz w:val="21"/>
                <w:szCs w:val="21"/>
                <w:highlight w:val="none"/>
              </w:rPr>
              <w:t xml:space="preserve">论坛等事迹的，每篇报道</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分，此项累计最高得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需</w:t>
            </w: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相关</w:t>
            </w:r>
            <w:r>
              <w:rPr>
                <w:rFonts w:hint="eastAsia" w:ascii="宋体" w:hAnsi="宋体" w:eastAsia="宋体" w:cs="宋体"/>
                <w:b/>
                <w:bCs/>
                <w:color w:val="auto"/>
                <w:sz w:val="21"/>
                <w:szCs w:val="21"/>
                <w:highlight w:val="none"/>
              </w:rPr>
              <w:t xml:space="preserve">证明材料</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扫描件系统上传。</w:t>
            </w:r>
            <w:r>
              <w:rPr>
                <w:rFonts w:hint="eastAsia" w:ascii="宋体" w:hAnsi="宋体" w:eastAsia="宋体" w:cs="宋体"/>
                <w:b/>
                <w:bCs/>
                <w:color w:val="auto"/>
                <w:szCs w:val="21"/>
                <w:highlight w:val="none"/>
              </w:rPr>
              <w:t xml:space="preserve">同一内容的</w:t>
            </w:r>
            <w:r>
              <w:rPr>
                <w:rFonts w:hint="eastAsia" w:ascii="宋体" w:hAnsi="宋体" w:eastAsia="宋体" w:cs="宋体"/>
                <w:b/>
                <w:bCs/>
                <w:color w:val="auto"/>
                <w:szCs w:val="21"/>
                <w:highlight w:val="none"/>
                <w:lang w:val="en-US" w:eastAsia="zh-CN"/>
              </w:rPr>
              <w:t xml:space="preserve">事迹</w:t>
            </w:r>
            <w:r>
              <w:rPr>
                <w:rFonts w:hint="eastAsia" w:ascii="宋体" w:hAnsi="宋体" w:eastAsia="宋体" w:cs="宋体"/>
                <w:b/>
                <w:bCs/>
                <w:color w:val="auto"/>
                <w:szCs w:val="21"/>
                <w:highlight w:val="none"/>
              </w:rPr>
              <w:t xml:space="preserve">只记取一次</w:t>
            </w:r>
            <w:r>
              <w:rPr>
                <w:rFonts w:hint="eastAsia" w:ascii="宋体" w:hAnsi="宋体" w:eastAsia="宋体" w:cs="宋体"/>
                <w:b/>
                <w:bCs/>
                <w:color w:val="auto"/>
                <w:sz w:val="21"/>
                <w:szCs w:val="21"/>
                <w:highlight w:val="none"/>
                <w:lang w:eastAsia="zh-CN"/>
              </w:rPr>
              <w:t xml:space="preserve">）</w:t>
            </w:r>
            <w:r/>
          </w:p>
        </w:tc>
        <w:tc>
          <w:tcPr>
            <w:tcW w:w="846"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r>
      <w:tr>
        <w:trPr>
          <w:trHeight w:val="2479"/>
        </w:trPr>
        <w:tc>
          <w:tcPr>
            <w:tcW w:w="1249"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实施方案</w:t>
            </w:r>
            <w:r/>
          </w:p>
        </w:tc>
        <w:tc>
          <w:tcPr>
            <w:tcW w:w="6737" w:type="dxa"/>
            <w:vAlign w:val="center"/>
            <w:textDirection w:val="lrTb"/>
            <w:noWrap w:val="false"/>
          </w:tcPr>
          <w:p>
            <w:pPr>
              <w:jc w:val="both"/>
              <w:keepLines w:val="0"/>
              <w:keepNext w:val="0"/>
              <w:pageBreakBefore w:val="0"/>
              <w:spacing w:after="0" w:line="40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投标人需针对不同培训类型拟定详细的项目实施方案，包含但不限于对本项目的理解、教学计划、课程设置、师资安排及候选人选、服务团队组建及人员安排、教学组织管理制度、档案管理制度、学员综合管理制度及其他安全与应急预案等为顺利实施该项目需包含的</w:t>
            </w:r>
            <w:r>
              <w:rPr>
                <w:rFonts w:hint="eastAsia" w:ascii="宋体" w:hAnsi="宋体" w:eastAsia="宋体" w:cs="宋体"/>
                <w:b/>
                <w:bCs/>
                <w:color w:val="auto"/>
                <w:sz w:val="21"/>
                <w:szCs w:val="21"/>
                <w:highlight w:val="none"/>
                <w:lang w:val="en-US" w:eastAsia="zh-CN"/>
              </w:rPr>
              <w:t xml:space="preserve">方案</w:t>
            </w:r>
            <w:r>
              <w:rPr>
                <w:rFonts w:hint="eastAsia" w:ascii="宋体" w:hAnsi="宋体" w:eastAsia="宋体" w:cs="宋体"/>
                <w:b/>
                <w:bCs/>
                <w:color w:val="auto"/>
                <w:sz w:val="21"/>
                <w:szCs w:val="21"/>
                <w:highlight w:val="none"/>
                <w:lang w:eastAsia="zh-CN"/>
              </w:rPr>
              <w:t xml:space="preserve">：</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根据投标人提供的实施方案定位与内容完整性予以评分：             </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实施方案定位清晰，与培训类型匹配度高，内容详细完整，教学组织管理制度、档案管理制度、学员综合管理制度及其他安全与应急预案等齐全，得10分；</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实施方案定位较清晰，匹配度较高，内容完整，制度安排较为齐全，得8分；</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实施方案定位基本清晰，匹配度一般，内容较完整，但部分制度或安排有欠缺，得6分；</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实施方案定位不够清晰，匹配度较低，内容完整性一般，制度安排存在明显不足，得4分；</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实施方案定位模糊，匹配度低，内容缺失较多，制度安排不完善，得2分；</w:t>
            </w:r>
            <w:r/>
          </w:p>
          <w:p>
            <w:pPr>
              <w:numPr>
                <w:ilvl w:val="0"/>
                <w:numId w:val="0"/>
              </w:numPr>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未提供相关方案不得分</w:t>
            </w:r>
            <w:r>
              <w:rPr>
                <w:rFonts w:hint="eastAsia" w:ascii="Times New Roman" w:hAnsi="Times New Roman" w:eastAsia="宋体" w:cs="Times New Roman"/>
                <w:b w:val="0"/>
                <w:bCs w:val="0"/>
                <w:color w:val="auto"/>
                <w:sz w:val="21"/>
                <w:szCs w:val="21"/>
                <w:highlight w:val="none"/>
                <w:lang w:val="en-US" w:eastAsia="zh-CN"/>
              </w:rPr>
              <w:t xml:space="preserve">。 </w:t>
            </w:r>
            <w:r/>
          </w:p>
        </w:tc>
        <w:tc>
          <w:tcPr>
            <w:tcW w:w="846" w:type="dxa"/>
            <w:vAlign w:val="center"/>
            <w:textDirection w:val="lrTb"/>
            <w:noWrap w:val="false"/>
          </w:tcPr>
          <w:p>
            <w:pPr>
              <w:jc w:val="center"/>
              <w:keepLines w:val="0"/>
              <w:keepNext w:val="0"/>
              <w:pageBreakBefore w:val="0"/>
              <w:spacing w:after="0" w:line="400" w:lineRule="exact"/>
              <w:widowControl w:val="off"/>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r>
      <w:tr>
        <w:trPr>
          <w:trHeight w:val="90"/>
        </w:trPr>
        <w:tc>
          <w:tcPr>
            <w:tcW w:w="1249" w:type="dxa"/>
            <w:vAlign w:val="center"/>
            <w:textDirection w:val="lrTb"/>
            <w:noWrap w:val="false"/>
          </w:tcPr>
          <w:p>
            <w:pPr>
              <w:jc w:val="center"/>
              <w:keepLines w:val="0"/>
              <w:keepNext w:val="0"/>
              <w:pageBreakBefore w:val="0"/>
              <w:spacing w:after="0" w:line="400" w:lineRule="exact"/>
              <w:widowControl w:val="off"/>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课堂教学</w:t>
            </w:r>
            <w:r/>
          </w:p>
        </w:tc>
        <w:tc>
          <w:tcPr>
            <w:tcW w:w="6737" w:type="dxa"/>
            <w:vAlign w:val="center"/>
            <w:textDirection w:val="lrTb"/>
            <w:noWrap w:val="false"/>
          </w:tcPr>
          <w:p>
            <w:pPr>
              <w:numPr>
                <w:ilvl w:val="0"/>
                <w:numId w:val="0"/>
              </w:numPr>
              <w:ind w:left="0" w:firstLine="0"/>
              <w:jc w:val="both"/>
              <w:keepLines w:val="0"/>
              <w:keepNext w:val="0"/>
              <w:pageBreakBefore w:val="0"/>
              <w:spacing w:after="0" w:line="400" w:lineRule="exact"/>
              <w:widowControl w:val="off"/>
              <w:rPr>
                <w:rFonts w:hint="eastAsia" w:ascii="Times New Roman" w:hAnsi="Times New Roman" w:eastAsia="宋体" w:cs="Times New Roman"/>
                <w:b/>
                <w:bCs/>
                <w:color w:val="auto"/>
                <w:sz w:val="21"/>
                <w:szCs w:val="21"/>
                <w:highlight w:val="none"/>
                <w:lang w:val="en-US" w:eastAsia="zh-CN"/>
              </w:rPr>
            </w:pPr>
            <w:r>
              <w:rPr>
                <w:rFonts w:hint="eastAsia" w:ascii="宋体" w:hAnsi="宋体" w:eastAsia="宋体" w:cs="宋体"/>
                <w:b/>
                <w:bCs/>
                <w:color w:val="auto"/>
                <w:highlight w:val="none"/>
              </w:rPr>
              <w:t xml:space="preserve">根据</w:t>
            </w:r>
            <w:r>
              <w:rPr>
                <w:rFonts w:hint="eastAsia" w:ascii="宋体" w:hAnsi="宋体" w:eastAsia="宋体" w:cs="宋体"/>
                <w:b/>
                <w:bCs/>
                <w:color w:val="auto"/>
                <w:highlight w:val="none"/>
                <w:lang w:val="en-US" w:eastAsia="zh-CN"/>
              </w:rPr>
              <w:t xml:space="preserve">投标人</w:t>
            </w:r>
            <w:r>
              <w:rPr>
                <w:rFonts w:hint="eastAsia" w:ascii="宋体" w:hAnsi="宋体" w:eastAsia="宋体" w:cs="宋体"/>
                <w:b/>
                <w:bCs/>
                <w:color w:val="auto"/>
                <w:highlight w:val="none"/>
              </w:rPr>
              <w:t xml:space="preserve">提供的</w:t>
            </w:r>
            <w:r>
              <w:rPr>
                <w:rFonts w:hint="eastAsia" w:ascii="Times New Roman" w:hAnsi="Times New Roman" w:eastAsia="宋体" w:cs="Times New Roman"/>
                <w:b/>
                <w:bCs/>
                <w:color w:val="auto"/>
                <w:sz w:val="21"/>
                <w:szCs w:val="21"/>
                <w:highlight w:val="none"/>
                <w:lang w:val="en-US" w:eastAsia="zh-CN"/>
              </w:rPr>
              <w:t xml:space="preserve">课程设置予以评分：</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课程设置合理、特色鲜明，模块设置清晰，能有效提升学员专业技能与综合素质，得10分；</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课程设置较为合理，具有一定特色，模块设置较清晰，得8分；</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课程设置基本合理，但特色不突出，模块设置的可行性一般，得6分；</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课程设置合理性一般，特色一般，模块设置不够清晰，得4分；</w:t>
            </w:r>
            <w:r/>
          </w:p>
          <w:p>
            <w:pPr>
              <w:numPr>
                <w:ilvl w:val="0"/>
                <w:numId w:val="0"/>
              </w:numPr>
              <w:jc w:val="both"/>
              <w:keepLines w:val="0"/>
              <w:keepNext w:val="0"/>
              <w:pageBreakBefore w:val="0"/>
              <w:spacing w:after="0" w:line="4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课程设置不合理，不具备教学特色，模块混乱，得2分；</w:t>
            </w:r>
            <w:r/>
          </w:p>
          <w:p>
            <w:pPr>
              <w:numPr>
                <w:ilvl w:val="0"/>
                <w:numId w:val="0"/>
              </w:numPr>
              <w:jc w:val="both"/>
              <w:keepLines w:val="0"/>
              <w:keepNext w:val="0"/>
              <w:pageBreakBefore w:val="0"/>
              <w:spacing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未提供相关方案不得分</w:t>
            </w:r>
            <w:r>
              <w:rPr>
                <w:rFonts w:hint="eastAsia" w:ascii="Times New Roman" w:hAnsi="Times New Roman" w:eastAsia="宋体" w:cs="Times New Roman"/>
                <w:b w:val="0"/>
                <w:bCs w:val="0"/>
                <w:color w:val="auto"/>
                <w:sz w:val="21"/>
                <w:szCs w:val="21"/>
                <w:highlight w:val="none"/>
                <w:lang w:val="en-US" w:eastAsia="zh-CN"/>
              </w:rPr>
              <w:t xml:space="preserve">。</w:t>
            </w:r>
            <w:r/>
          </w:p>
        </w:tc>
        <w:tc>
          <w:tcPr>
            <w:tcW w:w="846"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r>
      <w:tr>
        <w:trPr>
          <w:trHeight w:val="1010"/>
        </w:trPr>
        <w:tc>
          <w:tcPr>
            <w:tcW w:w="1249"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现场教学</w:t>
            </w:r>
            <w:r/>
          </w:p>
        </w:tc>
        <w:tc>
          <w:tcPr>
            <w:tcW w:w="6737" w:type="dxa"/>
            <w:vAlign w:val="center"/>
            <w:textDirection w:val="lrTb"/>
            <w:noWrap w:val="false"/>
          </w:tcPr>
          <w:p>
            <w:pPr>
              <w:jc w:val="both"/>
              <w:keepLines w:val="0"/>
              <w:keepNext w:val="0"/>
              <w:pageBreakBefore w:val="0"/>
              <w:spacing w:after="0"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highlight w:val="none"/>
              </w:rPr>
              <w:t xml:space="preserve">根据</w:t>
            </w:r>
            <w:r>
              <w:rPr>
                <w:rFonts w:hint="eastAsia" w:ascii="宋体" w:hAnsi="宋体" w:eastAsia="宋体" w:cs="宋体"/>
                <w:b/>
                <w:bCs/>
                <w:color w:val="auto"/>
                <w:highlight w:val="none"/>
                <w:lang w:val="en-US" w:eastAsia="zh-CN"/>
              </w:rPr>
              <w:t xml:space="preserve">投标人</w:t>
            </w:r>
            <w:r>
              <w:rPr>
                <w:rFonts w:hint="eastAsia" w:ascii="宋体" w:hAnsi="宋体" w:eastAsia="宋体" w:cs="宋体"/>
                <w:b/>
                <w:bCs/>
                <w:color w:val="auto"/>
                <w:highlight w:val="none"/>
              </w:rPr>
              <w:t xml:space="preserve">提供的</w:t>
            </w:r>
            <w:r>
              <w:rPr>
                <w:rFonts w:hint="eastAsia" w:ascii="宋体" w:hAnsi="宋体" w:eastAsia="宋体" w:cs="宋体"/>
                <w:b/>
                <w:bCs/>
                <w:color w:val="auto"/>
                <w:highlight w:val="none"/>
                <w:lang w:val="en-US" w:eastAsia="zh-CN"/>
              </w:rPr>
              <w:t xml:space="preserve">现场教学点</w:t>
            </w:r>
            <w:r>
              <w:rPr>
                <w:rFonts w:hint="eastAsia" w:ascii="宋体" w:hAnsi="宋体" w:eastAsia="宋体" w:cs="宋体"/>
                <w:b/>
                <w:bCs/>
                <w:color w:val="auto"/>
                <w:highlight w:val="none"/>
              </w:rPr>
              <w:t xml:space="preserve">方案予以评分：</w:t>
            </w:r>
            <w:r/>
          </w:p>
          <w:p>
            <w:pP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现场教学点选点合理、教学内容与培训需求匹配度高、针对性强，优先选择部、省、市农民田间学校开展教学，得10分；</w:t>
            </w:r>
            <w:r/>
          </w:p>
          <w:p>
            <w:pP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现场教学点选点较合理，教学内容与培训需求匹配度较高、针对性较强，实训基地产业特色较明显，得8分；</w:t>
            </w:r>
            <w:r/>
          </w:p>
          <w:p>
            <w:pP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现场教学点选点基本合理，教学内容与培训需求匹配度一般、针对性一般，实训基地产业特色不明显，得6分；</w:t>
            </w:r>
            <w:r/>
          </w:p>
          <w:p>
            <w:pP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现场教学点选点一般，教学内容与培训需求匹配度较低，针对性不强 ，实训基地产业特色不够突出，得4分；</w:t>
            </w:r>
            <w:r/>
          </w:p>
          <w:p>
            <w:pP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现场教学点选点存在不足，教学内容与培训需求匹配度低，无针对性，实训基地产业特色不明，得2分；</w:t>
            </w:r>
            <w:r/>
          </w:p>
          <w:p>
            <w:pP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未提供相关方案不得分。</w:t>
            </w:r>
            <w:r/>
          </w:p>
        </w:tc>
        <w:tc>
          <w:tcPr>
            <w:tcW w:w="846"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r>
      <w:tr>
        <w:trPr>
          <w:trHeight w:val="652"/>
        </w:trPr>
        <w:tc>
          <w:tcPr>
            <w:tcW w:w="1249"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跟踪服务</w:t>
            </w:r>
            <w:r/>
          </w:p>
        </w:tc>
        <w:tc>
          <w:tcPr>
            <w:tcW w:w="6737" w:type="dxa"/>
            <w:vAlign w:val="center"/>
            <w:textDirection w:val="lrTb"/>
            <w:noWrap w:val="false"/>
          </w:tcPr>
          <w:p>
            <w:pPr>
              <w:jc w:val="both"/>
              <w:keepLines w:val="0"/>
              <w:keepNext w:val="0"/>
              <w:pageBreakBefore w:val="0"/>
              <w:spacing w:after="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提供的</w:t>
            </w:r>
            <w:r>
              <w:rPr>
                <w:rFonts w:hint="eastAsia" w:ascii="宋体" w:hAnsi="宋体" w:eastAsia="宋体" w:cs="宋体"/>
                <w:b/>
                <w:bCs/>
                <w:color w:val="auto"/>
                <w:sz w:val="21"/>
                <w:szCs w:val="21"/>
                <w:highlight w:val="none"/>
                <w:lang w:val="en-US" w:eastAsia="zh-CN"/>
              </w:rPr>
              <w:t xml:space="preserve">跟踪服务</w:t>
            </w:r>
            <w:r>
              <w:rPr>
                <w:rFonts w:hint="eastAsia" w:ascii="宋体" w:hAnsi="宋体" w:eastAsia="宋体" w:cs="宋体"/>
                <w:b/>
                <w:bCs/>
                <w:color w:val="auto"/>
                <w:sz w:val="21"/>
                <w:szCs w:val="21"/>
                <w:highlight w:val="none"/>
              </w:rPr>
              <w:t xml:space="preserve">方案予以评分：</w:t>
            </w:r>
            <w:r/>
          </w:p>
          <w:p>
            <w:pPr>
              <w:numPr>
                <w:ilvl w:val="0"/>
                <w:numId w:val="0"/>
              </w:numPr>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跟踪指导目标明确、方案详细、可操作性强，能建立培训机构与项目委托方、地方农业农村部门紧密联系的合作工作机制的，得10分；</w:t>
            </w:r>
            <w:r/>
          </w:p>
          <w:p>
            <w:pPr>
              <w:numPr>
                <w:ilvl w:val="0"/>
                <w:numId w:val="0"/>
              </w:numPr>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跟踪指导目标较明确、方案较详细、可操作性较强，能建立较为紧密的合作工作机制的，得8分；</w:t>
            </w:r>
            <w:r/>
          </w:p>
          <w:p>
            <w:pPr>
              <w:numPr>
                <w:ilvl w:val="0"/>
                <w:numId w:val="0"/>
              </w:numPr>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跟踪指导目标基本明确、方案完整性一般、可操作性一般，合作工作机制基本建立的，得6分；</w:t>
            </w:r>
            <w:r/>
          </w:p>
          <w:p>
            <w:pPr>
              <w:numPr>
                <w:ilvl w:val="0"/>
                <w:numId w:val="0"/>
              </w:numPr>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跟踪指导目标不够明确、方案详细度不足、可操作性较弱，合作工作机制不够紧密的，得4分；</w:t>
            </w:r>
            <w:r/>
          </w:p>
          <w:p>
            <w:pPr>
              <w:numPr>
                <w:ilvl w:val="0"/>
                <w:numId w:val="0"/>
              </w:numPr>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跟踪指导目标模糊、方案内容缺失较多、可操作性差，合作工作机制未有效建立的，得2分；</w:t>
            </w:r>
            <w:r/>
          </w:p>
          <w:p>
            <w:pPr>
              <w:numPr>
                <w:ilvl w:val="0"/>
                <w:numId w:val="0"/>
              </w:numPr>
              <w:jc w:val="both"/>
              <w:keepLines w:val="0"/>
              <w:keepNext w:val="0"/>
              <w:pageBreakBefore w:val="0"/>
              <w:spacing w:after="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未提供相关方案不得分。</w:t>
            </w:r>
            <w:r/>
          </w:p>
        </w:tc>
        <w:tc>
          <w:tcPr>
            <w:tcW w:w="846"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10分</w:t>
            </w:r>
            <w:r/>
          </w:p>
        </w:tc>
      </w:tr>
      <w:tr>
        <w:trPr>
          <w:trHeight w:val="652"/>
        </w:trPr>
        <w:tc>
          <w:tcPr>
            <w:tcW w:w="1249"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跟踪指导服务承诺</w:t>
            </w:r>
            <w:r/>
          </w:p>
        </w:tc>
        <w:tc>
          <w:tcPr>
            <w:tcW w:w="6737" w:type="dxa"/>
            <w:vAlign w:val="center"/>
            <w:textDirection w:val="lrTb"/>
            <w:noWrap w:val="false"/>
          </w:tcPr>
          <w:p>
            <w:pPr>
              <w:numPr>
                <w:ilvl w:val="0"/>
                <w:numId w:val="0"/>
              </w:numPr>
              <w:jc w:val="both"/>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投标人承诺在后续跟踪服务中能建立培训机构与项目委托方、地方农业农村部门紧密联系的合作工作机制，并在全部培训结束后能提供详细的跟踪指导佐证材料的，得2分。（</w:t>
            </w:r>
            <w:r>
              <w:rPr>
                <w:rFonts w:hint="eastAsia" w:ascii="宋体" w:hAnsi="宋体" w:eastAsia="宋体" w:cs="宋体"/>
                <w:b/>
                <w:bCs/>
                <w:color w:val="auto"/>
                <w:sz w:val="21"/>
                <w:szCs w:val="21"/>
                <w:highlight w:val="none"/>
              </w:rPr>
              <w:t xml:space="preserve">以上内容需提供承诺书，格式自拟</w:t>
            </w:r>
            <w:r>
              <w:rPr>
                <w:rFonts w:hint="eastAsia" w:ascii="宋体" w:hAnsi="宋体" w:eastAsia="宋体" w:cs="宋体"/>
                <w:b/>
                <w:bCs/>
                <w:color w:val="auto"/>
                <w:sz w:val="21"/>
                <w:szCs w:val="21"/>
                <w:highlight w:val="none"/>
                <w:lang w:eastAsia="zh-CN"/>
              </w:rPr>
              <w:t xml:space="preserve">，扫描件系统上传，</w:t>
            </w:r>
            <w:r>
              <w:rPr>
                <w:rFonts w:hint="eastAsia" w:ascii="宋体" w:hAnsi="宋体" w:eastAsia="宋体" w:cs="宋体"/>
                <w:b/>
                <w:bCs/>
                <w:color w:val="auto"/>
                <w:sz w:val="21"/>
                <w:szCs w:val="21"/>
                <w:highlight w:val="none"/>
                <w:lang w:val="en-US" w:eastAsia="zh-CN"/>
              </w:rPr>
              <w:t xml:space="preserve">未提供不得分</w:t>
            </w:r>
            <w:r>
              <w:rPr>
                <w:rFonts w:hint="eastAsia" w:ascii="宋体" w:hAnsi="宋体" w:eastAsia="宋体" w:cs="宋体"/>
                <w:b/>
                <w:bCs/>
                <w:color w:val="auto"/>
                <w:sz w:val="21"/>
                <w:szCs w:val="21"/>
                <w:highlight w:val="none"/>
                <w:lang w:eastAsia="zh-CN"/>
              </w:rPr>
              <w:t xml:space="preserve">）</w:t>
            </w:r>
            <w:r/>
          </w:p>
        </w:tc>
        <w:tc>
          <w:tcPr>
            <w:tcW w:w="846"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2分</w:t>
            </w:r>
            <w:r/>
          </w:p>
        </w:tc>
      </w:tr>
      <w:tr>
        <w:trPr>
          <w:trHeight w:val="652"/>
        </w:trPr>
        <w:tc>
          <w:tcPr>
            <w:tcW w:w="12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服务保障方案</w:t>
            </w:r>
            <w:r/>
          </w:p>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6737" w:type="dxa"/>
            <w:vAlign w:val="center"/>
            <w:textDirection w:val="lrTb"/>
            <w:noWrap w:val="false"/>
          </w:tcPr>
          <w:p>
            <w:pPr>
              <w:keepLines w:val="0"/>
              <w:keepNext w:val="0"/>
              <w:pageBreakBefore w:val="0"/>
              <w:spacing w:after="0" w:line="400" w:lineRule="exact"/>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根据</w:t>
            </w:r>
            <w:r>
              <w:rPr>
                <w:rFonts w:hint="eastAsia" w:ascii="宋体" w:hAnsi="宋体" w:eastAsia="宋体" w:cs="宋体"/>
                <w:b/>
                <w:bCs/>
                <w:color w:val="auto"/>
                <w:sz w:val="21"/>
                <w:szCs w:val="21"/>
                <w:highlight w:val="none"/>
                <w:lang w:val="en-US" w:eastAsia="zh-CN"/>
              </w:rPr>
              <w:t xml:space="preserve">投标人拟</w:t>
            </w:r>
            <w:r>
              <w:rPr>
                <w:rFonts w:hint="eastAsia" w:ascii="宋体" w:hAnsi="宋体" w:eastAsia="宋体" w:cs="宋体"/>
                <w:b/>
                <w:bCs/>
                <w:color w:val="auto"/>
                <w:sz w:val="21"/>
                <w:szCs w:val="21"/>
                <w:highlight w:val="none"/>
              </w:rPr>
              <w:t xml:space="preserve">提供的</w:t>
            </w:r>
            <w:r>
              <w:rPr>
                <w:rFonts w:hint="eastAsia" w:ascii="宋体" w:hAnsi="宋体" w:eastAsia="宋体" w:cs="宋体"/>
                <w:b/>
                <w:bCs/>
                <w:color w:val="auto"/>
                <w:sz w:val="21"/>
                <w:szCs w:val="21"/>
                <w:highlight w:val="none"/>
                <w:lang w:val="en-US" w:eastAsia="zh-CN"/>
              </w:rPr>
              <w:t xml:space="preserve">服务保障软硬件方案</w:t>
            </w:r>
            <w:r>
              <w:rPr>
                <w:rFonts w:hint="eastAsia" w:ascii="宋体" w:hAnsi="宋体" w:eastAsia="宋体" w:cs="宋体"/>
                <w:b/>
                <w:bCs/>
                <w:color w:val="auto"/>
                <w:sz w:val="21"/>
                <w:szCs w:val="21"/>
                <w:highlight w:val="none"/>
              </w:rPr>
              <w:t xml:space="preserve">评分</w:t>
            </w:r>
            <w:r>
              <w:rPr>
                <w:rFonts w:hint="eastAsia" w:ascii="宋体" w:hAnsi="宋体" w:eastAsia="宋体" w:cs="宋体"/>
                <w:b/>
                <w:bCs/>
                <w:color w:val="auto"/>
                <w:sz w:val="21"/>
                <w:szCs w:val="21"/>
                <w:highlight w:val="none"/>
                <w:lang w:eastAsia="zh-CN"/>
              </w:rPr>
              <w:t xml:space="preserve">：</w:t>
            </w:r>
            <w:r/>
          </w:p>
          <w:p>
            <w:pPr>
              <w:numPr>
                <w:ilvl w:val="0"/>
                <w:numId w:val="0"/>
              </w:numPr>
              <w:keepLines w:val="0"/>
              <w:keepNext w:val="0"/>
              <w:pageBreakBefore w:val="0"/>
              <w:spacing w:after="0"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根据</w:t>
            </w:r>
            <w:r>
              <w:rPr>
                <w:rFonts w:hint="eastAsia" w:ascii="Times New Roman" w:hAnsi="Times New Roman" w:eastAsia="宋体" w:cs="Times New Roman"/>
                <w:color w:val="auto"/>
                <w:sz w:val="21"/>
                <w:szCs w:val="21"/>
                <w:highlight w:val="none"/>
                <w:lang w:val="en-US" w:eastAsia="zh-CN"/>
              </w:rPr>
              <w:t xml:space="preserve">投标人拟</w:t>
            </w:r>
            <w:r>
              <w:rPr>
                <w:rFonts w:hint="eastAsia" w:ascii="Times New Roman" w:hAnsi="Times New Roman" w:eastAsia="宋体" w:cs="Times New Roman"/>
                <w:color w:val="auto"/>
                <w:sz w:val="21"/>
                <w:szCs w:val="21"/>
                <w:highlight w:val="none"/>
              </w:rPr>
              <w:t xml:space="preserve">提供的教学组织管理制度、学员综合管理制度、档案管理制度及其他安全与应急预案等情况进行打分</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确保教学规范、有序、高效</w:t>
            </w:r>
            <w:r>
              <w:rPr>
                <w:rFonts w:hint="eastAsia" w:ascii="Times New Roman" w:hAnsi="Times New Roman" w:eastAsia="宋体" w:cs="Times New Roman"/>
                <w:color w:val="auto"/>
                <w:sz w:val="21"/>
                <w:szCs w:val="21"/>
                <w:highlight w:val="none"/>
                <w:lang w:val="en-US" w:eastAsia="zh-CN"/>
              </w:rPr>
              <w:t xml:space="preserve">。</w:t>
            </w:r>
            <w:r/>
          </w:p>
          <w:p>
            <w:pPr>
              <w:numPr>
                <w:ilvl w:val="0"/>
                <w:numId w:val="0"/>
              </w:numPr>
              <w:keepLines w:val="0"/>
              <w:keepNext w:val="0"/>
              <w:pageBreakBefore w:val="0"/>
              <w:spacing w:after="0" w:line="400" w:lineRule="exact"/>
              <w:widowControl w:val="off"/>
              <w:rPr>
                <w:rFonts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服务保障</w:t>
            </w:r>
            <w:r>
              <w:rPr>
                <w:rFonts w:ascii="Times New Roman" w:hAnsi="Times New Roman" w:eastAsia="宋体" w:cs="Times New Roman"/>
                <w:color w:val="auto"/>
                <w:sz w:val="21"/>
                <w:szCs w:val="21"/>
                <w:highlight w:val="none"/>
                <w:lang w:val="en-US" w:eastAsia="zh-CN"/>
              </w:rPr>
              <w:t xml:space="preserve">方案定位清晰，匹配度高，内容完整，制度安排齐全，得</w:t>
            </w:r>
            <w:r>
              <w:rPr>
                <w:rFonts w:hint="eastAsia" w:ascii="Times New Roman" w:hAnsi="Times New Roman" w:cs="Times New Roman"/>
                <w:color w:val="auto"/>
                <w:sz w:val="21"/>
                <w:szCs w:val="21"/>
                <w:highlight w:val="none"/>
                <w:lang w:val="en-US" w:eastAsia="zh-CN"/>
              </w:rPr>
              <w:t xml:space="preserve">10</w:t>
            </w:r>
            <w:r>
              <w:rPr>
                <w:rFonts w:ascii="Times New Roman" w:hAnsi="Times New Roman" w:eastAsia="宋体" w:cs="Times New Roman"/>
                <w:color w:val="auto"/>
                <w:sz w:val="21"/>
                <w:szCs w:val="21"/>
                <w:highlight w:val="none"/>
                <w:lang w:val="en-US" w:eastAsia="zh-CN"/>
              </w:rPr>
              <w:t xml:space="preserve">分；</w:t>
            </w:r>
            <w:r/>
          </w:p>
          <w:p>
            <w:pPr>
              <w:numPr>
                <w:ilvl w:val="0"/>
                <w:numId w:val="0"/>
              </w:numPr>
              <w:keepLines w:val="0"/>
              <w:keepNext w:val="0"/>
              <w:pageBreakBefore w:val="0"/>
              <w:spacing w:after="0" w:line="400" w:lineRule="exact"/>
              <w:widowControl w:val="off"/>
              <w:rPr>
                <w:rFonts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服务保障</w:t>
            </w:r>
            <w:r>
              <w:rPr>
                <w:rFonts w:ascii="Times New Roman" w:hAnsi="Times New Roman" w:eastAsia="宋体" w:cs="Times New Roman"/>
                <w:color w:val="auto"/>
                <w:sz w:val="21"/>
                <w:szCs w:val="21"/>
                <w:highlight w:val="none"/>
                <w:lang w:val="en-US" w:eastAsia="zh-CN"/>
              </w:rPr>
              <w:t xml:space="preserve">方案定位基本清晰，匹配度一般，内容较完整，但部分制度或安排有欠缺，得</w:t>
            </w:r>
            <w:r>
              <w:rPr>
                <w:rFonts w:hint="eastAsia" w:ascii="Times New Roman" w:hAnsi="Times New Roman" w:cs="Times New Roman"/>
                <w:color w:val="auto"/>
                <w:sz w:val="21"/>
                <w:szCs w:val="21"/>
                <w:highlight w:val="none"/>
                <w:lang w:val="en-US" w:eastAsia="zh-CN"/>
              </w:rPr>
              <w:t xml:space="preserve">8</w:t>
            </w:r>
            <w:r>
              <w:rPr>
                <w:rFonts w:ascii="Times New Roman" w:hAnsi="Times New Roman" w:eastAsia="宋体" w:cs="Times New Roman"/>
                <w:color w:val="auto"/>
                <w:sz w:val="21"/>
                <w:szCs w:val="21"/>
                <w:highlight w:val="none"/>
                <w:lang w:val="en-US" w:eastAsia="zh-CN"/>
              </w:rPr>
              <w:t xml:space="preserve">分；</w:t>
            </w:r>
            <w:r/>
          </w:p>
          <w:p>
            <w:pPr>
              <w:numPr>
                <w:ilvl w:val="0"/>
                <w:numId w:val="0"/>
              </w:numPr>
              <w:keepLines w:val="0"/>
              <w:keepNext w:val="0"/>
              <w:pageBreakBefore w:val="0"/>
              <w:spacing w:after="0" w:line="400" w:lineRule="exact"/>
              <w:widowControl w:val="off"/>
              <w:rPr>
                <w:rFonts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服务保障</w:t>
            </w:r>
            <w:r>
              <w:rPr>
                <w:rFonts w:ascii="Times New Roman" w:hAnsi="Times New Roman" w:eastAsia="宋体" w:cs="Times New Roman"/>
                <w:color w:val="auto"/>
                <w:sz w:val="21"/>
                <w:szCs w:val="21"/>
                <w:highlight w:val="none"/>
                <w:lang w:val="en-US" w:eastAsia="zh-CN"/>
              </w:rPr>
              <w:t xml:space="preserve">方案定位不够清晰，匹配度较低，内容完整性一般，制度安排存在明显不足，得</w:t>
            </w:r>
            <w:r>
              <w:rPr>
                <w:rFonts w:hint="eastAsia" w:ascii="Times New Roman" w:hAnsi="Times New Roman" w:cs="Times New Roman"/>
                <w:color w:val="auto"/>
                <w:sz w:val="21"/>
                <w:szCs w:val="21"/>
                <w:highlight w:val="none"/>
                <w:lang w:val="en-US" w:eastAsia="zh-CN"/>
              </w:rPr>
              <w:t xml:space="preserve">6</w:t>
            </w:r>
            <w:r>
              <w:rPr>
                <w:rFonts w:ascii="Times New Roman" w:hAnsi="Times New Roman" w:eastAsia="宋体" w:cs="Times New Roman"/>
                <w:color w:val="auto"/>
                <w:sz w:val="21"/>
                <w:szCs w:val="21"/>
                <w:highlight w:val="none"/>
                <w:lang w:val="en-US" w:eastAsia="zh-CN"/>
              </w:rPr>
              <w:t xml:space="preserve">分；</w:t>
            </w:r>
            <w:r/>
          </w:p>
          <w:p>
            <w:pPr>
              <w:numPr>
                <w:ilvl w:val="0"/>
                <w:numId w:val="0"/>
              </w:numPr>
              <w:keepLines w:val="0"/>
              <w:keepNext w:val="0"/>
              <w:pageBreakBefore w:val="0"/>
              <w:spacing w:after="0" w:line="400" w:lineRule="exact"/>
              <w:widowControl w:val="off"/>
              <w:rPr>
                <w:rFonts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服务保障</w:t>
            </w:r>
            <w:r>
              <w:rPr>
                <w:rFonts w:ascii="Times New Roman" w:hAnsi="Times New Roman" w:eastAsia="宋体" w:cs="Times New Roman"/>
                <w:color w:val="auto"/>
                <w:sz w:val="21"/>
                <w:szCs w:val="21"/>
                <w:highlight w:val="none"/>
                <w:lang w:val="en-US" w:eastAsia="zh-CN"/>
              </w:rPr>
              <w:t xml:space="preserve">方案定位模糊，匹配度低，内容缺失较多，制度安排不完善，得</w:t>
            </w:r>
            <w:r>
              <w:rPr>
                <w:rFonts w:hint="eastAsia" w:ascii="Times New Roman" w:hAnsi="Times New Roman" w:cs="Times New Roman"/>
                <w:color w:val="auto"/>
                <w:sz w:val="21"/>
                <w:szCs w:val="21"/>
                <w:highlight w:val="none"/>
                <w:lang w:val="en-US" w:eastAsia="zh-CN"/>
              </w:rPr>
              <w:t xml:space="preserve">4</w:t>
            </w:r>
            <w:r>
              <w:rPr>
                <w:rFonts w:ascii="Times New Roman" w:hAnsi="Times New Roman" w:eastAsia="宋体" w:cs="Times New Roman"/>
                <w:color w:val="auto"/>
                <w:sz w:val="21"/>
                <w:szCs w:val="21"/>
                <w:highlight w:val="none"/>
                <w:lang w:val="en-US" w:eastAsia="zh-CN"/>
              </w:rPr>
              <w:t xml:space="preserve">分；</w:t>
            </w:r>
            <w:r/>
          </w:p>
          <w:p>
            <w:pPr>
              <w:numPr>
                <w:ilvl w:val="0"/>
                <w:numId w:val="0"/>
              </w:numPr>
              <w:keepLines w:val="0"/>
              <w:keepNext w:val="0"/>
              <w:pageBreakBefore w:val="0"/>
              <w:spacing w:after="0" w:line="400" w:lineRule="exact"/>
              <w:widowControl w:val="off"/>
              <w:rPr>
                <w:rFonts w:hint="eastAsia" w:ascii="宋体" w:hAnsi="宋体" w:eastAsia="宋体" w:cs="宋体"/>
                <w:b/>
                <w:bCs/>
                <w:color w:val="auto"/>
                <w:sz w:val="21"/>
                <w:szCs w:val="21"/>
                <w:highlight w:val="none"/>
                <w:lang w:eastAsia="zh-CN"/>
              </w:rPr>
            </w:pPr>
            <w:r>
              <w:rPr>
                <w:rFonts w:ascii="Times New Roman" w:hAnsi="Times New Roman" w:eastAsia="宋体" w:cs="Times New Roman"/>
                <w:color w:val="auto"/>
                <w:sz w:val="21"/>
                <w:szCs w:val="21"/>
                <w:highlight w:val="none"/>
                <w:lang w:val="en-US" w:eastAsia="zh-CN"/>
              </w:rPr>
              <w:t xml:space="preserve">未提供相关方案不得分。</w:t>
            </w:r>
            <w:r/>
          </w:p>
        </w:tc>
        <w:tc>
          <w:tcPr>
            <w:tcW w:w="846"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r>
      <w:tr>
        <w:trPr>
          <w:trHeight w:val="652"/>
        </w:trPr>
        <w:tc>
          <w:tcPr>
            <w:tcW w:w="12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服务保障方案</w:t>
            </w:r>
            <w:r/>
          </w:p>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6737" w:type="dxa"/>
            <w:vAlign w:val="center"/>
            <w:textDirection w:val="lrTb"/>
            <w:noWrap w:val="false"/>
          </w:tcPr>
          <w:p>
            <w:pPr>
              <w:keepLines w:val="0"/>
              <w:keepNext w:val="0"/>
              <w:pageBreakBefore w:val="0"/>
              <w:spacing w:after="0" w:line="400" w:lineRule="exact"/>
              <w:widowControl w:val="off"/>
              <w:rPr>
                <w:rFonts w:hint="eastAsia" w:ascii="Times New Roman" w:hAnsi="Times New Roman" w:eastAsia="宋体" w:cs="Times New Roman"/>
                <w:b/>
                <w:bCs/>
                <w:color w:val="auto"/>
                <w:sz w:val="21"/>
                <w:szCs w:val="21"/>
                <w:highlight w:val="none"/>
                <w:lang w:eastAsia="zh-CN"/>
              </w:rPr>
            </w:pPr>
            <w:r>
              <w:rPr>
                <w:rFonts w:hint="eastAsia" w:ascii="Times New Roman" w:hAnsi="Times New Roman" w:eastAsia="宋体" w:cs="Times New Roman"/>
                <w:b/>
                <w:bCs/>
                <w:color w:val="auto"/>
                <w:sz w:val="21"/>
                <w:szCs w:val="21"/>
                <w:highlight w:val="none"/>
              </w:rPr>
              <w:t xml:space="preserve">根据</w:t>
            </w:r>
            <w:r>
              <w:rPr>
                <w:rFonts w:hint="eastAsia" w:ascii="Times New Roman" w:hAnsi="Times New Roman" w:eastAsia="宋体" w:cs="Times New Roman"/>
                <w:b/>
                <w:bCs/>
                <w:color w:val="auto"/>
                <w:sz w:val="21"/>
                <w:szCs w:val="21"/>
                <w:highlight w:val="none"/>
                <w:lang w:val="en-US" w:eastAsia="zh-CN"/>
              </w:rPr>
              <w:t xml:space="preserve">投标人拟</w:t>
            </w:r>
            <w:r>
              <w:rPr>
                <w:rFonts w:hint="eastAsia" w:ascii="Times New Roman" w:hAnsi="Times New Roman" w:eastAsia="宋体" w:cs="Times New Roman"/>
                <w:b/>
                <w:bCs/>
                <w:color w:val="auto"/>
                <w:sz w:val="21"/>
                <w:szCs w:val="21"/>
                <w:highlight w:val="none"/>
              </w:rPr>
              <w:t xml:space="preserve">提供的</w:t>
            </w:r>
            <w:r>
              <w:rPr>
                <w:rFonts w:hint="eastAsia" w:ascii="Times New Roman" w:hAnsi="Times New Roman" w:eastAsia="宋体" w:cs="Times New Roman"/>
                <w:b/>
                <w:bCs/>
                <w:color w:val="auto"/>
                <w:sz w:val="21"/>
                <w:szCs w:val="21"/>
                <w:highlight w:val="none"/>
                <w:lang w:eastAsia="zh-CN"/>
              </w:rPr>
              <w:t xml:space="preserve">理论培训</w:t>
            </w:r>
            <w:r>
              <w:rPr>
                <w:rFonts w:hint="eastAsia" w:ascii="Times New Roman" w:hAnsi="Times New Roman" w:eastAsia="宋体" w:cs="Times New Roman"/>
                <w:b/>
                <w:bCs/>
                <w:color w:val="auto"/>
                <w:sz w:val="21"/>
                <w:szCs w:val="21"/>
                <w:highlight w:val="none"/>
              </w:rPr>
              <w:t xml:space="preserve">教学设施设备、场地与学员餐饮住宿</w:t>
            </w:r>
            <w:r>
              <w:rPr>
                <w:rFonts w:hint="eastAsia" w:ascii="Times New Roman" w:hAnsi="Times New Roman" w:eastAsia="宋体" w:cs="Times New Roman"/>
                <w:b/>
                <w:bCs/>
                <w:color w:val="auto"/>
                <w:sz w:val="21"/>
                <w:szCs w:val="21"/>
                <w:highlight w:val="none"/>
                <w:lang w:val="en-US" w:eastAsia="zh-CN"/>
              </w:rPr>
              <w:t xml:space="preserve">方案</w:t>
            </w:r>
            <w:r>
              <w:rPr>
                <w:rFonts w:hint="eastAsia" w:ascii="Times New Roman" w:hAnsi="Times New Roman" w:eastAsia="宋体" w:cs="Times New Roman"/>
                <w:b/>
                <w:bCs/>
                <w:color w:val="auto"/>
                <w:sz w:val="21"/>
                <w:szCs w:val="21"/>
                <w:highlight w:val="none"/>
              </w:rPr>
              <w:t xml:space="preserve">评分</w:t>
            </w:r>
            <w:r>
              <w:rPr>
                <w:rFonts w:hint="eastAsia" w:ascii="Times New Roman" w:hAnsi="Times New Roman" w:cs="Times New Roman"/>
                <w:b/>
                <w:bCs/>
                <w:color w:val="auto"/>
                <w:sz w:val="21"/>
                <w:szCs w:val="21"/>
                <w:highlight w:val="none"/>
                <w:lang w:eastAsia="zh-CN"/>
              </w:rPr>
              <w:t xml:space="preserve">：</w:t>
            </w:r>
            <w:r/>
          </w:p>
          <w:p>
            <w:pPr>
              <w:keepLines w:val="0"/>
              <w:keepNext w:val="0"/>
              <w:pageBreakBefore w:val="0"/>
              <w:spacing w:after="0" w:line="400" w:lineRule="exact"/>
              <w:widowControl w:val="off"/>
              <w:rPr>
                <w:rFonts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投标人</w:t>
            </w:r>
            <w:r>
              <w:rPr>
                <w:rFonts w:hint="eastAsia" w:ascii="Times New Roman" w:hAnsi="Times New Roman" w:eastAsia="宋体" w:cs="Times New Roman"/>
                <w:color w:val="auto"/>
                <w:sz w:val="21"/>
                <w:szCs w:val="21"/>
                <w:highlight w:val="none"/>
              </w:rPr>
              <w:t xml:space="preserve">拟提供的培训教学设施极为齐全、先进，能够充分满足并超越培训需求；场地环境优越，</w:t>
            </w:r>
            <w:r>
              <w:rPr>
                <w:rFonts w:hint="eastAsia" w:ascii="Times New Roman" w:hAnsi="Times New Roman" w:eastAsia="宋体" w:cs="Times New Roman"/>
                <w:color w:val="auto"/>
                <w:sz w:val="21"/>
                <w:szCs w:val="21"/>
                <w:highlight w:val="none"/>
                <w:lang w:val="en-US" w:eastAsia="zh-CN"/>
              </w:rPr>
              <w:t xml:space="preserve">学员餐饮与住宿条件优越，整体整洁、舒适、安全，</w:t>
            </w:r>
            <w:r>
              <w:rPr>
                <w:rFonts w:hint="eastAsia" w:ascii="Times New Roman" w:hAnsi="Times New Roman" w:eastAsia="宋体" w:cs="Times New Roman"/>
                <w:color w:val="auto"/>
                <w:sz w:val="21"/>
                <w:szCs w:val="21"/>
                <w:highlight w:val="none"/>
              </w:rPr>
              <w:t xml:space="preserve">为学员创造高效、舒适的学习氛围；能显著提升学员的满意度和学习体验</w:t>
            </w:r>
            <w:r>
              <w:rPr>
                <w:rFonts w:hint="eastAsia" w:ascii="Times New Roman" w:hAnsi="Times New Roman" w:eastAsia="宋体" w:cs="Times New Roman"/>
                <w:color w:val="auto"/>
                <w:sz w:val="21"/>
                <w:szCs w:val="21"/>
                <w:highlight w:val="none"/>
                <w:lang w:val="en-US" w:eastAsia="zh-CN"/>
              </w:rPr>
              <w:t xml:space="preserve">的，得</w:t>
            </w:r>
            <w:r>
              <w:rPr>
                <w:rFonts w:hint="eastAsia" w:ascii="Times New Roman" w:hAnsi="Times New Roman" w:cs="Times New Roman"/>
                <w:color w:val="auto"/>
                <w:sz w:val="21"/>
                <w:szCs w:val="21"/>
                <w:highlight w:val="none"/>
                <w:lang w:val="en-US" w:eastAsia="zh-CN"/>
              </w:rPr>
              <w:t xml:space="preserve">10</w:t>
            </w:r>
            <w:r>
              <w:rPr>
                <w:rFonts w:hint="eastAsia" w:ascii="Times New Roman" w:hAnsi="Times New Roman" w:eastAsia="宋体" w:cs="Times New Roman"/>
                <w:color w:val="auto"/>
                <w:sz w:val="21"/>
                <w:szCs w:val="21"/>
                <w:highlight w:val="none"/>
                <w:lang w:val="en-US" w:eastAsia="zh-CN"/>
              </w:rPr>
              <w:t xml:space="preserve">分；</w:t>
            </w:r>
            <w:r/>
          </w:p>
          <w:p>
            <w:pPr>
              <w:keepLines w:val="0"/>
              <w:keepNext w:val="0"/>
              <w:pageBreakBefore w:val="0"/>
              <w:spacing w:after="0" w:line="400" w:lineRule="exact"/>
              <w:widowControl w:val="off"/>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投标人</w:t>
            </w:r>
            <w:r>
              <w:rPr>
                <w:rFonts w:hint="eastAsia" w:ascii="Times New Roman" w:hAnsi="Times New Roman" w:eastAsia="宋体" w:cs="Times New Roman"/>
                <w:color w:val="auto"/>
                <w:sz w:val="21"/>
                <w:szCs w:val="21"/>
                <w:highlight w:val="none"/>
              </w:rPr>
              <w:t xml:space="preserve">拟提供的培训教学设施齐全，设备先进，能够很好地满足培训需求；场地环境</w:t>
            </w:r>
            <w:r>
              <w:rPr>
                <w:rFonts w:hint="eastAsia" w:ascii="Times New Roman" w:hAnsi="Times New Roman" w:eastAsia="宋体" w:cs="Times New Roman"/>
                <w:color w:val="auto"/>
                <w:sz w:val="21"/>
                <w:szCs w:val="21"/>
                <w:highlight w:val="none"/>
                <w:lang w:val="en-US" w:eastAsia="zh-CN"/>
              </w:rPr>
              <w:t xml:space="preserve">较好；学员餐饮与住宿条件良好，整体整洁、舒适、安全</w:t>
            </w:r>
            <w:r>
              <w:rPr>
                <w:rFonts w:hint="eastAsia" w:ascii="Times New Roman" w:hAnsi="Times New Roman" w:eastAsia="宋体" w:cs="Times New Roman"/>
                <w:color w:val="auto"/>
                <w:sz w:val="21"/>
                <w:szCs w:val="21"/>
                <w:highlight w:val="none"/>
              </w:rPr>
              <w:t xml:space="preserve">，得</w:t>
            </w:r>
            <w:r>
              <w:rPr>
                <w:rFonts w:hint="eastAsia" w:ascii="Times New Roman" w:hAnsi="Times New Roman" w:cs="Times New Roman"/>
                <w:color w:val="auto"/>
                <w:sz w:val="21"/>
                <w:szCs w:val="21"/>
                <w:highlight w:val="none"/>
                <w:lang w:val="en-US" w:eastAsia="zh-CN"/>
              </w:rPr>
              <w:t xml:space="preserve">8</w:t>
            </w:r>
            <w:r>
              <w:rPr>
                <w:rFonts w:hint="eastAsia" w:ascii="Times New Roman" w:hAnsi="Times New Roman" w:eastAsia="宋体" w:cs="Times New Roman"/>
                <w:color w:val="auto"/>
                <w:sz w:val="21"/>
                <w:szCs w:val="21"/>
                <w:highlight w:val="none"/>
              </w:rPr>
              <w:t xml:space="preserve">分。</w:t>
            </w:r>
            <w:r/>
          </w:p>
          <w:p>
            <w:pPr>
              <w:keepLines w:val="0"/>
              <w:keepNext w:val="0"/>
              <w:pageBreakBefore w:val="0"/>
              <w:spacing w:line="400" w:lineRule="exact"/>
              <w:widowControl w:val="off"/>
              <w:rPr>
                <w:rFonts w:hint="eastAsia"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 xml:space="preserve">投标人</w:t>
            </w:r>
            <w:r>
              <w:rPr>
                <w:rFonts w:ascii="Times New Roman" w:hAnsi="Times New Roman" w:cs="Times New Roman"/>
                <w:b w:val="0"/>
                <w:bCs w:val="0"/>
                <w:color w:val="auto"/>
                <w:sz w:val="21"/>
                <w:szCs w:val="21"/>
                <w:highlight w:val="none"/>
                <w:lang w:val="en-US" w:eastAsia="zh-CN"/>
              </w:rPr>
              <w:t xml:space="preserve">拟提供的培训教学设施较为齐全，设备较为先进，能基本满足培训需求；学员餐饮与住宿条件较好，比较整洁、舒适、安全</w:t>
            </w:r>
            <w:r>
              <w:rPr>
                <w:rFonts w:hint="eastAsia" w:ascii="Times New Roman" w:hAnsi="Times New Roman" w:cs="Times New Roman"/>
                <w:b w:val="0"/>
                <w:bCs w:val="0"/>
                <w:color w:val="auto"/>
                <w:sz w:val="21"/>
                <w:szCs w:val="21"/>
                <w:highlight w:val="none"/>
                <w:lang w:val="en-US" w:eastAsia="zh-CN"/>
              </w:rPr>
              <w:t xml:space="preserve">的，得6分；</w:t>
            </w:r>
            <w:r/>
          </w:p>
          <w:p>
            <w:pPr>
              <w:keepLines w:val="0"/>
              <w:keepNext w:val="0"/>
              <w:pageBreakBefore w:val="0"/>
              <w:spacing w:line="400" w:lineRule="exact"/>
              <w:widowControl w:val="off"/>
              <w:rPr>
                <w:rFonts w:hint="eastAsia"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 xml:space="preserve">投标人</w:t>
            </w:r>
            <w:r>
              <w:rPr>
                <w:rFonts w:ascii="Times New Roman" w:hAnsi="Times New Roman" w:cs="Times New Roman"/>
                <w:b w:val="0"/>
                <w:bCs w:val="0"/>
                <w:color w:val="auto"/>
                <w:sz w:val="21"/>
                <w:szCs w:val="21"/>
                <w:highlight w:val="none"/>
                <w:lang w:val="en-US" w:eastAsia="zh-CN"/>
              </w:rPr>
              <w:t xml:space="preserve">拟提供的培训教学设施、设备、场地环境一般，仅能勉强满足基本的培训要求</w:t>
            </w:r>
            <w:r>
              <w:rPr>
                <w:rFonts w:hint="eastAsia" w:ascii="Times New Roman" w:hAnsi="Times New Roman" w:cs="Times New Roman"/>
                <w:b w:val="0"/>
                <w:bCs w:val="0"/>
                <w:color w:val="auto"/>
                <w:sz w:val="21"/>
                <w:szCs w:val="21"/>
                <w:highlight w:val="none"/>
                <w:lang w:val="en-US" w:eastAsia="zh-CN"/>
              </w:rPr>
              <w:t xml:space="preserve">；</w:t>
            </w:r>
            <w:r>
              <w:rPr>
                <w:rFonts w:ascii="Times New Roman" w:hAnsi="Times New Roman" w:cs="Times New Roman"/>
                <w:b w:val="0"/>
                <w:bCs w:val="0"/>
                <w:color w:val="auto"/>
                <w:sz w:val="21"/>
                <w:szCs w:val="21"/>
                <w:highlight w:val="none"/>
                <w:lang w:val="en-US" w:eastAsia="zh-CN"/>
              </w:rPr>
              <w:t xml:space="preserve">学员餐饮与住宿条件普通，在整洁、舒适、安全方面表现一般</w:t>
            </w:r>
            <w:r>
              <w:rPr>
                <w:rFonts w:hint="eastAsia" w:ascii="Times New Roman" w:hAnsi="Times New Roman" w:cs="Times New Roman"/>
                <w:b w:val="0"/>
                <w:bCs w:val="0"/>
                <w:color w:val="auto"/>
                <w:sz w:val="21"/>
                <w:szCs w:val="21"/>
                <w:highlight w:val="none"/>
                <w:lang w:val="en-US" w:eastAsia="zh-CN"/>
              </w:rPr>
              <w:t xml:space="preserve">的，得4分；</w:t>
            </w:r>
            <w:r/>
          </w:p>
          <w:p>
            <w:pPr>
              <w:keepLines w:val="0"/>
              <w:keepNext w:val="0"/>
              <w:pageBreakBefore w:val="0"/>
              <w:spacing w:line="400" w:lineRule="exact"/>
              <w:widowControl w:val="off"/>
              <w:rPr>
                <w:rFonts w:ascii="Times New Roman" w:hAnsi="Times New Roman" w:eastAsia="宋体" w:cs="Times New Roman"/>
                <w:color w:val="auto"/>
                <w:sz w:val="21"/>
                <w:szCs w:val="21"/>
                <w:highlight w:val="none"/>
                <w:lang w:val="en-US" w:eastAsia="zh-CN"/>
              </w:rPr>
            </w:pPr>
            <w:r>
              <w:rPr>
                <w:rFonts w:ascii="Times New Roman" w:hAnsi="Times New Roman" w:eastAsia="宋体" w:cs="Times New Roman"/>
                <w:color w:val="auto"/>
                <w:sz w:val="21"/>
                <w:szCs w:val="21"/>
                <w:highlight w:val="none"/>
                <w:lang w:val="en-US" w:eastAsia="zh-CN"/>
              </w:rPr>
              <w:t xml:space="preserve">未提供相关方案不得分。</w:t>
            </w:r>
            <w:r/>
          </w:p>
        </w:tc>
        <w:tc>
          <w:tcPr>
            <w:tcW w:w="846"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r>
      <w:tr>
        <w:trPr>
          <w:trHeight w:val="1630"/>
        </w:trPr>
        <w:tc>
          <w:tcPr>
            <w:tcW w:w="1249" w:type="dxa"/>
            <w:vAlign w:val="center"/>
            <w:textDirection w:val="lrTb"/>
            <w:noWrap w:val="false"/>
          </w:tcPr>
          <w:p>
            <w:pPr>
              <w:jc w:val="center"/>
              <w:keepLines w:val="0"/>
              <w:keepNext w:val="0"/>
              <w:pageBreakBefore w:val="0"/>
              <w:spacing w:after="0" w:line="400" w:lineRule="exact"/>
              <w:widowControl w:val="off"/>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项目管理教学人员资质条件</w:t>
            </w:r>
            <w:r/>
          </w:p>
        </w:tc>
        <w:tc>
          <w:tcPr>
            <w:tcW w:w="6737" w:type="dxa"/>
            <w:vAlign w:val="center"/>
            <w:textDirection w:val="lrTb"/>
            <w:noWrap w:val="false"/>
          </w:tcPr>
          <w:p>
            <w:pPr>
              <w:keepLines w:val="0"/>
              <w:keepNext w:val="0"/>
              <w:pageBreakBefore w:val="0"/>
              <w:spacing w:line="400" w:lineRule="exact"/>
              <w:widowControl w:val="off"/>
              <w:rPr>
                <w:rFonts w:hint="eastAsia" w:ascii="宋体" w:hAnsi="宋体" w:eastAsia="宋体" w:cs="宋体"/>
                <w:b/>
                <w:bCs/>
                <w:color w:val="auto"/>
                <w:highlight w:val="none"/>
                <w:lang w:val="en-US" w:eastAsia="zh-CN"/>
              </w:rPr>
            </w:pPr>
            <w:r>
              <w:rPr>
                <w:rFonts w:hint="eastAsia" w:ascii="宋体" w:hAnsi="宋体" w:eastAsia="宋体" w:cs="宋体"/>
                <w:b w:val="0"/>
                <w:bCs w:val="0"/>
                <w:color w:val="auto"/>
                <w:highlight w:val="none"/>
                <w:lang w:val="en-US" w:eastAsia="zh-CN"/>
              </w:rPr>
              <w:t xml:space="preserve">1.</w:t>
            </w:r>
            <w:r>
              <w:rPr>
                <w:rFonts w:hint="eastAsia" w:ascii="宋体" w:hAnsi="宋体" w:eastAsia="宋体" w:cs="宋体"/>
                <w:b w:val="0"/>
                <w:bCs w:val="0"/>
                <w:color w:val="auto"/>
                <w:highlight w:val="none"/>
              </w:rPr>
              <w:t xml:space="preserve">拟派项目负责人具有农业类</w:t>
            </w:r>
            <w:r>
              <w:rPr>
                <w:rFonts w:hint="eastAsia" w:ascii="宋体" w:hAnsi="宋体" w:eastAsia="宋体" w:cs="宋体"/>
                <w:b w:val="0"/>
                <w:bCs w:val="0"/>
                <w:color w:val="auto"/>
                <w:highlight w:val="none"/>
                <w:lang w:val="en-US" w:eastAsia="zh-CN"/>
              </w:rPr>
              <w:t xml:space="preserve">中</w:t>
            </w:r>
            <w:r>
              <w:rPr>
                <w:rFonts w:hint="eastAsia" w:ascii="宋体" w:hAnsi="宋体" w:eastAsia="宋体" w:cs="宋体"/>
                <w:b w:val="0"/>
                <w:bCs w:val="0"/>
                <w:color w:val="auto"/>
                <w:highlight w:val="none"/>
              </w:rPr>
              <w:t xml:space="preserve">级职称证书的得</w:t>
            </w:r>
            <w:r>
              <w:rPr>
                <w:rFonts w:hint="eastAsia" w:ascii="宋体" w:hAnsi="宋体" w:eastAsia="宋体" w:cs="宋体"/>
                <w:b w:val="0"/>
                <w:bCs w:val="0"/>
                <w:color w:val="auto"/>
                <w:highlight w:val="none"/>
                <w:lang w:val="en-US" w:eastAsia="zh-CN"/>
              </w:rPr>
              <w:t xml:space="preserve">2</w:t>
            </w:r>
            <w:r>
              <w:rPr>
                <w:rFonts w:hint="eastAsia" w:ascii="宋体" w:hAnsi="宋体" w:eastAsia="宋体" w:cs="宋体"/>
                <w:b w:val="0"/>
                <w:bCs w:val="0"/>
                <w:color w:val="auto"/>
                <w:highlight w:val="none"/>
              </w:rPr>
              <w:t xml:space="preserve">分</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农业类高级（含）以上职称证书的得3分；具有农业培训从业经验的得3分；本项最高6分。</w:t>
            </w:r>
            <w:r>
              <w:rPr>
                <w:rFonts w:hint="eastAsia" w:ascii="宋体" w:hAnsi="宋体" w:eastAsia="宋体" w:cs="宋体"/>
                <w:b/>
                <w:bCs/>
                <w:color w:val="auto"/>
                <w:highlight w:val="none"/>
                <w:lang w:val="en-US" w:eastAsia="zh-CN"/>
              </w:rPr>
              <w:t xml:space="preserve">（</w:t>
            </w:r>
            <w:r>
              <w:rPr>
                <w:rFonts w:hint="eastAsia" w:ascii="宋体" w:hAnsi="宋体" w:eastAsia="宋体" w:cs="宋体"/>
                <w:b/>
                <w:bCs/>
                <w:color w:val="auto"/>
                <w:highlight w:val="none"/>
              </w:rPr>
              <w:t xml:space="preserve">须提供相应证书</w:t>
            </w:r>
            <w:r>
              <w:rPr>
                <w:rFonts w:hint="eastAsia" w:ascii="宋体" w:hAnsi="宋体" w:eastAsia="宋体" w:cs="宋体"/>
                <w:b/>
                <w:bCs/>
                <w:color w:val="auto"/>
                <w:highlight w:val="none"/>
                <w:lang w:val="en-US" w:eastAsia="zh-CN"/>
              </w:rPr>
              <w:t xml:space="preserve">及投标人</w:t>
            </w:r>
            <w:r>
              <w:rPr>
                <w:rFonts w:hint="eastAsia" w:ascii="宋体" w:hAnsi="宋体" w:eastAsia="宋体" w:cs="宋体"/>
                <w:b/>
                <w:bCs/>
                <w:color w:val="auto"/>
                <w:highlight w:val="none"/>
              </w:rPr>
              <w:t xml:space="preserve">为其缴纳的</w:t>
            </w:r>
            <w:r>
              <w:rPr>
                <w:rFonts w:hint="eastAsia" w:ascii="宋体" w:hAnsi="宋体" w:eastAsia="宋体" w:cs="宋体"/>
                <w:b/>
                <w:bCs/>
                <w:color w:val="auto"/>
                <w:highlight w:val="none"/>
                <w:lang w:val="en-US" w:eastAsia="zh-CN"/>
              </w:rPr>
              <w:t xml:space="preserve">近一年内任意一个月的</w:t>
            </w:r>
            <w:r>
              <w:rPr>
                <w:rFonts w:hint="eastAsia" w:ascii="宋体" w:hAnsi="宋体" w:eastAsia="宋体" w:cs="宋体"/>
                <w:b/>
                <w:bCs/>
                <w:color w:val="auto"/>
                <w:highlight w:val="none"/>
              </w:rPr>
              <w:t xml:space="preserve">社保证明（如为退休人员，须提供退休证明及返聘合同）及从业经验证明材料，不提供不得分。</w:t>
            </w:r>
            <w:r>
              <w:rPr>
                <w:rFonts w:hint="eastAsia" w:ascii="宋体" w:hAnsi="宋体" w:eastAsia="宋体" w:cs="宋体"/>
                <w:b/>
                <w:bCs/>
                <w:color w:val="auto"/>
                <w:highlight w:val="none"/>
                <w:lang w:val="en-US" w:eastAsia="zh-CN"/>
              </w:rPr>
              <w:t xml:space="preserve">证书以最高计。）</w:t>
            </w:r>
            <w:r/>
          </w:p>
          <w:p>
            <w:pPr>
              <w:keepLines w:val="0"/>
              <w:keepNext w:val="0"/>
              <w:pageBreakBefore w:val="0"/>
              <w:spacing w:line="4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highlight w:val="none"/>
                <w:lang w:val="en-US" w:eastAsia="zh-CN"/>
              </w:rPr>
              <w:t xml:space="preserve">2.</w:t>
            </w:r>
            <w:r>
              <w:rPr>
                <w:rFonts w:hint="eastAsia" w:ascii="宋体" w:hAnsi="宋体" w:eastAsia="宋体" w:cs="宋体"/>
                <w:b w:val="0"/>
                <w:bCs w:val="0"/>
                <w:color w:val="auto"/>
                <w:highlight w:val="none"/>
              </w:rPr>
              <w:t xml:space="preserve">除项目负责人外，拟派</w:t>
            </w:r>
            <w:r>
              <w:rPr>
                <w:rFonts w:hint="eastAsia" w:ascii="宋体" w:hAnsi="宋体" w:eastAsia="宋体" w:cs="宋体"/>
                <w:b w:val="0"/>
                <w:bCs w:val="0"/>
                <w:color w:val="auto"/>
                <w:highlight w:val="none"/>
                <w:lang w:val="en-US" w:eastAsia="zh-CN"/>
              </w:rPr>
              <w:t xml:space="preserve">讲师</w:t>
            </w:r>
            <w:r>
              <w:rPr>
                <w:rFonts w:hint="eastAsia" w:ascii="宋体" w:hAnsi="宋体" w:eastAsia="宋体" w:cs="宋体"/>
                <w:b w:val="0"/>
                <w:bCs w:val="0"/>
                <w:color w:val="auto"/>
                <w:highlight w:val="none"/>
              </w:rPr>
              <w:t xml:space="preserve">人员中具有农业类</w:t>
            </w:r>
            <w:r>
              <w:rPr>
                <w:rFonts w:hint="eastAsia" w:ascii="宋体" w:hAnsi="宋体" w:eastAsia="宋体" w:cs="宋体"/>
                <w:b w:val="0"/>
                <w:bCs w:val="0"/>
                <w:color w:val="auto"/>
                <w:highlight w:val="none"/>
                <w:lang w:val="en-US" w:eastAsia="zh-CN"/>
              </w:rPr>
              <w:t xml:space="preserve">中</w:t>
            </w:r>
            <w:r>
              <w:rPr>
                <w:rFonts w:hint="eastAsia" w:ascii="宋体" w:hAnsi="宋体" w:eastAsia="宋体" w:cs="宋体"/>
                <w:b w:val="0"/>
                <w:bCs w:val="0"/>
                <w:color w:val="auto"/>
                <w:highlight w:val="none"/>
              </w:rPr>
              <w:t xml:space="preserve">级职称证书的</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有1人得</w:t>
            </w:r>
            <w:r>
              <w:rPr>
                <w:rFonts w:hint="eastAsia" w:ascii="宋体" w:hAnsi="宋体" w:eastAsia="宋体" w:cs="宋体"/>
                <w:b w:val="0"/>
                <w:bCs w:val="0"/>
                <w:color w:val="auto"/>
                <w:highlight w:val="none"/>
                <w:lang w:val="en-US" w:eastAsia="zh-CN"/>
              </w:rPr>
              <w:t xml:space="preserve">2</w:t>
            </w:r>
            <w:r>
              <w:rPr>
                <w:rFonts w:hint="eastAsia" w:ascii="宋体" w:hAnsi="宋体" w:eastAsia="宋体" w:cs="宋体"/>
                <w:b w:val="0"/>
                <w:bCs w:val="0"/>
                <w:color w:val="auto"/>
                <w:highlight w:val="none"/>
              </w:rPr>
              <w:t xml:space="preserve">分</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农业类高级（含）以上职称证书的得3分</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有1人得3分，本项最高</w:t>
            </w:r>
            <w:r>
              <w:rPr>
                <w:rFonts w:hint="eastAsia" w:ascii="宋体" w:hAnsi="宋体" w:eastAsia="宋体" w:cs="宋体"/>
                <w:b w:val="0"/>
                <w:bCs w:val="0"/>
                <w:color w:val="auto"/>
                <w:highlight w:val="none"/>
                <w:lang w:val="en-US" w:eastAsia="zh-CN"/>
              </w:rPr>
              <w:t xml:space="preserve">6</w:t>
            </w:r>
            <w:r>
              <w:rPr>
                <w:rFonts w:hint="eastAsia" w:ascii="宋体" w:hAnsi="宋体" w:eastAsia="宋体" w:cs="宋体"/>
                <w:b w:val="0"/>
                <w:bCs w:val="0"/>
                <w:color w:val="auto"/>
                <w:highlight w:val="none"/>
              </w:rPr>
              <w:t xml:space="preserve">分。</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须提供相应证书及</w:t>
            </w:r>
            <w:r>
              <w:rPr>
                <w:rFonts w:hint="eastAsia" w:ascii="宋体" w:hAnsi="宋体" w:eastAsia="宋体" w:cs="宋体"/>
                <w:b/>
                <w:bCs/>
                <w:color w:val="auto"/>
                <w:highlight w:val="none"/>
                <w:lang w:val="en-US" w:eastAsia="zh-CN"/>
              </w:rPr>
              <w:t xml:space="preserve">投标人</w:t>
            </w:r>
            <w:r>
              <w:rPr>
                <w:rFonts w:hint="eastAsia" w:ascii="宋体" w:hAnsi="宋体" w:eastAsia="宋体" w:cs="宋体"/>
                <w:b/>
                <w:bCs/>
                <w:color w:val="auto"/>
                <w:highlight w:val="none"/>
              </w:rPr>
              <w:t xml:space="preserve">为其缴纳的近期社保证明（如为退休人员，须提供退休证明及返聘合同），不提供不得分。</w:t>
            </w:r>
            <w:r>
              <w:rPr>
                <w:rFonts w:hint="eastAsia" w:ascii="宋体" w:hAnsi="宋体" w:eastAsia="宋体" w:cs="宋体"/>
                <w:b/>
                <w:bCs/>
                <w:color w:val="auto"/>
                <w:highlight w:val="none"/>
                <w:lang w:val="en-US" w:eastAsia="zh-CN"/>
              </w:rPr>
              <w:t xml:space="preserve">证书以最高计。同一人员不重复计分。</w:t>
            </w:r>
            <w:r>
              <w:rPr>
                <w:rFonts w:hint="eastAsia" w:ascii="宋体" w:hAnsi="宋体" w:eastAsia="宋体" w:cs="宋体"/>
                <w:b/>
                <w:bCs/>
                <w:color w:val="auto"/>
                <w:highlight w:val="none"/>
                <w:lang w:eastAsia="zh-CN"/>
              </w:rPr>
              <w:t xml:space="preserve">）</w:t>
            </w:r>
            <w:r/>
          </w:p>
        </w:tc>
        <w:tc>
          <w:tcPr>
            <w:tcW w:w="846"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12分</w:t>
            </w:r>
            <w:r/>
          </w:p>
        </w:tc>
      </w:tr>
      <w:tr>
        <w:trPr>
          <w:trHeight w:val="652"/>
        </w:trPr>
        <w:tc>
          <w:tcPr>
            <w:tcW w:w="124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总分</w:t>
            </w:r>
            <w:r/>
          </w:p>
        </w:tc>
        <w:tc>
          <w:tcPr>
            <w:tcW w:w="6737" w:type="dxa"/>
            <w:vAlign w:val="center"/>
            <w:textDirection w:val="lrTb"/>
            <w:noWrap w:val="false"/>
          </w:tcPr>
          <w:p>
            <w:pPr>
              <w:jc w:val="center"/>
              <w:keepLines w:val="0"/>
              <w:keepNext w:val="0"/>
              <w:pageBreakBefore w:val="0"/>
              <w:spacing w:after="0"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100</w:t>
            </w:r>
            <w:r/>
          </w:p>
        </w:tc>
        <w:tc>
          <w:tcPr>
            <w:tcW w:w="84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总分</w:t>
            </w:r>
            <w:r/>
          </w:p>
        </w:tc>
      </w:tr>
    </w:tbl>
    <w:p>
      <w:pPr>
        <w:pStyle w:val="966"/>
        <w:ind w:firstLine="0"/>
        <w:rPr>
          <w:rFonts w:hint="eastAsia" w:ascii="宋体" w:hAnsi="宋体"/>
          <w:b/>
          <w:color w:val="auto"/>
          <w:szCs w:val="21"/>
          <w:highlight w:val="none"/>
        </w:rPr>
      </w:pPr>
      <w:r>
        <w:rPr>
          <w:rFonts w:hint="eastAsia" w:ascii="宋体" w:hAnsi="宋体" w:cs="宋体"/>
          <w:b/>
          <w:bCs/>
          <w:color w:val="auto"/>
          <w:sz w:val="21"/>
          <w:szCs w:val="21"/>
          <w:highlight w:val="none"/>
        </w:rPr>
        <w:t xml:space="preserve">注：评委应对以上各得分项独立评分，</w:t>
      </w:r>
      <w:r>
        <w:rPr>
          <w:rFonts w:hint="eastAsia" w:ascii="宋体" w:hAnsi="宋体" w:cs="宋体"/>
          <w:b/>
          <w:bCs/>
          <w:color w:val="auto"/>
          <w:sz w:val="21"/>
          <w:szCs w:val="21"/>
          <w:highlight w:val="none"/>
          <w:lang w:val="en-US" w:eastAsia="zh-CN"/>
        </w:rPr>
        <w:t xml:space="preserve">供应商</w:t>
      </w:r>
      <w:r>
        <w:rPr>
          <w:rFonts w:hint="eastAsia" w:ascii="宋体" w:hAnsi="宋体" w:cs="宋体"/>
          <w:b/>
          <w:bCs/>
          <w:color w:val="auto"/>
          <w:sz w:val="21"/>
          <w:szCs w:val="21"/>
          <w:highlight w:val="none"/>
        </w:rPr>
        <w:t xml:space="preserve">最终得分为所有评委评分汇总的平均值。</w:t>
      </w:r>
      <w:r/>
    </w:p>
    <w:p>
      <w:pPr>
        <w:spacing w:line="360" w:lineRule="auto"/>
        <w:rPr>
          <w:rFonts w:hint="eastAsia" w:ascii="宋体" w:hAnsi="宋体" w:eastAsia="宋体" w:cs="宋体"/>
          <w:b/>
          <w:bCs w:val="0"/>
          <w:color w:val="auto"/>
          <w:szCs w:val="21"/>
          <w:highlight w:val="none"/>
          <w:lang w:eastAsia="zh-CN"/>
        </w:rPr>
      </w:pPr>
      <w:r>
        <w:rPr>
          <w:rFonts w:hint="eastAsia" w:ascii="宋体" w:hAnsi="宋体"/>
          <w:b/>
          <w:color w:val="auto"/>
          <w:szCs w:val="21"/>
          <w:highlight w:val="none"/>
        </w:rPr>
        <w:t xml:space="preserve">评审委员会启动异常低价投标（响应）审查的情形和具体要求如下</w:t>
      </w:r>
      <w:r>
        <w:rPr>
          <w:rFonts w:hint="eastAsia" w:ascii="宋体" w:hAnsi="宋体"/>
          <w:b/>
          <w:color w:val="auto"/>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1.1 </w:t>
      </w:r>
      <w:r>
        <w:rPr>
          <w:rFonts w:hint="eastAsia" w:ascii="宋体" w:hAnsi="宋体" w:eastAsia="宋体" w:cs="宋体"/>
          <w:b/>
          <w:bCs w:val="0"/>
          <w:color w:val="auto"/>
          <w:szCs w:val="21"/>
          <w:highlight w:val="none"/>
        </w:rPr>
        <w:t xml:space="preserve">投标（响应）报价低于全部通过符合性审查供应商投标（响应）报价平均值65%的，即投标（响应）报价＜全部通过符合性审查供应商投标（响应）报价平均值×65%；</w:t>
      </w:r>
      <w:r/>
    </w:p>
    <w:p>
      <w:pPr>
        <w:ind w:firstLine="422"/>
        <w:keepLines w:val="0"/>
        <w:keepNext w:val="0"/>
        <w:pageBreakBefore w:val="0"/>
        <w:spacing w:line="360" w:lineRule="auto"/>
        <w:widowControl w:val="off"/>
        <w:rPr>
          <w:rFonts w:hint="eastAsia" w:ascii="宋体" w:hAnsi="宋体" w:eastAsia="宋体" w:cs="宋体"/>
          <w:b/>
          <w:bCs w:val="0"/>
          <w:color w:val="auto"/>
          <w:szCs w:val="21"/>
          <w:highlight w:val="none"/>
        </w:rPr>
      </w:pPr>
      <w:r>
        <w:rPr>
          <w:rFonts w:hint="eastAsia" w:ascii="宋体" w:hAnsi="宋体" w:cs="宋体"/>
          <w:b/>
          <w:bCs w:val="0"/>
          <w:color w:val="auto"/>
          <w:szCs w:val="21"/>
          <w:highlight w:val="none"/>
          <w:lang w:val="en-US" w:eastAsia="zh-CN"/>
        </w:rPr>
        <w:t xml:space="preserve">1.2 </w:t>
      </w:r>
      <w:r>
        <w:rPr>
          <w:rFonts w:hint="eastAsia" w:ascii="宋体" w:hAnsi="宋体" w:eastAsia="宋体" w:cs="宋体"/>
          <w:b/>
          <w:bCs w:val="0"/>
          <w:color w:val="auto"/>
          <w:szCs w:val="21"/>
          <w:highlight w:val="none"/>
        </w:rPr>
        <w:t xml:space="preserve">投标（响应）报价低于通过符合性审查的次低报价供应商投标（响应）报价65%的，即投标（响应）报价＜通过符合性审查的次低报价供应商投标（响应）报价×65%；</w:t>
      </w:r>
      <w:r/>
    </w:p>
    <w:p>
      <w:pPr>
        <w:pStyle w:val="761"/>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1.3投标（响应）报价低于采购项目最高限价65%的，即投标（响应）报价＜采购项目最高限价×65%；</w:t>
      </w:r>
      <w:r/>
    </w:p>
    <w:p>
      <w:pPr>
        <w:ind w:firstLine="422"/>
        <w:keepLines w:val="0"/>
        <w:keepNext w:val="0"/>
        <w:pageBreakBefore w:val="0"/>
        <w:spacing w:line="360" w:lineRule="auto"/>
        <w:widowControl w:val="off"/>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1.</w:t>
      </w:r>
      <w:r>
        <w:rPr>
          <w:rFonts w:hint="eastAsia" w:ascii="宋体" w:hAnsi="宋体" w:cs="宋体"/>
          <w:b/>
          <w:bCs w:val="0"/>
          <w:color w:val="auto"/>
          <w:szCs w:val="21"/>
          <w:highlight w:val="none"/>
          <w:lang w:val="en-US" w:eastAsia="zh-CN"/>
        </w:rPr>
        <w:t xml:space="preserve">4</w:t>
      </w:r>
      <w:r>
        <w:rPr>
          <w:rFonts w:hint="eastAsia" w:ascii="宋体" w:hAnsi="宋体" w:eastAsia="宋体" w:cs="宋体"/>
          <w:b/>
          <w:bCs w:val="0"/>
          <w:color w:val="auto"/>
          <w:szCs w:val="21"/>
          <w:highlight w:val="none"/>
          <w:lang w:val="en-US" w:eastAsia="zh-CN"/>
        </w:rPr>
        <w:t xml:space="preserve"> </w:t>
      </w:r>
      <w:r>
        <w:rPr>
          <w:rFonts w:hint="eastAsia" w:ascii="宋体" w:hAnsi="宋体" w:eastAsia="宋体" w:cs="宋体"/>
          <w:b/>
          <w:bCs w:val="0"/>
          <w:color w:val="auto"/>
          <w:szCs w:val="21"/>
          <w:highlight w:val="none"/>
        </w:rPr>
        <w:t xml:space="preserve">评审委员会认定的供应商报价过低、有可能影响产品质量或者不能诚信履约的其他情形。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Times New Roman"/>
          <w:b/>
          <w:color w:val="auto"/>
          <w:szCs w:val="18"/>
          <w:highlight w:val="none"/>
        </w:rPr>
      </w:pPr>
      <w:r>
        <w:rPr>
          <w:rFonts w:hint="eastAsia" w:ascii="宋体" w:hAnsi="宋体" w:eastAsia="宋体" w:cs="宋体"/>
          <w:b/>
          <w:bCs w:val="0"/>
          <w:color w:val="auto"/>
          <w:szCs w:val="21"/>
          <w:highlight w:val="none"/>
          <w:lang w:val="en-US" w:eastAsia="zh-CN"/>
        </w:rPr>
        <w:t xml:space="preserve">1.</w:t>
      </w:r>
      <w:r>
        <w:rPr>
          <w:rFonts w:hint="eastAsia" w:ascii="宋体" w:hAnsi="宋体" w:cs="宋体"/>
          <w:b/>
          <w:bCs w:val="0"/>
          <w:color w:val="auto"/>
          <w:szCs w:val="21"/>
          <w:highlight w:val="none"/>
          <w:lang w:val="en-US" w:eastAsia="zh-CN"/>
        </w:rPr>
        <w:t xml:space="preserve">5</w:t>
      </w:r>
      <w:r>
        <w:rPr>
          <w:rFonts w:hint="default" w:ascii="宋体" w:hAnsi="宋体" w:eastAsia="宋体" w:cs="宋体"/>
          <w:b/>
          <w:bCs w:val="0"/>
          <w:color w:val="auto"/>
          <w:szCs w:val="21"/>
          <w:highlight w:val="none"/>
        </w:rPr>
        <w:t xml:space="preserve">启动异常低价投标审查后，评审委员会应当要求相关供应商在评标现场合理的时间内，</w:t>
      </w:r>
      <w:r>
        <w:rPr>
          <w:rFonts w:hint="eastAsia" w:ascii="宋体" w:hAnsi="宋体" w:eastAsia="宋体" w:cs="宋体"/>
          <w:b/>
          <w:bCs w:val="0"/>
          <w:color w:val="auto"/>
          <w:szCs w:val="21"/>
          <w:highlight w:val="none"/>
          <w:lang w:val="en-US" w:eastAsia="zh-CN"/>
        </w:rPr>
        <w:t xml:space="preserve">在</w:t>
      </w:r>
      <w:r>
        <w:rPr>
          <w:rFonts w:hint="eastAsia" w:ascii="宋体" w:hAnsi="宋体" w:eastAsia="宋体" w:cs="宋体"/>
          <w:b/>
          <w:bCs w:val="0"/>
          <w:color w:val="auto"/>
          <w:szCs w:val="21"/>
          <w:highlight w:val="none"/>
        </w:rPr>
        <w:t xml:space="preserve">江苏省政府采购（苏采云）平台</w:t>
      </w:r>
      <w:r>
        <w:rPr>
          <w:rFonts w:hint="eastAsia" w:ascii="宋体" w:hAnsi="宋体" w:eastAsia="宋体" w:cs="宋体"/>
          <w:b/>
          <w:bCs w:val="0"/>
          <w:color w:val="auto"/>
          <w:szCs w:val="21"/>
          <w:highlight w:val="none"/>
          <w:lang w:val="en-US" w:eastAsia="zh-CN"/>
        </w:rPr>
        <w:t xml:space="preserve">上</w:t>
      </w:r>
      <w:r>
        <w:rPr>
          <w:rFonts w:hint="default" w:ascii="宋体" w:hAnsi="宋体" w:eastAsia="宋体" w:cs="宋体"/>
          <w:b/>
          <w:bCs w:val="0"/>
          <w:color w:val="auto"/>
          <w:szCs w:val="21"/>
          <w:highlight w:val="none"/>
        </w:rPr>
        <w:t xml:space="preserve">提供项目具体成本测算等与报价合理性相关的书面说明及相关证明材料</w:t>
      </w:r>
      <w:r>
        <w:rPr>
          <w:rFonts w:hint="eastAsia" w:ascii="宋体" w:hAnsi="宋体" w:eastAsia="宋体" w:cs="宋体"/>
          <w:b/>
          <w:bCs w:val="0"/>
          <w:color w:val="auto"/>
          <w:szCs w:val="21"/>
          <w:highlight w:val="none"/>
          <w:lang w:val="en-US" w:eastAsia="zh-CN"/>
        </w:rPr>
        <w:t xml:space="preserve">并加盖供应商电子签章</w:t>
      </w:r>
      <w:r>
        <w:rPr>
          <w:rFonts w:hint="default" w:ascii="宋体" w:hAnsi="宋体" w:eastAsia="宋体" w:cs="宋体"/>
          <w:b/>
          <w:bCs w:val="0"/>
          <w:color w:val="auto"/>
          <w:szCs w:val="21"/>
          <w:highlight w:val="none"/>
        </w:rPr>
        <w:t xml:space="preserve">，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ascii="宋体" w:hAnsi="宋体" w:eastAsia="宋体" w:cs="Times New Roman"/>
          <w:b/>
          <w:color w:val="auto"/>
          <w:szCs w:val="18"/>
          <w:highlight w:val="none"/>
        </w:rPr>
        <w:br w:type="page" w:clear="all"/>
      </w:r>
      <w:bookmarkStart w:id="62" w:name="_Toc23900"/>
      <w:r>
        <w:rPr>
          <w:rFonts w:hint="eastAsia"/>
          <w:color w:val="auto"/>
          <w:highlight w:val="none"/>
        </w:rPr>
        <w:t xml:space="preserve">第六章 投标文件格式</w:t>
      </w:r>
      <w:bookmarkEnd w:id="62"/>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pStyle w:val="943"/>
        <w:rPr>
          <w:color w:val="auto"/>
          <w:highlight w:val="none"/>
        </w:rPr>
      </w:pPr>
      <w:r>
        <w:rPr>
          <w:color w:val="auto"/>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eastAsia="宋体" w:cs="Times New Roman"/>
          <w:color w:val="auto"/>
          <w:sz w:val="24"/>
          <w:highlight w:val="non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916"/>
        <w:rPr>
          <w:rFonts w:ascii="宋体" w:hAnsi="宋体" w:eastAsia="宋体"/>
          <w:b w:val="0"/>
          <w:color w:val="auto"/>
          <w:sz w:val="32"/>
          <w:szCs w:val="32"/>
          <w:highlight w:val="none"/>
        </w:rPr>
      </w:pPr>
      <w:r>
        <w:rPr>
          <w:rFonts w:hint="eastAsia" w:ascii="宋体" w:hAnsi="宋体"/>
          <w:color w:val="auto"/>
          <w:sz w:val="32"/>
          <w:szCs w:val="32"/>
          <w:highlight w:val="none"/>
        </w:rPr>
        <w:br w:type="page" w:clear="all"/>
      </w:r>
      <w:bookmarkStart w:id="63" w:name="_Toc13579"/>
      <w:r/>
      <w:bookmarkStart w:id="64" w:name="_Toc9624"/>
      <w:r>
        <w:rPr>
          <w:rFonts w:hint="eastAsia" w:ascii="宋体" w:hAnsi="宋体" w:eastAsia="宋体"/>
          <w:color w:val="auto"/>
          <w:sz w:val="32"/>
          <w:highlight w:val="none"/>
        </w:rPr>
        <w:t xml:space="preserve">一、资格审查响应对照表</w:t>
      </w:r>
      <w:bookmarkEnd w:id="63"/>
      <w:r/>
      <w:bookmarkEnd w:id="64"/>
      <w:r/>
      <w:r/>
    </w:p>
    <w:tbl>
      <w:tblPr>
        <w:tblStyle w:val="740"/>
        <w:tblW w:w="0" w:type="auto"/>
        <w:tblInd w:w="-6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2"/>
        <w:gridCol w:w="5872"/>
        <w:gridCol w:w="2158"/>
      </w:tblGrid>
      <w:tr>
        <w:trPr>
          <w:trHeight w:val="647"/>
        </w:trPr>
        <w:tc>
          <w:tcPr>
            <w:tcW w:w="71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gridSpan w:val="2"/>
            <w:tcW w:w="5894"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4"/>
            <w:tcW w:w="8768"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473"/>
        </w:trPr>
        <w:tc>
          <w:tcPr>
            <w:tcW w:w="71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gridSpan w:val="2"/>
            <w:tcW w:w="5894"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法人或者其他组织的营业执照等证明文件，自然人的身份证明</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459"/>
        </w:trPr>
        <w:tc>
          <w:tcPr>
            <w:tcW w:w="71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gridSpan w:val="2"/>
            <w:tcW w:w="5894"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上一年度的财务报告情况（成立不满一年无需提供）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71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gridSpan w:val="2"/>
            <w:tcW w:w="5894" w:type="dxa"/>
            <w:vAlign w:val="center"/>
            <w:textDirection w:val="lrTb"/>
            <w:noWrap w:val="false"/>
          </w:tcPr>
          <w:p>
            <w:pPr>
              <w:spacing w:line="360" w:lineRule="auto"/>
              <w:rPr>
                <w:rFonts w:ascii="宋体" w:hAnsi="宋体"/>
                <w:iCs/>
                <w:color w:val="auto"/>
                <w:szCs w:val="21"/>
                <w:highlight w:val="none"/>
              </w:rPr>
            </w:pPr>
            <w:r>
              <w:rPr>
                <w:rFonts w:hint="eastAsia" w:ascii="宋体" w:hAnsi="宋体" w:eastAsia="宋体" w:cs="宋体"/>
                <w:color w:val="auto"/>
                <w:szCs w:val="21"/>
                <w:highlight w:val="none"/>
              </w:rPr>
              <w:t xml:space="preserve">依法缴纳职工社会保障资金的证明材料</w:t>
            </w:r>
            <w:r>
              <w:rPr>
                <w:rFonts w:hint="eastAsia" w:ascii="宋体" w:hAnsi="宋体" w:eastAsia="宋体" w:cs="宋体"/>
                <w:b/>
                <w:bCs/>
                <w:color w:val="auto"/>
                <w:szCs w:val="21"/>
                <w:highlight w:val="none"/>
              </w:rPr>
              <w:t xml:space="preserve">(提供提交投标文件截止时间前一年内至少一个月依法缴纳社会保障资金的证明材料。投标人依法享受缓缴、免缴的提供证明材料。）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716"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4</w:t>
            </w:r>
            <w:r/>
          </w:p>
        </w:tc>
        <w:tc>
          <w:tcPr>
            <w:gridSpan w:val="2"/>
            <w:tcW w:w="5894" w:type="dxa"/>
            <w:vAlign w:val="center"/>
            <w:textDirection w:val="lrTb"/>
            <w:noWrap w:val="false"/>
          </w:tcPr>
          <w:p>
            <w:pPr>
              <w:spacing w:line="360" w:lineRule="auto"/>
              <w:rPr>
                <w:rFonts w:hint="eastAsia" w:ascii="宋体" w:hAnsi="宋体"/>
                <w:iCs/>
                <w:color w:val="auto"/>
                <w:szCs w:val="21"/>
                <w:highlight w:val="none"/>
              </w:rPr>
            </w:pPr>
            <w:r>
              <w:rPr>
                <w:rFonts w:hint="eastAsia" w:ascii="宋体" w:hAnsi="宋体" w:eastAsia="宋体" w:cs="宋体"/>
                <w:color w:val="auto"/>
                <w:szCs w:val="21"/>
                <w:highlight w:val="none"/>
                <w:lang w:val="en-US" w:eastAsia="zh-CN"/>
              </w:rPr>
              <w:t xml:space="preserve">依法缴纳税收</w:t>
            </w:r>
            <w:r>
              <w:rPr>
                <w:rFonts w:hint="eastAsia" w:ascii="宋体" w:hAnsi="宋体" w:eastAsia="宋体" w:cs="宋体"/>
                <w:color w:val="auto"/>
                <w:szCs w:val="21"/>
                <w:highlight w:val="none"/>
              </w:rPr>
              <w:t xml:space="preserve">的缴款凭证</w:t>
            </w:r>
            <w:r>
              <w:rPr>
                <w:rFonts w:hint="eastAsia" w:ascii="宋体" w:hAnsi="宋体" w:eastAsia="宋体" w:cs="宋体"/>
                <w:b/>
                <w:bCs/>
                <w:color w:val="auto"/>
                <w:szCs w:val="21"/>
                <w:highlight w:val="none"/>
              </w:rPr>
              <w:t xml:space="preserve">（提供提交投标文件截止时间前一年内至少一个月依法纳税的缴款凭证。投标人依法享受缓缴、免缴的提供证明材料。）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71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5</w:t>
            </w:r>
            <w:r/>
          </w:p>
        </w:tc>
        <w:tc>
          <w:tcPr>
            <w:gridSpan w:val="2"/>
            <w:tcW w:w="5894"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具备履行合同所必需的设备和专业技术能力的书面声明；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07"/>
        </w:trPr>
        <w:tc>
          <w:tcPr>
            <w:tcW w:w="71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6</w:t>
            </w:r>
            <w:r/>
          </w:p>
        </w:tc>
        <w:tc>
          <w:tcPr>
            <w:gridSpan w:val="2"/>
            <w:tcW w:w="5894"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参加政府采购活动前3年内在经营活动中没有重大违法记录的书面声明；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393"/>
        </w:trPr>
        <w:tc>
          <w:tcPr>
            <w:tcW w:w="71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7</w:t>
            </w:r>
            <w:r/>
          </w:p>
        </w:tc>
        <w:tc>
          <w:tcPr>
            <w:gridSpan w:val="2"/>
            <w:tcW w:w="5894"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71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8</w:t>
            </w:r>
            <w:r/>
          </w:p>
        </w:tc>
        <w:tc>
          <w:tcPr>
            <w:gridSpan w:val="2"/>
            <w:tcW w:w="589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4"/>
            <w:tcW w:w="8768" w:type="dxa"/>
            <w:vAlign w:val="center"/>
            <w:textDirection w:val="lrTb"/>
            <w:noWrap w:val="false"/>
          </w:tcPr>
          <w:p>
            <w:pPr>
              <w:rPr>
                <w:rFonts w:hint="eastAsia" w:ascii="宋体" w:hAnsi="宋体" w:cs="宋体"/>
                <w:b/>
                <w:bCs/>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90"/>
        </w:trPr>
        <w:tc>
          <w:tcPr>
            <w:tcBorders>
              <w:right w:val="single" w:color="auto" w:sz="4" w:space="0"/>
            </w:tcBorders>
            <w:tcW w:w="716" w:type="dxa"/>
            <w:vAlign w:val="center"/>
            <w:textDirection w:val="lrTb"/>
            <w:noWrap w:val="false"/>
          </w:tcPr>
          <w:p>
            <w:pPr>
              <w:jc w:val="center"/>
              <w:rPr>
                <w:rFonts w:hint="eastAsia" w:ascii="宋体" w:hAnsi="宋体" w:eastAsia="宋体" w:cs="宋体"/>
                <w:b/>
                <w:bCs/>
                <w:color w:val="auto"/>
                <w:szCs w:val="21"/>
                <w:highlight w:val="none"/>
                <w:lang w:val="en-US" w:eastAsia="zh-CN"/>
              </w:rPr>
            </w:pPr>
            <w:r>
              <w:rPr>
                <w:rFonts w:hint="eastAsia" w:ascii="宋体" w:hAnsi="宋体"/>
                <w:color w:val="auto"/>
                <w:szCs w:val="21"/>
                <w:highlight w:val="none"/>
                <w:lang w:val="en-US" w:eastAsia="zh-CN"/>
              </w:rPr>
              <w:t xml:space="preserve">9</w:t>
            </w:r>
            <w:r/>
          </w:p>
        </w:tc>
        <w:tc>
          <w:tcPr>
            <w:gridSpan w:val="3"/>
            <w:tcBorders>
              <w:left w:val="single" w:color="auto" w:sz="4" w:space="0"/>
            </w:tcBorders>
            <w:tcW w:w="8052" w:type="dxa"/>
            <w:vAlign w:val="center"/>
            <w:textDirection w:val="lrTb"/>
            <w:noWrap w:val="false"/>
          </w:tcPr>
          <w:p>
            <w:pPr>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无</w:t>
            </w:r>
            <w:r/>
          </w:p>
        </w:tc>
      </w:tr>
      <w:tr>
        <w:trPr>
          <w:trHeight w:val="281"/>
        </w:trPr>
        <w:tc>
          <w:tcPr>
            <w:gridSpan w:val="4"/>
            <w:tcW w:w="8768" w:type="dxa"/>
            <w:vAlign w:val="center"/>
            <w:textDirection w:val="lrTb"/>
            <w:noWrap w:val="false"/>
          </w:tcPr>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特定资格条件</w:t>
            </w:r>
            <w:r/>
          </w:p>
        </w:tc>
      </w:tr>
      <w:tr>
        <w:trPr>
          <w:trHeight w:val="315"/>
        </w:trPr>
        <w:tc>
          <w:tcPr>
            <w:gridSpan w:val="2"/>
            <w:tcBorders>
              <w:right w:val="single" w:color="auto" w:sz="4" w:space="0"/>
            </w:tcBorders>
            <w:tcW w:w="738" w:type="dxa"/>
            <w:vAlign w:val="center"/>
            <w:textDirection w:val="lrTb"/>
            <w:noWrap w:val="false"/>
          </w:tcPr>
          <w:p>
            <w:pPr>
              <w:jc w:val="center"/>
              <w:rPr>
                <w:rFonts w:hint="default" w:ascii="宋体" w:hAnsi="宋体" w:eastAsia="宋体"/>
                <w:b/>
                <w:color w:val="auto"/>
                <w:szCs w:val="21"/>
                <w:highlight w:val="none"/>
                <w:lang w:val="en-US" w:eastAsia="zh-CN"/>
              </w:rPr>
            </w:pPr>
            <w:r>
              <w:rPr>
                <w:rFonts w:hint="eastAsia" w:ascii="宋体" w:hAnsi="宋体"/>
                <w:color w:val="auto"/>
                <w:szCs w:val="21"/>
                <w:highlight w:val="none"/>
                <w:lang w:val="en-US" w:eastAsia="zh-CN"/>
              </w:rPr>
              <w:t xml:space="preserve">10</w:t>
            </w:r>
            <w:r/>
          </w:p>
        </w:tc>
        <w:tc>
          <w:tcPr>
            <w:gridSpan w:val="2"/>
            <w:tcBorders>
              <w:left w:val="single" w:color="auto" w:sz="4" w:space="0"/>
            </w:tcBorders>
            <w:tcW w:w="8030" w:type="dxa"/>
            <w:vAlign w:val="center"/>
            <w:textDirection w:val="lrTb"/>
            <w:noWrap w:val="false"/>
          </w:tcPr>
          <w:p>
            <w:pPr>
              <w:spacing w:line="360" w:lineRule="auto"/>
              <w:rPr>
                <w:rFonts w:hint="eastAsia"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无</w:t>
            </w:r>
            <w:r/>
          </w:p>
        </w:tc>
      </w:tr>
      <w:tr>
        <w:trPr>
          <w:trHeight w:val="400"/>
        </w:trPr>
        <w:tc>
          <w:tcPr>
            <w:gridSpan w:val="4"/>
            <w:tcW w:w="8768" w:type="dxa"/>
            <w:vAlign w:val="center"/>
            <w:textDirection w:val="lrTb"/>
            <w:noWrap w:val="false"/>
          </w:tcPr>
          <w:p>
            <w:pPr>
              <w:rPr>
                <w:rFonts w:hint="eastAsia" w:ascii="宋体" w:hAnsi="宋体"/>
                <w:b/>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71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gridSpan w:val="2"/>
            <w:tcW w:w="5894"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32"/>
        </w:trPr>
        <w:tc>
          <w:tcPr>
            <w:tcW w:w="716"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12</w:t>
            </w:r>
            <w:r/>
          </w:p>
        </w:tc>
        <w:tc>
          <w:tcPr>
            <w:gridSpan w:val="2"/>
            <w:tcW w:w="5894"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hint="eastAsia" w:ascii="宋体" w:hAnsi="宋体"/>
          <w:b/>
          <w:bCs/>
          <w:color w:val="auto"/>
          <w:highlight w:val="none"/>
        </w:rPr>
        <w:sectPr>
          <w:headerReference w:type="default" r:id="rId10"/>
          <w:footerReference w:type="default" r:id="rId13"/>
          <w:footnotePr/>
          <w:endnotePr/>
          <w:type w:val="nextPage"/>
          <w:pgSz w:w="11906" w:h="16838" w:orient="portrait"/>
          <w:pgMar w:top="1440" w:right="1486" w:bottom="1318" w:left="1800" w:header="851" w:footer="992" w:gutter="0"/>
          <w:cols w:num="1" w:sep="0" w:space="1701" w:equalWidth="1"/>
          <w:docGrid w:linePitch="360"/>
        </w:sectPr>
      </w:pPr>
      <w:r>
        <w:rPr>
          <w:rFonts w:hint="eastAsia"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pStyle w:val="917"/>
        <w:rPr>
          <w:color w:val="auto"/>
          <w:highlight w:val="none"/>
        </w:rPr>
      </w:pPr>
      <w:r>
        <w:rPr>
          <w:color w:val="auto"/>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 </w:t>
      </w:r>
      <w:r>
        <w:rPr>
          <w:rFonts w:hint="eastAsia" w:ascii="宋体" w:hAnsi="宋体"/>
          <w:bCs/>
          <w:color w:val="auto"/>
          <w:highlight w:val="none"/>
          <w:u w:val="single"/>
          <w:lang w:val="en-US" w:eastAsia="zh-CN"/>
        </w:rPr>
        <w:t xml:space="preserve">               </w:t>
      </w:r>
      <w:r>
        <w:rPr>
          <w:rFonts w:hint="eastAsia" w:ascii="宋体" w:hAnsi="宋体"/>
          <w:bCs/>
          <w:color w:val="auto"/>
          <w:highlight w:val="none"/>
          <w:u w:val="single"/>
        </w:rPr>
        <w:t xml:space="preserve">   </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500" w:lineRule="exact"/>
        <w:rPr>
          <w:rFonts w:ascii="方正仿宋_GBK"/>
          <w:color w:val="auto"/>
          <w:szCs w:val="32"/>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both"/>
        <w:spacing w:line="360" w:lineRule="auto"/>
        <w:rPr>
          <w:rFonts w:ascii="宋体" w:hAnsi="宋体"/>
          <w:b/>
          <w:bCs/>
          <w:color w:val="auto"/>
          <w:highlight w:val="none"/>
        </w:rPr>
      </w:pPr>
      <w:r>
        <w:rPr>
          <w:rFonts w:ascii="宋体" w:hAnsi="宋体"/>
          <w:b/>
          <w:bCs/>
          <w:color w:val="auto"/>
          <w:highlight w:val="none"/>
        </w:rPr>
      </w:r>
      <w:r/>
    </w:p>
    <w:p>
      <w:pPr>
        <w:jc w:val="both"/>
        <w:spacing w:line="360" w:lineRule="auto"/>
        <w:rPr>
          <w:rFonts w:ascii="宋体" w:hAnsi="宋体"/>
          <w:b/>
          <w:bCs/>
          <w:color w:val="auto"/>
          <w:highlight w:val="none"/>
        </w:rPr>
      </w:pPr>
      <w:r>
        <w:rPr>
          <w:rFonts w:ascii="宋体" w:hAnsi="宋体"/>
          <w:b/>
          <w:bCs/>
          <w:color w:val="auto"/>
          <w:highlight w:val="none"/>
        </w:rPr>
      </w:r>
      <w:r/>
    </w:p>
    <w:p>
      <w:pPr>
        <w:jc w:val="both"/>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966"/>
        <w:ind w:firstLine="0"/>
        <w:spacing w:before="0" w:after="0"/>
        <w:rPr>
          <w:rFonts w:hint="eastAsia"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江苏协诚工程咨询有限公司</w:t>
      </w:r>
      <w:r/>
    </w:p>
    <w:p>
      <w:pPr>
        <w:pStyle w:val="96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）号招标文件，正式授权下述签字人_________________(姓名)代表我方______________（投标人的名称），全权处理本次项目投标的有关事宜。</w:t>
      </w:r>
      <w:r/>
    </w:p>
    <w:p>
      <w:pPr>
        <w:pStyle w:val="96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6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6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66"/>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66"/>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66"/>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66"/>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66"/>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6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6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6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6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6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6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6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66"/>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71"/>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7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7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71"/>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71"/>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971"/>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71"/>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71"/>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71"/>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hint="eastAsia" w:ascii="宋体" w:hAnsi="宋体" w:eastAsia="宋体"/>
          <w:bCs/>
          <w:i/>
          <w:iCs/>
          <w:color w:val="auto"/>
          <w:highlight w:val="none"/>
          <w:u w:val="singl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i/>
          <w:iCs/>
          <w:color w:val="auto"/>
          <w:highlight w:val="none"/>
          <w:u w:val="single"/>
          <w:lang w:eastAsia="zh-CN"/>
        </w:rPr>
        <w:t xml:space="preserve">法定代表人及</w:t>
      </w:r>
      <w:r>
        <w:rPr>
          <w:rFonts w:hint="eastAsia" w:ascii="宋体" w:hAnsi="宋体"/>
          <w:bCs/>
          <w:i/>
          <w:iCs/>
          <w:color w:val="auto"/>
          <w:highlight w:val="none"/>
          <w:u w:val="single"/>
        </w:rPr>
        <w:t xml:space="preserve">被授权人身份证复印件</w:t>
      </w:r>
      <w:r>
        <w:rPr>
          <w:rFonts w:hint="eastAsia" w:ascii="宋体" w:hAnsi="宋体"/>
          <w:bCs/>
          <w:i/>
          <w:iCs/>
          <w:color w:val="auto"/>
          <w:highlight w:val="none"/>
          <w:u w:val="single"/>
          <w:lang w:eastAsia="zh-CN"/>
        </w:rPr>
        <w:t xml:space="preserve">、投标人为授权代表缴纳的近三个月内任意一个月的社保证明材料：</w:t>
      </w:r>
      <w:r/>
    </w:p>
    <w:p>
      <w:pPr>
        <w:rPr>
          <w:rFonts w:ascii="宋体" w:hAnsi="宋体"/>
          <w:b/>
          <w:color w:val="auto"/>
          <w:sz w:val="32"/>
          <w:szCs w:val="32"/>
          <w:highlight w:val="none"/>
        </w:rPr>
      </w:pPr>
      <w:r>
        <w:rPr>
          <w:rFonts w:ascii="宋体" w:hAnsi="宋体"/>
          <w:b/>
          <w:color w:val="auto"/>
          <w:sz w:val="32"/>
          <w:szCs w:val="32"/>
          <w:highlight w:val="none"/>
        </w:rPr>
      </w:r>
      <w:r/>
    </w:p>
    <w:p>
      <w:pPr>
        <w:pStyle w:val="916"/>
        <w:rPr>
          <w:rFonts w:ascii="宋体" w:hAnsi="宋体" w:eastAsia="宋体"/>
          <w:color w:val="auto"/>
          <w:sz w:val="32"/>
          <w:highlight w:val="none"/>
        </w:rPr>
      </w:pPr>
      <w:r/>
      <w:bookmarkStart w:id="65" w:name="_Toc26658"/>
      <w:r/>
      <w:bookmarkStart w:id="66" w:name="_Toc164"/>
      <w:r>
        <w:rPr>
          <w:rFonts w:hint="eastAsia" w:ascii="宋体" w:hAnsi="宋体" w:eastAsia="宋体"/>
          <w:color w:val="auto"/>
          <w:sz w:val="32"/>
          <w:highlight w:val="none"/>
        </w:rPr>
        <w:t xml:space="preserve">二、符合性审查响应对照表</w:t>
      </w:r>
      <w:bookmarkEnd w:id="65"/>
      <w:r/>
      <w:bookmarkEnd w:id="66"/>
      <w:r/>
      <w:r/>
    </w:p>
    <w:p>
      <w:pPr>
        <w:rPr>
          <w:rFonts w:ascii="宋体" w:hAnsi="宋体"/>
          <w:b/>
          <w:color w:val="auto"/>
          <w:sz w:val="32"/>
          <w:szCs w:val="32"/>
          <w:highlight w:val="none"/>
        </w:rPr>
      </w:pPr>
      <w:r>
        <w:rPr>
          <w:rFonts w:ascii="宋体" w:hAnsi="宋体"/>
          <w:b/>
          <w:color w:val="auto"/>
          <w:sz w:val="32"/>
          <w:szCs w:val="32"/>
          <w:highlight w:val="none"/>
        </w:rPr>
      </w:r>
      <w:r/>
    </w:p>
    <w:tbl>
      <w:tblPr>
        <w:tblStyle w:val="740"/>
        <w:tblW w:w="83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110"/>
        <w:gridCol w:w="2043"/>
        <w:gridCol w:w="1510"/>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4110"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2043"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510"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4110"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2043"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51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4110"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204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51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4110"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204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51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4110"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204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51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4110"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204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51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916"/>
        <w:rPr>
          <w:rFonts w:ascii="宋体" w:hAnsi="宋体" w:eastAsia="宋体"/>
          <w:color w:val="auto"/>
          <w:sz w:val="32"/>
          <w:highlight w:val="none"/>
        </w:rPr>
      </w:pPr>
      <w:r/>
      <w:bookmarkStart w:id="67" w:name="_Toc31201"/>
      <w:r/>
      <w:bookmarkStart w:id="68" w:name="_Toc28566"/>
      <w:r>
        <w:rPr>
          <w:rFonts w:hint="eastAsia" w:ascii="宋体" w:hAnsi="宋体" w:eastAsia="宋体"/>
          <w:color w:val="auto"/>
          <w:sz w:val="32"/>
          <w:highlight w:val="none"/>
        </w:rPr>
        <w:t xml:space="preserve">三、非实质性响应对照表</w:t>
      </w:r>
      <w:bookmarkEnd w:id="67"/>
      <w:r/>
      <w:bookmarkEnd w:id="68"/>
      <w:r/>
      <w:r/>
    </w:p>
    <w:p>
      <w:pPr>
        <w:rPr>
          <w:rFonts w:ascii="宋体" w:hAnsi="宋体"/>
          <w:b/>
          <w:color w:val="auto"/>
          <w:sz w:val="32"/>
          <w:szCs w:val="32"/>
          <w:highlight w:val="none"/>
        </w:rPr>
      </w:pPr>
      <w:r>
        <w:rPr>
          <w:rFonts w:ascii="宋体" w:hAnsi="宋体"/>
          <w:b/>
          <w:color w:val="auto"/>
          <w:sz w:val="32"/>
          <w:szCs w:val="32"/>
          <w:highlight w:val="none"/>
        </w:rPr>
      </w:r>
      <w:r/>
    </w:p>
    <w:tbl>
      <w:tblPr>
        <w:tblStyle w:val="7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hint="eastAsia" w:ascii="宋体" w:hAnsi="宋体"/>
                <w:iCs/>
                <w:color w:val="auto"/>
                <w:szCs w:val="21"/>
                <w:highlight w:val="none"/>
              </w:rPr>
            </w:pPr>
            <w:r>
              <w:rPr>
                <w:rFonts w:hint="eastAsia" w:ascii="宋体" w:hAnsi="宋体"/>
                <w:iCs/>
                <w:color w:val="auto"/>
                <w:szCs w:val="21"/>
                <w:highlight w:val="none"/>
              </w:rPr>
              <w:t xml:space="preserve">《中小企业声明函》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w:t>
      </w:r>
      <w:r>
        <w:rPr>
          <w:rFonts w:hint="eastAsia"/>
          <w:b/>
          <w:bCs/>
          <w:color w:val="auto"/>
          <w:highlight w:val="none"/>
          <w:u w:val="single"/>
          <w:lang w:eastAsia="zh-CN"/>
        </w:rPr>
        <w:t xml:space="preserve">其他未列明行业</w:t>
      </w:r>
      <w:r>
        <w:rPr>
          <w:rFonts w:hint="eastAsia"/>
          <w:b/>
          <w:bCs/>
          <w:color w:val="auto"/>
          <w:highlight w:val="none"/>
          <w:u w:val="single"/>
        </w:rPr>
        <w:t xml:space="preserve">）</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b/>
          <w:bCs/>
          <w:color w:val="auto"/>
          <w:highlight w:val="none"/>
          <w:u w:val="single"/>
        </w:rPr>
        <w:t xml:space="preserve">（</w:t>
      </w:r>
      <w:r>
        <w:rPr>
          <w:rFonts w:hint="eastAsia"/>
          <w:b/>
          <w:bCs/>
          <w:color w:val="auto"/>
          <w:highlight w:val="none"/>
          <w:u w:val="single"/>
          <w:lang w:eastAsia="zh-CN"/>
        </w:rPr>
        <w:t xml:space="preserve">其他未列明行业</w:t>
      </w:r>
      <w:r>
        <w:rPr>
          <w:rFonts w:hint="eastAsia"/>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ind w:firstLine="0"/>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spacing w:line="360" w:lineRule="auto"/>
        <w:rPr>
          <w:rFonts w:ascii="宋体" w:hAnsi="宋体"/>
          <w:color w:val="auto"/>
          <w:highlight w:val="none"/>
        </w:rPr>
      </w:pPr>
      <w:r>
        <w:rPr>
          <w:rFonts w:hint="eastAsia" w:ascii="宋体" w:hAnsi="宋体"/>
          <w:color w:val="auto"/>
          <w:highlight w:val="none"/>
        </w:rPr>
        <w:t xml:space="preserve">    </w:t>
      </w:r>
      <w:r>
        <w:rPr>
          <w:rFonts w:hint="eastAsia" w:ascii="宋体" w:hAnsi="宋体"/>
          <w:color w:val="auto"/>
          <w:highlight w:val="none"/>
          <w:lang w:val="en-US" w:eastAsia="zh-CN"/>
        </w:rPr>
        <w:t xml:space="preserve">2</w:t>
      </w:r>
      <w:r>
        <w:rPr>
          <w:rFonts w:hint="eastAsia" w:ascii="宋体" w:hAnsi="宋体"/>
          <w:color w:val="auto"/>
          <w:highlight w:val="none"/>
        </w:rPr>
        <w:t xml:space="preserve">、企业声明函请完整填写，中标后将公示。</w:t>
      </w:r>
      <w:r/>
    </w:p>
    <w:p>
      <w:pPr>
        <w:ind w:firstLine="420"/>
        <w:jc w:val="left"/>
        <w:spacing w:line="360" w:lineRule="auto"/>
        <w:rPr>
          <w:color w:val="auto"/>
          <w:highlight w:val="none"/>
        </w:rPr>
      </w:pPr>
      <w:r>
        <w:rPr>
          <w:rFonts w:hint="eastAsia"/>
          <w:color w:val="auto"/>
          <w:highlight w:val="none"/>
          <w:lang w:val="en-US" w:eastAsia="zh-CN"/>
        </w:rPr>
        <w:t xml:space="preserve">3</w:t>
      </w:r>
      <w:r>
        <w:rPr>
          <w:rFonts w:hint="eastAsia"/>
          <w:color w:val="auto"/>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lang w:val="en-US" w:eastAsia="zh-CN"/>
        </w:rPr>
        <w:t xml:space="preserve">4</w:t>
      </w:r>
      <w:r>
        <w:rPr>
          <w:rFonts w:hint="eastAsia"/>
          <w:color w:val="auto"/>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lang w:val="en-US" w:eastAsia="zh-CN"/>
        </w:rPr>
        <w:t xml:space="preserve">5</w:t>
      </w:r>
      <w:r>
        <w:rPr>
          <w:rFonts w:hint="eastAsia"/>
          <w:color w:val="auto"/>
          <w:highlight w:val="none"/>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color w:val="auto"/>
          <w:highlight w:val="none"/>
        </w:rPr>
      </w:pPr>
      <w:r>
        <w:rPr>
          <w:rFonts w:hint="eastAsia"/>
          <w:color w:val="auto"/>
          <w:highlight w:val="none"/>
        </w:rPr>
        <w:t xml:space="preserve">日 期：</w:t>
      </w:r>
      <w:r/>
    </w:p>
    <w:p>
      <w:pPr>
        <w:pStyle w:val="916"/>
        <w:spacing w:before="300" w:after="300" w:line="360" w:lineRule="auto"/>
        <w:widowControl/>
        <w:rPr>
          <w:rFonts w:ascii="宋体" w:hAnsi="宋体" w:eastAsia="宋体"/>
          <w:color w:val="auto"/>
          <w:sz w:val="21"/>
          <w:szCs w:val="21"/>
          <w:highlight w:val="none"/>
        </w:rPr>
      </w:pPr>
      <w:r/>
      <w:bookmarkStart w:id="69" w:name="_Toc5519"/>
      <w:r/>
      <w:bookmarkStart w:id="70" w:name="_Toc4222"/>
      <w:r>
        <w:rPr>
          <w:rFonts w:hint="eastAsia" w:ascii="宋体" w:hAnsi="宋体" w:eastAsia="宋体" w:cs="微软雅黑"/>
          <w:bCs w:val="0"/>
          <w:color w:val="auto"/>
          <w:sz w:val="21"/>
          <w:szCs w:val="21"/>
          <w:highlight w:val="none"/>
        </w:rPr>
        <w:t xml:space="preserve">中小微企业划型标准 </w:t>
      </w:r>
      <w:bookmarkEnd w:id="69"/>
      <w:r/>
      <w:bookmarkEnd w:id="70"/>
      <w:r/>
      <w:r/>
    </w:p>
    <w:p>
      <w:pPr>
        <w:pStyle w:val="939"/>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45"/>
          <w:rFonts w:hint="eastAsia" w:ascii="宋体" w:hAnsi="宋体" w:cs="仿宋"/>
          <w:color w:val="auto"/>
          <w:sz w:val="21"/>
          <w:szCs w:val="21"/>
          <w:highlight w:val="none"/>
        </w:rPr>
        <w:t xml:space="preserve">中小微企业划型标准如下：</w:t>
      </w:r>
      <w:r/>
    </w:p>
    <w:tbl>
      <w:tblPr>
        <w:tblStyle w:val="740"/>
        <w:tblW w:w="9728" w:type="dxa"/>
        <w:tblCellSpacing w:w="15" w:type="dxa"/>
        <w:tblInd w:w="-89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734"/>
        <w:gridCol w:w="1733"/>
        <w:gridCol w:w="1350"/>
        <w:gridCol w:w="1702"/>
        <w:gridCol w:w="1709"/>
        <w:gridCol w:w="1500"/>
      </w:tblGrid>
      <w:tr>
        <w:trPr>
          <w:tblCellSpacing w:w="15" w:type="dxa"/>
          <w:trHeight w:val="420"/>
        </w:trPr>
        <w:tc>
          <w:tcPr>
            <w:tcMar>
              <w:left w:w="105" w:type="dxa"/>
              <w:top w:w="0" w:type="dxa"/>
              <w:right w:w="105" w:type="dxa"/>
              <w:bottom w:w="0" w:type="dxa"/>
            </w:tcMar>
            <w:tcW w:w="1734" w:type="dxa"/>
            <w:vAlign w:val="center"/>
            <w:textDirection w:val="lrTb"/>
            <w:noWrap w:val="false"/>
          </w:tcPr>
          <w:p>
            <w:pPr>
              <w:pStyle w:val="939"/>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行业名称</w:t>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指标名称</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计量单位</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中型</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小型</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微型</w:t>
            </w:r>
            <w:r/>
          </w:p>
        </w:tc>
      </w:tr>
      <w:tr>
        <w:trPr>
          <w:tblCellSpacing w:w="15" w:type="dxa"/>
          <w:trHeight w:val="225"/>
        </w:trPr>
        <w:tc>
          <w:tcPr>
            <w:tcMar>
              <w:left w:w="105" w:type="dxa"/>
              <w:top w:w="0" w:type="dxa"/>
              <w:right w:w="105" w:type="dxa"/>
              <w:bottom w:w="0" w:type="dxa"/>
            </w:tcMar>
            <w:tcW w:w="1734"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农、林、牧、渔</w:t>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营业收入（Y）</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万元</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500≤Y＜20000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50≤Y＜500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Y＜50</w:t>
            </w:r>
            <w:r/>
          </w:p>
        </w:tc>
      </w:tr>
      <w:tr>
        <w:trPr>
          <w:tblCellSpacing w:w="15" w:type="dxa"/>
          <w:trHeight w:val="225"/>
        </w:trPr>
        <w:tc>
          <w:tcPr>
            <w:tcMar>
              <w:left w:w="105" w:type="dxa"/>
              <w:top w:w="0" w:type="dxa"/>
              <w:right w:w="105" w:type="dxa"/>
              <w:bottom w:w="0" w:type="dxa"/>
            </w:tcMar>
            <w:tcW w:w="1734" w:type="dxa"/>
            <w:vAlign w:val="center"/>
            <w:vMerge w:val="restart"/>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工业</w:t>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从业人员（X）</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人</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300≤X＜1000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20≤X＜300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X＜20</w:t>
            </w:r>
            <w:r/>
          </w:p>
        </w:tc>
      </w:tr>
      <w:tr>
        <w:trPr>
          <w:tblCellSpacing w:w="15" w:type="dxa"/>
          <w:trHeight w:val="225"/>
        </w:trPr>
        <w:tc>
          <w:tcPr>
            <w:tcW w:w="1734" w:type="dxa"/>
            <w:vAlign w:val="center"/>
            <w:vMerge w:val="continue"/>
            <w:textDirection w:val="lrTb"/>
            <w:noWrap w:val="false"/>
          </w:tcPr>
          <w:p>
            <w:pPr>
              <w:jc w:val="center"/>
              <w:spacing w:line="360" w:lineRule="auto"/>
              <w:widowControl/>
              <w:rPr>
                <w:rFonts w:ascii="宋体" w:hAnsi="宋体"/>
                <w:color w:val="auto"/>
                <w:sz w:val="20"/>
                <w:szCs w:val="20"/>
                <w:highlight w:val="none"/>
              </w:rPr>
            </w:pPr>
            <w:r>
              <w:rPr>
                <w:rFonts w:ascii="宋体" w:hAnsi="宋体"/>
                <w:color w:val="auto"/>
                <w:sz w:val="20"/>
                <w:szCs w:val="20"/>
                <w:highlight w:val="none"/>
              </w:rPr>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营业收入（Y）</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万元</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2000≤Y＜40000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300≤Y＜2000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Y＜300</w:t>
            </w:r>
            <w:r/>
          </w:p>
        </w:tc>
      </w:tr>
      <w:tr>
        <w:trPr>
          <w:tblCellSpacing w:w="15" w:type="dxa"/>
          <w:trHeight w:val="225"/>
        </w:trPr>
        <w:tc>
          <w:tcPr>
            <w:tcMar>
              <w:left w:w="105" w:type="dxa"/>
              <w:top w:w="0" w:type="dxa"/>
              <w:right w:w="105" w:type="dxa"/>
              <w:bottom w:w="0" w:type="dxa"/>
            </w:tcMar>
            <w:tcW w:w="1734" w:type="dxa"/>
            <w:vAlign w:val="center"/>
            <w:vMerge w:val="restart"/>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建筑业</w:t>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营业收入（Y）</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万元</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6000≤Y＜80000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300≤Y＜6000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Y＜300</w:t>
            </w:r>
            <w:r/>
          </w:p>
        </w:tc>
      </w:tr>
      <w:tr>
        <w:trPr>
          <w:tblCellSpacing w:w="15" w:type="dxa"/>
          <w:trHeight w:val="225"/>
        </w:trPr>
        <w:tc>
          <w:tcPr>
            <w:tcW w:w="1734" w:type="dxa"/>
            <w:vAlign w:val="center"/>
            <w:vMerge w:val="continue"/>
            <w:textDirection w:val="lrTb"/>
            <w:noWrap w:val="false"/>
          </w:tcPr>
          <w:p>
            <w:pPr>
              <w:jc w:val="center"/>
              <w:spacing w:line="360" w:lineRule="auto"/>
              <w:widowControl/>
              <w:rPr>
                <w:rFonts w:ascii="宋体" w:hAnsi="宋体"/>
                <w:color w:val="auto"/>
                <w:sz w:val="20"/>
                <w:szCs w:val="20"/>
                <w:highlight w:val="none"/>
              </w:rPr>
            </w:pPr>
            <w:r>
              <w:rPr>
                <w:rFonts w:ascii="宋体" w:hAnsi="宋体"/>
                <w:color w:val="auto"/>
                <w:sz w:val="20"/>
                <w:szCs w:val="20"/>
                <w:highlight w:val="none"/>
              </w:rPr>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资产总额（Z）</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万元</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5000≤Z＜80000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300≤Z＜5000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Z＜300</w:t>
            </w:r>
            <w:r/>
          </w:p>
        </w:tc>
      </w:tr>
      <w:tr>
        <w:trPr>
          <w:tblCellSpacing w:w="15" w:type="dxa"/>
          <w:trHeight w:val="225"/>
        </w:trPr>
        <w:tc>
          <w:tcPr>
            <w:tcMar>
              <w:left w:w="105" w:type="dxa"/>
              <w:top w:w="0" w:type="dxa"/>
              <w:right w:w="105" w:type="dxa"/>
              <w:bottom w:w="0" w:type="dxa"/>
            </w:tcMar>
            <w:tcW w:w="1734" w:type="dxa"/>
            <w:vAlign w:val="center"/>
            <w:vMerge w:val="restart"/>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批发业</w:t>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从业人员（X）</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人</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20≤X＜200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5≤X＜20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X＜5</w:t>
            </w:r>
            <w:r/>
          </w:p>
        </w:tc>
      </w:tr>
      <w:tr>
        <w:trPr>
          <w:tblCellSpacing w:w="15" w:type="dxa"/>
          <w:trHeight w:val="225"/>
        </w:trPr>
        <w:tc>
          <w:tcPr>
            <w:tcW w:w="1734" w:type="dxa"/>
            <w:vAlign w:val="center"/>
            <w:vMerge w:val="continue"/>
            <w:textDirection w:val="lrTb"/>
            <w:noWrap w:val="false"/>
          </w:tcPr>
          <w:p>
            <w:pPr>
              <w:jc w:val="center"/>
              <w:spacing w:line="360" w:lineRule="auto"/>
              <w:widowControl/>
              <w:rPr>
                <w:rFonts w:ascii="宋体" w:hAnsi="宋体"/>
                <w:color w:val="auto"/>
                <w:sz w:val="20"/>
                <w:szCs w:val="20"/>
                <w:highlight w:val="none"/>
              </w:rPr>
            </w:pPr>
            <w:r>
              <w:rPr>
                <w:rFonts w:ascii="宋体" w:hAnsi="宋体"/>
                <w:color w:val="auto"/>
                <w:sz w:val="20"/>
                <w:szCs w:val="20"/>
                <w:highlight w:val="none"/>
              </w:rPr>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营业收入（Y）</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万元</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5000≤Y＜40000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1000≤Y＜5000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Y＜1000</w:t>
            </w:r>
            <w:r/>
          </w:p>
        </w:tc>
      </w:tr>
      <w:tr>
        <w:trPr>
          <w:tblCellSpacing w:w="15" w:type="dxa"/>
          <w:trHeight w:val="225"/>
        </w:trPr>
        <w:tc>
          <w:tcPr>
            <w:tcMar>
              <w:left w:w="105" w:type="dxa"/>
              <w:top w:w="0" w:type="dxa"/>
              <w:right w:w="105" w:type="dxa"/>
              <w:bottom w:w="0" w:type="dxa"/>
            </w:tcMar>
            <w:tcW w:w="1734" w:type="dxa"/>
            <w:vAlign w:val="center"/>
            <w:vMerge w:val="restart"/>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零售业</w:t>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从业人员（X）</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人</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50≤X＜300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10≤X＜50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X＜10</w:t>
            </w:r>
            <w:r/>
          </w:p>
        </w:tc>
      </w:tr>
      <w:tr>
        <w:trPr>
          <w:tblCellSpacing w:w="15" w:type="dxa"/>
          <w:trHeight w:val="225"/>
        </w:trPr>
        <w:tc>
          <w:tcPr>
            <w:tcW w:w="1734" w:type="dxa"/>
            <w:vAlign w:val="center"/>
            <w:vMerge w:val="continue"/>
            <w:textDirection w:val="lrTb"/>
            <w:noWrap w:val="false"/>
          </w:tcPr>
          <w:p>
            <w:pPr>
              <w:jc w:val="center"/>
              <w:spacing w:line="360" w:lineRule="auto"/>
              <w:widowControl/>
              <w:rPr>
                <w:rFonts w:ascii="宋体" w:hAnsi="宋体"/>
                <w:color w:val="auto"/>
                <w:sz w:val="20"/>
                <w:szCs w:val="20"/>
                <w:highlight w:val="none"/>
              </w:rPr>
            </w:pPr>
            <w:r>
              <w:rPr>
                <w:rFonts w:ascii="宋体" w:hAnsi="宋体"/>
                <w:color w:val="auto"/>
                <w:sz w:val="20"/>
                <w:szCs w:val="20"/>
                <w:highlight w:val="none"/>
              </w:rPr>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营业收入（Y）</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万元</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500≤Y＜20000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100≤Y＜500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Y＜100</w:t>
            </w:r>
            <w:r/>
          </w:p>
        </w:tc>
      </w:tr>
      <w:tr>
        <w:trPr>
          <w:tblCellSpacing w:w="15" w:type="dxa"/>
          <w:trHeight w:val="225"/>
        </w:trPr>
        <w:tc>
          <w:tcPr>
            <w:tcMar>
              <w:left w:w="105" w:type="dxa"/>
              <w:top w:w="0" w:type="dxa"/>
              <w:right w:w="105" w:type="dxa"/>
              <w:bottom w:w="0" w:type="dxa"/>
            </w:tcMar>
            <w:tcW w:w="1734" w:type="dxa"/>
            <w:vAlign w:val="center"/>
            <w:vMerge w:val="restart"/>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交通运输业</w:t>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从业人员（X）</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人</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300≤X＜1000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20≤X＜300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X＜20</w:t>
            </w:r>
            <w:r/>
          </w:p>
        </w:tc>
      </w:tr>
      <w:tr>
        <w:trPr>
          <w:tblCellSpacing w:w="15" w:type="dxa"/>
          <w:trHeight w:val="225"/>
        </w:trPr>
        <w:tc>
          <w:tcPr>
            <w:tcW w:w="1734" w:type="dxa"/>
            <w:vAlign w:val="center"/>
            <w:vMerge w:val="continue"/>
            <w:textDirection w:val="lrTb"/>
            <w:noWrap w:val="false"/>
          </w:tcPr>
          <w:p>
            <w:pPr>
              <w:jc w:val="center"/>
              <w:spacing w:line="360" w:lineRule="auto"/>
              <w:widowControl/>
              <w:rPr>
                <w:rFonts w:ascii="宋体" w:hAnsi="宋体"/>
                <w:color w:val="auto"/>
                <w:sz w:val="20"/>
                <w:szCs w:val="20"/>
                <w:highlight w:val="none"/>
              </w:rPr>
            </w:pPr>
            <w:r>
              <w:rPr>
                <w:rFonts w:ascii="宋体" w:hAnsi="宋体"/>
                <w:color w:val="auto"/>
                <w:sz w:val="20"/>
                <w:szCs w:val="20"/>
                <w:highlight w:val="none"/>
              </w:rPr>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营业收入（Y）</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万元</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3000≤Y＜30000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200≤Y＜3000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Y＜200</w:t>
            </w:r>
            <w:r/>
          </w:p>
        </w:tc>
      </w:tr>
      <w:tr>
        <w:trPr>
          <w:tblCellSpacing w:w="15" w:type="dxa"/>
          <w:trHeight w:val="225"/>
        </w:trPr>
        <w:tc>
          <w:tcPr>
            <w:tcMar>
              <w:left w:w="105" w:type="dxa"/>
              <w:top w:w="0" w:type="dxa"/>
              <w:right w:w="105" w:type="dxa"/>
              <w:bottom w:w="0" w:type="dxa"/>
            </w:tcMar>
            <w:tcW w:w="1734" w:type="dxa"/>
            <w:vAlign w:val="center"/>
            <w:vMerge w:val="restart"/>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仓储业</w:t>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从业人员（X）</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人</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100≤X＜200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20≤X＜100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X＜20</w:t>
            </w:r>
            <w:r/>
          </w:p>
        </w:tc>
      </w:tr>
      <w:tr>
        <w:trPr>
          <w:tblCellSpacing w:w="15" w:type="dxa"/>
          <w:trHeight w:val="225"/>
        </w:trPr>
        <w:tc>
          <w:tcPr>
            <w:tcW w:w="1734" w:type="dxa"/>
            <w:vAlign w:val="center"/>
            <w:vMerge w:val="continue"/>
            <w:textDirection w:val="lrTb"/>
            <w:noWrap w:val="false"/>
          </w:tcPr>
          <w:p>
            <w:pPr>
              <w:jc w:val="center"/>
              <w:spacing w:line="360" w:lineRule="auto"/>
              <w:widowControl/>
              <w:rPr>
                <w:rFonts w:ascii="宋体" w:hAnsi="宋体"/>
                <w:color w:val="auto"/>
                <w:sz w:val="20"/>
                <w:szCs w:val="20"/>
                <w:highlight w:val="none"/>
              </w:rPr>
            </w:pPr>
            <w:r>
              <w:rPr>
                <w:rFonts w:ascii="宋体" w:hAnsi="宋体"/>
                <w:color w:val="auto"/>
                <w:sz w:val="20"/>
                <w:szCs w:val="20"/>
                <w:highlight w:val="none"/>
              </w:rPr>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营业收入（Y）</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万元</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1000≤Y＜30000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100≤Y＜1000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Y＜100</w:t>
            </w:r>
            <w:r/>
          </w:p>
        </w:tc>
      </w:tr>
      <w:tr>
        <w:trPr>
          <w:tblCellSpacing w:w="15" w:type="dxa"/>
          <w:trHeight w:val="225"/>
        </w:trPr>
        <w:tc>
          <w:tcPr>
            <w:tcMar>
              <w:left w:w="105" w:type="dxa"/>
              <w:top w:w="0" w:type="dxa"/>
              <w:right w:w="105" w:type="dxa"/>
              <w:bottom w:w="0" w:type="dxa"/>
            </w:tcMar>
            <w:tcW w:w="1734" w:type="dxa"/>
            <w:vAlign w:val="center"/>
            <w:vMerge w:val="restart"/>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邮政业</w:t>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从业人员（X）</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人</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300≤X＜1000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20≤X＜300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X＜20</w:t>
            </w:r>
            <w:r/>
          </w:p>
        </w:tc>
      </w:tr>
      <w:tr>
        <w:trPr>
          <w:tblCellSpacing w:w="15" w:type="dxa"/>
          <w:trHeight w:val="225"/>
        </w:trPr>
        <w:tc>
          <w:tcPr>
            <w:tcW w:w="1734" w:type="dxa"/>
            <w:vAlign w:val="center"/>
            <w:vMerge w:val="continue"/>
            <w:textDirection w:val="lrTb"/>
            <w:noWrap w:val="false"/>
          </w:tcPr>
          <w:p>
            <w:pPr>
              <w:jc w:val="center"/>
              <w:spacing w:line="360" w:lineRule="auto"/>
              <w:widowControl/>
              <w:rPr>
                <w:rFonts w:ascii="宋体" w:hAnsi="宋体"/>
                <w:color w:val="auto"/>
                <w:sz w:val="20"/>
                <w:szCs w:val="20"/>
                <w:highlight w:val="none"/>
              </w:rPr>
            </w:pPr>
            <w:r>
              <w:rPr>
                <w:rFonts w:ascii="宋体" w:hAnsi="宋体"/>
                <w:color w:val="auto"/>
                <w:sz w:val="20"/>
                <w:szCs w:val="20"/>
                <w:highlight w:val="none"/>
              </w:rPr>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营业收入（Y）</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万元</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2000≤Y＜30000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100≤Y＜2000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Y＜100</w:t>
            </w:r>
            <w:r/>
          </w:p>
        </w:tc>
      </w:tr>
      <w:tr>
        <w:trPr>
          <w:tblCellSpacing w:w="15" w:type="dxa"/>
          <w:trHeight w:val="225"/>
        </w:trPr>
        <w:tc>
          <w:tcPr>
            <w:tcMar>
              <w:left w:w="105" w:type="dxa"/>
              <w:top w:w="0" w:type="dxa"/>
              <w:right w:w="105" w:type="dxa"/>
              <w:bottom w:w="0" w:type="dxa"/>
            </w:tcMar>
            <w:tcW w:w="1734" w:type="dxa"/>
            <w:vAlign w:val="center"/>
            <w:vMerge w:val="restart"/>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住宿业</w:t>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从业人员（X）</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人</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100≤X＜300</w:t>
            </w:r>
            <w:r/>
          </w:p>
        </w:tc>
        <w:tc>
          <w:tcPr>
            <w:tcMar>
              <w:left w:w="105" w:type="dxa"/>
              <w:top w:w="0" w:type="dxa"/>
              <w:right w:w="105" w:type="dxa"/>
              <w:bottom w:w="0" w:type="dxa"/>
            </w:tcMar>
            <w:tcW w:w="1709" w:type="dxa"/>
            <w:vAlign w:val="center"/>
            <w:textDirection w:val="lrTb"/>
            <w:noWrap w:val="false"/>
          </w:tcPr>
          <w:p>
            <w:pPr>
              <w:pStyle w:val="939"/>
              <w:ind w:firstLine="420"/>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10≤X＜100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X＜10</w:t>
            </w:r>
            <w:r/>
          </w:p>
        </w:tc>
      </w:tr>
      <w:tr>
        <w:trPr>
          <w:tblCellSpacing w:w="15" w:type="dxa"/>
          <w:trHeight w:val="225"/>
        </w:trPr>
        <w:tc>
          <w:tcPr>
            <w:tcW w:w="1734" w:type="dxa"/>
            <w:vAlign w:val="center"/>
            <w:vMerge w:val="continue"/>
            <w:textDirection w:val="lrTb"/>
            <w:noWrap w:val="false"/>
          </w:tcPr>
          <w:p>
            <w:pPr>
              <w:jc w:val="center"/>
              <w:spacing w:line="360" w:lineRule="auto"/>
              <w:widowControl/>
              <w:rPr>
                <w:rFonts w:ascii="宋体" w:hAnsi="宋体"/>
                <w:color w:val="auto"/>
                <w:sz w:val="20"/>
                <w:szCs w:val="20"/>
                <w:highlight w:val="none"/>
              </w:rPr>
            </w:pPr>
            <w:r>
              <w:rPr>
                <w:rFonts w:ascii="宋体" w:hAnsi="宋体"/>
                <w:color w:val="auto"/>
                <w:sz w:val="20"/>
                <w:szCs w:val="20"/>
                <w:highlight w:val="none"/>
              </w:rPr>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营业收入（Y）</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万元</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2000≤Y＜10000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100≤Y＜2000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Y＜100</w:t>
            </w:r>
            <w:r/>
          </w:p>
        </w:tc>
      </w:tr>
      <w:tr>
        <w:trPr>
          <w:tblCellSpacing w:w="15" w:type="dxa"/>
          <w:trHeight w:val="225"/>
        </w:trPr>
        <w:tc>
          <w:tcPr>
            <w:tcMar>
              <w:left w:w="105" w:type="dxa"/>
              <w:top w:w="0" w:type="dxa"/>
              <w:right w:w="105" w:type="dxa"/>
              <w:bottom w:w="0" w:type="dxa"/>
            </w:tcMar>
            <w:tcW w:w="1734" w:type="dxa"/>
            <w:vAlign w:val="center"/>
            <w:vMerge w:val="restart"/>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餐饮业</w:t>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从业人员（X）</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人</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100≤X＜300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10≤X＜100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X＜10</w:t>
            </w:r>
            <w:r/>
          </w:p>
        </w:tc>
      </w:tr>
      <w:tr>
        <w:trPr>
          <w:tblCellSpacing w:w="15" w:type="dxa"/>
          <w:trHeight w:val="225"/>
        </w:trPr>
        <w:tc>
          <w:tcPr>
            <w:tcW w:w="1734" w:type="dxa"/>
            <w:vAlign w:val="center"/>
            <w:vMerge w:val="continue"/>
            <w:textDirection w:val="lrTb"/>
            <w:noWrap w:val="false"/>
          </w:tcPr>
          <w:p>
            <w:pPr>
              <w:jc w:val="center"/>
              <w:spacing w:line="360" w:lineRule="auto"/>
              <w:widowControl/>
              <w:rPr>
                <w:rFonts w:ascii="宋体" w:hAnsi="宋体"/>
                <w:color w:val="auto"/>
                <w:sz w:val="20"/>
                <w:szCs w:val="20"/>
                <w:highlight w:val="none"/>
              </w:rPr>
            </w:pPr>
            <w:r>
              <w:rPr>
                <w:rFonts w:ascii="宋体" w:hAnsi="宋体"/>
                <w:color w:val="auto"/>
                <w:sz w:val="20"/>
                <w:szCs w:val="20"/>
                <w:highlight w:val="none"/>
              </w:rPr>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营业收入（Y）</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万元</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2000≤Y＜10000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100≤Y＜2000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Y＜100</w:t>
            </w:r>
            <w:r/>
          </w:p>
        </w:tc>
      </w:tr>
      <w:tr>
        <w:trPr>
          <w:tblCellSpacing w:w="15" w:type="dxa"/>
          <w:trHeight w:val="225"/>
        </w:trPr>
        <w:tc>
          <w:tcPr>
            <w:tcMar>
              <w:left w:w="105" w:type="dxa"/>
              <w:top w:w="0" w:type="dxa"/>
              <w:right w:w="105" w:type="dxa"/>
              <w:bottom w:w="0" w:type="dxa"/>
            </w:tcMar>
            <w:tcW w:w="1734" w:type="dxa"/>
            <w:vAlign w:val="center"/>
            <w:vMerge w:val="restart"/>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信息传输业</w:t>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从业人员（X）</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人</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100≤X＜2000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10≤X＜100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X＜10</w:t>
            </w:r>
            <w:r/>
          </w:p>
        </w:tc>
      </w:tr>
      <w:tr>
        <w:trPr>
          <w:tblCellSpacing w:w="15" w:type="dxa"/>
          <w:trHeight w:val="225"/>
        </w:trPr>
        <w:tc>
          <w:tcPr>
            <w:tcW w:w="1734" w:type="dxa"/>
            <w:vAlign w:val="center"/>
            <w:vMerge w:val="continue"/>
            <w:textDirection w:val="lrTb"/>
            <w:noWrap w:val="false"/>
          </w:tcPr>
          <w:p>
            <w:pPr>
              <w:jc w:val="center"/>
              <w:spacing w:line="360" w:lineRule="auto"/>
              <w:widowControl/>
              <w:rPr>
                <w:rFonts w:ascii="宋体" w:hAnsi="宋体"/>
                <w:color w:val="auto"/>
                <w:sz w:val="20"/>
                <w:szCs w:val="20"/>
                <w:highlight w:val="none"/>
              </w:rPr>
            </w:pPr>
            <w:r>
              <w:rPr>
                <w:rFonts w:ascii="宋体" w:hAnsi="宋体"/>
                <w:color w:val="auto"/>
                <w:sz w:val="20"/>
                <w:szCs w:val="20"/>
                <w:highlight w:val="none"/>
              </w:rPr>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营业收入（Y）</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万元</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1000≤Y＜100000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100≤Y＜1000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Y＜100</w:t>
            </w:r>
            <w:r/>
          </w:p>
        </w:tc>
      </w:tr>
      <w:tr>
        <w:trPr>
          <w:tblCellSpacing w:w="15" w:type="dxa"/>
          <w:trHeight w:val="225"/>
        </w:trPr>
        <w:tc>
          <w:tcPr>
            <w:tcMar>
              <w:left w:w="105" w:type="dxa"/>
              <w:top w:w="0" w:type="dxa"/>
              <w:right w:w="105" w:type="dxa"/>
              <w:bottom w:w="0" w:type="dxa"/>
            </w:tcMar>
            <w:tcW w:w="1734" w:type="dxa"/>
            <w:vAlign w:val="center"/>
            <w:vMerge w:val="restart"/>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软件和信息技术服务业</w:t>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从业人员（X）</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人</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100≤X＜300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10≤X＜100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X＜10</w:t>
            </w:r>
            <w:r/>
          </w:p>
        </w:tc>
      </w:tr>
      <w:tr>
        <w:trPr>
          <w:tblCellSpacing w:w="15" w:type="dxa"/>
          <w:trHeight w:val="225"/>
        </w:trPr>
        <w:tc>
          <w:tcPr>
            <w:tcW w:w="1734" w:type="dxa"/>
            <w:vAlign w:val="center"/>
            <w:vMerge w:val="continue"/>
            <w:textDirection w:val="lrTb"/>
            <w:noWrap w:val="false"/>
          </w:tcPr>
          <w:p>
            <w:pPr>
              <w:jc w:val="center"/>
              <w:spacing w:line="360" w:lineRule="auto"/>
              <w:widowControl/>
              <w:rPr>
                <w:rFonts w:ascii="宋体" w:hAnsi="宋体"/>
                <w:color w:val="auto"/>
                <w:sz w:val="20"/>
                <w:szCs w:val="20"/>
                <w:highlight w:val="none"/>
              </w:rPr>
            </w:pPr>
            <w:r>
              <w:rPr>
                <w:rFonts w:ascii="宋体" w:hAnsi="宋体"/>
                <w:color w:val="auto"/>
                <w:sz w:val="20"/>
                <w:szCs w:val="20"/>
                <w:highlight w:val="none"/>
              </w:rPr>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营业收入（Y）</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万元</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1000≤Y＜10000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50≤Y＜1000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Y＜50</w:t>
            </w:r>
            <w:r/>
          </w:p>
        </w:tc>
      </w:tr>
      <w:tr>
        <w:trPr>
          <w:tblCellSpacing w:w="15" w:type="dxa"/>
          <w:trHeight w:val="225"/>
        </w:trPr>
        <w:tc>
          <w:tcPr>
            <w:tcMar>
              <w:left w:w="105" w:type="dxa"/>
              <w:top w:w="0" w:type="dxa"/>
              <w:right w:w="105" w:type="dxa"/>
              <w:bottom w:w="0" w:type="dxa"/>
            </w:tcMar>
            <w:tcW w:w="1734" w:type="dxa"/>
            <w:vAlign w:val="center"/>
            <w:vMerge w:val="restart"/>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房地产开发经营</w:t>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营业收入（Y）</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万元</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1000≤Y＜200000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100≤X＜1000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X＜100</w:t>
            </w:r>
            <w:r/>
          </w:p>
        </w:tc>
      </w:tr>
      <w:tr>
        <w:trPr>
          <w:tblCellSpacing w:w="15" w:type="dxa"/>
          <w:trHeight w:val="225"/>
        </w:trPr>
        <w:tc>
          <w:tcPr>
            <w:tcW w:w="1734" w:type="dxa"/>
            <w:vAlign w:val="center"/>
            <w:vMerge w:val="continue"/>
            <w:textDirection w:val="lrTb"/>
            <w:noWrap w:val="false"/>
          </w:tcPr>
          <w:p>
            <w:pPr>
              <w:jc w:val="center"/>
              <w:spacing w:line="360" w:lineRule="auto"/>
              <w:widowControl/>
              <w:rPr>
                <w:rFonts w:ascii="宋体" w:hAnsi="宋体"/>
                <w:color w:val="auto"/>
                <w:sz w:val="20"/>
                <w:szCs w:val="20"/>
                <w:highlight w:val="none"/>
              </w:rPr>
            </w:pPr>
            <w:r>
              <w:rPr>
                <w:rFonts w:ascii="宋体" w:hAnsi="宋体"/>
                <w:color w:val="auto"/>
                <w:sz w:val="20"/>
                <w:szCs w:val="20"/>
                <w:highlight w:val="none"/>
              </w:rPr>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资产总额（Z）</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万元</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5000≤Z＜10000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2000≤Y＜5000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Y＜2000</w:t>
            </w:r>
            <w:r/>
          </w:p>
        </w:tc>
      </w:tr>
      <w:tr>
        <w:trPr>
          <w:tblCellSpacing w:w="15" w:type="dxa"/>
          <w:trHeight w:val="225"/>
        </w:trPr>
        <w:tc>
          <w:tcPr>
            <w:tcMar>
              <w:left w:w="105" w:type="dxa"/>
              <w:top w:w="0" w:type="dxa"/>
              <w:right w:w="105" w:type="dxa"/>
              <w:bottom w:w="0" w:type="dxa"/>
            </w:tcMar>
            <w:tcW w:w="1734" w:type="dxa"/>
            <w:vAlign w:val="center"/>
            <w:vMerge w:val="restart"/>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物业管理</w:t>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从业人员（X）</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人</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300≤X＜1000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100≤X＜300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X＜100</w:t>
            </w:r>
            <w:r/>
          </w:p>
        </w:tc>
      </w:tr>
      <w:tr>
        <w:trPr>
          <w:tblCellSpacing w:w="15" w:type="dxa"/>
          <w:trHeight w:val="225"/>
        </w:trPr>
        <w:tc>
          <w:tcPr>
            <w:tcW w:w="1734" w:type="dxa"/>
            <w:vAlign w:val="center"/>
            <w:vMerge w:val="continue"/>
            <w:textDirection w:val="lrTb"/>
            <w:noWrap w:val="false"/>
          </w:tcPr>
          <w:p>
            <w:pPr>
              <w:jc w:val="center"/>
              <w:spacing w:line="360" w:lineRule="auto"/>
              <w:widowControl/>
              <w:rPr>
                <w:rFonts w:ascii="宋体" w:hAnsi="宋体"/>
                <w:color w:val="auto"/>
                <w:sz w:val="20"/>
                <w:szCs w:val="20"/>
                <w:highlight w:val="none"/>
              </w:rPr>
            </w:pPr>
            <w:r>
              <w:rPr>
                <w:rFonts w:ascii="宋体" w:hAnsi="宋体"/>
                <w:color w:val="auto"/>
                <w:sz w:val="20"/>
                <w:szCs w:val="20"/>
                <w:highlight w:val="none"/>
              </w:rPr>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营业收入（Y）</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万元</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1000≤Y＜5000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500≤Y＜1000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Y＜500</w:t>
            </w:r>
            <w:r/>
          </w:p>
        </w:tc>
      </w:tr>
      <w:tr>
        <w:trPr>
          <w:tblCellSpacing w:w="15" w:type="dxa"/>
          <w:trHeight w:val="225"/>
        </w:trPr>
        <w:tc>
          <w:tcPr>
            <w:tcMar>
              <w:left w:w="105" w:type="dxa"/>
              <w:top w:w="0" w:type="dxa"/>
              <w:right w:w="105" w:type="dxa"/>
              <w:bottom w:w="0" w:type="dxa"/>
            </w:tcMar>
            <w:tcW w:w="1734" w:type="dxa"/>
            <w:vAlign w:val="center"/>
            <w:vMerge w:val="restart"/>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租赁和商务服务业</w:t>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从业人员（X）</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人</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100≤X＜300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10≤X＜100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X＜10</w:t>
            </w:r>
            <w:r/>
          </w:p>
        </w:tc>
      </w:tr>
      <w:tr>
        <w:trPr>
          <w:tblCellSpacing w:w="15" w:type="dxa"/>
          <w:trHeight w:val="225"/>
        </w:trPr>
        <w:tc>
          <w:tcPr>
            <w:tcW w:w="1734" w:type="dxa"/>
            <w:vAlign w:val="center"/>
            <w:vMerge w:val="continue"/>
            <w:textDirection w:val="lrTb"/>
            <w:noWrap w:val="false"/>
          </w:tcPr>
          <w:p>
            <w:pPr>
              <w:jc w:val="center"/>
              <w:spacing w:line="360" w:lineRule="auto"/>
              <w:widowControl/>
              <w:rPr>
                <w:rFonts w:ascii="宋体" w:hAnsi="宋体"/>
                <w:color w:val="auto"/>
                <w:sz w:val="20"/>
                <w:szCs w:val="20"/>
                <w:highlight w:val="none"/>
              </w:rPr>
            </w:pPr>
            <w:r>
              <w:rPr>
                <w:rFonts w:ascii="宋体" w:hAnsi="宋体"/>
                <w:color w:val="auto"/>
                <w:sz w:val="20"/>
                <w:szCs w:val="20"/>
                <w:highlight w:val="none"/>
              </w:rPr>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资产总额（Z）</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万元</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8000≤Z＜120000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100≤Z＜8000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Y＜100</w:t>
            </w:r>
            <w:r/>
          </w:p>
        </w:tc>
      </w:tr>
      <w:tr>
        <w:trPr>
          <w:tblCellSpacing w:w="15" w:type="dxa"/>
          <w:trHeight w:val="225"/>
        </w:trPr>
        <w:tc>
          <w:tcPr>
            <w:tcMar>
              <w:left w:w="105" w:type="dxa"/>
              <w:top w:w="0" w:type="dxa"/>
              <w:right w:w="105" w:type="dxa"/>
              <w:bottom w:w="0" w:type="dxa"/>
            </w:tcMar>
            <w:tcW w:w="1734"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其他未列明行业</w:t>
            </w:r>
            <w:r/>
          </w:p>
        </w:tc>
        <w:tc>
          <w:tcPr>
            <w:tcMar>
              <w:left w:w="105" w:type="dxa"/>
              <w:top w:w="0" w:type="dxa"/>
              <w:right w:w="105" w:type="dxa"/>
              <w:bottom w:w="0" w:type="dxa"/>
            </w:tcMar>
            <w:tcW w:w="1733"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从业人员（X）</w:t>
            </w:r>
            <w:r/>
          </w:p>
        </w:tc>
        <w:tc>
          <w:tcPr>
            <w:tcMar>
              <w:left w:w="105" w:type="dxa"/>
              <w:top w:w="0" w:type="dxa"/>
              <w:right w:w="105" w:type="dxa"/>
              <w:bottom w:w="0" w:type="dxa"/>
            </w:tcMar>
            <w:tcW w:w="135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人</w:t>
            </w:r>
            <w:r/>
          </w:p>
        </w:tc>
        <w:tc>
          <w:tcPr>
            <w:tcMar>
              <w:left w:w="105" w:type="dxa"/>
              <w:top w:w="0" w:type="dxa"/>
              <w:right w:w="105" w:type="dxa"/>
              <w:bottom w:w="0" w:type="dxa"/>
            </w:tcMar>
            <w:tcW w:w="1702"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100≤X＜300</w:t>
            </w:r>
            <w:r/>
          </w:p>
        </w:tc>
        <w:tc>
          <w:tcPr>
            <w:tcMar>
              <w:left w:w="105" w:type="dxa"/>
              <w:top w:w="0" w:type="dxa"/>
              <w:right w:w="105" w:type="dxa"/>
              <w:bottom w:w="0" w:type="dxa"/>
            </w:tcMar>
            <w:tcW w:w="1709"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10≤X＜100</w:t>
            </w:r>
            <w:r/>
          </w:p>
        </w:tc>
        <w:tc>
          <w:tcPr>
            <w:tcMar>
              <w:left w:w="105" w:type="dxa"/>
              <w:top w:w="0" w:type="dxa"/>
              <w:right w:w="105" w:type="dxa"/>
              <w:bottom w:w="0" w:type="dxa"/>
            </w:tcMar>
            <w:tcW w:w="1500" w:type="dxa"/>
            <w:vAlign w:val="center"/>
            <w:textDirection w:val="lrTb"/>
            <w:noWrap w:val="false"/>
          </w:tcPr>
          <w:p>
            <w:pPr>
              <w:pStyle w:val="939"/>
              <w:jc w:val="center"/>
              <w:spacing w:after="150" w:line="360" w:lineRule="auto"/>
              <w:widowControl/>
              <w:rPr>
                <w:rFonts w:ascii="宋体" w:hAnsi="宋体"/>
                <w:color w:val="auto"/>
                <w:sz w:val="20"/>
                <w:szCs w:val="20"/>
                <w:highlight w:val="none"/>
              </w:rPr>
            </w:pPr>
            <w:r>
              <w:rPr>
                <w:rStyle w:val="945"/>
                <w:rFonts w:hint="eastAsia" w:ascii="宋体" w:hAnsi="宋体" w:cs="仿宋"/>
                <w:color w:val="auto"/>
                <w:sz w:val="20"/>
                <w:szCs w:val="20"/>
                <w:highlight w:val="none"/>
              </w:rPr>
              <w:t xml:space="preserve">X＜10</w:t>
            </w:r>
            <w:r/>
          </w:p>
        </w:tc>
      </w:tr>
    </w:tbl>
    <w:p>
      <w:pPr>
        <w:pStyle w:val="939"/>
        <w:ind w:firstLine="810"/>
        <w:spacing w:before="300" w:after="452" w:line="360" w:lineRule="auto"/>
        <w:widowControl/>
        <w:rPr>
          <w:rStyle w:val="945"/>
          <w:rFonts w:ascii="宋体" w:hAnsi="宋体" w:cs="仿宋"/>
          <w:color w:val="auto"/>
          <w:sz w:val="21"/>
          <w:szCs w:val="21"/>
          <w:highlight w:val="none"/>
        </w:rPr>
      </w:pPr>
      <w:r>
        <w:rPr>
          <w:rStyle w:val="945"/>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917"/>
        <w:rPr>
          <w:rStyle w:val="945"/>
          <w:rFonts w:cs="仿宋"/>
          <w:b w:val="0"/>
          <w:color w:val="auto"/>
          <w:sz w:val="21"/>
          <w:szCs w:val="21"/>
          <w:highlight w:val="none"/>
        </w:rPr>
      </w:pPr>
      <w:r>
        <w:rPr>
          <w:rFonts w:cs="仿宋"/>
          <w:b w:val="0"/>
          <w:color w:val="auto"/>
          <w:sz w:val="21"/>
          <w:szCs w:val="21"/>
          <w:highlight w:val="none"/>
        </w:rPr>
      </w:r>
      <w:r/>
    </w:p>
    <w:p>
      <w:pPr>
        <w:jc w:val="center"/>
        <w:rPr>
          <w:color w:val="auto"/>
          <w:highlight w:val="none"/>
        </w:rPr>
      </w:pPr>
      <w:r>
        <w:rPr>
          <w:rFonts w:hint="eastAsia" w:ascii="宋体" w:hAnsi="宋体"/>
          <w:b/>
          <w:bCs/>
          <w:color w:val="auto"/>
          <w:highlight w:val="none"/>
        </w:rPr>
        <w:br w:type="page" w:clear="all"/>
      </w: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cs="Arial"/>
          <w:b/>
          <w:bCs/>
          <w:color w:val="auto"/>
          <w:highlight w:val="none"/>
        </w:rPr>
      </w:pPr>
      <w:r>
        <w:rPr>
          <w:rFonts w:ascii="宋体" w:hAnsi="宋体" w:cs="Arial"/>
          <w:b/>
          <w:bCs/>
          <w:color w:val="auto"/>
          <w:highlight w:val="none"/>
        </w:rPr>
        <w:br w:type="page" w:clear="all"/>
      </w:r>
      <w:r/>
    </w:p>
    <w:p>
      <w:pPr>
        <w:pStyle w:val="916"/>
        <w:ind w:firstLine="3213"/>
        <w:jc w:val="both"/>
        <w:spacing w:line="360" w:lineRule="auto"/>
        <w:rPr>
          <w:rFonts w:hint="eastAsia" w:ascii="宋体" w:hAnsi="宋体" w:eastAsia="宋体" w:cs="宋体"/>
          <w:color w:val="auto"/>
          <w:sz w:val="24"/>
          <w:szCs w:val="20"/>
          <w:highlight w:val="none"/>
        </w:rPr>
      </w:pPr>
      <w:r/>
      <w:bookmarkStart w:id="71" w:name="_Toc31681"/>
      <w:r/>
      <w:bookmarkStart w:id="72" w:name="_Toc19960"/>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bookmarkEnd w:id="71"/>
      <w:r/>
      <w:bookmarkEnd w:id="72"/>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7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25"/>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405" w:type="dxa"/>
            <w:vAlign w:val="center"/>
            <w:textDirection w:val="lrTb"/>
            <w:noWrap w:val="false"/>
          </w:tcPr>
          <w:p>
            <w:pPr>
              <w:rPr>
                <w:rFonts w:hint="eastAsia"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925"/>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66"/>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966"/>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916"/>
        <w:ind w:firstLine="3213"/>
        <w:jc w:val="both"/>
        <w:rPr>
          <w:rFonts w:ascii="宋体" w:hAnsi="宋体" w:eastAsia="宋体" w:cs="Times New Roman"/>
          <w:bCs w:val="0"/>
          <w:color w:val="auto"/>
          <w:sz w:val="32"/>
          <w:szCs w:val="32"/>
          <w:highlight w:val="none"/>
        </w:rPr>
      </w:pPr>
      <w:r>
        <w:rPr>
          <w:rFonts w:ascii="宋体" w:hAnsi="宋体" w:eastAsia="宋体" w:cs="Times New Roman"/>
          <w:bCs w:val="0"/>
          <w:color w:val="auto"/>
          <w:sz w:val="32"/>
          <w:szCs w:val="32"/>
          <w:highlight w:val="none"/>
        </w:rPr>
      </w:r>
      <w:r/>
    </w:p>
    <w:p>
      <w:pPr>
        <w:pStyle w:val="921"/>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ascii="宋体" w:hAnsi="宋体"/>
          <w:color w:val="auto"/>
          <w:sz w:val="32"/>
          <w:szCs w:val="32"/>
          <w:highlight w:val="none"/>
        </w:rPr>
      </w:r>
      <w:r/>
    </w:p>
    <w:p>
      <w:pPr>
        <w:pStyle w:val="916"/>
        <w:numPr>
          <w:ilvl w:val="0"/>
          <w:numId w:val="6"/>
        </w:numPr>
        <w:ind w:firstLine="3213"/>
        <w:jc w:val="both"/>
        <w:rPr>
          <w:rFonts w:hint="eastAsia" w:ascii="宋体" w:hAnsi="宋体" w:eastAsia="宋体" w:cs="Times New Roman"/>
          <w:bCs w:val="0"/>
          <w:color w:val="auto"/>
          <w:sz w:val="32"/>
          <w:szCs w:val="32"/>
          <w:highlight w:val="none"/>
        </w:rPr>
      </w:pPr>
      <w:r/>
      <w:bookmarkStart w:id="73" w:name="_Toc113352361"/>
      <w:r>
        <w:rPr>
          <w:rFonts w:hint="eastAsia" w:ascii="宋体" w:hAnsi="宋体" w:eastAsia="宋体" w:cs="Times New Roman"/>
          <w:bCs w:val="0"/>
          <w:color w:val="auto"/>
          <w:sz w:val="32"/>
          <w:szCs w:val="32"/>
          <w:highlight w:val="none"/>
        </w:rPr>
        <w:br w:type="page" w:clear="all"/>
      </w:r>
      <w:bookmarkStart w:id="74" w:name="_Toc18387"/>
      <w:r/>
      <w:bookmarkStart w:id="75" w:name="_Toc19060"/>
      <w:r>
        <w:rPr>
          <w:rFonts w:hint="eastAsia" w:ascii="宋体" w:hAnsi="宋体" w:eastAsia="宋体" w:cs="Times New Roman"/>
          <w:bCs w:val="0"/>
          <w:color w:val="auto"/>
          <w:sz w:val="32"/>
          <w:szCs w:val="32"/>
          <w:highlight w:val="none"/>
        </w:rPr>
        <w:t xml:space="preserve">分项报价表</w:t>
      </w:r>
      <w:bookmarkEnd w:id="73"/>
      <w:r/>
      <w:bookmarkEnd w:id="74"/>
      <w:r/>
      <w:bookmarkEnd w:id="75"/>
      <w:r/>
      <w:r/>
    </w:p>
    <w:tbl>
      <w:tblPr>
        <w:tblStyle w:val="740"/>
        <w:tblW w:w="8818" w:type="dxa"/>
        <w:tblInd w:w="-15" w:type="dxa"/>
        <w:tblLayout w:type="fixed"/>
        <w:tblCellMar>
          <w:left w:w="15" w:type="dxa"/>
          <w:top w:w="15" w:type="dxa"/>
          <w:right w:w="15" w:type="dxa"/>
          <w:bottom w:w="0" w:type="dxa"/>
        </w:tblCellMar>
        <w:tblLook w:val="04A0" w:firstRow="1" w:lastRow="0" w:firstColumn="1" w:lastColumn="0" w:noHBand="0" w:noVBand="1"/>
      </w:tblPr>
      <w:tblGrid>
        <w:gridCol w:w="611"/>
        <w:gridCol w:w="2006"/>
        <w:gridCol w:w="775"/>
        <w:gridCol w:w="873"/>
        <w:gridCol w:w="1904"/>
        <w:gridCol w:w="2649"/>
      </w:tblGrid>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center"/>
              <w:widowControl/>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总价</w:t>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02"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32"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22"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9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9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widowControl/>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54" w:hRule="exact"/>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18" w:type="dxa"/>
            <w:vAlign w:val="center"/>
            <w:textDirection w:val="lrTb"/>
            <w:noWrap w:val="false"/>
          </w:tcPr>
          <w:p>
            <w:pPr>
              <w:rPr>
                <w:rFonts w:ascii="宋体" w:hAnsi="宋体" w:cs="宋体"/>
                <w:color w:val="auto"/>
                <w:szCs w:val="21"/>
                <w:highlight w:val="none"/>
              </w:rPr>
            </w:pPr>
            <w:r>
              <w:rPr>
                <w:rFonts w:hint="eastAsia" w:ascii="宋体" w:hAnsi="宋体" w:cs="宋体"/>
                <w:b/>
                <w:bCs/>
                <w:color w:val="auto"/>
                <w:szCs w:val="21"/>
                <w:highlight w:val="none"/>
                <w:lang w:bidi="ar"/>
              </w:rPr>
              <w:t xml:space="preserve">合计人民币(大写）：             （￥：              元）</w:t>
            </w:r>
            <w:r/>
          </w:p>
        </w:tc>
      </w:tr>
    </w:tbl>
    <w:p>
      <w:pPr>
        <w:pStyle w:val="921"/>
        <w:ind w:firstLine="0"/>
        <w:rPr>
          <w:color w:val="auto"/>
          <w:highlight w:val="none"/>
        </w:rPr>
      </w:pPr>
      <w:r>
        <w:rPr>
          <w:color w:val="auto"/>
          <w:highlight w:val="none"/>
        </w:rPr>
      </w:r>
      <w:r/>
    </w:p>
    <w:p>
      <w:pPr>
        <w:pStyle w:val="916"/>
        <w:rPr>
          <w:rFonts w:ascii="宋体" w:hAnsi="宋体" w:eastAsia="宋体"/>
          <w:color w:val="auto"/>
          <w:sz w:val="32"/>
          <w:highlight w:val="none"/>
        </w:rPr>
      </w:pPr>
      <w:r/>
      <w:bookmarkStart w:id="76" w:name="_Toc24745"/>
      <w:r>
        <w:rPr>
          <w:rFonts w:hint="eastAsia" w:ascii="宋体" w:hAnsi="宋体" w:eastAsia="宋体"/>
          <w:color w:val="auto"/>
          <w:sz w:val="32"/>
          <w:highlight w:val="none"/>
        </w:rPr>
        <w:br w:type="page" w:clear="all"/>
      </w:r>
      <w:bookmarkStart w:id="77" w:name="_Toc32150"/>
      <w:r>
        <w:rPr>
          <w:rFonts w:hint="eastAsia" w:ascii="宋体" w:hAnsi="宋体" w:eastAsia="宋体"/>
          <w:color w:val="auto"/>
          <w:sz w:val="32"/>
          <w:highlight w:val="none"/>
        </w:rPr>
        <w:t xml:space="preserve">六、技术参数响应及偏离表</w:t>
      </w:r>
      <w:bookmarkEnd w:id="76"/>
      <w:r/>
      <w:bookmarkEnd w:id="77"/>
      <w:r/>
      <w:r/>
    </w:p>
    <w:tbl>
      <w:tblPr>
        <w:tblStyle w:val="7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3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7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173" w:type="dxa"/>
            <w:vAlign w:val="top"/>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hint="eastAsia" w:ascii="宋体" w:hAnsi="宋体" w:eastAsia="宋体" w:cs="Times New Roman"/>
          <w:bCs w:val="0"/>
          <w:color w:val="auto"/>
          <w:sz w:val="32"/>
          <w:szCs w:val="32"/>
          <w:highlight w:val="none"/>
        </w:rPr>
      </w:pPr>
      <w:r/>
      <w:bookmarkStart w:id="78" w:name="_Hlt26955054"/>
      <w:r/>
      <w:bookmarkEnd w:id="78"/>
      <w:r/>
      <w:bookmarkStart w:id="79" w:name="_Toc29665"/>
      <w:r/>
      <w:bookmarkStart w:id="80" w:name="_Toc113352363"/>
      <w:r>
        <w:rPr>
          <w:rFonts w:hint="eastAsia" w:ascii="宋体" w:hAnsi="宋体" w:eastAsia="宋体" w:cs="Times New Roman"/>
          <w:bCs w:val="0"/>
          <w:color w:val="auto"/>
          <w:sz w:val="32"/>
          <w:szCs w:val="32"/>
          <w:highlight w:val="none"/>
        </w:rPr>
        <w:br w:type="page" w:clear="all"/>
      </w:r>
      <w:r/>
    </w:p>
    <w:p>
      <w:pPr>
        <w:pStyle w:val="916"/>
        <w:rPr>
          <w:rFonts w:ascii="宋体" w:hAnsi="宋体" w:eastAsia="宋体" w:cs="Times New Roman"/>
          <w:bCs w:val="0"/>
          <w:color w:val="auto"/>
          <w:sz w:val="32"/>
          <w:szCs w:val="32"/>
          <w:highlight w:val="none"/>
        </w:rPr>
      </w:pPr>
      <w:r/>
      <w:bookmarkStart w:id="81" w:name="_Toc21614"/>
      <w:r>
        <w:rPr>
          <w:rFonts w:hint="eastAsia" w:ascii="宋体" w:hAnsi="宋体" w:eastAsia="宋体" w:cs="Times New Roman"/>
          <w:bCs w:val="0"/>
          <w:color w:val="auto"/>
          <w:sz w:val="32"/>
          <w:szCs w:val="32"/>
          <w:highlight w:val="none"/>
        </w:rPr>
        <w:t xml:space="preserve">七、商务条款响应及偏离表</w:t>
      </w:r>
      <w:bookmarkEnd w:id="79"/>
      <w:r/>
      <w:bookmarkEnd w:id="80"/>
      <w:r/>
      <w:bookmarkEnd w:id="81"/>
      <w:r/>
      <w:r/>
    </w:p>
    <w:tbl>
      <w:tblPr>
        <w:tblStyle w:val="740"/>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rPr>
              <w:t xml:space="preserve">服务方式</w:t>
            </w:r>
            <w:r/>
          </w:p>
        </w:tc>
        <w:tc>
          <w:tcPr>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vAlign w:val="top"/>
            <w:textDirection w:val="lrTb"/>
            <w:noWrap w:val="false"/>
          </w:tcPr>
          <w:p>
            <w:pPr>
              <w:jc w:val="center"/>
              <w:spacing w:before="156" w:line="360" w:lineRule="auto"/>
              <w:rPr>
                <w:rFonts w:hint="eastAsia" w:ascii="仿宋_GB2312"/>
                <w:color w:val="auto"/>
                <w:szCs w:val="21"/>
                <w:highlight w:val="none"/>
              </w:rPr>
            </w:pPr>
            <w:r>
              <w:rPr>
                <w:rFonts w:hint="eastAsia" w:ascii="仿宋_GB2312"/>
                <w:color w:val="auto"/>
                <w:szCs w:val="21"/>
                <w:highlight w:val="none"/>
              </w:rPr>
              <w:t xml:space="preserve">服务地点</w:t>
            </w:r>
            <w:r/>
          </w:p>
        </w:tc>
        <w:tc>
          <w:tcPr>
            <w:tcW w:w="2502" w:type="dxa"/>
            <w:vAlign w:val="top"/>
            <w:textDirection w:val="lrTb"/>
            <w:noWrap w:val="false"/>
          </w:tcPr>
          <w:p>
            <w:pPr>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vAlign w:val="top"/>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vAlign w:val="top"/>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921"/>
        <w:ind w:firstLine="480"/>
        <w:rPr>
          <w:rFonts w:ascii="宋体" w:hAnsi="宋体"/>
          <w:color w:val="auto"/>
          <w:sz w:val="24"/>
          <w:highlight w:val="none"/>
        </w:rPr>
      </w:pPr>
      <w:r/>
      <w:bookmarkStart w:id="82" w:name="_Hlt26609389"/>
      <w:r/>
      <w:bookmarkEnd w:id="82"/>
      <w:r/>
      <w:bookmarkStart w:id="83" w:name="_Hlt26955066"/>
      <w:r/>
      <w:bookmarkEnd w:id="83"/>
      <w:r/>
      <w:bookmarkStart w:id="84" w:name="_Hlt26671374"/>
      <w:r/>
      <w:bookmarkEnd w:id="84"/>
      <w:r/>
      <w:bookmarkStart w:id="85" w:name="_Toc462564146"/>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r/>
    </w:p>
    <w:p>
      <w:pPr>
        <w:pStyle w:val="921"/>
        <w:ind w:firstLine="480"/>
        <w:rPr>
          <w:rFonts w:ascii="宋体" w:hAnsi="宋体"/>
          <w:color w:val="auto"/>
          <w:sz w:val="24"/>
          <w:highlight w:val="none"/>
        </w:rPr>
      </w:pPr>
      <w:r>
        <w:rPr>
          <w:rFonts w:ascii="宋体" w:hAnsi="宋体"/>
          <w:color w:val="auto"/>
          <w:sz w:val="24"/>
          <w:highlight w:val="none"/>
        </w:rPr>
      </w:r>
      <w:bookmarkEnd w:id="85"/>
      <w:r/>
      <w:r/>
    </w:p>
    <w:p>
      <w:pPr>
        <w:jc w:val="left"/>
        <w:widowControl/>
        <w:rPr>
          <w:rFonts w:ascii="宋体" w:hAnsi="宋体"/>
          <w:b/>
          <w:color w:val="auto"/>
          <w:highlight w:val="none"/>
        </w:rPr>
      </w:pPr>
      <w:r/>
      <w:bookmarkStart w:id="86" w:name="_格式2__法定代表人授权书"/>
      <w:r/>
      <w:bookmarkEnd w:id="86"/>
      <w:r>
        <w:rPr>
          <w:rFonts w:ascii="宋体" w:hAnsi="宋体"/>
          <w:b/>
          <w:color w:val="auto"/>
          <w:highlight w:val="none"/>
        </w:rPr>
        <w:br w:type="page" w:clear="all"/>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40"/>
        <w:tblW w:w="889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91"/>
      </w:tblGrid>
      <w:tr>
        <w:trPr/>
        <w:tc>
          <w:tcPr>
            <w:tcW w:w="8891" w:type="dxa"/>
            <w:vAlign w:val="top"/>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8891" w:type="dxa"/>
            <w:vAlign w:val="top"/>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hint="eastAsia" w:ascii="宋体" w:hAnsi="宋体"/>
          <w:color w:val="auto"/>
          <w:highlight w:val="none"/>
        </w:rPr>
      </w:pPr>
      <w:r>
        <w:rPr>
          <w:rFonts w:hint="eastAsia" w:ascii="宋体" w:hAnsi="宋体"/>
          <w:color w:val="auto"/>
          <w:highlight w:val="none"/>
        </w:rPr>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egoe UI">
    <w:panose1 w:val="020B0502040204020203"/>
  </w:font>
  <w:font w:name="Symbol">
    <w:panose1 w:val="05050102010706020507"/>
  </w:font>
  <w:font w:name="Wingdings">
    <w:panose1 w:val="05000000000000000000"/>
  </w:font>
  <w:font w:name="Courier New">
    <w:panose1 w:val="02070309020205020404"/>
  </w:font>
  <w:font w:name="幼圆">
    <w:panose1 w:val="02010509060101010101"/>
  </w:font>
  <w:font w:name="黑体">
    <w:panose1 w:val="02010609060101010101"/>
  </w:font>
  <w:font w:name="仿宋_GB2312">
    <w:panose1 w:val="02010609060101010101"/>
  </w:font>
  <w:font w:name="Verdana">
    <w:panose1 w:val="020B0604030504040204"/>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宋">
    <w:panose1 w:val="0201060003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pPr>
    <w:r>
      <w:rPr>
        <w:rFonts w:ascii="Segoe UI" w:hAnsi="Segoe UI" w:eastAsia="Segoe UI" w:cs="Segoe UI"/>
        <w:i w:val="0"/>
        <w:iCs w:val="0"/>
        <w:caps w:val="0"/>
        <w:spacing w:val="0"/>
        <w:sz w:val="16"/>
        <w:szCs w:val="16"/>
        <w:shd w:val="clear" w:color="auto" w:fill="ffffff"/>
      </w:rPr>
      <w:t xml:space="preserve">JSZC-321084-CSXC-G2026-0043</w:t>
    </w:r>
    <w:r>
      <w:rPr>
        <w:rFonts w:hint="eastAsia"/>
        <w:lang w:val="en-US" w:eastAsia="zh-CN"/>
      </w:rPr>
      <w:t xml:space="preserve">号</w:t>
    </w:r>
    <w:r>
      <w:rPr>
        <w:rFonts w:hint="eastAsia"/>
        <w:b w:val="0"/>
        <w:bCs w:val="0"/>
        <w:sz w:val="13"/>
        <w:szCs w:val="13"/>
        <w:lang w:val="en-US" w:eastAsia="zh-CN"/>
      </w:rPr>
      <w:t xml:space="preserve"> </w:t>
    </w:r>
    <w:r>
      <w:rPr>
        <w:rFonts w:hint="eastAsia"/>
      </w:rPr>
      <w:t xml:space="preserve">                              </w:t>
    </w:r>
    <w:r>
      <w:rPr>
        <w:rFonts w:hint="eastAsia"/>
        <w:lang w:val="en-US" w:eastAsia="zh-CN"/>
      </w:rPr>
      <w:t xml:space="preserve">     </w:t>
    </w:r>
    <w:r>
      <w:rPr>
        <w:rFonts w:hint="eastAsia"/>
      </w:rPr>
      <w:t xml:space="preserve">    江苏协诚工程咨询有限公司</w:t>
    </w:r>
    <w:r/>
  </w:p>
  <w:p>
    <w:pPr>
      <w:pStyle w:val="93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pPr>
    <w:r>
      <w:rPr>
        <w:rFonts w:ascii="Segoe UI" w:hAnsi="Segoe UI" w:eastAsia="Segoe UI" w:cs="Segoe UI"/>
        <w:i w:val="0"/>
        <w:iCs w:val="0"/>
        <w:caps w:val="0"/>
        <w:spacing w:val="0"/>
        <w:sz w:val="16"/>
        <w:szCs w:val="16"/>
        <w:shd w:val="clear" w:color="auto" w:fill="ffffff"/>
      </w:rPr>
      <w:t xml:space="preserve">JSZC-321084-CSXC-G2026-004</w:t>
    </w:r>
    <w:r>
      <w:rPr>
        <w:rFonts w:hint="eastAsia" w:ascii="Segoe UI" w:hAnsi="Segoe UI" w:cs="Segoe UI"/>
        <w:i w:val="0"/>
        <w:iCs w:val="0"/>
        <w:caps w:val="0"/>
        <w:spacing w:val="0"/>
        <w:sz w:val="16"/>
        <w:szCs w:val="16"/>
        <w:shd w:val="clear" w:color="auto" w:fill="ffffff"/>
        <w:lang w:val="en-US" w:eastAsia="zh-CN"/>
      </w:rPr>
      <w:t xml:space="preserve">3</w:t>
    </w:r>
    <w:r>
      <w:rPr>
        <w:rFonts w:hint="eastAsia"/>
        <w:lang w:eastAsia="zh-CN"/>
      </w:rPr>
      <w:t xml:space="preserve">号</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江苏协诚工程咨询有限公司</w:t>
    </w:r>
    <w:r/>
  </w:p>
  <w:p>
    <w:pPr>
      <w:pStyle w:val="751"/>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rPr>
        <w:rFonts w:hint="eastAsia"/>
      </w:rPr>
    </w:pPr>
    <w:r>
      <w:rPr>
        <w:rFonts w:ascii="Segoe UI" w:hAnsi="Segoe UI" w:eastAsia="Segoe UI" w:cs="Segoe UI"/>
        <w:i w:val="0"/>
        <w:iCs w:val="0"/>
        <w:caps w:val="0"/>
        <w:spacing w:val="0"/>
        <w:sz w:val="16"/>
        <w:szCs w:val="16"/>
        <w:shd w:val="clear" w:color="auto" w:fill="ffffff"/>
      </w:rPr>
      <w:t xml:space="preserve">JSZC-321084-CSXC-G2026-0043</w:t>
    </w:r>
    <w:r>
      <w:rPr>
        <w:rFonts w:hint="eastAsia"/>
        <w:lang w:eastAsia="zh-CN"/>
      </w:rPr>
      <w:t xml:space="preserve">号</w:t>
    </w:r>
    <w:r>
      <w:tab/>
    </w:r>
    <w:r>
      <w:rPr>
        <w:rFonts w:hint="eastAsia"/>
      </w:rPr>
      <w:t xml:space="preserve">                              </w:t>
    </w:r>
    <w:r>
      <w:rPr>
        <w:rFonts w:hint="eastAsia"/>
        <w:lang w:val="en-US" w:eastAsia="zh-CN"/>
      </w:rPr>
      <w:t xml:space="preserve">         </w:t>
    </w:r>
    <w:r>
      <w:rPr>
        <w:rFonts w:hint="eastAsia"/>
      </w:rPr>
      <w:t xml:space="preserve">江苏协诚工程咨询有限公司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1、"/>
      <w:lvlJc w:val="left"/>
      <w:pPr>
        <w:ind w:left="431" w:hanging="431"/>
      </w:pPr>
      <w:rPr>
        <w:rFonts w:cs="Times New Roman"/>
        <w:b/>
        <w:i w:val="0"/>
        <w:iCs w:val="0"/>
        <w:caps w:val="0"/>
        <w:strike w:val="0"/>
        <w:spacing w:val="0"/>
        <w:position w:val="0"/>
        <w:sz w:val="21"/>
        <w:szCs w:val="32"/>
        <w:u w:val="none"/>
        <w:vertAlign w:val="baseline"/>
      </w:rPr>
    </w:lvl>
    <w:lvl w:ilvl="1">
      <w:start w:val="1"/>
      <w:numFmt w:val="decimal"/>
      <w:isLgl w:val="false"/>
      <w:suff w:val="space"/>
      <w:lvlText w:val="%1.%2"/>
      <w:lvlJc w:val="left"/>
      <w:pPr>
        <w:ind w:left="851" w:hanging="567"/>
      </w:pPr>
      <w:rPr>
        <w:rFonts w:ascii="Arial" w:hAnsi="Arial" w:eastAsia="黑体"/>
        <w:b/>
        <w:i w:val="0"/>
        <w:sz w:val="28"/>
        <w:szCs w:val="28"/>
      </w:rPr>
    </w:lvl>
    <w:lvl w:ilvl="2">
      <w:start w:val="1"/>
      <w:numFmt w:val="decimal"/>
      <w:pStyle w:val="975"/>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next w:val="741"/>
    <w:link w:val="947"/>
    <w:uiPriority w:val="0"/>
    <w:qFormat/>
    <w:pPr>
      <w:jc w:val="both"/>
      <w:widowControl w:val="off"/>
    </w:pPr>
    <w:rPr>
      <w:rFonts w:hint="default" w:ascii="Calibri" w:hAnsi="Calibri" w:eastAsia="宋体" w:cs="Times New Roman"/>
      <w:sz w:val="21"/>
      <w:szCs w:val="22"/>
      <w:lang w:val="en-US" w:eastAsia="zh-CN" w:bidi="ar-SA"/>
    </w:rPr>
  </w:style>
  <w:style w:type="paragraph" w:styleId="730">
    <w:name w:val="Heading 1"/>
    <w:basedOn w:val="729"/>
    <w:next w:val="729"/>
    <w:link w:val="767"/>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68"/>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69"/>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70"/>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71"/>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72"/>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74"/>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75"/>
    <w:uiPriority w:val="9"/>
    <w:unhideWhenUsed/>
    <w:qFormat/>
    <w:pPr>
      <w:keepLines/>
      <w:keepNext/>
      <w:spacing w:before="320" w:after="200"/>
      <w:outlineLvl w:val="8"/>
    </w:pPr>
    <w:rPr>
      <w:rFonts w:ascii="Arial" w:hAnsi="Arial" w:eastAsia="Arial" w:cs="Arial"/>
      <w:i/>
      <w:iCs/>
      <w:sz w:val="21"/>
      <w:szCs w:val="21"/>
    </w:rPr>
  </w:style>
  <w:style w:type="character" w:styleId="739" w:default="1">
    <w:name w:val="Default Paragraph Font"/>
    <w:uiPriority w:val="1"/>
    <w:unhideWhenUsed/>
    <w:qFormat/>
  </w:style>
  <w:style w:type="table" w:styleId="740" w:default="1">
    <w:name w:val="Normal Table"/>
    <w:uiPriority w:val="99"/>
    <w:unhideWhenUsed/>
    <w:qFormat/>
    <w:tblPr>
      <w:tblCellMar>
        <w:left w:w="108" w:type="dxa"/>
        <w:top w:w="0" w:type="dxa"/>
        <w:right w:w="108" w:type="dxa"/>
        <w:bottom w:w="0" w:type="dxa"/>
      </w:tblCellMar>
    </w:tblPr>
  </w:style>
  <w:style w:type="paragraph" w:styleId="741" w:customStyle="1">
    <w:name w:val="页脚1"/>
    <w:basedOn w:val="729"/>
    <w:uiPriority w:val="99"/>
    <w:unhideWhenUsed/>
    <w:qFormat/>
    <w:pPr>
      <w:jc w:val="left"/>
      <w:tabs>
        <w:tab w:val="center" w:pos="4153" w:leader="none"/>
        <w:tab w:val="right" w:pos="8306" w:leader="none"/>
      </w:tabs>
    </w:pPr>
    <w:rPr>
      <w:sz w:val="18"/>
      <w:szCs w:val="18"/>
    </w:rPr>
  </w:style>
  <w:style w:type="paragraph" w:styleId="742">
    <w:name w:val="toc 7"/>
    <w:basedOn w:val="729"/>
    <w:next w:val="729"/>
    <w:uiPriority w:val="39"/>
    <w:unhideWhenUsed/>
    <w:qFormat/>
    <w:pPr>
      <w:ind w:left="1701" w:right="0" w:firstLine="0"/>
      <w:spacing w:after="57"/>
    </w:pPr>
  </w:style>
  <w:style w:type="paragraph" w:styleId="743">
    <w:name w:val="Caption"/>
    <w:basedOn w:val="729"/>
    <w:next w:val="729"/>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44">
    <w:name w:val="annotation text"/>
    <w:basedOn w:val="729"/>
    <w:uiPriority w:val="99"/>
    <w:unhideWhenUsed/>
    <w:qFormat/>
    <w:pPr>
      <w:jc w:val="left"/>
    </w:pPr>
  </w:style>
  <w:style w:type="paragraph" w:styleId="745">
    <w:name w:val="Body Text"/>
    <w:basedOn w:val="729"/>
    <w:uiPriority w:val="0"/>
    <w:qFormat/>
    <w:rPr>
      <w:rFonts w:ascii="楷体_GB2312" w:hAnsi="Arial" w:eastAsia="楷体_GB2312"/>
      <w:sz w:val="28"/>
      <w:szCs w:val="28"/>
    </w:rPr>
  </w:style>
  <w:style w:type="paragraph" w:styleId="746">
    <w:name w:val="toc 5"/>
    <w:basedOn w:val="729"/>
    <w:next w:val="729"/>
    <w:uiPriority w:val="39"/>
    <w:unhideWhenUsed/>
    <w:qFormat/>
    <w:pPr>
      <w:ind w:left="1134" w:right="0" w:firstLine="0"/>
      <w:spacing w:after="57"/>
    </w:pPr>
  </w:style>
  <w:style w:type="paragraph" w:styleId="747">
    <w:name w:val="toc 3"/>
    <w:basedOn w:val="729"/>
    <w:next w:val="729"/>
    <w:uiPriority w:val="39"/>
    <w:unhideWhenUsed/>
    <w:qFormat/>
    <w:pPr>
      <w:ind w:left="567" w:right="0" w:firstLine="0"/>
      <w:spacing w:after="57"/>
    </w:pPr>
  </w:style>
  <w:style w:type="paragraph" w:styleId="748">
    <w:name w:val="toc 8"/>
    <w:basedOn w:val="729"/>
    <w:next w:val="729"/>
    <w:uiPriority w:val="39"/>
    <w:unhideWhenUsed/>
    <w:qFormat/>
    <w:pPr>
      <w:ind w:left="1984" w:right="0" w:firstLine="0"/>
      <w:spacing w:after="57"/>
    </w:pPr>
  </w:style>
  <w:style w:type="paragraph" w:styleId="749">
    <w:name w:val="endnote text"/>
    <w:basedOn w:val="729"/>
    <w:link w:val="913"/>
    <w:uiPriority w:val="99"/>
    <w:unhideWhenUsed/>
    <w:qFormat/>
    <w:pPr>
      <w:spacing w:after="0" w:line="240" w:lineRule="auto"/>
    </w:pPr>
    <w:rPr>
      <w:sz w:val="20"/>
    </w:rPr>
  </w:style>
  <w:style w:type="paragraph" w:styleId="750">
    <w:name w:val="Footer"/>
    <w:basedOn w:val="729"/>
    <w:link w:val="786"/>
    <w:uiPriority w:val="99"/>
    <w:unhideWhenUsed/>
    <w:qFormat/>
    <w:pPr>
      <w:spacing w:after="0" w:line="240" w:lineRule="auto"/>
      <w:tabs>
        <w:tab w:val="center" w:pos="7143" w:leader="none"/>
        <w:tab w:val="right" w:pos="14287" w:leader="none"/>
      </w:tabs>
    </w:pPr>
  </w:style>
  <w:style w:type="paragraph" w:styleId="751">
    <w:name w:val="Header"/>
    <w:basedOn w:val="729"/>
    <w:link w:val="784"/>
    <w:uiPriority w:val="99"/>
    <w:unhideWhenUsed/>
    <w:qFormat/>
    <w:pPr>
      <w:spacing w:after="0" w:line="240" w:lineRule="auto"/>
      <w:tabs>
        <w:tab w:val="center" w:pos="7143" w:leader="none"/>
        <w:tab w:val="right" w:pos="14287" w:leader="none"/>
      </w:tabs>
    </w:pPr>
  </w:style>
  <w:style w:type="paragraph" w:styleId="752">
    <w:name w:val="toc 1"/>
    <w:basedOn w:val="729"/>
    <w:next w:val="729"/>
    <w:uiPriority w:val="39"/>
    <w:unhideWhenUsed/>
    <w:qFormat/>
    <w:pPr>
      <w:ind w:left="0" w:right="0" w:firstLine="0"/>
      <w:spacing w:after="57"/>
    </w:pPr>
  </w:style>
  <w:style w:type="paragraph" w:styleId="753">
    <w:name w:val="toc 4"/>
    <w:basedOn w:val="729"/>
    <w:next w:val="729"/>
    <w:uiPriority w:val="39"/>
    <w:unhideWhenUsed/>
    <w:qFormat/>
    <w:pPr>
      <w:ind w:left="850" w:right="0" w:firstLine="0"/>
      <w:spacing w:after="57"/>
    </w:pPr>
  </w:style>
  <w:style w:type="paragraph" w:styleId="754">
    <w:name w:val="Subtitle"/>
    <w:basedOn w:val="729"/>
    <w:next w:val="729"/>
    <w:link w:val="779"/>
    <w:uiPriority w:val="11"/>
    <w:qFormat/>
    <w:pPr>
      <w:spacing w:before="200" w:after="200"/>
    </w:pPr>
    <w:rPr>
      <w:sz w:val="24"/>
      <w:szCs w:val="24"/>
    </w:rPr>
  </w:style>
  <w:style w:type="paragraph" w:styleId="755">
    <w:name w:val="footnote text"/>
    <w:basedOn w:val="729"/>
    <w:link w:val="912"/>
    <w:uiPriority w:val="99"/>
    <w:unhideWhenUsed/>
    <w:qFormat/>
    <w:pPr>
      <w:spacing w:after="40" w:line="240" w:lineRule="auto"/>
    </w:pPr>
    <w:rPr>
      <w:sz w:val="18"/>
    </w:rPr>
  </w:style>
  <w:style w:type="paragraph" w:styleId="756">
    <w:name w:val="toc 6"/>
    <w:basedOn w:val="729"/>
    <w:next w:val="729"/>
    <w:uiPriority w:val="39"/>
    <w:unhideWhenUsed/>
    <w:qFormat/>
    <w:pPr>
      <w:ind w:left="1417" w:right="0" w:firstLine="0"/>
      <w:spacing w:after="57"/>
    </w:pPr>
  </w:style>
  <w:style w:type="paragraph" w:styleId="757">
    <w:name w:val="table of figures"/>
    <w:basedOn w:val="729"/>
    <w:next w:val="729"/>
    <w:uiPriority w:val="99"/>
    <w:unhideWhenUsed/>
    <w:qFormat/>
    <w:pPr>
      <w:spacing w:after="0" w:afterAutospacing="0"/>
    </w:pPr>
  </w:style>
  <w:style w:type="paragraph" w:styleId="758">
    <w:name w:val="toc 2"/>
    <w:basedOn w:val="729"/>
    <w:next w:val="729"/>
    <w:uiPriority w:val="39"/>
    <w:unhideWhenUsed/>
    <w:qFormat/>
    <w:pPr>
      <w:ind w:left="283" w:right="0" w:firstLine="0"/>
      <w:spacing w:after="57"/>
    </w:pPr>
  </w:style>
  <w:style w:type="paragraph" w:styleId="759">
    <w:name w:val="toc 9"/>
    <w:basedOn w:val="729"/>
    <w:next w:val="729"/>
    <w:uiPriority w:val="39"/>
    <w:unhideWhenUsed/>
    <w:qFormat/>
    <w:pPr>
      <w:ind w:left="2268" w:right="0" w:firstLine="0"/>
      <w:spacing w:after="57"/>
    </w:pPr>
  </w:style>
  <w:style w:type="paragraph" w:styleId="760">
    <w:name w:val="Title"/>
    <w:basedOn w:val="729"/>
    <w:next w:val="729"/>
    <w:link w:val="778"/>
    <w:uiPriority w:val="10"/>
    <w:qFormat/>
    <w:pPr>
      <w:contextualSpacing/>
      <w:spacing w:before="300" w:after="200"/>
    </w:pPr>
    <w:rPr>
      <w:sz w:val="48"/>
      <w:szCs w:val="48"/>
    </w:rPr>
  </w:style>
  <w:style w:type="paragraph" w:styleId="761">
    <w:name w:val="Body Text First Indent"/>
    <w:basedOn w:val="745"/>
    <w:uiPriority w:val="0"/>
    <w:unhideWhenUsed/>
    <w:qFormat/>
    <w:pPr>
      <w:ind w:firstLine="420"/>
    </w:pPr>
    <w:rPr>
      <w:szCs w:val="21"/>
    </w:rPr>
  </w:style>
  <w:style w:type="table" w:styleId="7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Strong"/>
    <w:basedOn w:val="739"/>
    <w:uiPriority w:val="22"/>
    <w:qFormat/>
    <w:rPr>
      <w:b/>
    </w:rPr>
  </w:style>
  <w:style w:type="character" w:styleId="764">
    <w:name w:val="endnote reference"/>
    <w:uiPriority w:val="99"/>
    <w:unhideWhenUsed/>
    <w:qFormat/>
    <w:rPr>
      <w:vertAlign w:val="superscript"/>
    </w:rPr>
  </w:style>
  <w:style w:type="character" w:styleId="765">
    <w:name w:val="Hyperlink"/>
    <w:uiPriority w:val="99"/>
    <w:unhideWhenUsed/>
    <w:qFormat/>
    <w:rPr>
      <w:color w:val="0000ff" w:themeColor="hyperlink"/>
      <w:u w:val="single"/>
      <w14:textFill>
        <w14:solidFill>
          <w14:schemeClr w14:val="hlink"/>
        </w14:solidFill>
      </w14:textFill>
    </w:rPr>
  </w:style>
  <w:style w:type="character" w:styleId="766">
    <w:name w:val="footnote reference"/>
    <w:uiPriority w:val="99"/>
    <w:unhideWhenUsed/>
    <w:qFormat/>
    <w:rPr>
      <w:vertAlign w:val="superscript"/>
    </w:rPr>
  </w:style>
  <w:style w:type="character" w:styleId="767" w:customStyle="1">
    <w:name w:val="Heading 1 Char"/>
    <w:link w:val="730"/>
    <w:uiPriority w:val="9"/>
    <w:qFormat/>
    <w:rPr>
      <w:rFonts w:ascii="Arial" w:hAnsi="Arial" w:eastAsia="Arial" w:cs="Arial"/>
      <w:sz w:val="40"/>
      <w:szCs w:val="40"/>
    </w:rPr>
  </w:style>
  <w:style w:type="character" w:styleId="768" w:customStyle="1">
    <w:name w:val="Heading 2 Char"/>
    <w:link w:val="731"/>
    <w:uiPriority w:val="9"/>
    <w:qFormat/>
    <w:rPr>
      <w:rFonts w:ascii="Arial" w:hAnsi="Arial" w:eastAsia="Arial" w:cs="Arial"/>
      <w:sz w:val="34"/>
    </w:rPr>
  </w:style>
  <w:style w:type="character" w:styleId="769" w:customStyle="1">
    <w:name w:val="Heading 3 Char"/>
    <w:link w:val="732"/>
    <w:uiPriority w:val="9"/>
    <w:qFormat/>
    <w:rPr>
      <w:rFonts w:ascii="Arial" w:hAnsi="Arial" w:eastAsia="Arial" w:cs="Arial"/>
      <w:sz w:val="30"/>
      <w:szCs w:val="30"/>
    </w:rPr>
  </w:style>
  <w:style w:type="character" w:styleId="770" w:customStyle="1">
    <w:name w:val="Heading 4 Char"/>
    <w:link w:val="733"/>
    <w:uiPriority w:val="9"/>
    <w:qFormat/>
    <w:rPr>
      <w:rFonts w:ascii="Arial" w:hAnsi="Arial" w:eastAsia="Arial" w:cs="Arial"/>
      <w:b/>
      <w:bCs/>
      <w:sz w:val="26"/>
      <w:szCs w:val="26"/>
    </w:rPr>
  </w:style>
  <w:style w:type="character" w:styleId="771" w:customStyle="1">
    <w:name w:val="Heading 5 Char"/>
    <w:link w:val="734"/>
    <w:uiPriority w:val="9"/>
    <w:qFormat/>
    <w:rPr>
      <w:rFonts w:ascii="Arial" w:hAnsi="Arial" w:eastAsia="Arial" w:cs="Arial"/>
      <w:b/>
      <w:bCs/>
      <w:sz w:val="24"/>
      <w:szCs w:val="24"/>
    </w:rPr>
  </w:style>
  <w:style w:type="character" w:styleId="772" w:customStyle="1">
    <w:name w:val="Heading 6 Char"/>
    <w:link w:val="735"/>
    <w:uiPriority w:val="9"/>
    <w:qFormat/>
    <w:rPr>
      <w:rFonts w:ascii="Arial" w:hAnsi="Arial" w:eastAsia="Arial" w:cs="Arial"/>
      <w:b/>
      <w:bCs/>
      <w:sz w:val="22"/>
      <w:szCs w:val="22"/>
    </w:rPr>
  </w:style>
  <w:style w:type="character" w:styleId="773" w:customStyle="1">
    <w:name w:val="Heading 7 Char"/>
    <w:link w:val="736"/>
    <w:uiPriority w:val="9"/>
    <w:qFormat/>
    <w:rPr>
      <w:rFonts w:ascii="Arial" w:hAnsi="Arial" w:eastAsia="Arial" w:cs="Arial"/>
      <w:b/>
      <w:bCs/>
      <w:i/>
      <w:iCs/>
      <w:sz w:val="22"/>
      <w:szCs w:val="22"/>
    </w:rPr>
  </w:style>
  <w:style w:type="character" w:styleId="774" w:customStyle="1">
    <w:name w:val="Heading 8 Char"/>
    <w:link w:val="737"/>
    <w:uiPriority w:val="9"/>
    <w:qFormat/>
    <w:rPr>
      <w:rFonts w:ascii="Arial" w:hAnsi="Arial" w:eastAsia="Arial" w:cs="Arial"/>
      <w:i/>
      <w:iCs/>
      <w:sz w:val="22"/>
      <w:szCs w:val="22"/>
    </w:rPr>
  </w:style>
  <w:style w:type="character" w:styleId="775" w:customStyle="1">
    <w:name w:val="Heading 9 Char"/>
    <w:link w:val="738"/>
    <w:uiPriority w:val="9"/>
    <w:qFormat/>
    <w:rPr>
      <w:rFonts w:ascii="Arial" w:hAnsi="Arial" w:eastAsia="Arial" w:cs="Arial"/>
      <w:i/>
      <w:iCs/>
      <w:sz w:val="21"/>
      <w:szCs w:val="21"/>
    </w:rPr>
  </w:style>
  <w:style w:type="paragraph" w:styleId="776" w:customStyle="1">
    <w:name w:val="List Paragraph"/>
    <w:basedOn w:val="729"/>
    <w:uiPriority w:val="34"/>
    <w:qFormat/>
    <w:pPr>
      <w:contextualSpacing/>
      <w:ind w:left="720"/>
    </w:pPr>
  </w:style>
  <w:style w:type="paragraph" w:styleId="777" w:customStyle="1">
    <w:name w:val="No Spacing"/>
    <w:uiPriority w:val="1"/>
    <w:qFormat/>
    <w:pPr>
      <w:spacing w:before="0" w:after="0" w:line="240" w:lineRule="auto"/>
    </w:pPr>
    <w:rPr>
      <w:rFonts w:hint="default" w:ascii="Times New Roman" w:hAnsi="Times New Roman" w:eastAsia="宋体" w:cs="Times New Roman"/>
    </w:rPr>
  </w:style>
  <w:style w:type="character" w:styleId="778" w:customStyle="1">
    <w:name w:val="Title Char"/>
    <w:link w:val="760"/>
    <w:uiPriority w:val="10"/>
    <w:qFormat/>
    <w:rPr>
      <w:sz w:val="48"/>
      <w:szCs w:val="48"/>
    </w:rPr>
  </w:style>
  <w:style w:type="character" w:styleId="779" w:customStyle="1">
    <w:name w:val="Subtitle Char"/>
    <w:link w:val="754"/>
    <w:uiPriority w:val="11"/>
    <w:qFormat/>
    <w:rPr>
      <w:sz w:val="24"/>
      <w:szCs w:val="24"/>
    </w:rPr>
  </w:style>
  <w:style w:type="paragraph" w:styleId="780" w:customStyle="1">
    <w:name w:val="Quote"/>
    <w:basedOn w:val="729"/>
    <w:next w:val="729"/>
    <w:link w:val="781"/>
    <w:uiPriority w:val="29"/>
    <w:qFormat/>
    <w:pPr>
      <w:ind w:left="720" w:right="720"/>
    </w:pPr>
    <w:rPr>
      <w:i/>
    </w:rPr>
  </w:style>
  <w:style w:type="character" w:styleId="781" w:customStyle="1">
    <w:name w:val="Quote Char"/>
    <w:link w:val="780"/>
    <w:uiPriority w:val="29"/>
    <w:qFormat/>
    <w:rPr>
      <w:i/>
    </w:rPr>
  </w:style>
  <w:style w:type="paragraph" w:styleId="782" w:customStyle="1">
    <w:name w:val="Intense Quote"/>
    <w:basedOn w:val="729"/>
    <w:next w:val="729"/>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Intense Quote Char"/>
    <w:link w:val="782"/>
    <w:uiPriority w:val="30"/>
    <w:qFormat/>
    <w:rPr>
      <w:i/>
    </w:rPr>
  </w:style>
  <w:style w:type="character" w:styleId="784" w:customStyle="1">
    <w:name w:val="Header Char"/>
    <w:link w:val="751"/>
    <w:uiPriority w:val="99"/>
    <w:qFormat/>
  </w:style>
  <w:style w:type="character" w:styleId="785" w:customStyle="1">
    <w:name w:val="Footer Char"/>
    <w:link w:val="750"/>
    <w:uiPriority w:val="99"/>
    <w:qFormat/>
  </w:style>
  <w:style w:type="character" w:styleId="786" w:customStyle="1">
    <w:name w:val="Caption Char"/>
    <w:link w:val="750"/>
    <w:uiPriority w:val="99"/>
    <w:qFormat/>
  </w:style>
  <w:style w:type="table" w:styleId="78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Footnote Text Char"/>
    <w:link w:val="755"/>
    <w:uiPriority w:val="99"/>
    <w:qFormat/>
    <w:rPr>
      <w:sz w:val="18"/>
    </w:rPr>
  </w:style>
  <w:style w:type="character" w:styleId="913" w:customStyle="1">
    <w:name w:val="Endnote Text Char"/>
    <w:link w:val="749"/>
    <w:uiPriority w:val="99"/>
    <w:qFormat/>
    <w:rPr>
      <w:sz w:val="20"/>
    </w:rPr>
  </w:style>
  <w:style w:type="paragraph" w:styleId="914" w:customStyle="1">
    <w:name w:val="TOC Heading"/>
    <w:uiPriority w:val="39"/>
    <w:unhideWhenUsed/>
    <w:qFormat/>
    <w:rPr>
      <w:rFonts w:hint="default" w:ascii="Times New Roman" w:hAnsi="Times New Roman" w:eastAsia="宋体" w:cs="Times New Roman"/>
    </w:rPr>
  </w:style>
  <w:style w:type="paragraph" w:styleId="915" w:customStyle="1">
    <w:name w:val="标题 11"/>
    <w:basedOn w:val="729"/>
    <w:next w:val="729"/>
    <w:uiPriority w:val="9"/>
    <w:qFormat/>
    <w:pPr>
      <w:keepLines/>
      <w:keepNext/>
      <w:spacing w:before="340" w:after="330" w:line="578" w:lineRule="auto"/>
      <w:outlineLvl w:val="0"/>
    </w:pPr>
    <w:rPr>
      <w:b/>
      <w:bCs/>
      <w:sz w:val="44"/>
      <w:szCs w:val="44"/>
    </w:rPr>
  </w:style>
  <w:style w:type="paragraph" w:styleId="916" w:customStyle="1">
    <w:name w:val="标题 21"/>
    <w:basedOn w:val="729"/>
    <w:next w:val="72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7" w:customStyle="1">
    <w:name w:val="标题 311"/>
    <w:basedOn w:val="729"/>
    <w:next w:val="729"/>
    <w:uiPriority w:val="0"/>
    <w:qFormat/>
    <w:pPr>
      <w:keepLines/>
      <w:keepNext/>
      <w:spacing w:before="260" w:after="260" w:line="416" w:lineRule="auto"/>
      <w:outlineLvl w:val="2"/>
    </w:pPr>
    <w:rPr>
      <w:b/>
      <w:bCs/>
      <w:sz w:val="32"/>
      <w:szCs w:val="32"/>
    </w:rPr>
  </w:style>
  <w:style w:type="character" w:styleId="918" w:customStyle="1">
    <w:name w:val="默认段落字体1"/>
    <w:link w:val="729"/>
    <w:uiPriority w:val="1"/>
    <w:unhideWhenUsed/>
    <w:qFormat/>
  </w:style>
  <w:style w:type="table" w:styleId="919" w:customStyle="1">
    <w:name w:val="普通表格11"/>
    <w:uiPriority w:val="99"/>
    <w:unhideWhenUsed/>
    <w:qFormat/>
    <w:tblPr/>
  </w:style>
  <w:style w:type="paragraph" w:styleId="920" w:customStyle="1">
    <w:name w:val="目录 71"/>
    <w:basedOn w:val="729"/>
    <w:next w:val="729"/>
    <w:uiPriority w:val="39"/>
    <w:qFormat/>
    <w:pPr>
      <w:ind w:left="1260"/>
      <w:jc w:val="left"/>
    </w:pPr>
  </w:style>
  <w:style w:type="paragraph" w:styleId="921" w:customStyle="1">
    <w:name w:val="正文缩进11"/>
    <w:basedOn w:val="729"/>
    <w:uiPriority w:val="0"/>
    <w:unhideWhenUsed/>
    <w:qFormat/>
    <w:pPr>
      <w:ind w:firstLine="420"/>
    </w:pPr>
  </w:style>
  <w:style w:type="paragraph" w:styleId="922" w:customStyle="1">
    <w:name w:val="批注文字1"/>
    <w:basedOn w:val="729"/>
    <w:link w:val="923"/>
    <w:uiPriority w:val="0"/>
    <w:qFormat/>
    <w:pPr>
      <w:jc w:val="left"/>
    </w:pPr>
  </w:style>
  <w:style w:type="character" w:styleId="923" w:customStyle="1">
    <w:name w:val="批注文字 Char"/>
    <w:link w:val="922"/>
    <w:uiPriority w:val="0"/>
    <w:qFormat/>
    <w:rPr>
      <w:rFonts w:ascii="Calibri" w:hAnsi="Calibri"/>
      <w:sz w:val="21"/>
      <w:szCs w:val="22"/>
    </w:rPr>
  </w:style>
  <w:style w:type="paragraph" w:styleId="924" w:customStyle="1">
    <w:name w:val="正文文本 31"/>
    <w:basedOn w:val="729"/>
    <w:next w:val="729"/>
    <w:uiPriority w:val="0"/>
    <w:qFormat/>
    <w:pPr>
      <w:spacing w:after="120" w:line="360" w:lineRule="auto"/>
    </w:pPr>
    <w:rPr>
      <w:sz w:val="16"/>
    </w:rPr>
  </w:style>
  <w:style w:type="paragraph" w:styleId="925" w:customStyle="1">
    <w:name w:val="正文文本11"/>
    <w:basedOn w:val="729"/>
    <w:uiPriority w:val="0"/>
    <w:qFormat/>
    <w:rPr>
      <w:rFonts w:ascii="楷体_GB2312" w:hAnsi="Arial" w:eastAsia="楷体_GB2312"/>
      <w:sz w:val="28"/>
      <w:szCs w:val="28"/>
    </w:rPr>
  </w:style>
  <w:style w:type="paragraph" w:styleId="926" w:customStyle="1">
    <w:name w:val="正文文本缩进11"/>
    <w:basedOn w:val="729"/>
    <w:next w:val="729"/>
    <w:uiPriority w:val="99"/>
    <w:unhideWhenUsed/>
    <w:qFormat/>
    <w:pPr>
      <w:ind w:firstLine="540"/>
      <w:spacing w:line="400" w:lineRule="exact"/>
    </w:pPr>
    <w:rPr>
      <w:sz w:val="24"/>
    </w:rPr>
  </w:style>
  <w:style w:type="paragraph" w:styleId="927" w:customStyle="1">
    <w:name w:val="文本块1"/>
    <w:basedOn w:val="729"/>
    <w:uiPriority w:val="0"/>
    <w:qFormat/>
    <w:pPr>
      <w:ind w:left="700" w:right="700"/>
      <w:spacing w:after="120"/>
    </w:pPr>
  </w:style>
  <w:style w:type="paragraph" w:styleId="928" w:customStyle="1">
    <w:name w:val="索引 41"/>
    <w:basedOn w:val="729"/>
    <w:next w:val="729"/>
    <w:uiPriority w:val="99"/>
    <w:unhideWhenUsed/>
    <w:qFormat/>
    <w:pPr>
      <w:ind w:left="600"/>
    </w:pPr>
    <w:rPr>
      <w:rFonts w:ascii="Verdana" w:hAnsi="Verdana"/>
      <w:szCs w:val="20"/>
    </w:rPr>
  </w:style>
  <w:style w:type="paragraph" w:styleId="929" w:customStyle="1">
    <w:name w:val="目录 31"/>
    <w:basedOn w:val="729"/>
    <w:next w:val="729"/>
    <w:uiPriority w:val="0"/>
    <w:qFormat/>
    <w:pPr>
      <w:ind w:left="840"/>
    </w:pPr>
  </w:style>
  <w:style w:type="paragraph" w:styleId="930" w:customStyle="1">
    <w:name w:val="纯文本11"/>
    <w:basedOn w:val="729"/>
    <w:uiPriority w:val="99"/>
    <w:qFormat/>
    <w:rPr>
      <w:rFonts w:ascii="宋体" w:hAnsi="Courier New"/>
      <w:sz w:val="20"/>
      <w:szCs w:val="21"/>
    </w:rPr>
  </w:style>
  <w:style w:type="paragraph" w:styleId="931" w:customStyle="1">
    <w:name w:val="批注框文本1"/>
    <w:basedOn w:val="729"/>
    <w:link w:val="932"/>
    <w:uiPriority w:val="0"/>
    <w:qFormat/>
    <w:rPr>
      <w:rFonts w:ascii="Times New Roman" w:hAnsi="Times New Roman"/>
      <w:sz w:val="18"/>
      <w:szCs w:val="18"/>
    </w:rPr>
  </w:style>
  <w:style w:type="character" w:styleId="932" w:customStyle="1">
    <w:name w:val="批注框文本 Char"/>
    <w:link w:val="931"/>
    <w:uiPriority w:val="0"/>
    <w:qFormat/>
    <w:rPr>
      <w:sz w:val="18"/>
      <w:szCs w:val="18"/>
    </w:rPr>
  </w:style>
  <w:style w:type="paragraph" w:styleId="933" w:customStyle="1">
    <w:name w:val="寄信人地址1"/>
    <w:basedOn w:val="729"/>
    <w:next w:val="920"/>
    <w:uiPriority w:val="99"/>
    <w:unhideWhenUsed/>
    <w:qFormat/>
    <w:rPr>
      <w:rFonts w:ascii="Arial" w:hAnsi="Arial"/>
    </w:rPr>
  </w:style>
  <w:style w:type="paragraph" w:styleId="934" w:customStyle="1">
    <w:name w:val="页眉1"/>
    <w:basedOn w:val="72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35" w:customStyle="1">
    <w:name w:val="目录 11"/>
    <w:basedOn w:val="729"/>
    <w:next w:val="729"/>
    <w:uiPriority w:val="39"/>
    <w:unhideWhenUsed/>
    <w:qFormat/>
  </w:style>
  <w:style w:type="paragraph" w:styleId="936" w:customStyle="1">
    <w:name w:val="目录 21"/>
    <w:basedOn w:val="729"/>
    <w:next w:val="729"/>
    <w:uiPriority w:val="0"/>
    <w:qFormat/>
    <w:pPr>
      <w:ind w:left="420"/>
    </w:pPr>
  </w:style>
  <w:style w:type="paragraph" w:styleId="937" w:customStyle="1">
    <w:name w:val="正文文本 211"/>
    <w:basedOn w:val="729"/>
    <w:uiPriority w:val="0"/>
    <w:qFormat/>
    <w:pPr>
      <w:spacing w:after="120" w:line="480" w:lineRule="auto"/>
    </w:pPr>
  </w:style>
  <w:style w:type="paragraph" w:styleId="938" w:customStyle="1">
    <w:name w:val="信息标题1"/>
    <w:basedOn w:val="729"/>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39" w:customStyle="1">
    <w:name w:val="普通(网站)1"/>
    <w:basedOn w:val="729"/>
    <w:uiPriority w:val="0"/>
    <w:qFormat/>
    <w:rPr>
      <w:rFonts w:ascii="Times New Roman" w:hAnsi="Times New Roman"/>
      <w:sz w:val="24"/>
    </w:rPr>
  </w:style>
  <w:style w:type="paragraph" w:styleId="940" w:customStyle="1">
    <w:name w:val="标题1"/>
    <w:basedOn w:val="729"/>
    <w:next w:val="729"/>
    <w:uiPriority w:val="0"/>
    <w:qFormat/>
    <w:pPr>
      <w:jc w:val="center"/>
      <w:spacing w:before="240" w:after="60" w:line="360" w:lineRule="auto"/>
      <w:outlineLvl w:val="0"/>
    </w:pPr>
    <w:rPr>
      <w:rFonts w:ascii="宋体" w:hAnsi="宋体"/>
      <w:b/>
      <w:bCs/>
      <w:sz w:val="32"/>
      <w:szCs w:val="32"/>
    </w:rPr>
  </w:style>
  <w:style w:type="paragraph" w:styleId="941" w:customStyle="1">
    <w:name w:val="批注主题1"/>
    <w:basedOn w:val="922"/>
    <w:next w:val="922"/>
    <w:link w:val="942"/>
    <w:uiPriority w:val="0"/>
    <w:qFormat/>
    <w:rPr>
      <w:b/>
      <w:bCs/>
    </w:rPr>
  </w:style>
  <w:style w:type="character" w:styleId="942" w:customStyle="1">
    <w:name w:val="批注主题 Char"/>
    <w:link w:val="941"/>
    <w:uiPriority w:val="0"/>
    <w:qFormat/>
    <w:rPr>
      <w:rFonts w:ascii="Calibri" w:hAnsi="Calibri"/>
      <w:b/>
      <w:bCs/>
      <w:sz w:val="21"/>
      <w:szCs w:val="22"/>
    </w:rPr>
  </w:style>
  <w:style w:type="paragraph" w:styleId="943" w:customStyle="1">
    <w:name w:val="正文首行缩进 211"/>
    <w:basedOn w:val="926"/>
    <w:next w:val="729"/>
    <w:uiPriority w:val="0"/>
    <w:qFormat/>
    <w:pPr>
      <w:ind w:firstLine="420"/>
      <w:spacing w:before="100" w:beforeAutospacing="1"/>
    </w:pPr>
    <w:rPr>
      <w:rFonts w:ascii="Times New Roman" w:hAnsi="Times New Roman" w:eastAsia="宋体"/>
      <w:sz w:val="20"/>
      <w:szCs w:val="21"/>
    </w:rPr>
  </w:style>
  <w:style w:type="table" w:styleId="944" w:customStyle="1">
    <w:name w:val="网格型11"/>
    <w:basedOn w:val="919"/>
    <w:uiPriority w:val="59"/>
    <w:qFormat/>
    <w:tblPr/>
  </w:style>
  <w:style w:type="character" w:styleId="945" w:customStyle="1">
    <w:name w:val="要点1"/>
    <w:link w:val="729"/>
    <w:uiPriority w:val="0"/>
    <w:qFormat/>
    <w:rPr>
      <w:b/>
    </w:rPr>
  </w:style>
  <w:style w:type="character" w:styleId="946" w:customStyle="1">
    <w:name w:val="超链接1"/>
    <w:link w:val="729"/>
    <w:uiPriority w:val="0"/>
    <w:qFormat/>
    <w:rPr>
      <w:color w:val="0000ff"/>
      <w:u w:val="single"/>
    </w:rPr>
  </w:style>
  <w:style w:type="character" w:styleId="947" w:customStyle="1">
    <w:name w:val="批注引用1"/>
    <w:link w:val="729"/>
    <w:uiPriority w:val="0"/>
    <w:qFormat/>
    <w:rPr>
      <w:sz w:val="21"/>
      <w:szCs w:val="21"/>
    </w:rPr>
  </w:style>
  <w:style w:type="paragraph" w:styleId="948" w:customStyle="1">
    <w:name w:val="首行缩进"/>
    <w:basedOn w:val="729"/>
    <w:uiPriority w:val="0"/>
    <w:qFormat/>
    <w:pPr>
      <w:ind w:firstLine="420"/>
      <w:spacing w:line="360" w:lineRule="auto"/>
    </w:pPr>
  </w:style>
  <w:style w:type="paragraph" w:styleId="949" w:customStyle="1">
    <w:name w:val="Default"/>
    <w:next w:val="729"/>
    <w:uiPriority w:val="0"/>
    <w:qFormat/>
    <w:pPr>
      <w:widowControl w:val="off"/>
    </w:pPr>
    <w:rPr>
      <w:rFonts w:hint="default" w:ascii="黑体" w:hAnsi="Times New Roman" w:eastAsia="黑体" w:cs="Times New Roman"/>
      <w:lang w:val="en-US" w:eastAsia="zh-CN" w:bidi="ar-SA"/>
    </w:rPr>
  </w:style>
  <w:style w:type="paragraph" w:styleId="950" w:customStyle="1">
    <w:name w:val="正文首行缩进 21"/>
    <w:basedOn w:val="951"/>
    <w:next w:val="729"/>
    <w:uiPriority w:val="0"/>
    <w:qFormat/>
    <w:pPr>
      <w:ind w:firstLine="420"/>
    </w:pPr>
  </w:style>
  <w:style w:type="paragraph" w:styleId="951" w:customStyle="1">
    <w:name w:val="正文文本缩进1"/>
    <w:basedOn w:val="952"/>
    <w:next w:val="729"/>
    <w:uiPriority w:val="99"/>
    <w:unhideWhenUsed/>
    <w:qFormat/>
    <w:pPr>
      <w:ind w:firstLine="540"/>
      <w:spacing w:line="400" w:lineRule="exact"/>
    </w:pPr>
    <w:rPr>
      <w:sz w:val="24"/>
    </w:rPr>
  </w:style>
  <w:style w:type="paragraph" w:styleId="952" w:customStyle="1">
    <w:name w:val="正文11"/>
    <w:next w:val="95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3" w:customStyle="1">
    <w:name w:val="正文（缩进）"/>
    <w:basedOn w:val="729"/>
    <w:next w:val="954"/>
    <w:uiPriority w:val="0"/>
    <w:qFormat/>
    <w:pPr>
      <w:ind w:firstLine="480"/>
      <w:spacing w:before="156" w:after="156"/>
    </w:pPr>
  </w:style>
  <w:style w:type="paragraph" w:styleId="954" w:customStyle="1">
    <w:name w:val="Char Char Char Char Char Char Char Char Char"/>
    <w:basedOn w:val="729"/>
    <w:next w:val="955"/>
    <w:uiPriority w:val="99"/>
    <w:qFormat/>
    <w:pPr>
      <w:ind w:left="360" w:firstLine="5784"/>
    </w:pPr>
  </w:style>
  <w:style w:type="paragraph" w:styleId="955" w:customStyle="1">
    <w:name w:val="正文文本 21"/>
    <w:basedOn w:val="729"/>
    <w:next w:val="956"/>
    <w:uiPriority w:val="99"/>
    <w:qFormat/>
    <w:pPr>
      <w:ind w:left="720" w:firstLine="5680"/>
      <w:widowControl/>
    </w:pPr>
  </w:style>
  <w:style w:type="paragraph" w:styleId="956" w:customStyle="1">
    <w:name w:val="默认段落字体 Para Char Char Char Char Char Char Char"/>
    <w:basedOn w:val="729"/>
    <w:next w:val="957"/>
    <w:uiPriority w:val="99"/>
    <w:qFormat/>
    <w:pPr>
      <w:ind w:firstLine="200"/>
    </w:pPr>
    <w:rPr>
      <w:rFonts w:cs="Arial"/>
    </w:rPr>
  </w:style>
  <w:style w:type="paragraph" w:styleId="957" w:customStyle="1">
    <w:name w:val="样式 首行缩进:  2 字符"/>
    <w:basedOn w:val="729"/>
    <w:next w:val="958"/>
    <w:uiPriority w:val="99"/>
    <w:qFormat/>
    <w:pPr>
      <w:ind w:left="480" w:firstLine="5856"/>
      <w:spacing w:line="360" w:lineRule="auto"/>
    </w:pPr>
  </w:style>
  <w:style w:type="paragraph" w:styleId="958" w:customStyle="1">
    <w:name w:val="样式 段后: 0.25 行"/>
    <w:basedOn w:val="729"/>
    <w:next w:val="959"/>
    <w:uiPriority w:val="99"/>
    <w:qFormat/>
    <w:pPr>
      <w:ind w:left="420" w:firstLine="5796"/>
      <w:spacing w:line="300" w:lineRule="auto"/>
      <w:widowControl/>
    </w:pPr>
  </w:style>
  <w:style w:type="paragraph" w:styleId="959" w:customStyle="1">
    <w:name w:val="正文 New New New New New New New New New New New New New New"/>
    <w:next w:val="960"/>
    <w:uiPriority w:val="99"/>
    <w:qFormat/>
    <w:pPr>
      <w:ind w:firstLine="2048"/>
      <w:jc w:val="both"/>
      <w:widowControl w:val="off"/>
    </w:pPr>
    <w:rPr>
      <w:rFonts w:hint="default" w:ascii="Calibri" w:hAnsi="Calibri" w:eastAsia="宋体" w:cs="Times New Roman"/>
      <w:lang w:val="en-US" w:eastAsia="zh-CN" w:bidi="ar-SA"/>
    </w:rPr>
  </w:style>
  <w:style w:type="paragraph" w:styleId="960" w:customStyle="1">
    <w:name w:val="目录 91"/>
    <w:basedOn w:val="729"/>
    <w:next w:val="729"/>
    <w:uiPriority w:val="0"/>
    <w:semiHidden/>
    <w:qFormat/>
    <w:pPr>
      <w:ind w:left="3360"/>
    </w:pPr>
  </w:style>
  <w:style w:type="paragraph" w:styleId="961" w:customStyle="1">
    <w:name w:val="段"/>
    <w:basedOn w:val="962"/>
    <w:next w:val="729"/>
    <w:uiPriority w:val="0"/>
    <w:qFormat/>
    <w:pPr>
      <w:ind w:firstLine="200"/>
      <w:widowControl/>
    </w:pPr>
    <w:rPr>
      <w:sz w:val="20"/>
    </w:rPr>
  </w:style>
  <w:style w:type="paragraph" w:styleId="962" w:customStyle="1">
    <w:name w:val="正文1"/>
    <w:basedOn w:val="729"/>
    <w:next w:val="963"/>
    <w:uiPriority w:val="0"/>
    <w:qFormat/>
    <w:pPr>
      <w:jc w:val="left"/>
      <w:spacing w:line="360" w:lineRule="atLeast"/>
    </w:pPr>
    <w:rPr>
      <w:rFonts w:ascii="宋体" w:hAnsi="Calibri" w:eastAsia="宋体" w:cs="Times New Roman"/>
      <w:sz w:val="24"/>
      <w:szCs w:val="20"/>
    </w:rPr>
  </w:style>
  <w:style w:type="paragraph" w:styleId="963" w:customStyle="1">
    <w:name w:val="正文文本1"/>
    <w:basedOn w:val="962"/>
    <w:next w:val="964"/>
    <w:uiPriority w:val="0"/>
    <w:qFormat/>
    <w:pPr>
      <w:spacing w:after="120"/>
    </w:pPr>
    <w:rPr>
      <w:lang w:eastAsia="en-US"/>
    </w:rPr>
  </w:style>
  <w:style w:type="paragraph" w:styleId="964" w:customStyle="1">
    <w:name w:val="一级条标题"/>
    <w:basedOn w:val="965"/>
    <w:next w:val="96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5" w:customStyle="1">
    <w:name w:val="章标题"/>
    <w:next w:val="72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66" w:customStyle="1">
    <w:name w:val="普通正文"/>
    <w:basedOn w:val="729"/>
    <w:uiPriority w:val="0"/>
    <w:qFormat/>
    <w:pPr>
      <w:ind w:firstLine="480"/>
      <w:jc w:val="left"/>
      <w:spacing w:before="120" w:after="120" w:line="360" w:lineRule="auto"/>
    </w:pPr>
    <w:rPr>
      <w:rFonts w:ascii="Arial" w:hAnsi="Arial"/>
      <w:sz w:val="24"/>
      <w:szCs w:val="24"/>
    </w:rPr>
  </w:style>
  <w:style w:type="paragraph" w:styleId="967" w:customStyle="1">
    <w:name w:val="正文空2格  1."/>
    <w:basedOn w:val="729"/>
    <w:uiPriority w:val="0"/>
    <w:qFormat/>
    <w:pPr>
      <w:ind w:firstLine="480"/>
    </w:pPr>
    <w:rPr>
      <w:rFonts w:cs="宋体"/>
      <w:sz w:val="28"/>
      <w:szCs w:val="20"/>
    </w:rPr>
  </w:style>
  <w:style w:type="paragraph" w:styleId="968" w:customStyle="1">
    <w:name w:val="纯文本1"/>
    <w:basedOn w:val="952"/>
    <w:uiPriority w:val="0"/>
    <w:qFormat/>
    <w:rPr>
      <w:rFonts w:ascii="宋体" w:hAnsi="Courier New"/>
      <w:sz w:val="20"/>
      <w:szCs w:val="20"/>
    </w:rPr>
  </w:style>
  <w:style w:type="paragraph" w:styleId="969" w:customStyle="1">
    <w:name w:val="列出段落"/>
    <w:basedOn w:val="729"/>
    <w:uiPriority w:val="99"/>
    <w:qFormat/>
    <w:pPr>
      <w:ind w:firstLine="420"/>
    </w:pPr>
    <w:rPr>
      <w:rFonts w:ascii="Times New Roman" w:hAnsi="Times New Roman" w:eastAsia="宋体" w:cs="Times New Roman"/>
      <w:szCs w:val="21"/>
    </w:rPr>
  </w:style>
  <w:style w:type="paragraph" w:styleId="970" w:customStyle="1">
    <w:name w:val="修订"/>
    <w:uiPriority w:val="99"/>
    <w:unhideWhenUsed/>
    <w:qFormat/>
    <w:rPr>
      <w:rFonts w:hint="default" w:ascii="Calibri" w:hAnsi="Calibri" w:eastAsia="宋体" w:cs="Times New Roman"/>
      <w:sz w:val="21"/>
      <w:szCs w:val="22"/>
      <w:lang w:val="en-US" w:eastAsia="zh-CN" w:bidi="ar-SA"/>
    </w:rPr>
  </w:style>
  <w:style w:type="paragraph" w:styleId="971" w:customStyle="1">
    <w:name w:val="Char"/>
    <w:basedOn w:val="729"/>
    <w:uiPriority w:val="0"/>
    <w:qFormat/>
    <w:pPr>
      <w:ind w:firstLine="200"/>
      <w:tabs>
        <w:tab w:val="left" w:pos="360" w:leader="none"/>
      </w:tabs>
    </w:pPr>
    <w:rPr>
      <w:rFonts w:ascii="Times New Roman" w:hAnsi="Times New Roman"/>
      <w:sz w:val="28"/>
      <w:szCs w:val="30"/>
    </w:rPr>
  </w:style>
  <w:style w:type="paragraph" w:styleId="972" w:customStyle="1">
    <w:name w:val="正文缩进1"/>
    <w:basedOn w:val="729"/>
    <w:uiPriority w:val="0"/>
    <w:unhideWhenUsed/>
    <w:qFormat/>
    <w:pPr>
      <w:ind w:firstLine="420"/>
    </w:pPr>
    <w:rPr>
      <w:rFonts w:ascii="Calibri" w:hAnsi="Calibri" w:eastAsia="宋体" w:cs="Times New Roman"/>
    </w:rPr>
  </w:style>
  <w:style w:type="table" w:styleId="973" w:customStyle="1">
    <w:name w:val="网格型1"/>
    <w:basedOn w:val="974"/>
    <w:uiPriority w:val="59"/>
    <w:qFormat/>
    <w:tblPr/>
  </w:style>
  <w:style w:type="table" w:styleId="974" w:customStyle="1">
    <w:name w:val="普通表格1"/>
    <w:uiPriority w:val="99"/>
    <w:unhideWhenUsed/>
    <w:qFormat/>
    <w:rPr>
      <w:lang w:val="en-US" w:eastAsia="zh-CN" w:bidi="ar-SA"/>
    </w:rPr>
    <w:tblPr/>
  </w:style>
  <w:style w:type="paragraph" w:styleId="975" w:customStyle="1">
    <w:name w:val="标题 31"/>
    <w:basedOn w:val="729"/>
    <w:next w:val="729"/>
    <w:uiPriority w:val="0"/>
    <w:qFormat/>
    <w:pPr>
      <w:numPr>
        <w:ilvl w:val="2"/>
        <w:numId w:val="1"/>
      </w:numPr>
      <w:jc w:val="left"/>
      <w:keepLines/>
      <w:keepNext/>
      <w:outlineLvl w:val="2"/>
    </w:pPr>
    <w:rPr>
      <w:rFonts w:ascii="Arial" w:hAnsi="Arial" w:eastAsia="黑体"/>
      <w:b/>
      <w:bCs/>
      <w:sz w:val="30"/>
      <w:szCs w:val="32"/>
      <w:lang w:eastAsia="en-US"/>
    </w:rPr>
  </w:style>
  <w:style w:type="numbering" w:styleId="9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孔维明</cp:lastModifiedBy>
  <cp:revision>7</cp:revision>
  <dcterms:created xsi:type="dcterms:W3CDTF">2025-06-05T03:53:00Z</dcterms:created>
  <dcterms:modified xsi:type="dcterms:W3CDTF">2026-09-11T02:14:33Z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F1928C83C03F46D88E71EE892EED3CB7_13</vt:lpwstr>
  </property>
  <property fmtid="{D5CDD505-2E9C-101B-9397-08002B2CF9AE}" pid="4" name="KSOTemplateDocerSaveRecord">
    <vt:lpwstr>eyJoZGlkIjoiNzNkNDgxNjI5NGI3Nzk1NDQ2YjNhNmJkZGJmOTEyMWQiLCJ1c2VySWQiOiIyOTAyODYyODgifQ==</vt:lpwstr>
  </property>
</Properties>
</file>