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75757C">
      <w:pPr>
        <w:spacing w:before="120" w:after="120" w:line="360" w:lineRule="auto"/>
        <w:jc w:val="left"/>
        <w:rPr>
          <w:rFonts w:ascii="Arial" w:hAnsi="Arial" w:eastAsia="黑体"/>
          <w:b/>
          <w:bCs/>
          <w:color w:val="000000" w:themeColor="text1"/>
          <w:sz w:val="84"/>
          <w:szCs w:val="24"/>
          <w14:textFill>
            <w14:solidFill>
              <w14:schemeClr w14:val="tx1"/>
            </w14:solidFill>
          </w14:textFill>
        </w:rPr>
      </w:pPr>
    </w:p>
    <w:p w14:paraId="4F28F8E0">
      <w:pPr>
        <w:jc w:val="center"/>
        <w:rPr>
          <w:rFonts w:ascii="Arial" w:hAnsi="Arial" w:eastAsia="黑体"/>
          <w:b/>
          <w:bCs/>
          <w:color w:val="000000" w:themeColor="text1"/>
          <w:sz w:val="84"/>
          <w:szCs w:val="24"/>
          <w14:textFill>
            <w14:solidFill>
              <w14:schemeClr w14:val="tx1"/>
            </w14:solidFill>
          </w14:textFill>
        </w:rPr>
      </w:pPr>
      <w:r>
        <w:rPr>
          <w:rFonts w:hint="eastAsia" w:ascii="黑体" w:hAnsi="黑体" w:eastAsia="黑体"/>
          <w:b/>
          <w:color w:val="000000" w:themeColor="text1"/>
          <w:sz w:val="84"/>
          <w:szCs w:val="84"/>
          <w14:textFill>
            <w14:solidFill>
              <w14:schemeClr w14:val="tx1"/>
            </w14:solidFill>
          </w14:textFill>
        </w:rPr>
        <w:t>招　标　文　件</w:t>
      </w:r>
    </w:p>
    <w:p w14:paraId="71E0999D">
      <w:pPr>
        <w:spacing w:before="120" w:after="120" w:line="360" w:lineRule="auto"/>
        <w:ind w:firstLine="2249"/>
        <w:jc w:val="left"/>
        <w:rPr>
          <w:rFonts w:ascii="Arial" w:hAnsi="Arial"/>
          <w:b/>
          <w:bCs/>
          <w:color w:val="000000" w:themeColor="text1"/>
          <w:sz w:val="32"/>
          <w:szCs w:val="24"/>
          <w14:textFill>
            <w14:solidFill>
              <w14:schemeClr w14:val="tx1"/>
            </w14:solidFill>
          </w14:textFill>
        </w:rPr>
      </w:pPr>
    </w:p>
    <w:p w14:paraId="50721FFC">
      <w:pPr>
        <w:spacing w:before="120" w:after="120" w:line="360" w:lineRule="auto"/>
        <w:ind w:firstLine="2249"/>
        <w:jc w:val="left"/>
        <w:rPr>
          <w:rFonts w:ascii="Arial" w:hAnsi="Arial"/>
          <w:b/>
          <w:bCs/>
          <w:color w:val="000000" w:themeColor="text1"/>
          <w:sz w:val="32"/>
          <w:szCs w:val="24"/>
          <w14:textFill>
            <w14:solidFill>
              <w14:schemeClr w14:val="tx1"/>
            </w14:solidFill>
          </w14:textFill>
        </w:rPr>
      </w:pPr>
    </w:p>
    <w:p w14:paraId="4541DB71">
      <w:pPr>
        <w:spacing w:before="120" w:after="120" w:line="360" w:lineRule="auto"/>
        <w:ind w:firstLine="2249"/>
        <w:jc w:val="left"/>
        <w:rPr>
          <w:rFonts w:ascii="Arial" w:hAnsi="Arial"/>
          <w:b/>
          <w:bCs/>
          <w:color w:val="000000" w:themeColor="text1"/>
          <w:sz w:val="32"/>
          <w:szCs w:val="24"/>
          <w14:textFill>
            <w14:solidFill>
              <w14:schemeClr w14:val="tx1"/>
            </w14:solidFill>
          </w14:textFill>
        </w:rPr>
      </w:pPr>
    </w:p>
    <w:p w14:paraId="0A8C502D">
      <w:pPr>
        <w:spacing w:before="120" w:after="120" w:line="360" w:lineRule="auto"/>
        <w:ind w:firstLine="2249"/>
        <w:jc w:val="left"/>
        <w:rPr>
          <w:rFonts w:ascii="Arial" w:hAnsi="Arial"/>
          <w:b/>
          <w:bCs/>
          <w:color w:val="000000" w:themeColor="text1"/>
          <w:sz w:val="32"/>
          <w:szCs w:val="24"/>
          <w14:textFill>
            <w14:solidFill>
              <w14:schemeClr w14:val="tx1"/>
            </w14:solidFill>
          </w14:textFill>
        </w:rPr>
      </w:pPr>
    </w:p>
    <w:p w14:paraId="43EC84D2">
      <w:pPr>
        <w:ind w:firstLine="321"/>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项目名称：灌云县中小学网上阅卷系统、学业数据分析</w:t>
      </w:r>
    </w:p>
    <w:p w14:paraId="63B04826">
      <w:pPr>
        <w:ind w:firstLine="1928"/>
        <w:rPr>
          <w:color w:val="000000" w:themeColor="text1"/>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系统项目</w:t>
      </w:r>
    </w:p>
    <w:p w14:paraId="7CCCCE2A">
      <w:pPr>
        <w:spacing w:before="120" w:after="120" w:line="360" w:lineRule="auto"/>
        <w:ind w:firstLine="321"/>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项目编号：JSZC-320723-JZCG-G2026-0037</w:t>
      </w:r>
    </w:p>
    <w:p w14:paraId="580E24D5">
      <w:pPr>
        <w:spacing w:before="120" w:after="120" w:line="360" w:lineRule="auto"/>
        <w:ind w:firstLine="321"/>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采购人：灌云县教育局</w:t>
      </w:r>
    </w:p>
    <w:p w14:paraId="31A7D7B8">
      <w:pPr>
        <w:ind w:firstLine="321"/>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采购代理机构：灌云县政府采购中心</w:t>
      </w:r>
    </w:p>
    <w:p w14:paraId="0F0B8D9B">
      <w:pPr>
        <w:ind w:left="3012" w:hanging="3012"/>
        <w:rPr>
          <w:b/>
          <w:color w:val="000000" w:themeColor="text1"/>
          <w:sz w:val="30"/>
          <w:szCs w:val="30"/>
          <w14:textFill>
            <w14:solidFill>
              <w14:schemeClr w14:val="tx1"/>
            </w14:solidFill>
          </w14:textFill>
        </w:rPr>
      </w:pPr>
    </w:p>
    <w:p w14:paraId="49442C07">
      <w:pPr>
        <w:spacing w:line="360" w:lineRule="auto"/>
        <w:jc w:val="left"/>
        <w:rPr>
          <w:rFonts w:hint="eastAsia" w:ascii="宋体" w:hAnsi="宋体"/>
          <w:color w:val="000000" w:themeColor="text1"/>
          <w:sz w:val="24"/>
          <w:szCs w:val="24"/>
          <w14:textFill>
            <w14:solidFill>
              <w14:schemeClr w14:val="tx1"/>
            </w14:solidFill>
          </w14:textFill>
        </w:rPr>
      </w:pPr>
    </w:p>
    <w:p w14:paraId="5759F5A3">
      <w:pPr>
        <w:spacing w:before="120" w:after="120" w:line="360" w:lineRule="auto"/>
        <w:ind w:firstLine="321"/>
        <w:jc w:val="center"/>
        <w:rPr>
          <w:rFonts w:ascii="Arial" w:hAnsi="Arial"/>
          <w:b/>
          <w:bCs/>
          <w:color w:val="000000" w:themeColor="text1"/>
          <w:sz w:val="32"/>
          <w:szCs w:val="24"/>
          <w14:textFill>
            <w14:solidFill>
              <w14:schemeClr w14:val="tx1"/>
            </w14:solidFill>
          </w14:textFill>
        </w:rPr>
      </w:pPr>
    </w:p>
    <w:p w14:paraId="31315A0A">
      <w:pPr>
        <w:spacing w:before="120" w:after="120" w:line="360" w:lineRule="auto"/>
        <w:ind w:firstLine="321"/>
        <w:jc w:val="center"/>
        <w:rPr>
          <w:rFonts w:ascii="Arial" w:hAnsi="Arial"/>
          <w:b/>
          <w:bCs/>
          <w:color w:val="000000" w:themeColor="text1"/>
          <w:sz w:val="32"/>
          <w:szCs w:val="24"/>
          <w14:textFill>
            <w14:solidFill>
              <w14:schemeClr w14:val="tx1"/>
            </w14:solidFill>
          </w14:textFill>
        </w:rPr>
      </w:pPr>
    </w:p>
    <w:p w14:paraId="4D57F3B8">
      <w:pPr>
        <w:spacing w:before="120" w:after="120" w:line="360" w:lineRule="auto"/>
        <w:jc w:val="center"/>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2026年10月</w:t>
      </w:r>
    </w:p>
    <w:p w14:paraId="422DBBA0">
      <w:pPr>
        <w:spacing w:before="120" w:after="120" w:line="360" w:lineRule="auto"/>
        <w:jc w:val="left"/>
        <w:rPr>
          <w:rFonts w:ascii="Arial" w:hAnsi="Arial"/>
          <w:color w:val="000000" w:themeColor="text1"/>
          <w:sz w:val="24"/>
          <w:szCs w:val="24"/>
          <w:u w:val="single"/>
          <w14:textFill>
            <w14:solidFill>
              <w14:schemeClr w14:val="tx1"/>
            </w14:solidFill>
          </w14:textFill>
        </w:rPr>
      </w:pPr>
    </w:p>
    <w:p w14:paraId="6F83C489">
      <w:pPr>
        <w:spacing w:line="480" w:lineRule="auto"/>
        <w:outlineLvl w:val="0"/>
        <w:rPr>
          <w:color w:val="000000" w:themeColor="text1"/>
          <w:szCs w:val="21"/>
          <w14:textFill>
            <w14:solidFill>
              <w14:schemeClr w14:val="tx1"/>
            </w14:solidFill>
          </w14:textFill>
        </w:rPr>
      </w:pPr>
      <w:bookmarkStart w:id="0" w:name="_Toc120614210"/>
      <w:bookmarkStart w:id="1" w:name="_Toc523127445"/>
      <w:bookmarkStart w:id="2" w:name="_Toc479757206"/>
      <w:bookmarkStart w:id="3" w:name="_Toc20823272"/>
      <w:bookmarkStart w:id="4" w:name="_Toc513029200"/>
      <w:bookmarkStart w:id="5" w:name="_Toc16938516"/>
    </w:p>
    <w:p w14:paraId="2D17ACB0">
      <w:pPr>
        <w:spacing w:line="480" w:lineRule="auto"/>
        <w:jc w:val="center"/>
        <w:outlineLvl w:val="0"/>
        <w:rPr>
          <w:rFonts w:ascii="黑体" w:hAnsi="Arial" w:eastAsia="黑体"/>
          <w:b/>
          <w:color w:val="000000" w:themeColor="text1"/>
          <w:sz w:val="44"/>
          <w:szCs w:val="21"/>
          <w14:textFill>
            <w14:solidFill>
              <w14:schemeClr w14:val="tx1"/>
            </w14:solidFill>
          </w14:textFill>
        </w:rPr>
      </w:pPr>
    </w:p>
    <w:p w14:paraId="0048AB97">
      <w:pPr>
        <w:spacing w:line="480" w:lineRule="auto"/>
        <w:jc w:val="center"/>
        <w:outlineLvl w:val="0"/>
        <w:rPr>
          <w:rFonts w:ascii="黑体" w:hAnsi="Arial" w:eastAsia="黑体"/>
          <w:b/>
          <w:color w:val="000000" w:themeColor="text1"/>
          <w:sz w:val="44"/>
          <w:szCs w:val="21"/>
          <w14:textFill>
            <w14:solidFill>
              <w14:schemeClr w14:val="tx1"/>
            </w14:solidFill>
          </w14:textFill>
        </w:rPr>
      </w:pPr>
      <w:r>
        <w:rPr>
          <w:rFonts w:hint="eastAsia" w:ascii="黑体" w:hAnsi="Arial" w:eastAsia="黑体"/>
          <w:b/>
          <w:color w:val="000000" w:themeColor="text1"/>
          <w:sz w:val="44"/>
          <w:szCs w:val="21"/>
          <w14:textFill>
            <w14:solidFill>
              <w14:schemeClr w14:val="tx1"/>
            </w14:solidFill>
          </w14:textFill>
        </w:rPr>
        <w:t>总目录</w:t>
      </w:r>
    </w:p>
    <w:p w14:paraId="7EEB768D">
      <w:pPr>
        <w:spacing w:line="480" w:lineRule="auto"/>
        <w:rPr>
          <w:rFonts w:ascii="仿宋_GB2312" w:hAnsi="Arial" w:eastAsia="仿宋_GB2312"/>
          <w:b/>
          <w:color w:val="000000" w:themeColor="text1"/>
          <w:sz w:val="28"/>
          <w:szCs w:val="21"/>
          <w14:textFill>
            <w14:solidFill>
              <w14:schemeClr w14:val="tx1"/>
            </w14:solidFill>
          </w14:textFill>
        </w:rPr>
      </w:pPr>
    </w:p>
    <w:p w14:paraId="2A2FEFFE">
      <w:pPr>
        <w:numPr>
          <w:ilvl w:val="0"/>
          <w:numId w:val="4"/>
        </w:numPr>
        <w:spacing w:line="480" w:lineRule="auto"/>
        <w:outlineLvl w:val="0"/>
        <w:rPr>
          <w:rFonts w:ascii="黑体" w:hAnsi="Showcard Gothic" w:eastAsia="黑体"/>
          <w:color w:val="000000" w:themeColor="text1"/>
          <w:sz w:val="32"/>
          <w:szCs w:val="21"/>
          <w14:textFill>
            <w14:solidFill>
              <w14:schemeClr w14:val="tx1"/>
            </w14:solidFill>
          </w14:textFill>
        </w:rPr>
      </w:pPr>
      <w:r>
        <w:rPr>
          <w:rFonts w:hint="eastAsia" w:ascii="黑体" w:hAnsi="宋体" w:eastAsia="黑体"/>
          <w:color w:val="000000" w:themeColor="text1"/>
          <w:sz w:val="36"/>
          <w:szCs w:val="21"/>
          <w14:textFill>
            <w14:solidFill>
              <w14:schemeClr w14:val="tx1"/>
            </w14:solidFill>
          </w14:textFill>
        </w:rPr>
        <w:t>投标邀请</w:t>
      </w:r>
      <w:r>
        <w:rPr>
          <w:rFonts w:hint="eastAsia" w:ascii="黑体" w:hAnsi="Showcard Gothic" w:eastAsia="黑体"/>
          <w:color w:val="000000" w:themeColor="text1"/>
          <w:sz w:val="36"/>
          <w:szCs w:val="21"/>
          <w14:textFill>
            <w14:solidFill>
              <w14:schemeClr w14:val="tx1"/>
            </w14:solidFill>
          </w14:textFill>
        </w:rPr>
        <w:t>……………………………………</w:t>
      </w:r>
    </w:p>
    <w:p w14:paraId="0C16B360">
      <w:pPr>
        <w:numPr>
          <w:ilvl w:val="0"/>
          <w:numId w:val="4"/>
        </w:numPr>
        <w:spacing w:line="480" w:lineRule="auto"/>
        <w:outlineLvl w:val="0"/>
        <w:rPr>
          <w:rFonts w:ascii="黑体" w:hAnsi="Showcard Gothic" w:eastAsia="黑体"/>
          <w:color w:val="000000" w:themeColor="text1"/>
          <w:sz w:val="36"/>
          <w:szCs w:val="21"/>
          <w14:textFill>
            <w14:solidFill>
              <w14:schemeClr w14:val="tx1"/>
            </w14:solidFill>
          </w14:textFill>
        </w:rPr>
      </w:pPr>
      <w:r>
        <w:rPr>
          <w:rFonts w:hint="eastAsia" w:ascii="黑体" w:hAnsi="宋体" w:eastAsia="黑体"/>
          <w:bCs/>
          <w:color w:val="000000" w:themeColor="text1"/>
          <w:sz w:val="36"/>
          <w:szCs w:val="36"/>
          <w14:textFill>
            <w14:solidFill>
              <w14:schemeClr w14:val="tx1"/>
            </w14:solidFill>
          </w14:textFill>
        </w:rPr>
        <w:t>投标人须知</w:t>
      </w:r>
      <w:r>
        <w:rPr>
          <w:rFonts w:hint="eastAsia" w:ascii="黑体" w:hAnsi="Showcard Gothic" w:eastAsia="黑体"/>
          <w:color w:val="000000" w:themeColor="text1"/>
          <w:sz w:val="36"/>
          <w:szCs w:val="36"/>
          <w14:textFill>
            <w14:solidFill>
              <w14:schemeClr w14:val="tx1"/>
            </w14:solidFill>
          </w14:textFill>
        </w:rPr>
        <w:t>…</w:t>
      </w:r>
      <w:r>
        <w:rPr>
          <w:rFonts w:hint="eastAsia" w:ascii="黑体" w:hAnsi="Showcard Gothic" w:eastAsia="黑体"/>
          <w:color w:val="000000" w:themeColor="text1"/>
          <w:sz w:val="36"/>
          <w:szCs w:val="21"/>
          <w14:textFill>
            <w14:solidFill>
              <w14:schemeClr w14:val="tx1"/>
            </w14:solidFill>
          </w14:textFill>
        </w:rPr>
        <w:t>………………………………</w:t>
      </w:r>
    </w:p>
    <w:p w14:paraId="5DEC2405">
      <w:pPr>
        <w:numPr>
          <w:ilvl w:val="0"/>
          <w:numId w:val="4"/>
        </w:numPr>
        <w:spacing w:line="480" w:lineRule="auto"/>
        <w:outlineLvl w:val="0"/>
        <w:rPr>
          <w:rFonts w:ascii="黑体" w:hAnsi="Showcard Gothic" w:eastAsia="黑体"/>
          <w:color w:val="000000" w:themeColor="text1"/>
          <w:sz w:val="36"/>
          <w:szCs w:val="21"/>
          <w14:textFill>
            <w14:solidFill>
              <w14:schemeClr w14:val="tx1"/>
            </w14:solidFill>
          </w14:textFill>
        </w:rPr>
      </w:pPr>
      <w:r>
        <w:rPr>
          <w:rFonts w:hint="eastAsia" w:ascii="黑体" w:hAnsi="宋体" w:eastAsia="黑体"/>
          <w:color w:val="000000" w:themeColor="text1"/>
          <w:sz w:val="36"/>
          <w:szCs w:val="21"/>
          <w14:textFill>
            <w14:solidFill>
              <w14:schemeClr w14:val="tx1"/>
            </w14:solidFill>
          </w14:textFill>
        </w:rPr>
        <w:t>合同文本</w:t>
      </w:r>
      <w:r>
        <w:rPr>
          <w:rFonts w:hint="eastAsia" w:ascii="黑体" w:hAnsi="Showcard Gothic" w:eastAsia="黑体"/>
          <w:color w:val="000000" w:themeColor="text1"/>
          <w:sz w:val="36"/>
          <w:szCs w:val="21"/>
          <w14:textFill>
            <w14:solidFill>
              <w14:schemeClr w14:val="tx1"/>
            </w14:solidFill>
          </w14:textFill>
        </w:rPr>
        <w:t>……………………………………</w:t>
      </w:r>
    </w:p>
    <w:p w14:paraId="472EABDB">
      <w:pPr>
        <w:numPr>
          <w:ilvl w:val="0"/>
          <w:numId w:val="4"/>
        </w:numPr>
        <w:spacing w:line="480" w:lineRule="auto"/>
        <w:outlineLvl w:val="0"/>
        <w:rPr>
          <w:rFonts w:ascii="黑体" w:hAnsi="Showcard Gothic" w:eastAsia="黑体"/>
          <w:color w:val="000000" w:themeColor="text1"/>
          <w:sz w:val="36"/>
          <w:szCs w:val="21"/>
          <w14:textFill>
            <w14:solidFill>
              <w14:schemeClr w14:val="tx1"/>
            </w14:solidFill>
          </w14:textFill>
        </w:rPr>
      </w:pPr>
      <w:r>
        <w:rPr>
          <w:rFonts w:hint="eastAsia" w:ascii="黑体" w:hAnsi="宋体" w:eastAsia="黑体"/>
          <w:color w:val="000000" w:themeColor="text1"/>
          <w:sz w:val="36"/>
          <w:szCs w:val="21"/>
          <w14:textFill>
            <w14:solidFill>
              <w14:schemeClr w14:val="tx1"/>
            </w14:solidFill>
          </w14:textFill>
        </w:rPr>
        <w:t>采购需求</w:t>
      </w:r>
      <w:r>
        <w:rPr>
          <w:rFonts w:hint="eastAsia" w:ascii="黑体" w:hAnsi="Showcard Gothic" w:eastAsia="黑体"/>
          <w:color w:val="000000" w:themeColor="text1"/>
          <w:sz w:val="36"/>
          <w:szCs w:val="21"/>
          <w14:textFill>
            <w14:solidFill>
              <w14:schemeClr w14:val="tx1"/>
            </w14:solidFill>
          </w14:textFill>
        </w:rPr>
        <w:t>……………………………………</w:t>
      </w:r>
    </w:p>
    <w:p w14:paraId="6483DACE">
      <w:pPr>
        <w:numPr>
          <w:ilvl w:val="0"/>
          <w:numId w:val="4"/>
        </w:numPr>
        <w:spacing w:line="480" w:lineRule="auto"/>
        <w:outlineLvl w:val="0"/>
        <w:rPr>
          <w:rFonts w:ascii="黑体" w:hAnsi="Showcard Gothic" w:eastAsia="黑体"/>
          <w:color w:val="000000" w:themeColor="text1"/>
          <w:sz w:val="36"/>
          <w:szCs w:val="21"/>
          <w14:textFill>
            <w14:solidFill>
              <w14:schemeClr w14:val="tx1"/>
            </w14:solidFill>
          </w14:textFill>
        </w:rPr>
      </w:pPr>
      <w:r>
        <w:rPr>
          <w:rFonts w:hint="eastAsia" w:ascii="黑体" w:hAnsi="宋体" w:eastAsia="黑体"/>
          <w:bCs/>
          <w:color w:val="000000" w:themeColor="text1"/>
          <w:sz w:val="36"/>
          <w:szCs w:val="36"/>
          <w14:textFill>
            <w14:solidFill>
              <w14:schemeClr w14:val="tx1"/>
            </w14:solidFill>
          </w14:textFill>
        </w:rPr>
        <w:t>评标方法与评标标准</w:t>
      </w:r>
      <w:r>
        <w:rPr>
          <w:rFonts w:hint="eastAsia" w:ascii="黑体" w:hAnsi="Showcard Gothic" w:eastAsia="黑体"/>
          <w:color w:val="000000" w:themeColor="text1"/>
          <w:sz w:val="36"/>
          <w:szCs w:val="21"/>
          <w14:textFill>
            <w14:solidFill>
              <w14:schemeClr w14:val="tx1"/>
            </w14:solidFill>
          </w14:textFill>
        </w:rPr>
        <w:t>………………………</w:t>
      </w:r>
    </w:p>
    <w:p w14:paraId="316E0068">
      <w:pPr>
        <w:numPr>
          <w:ilvl w:val="0"/>
          <w:numId w:val="4"/>
        </w:numPr>
        <w:spacing w:line="480" w:lineRule="auto"/>
        <w:outlineLvl w:val="0"/>
        <w:rPr>
          <w:rFonts w:ascii="黑体" w:hAnsi="Showcard Gothic" w:eastAsia="黑体"/>
          <w:color w:val="000000" w:themeColor="text1"/>
          <w:sz w:val="36"/>
          <w:szCs w:val="21"/>
          <w14:textFill>
            <w14:solidFill>
              <w14:schemeClr w14:val="tx1"/>
            </w14:solidFill>
          </w14:textFill>
        </w:rPr>
      </w:pPr>
      <w:r>
        <w:rPr>
          <w:rFonts w:hint="eastAsia" w:ascii="黑体" w:hAnsi="宋体" w:eastAsia="黑体"/>
          <w:color w:val="000000" w:themeColor="text1"/>
          <w:sz w:val="36"/>
          <w:szCs w:val="21"/>
          <w14:textFill>
            <w14:solidFill>
              <w14:schemeClr w14:val="tx1"/>
            </w14:solidFill>
          </w14:textFill>
        </w:rPr>
        <w:t>投标文件格式</w:t>
      </w:r>
      <w:r>
        <w:rPr>
          <w:rFonts w:hint="eastAsia" w:ascii="黑体" w:hAnsi="Showcard Gothic" w:eastAsia="黑体"/>
          <w:color w:val="000000" w:themeColor="text1"/>
          <w:sz w:val="36"/>
          <w:szCs w:val="21"/>
          <w14:textFill>
            <w14:solidFill>
              <w14:schemeClr w14:val="tx1"/>
            </w14:solidFill>
          </w14:textFill>
        </w:rPr>
        <w:t>………………………………</w:t>
      </w:r>
    </w:p>
    <w:p w14:paraId="64125B03">
      <w:pPr>
        <w:rPr>
          <w:color w:val="000000" w:themeColor="text1"/>
          <w:szCs w:val="21"/>
          <w14:textFill>
            <w14:solidFill>
              <w14:schemeClr w14:val="tx1"/>
            </w14:solidFill>
          </w14:textFill>
        </w:rPr>
      </w:pPr>
    </w:p>
    <w:p w14:paraId="2F3A7C00">
      <w:pPr>
        <w:rPr>
          <w:color w:val="000000" w:themeColor="text1"/>
          <w:szCs w:val="21"/>
          <w14:textFill>
            <w14:solidFill>
              <w14:schemeClr w14:val="tx1"/>
            </w14:solidFill>
          </w14:textFill>
        </w:rPr>
      </w:pPr>
    </w:p>
    <w:p w14:paraId="71B3D3C7">
      <w:pPr>
        <w:rPr>
          <w:color w:val="000000" w:themeColor="text1"/>
          <w:szCs w:val="21"/>
          <w14:textFill>
            <w14:solidFill>
              <w14:schemeClr w14:val="tx1"/>
            </w14:solidFill>
          </w14:textFill>
        </w:rPr>
      </w:pPr>
    </w:p>
    <w:p w14:paraId="1AD079F3">
      <w:pPr>
        <w:rPr>
          <w:color w:val="000000" w:themeColor="text1"/>
          <w:szCs w:val="21"/>
          <w14:textFill>
            <w14:solidFill>
              <w14:schemeClr w14:val="tx1"/>
            </w14:solidFill>
          </w14:textFill>
        </w:rPr>
      </w:pPr>
    </w:p>
    <w:p w14:paraId="4AE30E1B">
      <w:pPr>
        <w:rPr>
          <w:color w:val="000000" w:themeColor="text1"/>
          <w:szCs w:val="21"/>
          <w14:textFill>
            <w14:solidFill>
              <w14:schemeClr w14:val="tx1"/>
            </w14:solidFill>
          </w14:textFill>
        </w:rPr>
      </w:pPr>
    </w:p>
    <w:p w14:paraId="03A10FCF">
      <w:pPr>
        <w:rPr>
          <w:color w:val="000000" w:themeColor="text1"/>
          <w:szCs w:val="21"/>
          <w14:textFill>
            <w14:solidFill>
              <w14:schemeClr w14:val="tx1"/>
            </w14:solidFill>
          </w14:textFill>
        </w:rPr>
      </w:pPr>
    </w:p>
    <w:p w14:paraId="54E81E30">
      <w:pPr>
        <w:rPr>
          <w:color w:val="000000" w:themeColor="text1"/>
          <w:szCs w:val="21"/>
          <w14:textFill>
            <w14:solidFill>
              <w14:schemeClr w14:val="tx1"/>
            </w14:solidFill>
          </w14:textFill>
        </w:rPr>
      </w:pPr>
    </w:p>
    <w:p w14:paraId="67DAF4CC">
      <w:pPr>
        <w:rPr>
          <w:color w:val="000000" w:themeColor="text1"/>
          <w:szCs w:val="21"/>
          <w14:textFill>
            <w14:solidFill>
              <w14:schemeClr w14:val="tx1"/>
            </w14:solidFill>
          </w14:textFill>
        </w:rPr>
      </w:pPr>
    </w:p>
    <w:p w14:paraId="55EE1C63">
      <w:pPr>
        <w:rPr>
          <w:color w:val="000000" w:themeColor="text1"/>
          <w:szCs w:val="21"/>
          <w14:textFill>
            <w14:solidFill>
              <w14:schemeClr w14:val="tx1"/>
            </w14:solidFill>
          </w14:textFill>
        </w:rPr>
      </w:pPr>
    </w:p>
    <w:p w14:paraId="2AC3D97C">
      <w:pPr>
        <w:rPr>
          <w:color w:val="000000" w:themeColor="text1"/>
          <w:szCs w:val="21"/>
          <w14:textFill>
            <w14:solidFill>
              <w14:schemeClr w14:val="tx1"/>
            </w14:solidFill>
          </w14:textFill>
        </w:rPr>
      </w:pPr>
    </w:p>
    <w:p w14:paraId="367B2385">
      <w:pPr>
        <w:rPr>
          <w:color w:val="000000" w:themeColor="text1"/>
          <w:szCs w:val="21"/>
          <w14:textFill>
            <w14:solidFill>
              <w14:schemeClr w14:val="tx1"/>
            </w14:solidFill>
          </w14:textFill>
        </w:rPr>
      </w:pPr>
    </w:p>
    <w:p w14:paraId="2D0E6502">
      <w:pPr>
        <w:rPr>
          <w:color w:val="000000" w:themeColor="text1"/>
          <w:szCs w:val="21"/>
          <w14:textFill>
            <w14:solidFill>
              <w14:schemeClr w14:val="tx1"/>
            </w14:solidFill>
          </w14:textFill>
        </w:rPr>
      </w:pPr>
    </w:p>
    <w:p w14:paraId="1C45C057">
      <w:pPr>
        <w:rPr>
          <w:color w:val="000000" w:themeColor="text1"/>
          <w:szCs w:val="21"/>
          <w14:textFill>
            <w14:solidFill>
              <w14:schemeClr w14:val="tx1"/>
            </w14:solidFill>
          </w14:textFill>
        </w:rPr>
      </w:pPr>
    </w:p>
    <w:p w14:paraId="3AF08F70">
      <w:pPr>
        <w:rPr>
          <w:color w:val="000000" w:themeColor="text1"/>
          <w:szCs w:val="21"/>
          <w14:textFill>
            <w14:solidFill>
              <w14:schemeClr w14:val="tx1"/>
            </w14:solidFill>
          </w14:textFill>
        </w:rPr>
      </w:pPr>
    </w:p>
    <w:p w14:paraId="39BBA09E">
      <w:pPr>
        <w:rPr>
          <w:color w:val="000000" w:themeColor="text1"/>
          <w:szCs w:val="21"/>
          <w14:textFill>
            <w14:solidFill>
              <w14:schemeClr w14:val="tx1"/>
            </w14:solidFill>
          </w14:textFill>
        </w:rPr>
      </w:pPr>
    </w:p>
    <w:p w14:paraId="6E0D9A92">
      <w:pPr>
        <w:rPr>
          <w:color w:val="000000" w:themeColor="text1"/>
          <w:szCs w:val="21"/>
          <w14:textFill>
            <w14:solidFill>
              <w14:schemeClr w14:val="tx1"/>
            </w14:solidFill>
          </w14:textFill>
        </w:rPr>
      </w:pPr>
    </w:p>
    <w:p w14:paraId="1AEFD6B1">
      <w:pPr>
        <w:rPr>
          <w:color w:val="000000" w:themeColor="text1"/>
          <w:szCs w:val="21"/>
          <w14:textFill>
            <w14:solidFill>
              <w14:schemeClr w14:val="tx1"/>
            </w14:solidFill>
          </w14:textFill>
        </w:rPr>
      </w:pPr>
    </w:p>
    <w:p w14:paraId="7E0BFD51">
      <w:pPr>
        <w:rPr>
          <w:color w:val="000000" w:themeColor="text1"/>
          <w:szCs w:val="21"/>
          <w14:textFill>
            <w14:solidFill>
              <w14:schemeClr w14:val="tx1"/>
            </w14:solidFill>
          </w14:textFill>
        </w:rPr>
      </w:pPr>
    </w:p>
    <w:p w14:paraId="2D021565">
      <w:pPr>
        <w:rPr>
          <w:color w:val="000000" w:themeColor="text1"/>
          <w:szCs w:val="21"/>
          <w14:textFill>
            <w14:solidFill>
              <w14:schemeClr w14:val="tx1"/>
            </w14:solidFill>
          </w14:textFill>
        </w:rPr>
      </w:pPr>
    </w:p>
    <w:p w14:paraId="43FB9F07">
      <w:pPr>
        <w:rPr>
          <w:color w:val="000000" w:themeColor="text1"/>
          <w:szCs w:val="21"/>
          <w14:textFill>
            <w14:solidFill>
              <w14:schemeClr w14:val="tx1"/>
            </w14:solidFill>
          </w14:textFill>
        </w:rPr>
      </w:pPr>
    </w:p>
    <w:p w14:paraId="2710B97E">
      <w:pPr>
        <w:rPr>
          <w:color w:val="000000" w:themeColor="text1"/>
          <w:szCs w:val="21"/>
          <w14:textFill>
            <w14:solidFill>
              <w14:schemeClr w14:val="tx1"/>
            </w14:solidFill>
          </w14:textFill>
        </w:rPr>
      </w:pPr>
    </w:p>
    <w:p w14:paraId="47A8EA78">
      <w:pPr>
        <w:rPr>
          <w:color w:val="000000" w:themeColor="text1"/>
          <w:szCs w:val="21"/>
          <w14:textFill>
            <w14:solidFill>
              <w14:schemeClr w14:val="tx1"/>
            </w14:solidFill>
          </w14:textFill>
        </w:rPr>
      </w:pPr>
    </w:p>
    <w:p w14:paraId="3637D350">
      <w:pPr>
        <w:rPr>
          <w:color w:val="000000" w:themeColor="text1"/>
          <w:szCs w:val="21"/>
          <w14:textFill>
            <w14:solidFill>
              <w14:schemeClr w14:val="tx1"/>
            </w14:solidFill>
          </w14:textFill>
        </w:rPr>
      </w:pPr>
    </w:p>
    <w:p w14:paraId="16B2761D">
      <w:pPr>
        <w:rPr>
          <w:color w:val="000000" w:themeColor="text1"/>
          <w:szCs w:val="21"/>
          <w14:textFill>
            <w14:solidFill>
              <w14:schemeClr w14:val="tx1"/>
            </w14:solidFill>
          </w14:textFill>
        </w:rPr>
      </w:pPr>
    </w:p>
    <w:p w14:paraId="5769E60A">
      <w:pPr>
        <w:rPr>
          <w:color w:val="000000" w:themeColor="text1"/>
          <w:szCs w:val="21"/>
          <w14:textFill>
            <w14:solidFill>
              <w14:schemeClr w14:val="tx1"/>
            </w14:solidFill>
          </w14:textFill>
        </w:rPr>
      </w:pPr>
    </w:p>
    <w:p w14:paraId="14AAED9E">
      <w:pPr>
        <w:rPr>
          <w:color w:val="000000" w:themeColor="text1"/>
          <w:szCs w:val="21"/>
          <w14:textFill>
            <w14:solidFill>
              <w14:schemeClr w14:val="tx1"/>
            </w14:solidFill>
          </w14:textFill>
        </w:rPr>
      </w:pPr>
    </w:p>
    <w:p w14:paraId="7C6A9405">
      <w:pPr>
        <w:keepNext/>
        <w:jc w:val="center"/>
        <w:outlineLvl w:val="0"/>
        <w:rPr>
          <w:rFonts w:ascii="黑体" w:eastAsia="黑体"/>
          <w:bCs/>
          <w:color w:val="000000" w:themeColor="text1"/>
          <w:sz w:val="44"/>
          <w:szCs w:val="44"/>
          <w14:textFill>
            <w14:solidFill>
              <w14:schemeClr w14:val="tx1"/>
            </w14:solidFill>
          </w14:textFill>
        </w:rPr>
      </w:pPr>
      <w:r>
        <w:rPr>
          <w:rFonts w:hint="eastAsia" w:ascii="黑体" w:eastAsia="黑体"/>
          <w:color w:val="000000" w:themeColor="text1"/>
          <w:sz w:val="44"/>
          <w:szCs w:val="44"/>
          <w14:textFill>
            <w14:solidFill>
              <w14:schemeClr w14:val="tx1"/>
            </w14:solidFill>
          </w14:textFill>
        </w:rPr>
        <w:br w:type="page" w:clear="all"/>
      </w:r>
      <w:r>
        <w:rPr>
          <w:rFonts w:hint="eastAsia" w:ascii="黑体" w:eastAsia="黑体"/>
          <w:color w:val="000000" w:themeColor="text1"/>
          <w:sz w:val="44"/>
          <w:szCs w:val="44"/>
          <w14:textFill>
            <w14:solidFill>
              <w14:schemeClr w14:val="tx1"/>
            </w14:solidFill>
          </w14:textFill>
        </w:rPr>
        <w:t>第一章</w:t>
      </w:r>
      <w:bookmarkEnd w:id="0"/>
      <w:r>
        <w:rPr>
          <w:rFonts w:hint="eastAsia" w:ascii="黑体" w:eastAsia="黑体"/>
          <w:color w:val="000000" w:themeColor="text1"/>
          <w:sz w:val="44"/>
          <w:szCs w:val="44"/>
          <w14:textFill>
            <w14:solidFill>
              <w14:schemeClr w14:val="tx1"/>
            </w14:solidFill>
          </w14:textFill>
        </w:rPr>
        <w:t>投标邀请</w:t>
      </w:r>
    </w:p>
    <w:p w14:paraId="1FBD8AEA">
      <w:pPr>
        <w:spacing w:line="500" w:lineRule="exact"/>
        <w:ind w:firstLine="480"/>
        <w:jc w:val="left"/>
        <w:rPr>
          <w:rFonts w:ascii="Calibri" w:hAnsi="Calibri"/>
          <w:color w:val="000000" w:themeColor="text1"/>
          <w:sz w:val="24"/>
          <w:szCs w:val="24"/>
          <w14:textFill>
            <w14:solidFill>
              <w14:schemeClr w14:val="tx1"/>
            </w14:solidFill>
          </w14:textFill>
        </w:rPr>
      </w:pPr>
      <w:bookmarkStart w:id="6" w:name="_Toc28359008"/>
      <w:bookmarkStart w:id="7" w:name="_Toc35393796"/>
      <w:bookmarkStart w:id="8" w:name="_Toc28359085"/>
      <w:bookmarkStart w:id="9" w:name="_Toc35393627"/>
      <w:bookmarkStart w:id="10" w:name="_Toc38985269"/>
      <w:r>
        <w:rPr>
          <w:rFonts w:hint="eastAsia" w:ascii="Calibri" w:hAnsi="Calibri"/>
          <w:color w:val="000000" w:themeColor="text1"/>
          <w:sz w:val="24"/>
          <w:szCs w:val="24"/>
          <w14:textFill>
            <w14:solidFill>
              <w14:schemeClr w14:val="tx1"/>
            </w14:solidFill>
          </w14:textFill>
        </w:rPr>
        <w:t>受灌云县教育局的委托，灌云县政府采购中心就灌云县中小学网上阅卷系统、学业数据分析系统项目(项目编号JSZC-320723-JZCG-G2026-0037)进行公开招标采购，欢迎符合条件的供应商投标。</w:t>
      </w:r>
    </w:p>
    <w:p w14:paraId="4586F9AA">
      <w:pPr>
        <w:pBdr>
          <w:top w:val="single" w:color="000000" w:sz="4" w:space="1"/>
          <w:left w:val="single" w:color="000000" w:sz="4" w:space="4"/>
          <w:bottom w:val="single" w:color="000000" w:sz="4" w:space="1"/>
          <w:right w:val="single" w:color="000000" w:sz="4" w:space="4"/>
        </w:pBd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项目概况</w:t>
      </w:r>
    </w:p>
    <w:p w14:paraId="6624D39C">
      <w:pPr>
        <w:pBdr>
          <w:top w:val="single" w:color="000000" w:sz="4" w:space="1"/>
          <w:left w:val="single" w:color="000000" w:sz="4" w:space="4"/>
          <w:bottom w:val="single" w:color="000000" w:sz="4" w:space="1"/>
          <w:right w:val="single" w:color="000000" w:sz="4" w:space="4"/>
        </w:pBd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灌云县中小学网上阅卷系统、学业数据分析系统项目</w:t>
      </w:r>
      <w:r>
        <w:rPr>
          <w:rFonts w:hint="eastAsia" w:ascii="宋体" w:hAnsi="宋体"/>
          <w:color w:val="000000" w:themeColor="text1"/>
          <w:sz w:val="24"/>
          <w:szCs w:val="24"/>
          <w14:textFill>
            <w14:solidFill>
              <w14:schemeClr w14:val="tx1"/>
            </w14:solidFill>
          </w14:textFill>
        </w:rPr>
        <w:t>招标项目的潜在投标人可在</w:t>
      </w:r>
      <w:r>
        <w:rPr>
          <w:rFonts w:hint="eastAsia" w:ascii="宋体" w:hAnsi="宋体"/>
          <w:color w:val="000000" w:themeColor="text1"/>
          <w:sz w:val="24"/>
          <w:szCs w:val="24"/>
          <w:u w:val="single"/>
          <w14:textFill>
            <w14:solidFill>
              <w14:schemeClr w14:val="tx1"/>
            </w14:solidFill>
          </w14:textFill>
        </w:rPr>
        <w:t>“江苏政府采购网”自行免费下载</w:t>
      </w:r>
      <w:r>
        <w:rPr>
          <w:rFonts w:hint="eastAsia" w:ascii="宋体" w:hAnsi="宋体"/>
          <w:color w:val="000000" w:themeColor="text1"/>
          <w:sz w:val="24"/>
          <w:szCs w:val="24"/>
          <w14:textFill>
            <w14:solidFill>
              <w14:schemeClr w14:val="tx1"/>
            </w14:solidFill>
          </w14:textFill>
        </w:rPr>
        <w:t>招标文件，并于</w:t>
      </w:r>
      <w:r>
        <w:rPr>
          <w:rFonts w:hint="eastAsia" w:ascii="宋体" w:hAnsi="宋体"/>
          <w:color w:val="000000" w:themeColor="text1"/>
          <w:sz w:val="24"/>
          <w:szCs w:val="24"/>
          <w:u w:val="single"/>
          <w14:textFill>
            <w14:solidFill>
              <w14:schemeClr w14:val="tx1"/>
            </w14:solidFill>
          </w14:textFill>
        </w:rPr>
        <w:t>2026</w:t>
      </w:r>
      <w:r>
        <w:rPr>
          <w:rFonts w:hint="eastAsia" w:ascii="宋体" w:hAnsi="宋体"/>
          <w:bCs/>
          <w:color w:val="000000" w:themeColor="text1"/>
          <w:sz w:val="24"/>
          <w:szCs w:val="24"/>
          <w:u w:val="single"/>
          <w14:textFill>
            <w14:solidFill>
              <w14:schemeClr w14:val="tx1"/>
            </w14:solidFill>
          </w14:textFill>
        </w:rPr>
        <w:t>年</w:t>
      </w:r>
      <w:r>
        <w:rPr>
          <w:rFonts w:hint="eastAsia" w:ascii="宋体" w:hAnsi="宋体"/>
          <w:bCs/>
          <w:color w:val="000000" w:themeColor="text1"/>
          <w:sz w:val="24"/>
          <w:szCs w:val="24"/>
          <w:highlight w:val="none"/>
          <w:u w:val="single"/>
          <w14:textFill>
            <w14:solidFill>
              <w14:schemeClr w14:val="tx1"/>
            </w14:solidFill>
          </w14:textFill>
        </w:rPr>
        <w:t>11月</w:t>
      </w:r>
      <w:r>
        <w:rPr>
          <w:rFonts w:hint="eastAsia" w:ascii="宋体" w:hAnsi="宋体"/>
          <w:bCs/>
          <w:color w:val="000000" w:themeColor="text1"/>
          <w:sz w:val="24"/>
          <w:szCs w:val="24"/>
          <w:highlight w:val="none"/>
          <w:u w:val="single"/>
          <w:lang w:val="en-US" w:eastAsia="zh-CN"/>
          <w14:textFill>
            <w14:solidFill>
              <w14:schemeClr w14:val="tx1"/>
            </w14:solidFill>
          </w14:textFill>
        </w:rPr>
        <w:t>19</w:t>
      </w:r>
      <w:r>
        <w:rPr>
          <w:rFonts w:hint="eastAsia" w:ascii="宋体" w:hAnsi="宋体"/>
          <w:bCs/>
          <w:color w:val="000000" w:themeColor="text1"/>
          <w:sz w:val="24"/>
          <w:szCs w:val="24"/>
          <w:highlight w:val="none"/>
          <w:u w:val="single"/>
          <w14:textFill>
            <w14:solidFill>
              <w14:schemeClr w14:val="tx1"/>
            </w14:solidFill>
          </w14:textFill>
        </w:rPr>
        <w:t>日1</w:t>
      </w:r>
      <w:r>
        <w:rPr>
          <w:rFonts w:hint="eastAsia" w:ascii="宋体" w:hAnsi="宋体"/>
          <w:bCs/>
          <w:color w:val="000000" w:themeColor="text1"/>
          <w:sz w:val="24"/>
          <w:szCs w:val="24"/>
          <w:u w:val="single"/>
          <w14:textFill>
            <w14:solidFill>
              <w14:schemeClr w14:val="tx1"/>
            </w14:solidFill>
          </w14:textFill>
        </w:rPr>
        <w:t>0点00分</w:t>
      </w:r>
      <w:r>
        <w:rPr>
          <w:rFonts w:hint="eastAsia"/>
          <w:color w:val="000000" w:themeColor="text1"/>
          <w:sz w:val="24"/>
          <w:szCs w:val="24"/>
          <w14:textFill>
            <w14:solidFill>
              <w14:schemeClr w14:val="tx1"/>
            </w14:solidFill>
          </w14:textFill>
        </w:rPr>
        <w:t>（北京时间）前递交（上传）投标文件。</w:t>
      </w:r>
    </w:p>
    <w:p w14:paraId="2DD6F43F">
      <w:pPr>
        <w:pStyle w:val="5"/>
        <w:spacing w:before="145" w:after="145" w:line="500" w:lineRule="exact"/>
        <w:ind w:firstLine="498"/>
        <w:rPr>
          <w:color w:val="000000" w:themeColor="text1"/>
          <w14:textFill>
            <w14:solidFill>
              <w14:schemeClr w14:val="tx1"/>
            </w14:solidFill>
          </w14:textFill>
        </w:rPr>
      </w:pPr>
      <w:bookmarkStart w:id="11" w:name="_Toc28359079"/>
      <w:bookmarkStart w:id="12" w:name="_Toc28359002"/>
      <w:bookmarkStart w:id="13" w:name="_Toc35393790"/>
      <w:bookmarkStart w:id="14" w:name="_Toc35393621"/>
      <w:bookmarkStart w:id="15" w:name="_Toc38985263"/>
      <w:bookmarkStart w:id="16" w:name="_Hlk24379207"/>
      <w:r>
        <w:rPr>
          <w:rFonts w:hint="eastAsia"/>
          <w:color w:val="000000" w:themeColor="text1"/>
          <w14:textFill>
            <w14:solidFill>
              <w14:schemeClr w14:val="tx1"/>
            </w14:solidFill>
          </w14:textFill>
        </w:rPr>
        <w:t>一、项目基本情况</w:t>
      </w:r>
      <w:bookmarkEnd w:id="11"/>
      <w:bookmarkEnd w:id="12"/>
      <w:bookmarkEnd w:id="13"/>
      <w:bookmarkEnd w:id="14"/>
      <w:bookmarkEnd w:id="15"/>
    </w:p>
    <w:p w14:paraId="2A64CFEF">
      <w:pPr>
        <w:spacing w:line="500" w:lineRule="exact"/>
        <w:ind w:firstLine="480"/>
        <w:rPr>
          <w:rFonts w:hint="eastAsia"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1.项目编号：JSZC-320723-JZCG-G2026-0037</w:t>
      </w:r>
    </w:p>
    <w:p w14:paraId="7889BC64">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2.项目名称：</w:t>
      </w:r>
      <w:bookmarkEnd w:id="16"/>
      <w:r>
        <w:rPr>
          <w:rFonts w:hint="eastAsia" w:ascii="宋体" w:hAnsi="宋体"/>
          <w:color w:val="000000" w:themeColor="text1"/>
          <w:sz w:val="24"/>
          <w:szCs w:val="24"/>
          <w14:textFill>
            <w14:solidFill>
              <w14:schemeClr w14:val="tx1"/>
            </w14:solidFill>
          </w14:textFill>
        </w:rPr>
        <w:t>灌云县中小学网上阅卷系统、学业数据分析系统项目</w:t>
      </w:r>
    </w:p>
    <w:p w14:paraId="570D4DD9">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3.预算金额：200.00万元</w:t>
      </w:r>
    </w:p>
    <w:p w14:paraId="3470720C">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4.最高限价：200.00万元，高于此限价的投标文件将按无效投标处理。</w:t>
      </w:r>
    </w:p>
    <w:p w14:paraId="58D405A2">
      <w:pPr>
        <w:spacing w:line="500" w:lineRule="exact"/>
        <w:ind w:firstLine="48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r>
        <w:rPr>
          <w:rFonts w:hint="eastAsia" w:ascii="Calibri" w:hAnsi="Calibri"/>
          <w:color w:val="000000" w:themeColor="text1"/>
          <w:sz w:val="24"/>
          <w:szCs w:val="24"/>
          <w14:textFill>
            <w14:solidFill>
              <w14:schemeClr w14:val="tx1"/>
            </w14:solidFill>
          </w14:textFill>
        </w:rPr>
        <w:t>采购方式：公开招标</w:t>
      </w:r>
    </w:p>
    <w:p w14:paraId="58E8F86F">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6.采购需求：须结合灌云县教育教学需求，定制化开发智能网上阅卷系统、基础数据分析系统、学业大数据分析系统等及相关硬件，具体详见第四章采购需求。</w:t>
      </w:r>
    </w:p>
    <w:p w14:paraId="7C8F9954">
      <w:pPr>
        <w:spacing w:line="500" w:lineRule="exact"/>
        <w:ind w:firstLine="482"/>
        <w:jc w:val="left"/>
        <w:rPr>
          <w:rFonts w:ascii="Calibri" w:hAnsi="Calibri"/>
          <w:b/>
          <w:color w:val="000000" w:themeColor="text1"/>
          <w:sz w:val="24"/>
          <w:szCs w:val="24"/>
          <w14:textFill>
            <w14:solidFill>
              <w14:schemeClr w14:val="tx1"/>
            </w14:solidFill>
          </w14:textFill>
        </w:rPr>
      </w:pPr>
      <w:r>
        <w:rPr>
          <w:rFonts w:hint="eastAsia" w:ascii="Calibri" w:hAnsi="Calibri"/>
          <w:b/>
          <w:color w:val="000000" w:themeColor="text1"/>
          <w:sz w:val="24"/>
          <w:szCs w:val="24"/>
          <w14:textFill>
            <w14:solidFill>
              <w14:schemeClr w14:val="tx1"/>
            </w14:solidFill>
          </w14:textFill>
        </w:rPr>
        <w:t>对本项目资格要求、采购需求、评标方法与评标标准等部分的询问、质疑请与采购人联系，由采购人负责答复。</w:t>
      </w:r>
    </w:p>
    <w:p w14:paraId="2BFA3802">
      <w:pPr>
        <w:numPr>
          <w:ilvl w:val="0"/>
          <w:numId w:val="5"/>
        </w:num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合同履行期限：合同签订之日起60天内完成系统部署实施及配套硬件交付、安装调试，经采购人组织验收并达到正常使用。</w:t>
      </w:r>
    </w:p>
    <w:p w14:paraId="39436E62">
      <w:pPr>
        <w:numPr>
          <w:ilvl w:val="0"/>
          <w:numId w:val="5"/>
        </w:num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本项目（是/否）接受联合体投标：不接受联合体。</w:t>
      </w:r>
    </w:p>
    <w:p w14:paraId="6AEE6E48">
      <w:pPr>
        <w:pStyle w:val="5"/>
        <w:spacing w:before="145" w:after="145" w:line="500" w:lineRule="exact"/>
        <w:ind w:firstLine="498"/>
        <w:rPr>
          <w:color w:val="000000" w:themeColor="text1"/>
          <w14:textFill>
            <w14:solidFill>
              <w14:schemeClr w14:val="tx1"/>
            </w14:solidFill>
          </w14:textFill>
        </w:rPr>
      </w:pPr>
      <w:bookmarkStart w:id="17" w:name="_Toc35393791"/>
      <w:bookmarkStart w:id="18" w:name="_Toc38985264"/>
      <w:bookmarkStart w:id="19" w:name="_Toc28359080"/>
      <w:bookmarkStart w:id="20" w:name="_Toc35393622"/>
      <w:bookmarkStart w:id="21" w:name="_Toc28359003"/>
      <w:r>
        <w:rPr>
          <w:rFonts w:hint="eastAsia"/>
          <w:color w:val="000000" w:themeColor="text1"/>
          <w14:textFill>
            <w14:solidFill>
              <w14:schemeClr w14:val="tx1"/>
            </w14:solidFill>
          </w14:textFill>
        </w:rPr>
        <w:t>二、申请人的资格要求：</w:t>
      </w:r>
      <w:bookmarkEnd w:id="17"/>
      <w:bookmarkEnd w:id="18"/>
      <w:bookmarkEnd w:id="19"/>
      <w:bookmarkEnd w:id="20"/>
      <w:bookmarkEnd w:id="21"/>
    </w:p>
    <w:p w14:paraId="5809A156">
      <w:pPr>
        <w:spacing w:line="500" w:lineRule="exact"/>
        <w:ind w:firstLine="480"/>
        <w:jc w:val="left"/>
        <w:rPr>
          <w:rFonts w:ascii="Calibri" w:hAnsi="Calibri"/>
          <w:color w:val="000000" w:themeColor="text1"/>
          <w:sz w:val="24"/>
          <w:szCs w:val="24"/>
          <w14:textFill>
            <w14:solidFill>
              <w14:schemeClr w14:val="tx1"/>
            </w14:solidFill>
          </w14:textFill>
        </w:rPr>
      </w:pPr>
      <w:bookmarkStart w:id="22" w:name="_Toc28359081"/>
      <w:bookmarkStart w:id="23" w:name="_Toc28359004"/>
      <w:bookmarkStart w:id="24" w:name="_Toc35393792"/>
      <w:bookmarkStart w:id="25" w:name="_Toc38985265"/>
      <w:bookmarkStart w:id="26" w:name="_Toc35393623"/>
      <w:r>
        <w:rPr>
          <w:rFonts w:hint="eastAsia"/>
          <w:color w:val="000000" w:themeColor="text1"/>
          <w:sz w:val="24"/>
          <w:szCs w:val="24"/>
          <w14:textFill>
            <w14:solidFill>
              <w14:schemeClr w14:val="tx1"/>
            </w14:solidFill>
          </w14:textFill>
        </w:rPr>
        <w:t>（一）</w:t>
      </w:r>
      <w:r>
        <w:rPr>
          <w:rFonts w:hint="eastAsia" w:ascii="Calibri" w:hAnsi="Calibri"/>
          <w:color w:val="000000" w:themeColor="text1"/>
          <w:sz w:val="24"/>
          <w:szCs w:val="24"/>
          <w14:textFill>
            <w14:solidFill>
              <w14:schemeClr w14:val="tx1"/>
            </w14:solidFill>
          </w14:textFill>
        </w:rPr>
        <w:t>满足《中华人民共和国政府采购法》第二十二条规定，并提供下列材料：</w:t>
      </w:r>
    </w:p>
    <w:p w14:paraId="047F50B7">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color w:val="000000" w:themeColor="text1"/>
          <w:sz w:val="24"/>
          <w:szCs w:val="24"/>
          <w14:textFill>
            <w14:solidFill>
              <w14:schemeClr w14:val="tx1"/>
            </w14:solidFill>
          </w14:textFill>
        </w:rPr>
        <w:t>法人或者其他组织的营业执照等证明文件，自然人的身份证明</w:t>
      </w:r>
      <w:r>
        <w:rPr>
          <w:rFonts w:hint="eastAsia" w:ascii="宋体" w:hAnsi="宋体"/>
          <w:color w:val="000000" w:themeColor="text1"/>
          <w:sz w:val="24"/>
          <w:szCs w:val="24"/>
          <w14:textFill>
            <w14:solidFill>
              <w14:schemeClr w14:val="tx1"/>
            </w14:solidFill>
          </w14:textFill>
        </w:rPr>
        <w:t>（提供法人或者其他组织的营业执照等证明文件）；</w:t>
      </w:r>
    </w:p>
    <w:p w14:paraId="2348223F">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(2)具有良好的商业信誉和健全的财务会计制度；</w:t>
      </w:r>
    </w:p>
    <w:p w14:paraId="21569358">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(3)具备履行合同所必需的设备和专业技术能力的声明；</w:t>
      </w:r>
    </w:p>
    <w:p w14:paraId="115F6340">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(4)依法缴纳税收和社会保障资金的良好记录；</w:t>
      </w:r>
    </w:p>
    <w:p w14:paraId="136F3E48">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(5)参加政府采购活动前三年内在经营活动中没有重大违法记录的声明；</w:t>
      </w:r>
    </w:p>
    <w:p w14:paraId="2DB51431">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(6)法律、行政法规规定的其他条件。</w:t>
      </w:r>
    </w:p>
    <w:p w14:paraId="16D472F2">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注：根据连财购〔2023〕4号文件精神，第（2）、（4）项可以提供《财务状况报告及税收、社会保障资金缴纳情况承诺函》，详见招标文件投标文件格式。</w:t>
      </w:r>
    </w:p>
    <w:p w14:paraId="6F4A6AE7">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投标文件递交截止前被“信用中国”网站、中国政府采购网网站列入失信被执行人、重大税收违法案件当事人名单、政府采购严重违法失信行为记录名单的投标人，拒绝其参与政府采购活动（采购人或灌云县政府采购中心将通过信用中国网站（www.creditchina.gov.cn）、中国政府采购网（www.ccgp.gov.cn），对投标人信用记录情况进行查询）。</w:t>
      </w:r>
    </w:p>
    <w:p w14:paraId="14F41A94">
      <w:pPr>
        <w:spacing w:line="5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二）落实政府采购政策需满足的资格要求：经主管预算单位组织需求调查和市场评估，本项目涉及县域教育数据平台、多系统数据互通及配套硬件集成，预留采购份额无法确保充分供应、充分竞争，依据《政府采购促进中小企业发展管理办法》（财库〔2020〕46号）第六条第（三）项，本项目不专门面向中小企业预留；上述需求调查记录、市场评估、潜在供应商规模分布及无法确保充分竞争的书面论证资料已纳入采购档案备查；对小型、微型企业报价给予10%的价格扣除，用扣除后的价格参加评审。本项目不接受联合体投标，但允许中标人依法向中小企业分包，分包意向协议作为政府采购合同的组成部分。</w:t>
      </w:r>
    </w:p>
    <w:p w14:paraId="73AC6093">
      <w:pPr>
        <w:spacing w:line="5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（三）本项目的特定资格要求：无。</w:t>
      </w:r>
    </w:p>
    <w:p w14:paraId="3701EC2D">
      <w:pPr>
        <w:pStyle w:val="5"/>
        <w:spacing w:before="145" w:after="145" w:line="500" w:lineRule="exact"/>
        <w:ind w:firstLine="498"/>
        <w:rPr>
          <w:color w:val="000000" w:themeColor="text1"/>
          <w14:textFill>
            <w14:solidFill>
              <w14:schemeClr w14:val="tx1"/>
            </w14:solidFill>
          </w14:textFill>
        </w:rPr>
      </w:pPr>
      <w:r>
        <w:rPr>
          <w:rFonts w:hint="eastAsia"/>
          <w:color w:val="000000" w:themeColor="text1"/>
          <w14:textFill>
            <w14:solidFill>
              <w14:schemeClr w14:val="tx1"/>
            </w14:solidFill>
          </w14:textFill>
        </w:rPr>
        <w:t>三、获取</w:t>
      </w:r>
      <w:bookmarkEnd w:id="22"/>
      <w:bookmarkEnd w:id="23"/>
      <w:bookmarkEnd w:id="24"/>
      <w:bookmarkEnd w:id="25"/>
      <w:bookmarkEnd w:id="26"/>
      <w:r>
        <w:rPr>
          <w:rFonts w:hint="eastAsia"/>
          <w:color w:val="000000" w:themeColor="text1"/>
          <w14:textFill>
            <w14:solidFill>
              <w14:schemeClr w14:val="tx1"/>
            </w14:solidFill>
          </w14:textFill>
        </w:rPr>
        <w:t>招标文件</w:t>
      </w:r>
    </w:p>
    <w:p w14:paraId="5FCE4F17">
      <w:pPr>
        <w:spacing w:line="500" w:lineRule="exact"/>
        <w:ind w:firstLine="540"/>
        <w:rPr>
          <w:rFonts w:hint="eastAsia" w:ascii="宋体" w:hAnsi="宋体" w:cs="宋体"/>
          <w:color w:val="000000" w:themeColor="text1"/>
          <w:sz w:val="24"/>
          <w:szCs w:val="24"/>
          <w:highlight w:val="none"/>
          <w14:textFill>
            <w14:solidFill>
              <w14:schemeClr w14:val="tx1"/>
            </w14:solidFill>
          </w14:textFill>
        </w:rPr>
      </w:pPr>
      <w:bookmarkStart w:id="27" w:name="_Toc28359082"/>
      <w:bookmarkStart w:id="28" w:name="_Toc28359005"/>
      <w:bookmarkStart w:id="29" w:name="_Toc38985266"/>
      <w:bookmarkStart w:id="30" w:name="_Toc35393624"/>
      <w:bookmarkStart w:id="31" w:name="_Toc35393793"/>
      <w:r>
        <w:rPr>
          <w:rFonts w:hint="eastAsia" w:ascii="宋体" w:hAnsi="宋体" w:cs="宋体"/>
          <w:color w:val="000000" w:themeColor="text1"/>
          <w:sz w:val="24"/>
          <w:szCs w:val="24"/>
          <w14:textFill>
            <w14:solidFill>
              <w14:schemeClr w14:val="tx1"/>
            </w14:solidFill>
          </w14:textFill>
        </w:rPr>
        <w:t>1.时间：</w:t>
      </w:r>
      <w:r>
        <w:rPr>
          <w:rFonts w:hint="eastAsia" w:ascii="宋体" w:hAnsi="宋体" w:cs="宋体"/>
          <w:color w:val="000000" w:themeColor="text1"/>
          <w:sz w:val="24"/>
          <w:szCs w:val="24"/>
          <w:highlight w:val="none"/>
          <w14:textFill>
            <w14:solidFill>
              <w14:schemeClr w14:val="tx1"/>
            </w14:solidFill>
          </w14:textFill>
        </w:rPr>
        <w:t>2026年10月2</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cs="宋体"/>
          <w:color w:val="000000" w:themeColor="text1"/>
          <w:sz w:val="24"/>
          <w:szCs w:val="24"/>
          <w:highlight w:val="none"/>
          <w14:textFill>
            <w14:solidFill>
              <w14:schemeClr w14:val="tx1"/>
            </w14:solidFill>
          </w14:textFill>
        </w:rPr>
        <w:t>日至2026年11月</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日</w:t>
      </w:r>
    </w:p>
    <w:p w14:paraId="08BD0FE8">
      <w:pPr>
        <w:spacing w:line="500" w:lineRule="exact"/>
        <w:ind w:firstLine="54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2.方式：在“江苏政府采购网”自行免费下载招标文件。</w:t>
      </w:r>
    </w:p>
    <w:p w14:paraId="5817F5FF">
      <w:pPr>
        <w:pBdr>
          <w:top w:val="none" w:color="000000" w:sz="0" w:space="0"/>
          <w:left w:val="none" w:color="000000" w:sz="0" w:space="0"/>
          <w:bottom w:val="none" w:color="000000" w:sz="0" w:space="0"/>
          <w:right w:val="none" w:color="000000" w:sz="0" w:space="0"/>
        </w:pBdr>
        <w:spacing w:line="500" w:lineRule="exact"/>
        <w:ind w:firstLine="480"/>
        <w:rPr>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（1）潜在投标人访问电子招标投标交易平台的网络地址和方法：</w:t>
      </w:r>
    </w:p>
    <w:p w14:paraId="2A4512C0">
      <w:pPr>
        <w:pBdr>
          <w:top w:val="none" w:color="000000" w:sz="0" w:space="0"/>
          <w:left w:val="none" w:color="000000" w:sz="0" w:space="0"/>
          <w:bottom w:val="none" w:color="000000" w:sz="0" w:space="0"/>
          <w:right w:val="none" w:color="000000" w:sz="0" w:space="0"/>
        </w:pBdr>
        <w:spacing w:line="500" w:lineRule="exact"/>
        <w:ind w:firstLine="480"/>
        <w:rPr>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①登录http://jszfcg.jsczt.cn/，或进入江苏政府采购网，点击“苏采云”进入系统。</w:t>
      </w:r>
    </w:p>
    <w:p w14:paraId="36ED24CB">
      <w:pPr>
        <w:pBdr>
          <w:top w:val="none" w:color="000000" w:sz="0" w:space="0"/>
          <w:left w:val="none" w:color="000000" w:sz="0" w:space="0"/>
          <w:bottom w:val="none" w:color="000000" w:sz="0" w:space="0"/>
          <w:right w:val="none" w:color="000000" w:sz="0" w:space="0"/>
        </w:pBdr>
        <w:spacing w:line="500" w:lineRule="exact"/>
        <w:ind w:firstLine="480"/>
        <w:rPr>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②</w:t>
      </w:r>
      <w:r>
        <w:rPr>
          <w:rFonts w:hint="eastAsia" w:ascii="Tahoma" w:hAnsi="Tahoma" w:cs="Tahoma"/>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苏采云”系统用户注册-获取“CA数字证书”-CA绑定与登录-项目参与、获取采购文件-下载招标文件(后缀名为“.kedt”)-将后缀名为“.kedt”的招标文件导入政府采购客户端工具-制作投标文件--导出加密的投标文件(后缀名为zip)--通过“苏采云”系统上传投标文件。具体见《江苏省政府采购管理交易系统(苏采云)投标人操作手册》。</w:t>
      </w:r>
    </w:p>
    <w:p w14:paraId="42A95FCE">
      <w:pPr>
        <w:pBdr>
          <w:top w:val="none" w:color="000000" w:sz="0" w:space="0"/>
          <w:left w:val="none" w:color="000000" w:sz="0" w:space="0"/>
          <w:bottom w:val="none" w:color="000000" w:sz="0" w:space="0"/>
          <w:right w:val="none" w:color="000000" w:sz="0" w:space="0"/>
        </w:pBdr>
        <w:spacing w:line="500" w:lineRule="exact"/>
        <w:ind w:firstLine="480"/>
        <w:rPr>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③潜在投标人访问“苏采云”系统的网络地址和方法:“苏采云”系统的网址:http://jszfcg.jsczt.cn/。</w:t>
      </w:r>
    </w:p>
    <w:p w14:paraId="76CD366D">
      <w:pPr>
        <w:pBdr>
          <w:top w:val="none" w:color="000000" w:sz="0" w:space="0"/>
          <w:left w:val="none" w:color="000000" w:sz="0" w:space="0"/>
          <w:bottom w:val="none" w:color="000000" w:sz="0" w:space="0"/>
          <w:right w:val="none" w:color="000000" w:sz="0" w:space="0"/>
        </w:pBdr>
        <w:spacing w:line="500" w:lineRule="exact"/>
        <w:ind w:firstLine="480"/>
        <w:rPr>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④“CA数字证书”的获取:投标人需办理CA锁，“苏采云”系统目前仅支持政务CA、方正签章，省内各地区办理的用于“苏采云”平台的政务CA、方正签章全省通用。“CA数字证书”的办理方法详见《江苏省政府采购数字证书(投标人)CA及电子签章办理指南》。</w:t>
      </w:r>
    </w:p>
    <w:p w14:paraId="39ADF693">
      <w:pPr>
        <w:pBdr>
          <w:top w:val="none" w:color="000000" w:sz="0" w:space="0"/>
          <w:left w:val="none" w:color="000000" w:sz="0" w:space="0"/>
          <w:bottom w:val="none" w:color="000000" w:sz="0" w:space="0"/>
          <w:right w:val="none" w:color="000000" w:sz="0" w:space="0"/>
        </w:pBdr>
        <w:spacing w:line="500" w:lineRule="exact"/>
        <w:ind w:firstLine="480"/>
        <w:rPr>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⑤招标文件(后缀名为“.kedt”)、投标人操作手册及政府采购客户端工具可通过“苏采云”系统--已参与项目--项目详情页面内相应链接进行下载。</w:t>
      </w:r>
    </w:p>
    <w:p w14:paraId="61D92C5C">
      <w:pPr>
        <w:pBdr>
          <w:top w:val="none" w:color="000000" w:sz="0" w:space="0"/>
          <w:left w:val="none" w:color="000000" w:sz="0" w:space="0"/>
          <w:bottom w:val="none" w:color="000000" w:sz="0" w:space="0"/>
          <w:right w:val="none" w:color="000000" w:sz="0" w:space="0"/>
        </w:pBdr>
        <w:spacing w:line="500" w:lineRule="exact"/>
        <w:ind w:firstLine="480"/>
        <w:rPr>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⑥采购代理机构将数据电文形式的招标文件加载至“苏采云”系统，供潜在投标人下载或者查阅。</w:t>
      </w:r>
    </w:p>
    <w:p w14:paraId="63879FC9">
      <w:pPr>
        <w:pBdr>
          <w:top w:val="none" w:color="000000" w:sz="0" w:space="0"/>
          <w:left w:val="none" w:color="000000" w:sz="0" w:space="0"/>
          <w:bottom w:val="none" w:color="000000" w:sz="0" w:space="0"/>
          <w:right w:val="none" w:color="000000" w:sz="0" w:space="0"/>
        </w:pBdr>
        <w:spacing w:line="500" w:lineRule="exact"/>
        <w:ind w:firstLine="480"/>
        <w:rPr>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⑦请潜在投标人提前安装相应的控件(详见《江苏省政府采购管理交易系统(苏采云)投标人操作手册&gt;)并使用谷歌浏览器登录“苏采云”系统参与不见面开评标。</w:t>
      </w:r>
    </w:p>
    <w:p w14:paraId="6509BE1B">
      <w:pPr>
        <w:spacing w:line="500" w:lineRule="exact"/>
        <w:ind w:firstLine="540"/>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注</w:t>
      </w:r>
      <w:r>
        <w:rPr>
          <w:rFonts w:ascii="宋体" w:hAnsi="宋体" w:cs="宋体"/>
          <w:b/>
          <w:color w:val="000000" w:themeColor="text1"/>
          <w:sz w:val="24"/>
          <w:szCs w:val="24"/>
          <w14:textFill>
            <w14:solidFill>
              <w14:schemeClr w14:val="tx1"/>
            </w14:solidFill>
          </w14:textFill>
        </w:rPr>
        <w:t>:</w:t>
      </w:r>
      <w:r>
        <w:rPr>
          <w:rFonts w:hint="eastAsia" w:ascii="宋体" w:hAnsi="宋体" w:cs="宋体"/>
          <w:b/>
          <w:color w:val="000000" w:themeColor="text1"/>
          <w:sz w:val="24"/>
          <w:szCs w:val="24"/>
          <w14:textFill>
            <w14:solidFill>
              <w14:schemeClr w14:val="tx1"/>
            </w14:solidFill>
          </w14:textFill>
        </w:rPr>
        <w:t>如潜在投标人未按上述要求操作，将自行承担所产生的风险。</w:t>
      </w:r>
    </w:p>
    <w:p w14:paraId="41CEF4B7">
      <w:pPr>
        <w:pStyle w:val="5"/>
        <w:spacing w:before="145" w:after="145" w:line="500" w:lineRule="exact"/>
        <w:ind w:firstLine="498"/>
        <w:rPr>
          <w:color w:val="000000" w:themeColor="text1"/>
          <w14:textFill>
            <w14:solidFill>
              <w14:schemeClr w14:val="tx1"/>
            </w14:solidFill>
          </w14:textFill>
        </w:rPr>
      </w:pPr>
      <w:r>
        <w:rPr>
          <w:rFonts w:hint="eastAsia"/>
          <w:color w:val="000000" w:themeColor="text1"/>
          <w14:textFill>
            <w14:solidFill>
              <w14:schemeClr w14:val="tx1"/>
            </w14:solidFill>
          </w14:textFill>
        </w:rPr>
        <w:t>四、提交投标文件</w:t>
      </w:r>
      <w:bookmarkEnd w:id="27"/>
      <w:bookmarkEnd w:id="28"/>
      <w:r>
        <w:rPr>
          <w:rFonts w:hint="eastAsia"/>
          <w:color w:val="000000" w:themeColor="text1"/>
          <w14:textFill>
            <w14:solidFill>
              <w14:schemeClr w14:val="tx1"/>
            </w14:solidFill>
          </w14:textFill>
        </w:rPr>
        <w:t>截止时间、开标时间和地点</w:t>
      </w:r>
      <w:bookmarkEnd w:id="29"/>
      <w:bookmarkEnd w:id="30"/>
      <w:bookmarkEnd w:id="31"/>
    </w:p>
    <w:p w14:paraId="3B8EE154">
      <w:pPr>
        <w:pBdr>
          <w:top w:val="none" w:color="000000" w:sz="0" w:space="0"/>
          <w:left w:val="none" w:color="000000" w:sz="0" w:space="0"/>
          <w:bottom w:val="none" w:color="000000" w:sz="0" w:space="0"/>
          <w:right w:val="none" w:color="000000" w:sz="0" w:space="0"/>
        </w:pBdr>
        <w:spacing w:line="500" w:lineRule="exact"/>
        <w:ind w:firstLine="480"/>
        <w:rPr>
          <w:color w:val="000000" w:themeColor="text1"/>
          <w:szCs w:val="24"/>
          <w14:textFill>
            <w14:solidFill>
              <w14:schemeClr w14:val="tx1"/>
            </w14:solidFill>
          </w14:textFill>
        </w:rPr>
      </w:pPr>
      <w:bookmarkStart w:id="32" w:name="_Toc28359084"/>
      <w:bookmarkStart w:id="33" w:name="_Toc35393794"/>
      <w:bookmarkStart w:id="34" w:name="_Toc35393625"/>
      <w:bookmarkStart w:id="35" w:name="_Toc38985267"/>
      <w:bookmarkStart w:id="36" w:name="_Toc28359007"/>
      <w:r>
        <w:rPr>
          <w:rFonts w:hint="eastAsia" w:ascii="宋体" w:hAnsi="宋体" w:cs="宋体"/>
          <w:color w:val="000000" w:themeColor="text1"/>
          <w:sz w:val="24"/>
          <w:szCs w:val="24"/>
          <w14:textFill>
            <w14:solidFill>
              <w14:schemeClr w14:val="tx1"/>
            </w14:solidFill>
          </w14:textFill>
        </w:rPr>
        <w:t>时间：</w:t>
      </w:r>
      <w:r>
        <w:rPr>
          <w:rFonts w:hint="eastAsia" w:ascii="宋体" w:hAnsi="宋体" w:cs="宋体"/>
          <w:color w:val="000000" w:themeColor="text1"/>
          <w:sz w:val="24"/>
          <w:szCs w:val="24"/>
          <w:highlight w:val="none"/>
          <w14:textFill>
            <w14:solidFill>
              <w14:schemeClr w14:val="tx1"/>
            </w14:solidFill>
          </w14:textFill>
        </w:rPr>
        <w:t>2026年11月1</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cs="宋体"/>
          <w:color w:val="000000" w:themeColor="text1"/>
          <w:sz w:val="24"/>
          <w:szCs w:val="24"/>
          <w:highlight w:val="none"/>
          <w14:textFill>
            <w14:solidFill>
              <w14:schemeClr w14:val="tx1"/>
            </w14:solidFill>
          </w14:textFill>
        </w:rPr>
        <w:t>日10时00分</w:t>
      </w:r>
      <w:r>
        <w:rPr>
          <w:rFonts w:hint="eastAsia" w:ascii="宋体" w:hAnsi="宋体" w:cs="宋体"/>
          <w:color w:val="000000" w:themeColor="text1"/>
          <w:sz w:val="24"/>
          <w:szCs w:val="24"/>
          <w14:textFill>
            <w14:solidFill>
              <w14:schemeClr w14:val="tx1"/>
            </w14:solidFill>
          </w14:textFill>
        </w:rPr>
        <w:t>（北京时间）；</w:t>
      </w:r>
    </w:p>
    <w:p w14:paraId="73672CFA">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开标时间：提交投标文件截止时间</w:t>
      </w:r>
    </w:p>
    <w:p w14:paraId="58356E60">
      <w:pPr>
        <w:spacing w:line="500" w:lineRule="exact"/>
        <w:ind w:firstLine="480"/>
        <w:jc w:val="left"/>
        <w:rPr>
          <w:rFonts w:ascii="Calibri" w:hAnsi="Calibri"/>
          <w:color w:val="000000" w:themeColor="text1"/>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开标地点：“苏采云”政府采购交易系统网上开标大厅</w:t>
      </w:r>
    </w:p>
    <w:p w14:paraId="14D846F3">
      <w:pPr>
        <w:pStyle w:val="5"/>
        <w:spacing w:before="145" w:after="145" w:line="500" w:lineRule="exact"/>
        <w:ind w:firstLine="498"/>
        <w:rPr>
          <w:color w:val="000000" w:themeColor="text1"/>
          <w14:textFill>
            <w14:solidFill>
              <w14:schemeClr w14:val="tx1"/>
            </w14:solidFill>
          </w14:textFill>
        </w:rPr>
      </w:pPr>
      <w:r>
        <w:rPr>
          <w:rFonts w:hint="eastAsia"/>
          <w:color w:val="000000" w:themeColor="text1"/>
          <w14:textFill>
            <w14:solidFill>
              <w14:schemeClr w14:val="tx1"/>
            </w14:solidFill>
          </w14:textFill>
        </w:rPr>
        <w:t>五、公告期限</w:t>
      </w:r>
      <w:bookmarkEnd w:id="32"/>
      <w:bookmarkEnd w:id="33"/>
      <w:bookmarkEnd w:id="34"/>
      <w:bookmarkEnd w:id="35"/>
      <w:bookmarkEnd w:id="36"/>
    </w:p>
    <w:p w14:paraId="4826853C">
      <w:pPr>
        <w:spacing w:line="500" w:lineRule="exact"/>
        <w:ind w:firstLine="480"/>
        <w:rPr>
          <w:rFonts w:hint="eastAsia" w:ascii="宋体" w:hAnsi="宋体" w:cs="宋体"/>
          <w:color w:val="000000" w:themeColor="text1"/>
          <w:sz w:val="24"/>
          <w:szCs w:val="24"/>
          <w14:textFill>
            <w14:solidFill>
              <w14:schemeClr w14:val="tx1"/>
            </w14:solidFill>
          </w14:textFill>
        </w:rPr>
      </w:pPr>
      <w:bookmarkStart w:id="37" w:name="_Toc35393626"/>
      <w:bookmarkStart w:id="38" w:name="_Toc38985268"/>
      <w:bookmarkStart w:id="39" w:name="_Toc35393795"/>
      <w:r>
        <w:rPr>
          <w:rFonts w:hint="eastAsia" w:ascii="宋体" w:hAnsi="宋体" w:cs="宋体"/>
          <w:color w:val="000000" w:themeColor="text1"/>
          <w:sz w:val="24"/>
          <w:szCs w:val="24"/>
          <w14:textFill>
            <w14:solidFill>
              <w14:schemeClr w14:val="tx1"/>
            </w14:solidFill>
          </w14:textFill>
        </w:rPr>
        <w:t>自本公告发布之日起5个工作日。</w:t>
      </w:r>
    </w:p>
    <w:p w14:paraId="08D2280A">
      <w:pPr>
        <w:pStyle w:val="5"/>
        <w:spacing w:before="145" w:after="145" w:line="500" w:lineRule="exact"/>
        <w:ind w:firstLine="498"/>
        <w:rPr>
          <w:color w:val="000000" w:themeColor="text1"/>
          <w14:textFill>
            <w14:solidFill>
              <w14:schemeClr w14:val="tx1"/>
            </w14:solidFill>
          </w14:textFill>
        </w:rPr>
      </w:pPr>
      <w:r>
        <w:rPr>
          <w:rFonts w:hint="eastAsia"/>
          <w:color w:val="000000" w:themeColor="text1"/>
          <w14:textFill>
            <w14:solidFill>
              <w14:schemeClr w14:val="tx1"/>
            </w14:solidFill>
          </w14:textFill>
        </w:rPr>
        <w:t>六、其他补充事宜</w:t>
      </w:r>
      <w:bookmarkEnd w:id="37"/>
      <w:bookmarkEnd w:id="38"/>
      <w:bookmarkEnd w:id="39"/>
    </w:p>
    <w:p w14:paraId="0156C7ED">
      <w:pPr>
        <w:pBdr>
          <w:top w:val="none" w:color="000000" w:sz="0" w:space="0"/>
          <w:left w:val="none" w:color="000000" w:sz="0" w:space="0"/>
          <w:bottom w:val="none" w:color="000000" w:sz="0" w:space="0"/>
          <w:right w:val="none" w:color="000000" w:sz="0" w:space="0"/>
        </w:pBdr>
        <w:spacing w:line="500" w:lineRule="exact"/>
        <w:ind w:firstLine="480"/>
        <w:rPr>
          <w:color w:val="000000" w:themeColor="text1"/>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、本招标文件中标注★的款项为实质性响应要求和条件，如不满足将按无效投标处理。</w:t>
      </w:r>
    </w:p>
    <w:p w14:paraId="79407CBA">
      <w:pPr>
        <w:pBdr>
          <w:top w:val="none" w:color="000000" w:sz="0" w:space="0"/>
          <w:left w:val="none" w:color="000000" w:sz="0" w:space="0"/>
          <w:bottom w:val="none" w:color="000000" w:sz="0" w:space="0"/>
          <w:right w:val="none" w:color="000000" w:sz="0" w:space="0"/>
        </w:pBdr>
        <w:spacing w:line="500" w:lineRule="exact"/>
        <w:ind w:firstLine="480"/>
        <w:rPr>
          <w:color w:val="000000" w:themeColor="text1"/>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p>
    <w:p w14:paraId="39FDDD2A">
      <w:pPr>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、投标人制作投标文件时如遇投标工具中投标格式与招标文件不一致，请投标人按照招标文件中投标格式要求编制一份投标文件资料添加在投标工具其他材料中。</w:t>
      </w:r>
    </w:p>
    <w:p w14:paraId="5B1A615C">
      <w:pPr>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4、根据苏财购[2020]52号规定，本项目不收取投标保证金。</w:t>
      </w:r>
    </w:p>
    <w:p w14:paraId="1E15DCBE">
      <w:pPr>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5、投标文件相关要求：</w:t>
      </w:r>
    </w:p>
    <w:p w14:paraId="47C22217">
      <w:pPr>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cs="宋体"/>
          <w:color w:val="000000" w:themeColor="text1"/>
          <w:sz w:val="24"/>
          <w:szCs w:val="24"/>
          <w:highlight w:val="yellow"/>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①本项目文字标书采用不见面远程模式，投标人在各自地点通过不见面交易系统参加开标会；</w:t>
      </w:r>
    </w:p>
    <w:p w14:paraId="7DA2A79D">
      <w:pPr>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②</w:t>
      </w:r>
      <w:r>
        <w:rPr>
          <w:rFonts w:hint="eastAsia" w:ascii="宋体" w:hAnsi="宋体" w:cs="宋体"/>
          <w:color w:val="000000" w:themeColor="text1"/>
          <w:sz w:val="24"/>
          <w:szCs w:val="24"/>
          <w14:textFill>
            <w14:solidFill>
              <w14:schemeClr w14:val="tx1"/>
            </w14:solidFill>
          </w14:textFill>
        </w:rPr>
        <w:t>请各投标人充分考虑项目周期，谨慎参与交易，中标后不得以任何理由放弃中标资格或不按规定履约；</w:t>
      </w:r>
    </w:p>
    <w:p w14:paraId="64053B60">
      <w:pPr>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③逾期上传投标文件的，采购人不予受理；</w:t>
      </w:r>
    </w:p>
    <w:p w14:paraId="37C3D021">
      <w:pPr>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④</w:t>
      </w:r>
      <w:r>
        <w:rPr>
          <w:rFonts w:hint="eastAsia" w:ascii="宋体" w:hAnsi="宋体" w:cs="宋体"/>
          <w:color w:val="000000" w:themeColor="text1"/>
          <w:sz w:val="24"/>
          <w:szCs w:val="24"/>
          <w14:textFill>
            <w14:solidFill>
              <w14:schemeClr w14:val="tx1"/>
            </w14:solidFill>
          </w14:textFill>
        </w:rPr>
        <w:t>中标后中标人按以下要求提供书面投标文件：</w:t>
      </w:r>
    </w:p>
    <w:p w14:paraId="6E145E4C">
      <w:pPr>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中标人提供的书面投标文件必须与网络上传投标文件（加密文件）一致，纸质与电子标书内容不一致的，以电子标书为准；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公章或由投标人的法定代表人或其授权的代理人签字确认；投标文件一份（带页码），提供一份U盘（16G内存），中标后提供。</w:t>
      </w:r>
    </w:p>
    <w:p w14:paraId="1E72816C">
      <w:pPr>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为保证交互效果，建议投标人选择封闭安静的地点参与远程交互。因投标人自身软硬件配备不齐全或发生故障等问题而导致在交互过程中出现不稳定或中断等情况的，由投标人自身承担一切后果。</w:t>
      </w:r>
    </w:p>
    <w:p w14:paraId="29DBD0CC">
      <w:pPr>
        <w:spacing w:line="50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注：投标人在签到时，需填写单位名称、项目负责人姓名，手机号码（手机号码务必能打通，否则答疑联系不上产生的所有后果由投标人自行承担）。</w:t>
      </w:r>
    </w:p>
    <w:p w14:paraId="70E5DD4D">
      <w:pPr>
        <w:spacing w:line="500" w:lineRule="exact"/>
        <w:ind w:firstLine="643"/>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七、本次招标联系方式</w:t>
      </w:r>
      <w:bookmarkEnd w:id="6"/>
      <w:bookmarkEnd w:id="7"/>
      <w:bookmarkEnd w:id="8"/>
      <w:bookmarkEnd w:id="9"/>
      <w:bookmarkEnd w:id="10"/>
    </w:p>
    <w:p w14:paraId="3D67BFD8">
      <w:pPr>
        <w:widowControl/>
        <w:spacing w:line="500" w:lineRule="exact"/>
        <w:jc w:val="left"/>
        <w:rPr>
          <w:rFonts w:hint="eastAsia" w:ascii="宋体" w:hAnsi="宋体"/>
          <w:color w:val="000000" w:themeColor="text1"/>
          <w:sz w:val="24"/>
          <w:szCs w:val="24"/>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w:t>
      </w:r>
      <w:r>
        <w:rPr>
          <w:rFonts w:hint="eastAsia" w:ascii="宋体" w:hAnsi="宋体" w:cs="宋体"/>
          <w:color w:val="000000" w:themeColor="text1"/>
          <w:sz w:val="24"/>
          <w:szCs w:val="24"/>
          <w14:textFill>
            <w14:solidFill>
              <w14:schemeClr w14:val="tx1"/>
            </w14:solidFill>
          </w14:textFill>
        </w:rPr>
        <w:t>1.采购人信息</w:t>
      </w:r>
    </w:p>
    <w:p w14:paraId="50379876">
      <w:pPr>
        <w:spacing w:line="500" w:lineRule="exact"/>
        <w:ind w:left="1079" w:hanging="3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名称：</w:t>
      </w:r>
      <w:r>
        <w:rPr>
          <w:rFonts w:hint="eastAsia" w:ascii="宋体" w:hAnsi="宋体" w:cs="宋体"/>
          <w:color w:val="000000" w:themeColor="text1"/>
          <w:sz w:val="24"/>
          <w:szCs w:val="24"/>
          <w:u w:val="single"/>
          <w14:textFill>
            <w14:solidFill>
              <w14:schemeClr w14:val="tx1"/>
            </w14:solidFill>
          </w14:textFill>
        </w:rPr>
        <w:t>灌云县教育局</w:t>
      </w:r>
      <w:r>
        <w:rPr>
          <w:rFonts w:hint="eastAsia" w:ascii="宋体" w:hAnsi="宋体"/>
          <w:color w:val="000000" w:themeColor="text1"/>
          <w:sz w:val="24"/>
          <w:szCs w:val="24"/>
          <w:u w:val="single"/>
          <w14:textFill>
            <w14:solidFill>
              <w14:schemeClr w14:val="tx1"/>
            </w14:solidFill>
          </w14:textFill>
        </w:rPr>
        <w:t>　</w:t>
      </w:r>
    </w:p>
    <w:p w14:paraId="7FE0BC48">
      <w:pPr>
        <w:spacing w:line="500" w:lineRule="exact"/>
        <w:ind w:left="1079" w:hanging="300"/>
        <w:jc w:val="left"/>
        <w:rPr>
          <w:rFonts w:hint="eastAsia" w:ascii="宋体" w:hAnsi="宋体" w:cs="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地址：</w:t>
      </w:r>
      <w:r>
        <w:rPr>
          <w:rFonts w:hint="eastAsia" w:ascii="宋体" w:hAnsi="宋体" w:cs="宋体"/>
          <w:color w:val="000000" w:themeColor="text1"/>
          <w:sz w:val="24"/>
          <w:szCs w:val="24"/>
          <w:u w:val="single"/>
          <w14:textFill>
            <w14:solidFill>
              <w14:schemeClr w14:val="tx1"/>
            </w14:solidFill>
          </w14:textFill>
        </w:rPr>
        <w:t>江苏省连云港市灌云县伊山镇胜利西路教育大厦</w:t>
      </w:r>
    </w:p>
    <w:p w14:paraId="6BA4190E">
      <w:pPr>
        <w:spacing w:line="500" w:lineRule="exact"/>
        <w:ind w:left="1079" w:hanging="3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联系人：</w:t>
      </w:r>
      <w:r>
        <w:rPr>
          <w:rFonts w:hint="eastAsia" w:ascii="宋体" w:hAnsi="宋体"/>
          <w:color w:val="000000" w:themeColor="text1"/>
          <w:sz w:val="24"/>
          <w:szCs w:val="24"/>
          <w:u w:val="single"/>
          <w14:textFill>
            <w14:solidFill>
              <w14:schemeClr w14:val="tx1"/>
            </w14:solidFill>
          </w14:textFill>
        </w:rPr>
        <w:t>朱老师</w:t>
      </w:r>
    </w:p>
    <w:p w14:paraId="11621484">
      <w:pPr>
        <w:spacing w:line="500" w:lineRule="exact"/>
        <w:ind w:left="1079" w:hanging="300"/>
        <w:jc w:val="left"/>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联系方式：</w:t>
      </w:r>
      <w:bookmarkStart w:id="40" w:name="_Toc28359009"/>
      <w:bookmarkStart w:id="41" w:name="_Toc28359086"/>
      <w:r>
        <w:rPr>
          <w:rFonts w:hint="eastAsia" w:ascii="Calibri" w:hAnsi="Calibri"/>
          <w:color w:val="000000" w:themeColor="text1"/>
          <w:sz w:val="24"/>
          <w:szCs w:val="24"/>
          <w:u w:val="single"/>
          <w14:textFill>
            <w14:solidFill>
              <w14:schemeClr w14:val="tx1"/>
            </w14:solidFill>
          </w14:textFill>
        </w:rPr>
        <w:t>0518-88852009</w:t>
      </w:r>
    </w:p>
    <w:bookmarkEnd w:id="40"/>
    <w:bookmarkEnd w:id="41"/>
    <w:p w14:paraId="7AB9CB1D">
      <w:pPr>
        <w:spacing w:line="500" w:lineRule="exact"/>
        <w:ind w:firstLine="72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2.采购代理机构信息</w:t>
      </w:r>
    </w:p>
    <w:p w14:paraId="44B21C75">
      <w:pPr>
        <w:spacing w:line="500" w:lineRule="exact"/>
        <w:ind w:firstLine="72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名称：</w:t>
      </w:r>
      <w:r>
        <w:rPr>
          <w:rFonts w:hint="eastAsia" w:ascii="宋体" w:hAnsi="宋体" w:cs="宋体"/>
          <w:color w:val="000000" w:themeColor="text1"/>
          <w:sz w:val="24"/>
          <w:szCs w:val="24"/>
          <w:u w:val="single"/>
          <w14:textFill>
            <w14:solidFill>
              <w14:schemeClr w14:val="tx1"/>
            </w14:solidFill>
          </w14:textFill>
        </w:rPr>
        <w:t>灌云县政府采购中心</w:t>
      </w:r>
    </w:p>
    <w:p w14:paraId="7FFA9755">
      <w:pPr>
        <w:spacing w:line="500" w:lineRule="exact"/>
        <w:ind w:firstLine="72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　址：</w:t>
      </w:r>
      <w:r>
        <w:rPr>
          <w:rFonts w:hint="eastAsia" w:ascii="宋体" w:hAnsi="宋体"/>
          <w:color w:val="000000" w:themeColor="text1"/>
          <w:sz w:val="24"/>
          <w:szCs w:val="24"/>
          <w:u w:val="single"/>
          <w14:textFill>
            <w14:solidFill>
              <w14:schemeClr w14:val="tx1"/>
            </w14:solidFill>
          </w14:textFill>
        </w:rPr>
        <w:t>灌云县东城区商务大厦A座12楼</w:t>
      </w:r>
    </w:p>
    <w:p w14:paraId="4B8C881F">
      <w:pPr>
        <w:spacing w:line="500" w:lineRule="exact"/>
        <w:ind w:firstLine="72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联系人：</w:t>
      </w:r>
      <w:r>
        <w:rPr>
          <w:rFonts w:hint="eastAsia" w:ascii="宋体" w:hAnsi="宋体"/>
          <w:color w:val="000000" w:themeColor="text1"/>
          <w:sz w:val="24"/>
          <w:szCs w:val="24"/>
          <w:u w:val="single"/>
          <w14:textFill>
            <w14:solidFill>
              <w14:schemeClr w14:val="tx1"/>
            </w14:solidFill>
          </w14:textFill>
        </w:rPr>
        <w:t>焦工</w:t>
      </w:r>
    </w:p>
    <w:p w14:paraId="694EEAFF">
      <w:pPr>
        <w:spacing w:line="500" w:lineRule="exact"/>
        <w:ind w:firstLine="720"/>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联系方式：</w:t>
      </w:r>
      <w:bookmarkStart w:id="42" w:name="_Toc28359010"/>
      <w:bookmarkStart w:id="43" w:name="_Toc28359087"/>
      <w:r>
        <w:rPr>
          <w:rFonts w:hint="eastAsia" w:ascii="宋体" w:hAnsi="宋体"/>
          <w:color w:val="000000" w:themeColor="text1"/>
          <w:sz w:val="24"/>
          <w:szCs w:val="24"/>
          <w:u w:val="single"/>
          <w14:textFill>
            <w14:solidFill>
              <w14:schemeClr w14:val="tx1"/>
            </w14:solidFill>
          </w14:textFill>
        </w:rPr>
        <w:t>0518-80275537</w:t>
      </w:r>
    </w:p>
    <w:p w14:paraId="139A1B65">
      <w:pPr>
        <w:spacing w:line="500" w:lineRule="exact"/>
        <w:ind w:firstLine="72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3.项目联系方式</w:t>
      </w:r>
    </w:p>
    <w:bookmarkEnd w:id="42"/>
    <w:bookmarkEnd w:id="43"/>
    <w:p w14:paraId="1A19B49B">
      <w:pPr>
        <w:spacing w:line="500" w:lineRule="exact"/>
        <w:ind w:firstLine="72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联系人：</w:t>
      </w:r>
      <w:r>
        <w:rPr>
          <w:rFonts w:hint="eastAsia" w:ascii="宋体" w:hAnsi="宋体"/>
          <w:color w:val="000000" w:themeColor="text1"/>
          <w:sz w:val="24"/>
          <w:szCs w:val="24"/>
          <w:u w:val="single"/>
          <w14:textFill>
            <w14:solidFill>
              <w14:schemeClr w14:val="tx1"/>
            </w14:solidFill>
          </w14:textFill>
        </w:rPr>
        <w:t>朱老师</w:t>
      </w:r>
    </w:p>
    <w:p w14:paraId="673259A6">
      <w:pPr>
        <w:spacing w:line="500" w:lineRule="exact"/>
        <w:ind w:firstLine="720"/>
        <w:jc w:val="left"/>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联系方式：</w:t>
      </w:r>
      <w:r>
        <w:rPr>
          <w:rFonts w:hint="eastAsia" w:ascii="Calibri" w:hAnsi="Calibri"/>
          <w:color w:val="000000" w:themeColor="text1"/>
          <w:sz w:val="24"/>
          <w:szCs w:val="24"/>
          <w:u w:val="single"/>
          <w14:textFill>
            <w14:solidFill>
              <w14:schemeClr w14:val="tx1"/>
            </w14:solidFill>
          </w14:textFill>
        </w:rPr>
        <w:t>0518-88852009</w:t>
      </w:r>
    </w:p>
    <w:p w14:paraId="11A6301E">
      <w:pPr>
        <w:keepNext/>
        <w:keepLines/>
        <w:spacing w:before="145" w:after="145" w:line="500" w:lineRule="exact"/>
        <w:ind w:firstLine="498"/>
        <w:outlineLvl w:val="2"/>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八、其他</w:t>
      </w:r>
    </w:p>
    <w:p w14:paraId="2F909736">
      <w:pPr>
        <w:tabs>
          <w:tab w:val="left" w:pos="900"/>
        </w:tabs>
        <w:spacing w:line="500" w:lineRule="exact"/>
        <w:ind w:firstLine="480"/>
        <w:jc w:val="left"/>
        <w:rPr>
          <w:rFonts w:hint="eastAsia" w:ascii="宋体" w:hAnsi="宋体"/>
          <w:bCs/>
          <w:color w:val="000000" w:themeColor="text1"/>
          <w:sz w:val="24"/>
          <w:szCs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根据省财政厅《关于更换全省政府采购交易系统CA数字证书和电子签章的通知》（苏财购〔2023〕101号），</w:t>
      </w:r>
      <w:r>
        <w:rPr>
          <w:rFonts w:hint="eastAsia" w:ascii="宋体" w:hAnsi="宋体"/>
          <w:color w:val="000000" w:themeColor="text1"/>
          <w:sz w:val="24"/>
          <w:szCs w:val="24"/>
          <w14:textFill>
            <w14:solidFill>
              <w14:schemeClr w14:val="tx1"/>
            </w14:solidFill>
          </w14:textFill>
        </w:rPr>
        <w:t>“苏采云”政府采购交易系统（以下简称苏采云系统）</w:t>
      </w:r>
      <w:r>
        <w:rPr>
          <w:rFonts w:hint="eastAsia" w:ascii="宋体" w:hAnsi="宋体"/>
          <w:bCs/>
          <w:color w:val="000000" w:themeColor="text1"/>
          <w:sz w:val="24"/>
          <w:szCs w:val="24"/>
          <w14:textFill>
            <w14:solidFill>
              <w14:schemeClr w14:val="tx1"/>
            </w14:solidFill>
          </w14:textFill>
        </w:rPr>
        <w:t>的CA数字证书、电子签章已更换为江苏省电子政务证书认证中心CA和方正国际软件（北京）有限公司电子签章。如果投标人通过</w:t>
      </w:r>
      <w:r>
        <w:rPr>
          <w:rFonts w:hint="eastAsia" w:ascii="宋体" w:hAnsi="宋体"/>
          <w:color w:val="000000" w:themeColor="text1"/>
          <w:sz w:val="24"/>
          <w:szCs w:val="24"/>
          <w14:textFill>
            <w14:solidFill>
              <w14:schemeClr w14:val="tx1"/>
            </w14:solidFill>
          </w14:textFill>
        </w:rPr>
        <w:t>苏采云系统</w:t>
      </w:r>
      <w:r>
        <w:rPr>
          <w:rFonts w:hint="eastAsia" w:ascii="宋体" w:hAnsi="宋体"/>
          <w:bCs/>
          <w:color w:val="000000" w:themeColor="text1"/>
          <w:sz w:val="24"/>
          <w:szCs w:val="24"/>
          <w14:textFill>
            <w14:solidFill>
              <w14:schemeClr w14:val="tx1"/>
            </w14:solidFill>
          </w14:textFill>
        </w:rPr>
        <w:t>参与政府采购项目，需要更换CA数字证书和电子签章。具体办理指南和操作手册见链接：</w:t>
      </w:r>
      <w:r>
        <w:fldChar w:fldCharType="begin"/>
      </w:r>
      <w:r>
        <w:instrText xml:space="preserve"> HYPERLINK "http://www.ccgp-jiangsu.gov.cn/" </w:instrText>
      </w:r>
      <w:r>
        <w:fldChar w:fldCharType="separate"/>
      </w:r>
      <w:r>
        <w:rPr>
          <w:rFonts w:hint="eastAsia" w:ascii="宋体" w:hAnsi="宋体"/>
          <w:bCs/>
          <w:color w:val="000000" w:themeColor="text1"/>
          <w:sz w:val="24"/>
          <w:szCs w:val="24"/>
          <w14:textFill>
            <w14:solidFill>
              <w14:schemeClr w14:val="tx1"/>
            </w14:solidFill>
          </w14:textFill>
        </w:rPr>
        <w:t>http://www.ccgp-jiangsu.gov.cn/</w:t>
      </w:r>
      <w:r>
        <w:rPr>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jiangsu/zlxz/ee/ee3a4bc5a3454aa2b0d9312230633ce9.html。领取CA和办理电子签章、进行注册并按《操作手册》要求制作、上传电子投标文件。</w:t>
      </w:r>
    </w:p>
    <w:p w14:paraId="5905C1D1">
      <w:pPr>
        <w:numPr>
          <w:ilvl w:val="0"/>
          <w:numId w:val="6"/>
        </w:numPr>
        <w:tabs>
          <w:tab w:val="left" w:pos="900"/>
        </w:tabs>
        <w:spacing w:line="500" w:lineRule="exact"/>
        <w:ind w:firstLine="480"/>
        <w:jc w:val="lef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有关本次采购的事项若存在变动或修改，敬请及时关注灌云县政府采购中心在“江苏政府采购网”发布的更正公告。</w:t>
      </w:r>
    </w:p>
    <w:p w14:paraId="4CE9488A">
      <w:pPr>
        <w:spacing w:line="500" w:lineRule="exact"/>
        <w:ind w:right="840"/>
        <w:jc w:val="center"/>
        <w:rPr>
          <w:rFonts w:ascii="黑体" w:hAnsi="Arial" w:eastAsia="黑体" w:cs="Arial"/>
          <w:color w:val="000000" w:themeColor="text1"/>
          <w:sz w:val="44"/>
          <w:szCs w:val="44"/>
          <w14:textFill>
            <w14:solidFill>
              <w14:schemeClr w14:val="tx1"/>
            </w14:solidFill>
          </w14:textFill>
        </w:rPr>
      </w:pPr>
      <w:bookmarkStart w:id="44" w:name="_Toc120614211"/>
      <w:r>
        <w:rPr>
          <w:rFonts w:hint="eastAsia" w:ascii="宋体" w:hAnsi="宋体"/>
          <w:bCs/>
          <w:color w:val="000000" w:themeColor="text1"/>
          <w:sz w:val="24"/>
          <w:szCs w:val="24"/>
          <w14:textFill>
            <w14:solidFill>
              <w14:schemeClr w14:val="tx1"/>
            </w14:solidFill>
          </w14:textFill>
        </w:rPr>
        <w:br w:type="page" w:clear="all"/>
      </w:r>
      <w:r>
        <w:rPr>
          <w:rFonts w:hint="eastAsia" w:ascii="黑体" w:hAnsi="Arial" w:eastAsia="黑体" w:cs="Arial"/>
          <w:b/>
          <w:bCs/>
          <w:color w:val="000000" w:themeColor="text1"/>
          <w:sz w:val="44"/>
          <w:szCs w:val="44"/>
          <w14:textFill>
            <w14:solidFill>
              <w14:schemeClr w14:val="tx1"/>
            </w14:solidFill>
          </w14:textFill>
        </w:rPr>
        <w:t>第二章</w:t>
      </w:r>
      <w:bookmarkEnd w:id="1"/>
      <w:bookmarkEnd w:id="2"/>
      <w:bookmarkEnd w:id="3"/>
      <w:bookmarkEnd w:id="4"/>
      <w:bookmarkEnd w:id="5"/>
      <w:bookmarkEnd w:id="44"/>
      <w:bookmarkStart w:id="45" w:name="_Toc16938518"/>
      <w:bookmarkStart w:id="46" w:name="_Toc20823274"/>
      <w:bookmarkStart w:id="47" w:name="_Toc120614213"/>
      <w:bookmarkStart w:id="48" w:name="_Toc513029202"/>
      <w:r>
        <w:rPr>
          <w:rFonts w:hint="eastAsia" w:ascii="黑体" w:hAnsi="Arial" w:eastAsia="黑体" w:cs="Arial"/>
          <w:b/>
          <w:bCs/>
          <w:color w:val="000000" w:themeColor="text1"/>
          <w:sz w:val="44"/>
          <w:szCs w:val="44"/>
          <w14:textFill>
            <w14:solidFill>
              <w14:schemeClr w14:val="tx1"/>
            </w14:solidFill>
          </w14:textFill>
        </w:rPr>
        <w:t>投标人须知</w:t>
      </w:r>
      <w:bookmarkEnd w:id="45"/>
      <w:bookmarkEnd w:id="46"/>
      <w:bookmarkEnd w:id="47"/>
      <w:bookmarkEnd w:id="48"/>
    </w:p>
    <w:p w14:paraId="2C90B944">
      <w:pPr>
        <w:keepNext/>
        <w:keepLines/>
        <w:spacing w:before="145" w:after="145" w:line="500" w:lineRule="exact"/>
        <w:ind w:firstLine="498"/>
        <w:outlineLvl w:val="2"/>
        <w:rPr>
          <w:b/>
          <w:bCs/>
          <w:color w:val="000000" w:themeColor="text1"/>
          <w:sz w:val="32"/>
          <w:szCs w:val="32"/>
          <w14:textFill>
            <w14:solidFill>
              <w14:schemeClr w14:val="tx1"/>
            </w14:solidFill>
          </w14:textFill>
        </w:rPr>
      </w:pPr>
      <w:bookmarkStart w:id="49" w:name="_Toc20823275"/>
      <w:bookmarkStart w:id="50" w:name="_Toc513029203"/>
      <w:bookmarkStart w:id="51" w:name="_Toc120614214"/>
      <w:bookmarkStart w:id="52" w:name="_Toc16938519"/>
      <w:r>
        <w:rPr>
          <w:rFonts w:hint="eastAsia"/>
          <w:b/>
          <w:bCs/>
          <w:color w:val="000000" w:themeColor="text1"/>
          <w:sz w:val="32"/>
          <w:szCs w:val="32"/>
          <w14:textFill>
            <w14:solidFill>
              <w14:schemeClr w14:val="tx1"/>
            </w14:solidFill>
          </w14:textFill>
        </w:rPr>
        <w:t>一、总则</w:t>
      </w:r>
      <w:bookmarkEnd w:id="49"/>
      <w:bookmarkEnd w:id="50"/>
      <w:bookmarkEnd w:id="51"/>
      <w:bookmarkEnd w:id="52"/>
    </w:p>
    <w:p w14:paraId="47202518">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bookmarkStart w:id="53" w:name="_Hlt16619475"/>
      <w:bookmarkEnd w:id="53"/>
      <w:bookmarkStart w:id="54" w:name="_Toc458694821"/>
      <w:bookmarkStart w:id="55" w:name="_Toc513029204"/>
      <w:bookmarkStart w:id="56" w:name="_Toc16938520"/>
      <w:bookmarkStart w:id="57" w:name="_Toc20823276"/>
      <w:r>
        <w:rPr>
          <w:rFonts w:hint="eastAsia" w:ascii="Arial" w:hAnsi="Arial" w:eastAsia="黑体" w:cs="Arial"/>
          <w:color w:val="000000" w:themeColor="text1"/>
          <w:sz w:val="28"/>
          <w:szCs w:val="28"/>
          <w14:textFill>
            <w14:solidFill>
              <w14:schemeClr w14:val="tx1"/>
            </w14:solidFill>
          </w14:textFill>
        </w:rPr>
        <w:t>1</w:t>
      </w:r>
      <w:bookmarkEnd w:id="54"/>
      <w:r>
        <w:rPr>
          <w:rFonts w:hint="eastAsia" w:ascii="Arial" w:hAnsi="Arial" w:eastAsia="黑体" w:cs="Arial"/>
          <w:color w:val="000000" w:themeColor="text1"/>
          <w:sz w:val="28"/>
          <w:szCs w:val="28"/>
          <w14:textFill>
            <w14:solidFill>
              <w14:schemeClr w14:val="tx1"/>
            </w14:solidFill>
          </w14:textFill>
        </w:rPr>
        <w:t>、招标方式</w:t>
      </w:r>
      <w:bookmarkEnd w:id="55"/>
      <w:bookmarkEnd w:id="56"/>
      <w:bookmarkEnd w:id="57"/>
    </w:p>
    <w:p w14:paraId="373BD6D2">
      <w:pPr>
        <w:spacing w:line="500" w:lineRule="exact"/>
        <w:ind w:firstLine="48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1.1本次招标采取公开招标方式，本招标文件仅适用于招标公告中所述项目。</w:t>
      </w:r>
    </w:p>
    <w:p w14:paraId="0DAD0C9C">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bookmarkStart w:id="58" w:name="_Toc20823277"/>
      <w:bookmarkStart w:id="59" w:name="_Toc513029205"/>
      <w:bookmarkStart w:id="60" w:name="_Toc16938521"/>
      <w:r>
        <w:rPr>
          <w:rFonts w:hint="eastAsia" w:ascii="Arial" w:hAnsi="Arial" w:eastAsia="黑体" w:cs="Arial"/>
          <w:color w:val="000000" w:themeColor="text1"/>
          <w:sz w:val="28"/>
          <w:szCs w:val="28"/>
          <w14:textFill>
            <w14:solidFill>
              <w14:schemeClr w14:val="tx1"/>
            </w14:solidFill>
          </w14:textFill>
        </w:rPr>
        <w:t>2、合格的</w:t>
      </w:r>
      <w:bookmarkEnd w:id="58"/>
      <w:bookmarkEnd w:id="59"/>
      <w:bookmarkEnd w:id="60"/>
      <w:r>
        <w:rPr>
          <w:rFonts w:hint="eastAsia" w:ascii="Arial" w:hAnsi="Arial" w:eastAsia="黑体" w:cs="Arial"/>
          <w:color w:val="000000" w:themeColor="text1"/>
          <w:sz w:val="28"/>
          <w:szCs w:val="28"/>
          <w14:textFill>
            <w14:solidFill>
              <w14:schemeClr w14:val="tx1"/>
            </w14:solidFill>
          </w14:textFill>
        </w:rPr>
        <w:t>投标人</w:t>
      </w:r>
    </w:p>
    <w:p w14:paraId="42C979BD">
      <w:pPr>
        <w:spacing w:line="500" w:lineRule="exact"/>
        <w:ind w:firstLine="480"/>
        <w:jc w:val="left"/>
        <w:rPr>
          <w:rFonts w:ascii="Calibri" w:hAnsi="Calibri"/>
          <w:color w:val="000000" w:themeColor="text1"/>
          <w:sz w:val="24"/>
          <w:szCs w:val="24"/>
          <w14:textFill>
            <w14:solidFill>
              <w14:schemeClr w14:val="tx1"/>
            </w14:solidFill>
          </w14:textFill>
        </w:rPr>
      </w:pPr>
      <w:bookmarkStart w:id="61" w:name="_Toc16938522"/>
      <w:bookmarkStart w:id="62" w:name="_Toc513029206"/>
      <w:bookmarkStart w:id="63" w:name="_Toc20823278"/>
      <w:r>
        <w:rPr>
          <w:rFonts w:hint="eastAsia" w:ascii="Calibri" w:hAnsi="Calibri"/>
          <w:color w:val="000000" w:themeColor="text1"/>
          <w:sz w:val="24"/>
          <w:szCs w:val="24"/>
          <w14:textFill>
            <w14:solidFill>
              <w14:schemeClr w14:val="tx1"/>
            </w14:solidFill>
          </w14:textFill>
        </w:rPr>
        <w:t>2.1满足招标公告中申请人的资格要求的规定。</w:t>
      </w:r>
    </w:p>
    <w:p w14:paraId="465022EC">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2.2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0B589AB8">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2.3满足本招标文件全部实质性要求和条件的规定。</w:t>
      </w:r>
    </w:p>
    <w:p w14:paraId="6134364B">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2.4符合上述条件的投标人应承担投标及履约过程应承担的全部责任与义务。</w:t>
      </w:r>
    </w:p>
    <w:p w14:paraId="2B13D6F4">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r>
        <w:rPr>
          <w:rFonts w:hint="eastAsia" w:ascii="Arial" w:hAnsi="Arial" w:eastAsia="黑体" w:cs="Arial"/>
          <w:color w:val="000000" w:themeColor="text1"/>
          <w:sz w:val="28"/>
          <w:szCs w:val="28"/>
          <w14:textFill>
            <w14:solidFill>
              <w14:schemeClr w14:val="tx1"/>
            </w14:solidFill>
          </w14:textFill>
        </w:rPr>
        <w:t>3、适用法律</w:t>
      </w:r>
      <w:bookmarkEnd w:id="61"/>
      <w:bookmarkEnd w:id="62"/>
      <w:bookmarkEnd w:id="63"/>
    </w:p>
    <w:p w14:paraId="332A2436">
      <w:pPr>
        <w:spacing w:line="500" w:lineRule="exact"/>
        <w:ind w:firstLine="42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3.1本次招标及由此产生的合同受中华人民共和国有关的法律法规制约和保护。</w:t>
      </w:r>
    </w:p>
    <w:p w14:paraId="72BBEFB9">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bookmarkStart w:id="64" w:name="_Toc20823279"/>
      <w:bookmarkStart w:id="65" w:name="_Toc513029207"/>
      <w:bookmarkStart w:id="66" w:name="_Toc462564067"/>
      <w:bookmarkStart w:id="67" w:name="_Toc16938523"/>
      <w:r>
        <w:rPr>
          <w:rFonts w:hint="eastAsia" w:ascii="Arial" w:hAnsi="Arial" w:eastAsia="黑体" w:cs="Arial"/>
          <w:color w:val="000000" w:themeColor="text1"/>
          <w:sz w:val="28"/>
          <w:szCs w:val="28"/>
          <w14:textFill>
            <w14:solidFill>
              <w14:schemeClr w14:val="tx1"/>
            </w14:solidFill>
          </w14:textFill>
        </w:rPr>
        <w:t>4、投标费用</w:t>
      </w:r>
      <w:bookmarkEnd w:id="64"/>
      <w:bookmarkEnd w:id="65"/>
      <w:bookmarkEnd w:id="66"/>
      <w:bookmarkEnd w:id="67"/>
    </w:p>
    <w:p w14:paraId="2EE890AE">
      <w:pPr>
        <w:spacing w:line="500" w:lineRule="exact"/>
        <w:ind w:firstLine="480"/>
        <w:rPr>
          <w:rFonts w:hint="eastAsia"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4.1</w:t>
      </w:r>
      <w:r>
        <w:rPr>
          <w:rFonts w:hint="eastAsia" w:ascii="宋体" w:hAnsi="宋体"/>
          <w:color w:val="000000" w:themeColor="text1"/>
          <w:sz w:val="24"/>
          <w:szCs w:val="21"/>
          <w14:textFill>
            <w14:solidFill>
              <w14:schemeClr w14:val="tx1"/>
            </w14:solidFill>
          </w14:textFill>
        </w:rPr>
        <w:t>投标人应自行承担所有与参加投标有关的费用，无论投标过程中的做法和结果如何，灌云县政府采购中心（以下简称采购中心）在任何情况下均无义务和责任承担这些费用。</w:t>
      </w:r>
    </w:p>
    <w:p w14:paraId="2B034272">
      <w:pPr>
        <w:spacing w:line="500" w:lineRule="exact"/>
        <w:ind w:firstLine="480"/>
        <w:rPr>
          <w:color w:val="000000" w:themeColor="text1"/>
          <w:sz w:val="24"/>
          <w:szCs w:val="24"/>
          <w14:textFill>
            <w14:solidFill>
              <w14:schemeClr w14:val="tx1"/>
            </w14:solidFill>
          </w14:textFill>
        </w:rPr>
      </w:pPr>
      <w:r>
        <w:rPr>
          <w:rFonts w:hint="eastAsia" w:ascii="宋体" w:hAnsi="宋体"/>
          <w:color w:val="000000" w:themeColor="text1"/>
          <w:sz w:val="24"/>
          <w:szCs w:val="21"/>
          <w14:textFill>
            <w14:solidFill>
              <w14:schemeClr w14:val="tx1"/>
            </w14:solidFill>
          </w14:textFill>
        </w:rPr>
        <w:t>4.2</w:t>
      </w:r>
      <w:r>
        <w:rPr>
          <w:rFonts w:hint="eastAsia" w:ascii="宋体" w:hAnsi="宋体" w:cs="宋体"/>
          <w:color w:val="000000" w:themeColor="text1"/>
          <w:sz w:val="24"/>
          <w:szCs w:val="24"/>
          <w14:textFill>
            <w14:solidFill>
              <w14:schemeClr w14:val="tx1"/>
            </w14:solidFill>
          </w14:textFill>
        </w:rPr>
        <w:t>本次招标采购人和采购中心不收取标书工本费与中标服务费</w:t>
      </w:r>
      <w:r>
        <w:rPr>
          <w:rFonts w:hint="eastAsia"/>
          <w:color w:val="000000" w:themeColor="text1"/>
          <w:sz w:val="24"/>
          <w:szCs w:val="24"/>
          <w14:textFill>
            <w14:solidFill>
              <w14:schemeClr w14:val="tx1"/>
            </w14:solidFill>
          </w14:textFill>
        </w:rPr>
        <w:t>。</w:t>
      </w:r>
    </w:p>
    <w:p w14:paraId="3718E415">
      <w:pPr>
        <w:spacing w:line="500" w:lineRule="exact"/>
        <w:ind w:firstLine="602"/>
        <w:rPr>
          <w:rFonts w:hint="eastAsia" w:ascii="黑体" w:hAnsi="宋体" w:eastAsia="黑体" w:cs="Arial"/>
          <w:color w:val="000000" w:themeColor="text1"/>
          <w:sz w:val="28"/>
          <w:szCs w:val="28"/>
          <w14:textFill>
            <w14:solidFill>
              <w14:schemeClr w14:val="tx1"/>
            </w14:solidFill>
          </w14:textFill>
        </w:rPr>
      </w:pPr>
      <w:r>
        <w:rPr>
          <w:rFonts w:hint="eastAsia" w:ascii="宋体" w:hAnsi="宋体" w:eastAsia="黑体" w:cs="Arial"/>
          <w:b/>
          <w:bCs/>
          <w:color w:val="000000" w:themeColor="text1"/>
          <w:sz w:val="30"/>
          <w:szCs w:val="28"/>
          <w14:textFill>
            <w14:solidFill>
              <w14:schemeClr w14:val="tx1"/>
            </w14:solidFill>
          </w14:textFill>
        </w:rPr>
        <w:t>5、</w:t>
      </w:r>
      <w:r>
        <w:rPr>
          <w:rFonts w:hint="eastAsia" w:ascii="黑体" w:hAnsi="宋体" w:eastAsia="黑体" w:cs="Arial"/>
          <w:color w:val="000000" w:themeColor="text1"/>
          <w:sz w:val="28"/>
          <w:szCs w:val="28"/>
          <w14:textFill>
            <w14:solidFill>
              <w14:schemeClr w14:val="tx1"/>
            </w14:solidFill>
          </w14:textFill>
        </w:rPr>
        <w:t>招标文件的约束力</w:t>
      </w:r>
    </w:p>
    <w:p w14:paraId="50F2DD35">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5.1</w:t>
      </w:r>
      <w:r>
        <w:rPr>
          <w:rFonts w:hint="eastAsia" w:ascii="宋体" w:hAnsi="宋体"/>
          <w:color w:val="000000" w:themeColor="text1"/>
          <w:sz w:val="24"/>
          <w:szCs w:val="24"/>
          <w14:textFill>
            <w14:solidFill>
              <w14:schemeClr w14:val="tx1"/>
            </w14:solidFill>
          </w14:textFill>
        </w:rPr>
        <w:t>投标人一旦参加本项目采购活动，即被认为接受了本招标文件的规定和约束。</w:t>
      </w:r>
    </w:p>
    <w:p w14:paraId="101D2375">
      <w:pPr>
        <w:keepNext/>
        <w:keepLines/>
        <w:spacing w:before="145" w:after="145" w:line="500" w:lineRule="exact"/>
        <w:ind w:firstLine="321"/>
        <w:outlineLvl w:val="2"/>
        <w:rPr>
          <w:b/>
          <w:bCs/>
          <w:color w:val="000000" w:themeColor="text1"/>
          <w:sz w:val="32"/>
          <w:szCs w:val="32"/>
          <w14:textFill>
            <w14:solidFill>
              <w14:schemeClr w14:val="tx1"/>
            </w14:solidFill>
          </w14:textFill>
        </w:rPr>
      </w:pPr>
      <w:bookmarkStart w:id="68" w:name="_Toc513029209"/>
      <w:bookmarkStart w:id="69" w:name="_Toc120614215"/>
      <w:bookmarkStart w:id="70" w:name="_Toc20823281"/>
      <w:bookmarkStart w:id="71" w:name="_Toc16938525"/>
      <w:r>
        <w:rPr>
          <w:rFonts w:hint="eastAsia"/>
          <w:b/>
          <w:bCs/>
          <w:color w:val="000000" w:themeColor="text1"/>
          <w:sz w:val="32"/>
          <w:szCs w:val="32"/>
          <w14:textFill>
            <w14:solidFill>
              <w14:schemeClr w14:val="tx1"/>
            </w14:solidFill>
          </w14:textFill>
        </w:rPr>
        <w:t>二、</w:t>
      </w:r>
      <w:bookmarkEnd w:id="68"/>
      <w:bookmarkEnd w:id="69"/>
      <w:bookmarkEnd w:id="70"/>
      <w:bookmarkEnd w:id="71"/>
      <w:r>
        <w:rPr>
          <w:rFonts w:hint="eastAsia"/>
          <w:b/>
          <w:bCs/>
          <w:color w:val="000000" w:themeColor="text1"/>
          <w:sz w:val="32"/>
          <w:szCs w:val="32"/>
          <w14:textFill>
            <w14:solidFill>
              <w14:schemeClr w14:val="tx1"/>
            </w14:solidFill>
          </w14:textFill>
        </w:rPr>
        <w:t>招标文件</w:t>
      </w:r>
    </w:p>
    <w:p w14:paraId="48E5F3E1">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bookmarkStart w:id="72" w:name="_Toc20823282"/>
      <w:bookmarkStart w:id="73" w:name="_Toc16938526"/>
      <w:bookmarkStart w:id="74" w:name="_Toc513029210"/>
      <w:r>
        <w:rPr>
          <w:rFonts w:hint="eastAsia" w:ascii="Arial" w:hAnsi="Arial" w:eastAsia="黑体" w:cs="Arial"/>
          <w:color w:val="000000" w:themeColor="text1"/>
          <w:sz w:val="28"/>
          <w:szCs w:val="28"/>
          <w14:textFill>
            <w14:solidFill>
              <w14:schemeClr w14:val="tx1"/>
            </w14:solidFill>
          </w14:textFill>
        </w:rPr>
        <w:t>6、招标文件构成</w:t>
      </w:r>
      <w:bookmarkEnd w:id="72"/>
      <w:bookmarkEnd w:id="73"/>
      <w:bookmarkEnd w:id="74"/>
    </w:p>
    <w:p w14:paraId="38C9D74E">
      <w:pPr>
        <w:spacing w:line="500" w:lineRule="exact"/>
        <w:ind w:firstLine="480"/>
        <w:rPr>
          <w:rFonts w:hint="eastAsia"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6.1</w:t>
      </w:r>
      <w:r>
        <w:rPr>
          <w:rFonts w:hint="eastAsia" w:ascii="宋体" w:hAnsi="宋体"/>
          <w:color w:val="000000" w:themeColor="text1"/>
          <w:sz w:val="24"/>
          <w:szCs w:val="21"/>
          <w14:textFill>
            <w14:solidFill>
              <w14:schemeClr w14:val="tx1"/>
            </w14:solidFill>
          </w14:textFill>
        </w:rPr>
        <w:t>招标文件由以下部分组成：</w:t>
      </w:r>
    </w:p>
    <w:p w14:paraId="325599A3">
      <w:pPr>
        <w:spacing w:line="500" w:lineRule="exact"/>
        <w:ind w:firstLine="36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（1）投标邀请</w:t>
      </w:r>
    </w:p>
    <w:p w14:paraId="18F3D4F0">
      <w:pPr>
        <w:spacing w:line="500" w:lineRule="exact"/>
        <w:ind w:firstLine="36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（2）投标人须知</w:t>
      </w:r>
    </w:p>
    <w:p w14:paraId="5D3CC30B">
      <w:pPr>
        <w:spacing w:line="500" w:lineRule="exact"/>
        <w:ind w:firstLine="36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（3）合同文本</w:t>
      </w:r>
    </w:p>
    <w:p w14:paraId="7F135E40">
      <w:pPr>
        <w:spacing w:line="500" w:lineRule="exact"/>
        <w:ind w:firstLine="36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（4）采购需求</w:t>
      </w:r>
    </w:p>
    <w:p w14:paraId="2513B49D">
      <w:pPr>
        <w:spacing w:line="500" w:lineRule="exact"/>
        <w:ind w:firstLine="360"/>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r>
        <w:rPr>
          <w:rFonts w:hint="eastAsia" w:hAnsi="宋体"/>
          <w:color w:val="000000" w:themeColor="text1"/>
          <w:sz w:val="24"/>
          <w:szCs w:val="24"/>
          <w14:textFill>
            <w14:solidFill>
              <w14:schemeClr w14:val="tx1"/>
            </w14:solidFill>
          </w14:textFill>
        </w:rPr>
        <w:t>评标方法与评标标准</w:t>
      </w:r>
    </w:p>
    <w:p w14:paraId="0004AC27">
      <w:pPr>
        <w:spacing w:line="500" w:lineRule="exact"/>
        <w:ind w:firstLine="36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（6）投标文件格式</w:t>
      </w:r>
    </w:p>
    <w:p w14:paraId="4E4D01B9">
      <w:pPr>
        <w:spacing w:line="500" w:lineRule="exact"/>
        <w:ind w:firstLine="48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请仔细检查招标文件是否齐全，如有缺漏请立即与采购中心联系解决。</w:t>
      </w:r>
    </w:p>
    <w:p w14:paraId="7B4800D4">
      <w:pPr>
        <w:spacing w:line="500" w:lineRule="exact"/>
        <w:ind w:firstLine="480"/>
        <w:rPr>
          <w:rFonts w:hint="eastAsia"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6.2</w:t>
      </w:r>
      <w:r>
        <w:rPr>
          <w:rFonts w:hint="eastAsia" w:ascii="宋体" w:hAnsi="宋体"/>
          <w:color w:val="000000" w:themeColor="text1"/>
          <w:sz w:val="24"/>
          <w:szCs w:val="21"/>
          <w14:textFill>
            <w14:solidFill>
              <w14:schemeClr w14:val="tx1"/>
            </w14:solidFill>
          </w14:textFill>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454BEED">
      <w:pPr>
        <w:keepNext/>
        <w:keepLines/>
        <w:spacing w:line="500" w:lineRule="exact"/>
        <w:ind w:firstLine="560"/>
        <w:outlineLvl w:val="3"/>
        <w:rPr>
          <w:rFonts w:ascii="Arial" w:hAnsi="Arial" w:eastAsia="黑体" w:cs="Arial"/>
          <w:color w:val="000000" w:themeColor="text1"/>
          <w:sz w:val="28"/>
          <w:szCs w:val="28"/>
          <w14:textFill>
            <w14:solidFill>
              <w14:schemeClr w14:val="tx1"/>
            </w14:solidFill>
          </w14:textFill>
        </w:rPr>
      </w:pPr>
      <w:bookmarkStart w:id="75" w:name="_Toc513029211"/>
      <w:bookmarkStart w:id="76" w:name="_Toc462564070"/>
      <w:bookmarkStart w:id="77" w:name="_Toc20823283"/>
      <w:bookmarkStart w:id="78" w:name="_Toc16938527"/>
      <w:r>
        <w:rPr>
          <w:rFonts w:hint="eastAsia" w:ascii="Arial" w:hAnsi="Arial" w:eastAsia="黑体" w:cs="Arial"/>
          <w:color w:val="000000" w:themeColor="text1"/>
          <w:sz w:val="28"/>
          <w:szCs w:val="28"/>
          <w14:textFill>
            <w14:solidFill>
              <w14:schemeClr w14:val="tx1"/>
            </w14:solidFill>
          </w14:textFill>
        </w:rPr>
        <w:t>7、招标文件的澄清</w:t>
      </w:r>
      <w:bookmarkEnd w:id="75"/>
      <w:bookmarkEnd w:id="76"/>
      <w:bookmarkEnd w:id="77"/>
      <w:bookmarkEnd w:id="78"/>
    </w:p>
    <w:p w14:paraId="122D51F5">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7.1</w:t>
      </w:r>
      <w:r>
        <w:rPr>
          <w:rFonts w:hint="eastAsia" w:ascii="宋体" w:hAnsi="宋体"/>
          <w:color w:val="000000" w:themeColor="text1"/>
          <w:sz w:val="24"/>
          <w:szCs w:val="21"/>
          <w14:textFill>
            <w14:solidFill>
              <w14:schemeClr w14:val="tx1"/>
            </w14:solidFill>
          </w14:textFill>
        </w:rPr>
        <w:t>任何要求对招标文件进行澄清的投标人，应在投标截止期</w:t>
      </w:r>
      <w:r>
        <w:rPr>
          <w:rFonts w:hint="eastAsia" w:ascii="仿宋_GB2312" w:hAnsi="仿宋_GB2312"/>
          <w:b/>
          <w:color w:val="000000" w:themeColor="text1"/>
          <w:sz w:val="24"/>
          <w:szCs w:val="24"/>
          <w14:textFill>
            <w14:solidFill>
              <w14:schemeClr w14:val="tx1"/>
            </w14:solidFill>
          </w14:textFill>
        </w:rPr>
        <w:t>十日</w:t>
      </w:r>
      <w:r>
        <w:rPr>
          <w:rFonts w:hint="eastAsia" w:ascii="仿宋_GB2312" w:hAnsi="仿宋_GB2312"/>
          <w:color w:val="000000" w:themeColor="text1"/>
          <w:sz w:val="24"/>
          <w:szCs w:val="24"/>
          <w14:textFill>
            <w14:solidFill>
              <w14:schemeClr w14:val="tx1"/>
            </w14:solidFill>
          </w14:textFill>
        </w:rPr>
        <w:t>前</w:t>
      </w:r>
      <w:r>
        <w:rPr>
          <w:rFonts w:hint="eastAsia" w:ascii="宋体" w:hAnsi="宋体"/>
          <w:color w:val="000000" w:themeColor="text1"/>
          <w:sz w:val="24"/>
          <w:szCs w:val="21"/>
          <w14:textFill>
            <w14:solidFill>
              <w14:schemeClr w14:val="tx1"/>
            </w14:solidFill>
          </w14:textFill>
        </w:rPr>
        <w:t>按招标公告中的通讯地址，以书面形式通知采购中心。</w:t>
      </w:r>
    </w:p>
    <w:p w14:paraId="6FADDEE5">
      <w:pPr>
        <w:keepNext/>
        <w:keepLines/>
        <w:spacing w:line="500" w:lineRule="exact"/>
        <w:ind w:firstLine="560"/>
        <w:outlineLvl w:val="3"/>
        <w:rPr>
          <w:rFonts w:ascii="Arial" w:hAnsi="Arial" w:eastAsia="黑体" w:cs="Arial"/>
          <w:color w:val="000000" w:themeColor="text1"/>
          <w:sz w:val="28"/>
          <w:szCs w:val="28"/>
          <w14:textFill>
            <w14:solidFill>
              <w14:schemeClr w14:val="tx1"/>
            </w14:solidFill>
          </w14:textFill>
        </w:rPr>
      </w:pPr>
      <w:bookmarkStart w:id="79" w:name="_Toc20823284"/>
      <w:bookmarkStart w:id="80" w:name="_Toc16938528"/>
      <w:bookmarkStart w:id="81" w:name="_Toc513029212"/>
      <w:bookmarkStart w:id="82" w:name="_Toc462564071"/>
      <w:r>
        <w:rPr>
          <w:rFonts w:hint="eastAsia" w:ascii="Arial" w:hAnsi="Arial" w:eastAsia="黑体" w:cs="Arial"/>
          <w:color w:val="000000" w:themeColor="text1"/>
          <w:sz w:val="28"/>
          <w:szCs w:val="28"/>
          <w14:textFill>
            <w14:solidFill>
              <w14:schemeClr w14:val="tx1"/>
            </w14:solidFill>
          </w14:textFill>
        </w:rPr>
        <w:t>8、招标文件的修改</w:t>
      </w:r>
      <w:bookmarkEnd w:id="79"/>
      <w:bookmarkEnd w:id="80"/>
      <w:bookmarkEnd w:id="81"/>
      <w:bookmarkEnd w:id="82"/>
    </w:p>
    <w:p w14:paraId="7C4CEE8C">
      <w:pPr>
        <w:spacing w:line="500" w:lineRule="exact"/>
        <w:ind w:firstLine="480"/>
        <w:rPr>
          <w:rFonts w:hint="eastAsia"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8.1</w:t>
      </w:r>
      <w:r>
        <w:rPr>
          <w:rFonts w:hint="eastAsia" w:ascii="宋体" w:hAnsi="宋体"/>
          <w:color w:val="000000" w:themeColor="text1"/>
          <w:sz w:val="24"/>
          <w:szCs w:val="21"/>
          <w14:textFill>
            <w14:solidFill>
              <w14:schemeClr w14:val="tx1"/>
            </w14:solidFill>
          </w14:textFill>
        </w:rPr>
        <w:t>在投标截止时间</w:t>
      </w:r>
      <w:r>
        <w:rPr>
          <w:rFonts w:hint="eastAsia" w:ascii="仿宋_GB2312" w:hAnsi="仿宋_GB2312"/>
          <w:color w:val="000000" w:themeColor="text1"/>
          <w:sz w:val="24"/>
          <w:szCs w:val="21"/>
          <w14:textFill>
            <w14:solidFill>
              <w14:schemeClr w14:val="tx1"/>
            </w14:solidFill>
          </w14:textFill>
        </w:rPr>
        <w:t>前</w:t>
      </w:r>
      <w:r>
        <w:rPr>
          <w:rFonts w:hint="eastAsia" w:ascii="宋体" w:hAnsi="宋体"/>
          <w:color w:val="000000" w:themeColor="text1"/>
          <w:sz w:val="24"/>
          <w:szCs w:val="21"/>
          <w14:textFill>
            <w14:solidFill>
              <w14:schemeClr w14:val="tx1"/>
            </w14:solidFill>
          </w14:textFill>
        </w:rPr>
        <w:t>，采购中心可以对招标文件进行修改。</w:t>
      </w:r>
    </w:p>
    <w:p w14:paraId="2E687EB3">
      <w:pPr>
        <w:spacing w:line="500" w:lineRule="exact"/>
        <w:ind w:firstLine="480"/>
        <w:rPr>
          <w:rFonts w:ascii="宋体" w:hAnsi="Arial"/>
          <w:color w:val="000000" w:themeColor="text1"/>
          <w:sz w:val="28"/>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8.2</w:t>
      </w:r>
      <w:r>
        <w:rPr>
          <w:rFonts w:hint="eastAsia" w:ascii="宋体" w:hAnsi="宋体"/>
          <w:color w:val="000000" w:themeColor="text1"/>
          <w:sz w:val="24"/>
          <w:szCs w:val="21"/>
          <w14:textFill>
            <w14:solidFill>
              <w14:schemeClr w14:val="tx1"/>
            </w14:solidFill>
          </w14:textFill>
        </w:rPr>
        <w:t>澄清或者修改的内容可能影响投标文件编制的，采购中心应当在投标截止时间至少15日前发出；不足15日的，应当按照法定</w:t>
      </w:r>
      <w:r>
        <w:rPr>
          <w:rFonts w:hint="eastAsia" w:ascii="宋体" w:hAnsi="宋体"/>
          <w:color w:val="000000" w:themeColor="text1"/>
          <w:sz w:val="24"/>
          <w:szCs w:val="24"/>
          <w14:textFill>
            <w14:solidFill>
              <w14:schemeClr w14:val="tx1"/>
            </w14:solidFill>
          </w14:textFill>
        </w:rPr>
        <w:t>要求</w:t>
      </w:r>
      <w:r>
        <w:rPr>
          <w:rFonts w:hint="eastAsia" w:ascii="宋体" w:hAnsi="宋体"/>
          <w:color w:val="000000" w:themeColor="text1"/>
          <w:sz w:val="24"/>
          <w:szCs w:val="21"/>
          <w14:textFill>
            <w14:solidFill>
              <w14:schemeClr w14:val="tx1"/>
            </w14:solidFill>
          </w14:textFill>
        </w:rPr>
        <w:t>推迟投标截止日期和开标日期。</w:t>
      </w:r>
    </w:p>
    <w:p w14:paraId="79D16D05">
      <w:pPr>
        <w:spacing w:line="500" w:lineRule="exact"/>
        <w:ind w:firstLine="480"/>
        <w:rPr>
          <w:rFonts w:hint="eastAsia"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8.3</w:t>
      </w:r>
      <w:r>
        <w:rPr>
          <w:rFonts w:hint="eastAsia" w:ascii="宋体" w:hAnsi="宋体"/>
          <w:color w:val="000000" w:themeColor="text1"/>
          <w:sz w:val="24"/>
          <w:szCs w:val="21"/>
          <w14:textFill>
            <w14:solidFill>
              <w14:schemeClr w14:val="tx1"/>
            </w14:solidFill>
          </w14:textFill>
        </w:rPr>
        <w:t>招标文件的修改将在江苏政府采购网公布，</w:t>
      </w:r>
      <w:r>
        <w:rPr>
          <w:rFonts w:hint="eastAsia" w:ascii="宋体" w:hAnsi="宋体"/>
          <w:color w:val="000000" w:themeColor="text1"/>
          <w:sz w:val="24"/>
          <w:szCs w:val="24"/>
          <w14:textFill>
            <w14:solidFill>
              <w14:schemeClr w14:val="tx1"/>
            </w14:solidFill>
          </w14:textFill>
        </w:rPr>
        <w:t>补充文件将作为招标文件的组成部分，</w:t>
      </w:r>
      <w:r>
        <w:rPr>
          <w:rFonts w:hint="eastAsia" w:ascii="宋体" w:hAnsi="宋体"/>
          <w:color w:val="000000" w:themeColor="text1"/>
          <w:sz w:val="24"/>
          <w:szCs w:val="21"/>
          <w14:textFill>
            <w14:solidFill>
              <w14:schemeClr w14:val="tx1"/>
            </w14:solidFill>
          </w14:textFill>
        </w:rPr>
        <w:t>并对投标人具有约束力。</w:t>
      </w:r>
    </w:p>
    <w:p w14:paraId="72504A68">
      <w:pPr>
        <w:keepNext/>
        <w:keepLines/>
        <w:spacing w:before="145" w:after="145" w:line="500" w:lineRule="exact"/>
        <w:ind w:firstLine="482"/>
        <w:outlineLvl w:val="2"/>
        <w:rPr>
          <w:b/>
          <w:bCs/>
          <w:color w:val="000000" w:themeColor="text1"/>
          <w:sz w:val="32"/>
          <w:szCs w:val="32"/>
          <w14:textFill>
            <w14:solidFill>
              <w14:schemeClr w14:val="tx1"/>
            </w14:solidFill>
          </w14:textFill>
        </w:rPr>
      </w:pPr>
      <w:bookmarkStart w:id="83" w:name="_Toc20823285"/>
      <w:bookmarkStart w:id="84" w:name="_Toc462564072"/>
      <w:bookmarkStart w:id="85" w:name="_Toc513029213"/>
      <w:bookmarkStart w:id="86" w:name="_Toc16938529"/>
      <w:bookmarkStart w:id="87" w:name="_Toc120614216"/>
      <w:r>
        <w:rPr>
          <w:rFonts w:hint="eastAsia"/>
          <w:b/>
          <w:bCs/>
          <w:color w:val="000000" w:themeColor="text1"/>
          <w:sz w:val="32"/>
          <w:szCs w:val="32"/>
          <w14:textFill>
            <w14:solidFill>
              <w14:schemeClr w14:val="tx1"/>
            </w14:solidFill>
          </w14:textFill>
        </w:rPr>
        <w:t>三、投标文件的编制</w:t>
      </w:r>
      <w:bookmarkEnd w:id="83"/>
      <w:bookmarkEnd w:id="84"/>
      <w:bookmarkEnd w:id="85"/>
      <w:bookmarkEnd w:id="86"/>
      <w:bookmarkEnd w:id="87"/>
    </w:p>
    <w:p w14:paraId="0D435FB6">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bookmarkStart w:id="88" w:name="_Toc20823287"/>
      <w:bookmarkStart w:id="89" w:name="_Toc513029215"/>
      <w:bookmarkStart w:id="90" w:name="_Toc16938531"/>
      <w:bookmarkStart w:id="91" w:name="_Toc462564074"/>
      <w:r>
        <w:rPr>
          <w:rFonts w:hint="eastAsia" w:ascii="Calibri" w:hAnsi="Calibri"/>
          <w:b/>
          <w:bCs/>
          <w:color w:val="000000" w:themeColor="text1"/>
          <w:sz w:val="28"/>
          <w:szCs w:val="28"/>
          <w14:textFill>
            <w14:solidFill>
              <w14:schemeClr w14:val="tx1"/>
            </w14:solidFill>
          </w14:textFill>
        </w:rPr>
        <w:t>9、投标文件编写注意事项</w:t>
      </w:r>
    </w:p>
    <w:p w14:paraId="6CBB7A31">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9.1投标人应当仔细阅读招标文件中所有的事项、格式、条款和规范等要求，在完全了解招标内容、技术性能要求和商务条件后，按照招标文件的要求编制投标文件。投标文件应当对招标文件提出的实质性要求和条件作出明确响应，并保证所提供的全部资料真实、准确。投标人提供虚假材料谋取中标的，依法承担相应法律责任，并按《中华人民共和国政府采购法》第七十七条等规定处理。</w:t>
      </w:r>
    </w:p>
    <w:p w14:paraId="6F4BA907">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9.2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bookmarkEnd w:id="88"/>
    <w:bookmarkEnd w:id="89"/>
    <w:bookmarkEnd w:id="90"/>
    <w:bookmarkEnd w:id="91"/>
    <w:p w14:paraId="44A05BDE">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bookmarkStart w:id="92" w:name="_Hlt26670360"/>
      <w:bookmarkEnd w:id="92"/>
      <w:bookmarkStart w:id="93" w:name="_Hlt26668975"/>
      <w:bookmarkEnd w:id="93"/>
      <w:bookmarkStart w:id="94" w:name="_Hlt26954838"/>
      <w:bookmarkEnd w:id="94"/>
      <w:bookmarkStart w:id="95" w:name="_Toc49090509"/>
      <w:bookmarkStart w:id="96" w:name="_Toc14577357"/>
      <w:bookmarkStart w:id="97" w:name="_Toc513029219"/>
      <w:bookmarkStart w:id="98" w:name="_Toc49090507"/>
      <w:bookmarkStart w:id="99" w:name="_Toc14577354"/>
      <w:bookmarkStart w:id="100" w:name="_Toc513029216"/>
      <w:bookmarkStart w:id="101" w:name="_Toc49090508"/>
      <w:bookmarkStart w:id="102" w:name="_Toc14577355"/>
      <w:r>
        <w:rPr>
          <w:rFonts w:hint="eastAsia" w:ascii="Calibri" w:hAnsi="Calibri"/>
          <w:b/>
          <w:bCs/>
          <w:color w:val="000000" w:themeColor="text1"/>
          <w:sz w:val="28"/>
          <w:szCs w:val="28"/>
          <w14:textFill>
            <w14:solidFill>
              <w14:schemeClr w14:val="tx1"/>
            </w14:solidFill>
          </w14:textFill>
        </w:rPr>
        <w:t>10、投标文件的语言及度量衡单位</w:t>
      </w:r>
    </w:p>
    <w:p w14:paraId="56F123E5">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10.1除专用术语外，投标人提交的投标文件以及投标人与采购人和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7BFAF6A2">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10.2除技术性能另有规定外，投标文件所使用的度量衡单位，均须采用国家法定计量单位。</w:t>
      </w:r>
    </w:p>
    <w:p w14:paraId="65D49B03">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11、投标文件的构成</w:t>
      </w:r>
    </w:p>
    <w:p w14:paraId="284BAD2A">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11.1投标人编写的投标文件应包括资格证明文件、符合性证明文件、投标分项报价表、技术要求响应及偏离表、商务要求响应及偏离表、其他证明文件、投标函、开标一览表等部分。</w:t>
      </w:r>
    </w:p>
    <w:p w14:paraId="7A3EED62">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11.2如投标文件制作工具中格式和内容与江苏政府采购网发布的招标文件不一致，请以江苏政府采购网发布的招标文件为准。</w:t>
      </w:r>
    </w:p>
    <w:p w14:paraId="5B25D398">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11.3特别提醒投标人，投标文件应当编排清晰、便于查阅；因编排混乱导致评标委员会无法查找有效内容的，由此产生的不利后果由投标人自行承担。</w:t>
      </w:r>
    </w:p>
    <w:p w14:paraId="553345F5">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r>
        <w:rPr>
          <w:rFonts w:hint="eastAsia" w:ascii="Arial" w:hAnsi="Arial" w:eastAsia="黑体" w:cs="Arial"/>
          <w:color w:val="000000" w:themeColor="text1"/>
          <w:sz w:val="28"/>
          <w:szCs w:val="28"/>
          <w14:textFill>
            <w14:solidFill>
              <w14:schemeClr w14:val="tx1"/>
            </w14:solidFill>
          </w14:textFill>
        </w:rPr>
        <w:t>12、证明投标人及投标标的符合招标文件规定的文件</w:t>
      </w:r>
      <w:bookmarkEnd w:id="95"/>
      <w:bookmarkEnd w:id="96"/>
      <w:bookmarkEnd w:id="97"/>
    </w:p>
    <w:bookmarkEnd w:id="98"/>
    <w:bookmarkEnd w:id="99"/>
    <w:bookmarkEnd w:id="100"/>
    <w:p w14:paraId="2B0FBCBE">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12.1投标人应按照招标文件要求提交证明文件，证明其及投标标的符合招标文件规定。</w:t>
      </w:r>
    </w:p>
    <w:p w14:paraId="15C89EB7">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12.2招标文件对证明文件无明确形式要求的，证明文件可以以文字资料、图纸和数据等形式提交。</w:t>
      </w:r>
    </w:p>
    <w:p w14:paraId="4C7D9637">
      <w:pPr>
        <w:spacing w:line="500" w:lineRule="exact"/>
        <w:ind w:firstLine="480"/>
        <w:jc w:val="left"/>
        <w:rPr>
          <w:rFonts w:hint="eastAsia" w:ascii="宋体" w:hAnsi="宋体"/>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12.3投标人委托代理时应当提交授权委托书，请按招标文件第六章给定格式及要求填写并附法定代表人（单位负责人）与委托代理人身份证明。</w:t>
      </w:r>
    </w:p>
    <w:bookmarkEnd w:id="101"/>
    <w:bookmarkEnd w:id="102"/>
    <w:p w14:paraId="08F89D9E">
      <w:pPr>
        <w:keepNext/>
        <w:keepLines/>
        <w:spacing w:line="360" w:lineRule="auto"/>
        <w:ind w:firstLine="562"/>
        <w:jc w:val="left"/>
        <w:outlineLvl w:val="2"/>
        <w:rPr>
          <w:rFonts w:ascii="Calibri" w:hAnsi="Calibri"/>
          <w:b/>
          <w:bCs/>
          <w:color w:val="000000" w:themeColor="text1"/>
          <w:sz w:val="32"/>
          <w:szCs w:val="32"/>
          <w14:textFill>
            <w14:solidFill>
              <w14:schemeClr w14:val="tx1"/>
            </w14:solidFill>
          </w14:textFill>
        </w:rPr>
      </w:pPr>
      <w:bookmarkStart w:id="103" w:name="_Hlt26670482"/>
      <w:bookmarkEnd w:id="103"/>
      <w:bookmarkStart w:id="104" w:name="_Hlt26954731"/>
      <w:bookmarkEnd w:id="104"/>
      <w:bookmarkStart w:id="105" w:name="_Hlt26954846"/>
      <w:bookmarkEnd w:id="105"/>
      <w:bookmarkStart w:id="106" w:name="_Hlt26954848"/>
      <w:bookmarkEnd w:id="106"/>
      <w:bookmarkStart w:id="107" w:name="_Hlt26670486"/>
      <w:bookmarkEnd w:id="107"/>
      <w:r>
        <w:rPr>
          <w:rFonts w:hint="eastAsia" w:ascii="Calibri" w:hAnsi="Calibri"/>
          <w:b/>
          <w:bCs/>
          <w:color w:val="000000" w:themeColor="text1"/>
          <w:sz w:val="28"/>
          <w:szCs w:val="28"/>
          <w14:textFill>
            <w14:solidFill>
              <w14:schemeClr w14:val="tx1"/>
            </w14:solidFill>
          </w14:textFill>
        </w:rPr>
        <w:t>13、投标分项报价表</w:t>
      </w:r>
    </w:p>
    <w:p w14:paraId="44C35D83">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投标报价指完成本项目全部服务内容所需费用的总和，包括系统定制开发、部署实施、配套硬件设备供货、安装调试、培训、运行维护、售后服务、验收、必要的保险费用及各项税金等全部费用。投标报价为服务总包价，投标报价必须含以下部分：</w:t>
      </w:r>
    </w:p>
    <w:p w14:paraId="15E73D63">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（1）服务内容（含系统定制开发与部署实施）报价；</w:t>
      </w:r>
    </w:p>
    <w:p w14:paraId="632ACDCA">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（2）配套硬件设备的标准附件、备品备件、专用工具、运输、装卸等各种费用；</w:t>
      </w:r>
    </w:p>
    <w:p w14:paraId="7C259B84">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（3）必要的保险费用和各项税金；</w:t>
      </w:r>
    </w:p>
    <w:p w14:paraId="49CC0EB0">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（4）投标总价要求包含安装调试费用及服务期内的运行维护费用。</w:t>
      </w:r>
    </w:p>
    <w:p w14:paraId="345C59F8">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13.2投标人应根据投标报价要求在投标分项报价表中列明各项投标单价、总价等，未全部列示的，评标委员会应当要求投标人作出澄清、说明；投标人未按要求澄清、说明的，相关分项按负偏离处理。</w:t>
      </w:r>
    </w:p>
    <w:p w14:paraId="55F44560">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13.3投标文件中的单价和总价无特殊规定的采用人民币报价，以元为单位标注。招标文件中另有规定的按规定执行。</w:t>
      </w:r>
    </w:p>
    <w:p w14:paraId="17165C41">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14、技术要求响应及偏离表、商务要求响应及偏离表</w:t>
      </w:r>
    </w:p>
    <w:p w14:paraId="4FDDDE10">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0D9CEB59">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14.2投标人可在投标文件中提供认为需要的其他技术文件或说明。</w:t>
      </w:r>
    </w:p>
    <w:p w14:paraId="57FD7F83">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bookmarkStart w:id="108" w:name="_Hlt26954852"/>
      <w:bookmarkEnd w:id="108"/>
      <w:bookmarkStart w:id="109" w:name="_Hlt26954739"/>
      <w:bookmarkEnd w:id="109"/>
      <w:bookmarkStart w:id="110" w:name="_Toc513029224"/>
      <w:bookmarkStart w:id="111" w:name="_Toc120614217"/>
      <w:bookmarkStart w:id="112" w:name="_Toc16938540"/>
      <w:bookmarkStart w:id="113" w:name="_Toc20823296"/>
      <w:r>
        <w:rPr>
          <w:rFonts w:hint="eastAsia" w:ascii="Calibri" w:hAnsi="Calibri"/>
          <w:b/>
          <w:bCs/>
          <w:color w:val="000000" w:themeColor="text1"/>
          <w:sz w:val="28"/>
          <w:szCs w:val="28"/>
          <w14:textFill>
            <w14:solidFill>
              <w14:schemeClr w14:val="tx1"/>
            </w14:solidFill>
          </w14:textFill>
        </w:rPr>
        <w:t>15、服务承诺、培训计划、人员安排及其他</w:t>
      </w:r>
    </w:p>
    <w:p w14:paraId="331197B0">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15.1投标人应根据招标文件要求提供有关售后服务的管理制度，售后服务机构的分布情况，售后服务人员的数量、素质、技术水平及售后服务的反应能力等。</w:t>
      </w:r>
    </w:p>
    <w:p w14:paraId="44F4FF46">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15.2投标人应根据招标文件要求提供培训计划、人员安排等。</w:t>
      </w:r>
    </w:p>
    <w:p w14:paraId="05F1ED16">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15.3投标人应根据招标文件要求提供所投标的的主要组成部分、功能设计、实现思路及关键技术等。</w:t>
      </w:r>
    </w:p>
    <w:p w14:paraId="2D211180">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16、投标函和开标一览表</w:t>
      </w:r>
    </w:p>
    <w:p w14:paraId="68A9314A">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16.1投标人应按照招标文件提供的格式完整、正确填写投标函、开标一览表。</w:t>
      </w:r>
    </w:p>
    <w:p w14:paraId="3DD4E343">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16.2对于采用货币报价的项目，开标一览表中的投标总报价应与投标分项报价表中的投标总报价一致，如不一致，不作无效投标处理，但评标时以开标一览表中价格为准。</w:t>
      </w:r>
    </w:p>
    <w:p w14:paraId="2B1F5317">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17、投标有效期</w:t>
      </w:r>
    </w:p>
    <w:p w14:paraId="6BC35359">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17.1投标有效期为招标文件规定的开标之日后六十（60）天。投标有效期比规定短的将被视为未实质性响应招标文件而予以拒绝。</w:t>
      </w:r>
    </w:p>
    <w:p w14:paraId="3F616DCD">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17.2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17BE1DAD">
      <w:pPr>
        <w:keepNext/>
        <w:keepLines/>
        <w:spacing w:before="145" w:after="145" w:line="500" w:lineRule="exact"/>
        <w:outlineLvl w:val="2"/>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四、投标文件的递交</w:t>
      </w:r>
      <w:bookmarkEnd w:id="110"/>
      <w:bookmarkEnd w:id="111"/>
      <w:bookmarkEnd w:id="112"/>
      <w:bookmarkEnd w:id="113"/>
    </w:p>
    <w:p w14:paraId="73854545">
      <w:pPr>
        <w:keepNext/>
        <w:keepLines/>
        <w:spacing w:line="500" w:lineRule="exact"/>
        <w:ind w:firstLine="420"/>
        <w:outlineLvl w:val="3"/>
        <w:rPr>
          <w:rFonts w:ascii="黑体" w:hAnsi="Arial" w:eastAsia="黑体" w:cs="Arial"/>
          <w:color w:val="000000" w:themeColor="text1"/>
          <w:sz w:val="28"/>
          <w:szCs w:val="28"/>
          <w14:textFill>
            <w14:solidFill>
              <w14:schemeClr w14:val="tx1"/>
            </w14:solidFill>
          </w14:textFill>
        </w:rPr>
      </w:pPr>
      <w:bookmarkStart w:id="114" w:name="_Toc20823297"/>
      <w:bookmarkStart w:id="115" w:name="_Toc513029225"/>
      <w:bookmarkStart w:id="116" w:name="_Toc16938541"/>
      <w:bookmarkStart w:id="117" w:name="_Toc462564084"/>
      <w:r>
        <w:rPr>
          <w:rFonts w:hint="eastAsia" w:ascii="Arial" w:hAnsi="Arial" w:eastAsia="黑体" w:cs="Arial"/>
          <w:color w:val="000000" w:themeColor="text1"/>
          <w:sz w:val="28"/>
          <w:szCs w:val="28"/>
          <w14:textFill>
            <w14:solidFill>
              <w14:schemeClr w14:val="tx1"/>
            </w14:solidFill>
          </w14:textFill>
        </w:rPr>
        <w:t>1</w:t>
      </w:r>
      <w:r>
        <w:rPr>
          <w:rFonts w:ascii="Arial" w:hAnsi="Arial" w:eastAsia="黑体" w:cs="Arial"/>
          <w:color w:val="000000" w:themeColor="text1"/>
          <w:sz w:val="28"/>
          <w:szCs w:val="28"/>
          <w14:textFill>
            <w14:solidFill>
              <w14:schemeClr w14:val="tx1"/>
            </w14:solidFill>
          </w14:textFill>
        </w:rPr>
        <w:t>8</w:t>
      </w:r>
      <w:r>
        <w:rPr>
          <w:rFonts w:hint="eastAsia" w:ascii="Arial" w:hAnsi="Arial" w:eastAsia="黑体" w:cs="Arial"/>
          <w:color w:val="000000" w:themeColor="text1"/>
          <w:sz w:val="28"/>
          <w:szCs w:val="28"/>
          <w14:textFill>
            <w14:solidFill>
              <w14:schemeClr w14:val="tx1"/>
            </w14:solidFill>
          </w14:textFill>
        </w:rPr>
        <w:t>、电子</w:t>
      </w:r>
      <w:r>
        <w:rPr>
          <w:rFonts w:hint="eastAsia" w:ascii="黑体" w:hAnsi="Arial" w:eastAsia="黑体" w:cs="Arial"/>
          <w:color w:val="000000" w:themeColor="text1"/>
          <w:sz w:val="28"/>
          <w:szCs w:val="28"/>
          <w14:textFill>
            <w14:solidFill>
              <w14:schemeClr w14:val="tx1"/>
            </w14:solidFill>
          </w14:textFill>
        </w:rPr>
        <w:t>投标文件</w:t>
      </w:r>
      <w:bookmarkEnd w:id="114"/>
      <w:bookmarkEnd w:id="115"/>
      <w:bookmarkEnd w:id="116"/>
      <w:bookmarkEnd w:id="117"/>
      <w:r>
        <w:rPr>
          <w:rFonts w:hint="eastAsia" w:ascii="黑体" w:hAnsi="Arial" w:eastAsia="黑体" w:cs="Arial"/>
          <w:color w:val="000000" w:themeColor="text1"/>
          <w:sz w:val="28"/>
          <w:szCs w:val="28"/>
          <w14:textFill>
            <w14:solidFill>
              <w14:schemeClr w14:val="tx1"/>
            </w14:solidFill>
          </w14:textFill>
        </w:rPr>
        <w:t>的递交</w:t>
      </w:r>
    </w:p>
    <w:p w14:paraId="5ABF5696">
      <w:pPr>
        <w:spacing w:line="500" w:lineRule="exact"/>
        <w:ind w:left="525"/>
        <w:jc w:val="left"/>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18.1投标人应当按照《操作手册》规定，在投标截止时间前制作并上传电子投标文件。</w:t>
      </w:r>
      <w:bookmarkStart w:id="118" w:name="_Toc20823298"/>
      <w:bookmarkStart w:id="119" w:name="_Toc513029226"/>
      <w:bookmarkStart w:id="120" w:name="_Toc16938542"/>
    </w:p>
    <w:p w14:paraId="79698F55">
      <w:pPr>
        <w:keepNext/>
        <w:keepLines/>
        <w:spacing w:before="280" w:after="290" w:line="500" w:lineRule="exact"/>
        <w:ind w:firstLine="420"/>
        <w:outlineLvl w:val="3"/>
        <w:rPr>
          <w:rFonts w:hint="eastAsia" w:ascii="宋体" w:hAnsi="宋体" w:eastAsia="黑体" w:cs="Arial"/>
          <w:bCs/>
          <w:color w:val="000000" w:themeColor="text1"/>
          <w:sz w:val="24"/>
          <w:szCs w:val="28"/>
          <w14:textFill>
            <w14:solidFill>
              <w14:schemeClr w14:val="tx1"/>
            </w14:solidFill>
          </w14:textFill>
        </w:rPr>
      </w:pPr>
      <w:r>
        <w:rPr>
          <w:rFonts w:ascii="Arial" w:hAnsi="Arial" w:eastAsia="黑体" w:cs="Arial"/>
          <w:bCs/>
          <w:color w:val="000000" w:themeColor="text1"/>
          <w:sz w:val="28"/>
          <w:szCs w:val="28"/>
          <w14:textFill>
            <w14:solidFill>
              <w14:schemeClr w14:val="tx1"/>
            </w14:solidFill>
          </w14:textFill>
        </w:rPr>
        <w:t>19</w:t>
      </w:r>
      <w:r>
        <w:rPr>
          <w:rFonts w:hint="eastAsia" w:ascii="Arial" w:hAnsi="Arial" w:eastAsia="黑体" w:cs="Arial"/>
          <w:bCs/>
          <w:color w:val="000000" w:themeColor="text1"/>
          <w:sz w:val="28"/>
          <w:szCs w:val="28"/>
          <w14:textFill>
            <w14:solidFill>
              <w14:schemeClr w14:val="tx1"/>
            </w14:solidFill>
          </w14:textFill>
        </w:rPr>
        <w:t>、投标截止日期</w:t>
      </w:r>
      <w:bookmarkEnd w:id="118"/>
      <w:bookmarkEnd w:id="119"/>
      <w:bookmarkEnd w:id="120"/>
    </w:p>
    <w:p w14:paraId="61AC9DB9">
      <w:pPr>
        <w:spacing w:line="500" w:lineRule="exact"/>
        <w:ind w:firstLine="480"/>
        <w:rPr>
          <w:rFonts w:hint="eastAsia" w:ascii="宋体" w:hAnsi="宋体"/>
          <w:bCs/>
          <w:iCs/>
          <w:color w:val="000000" w:themeColor="text1"/>
          <w:sz w:val="24"/>
          <w:szCs w:val="21"/>
          <w14:textFill>
            <w14:solidFill>
              <w14:schemeClr w14:val="tx1"/>
            </w14:solidFill>
          </w14:textFill>
        </w:rPr>
      </w:pPr>
      <w:r>
        <w:rPr>
          <w:rFonts w:ascii="宋体" w:hAnsi="宋体"/>
          <w:iCs/>
          <w:color w:val="000000" w:themeColor="text1"/>
          <w:sz w:val="24"/>
          <w:szCs w:val="21"/>
          <w14:textFill>
            <w14:solidFill>
              <w14:schemeClr w14:val="tx1"/>
            </w14:solidFill>
          </w14:textFill>
        </w:rPr>
        <w:t>19</w:t>
      </w:r>
      <w:r>
        <w:rPr>
          <w:rFonts w:hint="eastAsia" w:ascii="宋体" w:hAnsi="宋体"/>
          <w:iCs/>
          <w:color w:val="000000" w:themeColor="text1"/>
          <w:sz w:val="24"/>
          <w:szCs w:val="21"/>
          <w14:textFill>
            <w14:solidFill>
              <w14:schemeClr w14:val="tx1"/>
            </w14:solidFill>
          </w14:textFill>
        </w:rPr>
        <w:t>.1</w:t>
      </w:r>
      <w:r>
        <w:rPr>
          <w:rFonts w:hint="eastAsia" w:ascii="宋体" w:hAnsi="宋体"/>
          <w:bCs/>
          <w:iCs/>
          <w:color w:val="000000" w:themeColor="text1"/>
          <w:sz w:val="24"/>
          <w:szCs w:val="21"/>
          <w14:textFill>
            <w14:solidFill>
              <w14:schemeClr w14:val="tx1"/>
            </w14:solidFill>
          </w14:textFill>
        </w:rPr>
        <w:t>投标人上传电子投标文件的时间不得迟于招标公告中规定的投标截止时间。</w:t>
      </w:r>
    </w:p>
    <w:p w14:paraId="362BA723">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14:paraId="43B7B6E4">
      <w:pPr>
        <w:spacing w:line="500" w:lineRule="exact"/>
        <w:ind w:firstLine="480"/>
        <w:rPr>
          <w:rFonts w:hint="eastAsia" w:ascii="宋体" w:hAnsi="宋体"/>
          <w:bCs/>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19</w:t>
      </w:r>
      <w:r>
        <w:rPr>
          <w:rFonts w:hint="eastAsia" w:ascii="宋体" w:hAnsi="宋体"/>
          <w:color w:val="000000" w:themeColor="text1"/>
          <w:sz w:val="24"/>
          <w:szCs w:val="21"/>
          <w14:textFill>
            <w14:solidFill>
              <w14:schemeClr w14:val="tx1"/>
            </w14:solidFill>
          </w14:textFill>
        </w:rPr>
        <w:t>.2</w:t>
      </w:r>
      <w:r>
        <w:rPr>
          <w:rFonts w:hint="eastAsia" w:ascii="宋体" w:hAnsi="宋体"/>
          <w:bCs/>
          <w:color w:val="000000" w:themeColor="text1"/>
          <w:sz w:val="24"/>
          <w:szCs w:val="21"/>
          <w14:textFill>
            <w14:solidFill>
              <w14:schemeClr w14:val="tx1"/>
            </w14:solidFill>
          </w14:textFill>
        </w:rPr>
        <w:t>采购中心可以按照规定，通过修改招标文件酌情延长投标截止日期，在此情况下，投标人的所有权利和义务以及投标人受制的截止日期均应以延长后新的截止日期为准。</w:t>
      </w:r>
    </w:p>
    <w:p w14:paraId="79F0261C">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bookmarkStart w:id="121" w:name="_Toc513029227"/>
      <w:bookmarkStart w:id="122" w:name="_Toc20823299"/>
      <w:bookmarkStart w:id="123" w:name="_Toc16938543"/>
      <w:r>
        <w:rPr>
          <w:rFonts w:hint="eastAsia" w:ascii="Arial" w:hAnsi="Arial" w:eastAsia="黑体" w:cs="Arial"/>
          <w:color w:val="000000" w:themeColor="text1"/>
          <w:sz w:val="28"/>
          <w:szCs w:val="28"/>
          <w14:textFill>
            <w14:solidFill>
              <w14:schemeClr w14:val="tx1"/>
            </w14:solidFill>
          </w14:textFill>
        </w:rPr>
        <w:t>2</w:t>
      </w:r>
      <w:r>
        <w:rPr>
          <w:rFonts w:ascii="Arial" w:hAnsi="Arial" w:eastAsia="黑体" w:cs="Arial"/>
          <w:color w:val="000000" w:themeColor="text1"/>
          <w:sz w:val="28"/>
          <w:szCs w:val="28"/>
          <w14:textFill>
            <w14:solidFill>
              <w14:schemeClr w14:val="tx1"/>
            </w14:solidFill>
          </w14:textFill>
        </w:rPr>
        <w:t>0</w:t>
      </w:r>
      <w:r>
        <w:rPr>
          <w:rFonts w:hint="eastAsia" w:ascii="Arial" w:hAnsi="Arial" w:eastAsia="黑体" w:cs="Arial"/>
          <w:color w:val="000000" w:themeColor="text1"/>
          <w:sz w:val="28"/>
          <w:szCs w:val="28"/>
          <w14:textFill>
            <w14:solidFill>
              <w14:schemeClr w14:val="tx1"/>
            </w14:solidFill>
          </w14:textFill>
        </w:rPr>
        <w:t>、投标文件</w:t>
      </w:r>
      <w:bookmarkEnd w:id="121"/>
      <w:bookmarkEnd w:id="122"/>
      <w:bookmarkEnd w:id="123"/>
      <w:r>
        <w:rPr>
          <w:rFonts w:hint="eastAsia" w:ascii="Arial" w:hAnsi="Arial" w:eastAsia="黑体" w:cs="Arial"/>
          <w:color w:val="000000" w:themeColor="text1"/>
          <w:sz w:val="28"/>
          <w:szCs w:val="28"/>
          <w14:textFill>
            <w14:solidFill>
              <w14:schemeClr w14:val="tx1"/>
            </w14:solidFill>
          </w14:textFill>
        </w:rPr>
        <w:t>的拒收</w:t>
      </w:r>
    </w:p>
    <w:p w14:paraId="0CF305D9">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20.1采购中心拒绝接收在其规定的投标截止时间后上传的任何投标文件。</w:t>
      </w:r>
    </w:p>
    <w:p w14:paraId="62340B1B">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bookmarkStart w:id="124" w:name="_Toc20823300"/>
      <w:bookmarkStart w:id="125" w:name="_Toc16938544"/>
      <w:bookmarkStart w:id="126" w:name="_Toc513029228"/>
      <w:r>
        <w:rPr>
          <w:rFonts w:hint="eastAsia" w:ascii="Arial" w:hAnsi="Arial" w:eastAsia="黑体" w:cs="Arial"/>
          <w:color w:val="000000" w:themeColor="text1"/>
          <w:sz w:val="28"/>
          <w:szCs w:val="28"/>
          <w14:textFill>
            <w14:solidFill>
              <w14:schemeClr w14:val="tx1"/>
            </w14:solidFill>
          </w14:textFill>
        </w:rPr>
        <w:t>2</w:t>
      </w:r>
      <w:r>
        <w:rPr>
          <w:rFonts w:ascii="Arial" w:hAnsi="Arial" w:eastAsia="黑体" w:cs="Arial"/>
          <w:color w:val="000000" w:themeColor="text1"/>
          <w:sz w:val="28"/>
          <w:szCs w:val="28"/>
          <w14:textFill>
            <w14:solidFill>
              <w14:schemeClr w14:val="tx1"/>
            </w14:solidFill>
          </w14:textFill>
        </w:rPr>
        <w:t>1</w:t>
      </w:r>
      <w:r>
        <w:rPr>
          <w:rFonts w:hint="eastAsia" w:ascii="Arial" w:hAnsi="Arial" w:eastAsia="黑体" w:cs="Arial"/>
          <w:color w:val="000000" w:themeColor="text1"/>
          <w:sz w:val="28"/>
          <w:szCs w:val="28"/>
          <w14:textFill>
            <w14:solidFill>
              <w14:schemeClr w14:val="tx1"/>
            </w14:solidFill>
          </w14:textFill>
        </w:rPr>
        <w:t>、投标文件的撤回和修改</w:t>
      </w:r>
      <w:bookmarkEnd w:id="124"/>
      <w:bookmarkEnd w:id="125"/>
      <w:bookmarkEnd w:id="126"/>
    </w:p>
    <w:p w14:paraId="019AEA45">
      <w:pPr>
        <w:spacing w:line="500" w:lineRule="exact"/>
        <w:ind w:firstLine="48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1</w:t>
      </w:r>
      <w:r>
        <w:rPr>
          <w:rFonts w:hint="eastAsia" w:ascii="宋体" w:hAnsi="宋体"/>
          <w:color w:val="000000" w:themeColor="text1"/>
          <w:sz w:val="24"/>
          <w:szCs w:val="21"/>
          <w14:textFill>
            <w14:solidFill>
              <w14:schemeClr w14:val="tx1"/>
            </w14:solidFill>
          </w14:textFill>
        </w:rPr>
        <w:t>.1投标文件的撤回</w:t>
      </w:r>
    </w:p>
    <w:p w14:paraId="2F1A1C47">
      <w:pPr>
        <w:spacing w:line="500" w:lineRule="exact"/>
        <w:ind w:firstLine="48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1</w:t>
      </w:r>
      <w:r>
        <w:rPr>
          <w:rFonts w:hint="eastAsia" w:ascii="宋体" w:hAnsi="宋体"/>
          <w:color w:val="000000" w:themeColor="text1"/>
          <w:sz w:val="24"/>
          <w:szCs w:val="21"/>
          <w14:textFill>
            <w14:solidFill>
              <w14:schemeClr w14:val="tx1"/>
            </w14:solidFill>
          </w14:textFill>
        </w:rPr>
        <w:t>.1.1电子投标文件的撤回</w:t>
      </w:r>
    </w:p>
    <w:p w14:paraId="17BBA703">
      <w:pPr>
        <w:spacing w:line="500" w:lineRule="exact"/>
        <w:ind w:firstLine="48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投标人可在投标截止时间前，撤回其电子投标文件，具体操作方法见《操作手册》。</w:t>
      </w:r>
    </w:p>
    <w:p w14:paraId="1502ED8E">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投标人撤回电子投标文件，则认为其不再参与本项目投标活动。</w:t>
      </w:r>
    </w:p>
    <w:p w14:paraId="2C60190C">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.2投标文件的修改</w:t>
      </w:r>
    </w:p>
    <w:p w14:paraId="7DADA2E1">
      <w:pPr>
        <w:spacing w:line="500" w:lineRule="exact"/>
        <w:ind w:firstLine="48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21.2.1投标人可在投标截止时间前，对其电子投标文件进行修改，具体操作方法见《操作手册》。</w:t>
      </w:r>
    </w:p>
    <w:p w14:paraId="094E9F2B">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1</w:t>
      </w:r>
      <w:r>
        <w:rPr>
          <w:rFonts w:hint="eastAsia" w:ascii="宋体" w:hAnsi="宋体"/>
          <w:color w:val="000000" w:themeColor="text1"/>
          <w:sz w:val="24"/>
          <w:szCs w:val="21"/>
          <w14:textFill>
            <w14:solidFill>
              <w14:schemeClr w14:val="tx1"/>
            </w14:solidFill>
          </w14:textFill>
        </w:rPr>
        <w:t>.</w:t>
      </w:r>
      <w:r>
        <w:rPr>
          <w:rFonts w:ascii="宋体" w:hAnsi="宋体"/>
          <w:color w:val="000000" w:themeColor="text1"/>
          <w:sz w:val="24"/>
          <w:szCs w:val="21"/>
          <w14:textFill>
            <w14:solidFill>
              <w14:schemeClr w14:val="tx1"/>
            </w14:solidFill>
          </w14:textFill>
        </w:rPr>
        <w:t>2.2</w:t>
      </w:r>
      <w:r>
        <w:rPr>
          <w:rFonts w:hint="eastAsia" w:ascii="宋体" w:hAnsi="宋体"/>
          <w:bCs/>
          <w:color w:val="000000" w:themeColor="text1"/>
          <w:sz w:val="24"/>
          <w:szCs w:val="21"/>
          <w14:textFill>
            <w14:solidFill>
              <w14:schemeClr w14:val="tx1"/>
            </w14:solidFill>
          </w14:textFill>
        </w:rPr>
        <w:t>在投标截止时间之后，投标人不得对其电子投标文件作任何修改。</w:t>
      </w:r>
    </w:p>
    <w:p w14:paraId="283CF570">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1</w:t>
      </w:r>
      <w:r>
        <w:rPr>
          <w:rFonts w:hint="eastAsia" w:ascii="宋体" w:hAnsi="宋体"/>
          <w:color w:val="000000" w:themeColor="text1"/>
          <w:sz w:val="24"/>
          <w:szCs w:val="21"/>
          <w14:textFill>
            <w14:solidFill>
              <w14:schemeClr w14:val="tx1"/>
            </w14:solidFill>
          </w14:textFill>
        </w:rPr>
        <w:t>.3</w:t>
      </w:r>
      <w:r>
        <w:rPr>
          <w:rFonts w:hint="eastAsia" w:ascii="宋体" w:hAnsi="宋体"/>
          <w:bCs/>
          <w:color w:val="000000" w:themeColor="text1"/>
          <w:sz w:val="24"/>
          <w:szCs w:val="21"/>
          <w14:textFill>
            <w14:solidFill>
              <w14:schemeClr w14:val="tx1"/>
            </w14:solidFill>
          </w14:textFill>
        </w:rPr>
        <w:t>在投标截止时间至招标文件中规定的投标有效期满之间的这段时间内，投标人不得撤回其投标。</w:t>
      </w:r>
    </w:p>
    <w:p w14:paraId="45A081BC">
      <w:pPr>
        <w:keepNext/>
        <w:keepLines/>
        <w:spacing w:before="145" w:after="145" w:line="500" w:lineRule="exact"/>
        <w:ind w:firstLine="482"/>
        <w:outlineLvl w:val="2"/>
        <w:rPr>
          <w:b/>
          <w:bCs/>
          <w:color w:val="000000" w:themeColor="text1"/>
          <w:sz w:val="32"/>
          <w:szCs w:val="32"/>
          <w14:textFill>
            <w14:solidFill>
              <w14:schemeClr w14:val="tx1"/>
            </w14:solidFill>
          </w14:textFill>
        </w:rPr>
      </w:pPr>
      <w:bookmarkStart w:id="127" w:name="_Toc513029229"/>
      <w:bookmarkStart w:id="128" w:name="_Toc120614218"/>
      <w:bookmarkStart w:id="129" w:name="_Toc20823301"/>
      <w:bookmarkStart w:id="130" w:name="_Toc16938545"/>
      <w:r>
        <w:rPr>
          <w:rFonts w:hint="eastAsia"/>
          <w:b/>
          <w:bCs/>
          <w:color w:val="000000" w:themeColor="text1"/>
          <w:sz w:val="32"/>
          <w:szCs w:val="32"/>
          <w14:textFill>
            <w14:solidFill>
              <w14:schemeClr w14:val="tx1"/>
            </w14:solidFill>
          </w14:textFill>
        </w:rPr>
        <w:t>五、开标与评标</w:t>
      </w:r>
      <w:bookmarkEnd w:id="127"/>
      <w:bookmarkEnd w:id="128"/>
      <w:bookmarkEnd w:id="129"/>
      <w:bookmarkEnd w:id="130"/>
    </w:p>
    <w:p w14:paraId="399DDE0B">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bookmarkStart w:id="131" w:name="_Toc20823302"/>
      <w:bookmarkStart w:id="132" w:name="_Toc513029230"/>
      <w:bookmarkStart w:id="133" w:name="_Toc16938546"/>
      <w:r>
        <w:rPr>
          <w:rFonts w:hint="eastAsia" w:ascii="Arial" w:hAnsi="Arial" w:eastAsia="黑体" w:cs="Arial"/>
          <w:color w:val="000000" w:themeColor="text1"/>
          <w:sz w:val="28"/>
          <w:szCs w:val="28"/>
          <w14:textFill>
            <w14:solidFill>
              <w14:schemeClr w14:val="tx1"/>
            </w14:solidFill>
          </w14:textFill>
        </w:rPr>
        <w:t>22、开标</w:t>
      </w:r>
      <w:bookmarkEnd w:id="131"/>
      <w:bookmarkEnd w:id="132"/>
      <w:bookmarkEnd w:id="133"/>
    </w:p>
    <w:p w14:paraId="785C102D">
      <w:pPr>
        <w:spacing w:line="500" w:lineRule="exact"/>
        <w:ind w:firstLine="360"/>
        <w:rPr>
          <w:color w:val="000000" w:themeColor="text1"/>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2</w:t>
      </w:r>
      <w:r>
        <w:rPr>
          <w:rFonts w:hint="eastAsia" w:ascii="宋体" w:hAnsi="宋体"/>
          <w:color w:val="000000" w:themeColor="text1"/>
          <w:sz w:val="24"/>
          <w:szCs w:val="21"/>
          <w14:textFill>
            <w14:solidFill>
              <w14:schemeClr w14:val="tx1"/>
            </w14:solidFill>
          </w14:textFill>
        </w:rPr>
        <w:t>.1</w:t>
      </w:r>
      <w:r>
        <w:rPr>
          <w:rFonts w:hint="eastAsia" w:ascii="宋体" w:hAnsi="宋体"/>
          <w:bCs/>
          <w:color w:val="000000" w:themeColor="text1"/>
          <w:sz w:val="24"/>
          <w:szCs w:val="21"/>
          <w14:textFill>
            <w14:solidFill>
              <w14:schemeClr w14:val="tx1"/>
            </w14:solidFill>
          </w14:textFill>
        </w:rPr>
        <w:t>采购中心将在招标公告中规定的时间和地点组织公开开标</w:t>
      </w:r>
      <w:r>
        <w:rPr>
          <w:rFonts w:hint="eastAsia" w:ascii="宋体" w:hAnsi="宋体"/>
          <w:color w:val="000000" w:themeColor="text1"/>
          <w:sz w:val="24"/>
          <w:szCs w:val="24"/>
          <w14:textFill>
            <w14:solidFill>
              <w14:schemeClr w14:val="tx1"/>
            </w14:solidFill>
          </w14:textFill>
        </w:rPr>
        <w:t>。投标人应当按照《操作手册》规定，参加开标活动和在苏采云系统规定的时间内对投标文件进行解密。</w:t>
      </w:r>
    </w:p>
    <w:p w14:paraId="7EE599C9">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开标仪式由采购中心组织。苏采云系统将自动对项目进行开标，并宣布各投标人名称和投标价格。</w:t>
      </w:r>
    </w:p>
    <w:p w14:paraId="4949B592">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2</w:t>
      </w:r>
      <w:r>
        <w:rPr>
          <w:rFonts w:hint="eastAsia" w:ascii="宋体" w:hAnsi="宋体"/>
          <w:bCs/>
          <w:color w:val="000000" w:themeColor="text1"/>
          <w:sz w:val="24"/>
          <w:szCs w:val="21"/>
          <w14:textFill>
            <w14:solidFill>
              <w14:schemeClr w14:val="tx1"/>
            </w14:solidFill>
          </w14:textFill>
        </w:rPr>
        <w:t>.3投标人在开标过程中涉及到的投标文件解密、开标结果确认等工作，应按照《操作手册》规定执行。</w:t>
      </w:r>
    </w:p>
    <w:p w14:paraId="2BC77E21">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.4投标人如果对开标过程和开标记录有疑义，在开标程序结束前通过苏采云系统提出；未提出的，不影响其依法提出质疑的权利。</w:t>
      </w:r>
    </w:p>
    <w:p w14:paraId="1F3E7488">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bookmarkStart w:id="134" w:name="_Toc20823303"/>
      <w:bookmarkStart w:id="135" w:name="_Toc513029231"/>
      <w:bookmarkStart w:id="136" w:name="_Toc16938547"/>
      <w:r>
        <w:rPr>
          <w:rFonts w:hint="eastAsia" w:ascii="Arial" w:hAnsi="Arial" w:eastAsia="黑体" w:cs="Arial"/>
          <w:color w:val="000000" w:themeColor="text1"/>
          <w:sz w:val="28"/>
          <w:szCs w:val="28"/>
          <w14:textFill>
            <w14:solidFill>
              <w14:schemeClr w14:val="tx1"/>
            </w14:solidFill>
          </w14:textFill>
        </w:rPr>
        <w:t>2</w:t>
      </w:r>
      <w:r>
        <w:rPr>
          <w:rFonts w:ascii="Arial" w:hAnsi="Arial" w:eastAsia="黑体" w:cs="Arial"/>
          <w:color w:val="000000" w:themeColor="text1"/>
          <w:sz w:val="28"/>
          <w:szCs w:val="28"/>
          <w14:textFill>
            <w14:solidFill>
              <w14:schemeClr w14:val="tx1"/>
            </w14:solidFill>
          </w14:textFill>
        </w:rPr>
        <w:t>3</w:t>
      </w:r>
      <w:r>
        <w:rPr>
          <w:rFonts w:hint="eastAsia" w:ascii="Arial" w:hAnsi="Arial" w:eastAsia="黑体" w:cs="Arial"/>
          <w:color w:val="000000" w:themeColor="text1"/>
          <w:sz w:val="28"/>
          <w:szCs w:val="28"/>
          <w14:textFill>
            <w14:solidFill>
              <w14:schemeClr w14:val="tx1"/>
            </w14:solidFill>
          </w14:textFill>
        </w:rPr>
        <w:t>、评标委员会</w:t>
      </w:r>
    </w:p>
    <w:p w14:paraId="3A095641">
      <w:pPr>
        <w:spacing w:line="500" w:lineRule="exact"/>
        <w:ind w:firstLine="240"/>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.1开标后，采购中心将立即组织评标委员会（以下简称评委会）进行评标。</w:t>
      </w:r>
    </w:p>
    <w:p w14:paraId="133ED515">
      <w:pPr>
        <w:spacing w:line="500" w:lineRule="exact"/>
        <w:ind w:firstLine="24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.2评委会由采购人代表和有关技术、经济等方面的专家组成，且人员构成符合政府采购有关规定。</w:t>
      </w:r>
    </w:p>
    <w:p w14:paraId="6C813575">
      <w:pPr>
        <w:spacing w:line="500" w:lineRule="exact"/>
        <w:ind w:firstLine="24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.3评委会独立工作，负责评审所有投标文件并确定中标侯选人。</w:t>
      </w:r>
    </w:p>
    <w:p w14:paraId="33ECB780">
      <w:pPr>
        <w:keepNext/>
        <w:keepLines/>
        <w:spacing w:line="500" w:lineRule="exact"/>
        <w:ind w:firstLine="420"/>
        <w:outlineLvl w:val="3"/>
        <w:rPr>
          <w:rFonts w:ascii="黑体" w:hAnsi="Arial" w:eastAsia="黑体" w:cs="Arial"/>
          <w:color w:val="000000" w:themeColor="text1"/>
          <w:sz w:val="28"/>
          <w:szCs w:val="28"/>
          <w14:textFill>
            <w14:solidFill>
              <w14:schemeClr w14:val="tx1"/>
            </w14:solidFill>
          </w14:textFill>
        </w:rPr>
      </w:pPr>
      <w:r>
        <w:rPr>
          <w:rFonts w:hint="eastAsia" w:ascii="黑体" w:hAnsi="Arial" w:eastAsia="黑体" w:cs="Arial"/>
          <w:color w:val="000000" w:themeColor="text1"/>
          <w:sz w:val="28"/>
          <w:szCs w:val="28"/>
          <w14:textFill>
            <w14:solidFill>
              <w14:schemeClr w14:val="tx1"/>
            </w14:solidFill>
          </w14:textFill>
        </w:rPr>
        <w:t>2</w:t>
      </w:r>
      <w:r>
        <w:rPr>
          <w:rFonts w:ascii="黑体" w:hAnsi="Arial" w:eastAsia="黑体" w:cs="Arial"/>
          <w:color w:val="000000" w:themeColor="text1"/>
          <w:sz w:val="28"/>
          <w:szCs w:val="28"/>
          <w14:textFill>
            <w14:solidFill>
              <w14:schemeClr w14:val="tx1"/>
            </w14:solidFill>
          </w14:textFill>
        </w:rPr>
        <w:t>4</w:t>
      </w:r>
      <w:r>
        <w:rPr>
          <w:rFonts w:hint="eastAsia" w:ascii="黑体" w:hAnsi="Arial" w:eastAsia="黑体" w:cs="Arial"/>
          <w:color w:val="000000" w:themeColor="text1"/>
          <w:sz w:val="28"/>
          <w:szCs w:val="28"/>
          <w14:textFill>
            <w14:solidFill>
              <w14:schemeClr w14:val="tx1"/>
            </w14:solidFill>
          </w14:textFill>
        </w:rPr>
        <w:t>．评标过程的保密与公正</w:t>
      </w:r>
    </w:p>
    <w:bookmarkEnd w:id="134"/>
    <w:bookmarkEnd w:id="135"/>
    <w:bookmarkEnd w:id="136"/>
    <w:p w14:paraId="1B4875DB">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4</w:t>
      </w:r>
      <w:r>
        <w:rPr>
          <w:rFonts w:hint="eastAsia" w:ascii="宋体" w:hAnsi="宋体"/>
          <w:color w:val="000000" w:themeColor="text1"/>
          <w:sz w:val="24"/>
          <w:szCs w:val="21"/>
          <w14:textFill>
            <w14:solidFill>
              <w14:schemeClr w14:val="tx1"/>
            </w14:solidFill>
          </w14:textFill>
        </w:rPr>
        <w:t>.1</w:t>
      </w:r>
      <w:r>
        <w:rPr>
          <w:rFonts w:hint="eastAsia" w:ascii="宋体" w:hAnsi="宋体"/>
          <w:bCs/>
          <w:color w:val="000000" w:themeColor="text1"/>
          <w:sz w:val="24"/>
          <w:szCs w:val="21"/>
          <w14:textFill>
            <w14:solidFill>
              <w14:schemeClr w14:val="tx1"/>
            </w14:solidFill>
          </w14:textFill>
        </w:rPr>
        <w:t>凡是与审查、澄清、评价和比较投标的有关资料以及授标建议等，采购人、评委、采购中心均不得向投标人或与评标无关的其他人员透露。</w:t>
      </w:r>
    </w:p>
    <w:p w14:paraId="45DE098E">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4</w:t>
      </w:r>
      <w:r>
        <w:rPr>
          <w:rFonts w:hint="eastAsia" w:ascii="宋体" w:hAnsi="宋体"/>
          <w:color w:val="000000" w:themeColor="text1"/>
          <w:sz w:val="24"/>
          <w:szCs w:val="21"/>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在评标过程中，投标人不得以贿赂、威胁、干扰评标委员会成员等非法手段影响评标过程；有上述情形的，其投标文件作为无效投标处理，并依法报财政部门处理。</w:t>
      </w:r>
    </w:p>
    <w:p w14:paraId="722172DC">
      <w:pPr>
        <w:spacing w:line="500" w:lineRule="exact"/>
        <w:ind w:firstLine="480"/>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采购中心和评标委员会不向未中标的投标人解释未中标原因，也不公布评标过程中的相关细节。</w:t>
      </w:r>
    </w:p>
    <w:p w14:paraId="08405FCE">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采用综合评分法的项目，未中标的投标人可于中标结果公告期限届满之日起通过苏采云系统查看自己的评审得分及排序情况。</w:t>
      </w:r>
    </w:p>
    <w:p w14:paraId="28A81B4F">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bookmarkStart w:id="137" w:name="_Toc16938548"/>
      <w:bookmarkStart w:id="138" w:name="_Toc513029232"/>
      <w:bookmarkStart w:id="139" w:name="_Toc20823304"/>
      <w:r>
        <w:rPr>
          <w:rFonts w:hint="eastAsia" w:ascii="Arial" w:hAnsi="Arial" w:eastAsia="黑体" w:cs="Arial"/>
          <w:color w:val="000000" w:themeColor="text1"/>
          <w:sz w:val="28"/>
          <w:szCs w:val="28"/>
          <w14:textFill>
            <w14:solidFill>
              <w14:schemeClr w14:val="tx1"/>
            </w14:solidFill>
          </w14:textFill>
        </w:rPr>
        <w:t>2</w:t>
      </w:r>
      <w:r>
        <w:rPr>
          <w:rFonts w:ascii="Arial" w:hAnsi="Arial" w:eastAsia="黑体" w:cs="Arial"/>
          <w:color w:val="000000" w:themeColor="text1"/>
          <w:sz w:val="28"/>
          <w:szCs w:val="28"/>
          <w14:textFill>
            <w14:solidFill>
              <w14:schemeClr w14:val="tx1"/>
            </w14:solidFill>
          </w14:textFill>
        </w:rPr>
        <w:t>5</w:t>
      </w:r>
      <w:r>
        <w:rPr>
          <w:rFonts w:hint="eastAsia" w:ascii="Arial" w:hAnsi="Arial" w:eastAsia="黑体" w:cs="Arial"/>
          <w:color w:val="000000" w:themeColor="text1"/>
          <w:sz w:val="28"/>
          <w:szCs w:val="28"/>
          <w14:textFill>
            <w14:solidFill>
              <w14:schemeClr w14:val="tx1"/>
            </w14:solidFill>
          </w14:textFill>
        </w:rPr>
        <w:t>．投标文件的澄清</w:t>
      </w:r>
      <w:bookmarkEnd w:id="137"/>
      <w:bookmarkEnd w:id="138"/>
      <w:bookmarkEnd w:id="139"/>
    </w:p>
    <w:p w14:paraId="542C6563">
      <w:pPr>
        <w:spacing w:line="500" w:lineRule="exact"/>
        <w:ind w:firstLine="480"/>
        <w:rPr>
          <w:rFonts w:hint="eastAsia" w:ascii="宋体" w:hAnsi="宋体"/>
          <w:color w:val="000000" w:themeColor="text1"/>
          <w:sz w:val="24"/>
          <w:szCs w:val="24"/>
          <w14:textFill>
            <w14:solidFill>
              <w14:schemeClr w14:val="tx1"/>
            </w14:solidFill>
          </w14:textFill>
        </w:rPr>
      </w:pPr>
      <w:bookmarkStart w:id="140" w:name="_Toc20823305"/>
      <w:bookmarkStart w:id="141" w:name="_Toc513029233"/>
      <w:bookmarkStart w:id="142" w:name="_Toc16938549"/>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p>
    <w:p w14:paraId="463A6FF0">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4AE53662">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.3接到评委会澄清、说明和补正要求的投标人如未按规定做出澄清、说明和补正，其风险由投标人自行承担。</w:t>
      </w:r>
    </w:p>
    <w:p w14:paraId="56643287">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r>
        <w:rPr>
          <w:rFonts w:hint="eastAsia" w:ascii="Arial" w:hAnsi="Arial" w:eastAsia="黑体" w:cs="Arial"/>
          <w:color w:val="000000" w:themeColor="text1"/>
          <w:sz w:val="28"/>
          <w:szCs w:val="28"/>
          <w14:textFill>
            <w14:solidFill>
              <w14:schemeClr w14:val="tx1"/>
            </w14:solidFill>
          </w14:textFill>
        </w:rPr>
        <w:t>2</w:t>
      </w:r>
      <w:r>
        <w:rPr>
          <w:rFonts w:ascii="Arial" w:hAnsi="Arial" w:eastAsia="黑体" w:cs="Arial"/>
          <w:color w:val="000000" w:themeColor="text1"/>
          <w:sz w:val="28"/>
          <w:szCs w:val="28"/>
          <w14:textFill>
            <w14:solidFill>
              <w14:schemeClr w14:val="tx1"/>
            </w14:solidFill>
          </w14:textFill>
        </w:rPr>
        <w:t>6</w:t>
      </w:r>
      <w:r>
        <w:rPr>
          <w:rFonts w:hint="eastAsia" w:ascii="Arial" w:hAnsi="Arial" w:eastAsia="黑体" w:cs="Arial"/>
          <w:color w:val="000000" w:themeColor="text1"/>
          <w:sz w:val="28"/>
          <w:szCs w:val="28"/>
          <w14:textFill>
            <w14:solidFill>
              <w14:schemeClr w14:val="tx1"/>
            </w14:solidFill>
          </w14:textFill>
        </w:rPr>
        <w:t>、对投标文件的初审</w:t>
      </w:r>
      <w:bookmarkEnd w:id="140"/>
      <w:bookmarkEnd w:id="141"/>
      <w:bookmarkEnd w:id="142"/>
    </w:p>
    <w:p w14:paraId="5CF35895">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6</w:t>
      </w:r>
      <w:r>
        <w:rPr>
          <w:rFonts w:hint="eastAsia" w:ascii="宋体" w:hAnsi="宋体"/>
          <w:color w:val="000000" w:themeColor="text1"/>
          <w:sz w:val="24"/>
          <w:szCs w:val="21"/>
          <w14:textFill>
            <w14:solidFill>
              <w14:schemeClr w14:val="tx1"/>
            </w14:solidFill>
          </w14:textFill>
        </w:rPr>
        <w:t>.1</w:t>
      </w:r>
      <w:r>
        <w:rPr>
          <w:rFonts w:hint="eastAsia" w:ascii="宋体" w:hAnsi="宋体"/>
          <w:bCs/>
          <w:color w:val="000000" w:themeColor="text1"/>
          <w:sz w:val="24"/>
          <w:szCs w:val="21"/>
          <w14:textFill>
            <w14:solidFill>
              <w14:schemeClr w14:val="tx1"/>
            </w14:solidFill>
          </w14:textFill>
        </w:rPr>
        <w:t>投标文件初审分为资格审查和符合性审查。</w:t>
      </w:r>
    </w:p>
    <w:p w14:paraId="7E9A2969">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6</w:t>
      </w:r>
      <w:r>
        <w:rPr>
          <w:rFonts w:hint="eastAsia" w:ascii="宋体" w:hAnsi="宋体"/>
          <w:bCs/>
          <w:color w:val="000000" w:themeColor="text1"/>
          <w:sz w:val="24"/>
          <w:szCs w:val="21"/>
          <w14:textFill>
            <w14:solidFill>
              <w14:schemeClr w14:val="tx1"/>
            </w14:solidFill>
          </w14:textFill>
        </w:rPr>
        <w:t>.1.1资格审查：依据法律法规和招标文件的规定，由采购人对投标文件中的资格证明文件进行审查。资格审查的结论，采购人以书面形式向评委会进行反馈。</w:t>
      </w:r>
    </w:p>
    <w:p w14:paraId="7B33A6D0">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采购人在进行资格审查的同时，将在信用中国网站（www.creditchina.gov.cn）、中国政府采购网（www.ccgp.gov.cn）查询投标人的信用记录，以确定投标人是否具备投标资格，查询结果留存并归档。</w:t>
      </w:r>
    </w:p>
    <w:p w14:paraId="07937B91">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6</w:t>
      </w:r>
      <w:r>
        <w:rPr>
          <w:rFonts w:hint="eastAsia" w:ascii="宋体" w:hAnsi="宋体"/>
          <w:bCs/>
          <w:color w:val="000000" w:themeColor="text1"/>
          <w:sz w:val="24"/>
          <w:szCs w:val="21"/>
          <w14:textFill>
            <w14:solidFill>
              <w14:schemeClr w14:val="tx1"/>
            </w14:solidFill>
          </w14:textFill>
        </w:rPr>
        <w:t>.1.2符合性审查：依据招标文件的规定，由评委会从投标文件的有效性、完整性和对招标文件的响应程度进行审查，以确定是否对招标文件的实质性要求作出响应。</w:t>
      </w:r>
    </w:p>
    <w:p w14:paraId="3FF822D9">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6</w:t>
      </w:r>
      <w:r>
        <w:rPr>
          <w:rFonts w:hint="eastAsia" w:ascii="宋体" w:hAnsi="宋体"/>
          <w:bCs/>
          <w:color w:val="000000" w:themeColor="text1"/>
          <w:sz w:val="24"/>
          <w:szCs w:val="21"/>
          <w14:textFill>
            <w14:solidFill>
              <w14:schemeClr w14:val="tx1"/>
            </w14:solidFill>
          </w14:textFill>
        </w:rPr>
        <w:t>.1.3未通过资格审查或符合性审查的投标人，采购中心将在</w:t>
      </w:r>
      <w:r>
        <w:rPr>
          <w:rFonts w:hint="eastAsia" w:ascii="宋体" w:hAnsi="宋体"/>
          <w:color w:val="000000" w:themeColor="text1"/>
          <w:sz w:val="24"/>
          <w:szCs w:val="24"/>
          <w14:textFill>
            <w14:solidFill>
              <w14:schemeClr w14:val="tx1"/>
            </w14:solidFill>
          </w14:textFill>
        </w:rPr>
        <w:t>苏采云系统</w:t>
      </w:r>
      <w:r>
        <w:rPr>
          <w:rFonts w:hint="eastAsia" w:ascii="宋体" w:hAnsi="宋体"/>
          <w:bCs/>
          <w:color w:val="000000" w:themeColor="text1"/>
          <w:sz w:val="24"/>
          <w:szCs w:val="21"/>
          <w14:textFill>
            <w14:solidFill>
              <w14:schemeClr w14:val="tx1"/>
            </w14:solidFill>
          </w14:textFill>
        </w:rPr>
        <w:t>中告知未通过资格审查或符合性审查的原因，评审结束后，采购中心将不再告知未通过资格审查或符合性审查的原因。</w:t>
      </w:r>
    </w:p>
    <w:p w14:paraId="2D5DA903">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6</w:t>
      </w:r>
      <w:r>
        <w:rPr>
          <w:rFonts w:hint="eastAsia" w:ascii="宋体" w:hAnsi="宋体"/>
          <w:color w:val="000000" w:themeColor="text1"/>
          <w:sz w:val="24"/>
          <w:szCs w:val="21"/>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在详细评标之前，评委会将首先审查每份投标文件是否实质性响应了招标文件的要求。实质性响应的投标应该是与招标文件要求的全部条款、条件和规格相符，没有重大偏离或保留的投标。</w:t>
      </w:r>
    </w:p>
    <w:p w14:paraId="7D29AB2F">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14:textFill>
            <w14:solidFill>
              <w14:schemeClr w14:val="tx1"/>
            </w14:solidFill>
          </w14:textFill>
        </w:rPr>
        <w:t>评委决定投标文件的响应性只根据投标文件本身的内容，而不寻求外部的证据。</w:t>
      </w:r>
    </w:p>
    <w:p w14:paraId="429914C6">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6</w:t>
      </w:r>
      <w:r>
        <w:rPr>
          <w:rFonts w:hint="eastAsia" w:ascii="宋体" w:hAnsi="宋体"/>
          <w:color w:val="000000" w:themeColor="text1"/>
          <w:sz w:val="24"/>
          <w:szCs w:val="21"/>
          <w14:textFill>
            <w14:solidFill>
              <w14:schemeClr w14:val="tx1"/>
            </w14:solidFill>
          </w14:textFill>
        </w:rPr>
        <w:t>.3</w:t>
      </w:r>
      <w:r>
        <w:rPr>
          <w:rFonts w:hint="eastAsia" w:ascii="宋体" w:hAnsi="宋体"/>
          <w:bCs/>
          <w:color w:val="000000" w:themeColor="text1"/>
          <w:sz w:val="24"/>
          <w:szCs w:val="21"/>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14:paraId="05BEBC96">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6</w:t>
      </w:r>
      <w:r>
        <w:rPr>
          <w:rFonts w:hint="eastAsia" w:ascii="宋体" w:hAnsi="宋体"/>
          <w:color w:val="000000" w:themeColor="text1"/>
          <w:sz w:val="24"/>
          <w:szCs w:val="21"/>
          <w14:textFill>
            <w14:solidFill>
              <w14:schemeClr w14:val="tx1"/>
            </w14:solidFill>
          </w14:textFill>
        </w:rPr>
        <w:t>.4</w:t>
      </w:r>
      <w:r>
        <w:rPr>
          <w:rFonts w:hint="eastAsia" w:ascii="宋体" w:hAnsi="宋体"/>
          <w:bCs/>
          <w:color w:val="000000" w:themeColor="text1"/>
          <w:sz w:val="24"/>
          <w:szCs w:val="21"/>
          <w14:textFill>
            <w14:solidFill>
              <w14:schemeClr w14:val="tx1"/>
            </w14:solidFill>
          </w14:textFill>
        </w:rPr>
        <w:t>评委会将对确定为实质性响应的投标进行进一步审核，看其是否有计算上或累加上的算术错误，修正错误的原则如下：</w:t>
      </w:r>
    </w:p>
    <w:p w14:paraId="01557301">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（1）投标文件中开标一览表内容与投标文件中相应内容不一致的，以开标一览表为准。</w:t>
      </w:r>
    </w:p>
    <w:p w14:paraId="46299CCB">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（2）大写金额和小写金额不一致的，以大写金额为准。</w:t>
      </w:r>
    </w:p>
    <w:p w14:paraId="4570F0C3">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（3）单价金额小数点或者百分比有明显错位的，以开标一览表的总价为准，并修改单价。</w:t>
      </w:r>
    </w:p>
    <w:p w14:paraId="18D1460E">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（4）总价金额与按单价汇总金额不一致的，以单价金额计算结果为准。</w:t>
      </w:r>
    </w:p>
    <w:p w14:paraId="2F793910">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同时出现两种以上错误的，按照前款规定的顺序修正。</w:t>
      </w:r>
    </w:p>
    <w:p w14:paraId="588EFA92">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6</w:t>
      </w:r>
      <w:r>
        <w:rPr>
          <w:rFonts w:hint="eastAsia" w:ascii="宋体" w:hAnsi="宋体"/>
          <w:color w:val="000000" w:themeColor="text1"/>
          <w:sz w:val="24"/>
          <w:szCs w:val="21"/>
          <w14:textFill>
            <w14:solidFill>
              <w14:schemeClr w14:val="tx1"/>
            </w14:solidFill>
          </w14:textFill>
        </w:rPr>
        <w:t>.5</w:t>
      </w:r>
      <w:r>
        <w:rPr>
          <w:rFonts w:hint="eastAsia" w:ascii="宋体" w:hAnsi="宋体"/>
          <w:bCs/>
          <w:color w:val="000000" w:themeColor="text1"/>
          <w:sz w:val="24"/>
          <w:szCs w:val="21"/>
          <w14:textFill>
            <w14:solidFill>
              <w14:schemeClr w14:val="tx1"/>
            </w14:solidFill>
          </w14:textFill>
        </w:rPr>
        <w:t>评委会将按上述修正错误的方法调整投标文件中的投标报价，并通过</w:t>
      </w:r>
      <w:r>
        <w:rPr>
          <w:rFonts w:hint="eastAsia" w:ascii="宋体" w:hAnsi="宋体"/>
          <w:color w:val="000000" w:themeColor="text1"/>
          <w:sz w:val="24"/>
          <w:szCs w:val="24"/>
          <w14:textFill>
            <w14:solidFill>
              <w14:schemeClr w14:val="tx1"/>
            </w14:solidFill>
          </w14:textFill>
        </w:rPr>
        <w:t>苏采云系统</w:t>
      </w:r>
      <w:r>
        <w:rPr>
          <w:rFonts w:hint="eastAsia" w:ascii="宋体" w:hAnsi="宋体"/>
          <w:bCs/>
          <w:color w:val="000000" w:themeColor="text1"/>
          <w:sz w:val="24"/>
          <w:szCs w:val="21"/>
          <w14:textFill>
            <w14:solidFill>
              <w14:schemeClr w14:val="tx1"/>
            </w14:solidFill>
          </w14:textFill>
        </w:rPr>
        <w:t>告知投标人，调整后的价格应对投标人具有约束力。如果投标人不接受修正后的价格，则其投标将被拒绝。</w:t>
      </w:r>
    </w:p>
    <w:p w14:paraId="002F9221">
      <w:pPr>
        <w:spacing w:line="500" w:lineRule="exact"/>
        <w:ind w:firstLine="480"/>
        <w:rPr>
          <w:rFonts w:hint="eastAsia" w:ascii="宋体" w:hAnsi="宋体"/>
          <w:color w:val="000000" w:themeColor="text1"/>
          <w:sz w:val="24"/>
          <w:szCs w:val="21"/>
          <w14:textFill>
            <w14:solidFill>
              <w14:schemeClr w14:val="tx1"/>
            </w14:solidFill>
          </w14:textFill>
        </w:rPr>
      </w:pPr>
      <w:bookmarkStart w:id="143" w:name="_Toc16938550"/>
      <w:bookmarkStart w:id="144" w:name="_Toc20823306"/>
      <w:bookmarkStart w:id="145" w:name="_Toc513029234"/>
      <w:r>
        <w:rPr>
          <w:rFonts w:hint="eastAsia" w:ascii="宋体" w:hAnsi="宋体"/>
          <w:color w:val="000000" w:themeColor="text1"/>
          <w:sz w:val="24"/>
          <w:szCs w:val="21"/>
          <w14:textFill>
            <w14:solidFill>
              <w14:schemeClr w14:val="tx1"/>
            </w14:solidFill>
          </w14:textFill>
        </w:rPr>
        <w:t>26.6本项目为服务类项目，不适用《政府采购货物和服务招标投标管理办法》（财政部令第87号）第三十一条关于非单一产品采购项目确定核心产品以及相同品牌产品的处理规则。各投标人应当以独立的服务方案参与竞争。</w:t>
      </w:r>
    </w:p>
    <w:p w14:paraId="3C059C5C">
      <w:pPr>
        <w:spacing w:line="500" w:lineRule="exact"/>
        <w:ind w:firstLine="420"/>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w:t>
      </w:r>
      <w:r>
        <w:rPr>
          <w:rFonts w:ascii="宋体" w:hAnsi="宋体"/>
          <w:color w:val="000000" w:themeColor="text1"/>
          <w:sz w:val="24"/>
          <w:szCs w:val="21"/>
          <w14:textFill>
            <w14:solidFill>
              <w14:schemeClr w14:val="tx1"/>
            </w14:solidFill>
          </w14:textFill>
        </w:rPr>
        <w:t>6</w:t>
      </w:r>
      <w:r>
        <w:rPr>
          <w:rFonts w:hint="eastAsia" w:ascii="宋体" w:hAnsi="宋体"/>
          <w:color w:val="000000" w:themeColor="text1"/>
          <w:sz w:val="24"/>
          <w:szCs w:val="21"/>
          <w14:textFill>
            <w14:solidFill>
              <w14:schemeClr w14:val="tx1"/>
            </w14:solidFill>
          </w14:textFill>
        </w:rPr>
        <w:t>.7投标人在开、评标全过程中应保持通讯畅通，及时登录</w:t>
      </w:r>
      <w:r>
        <w:rPr>
          <w:rFonts w:hint="eastAsia" w:ascii="宋体" w:hAnsi="宋体"/>
          <w:color w:val="000000" w:themeColor="text1"/>
          <w:sz w:val="24"/>
          <w:szCs w:val="24"/>
          <w14:textFill>
            <w14:solidFill>
              <w14:schemeClr w14:val="tx1"/>
            </w14:solidFill>
          </w14:textFill>
        </w:rPr>
        <w:t>苏采云系统</w:t>
      </w:r>
      <w:r>
        <w:rPr>
          <w:rFonts w:hint="eastAsia" w:ascii="宋体" w:hAnsi="宋体"/>
          <w:color w:val="000000" w:themeColor="text1"/>
          <w:sz w:val="24"/>
          <w:szCs w:val="21"/>
          <w14:textFill>
            <w14:solidFill>
              <w14:schemeClr w14:val="tx1"/>
            </w14:solidFill>
          </w14:textFill>
        </w:rPr>
        <w:t>查阅、答复相关信息，并安排专人与采购中心及评标委员会联系。</w:t>
      </w:r>
    </w:p>
    <w:p w14:paraId="3E4C3AE2">
      <w:pPr>
        <w:keepNext/>
        <w:keepLines/>
        <w:spacing w:line="500" w:lineRule="exact"/>
        <w:ind w:firstLine="420"/>
        <w:outlineLvl w:val="3"/>
        <w:rPr>
          <w:rFonts w:ascii="Arial" w:hAnsi="Arial" w:eastAsia="黑体" w:cs="Arial"/>
          <w:color w:val="000000" w:themeColor="text1"/>
          <w:sz w:val="28"/>
          <w:szCs w:val="28"/>
          <w14:textFill>
            <w14:solidFill>
              <w14:schemeClr w14:val="tx1"/>
            </w14:solidFill>
          </w14:textFill>
        </w:rPr>
      </w:pPr>
      <w:r>
        <w:rPr>
          <w:rFonts w:hint="eastAsia" w:ascii="Arial" w:hAnsi="Arial" w:eastAsia="黑体" w:cs="Arial"/>
          <w:color w:val="000000" w:themeColor="text1"/>
          <w:sz w:val="28"/>
          <w:szCs w:val="28"/>
          <w14:textFill>
            <w14:solidFill>
              <w14:schemeClr w14:val="tx1"/>
            </w14:solidFill>
          </w14:textFill>
        </w:rPr>
        <w:t>2</w:t>
      </w:r>
      <w:r>
        <w:rPr>
          <w:rFonts w:ascii="Arial" w:hAnsi="Arial" w:eastAsia="黑体" w:cs="Arial"/>
          <w:color w:val="000000" w:themeColor="text1"/>
          <w:sz w:val="28"/>
          <w:szCs w:val="28"/>
          <w14:textFill>
            <w14:solidFill>
              <w14:schemeClr w14:val="tx1"/>
            </w14:solidFill>
          </w14:textFill>
        </w:rPr>
        <w:t>7</w:t>
      </w:r>
      <w:r>
        <w:rPr>
          <w:rFonts w:hint="eastAsia" w:ascii="Arial" w:hAnsi="Arial" w:eastAsia="黑体" w:cs="Arial"/>
          <w:color w:val="000000" w:themeColor="text1"/>
          <w:sz w:val="28"/>
          <w:szCs w:val="28"/>
          <w14:textFill>
            <w14:solidFill>
              <w14:schemeClr w14:val="tx1"/>
            </w14:solidFill>
          </w14:textFill>
        </w:rPr>
        <w:t>、</w:t>
      </w:r>
      <w:bookmarkEnd w:id="143"/>
      <w:bookmarkEnd w:id="144"/>
      <w:bookmarkEnd w:id="145"/>
      <w:r>
        <w:rPr>
          <w:rFonts w:hint="eastAsia" w:ascii="Arial" w:hAnsi="Arial" w:eastAsia="黑体" w:cs="Arial"/>
          <w:color w:val="000000" w:themeColor="text1"/>
          <w:sz w:val="28"/>
          <w:szCs w:val="28"/>
          <w14:textFill>
            <w14:solidFill>
              <w14:schemeClr w14:val="tx1"/>
            </w14:solidFill>
          </w14:textFill>
        </w:rPr>
        <w:t>无效投标条款和废标条款</w:t>
      </w:r>
    </w:p>
    <w:p w14:paraId="0D7BC094">
      <w:pPr>
        <w:spacing w:line="500" w:lineRule="exact"/>
        <w:ind w:left="479"/>
        <w:rPr>
          <w:rFonts w:hint="eastAsia" w:ascii="宋体" w:hAnsi="宋体"/>
          <w:bCs/>
          <w:color w:val="000000" w:themeColor="text1"/>
          <w:sz w:val="24"/>
          <w:szCs w:val="21"/>
          <w14:textFill>
            <w14:solidFill>
              <w14:schemeClr w14:val="tx1"/>
            </w14:solidFill>
          </w14:textFill>
        </w:rPr>
      </w:pPr>
      <w:bookmarkStart w:id="146" w:name="_Toc513029235"/>
      <w:bookmarkStart w:id="147" w:name="_Toc20823307"/>
      <w:bookmarkStart w:id="148" w:name="_Toc16938551"/>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.1无效投标条款</w:t>
      </w:r>
    </w:p>
    <w:p w14:paraId="5F97A463">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.1.1投标人在</w:t>
      </w:r>
      <w:r>
        <w:rPr>
          <w:rFonts w:hint="eastAsia" w:ascii="宋体" w:hAnsi="宋体"/>
          <w:color w:val="000000" w:themeColor="text1"/>
          <w:sz w:val="24"/>
          <w:szCs w:val="24"/>
          <w14:textFill>
            <w14:solidFill>
              <w14:schemeClr w14:val="tx1"/>
            </w14:solidFill>
          </w14:textFill>
        </w:rPr>
        <w:t>苏采云系统</w:t>
      </w:r>
      <w:r>
        <w:rPr>
          <w:rFonts w:hint="eastAsia" w:ascii="宋体" w:hAnsi="宋体"/>
          <w:bCs/>
          <w:color w:val="000000" w:themeColor="text1"/>
          <w:sz w:val="24"/>
          <w:szCs w:val="21"/>
          <w14:textFill>
            <w14:solidFill>
              <w14:schemeClr w14:val="tx1"/>
            </w14:solidFill>
          </w14:textFill>
        </w:rPr>
        <w:t>规定的时间内未成功解密电子投标文件的。</w:t>
      </w:r>
    </w:p>
    <w:p w14:paraId="578A53C3">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w:t>
      </w:r>
      <w:r>
        <w:rPr>
          <w:rFonts w:ascii="宋体" w:hAnsi="宋体"/>
          <w:bCs/>
          <w:color w:val="000000" w:themeColor="text1"/>
          <w:sz w:val="24"/>
          <w:szCs w:val="21"/>
          <w14:textFill>
            <w14:solidFill>
              <w14:schemeClr w14:val="tx1"/>
            </w14:solidFill>
          </w14:textFill>
        </w:rPr>
        <w:t>2</w:t>
      </w:r>
      <w:r>
        <w:rPr>
          <w:rFonts w:hint="eastAsia" w:ascii="宋体" w:hAnsi="宋体"/>
          <w:bCs/>
          <w:color w:val="000000" w:themeColor="text1"/>
          <w:sz w:val="24"/>
          <w:szCs w:val="21"/>
          <w14:textFill>
            <w14:solidFill>
              <w14:schemeClr w14:val="tx1"/>
            </w14:solidFill>
          </w14:textFill>
        </w:rPr>
        <w:t>投标人未按照招标文件要求上传电子投标文件的。</w:t>
      </w:r>
    </w:p>
    <w:p w14:paraId="70BC4BF5">
      <w:pPr>
        <w:spacing w:line="500" w:lineRule="exact"/>
        <w:ind w:left="479"/>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w:t>
      </w:r>
      <w:r>
        <w:rPr>
          <w:rFonts w:ascii="宋体" w:hAnsi="宋体"/>
          <w:bCs/>
          <w:color w:val="000000" w:themeColor="text1"/>
          <w:sz w:val="24"/>
          <w:szCs w:val="21"/>
          <w14:textFill>
            <w14:solidFill>
              <w14:schemeClr w14:val="tx1"/>
            </w14:solidFill>
          </w14:textFill>
        </w:rPr>
        <w:t>3</w:t>
      </w:r>
      <w:r>
        <w:rPr>
          <w:rFonts w:hint="eastAsia" w:ascii="宋体" w:hAnsi="宋体"/>
          <w:bCs/>
          <w:color w:val="000000" w:themeColor="text1"/>
          <w:sz w:val="24"/>
          <w:szCs w:val="21"/>
          <w14:textFill>
            <w14:solidFill>
              <w14:schemeClr w14:val="tx1"/>
            </w14:solidFill>
          </w14:textFill>
        </w:rPr>
        <w:t>同一投标人提交两个（含两个）以上不同的投标报价的。</w:t>
      </w:r>
    </w:p>
    <w:p w14:paraId="02BAFA55">
      <w:pPr>
        <w:spacing w:line="500" w:lineRule="exact"/>
        <w:ind w:left="479"/>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w:t>
      </w:r>
      <w:r>
        <w:rPr>
          <w:rFonts w:ascii="宋体" w:hAnsi="宋体"/>
          <w:bCs/>
          <w:color w:val="000000" w:themeColor="text1"/>
          <w:sz w:val="24"/>
          <w:szCs w:val="21"/>
          <w14:textFill>
            <w14:solidFill>
              <w14:schemeClr w14:val="tx1"/>
            </w14:solidFill>
          </w14:textFill>
        </w:rPr>
        <w:t>4</w:t>
      </w:r>
      <w:r>
        <w:rPr>
          <w:rFonts w:hint="eastAsia" w:ascii="宋体" w:hAnsi="宋体"/>
          <w:bCs/>
          <w:color w:val="000000" w:themeColor="text1"/>
          <w:sz w:val="24"/>
          <w:szCs w:val="21"/>
          <w14:textFill>
            <w14:solidFill>
              <w14:schemeClr w14:val="tx1"/>
            </w14:solidFill>
          </w14:textFill>
        </w:rPr>
        <w:t>投标人不具备招标文件中规定资格要求的。</w:t>
      </w:r>
    </w:p>
    <w:p w14:paraId="5A2239F6">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w:t>
      </w:r>
      <w:r>
        <w:rPr>
          <w:rFonts w:ascii="宋体" w:hAnsi="宋体"/>
          <w:bCs/>
          <w:color w:val="000000" w:themeColor="text1"/>
          <w:sz w:val="24"/>
          <w:szCs w:val="21"/>
          <w14:textFill>
            <w14:solidFill>
              <w14:schemeClr w14:val="tx1"/>
            </w14:solidFill>
          </w14:textFill>
        </w:rPr>
        <w:t>5</w:t>
      </w:r>
      <w:r>
        <w:rPr>
          <w:rFonts w:hint="eastAsia" w:ascii="宋体" w:hAnsi="宋体"/>
          <w:bCs/>
          <w:color w:val="000000" w:themeColor="text1"/>
          <w:sz w:val="24"/>
          <w:szCs w:val="21"/>
          <w14:textFill>
            <w14:solidFill>
              <w14:schemeClr w14:val="tx1"/>
            </w14:solidFill>
          </w14:textFill>
        </w:rPr>
        <w:t>投标人的报价超过了采购预算或最高限价的。</w:t>
      </w:r>
    </w:p>
    <w:p w14:paraId="6E167D37">
      <w:pPr>
        <w:spacing w:line="500" w:lineRule="exact"/>
        <w:ind w:firstLine="480"/>
        <w:rPr>
          <w:rFonts w:hint="eastAsia" w:ascii="宋体" w:hAnsi="宋体"/>
          <w:bCs/>
          <w:i/>
          <w:color w:val="000000" w:themeColor="text1"/>
          <w:sz w:val="24"/>
          <w:szCs w:val="21"/>
          <w:u w:val="single"/>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w:t>
      </w:r>
      <w:r>
        <w:rPr>
          <w:rFonts w:ascii="宋体" w:hAnsi="宋体"/>
          <w:bCs/>
          <w:color w:val="000000" w:themeColor="text1"/>
          <w:sz w:val="24"/>
          <w:szCs w:val="21"/>
          <w14:textFill>
            <w14:solidFill>
              <w14:schemeClr w14:val="tx1"/>
            </w14:solidFill>
          </w14:textFill>
        </w:rPr>
        <w:t>6</w:t>
      </w:r>
      <w:r>
        <w:rPr>
          <w:rFonts w:hint="eastAsia" w:ascii="宋体" w:hAnsi="宋体"/>
          <w:bCs/>
          <w:color w:val="000000" w:themeColor="text1"/>
          <w:sz w:val="24"/>
          <w:szCs w:val="21"/>
          <w14:textFill>
            <w14:solidFill>
              <w14:schemeClr w14:val="tx1"/>
            </w14:solidFill>
          </w14:textFill>
        </w:rPr>
        <w:t>未通过符合性审查的。</w:t>
      </w:r>
    </w:p>
    <w:p w14:paraId="6FCE9892">
      <w:pPr>
        <w:spacing w:line="500" w:lineRule="exact"/>
        <w:ind w:firstLine="480"/>
        <w:rPr>
          <w:rFonts w:hint="eastAsia" w:ascii="宋体" w:hAnsi="宋体"/>
          <w:bCs/>
          <w:i/>
          <w:color w:val="000000" w:themeColor="text1"/>
          <w:sz w:val="24"/>
          <w:szCs w:val="21"/>
          <w:u w:val="single"/>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不符合招标文件中规定的实质性要求和条件的（</w:t>
      </w:r>
      <w:r>
        <w:rPr>
          <w:rFonts w:hint="eastAsia" w:ascii="宋体" w:hAnsi="宋体"/>
          <w:b/>
          <w:color w:val="000000" w:themeColor="text1"/>
          <w:sz w:val="24"/>
          <w:szCs w:val="21"/>
          <w:u w:val="single"/>
          <w14:textFill>
            <w14:solidFill>
              <w14:schemeClr w14:val="tx1"/>
            </w14:solidFill>
          </w14:textFill>
        </w:rPr>
        <w:t>本招标文件中标★为实质性要求和条件</w:t>
      </w:r>
      <w:r>
        <w:rPr>
          <w:rFonts w:hint="eastAsia" w:ascii="宋体" w:hAnsi="宋体"/>
          <w:bCs/>
          <w:color w:val="000000" w:themeColor="text1"/>
          <w:sz w:val="24"/>
          <w:szCs w:val="21"/>
          <w14:textFill>
            <w14:solidFill>
              <w14:schemeClr w14:val="tx1"/>
            </w14:solidFill>
          </w14:textFill>
        </w:rPr>
        <w:t>）。</w:t>
      </w:r>
    </w:p>
    <w:p w14:paraId="63C000F6">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w:t>
      </w:r>
      <w:r>
        <w:rPr>
          <w:rFonts w:ascii="宋体" w:hAnsi="宋体"/>
          <w:bCs/>
          <w:color w:val="000000" w:themeColor="text1"/>
          <w:sz w:val="24"/>
          <w:szCs w:val="21"/>
          <w14:textFill>
            <w14:solidFill>
              <w14:schemeClr w14:val="tx1"/>
            </w14:solidFill>
          </w14:textFill>
        </w:rPr>
        <w:t>8</w:t>
      </w:r>
      <w:r>
        <w:rPr>
          <w:rFonts w:hint="eastAsia" w:ascii="宋体" w:hAnsi="宋体"/>
          <w:bCs/>
          <w:color w:val="000000" w:themeColor="text1"/>
          <w:sz w:val="24"/>
          <w:szCs w:val="21"/>
          <w14:textFill>
            <w14:solidFill>
              <w14:schemeClr w14:val="tx1"/>
            </w14:solidFill>
          </w14:textFill>
        </w:rPr>
        <w:t>投标人被</w:t>
      </w:r>
      <w:r>
        <w:rPr>
          <w:rFonts w:hint="eastAsia" w:ascii="宋体" w:hAnsi="宋体"/>
          <w:color w:val="000000" w:themeColor="text1"/>
          <w:sz w:val="24"/>
          <w:szCs w:val="24"/>
          <w14:textFill>
            <w14:solidFill>
              <w14:schemeClr w14:val="tx1"/>
            </w14:solidFill>
          </w14:textFill>
        </w:rPr>
        <w:t>信用中国网站（www.creditchina.gov.cn）、中国政府采购网（www.ccgp.gov.cn）</w:t>
      </w:r>
      <w:r>
        <w:rPr>
          <w:rFonts w:hint="eastAsia" w:ascii="宋体" w:hAnsi="宋体"/>
          <w:bCs/>
          <w:color w:val="000000" w:themeColor="text1"/>
          <w:sz w:val="24"/>
          <w:szCs w:val="21"/>
          <w14:textFill>
            <w14:solidFill>
              <w14:schemeClr w14:val="tx1"/>
            </w14:solidFill>
          </w14:textFill>
        </w:rPr>
        <w:t>列入失信被执行人或重大税收违法案件当事人名单或政府采购严重失信行为记录名单。</w:t>
      </w:r>
    </w:p>
    <w:p w14:paraId="57F1DB2C">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w:t>
      </w:r>
      <w:r>
        <w:rPr>
          <w:rFonts w:ascii="宋体" w:hAnsi="宋体"/>
          <w:bCs/>
          <w:color w:val="000000" w:themeColor="text1"/>
          <w:sz w:val="24"/>
          <w:szCs w:val="21"/>
          <w14:textFill>
            <w14:solidFill>
              <w14:schemeClr w14:val="tx1"/>
            </w14:solidFill>
          </w14:textFill>
        </w:rPr>
        <w:t>9</w:t>
      </w:r>
      <w:r>
        <w:rPr>
          <w:rFonts w:hint="eastAsia" w:ascii="宋体" w:hAnsi="宋体"/>
          <w:bCs/>
          <w:color w:val="000000" w:themeColor="text1"/>
          <w:sz w:val="24"/>
          <w:szCs w:val="21"/>
          <w14:textFill>
            <w14:solidFill>
              <w14:schemeClr w14:val="tx1"/>
            </w14:solidFill>
          </w14:textFill>
        </w:rPr>
        <w:t>投标文件含有采购人不能接受的附加条件的。</w:t>
      </w:r>
    </w:p>
    <w:p w14:paraId="7471FFD9">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w:t>
      </w:r>
      <w:r>
        <w:rPr>
          <w:rFonts w:ascii="宋体" w:hAnsi="宋体"/>
          <w:bCs/>
          <w:color w:val="000000" w:themeColor="text1"/>
          <w:sz w:val="24"/>
          <w:szCs w:val="21"/>
          <w14:textFill>
            <w14:solidFill>
              <w14:schemeClr w14:val="tx1"/>
            </w14:solidFill>
          </w14:textFill>
        </w:rPr>
        <w:t>10</w:t>
      </w:r>
      <w:r>
        <w:rPr>
          <w:rFonts w:hint="eastAsia" w:ascii="宋体" w:hAnsi="宋体"/>
          <w:bCs/>
          <w:color w:val="000000" w:themeColor="text1"/>
          <w:sz w:val="24"/>
          <w:szCs w:val="21"/>
          <w14:textFill>
            <w14:solidFill>
              <w14:schemeClr w14:val="tx1"/>
            </w14:solidFill>
          </w14:textFill>
        </w:rPr>
        <w:t>评标委员会认为投标人的报价明显低于其他通过符合性审查投标人的报价，有可能影响产品质量或者不能诚信履约的，按本招标文件第二章“特别提醒”所载异常低价投标审查程序处理；给予投标人作出解释说明的合理时间一般不少于30分钟，项目成本构成复杂的可适当延长。投标人不能证明其报价合理性的，评标委员会应当将其作为无效投标处理。</w:t>
      </w:r>
    </w:p>
    <w:p w14:paraId="54711201">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.1.1</w:t>
      </w:r>
      <w:r>
        <w:rPr>
          <w:rFonts w:ascii="宋体" w:hAnsi="宋体"/>
          <w:bCs/>
          <w:color w:val="000000" w:themeColor="text1"/>
          <w:sz w:val="24"/>
          <w:szCs w:val="21"/>
          <w14:textFill>
            <w14:solidFill>
              <w14:schemeClr w14:val="tx1"/>
            </w14:solidFill>
          </w14:textFill>
        </w:rPr>
        <w:t>1</w:t>
      </w:r>
      <w:r>
        <w:rPr>
          <w:rFonts w:hint="eastAsia" w:ascii="宋体" w:hAnsi="宋体"/>
          <w:bCs/>
          <w:color w:val="000000" w:themeColor="text1"/>
          <w:sz w:val="24"/>
          <w:szCs w:val="21"/>
          <w14:textFill>
            <w14:solidFill>
              <w14:schemeClr w14:val="tx1"/>
            </w14:solidFill>
          </w14:textFill>
        </w:rPr>
        <w:t>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节能产品认证证书）</w:t>
      </w:r>
    </w:p>
    <w:p w14:paraId="10CC990B">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.1.1</w:t>
      </w:r>
      <w:r>
        <w:rPr>
          <w:rFonts w:ascii="宋体" w:hAnsi="宋体"/>
          <w:bCs/>
          <w:color w:val="000000" w:themeColor="text1"/>
          <w:sz w:val="24"/>
          <w:szCs w:val="21"/>
          <w14:textFill>
            <w14:solidFill>
              <w14:schemeClr w14:val="tx1"/>
            </w14:solidFill>
          </w14:textFill>
        </w:rPr>
        <w:t>2</w:t>
      </w:r>
      <w:r>
        <w:rPr>
          <w:rFonts w:hint="eastAsia" w:ascii="宋体" w:hAnsi="宋体"/>
          <w:bCs/>
          <w:color w:val="000000" w:themeColor="text1"/>
          <w:sz w:val="24"/>
          <w:szCs w:val="21"/>
          <w14:textFill>
            <w14:solidFill>
              <w14:schemeClr w14:val="tx1"/>
            </w14:solidFill>
          </w14:textFill>
        </w:rPr>
        <w:t>投标文件未按照招标文件要求加盖CA电子公章的。</w:t>
      </w:r>
    </w:p>
    <w:p w14:paraId="1417E4F5">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7</w:t>
      </w:r>
      <w:r>
        <w:rPr>
          <w:rFonts w:hint="eastAsia" w:ascii="宋体" w:hAnsi="宋体"/>
          <w:bCs/>
          <w:color w:val="000000" w:themeColor="text1"/>
          <w:sz w:val="24"/>
          <w:szCs w:val="21"/>
          <w14:textFill>
            <w14:solidFill>
              <w14:schemeClr w14:val="tx1"/>
            </w14:solidFill>
          </w14:textFill>
        </w:rPr>
        <w:t>.1.13法律、行政法规规定应当作无效投标处理的其他情形。</w:t>
      </w:r>
    </w:p>
    <w:p w14:paraId="73B75A0D">
      <w:pPr>
        <w:spacing w:line="500" w:lineRule="exact"/>
        <w:ind w:firstLine="480"/>
        <w:jc w:val="left"/>
        <w:rPr>
          <w:rFonts w:ascii="Calibri" w:hAnsi="Calibri"/>
          <w:color w:val="000000" w:themeColor="text1"/>
          <w:sz w:val="24"/>
          <w:szCs w:val="24"/>
          <w14:textFill>
            <w14:solidFill>
              <w14:schemeClr w14:val="tx1"/>
            </w14:solidFill>
          </w14:textFill>
        </w:rPr>
      </w:pPr>
      <w:bookmarkStart w:id="149" w:name="_Toc120614219"/>
      <w:r>
        <w:rPr>
          <w:rFonts w:hint="eastAsia" w:ascii="Calibri" w:hAnsi="Calibri"/>
          <w:color w:val="000000" w:themeColor="text1"/>
          <w:sz w:val="24"/>
          <w:szCs w:val="24"/>
          <w14:textFill>
            <w14:solidFill>
              <w14:schemeClr w14:val="tx1"/>
            </w14:solidFill>
          </w14:textFill>
        </w:rPr>
        <w:t>27.2有下列情形之一的，视为投标人串通投标，投标无效：</w:t>
      </w:r>
    </w:p>
    <w:p w14:paraId="5C0696C3">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（1）不同投标人的投标文件由同一单位或者个人编制。</w:t>
      </w:r>
    </w:p>
    <w:p w14:paraId="03D2A25E">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（2）不同投标人委托同一单位或者个人办理投标事宜。</w:t>
      </w:r>
    </w:p>
    <w:p w14:paraId="42AB965D">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（3）不同投标人的投标文件载明的项目管理成员或者联系人员为同一人。</w:t>
      </w:r>
    </w:p>
    <w:p w14:paraId="4BB439B0">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（4）不同投标人的投标文件异常一致或者投标报价呈规律性差异。</w:t>
      </w:r>
    </w:p>
    <w:p w14:paraId="5C15EEDA">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（5）不同投标人的投标文件相互混装。</w:t>
      </w:r>
    </w:p>
    <w:p w14:paraId="5078F9D6">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27.3废标条款：</w:t>
      </w:r>
    </w:p>
    <w:p w14:paraId="4C155C03">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（1）因“苏采云”系统故障原因造成开标不成功的。</w:t>
      </w:r>
    </w:p>
    <w:p w14:paraId="6A77ADB0">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（2）评委会认定招标文件存在歧义、重大缺陷导致评标工作无法进行，或者招标文件内容违反国家有关强制性规定的。</w:t>
      </w:r>
    </w:p>
    <w:p w14:paraId="0C4F2789">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（3）符合专业条件的供应商或者对招标文件作实质响应的供应商不足三家的。</w:t>
      </w:r>
    </w:p>
    <w:p w14:paraId="53AC6A24">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（4）出现影响采购公正的违法、违规行为的。</w:t>
      </w:r>
    </w:p>
    <w:p w14:paraId="1870C9D6">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（5）因重大变故，采购任务取消的。</w:t>
      </w:r>
    </w:p>
    <w:p w14:paraId="39FBD9A7">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27.4出现投标截止时间结束后参加投标的供应商或者在评标期间对招标文件做出实质响应的供应商不足三家情况的，按照政府采购有关规定执行。</w:t>
      </w:r>
    </w:p>
    <w:p w14:paraId="0DD9BD61">
      <w:pPr>
        <w:keepNext/>
        <w:keepLines/>
        <w:spacing w:before="145" w:after="145" w:line="500" w:lineRule="exact"/>
        <w:ind w:firstLine="482"/>
        <w:outlineLvl w:val="2"/>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六、</w:t>
      </w:r>
      <w:bookmarkEnd w:id="146"/>
      <w:bookmarkEnd w:id="147"/>
      <w:bookmarkEnd w:id="148"/>
      <w:r>
        <w:rPr>
          <w:rFonts w:hint="eastAsia"/>
          <w:b/>
          <w:bCs/>
          <w:color w:val="000000" w:themeColor="text1"/>
          <w:sz w:val="32"/>
          <w:szCs w:val="32"/>
          <w14:textFill>
            <w14:solidFill>
              <w14:schemeClr w14:val="tx1"/>
            </w14:solidFill>
          </w14:textFill>
        </w:rPr>
        <w:t>定标</w:t>
      </w:r>
      <w:bookmarkEnd w:id="149"/>
    </w:p>
    <w:p w14:paraId="7542E051">
      <w:pPr>
        <w:keepNext/>
        <w:keepLines/>
        <w:spacing w:line="500" w:lineRule="exact"/>
        <w:ind w:firstLine="600"/>
        <w:outlineLvl w:val="3"/>
        <w:rPr>
          <w:rFonts w:hint="eastAsia" w:ascii="黑体" w:hAnsi="宋体" w:eastAsia="黑体"/>
          <w:bCs/>
          <w:color w:val="000000" w:themeColor="text1"/>
          <w:sz w:val="30"/>
          <w:szCs w:val="30"/>
          <w14:textFill>
            <w14:solidFill>
              <w14:schemeClr w14:val="tx1"/>
            </w14:solidFill>
          </w14:textFill>
        </w:rPr>
      </w:pPr>
      <w:bookmarkStart w:id="150" w:name="_Toc513029238"/>
      <w:bookmarkStart w:id="151" w:name="_Toc16938554"/>
      <w:bookmarkStart w:id="152" w:name="_Toc20823310"/>
      <w:r>
        <w:rPr>
          <w:rFonts w:hint="eastAsia" w:ascii="黑体" w:hAnsi="宋体" w:eastAsia="黑体"/>
          <w:bCs/>
          <w:color w:val="000000" w:themeColor="text1"/>
          <w:sz w:val="30"/>
          <w:szCs w:val="30"/>
          <w14:textFill>
            <w14:solidFill>
              <w14:schemeClr w14:val="tx1"/>
            </w14:solidFill>
          </w14:textFill>
        </w:rPr>
        <w:t>2</w:t>
      </w:r>
      <w:r>
        <w:rPr>
          <w:rFonts w:ascii="黑体" w:hAnsi="宋体" w:eastAsia="黑体"/>
          <w:bCs/>
          <w:color w:val="000000" w:themeColor="text1"/>
          <w:sz w:val="30"/>
          <w:szCs w:val="30"/>
          <w14:textFill>
            <w14:solidFill>
              <w14:schemeClr w14:val="tx1"/>
            </w14:solidFill>
          </w14:textFill>
        </w:rPr>
        <w:t>8</w:t>
      </w:r>
      <w:r>
        <w:rPr>
          <w:rFonts w:hint="eastAsia" w:ascii="黑体" w:hAnsi="宋体" w:eastAsia="黑体"/>
          <w:bCs/>
          <w:color w:val="000000" w:themeColor="text1"/>
          <w:sz w:val="30"/>
          <w:szCs w:val="30"/>
          <w14:textFill>
            <w14:solidFill>
              <w14:schemeClr w14:val="tx1"/>
            </w14:solidFill>
          </w14:textFill>
        </w:rPr>
        <w:t>、</w:t>
      </w:r>
      <w:bookmarkEnd w:id="150"/>
      <w:r>
        <w:rPr>
          <w:rFonts w:hint="eastAsia" w:ascii="黑体" w:hAnsi="宋体" w:eastAsia="黑体"/>
          <w:bCs/>
          <w:color w:val="000000" w:themeColor="text1"/>
          <w:sz w:val="30"/>
          <w:szCs w:val="30"/>
          <w14:textFill>
            <w14:solidFill>
              <w14:schemeClr w14:val="tx1"/>
            </w14:solidFill>
          </w14:textFill>
        </w:rPr>
        <w:t>确定</w:t>
      </w:r>
      <w:bookmarkEnd w:id="151"/>
      <w:bookmarkEnd w:id="152"/>
      <w:r>
        <w:rPr>
          <w:rFonts w:hint="eastAsia" w:ascii="黑体" w:hAnsi="宋体" w:eastAsia="黑体"/>
          <w:bCs/>
          <w:color w:val="000000" w:themeColor="text1"/>
          <w:sz w:val="30"/>
          <w:szCs w:val="30"/>
          <w14:textFill>
            <w14:solidFill>
              <w14:schemeClr w14:val="tx1"/>
            </w14:solidFill>
          </w14:textFill>
        </w:rPr>
        <w:t>中标单位</w:t>
      </w:r>
    </w:p>
    <w:p w14:paraId="21A47877">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8</w:t>
      </w:r>
      <w:r>
        <w:rPr>
          <w:rFonts w:hint="eastAsia" w:ascii="宋体" w:hAnsi="宋体"/>
          <w:bCs/>
          <w:color w:val="000000" w:themeColor="text1"/>
          <w:sz w:val="24"/>
          <w:szCs w:val="21"/>
          <w14:textFill>
            <w14:solidFill>
              <w14:schemeClr w14:val="tx1"/>
            </w14:solidFill>
          </w14:textFill>
        </w:rPr>
        <w:t>.1中标候选人的选取原则和数量见招标文件第五章规定。</w:t>
      </w:r>
    </w:p>
    <w:p w14:paraId="3DAE3C94">
      <w:pPr>
        <w:spacing w:line="500" w:lineRule="exact"/>
        <w:ind w:firstLine="480"/>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2</w:t>
      </w:r>
      <w:r>
        <w:rPr>
          <w:rFonts w:ascii="宋体" w:hAnsi="宋体"/>
          <w:bCs/>
          <w:color w:val="000000" w:themeColor="text1"/>
          <w:sz w:val="24"/>
          <w:szCs w:val="21"/>
          <w14:textFill>
            <w14:solidFill>
              <w14:schemeClr w14:val="tx1"/>
            </w14:solidFill>
          </w14:textFill>
        </w:rPr>
        <w:t>8</w:t>
      </w:r>
      <w:r>
        <w:rPr>
          <w:rFonts w:hint="eastAsia" w:ascii="宋体" w:hAnsi="宋体"/>
          <w:bCs/>
          <w:color w:val="000000" w:themeColor="text1"/>
          <w:sz w:val="24"/>
          <w:szCs w:val="21"/>
          <w14:textFill>
            <w14:solidFill>
              <w14:schemeClr w14:val="tx1"/>
            </w14:solidFill>
          </w14:textFill>
        </w:rPr>
        <w:t>.2采购人应根据评标委员会按得分由高到低推荐1-3名中标候选人，并标明排序。</w:t>
      </w:r>
    </w:p>
    <w:p w14:paraId="6056E151">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8</w:t>
      </w:r>
      <w:r>
        <w:rPr>
          <w:rFonts w:hint="eastAsia" w:ascii="宋体" w:hAnsi="宋体"/>
          <w:bCs/>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采购中心将在“江苏政府采购网”发布中标公告，公告期限为1个工作日。</w:t>
      </w:r>
    </w:p>
    <w:p w14:paraId="000EBB51">
      <w:pPr>
        <w:spacing w:line="50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.4若有充分证据证明，中标人出现下列情况之一的，一经查实，依法认定并按法定程序处理：</w:t>
      </w:r>
    </w:p>
    <w:p w14:paraId="5034D290">
      <w:pPr>
        <w:spacing w:line="500" w:lineRule="exact"/>
        <w:ind w:firstLine="480"/>
        <w:jc w:val="left"/>
        <w:rPr>
          <w:rFonts w:ascii="Calibri" w:hAnsi="Calibri"/>
          <w:color w:val="000000" w:themeColor="text1"/>
          <w:sz w:val="24"/>
          <w:szCs w:val="24"/>
          <w14:textFill>
            <w14:solidFill>
              <w14:schemeClr w14:val="tx1"/>
            </w14:solidFill>
          </w14:textFill>
        </w:rPr>
      </w:pPr>
      <w:bookmarkStart w:id="153" w:name="_Toc200451960"/>
      <w:r>
        <w:rPr>
          <w:rFonts w:hint="eastAsia" w:ascii="Calibri" w:hAnsi="Calibri"/>
          <w:color w:val="000000" w:themeColor="text1"/>
          <w:sz w:val="24"/>
          <w:szCs w:val="24"/>
          <w14:textFill>
            <w14:solidFill>
              <w14:schemeClr w14:val="tx1"/>
            </w14:solidFill>
          </w14:textFill>
        </w:rPr>
        <w:t>（1）提供虚假材料谋取中标、中标的。</w:t>
      </w:r>
    </w:p>
    <w:p w14:paraId="157ECABD">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（2）采取不正当手段诋毁、排挤其他供应商的。</w:t>
      </w:r>
    </w:p>
    <w:p w14:paraId="3C346F68">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（3）与采购人、其他供应商或者采购中心恶意串通的。</w:t>
      </w:r>
    </w:p>
    <w:p w14:paraId="42A2ABD8">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（4）向采购人、采购中心行贿或者提供其他不正当利益的。</w:t>
      </w:r>
    </w:p>
    <w:p w14:paraId="75A746BF">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（5）在招标采购过程中与采购人进行协商谈判的。</w:t>
      </w:r>
    </w:p>
    <w:p w14:paraId="2D51FFF4">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（6）属于本招标文件规定的无效情形，但在评标过程中又未被评委会发现的。</w:t>
      </w:r>
    </w:p>
    <w:bookmarkEnd w:id="153"/>
    <w:p w14:paraId="3DD50324">
      <w:pPr>
        <w:keepNext/>
        <w:keepLines/>
        <w:spacing w:line="500" w:lineRule="exact"/>
        <w:ind w:firstLine="600"/>
        <w:outlineLvl w:val="3"/>
        <w:rPr>
          <w:rFonts w:hint="eastAsia" w:ascii="黑体" w:hAnsi="宋体" w:eastAsia="黑体"/>
          <w:bCs/>
          <w:color w:val="000000" w:themeColor="text1"/>
          <w:sz w:val="30"/>
          <w:szCs w:val="30"/>
          <w14:textFill>
            <w14:solidFill>
              <w14:schemeClr w14:val="tx1"/>
            </w14:solidFill>
          </w14:textFill>
        </w:rPr>
      </w:pPr>
      <w:bookmarkStart w:id="154" w:name="_Toc120614221"/>
      <w:bookmarkStart w:id="155" w:name="_Toc16938558"/>
      <w:bookmarkStart w:id="156" w:name="_Toc513029242"/>
      <w:bookmarkStart w:id="157" w:name="_Toc20823314"/>
      <w:bookmarkStart w:id="158" w:name="_Toc479757207"/>
      <w:r>
        <w:rPr>
          <w:rFonts w:hint="eastAsia" w:ascii="黑体" w:hAnsi="宋体" w:eastAsia="黑体"/>
          <w:bCs/>
          <w:color w:val="000000" w:themeColor="text1"/>
          <w:sz w:val="30"/>
          <w:szCs w:val="30"/>
          <w14:textFill>
            <w14:solidFill>
              <w14:schemeClr w14:val="tx1"/>
            </w14:solidFill>
          </w14:textFill>
        </w:rPr>
        <w:t>29、中标通知书</w:t>
      </w:r>
    </w:p>
    <w:p w14:paraId="2FE64B34">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29.1中标结果确定后，采购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30DFDC8A">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29.2中标通知书将作为政府采购合同的一个组成部分。对采购人和中标人均具有法律效力。中标通知书发出后，采购人改变中标结果的，或者中标人放弃中标项目的，应当依法承担法律责任。</w:t>
      </w:r>
    </w:p>
    <w:p w14:paraId="171C5B06">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29.3中标人应在中标后七个工作日内，向采购中心提供一份与电子投标文件一致的纸质打印胶装投标文件（带页码），封面、骑缝需加盖公章；电子标书以苏采云系统归档文件为准，不再另行提交U盘等移动存储介质。</w:t>
      </w:r>
    </w:p>
    <w:p w14:paraId="35DCB432">
      <w:pPr>
        <w:keepNext/>
        <w:keepLines/>
        <w:spacing w:before="145" w:after="145" w:line="500" w:lineRule="exact"/>
        <w:ind w:firstLine="482"/>
        <w:outlineLvl w:val="2"/>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七、授予合同</w:t>
      </w:r>
    </w:p>
    <w:p w14:paraId="6EF9B2C9">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30、履约保证金</w:t>
      </w:r>
    </w:p>
    <w:p w14:paraId="7C4CB3F0">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25A0062F">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30.2中标人违约的，采购人将按照合同约定扣除其全部或部分履约保证金。如中标人违约给采购人造成的损失超过履约保证金的，应当依法赔偿超过部分的损失。</w:t>
      </w:r>
    </w:p>
    <w:p w14:paraId="071A06A1">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30.3履约保证金自合同生效之日起至合同约定的中标人主要义务履行完毕止，采购人应当按合同约定及时退还履约保证金。</w:t>
      </w:r>
    </w:p>
    <w:p w14:paraId="0C7D01E4">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30.4逾期退还履约保证金的采购人承担违约责任，按照同期全国银行间同业拆借中心公布的贷款市场报价利率（LPR）向中标人支付超期资金占用费。</w:t>
      </w:r>
    </w:p>
    <w:p w14:paraId="32BE5288">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30.5本项目履约保证金要求详见招标文件第四章采购需求。</w:t>
      </w:r>
    </w:p>
    <w:p w14:paraId="4A7108EB">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31、签订合同</w:t>
      </w:r>
    </w:p>
    <w:p w14:paraId="6D6FED38">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31.1中标人应当在中标通知书发出之日起三十日内，按照招标文件和中标人投标文件的规定，与采购人签订政府采购合同。</w:t>
      </w:r>
    </w:p>
    <w:p w14:paraId="79EC72FA">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31.2招标文件、中标人的投标文件及招标过程中有关澄清、承诺等文件均应作为合同附件。</w:t>
      </w:r>
    </w:p>
    <w:p w14:paraId="7F03E7EA">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31.3签订合同后，中标人不得将合同标的转包。未经采购人同意，中标人也不得采用分包的形式履行合同，否则采购人有权终止合同。转包或分包造成采购人损失的，中标人应承担相应赔偿责任。</w:t>
      </w:r>
    </w:p>
    <w:p w14:paraId="53E4E907">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32、合同标的的追加</w:t>
      </w:r>
    </w:p>
    <w:p w14:paraId="0FCC967A">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36B56D22">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33、政府采购履约资金扶持政策</w:t>
      </w:r>
    </w:p>
    <w:p w14:paraId="69288EA3">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33.1中标人可凭政府采购合同办理融资贷款，详情请见江苏政府采购网“政采贷”专栏。</w:t>
      </w:r>
    </w:p>
    <w:p w14:paraId="53F4E286">
      <w:pPr>
        <w:keepNext/>
        <w:keepLines/>
        <w:spacing w:line="360" w:lineRule="auto"/>
        <w:outlineLvl w:val="1"/>
        <w:rPr>
          <w:rFonts w:hint="eastAsia" w:ascii="黑体" w:hAnsi="黑体" w:eastAsia="黑体"/>
          <w:bCs/>
          <w:color w:val="000000" w:themeColor="text1"/>
          <w:sz w:val="32"/>
          <w:szCs w:val="32"/>
          <w14:textFill>
            <w14:solidFill>
              <w14:schemeClr w14:val="tx1"/>
            </w14:solidFill>
          </w14:textFill>
        </w:rPr>
      </w:pPr>
      <w:r>
        <w:rPr>
          <w:rFonts w:hint="eastAsia" w:ascii="黑体" w:hAnsi="黑体" w:eastAsia="黑体"/>
          <w:bCs/>
          <w:color w:val="000000" w:themeColor="text1"/>
          <w:sz w:val="32"/>
          <w:szCs w:val="32"/>
          <w14:textFill>
            <w14:solidFill>
              <w14:schemeClr w14:val="tx1"/>
            </w14:solidFill>
          </w14:textFill>
        </w:rPr>
        <w:t>八、询问与质疑</w:t>
      </w:r>
    </w:p>
    <w:p w14:paraId="74A30A50">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34、询问</w:t>
      </w:r>
    </w:p>
    <w:p w14:paraId="2DCFA4E3">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34.1供应商对政府采购活动事项有疑问的，可以提出询问，采购人或者采购中心应当在3个工作日内对投标人依法提出的询问作出答复，但答复的内容不得涉及商业秘密。供应商提出的询问超出采购人对采购中心委托授权范围的，采购中心应当告知其向采购人提出。</w:t>
      </w:r>
    </w:p>
    <w:p w14:paraId="11F55BD4">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35、质疑提出</w:t>
      </w:r>
    </w:p>
    <w:p w14:paraId="0CD092CF">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35.1提出质疑的供应商应当是参与所质疑项目采购活动的供应商。</w:t>
      </w:r>
    </w:p>
    <w:p w14:paraId="389CCAEB">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35.2供应商认为采购文件、采购过程、采购结果使自己的权益受到损害的，可以在知道或者应知其权益受到损害之日（获取采购文件之日、中标公告发布之日）起七个工作日内以书面形式向采购人、采购中心提出质疑。</w:t>
      </w:r>
    </w:p>
    <w:p w14:paraId="72216A4A">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供应商应当在法定质疑期内一次性提出针对同一采购程序环节的质疑，供应商如在法定期限内对同一采购程序环节提出多次质疑的，采购人、采购中心将只对供应商第一次质疑作出答复。</w:t>
      </w:r>
    </w:p>
    <w:p w14:paraId="06F79FAF">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未按照采购公告要求获取采购文件的供应商，视为未参与该项目采购活动，不具备对该采购文件提出质疑的法定权利。</w:t>
      </w:r>
    </w:p>
    <w:p w14:paraId="64B5A75B">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35.3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p>
    <w:p w14:paraId="27E24366">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35.4供应商可通过苏采云系统提交加盖电子签章的质疑函，也可按本招标文件第一章载明的地址提交纸质质疑函；符合电子签名和数据电文要求的电子质疑视为书面形式，采购人、采购中心不得要求供应商在提交电子质疑后重复邮寄纸质原件。联系部门、联系电话和通讯地址详见招标文件第一章。质疑实行实名制，不得进行虚假、恶意质疑。</w:t>
      </w:r>
    </w:p>
    <w:p w14:paraId="2E4064C4">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35.5质疑函应当使用范本，详见招标文件第六章。供应商提出质疑应当提交质疑函和必要的证明材料，应当包括下列内容：</w:t>
      </w:r>
    </w:p>
    <w:p w14:paraId="77667C55">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（1）供应商的姓名或者名称、地址、邮编、联系人及联系电话；</w:t>
      </w:r>
    </w:p>
    <w:p w14:paraId="31BCAD82">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（2）质疑项目的名称、编号；</w:t>
      </w:r>
    </w:p>
    <w:p w14:paraId="2E592BF8">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（3）具体、明确的质疑事项和与质疑事项相关的请求；</w:t>
      </w:r>
    </w:p>
    <w:p w14:paraId="2DF89778">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（4）事实依据；</w:t>
      </w:r>
    </w:p>
    <w:p w14:paraId="34D7B049">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（5）必要的法律依据；</w:t>
      </w:r>
    </w:p>
    <w:p w14:paraId="5192A441">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（6）提出质疑的日期；</w:t>
      </w:r>
    </w:p>
    <w:p w14:paraId="01B43340">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（7）必要的证明材料；</w:t>
      </w:r>
    </w:p>
    <w:p w14:paraId="791EC55C">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（8）营业执照复印件及授权委托书原件、法定代表人（单位负责人）身份证复印件、委托代理人身份证复印件。</w:t>
      </w:r>
    </w:p>
    <w:p w14:paraId="2C865396">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供应商为自然人的，应当由本人签字；供应商为法人或者其他组织的，应当由法定代表人、主要负责人，或者其委托代理人签字或者盖章，并加盖单位公章。</w:t>
      </w:r>
    </w:p>
    <w:p w14:paraId="384160F5">
      <w:pPr>
        <w:keepNext/>
        <w:keepLines/>
        <w:spacing w:line="360" w:lineRule="auto"/>
        <w:ind w:firstLine="562"/>
        <w:jc w:val="left"/>
        <w:outlineLvl w:val="2"/>
        <w:rPr>
          <w:rFonts w:ascii="Calibri" w:hAnsi="Calibri"/>
          <w:b/>
          <w:bCs/>
          <w:color w:val="000000" w:themeColor="text1"/>
          <w:sz w:val="24"/>
          <w:szCs w:val="24"/>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36、质疑函的受理和答复</w:t>
      </w:r>
    </w:p>
    <w:p w14:paraId="3F316B13">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36.1质疑供应商应当保证其提出的质疑事项及必要的证明材料的真实性及来源的合法性，并承担相应的法律责任。对不能提供必要的证明材料的、匿名的质疑函将不予受理。采购人、采购中心依法保护质疑材料中的商业秘密，不得因质疑材料涉及商业秘密而拒绝受理。必要的证明材料要具备客观性、关联性、合法性，无法查实的（如宣传册、媒体报道、猜测、推理等）不能作为证明材料。采购人、采购中心不负责搜集必要的证明材料等工作。</w:t>
      </w:r>
    </w:p>
    <w:p w14:paraId="65E58A19">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36.2对符合法定要求的质疑，采购人、采购中心接收并登记《质疑函登记表》。在处理过程中，发现需要质疑供应商进一步补充必要的证明材料的，应当一次性告知补正；质疑答复应当在法定期限内作出，不因补正材料当然中止或者顺延。质疑供应商不能按时提供必要的证明材料的，采购人、采购中心可按现有材料依法作出答复。</w:t>
      </w:r>
    </w:p>
    <w:p w14:paraId="31EFC4E3">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36.3对不符合质疑要求的，采购人、采购中心应当一次性告知需要补充的材料及合理期限；质疑供应商未补充的，采购人、采购中心可按现有材料依法处理，并在法定期限内作出答复。</w:t>
      </w:r>
    </w:p>
    <w:p w14:paraId="56611034">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36.4以下情形的质疑依法不予受理：</w:t>
      </w:r>
    </w:p>
    <w:p w14:paraId="64B78FA1">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（1）内容不符合《政府采购质疑和投诉办法》第十二条规定的质疑。</w:t>
      </w:r>
    </w:p>
    <w:p w14:paraId="710DED2D">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（2）超出政府采购法定期限的质疑。</w:t>
      </w:r>
    </w:p>
    <w:p w14:paraId="3E50C172">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（3）未按本招标文件载明的渠道提交，且经告知后仍未在法定期限内提交的质疑。</w:t>
      </w:r>
    </w:p>
    <w:p w14:paraId="3B1A140C">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（4）未参与采购活动或在采购活动中自身权益未受到损害的供应商提出的质疑。</w:t>
      </w:r>
    </w:p>
    <w:p w14:paraId="727FDDD5">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（5）供应商组成联合体，联合体中任何一方或多方未按要求签字（盖章）、加盖公章的质疑。</w:t>
      </w:r>
    </w:p>
    <w:p w14:paraId="2E6E2D8A">
      <w:pPr>
        <w:spacing w:line="44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36.5采购人、采购中心依法受理的质疑，将按照政府采购有关规定，在法定期限内作出答复。</w:t>
      </w:r>
    </w:p>
    <w:p w14:paraId="53D5D608">
      <w:pPr>
        <w:spacing w:line="44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36.6</w:t>
      </w:r>
      <w:r>
        <w:rPr>
          <w:rFonts w:hint="eastAsia" w:ascii="宋体" w:hAnsi="宋体" w:cs="宋体"/>
          <w:color w:val="000000" w:themeColor="text1"/>
          <w:sz w:val="24"/>
          <w:szCs w:val="24"/>
          <w14:textFill>
            <w14:solidFill>
              <w14:schemeClr w14:val="tx1"/>
            </w14:solidFill>
          </w14:textFill>
        </w:rPr>
        <w:t>因质疑供应商所留联系方式无效，或者无故不接收，导致质疑答复结果无法送达的，视为质疑供应商主动放弃知晓质疑答复结果的权利。</w:t>
      </w:r>
    </w:p>
    <w:p w14:paraId="4D80D503">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37、质疑处理</w:t>
      </w:r>
    </w:p>
    <w:p w14:paraId="6278A157">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37.1质疑、投诉应当按照《政府采购质疑和投诉办法》（财政部令第94号）规定的程序提出。对未按法定程序提出的，采购人、采购中心应当告知其补正，不得据此限制其法定救济权利。</w:t>
      </w:r>
    </w:p>
    <w:p w14:paraId="48D26ADC">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37.2质疑供应商不配合或者采取不正当手段干扰政府采购质疑、投诉处理工作的，采购人、采购中心应当记录相关情况并依法报财政部门处理。</w:t>
      </w:r>
    </w:p>
    <w:p w14:paraId="4B5A551C">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37.3质疑供应商在投诉受理期间就同一事项多头举报的，由财政部门依法认定和处理，采购人、采购中心不作信用定性。</w:t>
      </w:r>
    </w:p>
    <w:p w14:paraId="637FEF2F">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37.4质疑查无实据的，由财政部门依法处理；采购人、采购中心不得自行认定失信行为。</w:t>
      </w:r>
    </w:p>
    <w:p w14:paraId="3E07BA03">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37.5质疑供应商采用捏造事实、提供虚假材料或者以非法手段取得证明材料等方式进行虚假、恶意投诉的，采购人、采购中心应当固定证据并依法报财政部门处理。（证据来源的合法性存在明显疑问，投诉人无法证明其取得方式合法的，视为以非法手段取得证明材料）</w:t>
      </w:r>
    </w:p>
    <w:p w14:paraId="4977DA0F">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37.6投诉查无实据的，依照《政府采购质疑和投诉办法》及有效信用管理制度，由有权机关依法处理。</w:t>
      </w:r>
    </w:p>
    <w:p w14:paraId="15F54A8B">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37.7未尽事宜，依照有关法律、法规执行。</w:t>
      </w:r>
    </w:p>
    <w:p w14:paraId="7E3968D8">
      <w:pPr>
        <w:keepNext/>
        <w:keepLines/>
        <w:spacing w:before="145" w:after="145" w:line="500" w:lineRule="exact"/>
        <w:outlineLvl w:val="2"/>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九、政府采购政策功能</w:t>
      </w:r>
    </w:p>
    <w:p w14:paraId="7B782911">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38、促进中小企业发展</w:t>
      </w:r>
    </w:p>
    <w:p w14:paraId="4BCC6218">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7ADC025D">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38.2本项目服务全部由小型企业、微型企业、残疾人福利性单位、监狱企业承接的（即提供服务的人员为上述单位依照《中华人民共和国劳动合同法》订立劳动合同的从业人员），对其报价给予10%的扣除，用扣除后的价格参与评审。服务由大中型企业与小微企业共同承接的，不享受该扶持政策。</w:t>
      </w:r>
    </w:p>
    <w:p w14:paraId="6553AD35">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38.3</w:t>
      </w:r>
      <w:r>
        <w:rPr>
          <w:rFonts w:hint="eastAsia" w:ascii="宋体" w:hAnsi="宋体"/>
          <w:color w:val="000000" w:themeColor="text1"/>
          <w:sz w:val="24"/>
          <w:szCs w:val="24"/>
          <w14:textFill>
            <w14:solidFill>
              <w14:schemeClr w14:val="tx1"/>
            </w14:solidFill>
          </w14:textFill>
        </w:rPr>
        <w:t>参</w:t>
      </w:r>
      <w:r>
        <w:rPr>
          <w:rFonts w:hint="eastAsia" w:ascii="Calibri" w:hAnsi="Calibri"/>
          <w:color w:val="000000" w:themeColor="text1"/>
          <w:sz w:val="24"/>
          <w:szCs w:val="24"/>
          <w14:textFill>
            <w14:solidFill>
              <w14:schemeClr w14:val="tx1"/>
            </w14:solidFill>
          </w14:textFill>
        </w:rPr>
        <w:t>加本项目政府采购活动的供应商享受价格评审优惠的应当提供的材料：</w:t>
      </w:r>
    </w:p>
    <w:p w14:paraId="5628BB2B">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（1）本项目服务全部由中型企业、小型企业、微型企业承接的，提供《中小企业声明函》（服务类，第六章投标文件格式），声明"服务全部由符合政策要求的中小企业承接"，并逐一填写承接企业信息。</w:t>
      </w:r>
    </w:p>
    <w:p w14:paraId="73A1568E">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（2）符合《关于促进残疾人就业政府采购政策的通知》（财库〔2017〕141号）规定的条件并提供《残疾人福利性单位声明函》（第六章投标文件格式）的残疾人福利性单位视同小型、微型企业。</w:t>
      </w:r>
    </w:p>
    <w:p w14:paraId="0F82820C">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符合《关于政府采购支持监狱企业发展有关问题的通知》（财库〔2014〕68号）规定的监狱企业并提供省级以上监狱管理局、戒毒管理局（含新疆生产建设兵团）出具的属于监狱企业证明文件的，视同小型、微型企业。</w:t>
      </w:r>
    </w:p>
    <w:p w14:paraId="1CC3AE99">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38.4残疾人福利单位、监狱企业属于小型、微型企业的，不重复享受政策。</w:t>
      </w:r>
    </w:p>
    <w:p w14:paraId="1A0DEBD1">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38.5享受扶持政策获得政府采购合同的，小微型企业不得将合同分包给大中型企业，中型企业不得将合同分包给大型企业。</w:t>
      </w:r>
    </w:p>
    <w:p w14:paraId="231C684D">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39、支持绿色发展</w:t>
      </w:r>
    </w:p>
    <w:p w14:paraId="13DA0E5E">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2F65EF10">
      <w:pPr>
        <w:spacing w:line="500" w:lineRule="exact"/>
        <w:ind w:firstLine="480"/>
        <w:jc w:val="left"/>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490F427">
      <w:pPr>
        <w:keepNext/>
        <w:keepLines/>
        <w:spacing w:line="360" w:lineRule="auto"/>
        <w:ind w:firstLine="562"/>
        <w:jc w:val="left"/>
        <w:outlineLvl w:val="2"/>
        <w:rPr>
          <w:rFonts w:ascii="Calibri" w:hAnsi="Calibri"/>
          <w:b/>
          <w:bCs/>
          <w:color w:val="000000" w:themeColor="text1"/>
          <w:sz w:val="28"/>
          <w:szCs w:val="28"/>
          <w14:textFill>
            <w14:solidFill>
              <w14:schemeClr w14:val="tx1"/>
            </w14:solidFill>
          </w14:textFill>
        </w:rPr>
      </w:pPr>
      <w:r>
        <w:rPr>
          <w:rFonts w:hint="eastAsia" w:ascii="Calibri" w:hAnsi="Calibri"/>
          <w:b/>
          <w:bCs/>
          <w:color w:val="000000" w:themeColor="text1"/>
          <w:sz w:val="28"/>
          <w:szCs w:val="28"/>
          <w14:textFill>
            <w14:solidFill>
              <w14:schemeClr w14:val="tx1"/>
            </w14:solidFill>
          </w14:textFill>
        </w:rPr>
        <w:t>40、政府采购需求标准</w:t>
      </w:r>
    </w:p>
    <w:p w14:paraId="77F376F9">
      <w:pPr>
        <w:pStyle w:val="5"/>
        <w:spacing w:before="0" w:after="0" w:line="480" w:lineRule="exact"/>
        <w:ind w:firstLine="562"/>
        <w:jc w:val="left"/>
        <w:rPr>
          <w:rFonts w:ascii="Calibri" w:hAnsi="Calibri"/>
          <w:b w:val="0"/>
          <w:bCs w:val="0"/>
          <w:color w:val="000000" w:themeColor="text1"/>
          <w:sz w:val="24"/>
          <w:szCs w:val="24"/>
          <w14:textFill>
            <w14:solidFill>
              <w14:schemeClr w14:val="tx1"/>
            </w14:solidFill>
          </w14:textFill>
        </w:rPr>
      </w:pPr>
      <w:r>
        <w:rPr>
          <w:rFonts w:hint="eastAsia" w:ascii="Calibri" w:hAnsi="Calibri"/>
          <w:b w:val="0"/>
          <w:bCs w:val="0"/>
          <w:color w:val="000000" w:themeColor="text1"/>
          <w:sz w:val="24"/>
          <w:szCs w:val="24"/>
          <w14:textFill>
            <w14:solidFill>
              <w14:schemeClr w14:val="tx1"/>
            </w14:solidFill>
          </w14:textFill>
        </w:rPr>
        <w:t>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52282392">
      <w:pPr>
        <w:pStyle w:val="5"/>
        <w:spacing w:before="0" w:after="0" w:line="480" w:lineRule="exact"/>
        <w:ind w:firstLine="562"/>
        <w:jc w:val="lef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41、采购本国产品的支持政策</w:t>
      </w:r>
    </w:p>
    <w:p w14:paraId="68E96E48">
      <w:pPr>
        <w:spacing w:line="480" w:lineRule="exact"/>
        <w:ind w:firstLine="480"/>
        <w:jc w:val="lef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41.1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p>
    <w:p w14:paraId="5E389C9E">
      <w:pPr>
        <w:spacing w:line="480" w:lineRule="exact"/>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41.2当采购项目或者采购包中含有多种产品，供应商为该采购项目或者采购包提供的符合本国产品标准的产品成本之和占该供应商提供的全部产品成本之和的比例达到80%以上时（该比例的分母为本国产品货物成本＋非本国产品货物成本，不含服务成本），依法对该供应商提供的全部货物产品给予价格评审优惠，即对该供应商提供的全部产品的总报价给予20%的价格扣除，用扣除后的价格参与评审。供应商未填写比例数值，或比例数值未达到80%的，将不享受本国产品价格评审优惠。</w:t>
      </w:r>
    </w:p>
    <w:p w14:paraId="3CDD38C8">
      <w:pPr>
        <w:spacing w:line="480" w:lineRule="exact"/>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41.3供应商需按照招标文件的要求提供《关于符合本国产品标准的声明函》（以下简称《声明函》），如不提供将不享受本国产品价格评审优惠。</w:t>
      </w:r>
    </w:p>
    <w:p w14:paraId="0DD83344">
      <w:pPr>
        <w:spacing w:line="480" w:lineRule="exact"/>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A336CAE">
      <w:pPr>
        <w:spacing w:line="480" w:lineRule="exact"/>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1DD12CB">
      <w:pPr>
        <w:spacing w:line="480" w:lineRule="exact"/>
        <w:ind w:firstLine="480"/>
        <w:jc w:val="left"/>
        <w:rPr>
          <w:rFonts w:ascii="Calibri" w:hAnsi="Calibri"/>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41.6政府采购中的本国产品标准及其他未尽事宜详见《国务院办公厅关于在政府采购中实施本国产品标准及相关政策的通知》（国办发〔2025〕34号）</w:t>
      </w:r>
    </w:p>
    <w:p w14:paraId="7926EFCD">
      <w:pPr>
        <w:keepNext/>
        <w:keepLines/>
        <w:spacing w:line="360" w:lineRule="auto"/>
        <w:ind w:firstLine="562"/>
        <w:jc w:val="left"/>
        <w:outlineLvl w:val="2"/>
        <w:rPr>
          <w:rFonts w:ascii="Calibri" w:hAnsi="Calibri" w:eastAsia="Arial"/>
          <w:b/>
          <w:bCs/>
          <w:color w:val="000000" w:themeColor="text1"/>
          <w:sz w:val="28"/>
          <w:szCs w:val="28"/>
          <w14:textFill>
            <w14:solidFill>
              <w14:schemeClr w14:val="tx1"/>
            </w14:solidFill>
          </w14:textFill>
        </w:rPr>
      </w:pPr>
      <w:r>
        <w:rPr>
          <w:rFonts w:hint="eastAsia" w:ascii="Calibri" w:hAnsi="Calibri" w:eastAsia="Arial"/>
          <w:b/>
          <w:bCs/>
          <w:color w:val="000000" w:themeColor="text1"/>
          <w:sz w:val="28"/>
          <w:szCs w:val="28"/>
          <w14:textFill>
            <w14:solidFill>
              <w14:schemeClr w14:val="tx1"/>
            </w14:solidFill>
          </w14:textFill>
        </w:rPr>
        <w:t>解释权</w:t>
      </w:r>
    </w:p>
    <w:p w14:paraId="65CA878D">
      <w:pPr>
        <w:spacing w:line="500" w:lineRule="exact"/>
        <w:ind w:firstLine="480"/>
        <w:jc w:val="left"/>
        <w:rPr>
          <w:rFonts w:ascii="Calibri" w:hAnsi="Calibri" w:eastAsia="Arial"/>
          <w:color w:val="000000" w:themeColor="text1"/>
          <w:sz w:val="24"/>
          <w:szCs w:val="24"/>
          <w14:textFill>
            <w14:solidFill>
              <w14:schemeClr w14:val="tx1"/>
            </w14:solidFill>
          </w14:textFill>
        </w:rPr>
      </w:pPr>
      <w:r>
        <w:rPr>
          <w:rFonts w:hint="eastAsia" w:ascii="Calibri" w:hAnsi="Calibri" w:eastAsia="Arial"/>
          <w:color w:val="000000" w:themeColor="text1"/>
          <w:sz w:val="24"/>
          <w:szCs w:val="24"/>
          <w14:textFill>
            <w14:solidFill>
              <w14:schemeClr w14:val="tx1"/>
            </w14:solidFill>
          </w14:textFill>
        </w:rPr>
        <w:t>本</w:t>
      </w:r>
      <w:r>
        <w:rPr>
          <w:rFonts w:hint="eastAsia" w:ascii="Calibri" w:hAnsi="Calibri"/>
          <w:color w:val="000000" w:themeColor="text1"/>
          <w:sz w:val="24"/>
          <w:szCs w:val="24"/>
          <w14:textFill>
            <w14:solidFill>
              <w14:schemeClr w14:val="tx1"/>
            </w14:solidFill>
          </w14:textFill>
        </w:rPr>
        <w:t>招标</w:t>
      </w:r>
      <w:r>
        <w:rPr>
          <w:rFonts w:hint="eastAsia" w:ascii="Calibri" w:hAnsi="Calibri" w:eastAsia="Arial"/>
          <w:color w:val="000000" w:themeColor="text1"/>
          <w:sz w:val="24"/>
          <w:szCs w:val="24"/>
          <w14:textFill>
            <w14:solidFill>
              <w14:schemeClr w14:val="tx1"/>
            </w14:solidFill>
          </w14:textFill>
        </w:rPr>
        <w:t>文件是参照《中华人民共和国政府采购法》、《中华人民共和国政府采购法实施条例》、《</w:t>
      </w:r>
      <w:r>
        <w:rPr>
          <w:rFonts w:hint="eastAsia" w:ascii="宋体" w:hAnsi="宋体" w:cs="宋体"/>
          <w:color w:val="000000" w:themeColor="text1"/>
          <w:sz w:val="24"/>
          <w:szCs w:val="24"/>
          <w:shd w:val="clear" w:color="auto" w:fill="FFFFFF"/>
          <w14:textFill>
            <w14:solidFill>
              <w14:schemeClr w14:val="tx1"/>
            </w14:solidFill>
          </w14:textFill>
        </w:rPr>
        <w:t>政府采购货物和服务招标投标管理办法</w:t>
      </w:r>
      <w:r>
        <w:rPr>
          <w:rFonts w:hint="eastAsia" w:ascii="Calibri" w:hAnsi="Calibri" w:eastAsia="Arial"/>
          <w:color w:val="000000" w:themeColor="text1"/>
          <w:sz w:val="24"/>
          <w:szCs w:val="24"/>
          <w14:textFill>
            <w14:solidFill>
              <w14:schemeClr w14:val="tx1"/>
            </w14:solidFill>
          </w14:textFill>
        </w:rPr>
        <w:t>》及相关法律法规编制。</w:t>
      </w:r>
    </w:p>
    <w:p w14:paraId="25BF24A2">
      <w:pPr>
        <w:spacing w:line="500" w:lineRule="exact"/>
        <w:ind w:firstLine="480"/>
        <w:jc w:val="left"/>
        <w:rPr>
          <w:rFonts w:ascii="Calibri" w:hAnsi="Calibri" w:eastAsia="Arial"/>
          <w:color w:val="000000" w:themeColor="text1"/>
          <w:sz w:val="24"/>
          <w:szCs w:val="24"/>
          <w14:textFill>
            <w14:solidFill>
              <w14:schemeClr w14:val="tx1"/>
            </w14:solidFill>
          </w14:textFill>
        </w:rPr>
      </w:pPr>
      <w:r>
        <w:rPr>
          <w:rFonts w:hint="eastAsia" w:ascii="Calibri" w:hAnsi="Calibri" w:eastAsia="Arial"/>
          <w:color w:val="000000" w:themeColor="text1"/>
          <w:sz w:val="24"/>
          <w:szCs w:val="24"/>
          <w14:textFill>
            <w14:solidFill>
              <w14:schemeClr w14:val="tx1"/>
            </w14:solidFill>
          </w14:textFill>
        </w:rPr>
        <w:t>构成本</w:t>
      </w:r>
      <w:r>
        <w:rPr>
          <w:rFonts w:hint="eastAsia" w:ascii="Calibri" w:hAnsi="Calibri"/>
          <w:color w:val="000000" w:themeColor="text1"/>
          <w:sz w:val="24"/>
          <w:szCs w:val="24"/>
          <w14:textFill>
            <w14:solidFill>
              <w14:schemeClr w14:val="tx1"/>
            </w14:solidFill>
          </w14:textFill>
        </w:rPr>
        <w:t>招标文件</w:t>
      </w:r>
      <w:r>
        <w:rPr>
          <w:rFonts w:hint="eastAsia" w:ascii="Calibri" w:hAnsi="Calibri" w:eastAsia="Arial"/>
          <w:color w:val="000000" w:themeColor="text1"/>
          <w:sz w:val="24"/>
          <w:szCs w:val="24"/>
          <w14:textFill>
            <w14:solidFill>
              <w14:schemeClr w14:val="tx1"/>
            </w14:solidFill>
          </w14:textFill>
        </w:rPr>
        <w:t>的各个组成文件应互为解释，互为说明；如有不明确或不一致，构成合同文件组成内容的，以合同文件约定内容为准，且以专用合同条款约定的合同文件优先顺序解释；除</w:t>
      </w:r>
      <w:r>
        <w:rPr>
          <w:rFonts w:hint="eastAsia" w:ascii="Calibri" w:hAnsi="Calibri"/>
          <w:color w:val="000000" w:themeColor="text1"/>
          <w:sz w:val="24"/>
          <w:szCs w:val="24"/>
          <w14:textFill>
            <w14:solidFill>
              <w14:schemeClr w14:val="tx1"/>
            </w14:solidFill>
          </w14:textFill>
        </w:rPr>
        <w:t>招标文件</w:t>
      </w:r>
      <w:r>
        <w:rPr>
          <w:rFonts w:hint="eastAsia" w:ascii="Calibri" w:hAnsi="Calibri" w:eastAsia="Arial"/>
          <w:color w:val="000000" w:themeColor="text1"/>
          <w:sz w:val="24"/>
          <w:szCs w:val="24"/>
          <w14:textFill>
            <w14:solidFill>
              <w14:schemeClr w14:val="tx1"/>
            </w14:solidFill>
          </w14:textFill>
        </w:rPr>
        <w:t>中有特别规定外，仅适用于政府采购阶段的规定，按</w:t>
      </w:r>
      <w:r>
        <w:rPr>
          <w:rFonts w:hint="eastAsia" w:ascii="Calibri" w:hAnsi="Calibri"/>
          <w:color w:val="000000" w:themeColor="text1"/>
          <w:sz w:val="24"/>
          <w:szCs w:val="24"/>
          <w14:textFill>
            <w14:solidFill>
              <w14:schemeClr w14:val="tx1"/>
            </w14:solidFill>
          </w14:textFill>
        </w:rPr>
        <w:t>招标</w:t>
      </w:r>
      <w:r>
        <w:rPr>
          <w:rFonts w:hint="eastAsia" w:ascii="Calibri" w:hAnsi="Calibri" w:eastAsia="Arial"/>
          <w:color w:val="000000" w:themeColor="text1"/>
          <w:sz w:val="24"/>
          <w:szCs w:val="24"/>
          <w14:textFill>
            <w14:solidFill>
              <w14:schemeClr w14:val="tx1"/>
            </w14:solidFill>
          </w14:textFill>
        </w:rPr>
        <w:t>公告（投标邀请书）、</w:t>
      </w:r>
      <w:r>
        <w:rPr>
          <w:rFonts w:hint="eastAsia" w:ascii="Calibri" w:hAnsi="Calibri"/>
          <w:color w:val="000000" w:themeColor="text1"/>
          <w:sz w:val="24"/>
          <w:szCs w:val="24"/>
          <w14:textFill>
            <w14:solidFill>
              <w14:schemeClr w14:val="tx1"/>
            </w14:solidFill>
          </w14:textFill>
        </w:rPr>
        <w:t>投标人</w:t>
      </w:r>
      <w:r>
        <w:rPr>
          <w:rFonts w:hint="eastAsia" w:ascii="Calibri" w:hAnsi="Calibri" w:eastAsia="Arial"/>
          <w:color w:val="000000" w:themeColor="text1"/>
          <w:sz w:val="24"/>
          <w:szCs w:val="24"/>
          <w14:textFill>
            <w14:solidFill>
              <w14:schemeClr w14:val="tx1"/>
            </w14:solidFill>
          </w14:textFill>
        </w:rPr>
        <w:t>须知、评标办法、</w:t>
      </w:r>
      <w:r>
        <w:rPr>
          <w:rFonts w:hint="eastAsia" w:ascii="Calibri" w:hAnsi="Calibri"/>
          <w:color w:val="000000" w:themeColor="text1"/>
          <w:sz w:val="24"/>
          <w:szCs w:val="24"/>
          <w14:textFill>
            <w14:solidFill>
              <w14:schemeClr w14:val="tx1"/>
            </w14:solidFill>
          </w14:textFill>
        </w:rPr>
        <w:t>投标</w:t>
      </w:r>
      <w:r>
        <w:rPr>
          <w:rFonts w:hint="eastAsia" w:ascii="Calibri" w:hAnsi="Calibri" w:eastAsia="Arial"/>
          <w:color w:val="000000" w:themeColor="text1"/>
          <w:sz w:val="24"/>
          <w:szCs w:val="24"/>
          <w14:textFill>
            <w14:solidFill>
              <w14:schemeClr w14:val="tx1"/>
            </w14:solidFill>
          </w14:textFill>
        </w:rPr>
        <w:t>文件格式的先后顺序解释；同一组成文件中就同一事项的规定或约定不一致的，以更有利于公平竞争和供应商合理预期的解释为准；专用条款有明确约定的，以专用条款为准。按本款前述规定仍不能形成结论的，由采购人与采购代理机构依法研究确定，必要时依法发布澄清或者修改公告。</w:t>
      </w:r>
    </w:p>
    <w:p w14:paraId="30ED30B8">
      <w:pPr>
        <w:spacing w:line="500" w:lineRule="exact"/>
        <w:ind w:firstLine="482"/>
        <w:jc w:val="left"/>
        <w:rPr>
          <w:b/>
          <w:bCs/>
          <w:color w:val="000000" w:themeColor="text1"/>
          <w:sz w:val="24"/>
          <w:szCs w:val="24"/>
          <w14:textFill>
            <w14:solidFill>
              <w14:schemeClr w14:val="tx1"/>
            </w14:solidFill>
          </w14:textFill>
        </w:rPr>
      </w:pPr>
      <w:r>
        <w:rPr>
          <w:rFonts w:hint="eastAsia" w:ascii="Calibri"/>
          <w:b/>
          <w:bCs/>
          <w:color w:val="000000" w:themeColor="text1"/>
          <w:sz w:val="24"/>
          <w:szCs w:val="24"/>
          <w14:textFill>
            <w14:solidFill>
              <w14:schemeClr w14:val="tx1"/>
            </w14:solidFill>
          </w14:textFill>
        </w:rPr>
        <w:t>特别提醒：</w:t>
      </w:r>
    </w:p>
    <w:p w14:paraId="1672E2D4">
      <w:pPr>
        <w:spacing w:line="5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根据《关于推动解决政府采购异常低价问题的通知》（财库〔2026〕2号）规定，政府采购</w:t>
      </w:r>
      <w:r>
        <w:rPr>
          <w:rFonts w:hint="eastAsia" w:ascii="Calibri"/>
          <w:color w:val="000000" w:themeColor="text1"/>
          <w:sz w:val="24"/>
          <w:szCs w:val="24"/>
          <w14:textFill>
            <w14:solidFill>
              <w14:schemeClr w14:val="tx1"/>
            </w14:solidFill>
          </w14:textFill>
        </w:rPr>
        <w:t>评审过程中出现下列情形之一的，</w:t>
      </w:r>
      <w:r>
        <w:rPr>
          <w:rFonts w:hint="eastAsia"/>
          <w:color w:val="000000" w:themeColor="text1"/>
          <w:sz w:val="24"/>
          <w:szCs w:val="24"/>
          <w14:textFill>
            <w14:solidFill>
              <w14:schemeClr w14:val="tx1"/>
            </w14:solidFill>
          </w14:textFill>
        </w:rPr>
        <w:t>评审委员会</w:t>
      </w:r>
      <w:r>
        <w:rPr>
          <w:rFonts w:hint="eastAsia" w:ascii="Calibri"/>
          <w:color w:val="000000" w:themeColor="text1"/>
          <w:sz w:val="24"/>
          <w:szCs w:val="24"/>
          <w14:textFill>
            <w14:solidFill>
              <w14:schemeClr w14:val="tx1"/>
            </w14:solidFill>
          </w14:textFill>
        </w:rPr>
        <w:t>应当启动异常低价投标审查程序:</w:t>
      </w:r>
    </w:p>
    <w:p w14:paraId="5074ACA4">
      <w:pPr>
        <w:spacing w:line="5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1.投标报价低于全部通过符合性审查供应商投标报价平均值65%的，即投标报价&lt;全部通过符合性审查供应商投标报价平均值×65%；</w:t>
      </w:r>
    </w:p>
    <w:p w14:paraId="270FF050">
      <w:pPr>
        <w:spacing w:line="5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2.投标报价低于通过符合性审查的次低报价供应商投标报价65%的，即投标报价&lt;通过符合性审查的次低报价供应商投标报价×65%；</w:t>
      </w:r>
    </w:p>
    <w:p w14:paraId="2982F3A6">
      <w:pPr>
        <w:spacing w:line="5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3.投标报价低于采购项目最高限价65%的，即投标报价&lt;采购项目最高限价×65%；</w:t>
      </w:r>
    </w:p>
    <w:p w14:paraId="1FC9DED4">
      <w:pPr>
        <w:spacing w:line="5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4.评审委员会基于专业判断，认为供应商报价过低，有可能影响产品质量或者不能诚信履约的其他情形。</w:t>
      </w:r>
    </w:p>
    <w:p w14:paraId="1E763559">
      <w:pPr>
        <w:spacing w:line="500" w:lineRule="exact"/>
        <w:ind w:firstLine="480"/>
        <w:jc w:val="left"/>
        <w:rPr>
          <w:rFonts w:ascii="Calibri" w:hAnsi="Calibri" w:cs="Calibri"/>
          <w:color w:val="000000" w:themeColor="text1"/>
          <w:szCs w:val="21"/>
          <w14:textFill>
            <w14:solidFill>
              <w14:schemeClr w14:val="tx1"/>
            </w14:solidFill>
          </w14:textFill>
        </w:rPr>
      </w:pPr>
      <w:r>
        <w:rPr>
          <w:rFonts w:hint="eastAsia"/>
          <w:color w:val="000000" w:themeColor="text1"/>
          <w:sz w:val="24"/>
          <w:szCs w:val="24"/>
          <w14:textFill>
            <w14:solidFill>
              <w14:schemeClr w14:val="tx1"/>
            </w14:solidFill>
          </w14:textFill>
        </w:rPr>
        <w:t>相关法律法规对供应商报价有规</w:t>
      </w:r>
      <w:r>
        <w:rPr>
          <w:rFonts w:hint="eastAsia" w:ascii="宋体" w:hAnsi="宋体" w:cs="宋体"/>
          <w:color w:val="000000" w:themeColor="text1"/>
          <w:sz w:val="24"/>
          <w:szCs w:val="24"/>
          <w:shd w:val="clear" w:color="auto" w:fill="FFFFFF"/>
          <w:lang w:bidi="ar"/>
          <w14:textFill>
            <w14:solidFill>
              <w14:schemeClr w14:val="tx1"/>
            </w14:solidFill>
          </w14:textFill>
        </w:rPr>
        <w:t>定的，从其规定。</w:t>
      </w:r>
    </w:p>
    <w:p w14:paraId="37E95200">
      <w:pPr>
        <w:widowControl/>
        <w:shd w:val="clear" w:color="auto" w:fill="FFFFFF"/>
        <w:spacing w:line="480" w:lineRule="atLeast"/>
        <w:ind w:firstLine="640"/>
        <w:rPr>
          <w:rFonts w:ascii="Calibri" w:hAnsi="Calibri" w:cs="Calibri"/>
          <w:color w:val="000000" w:themeColor="text1"/>
          <w:szCs w:val="21"/>
          <w14:textFill>
            <w14:solidFill>
              <w14:schemeClr w14:val="tx1"/>
            </w14:solidFill>
          </w14:textFill>
        </w:rPr>
      </w:pPr>
      <w:r>
        <w:rPr>
          <w:rFonts w:hint="eastAsia" w:ascii="宋体" w:hAnsi="宋体" w:cs="宋体"/>
          <w:color w:val="000000" w:themeColor="text1"/>
          <w:sz w:val="24"/>
          <w:szCs w:val="24"/>
          <w:shd w:val="clear" w:color="auto" w:fill="FFFFFF"/>
          <w:lang w:bidi="ar"/>
          <w14:textFill>
            <w14:solidFill>
              <w14:schemeClr w14:val="tx1"/>
            </w14:solidFill>
          </w14:textFill>
        </w:rPr>
        <w:t>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作出解释说明的合理时间为30分钟；项目成本构成复杂的，评审委员会可适当延长。其中，属于第3项情形，供应商已随投标文件一并提交相关书面说明及必要的证明材料的，在评审现场可不再重复提交。</w:t>
      </w:r>
    </w:p>
    <w:p w14:paraId="0CFBAC76">
      <w:pPr>
        <w:widowControl/>
        <w:shd w:val="clear" w:color="auto" w:fill="FFFFFF"/>
        <w:spacing w:line="480" w:lineRule="atLeast"/>
        <w:ind w:firstLine="640"/>
        <w:rPr>
          <w:rFonts w:ascii="Calibri" w:hAnsi="Calibri" w:cs="Calibri"/>
          <w:color w:val="000000" w:themeColor="text1"/>
          <w:szCs w:val="21"/>
          <w14:textFill>
            <w14:solidFill>
              <w14:schemeClr w14:val="tx1"/>
            </w14:solidFill>
          </w14:textFill>
        </w:rPr>
      </w:pPr>
      <w:r>
        <w:rPr>
          <w:rFonts w:hint="eastAsia" w:ascii="宋体" w:hAnsi="宋体" w:cs="宋体"/>
          <w:color w:val="000000" w:themeColor="text1"/>
          <w:sz w:val="24"/>
          <w:szCs w:val="24"/>
          <w:shd w:val="clear" w:color="auto" w:fill="FFFFFF"/>
          <w:lang w:bidi="ar"/>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2E13D1E8">
      <w:pPr>
        <w:widowControl/>
        <w:shd w:val="clear" w:color="auto" w:fill="FFFFFF"/>
        <w:spacing w:line="480" w:lineRule="atLeast"/>
        <w:ind w:firstLine="640"/>
        <w:rPr>
          <w:rFonts w:ascii="Calibri" w:hAnsi="Calibri" w:cs="Calibri"/>
          <w:color w:val="000000" w:themeColor="text1"/>
          <w:szCs w:val="21"/>
          <w14:textFill>
            <w14:solidFill>
              <w14:schemeClr w14:val="tx1"/>
            </w14:solidFill>
          </w14:textFill>
        </w:rPr>
      </w:pPr>
      <w:r>
        <w:rPr>
          <w:rFonts w:hint="eastAsia" w:ascii="宋体" w:hAnsi="宋体" w:cs="宋体"/>
          <w:color w:val="000000" w:themeColor="text1"/>
          <w:sz w:val="24"/>
          <w:szCs w:val="24"/>
          <w:shd w:val="clear" w:color="auto" w:fill="FFFFFF"/>
          <w:lang w:bidi="ar"/>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9687D1C">
      <w:pPr>
        <w:widowControl/>
        <w:shd w:val="clear" w:color="auto" w:fill="FFFFFF"/>
        <w:spacing w:line="480" w:lineRule="atLeast"/>
        <w:ind w:firstLine="640"/>
        <w:rPr>
          <w:rFonts w:ascii="黑体" w:eastAsia="黑体"/>
          <w:bCs/>
          <w:color w:val="000000" w:themeColor="text1"/>
          <w:sz w:val="44"/>
          <w:szCs w:val="28"/>
          <w14:textFill>
            <w14:solidFill>
              <w14:schemeClr w14:val="tx1"/>
            </w14:solidFill>
          </w14:textFill>
        </w:rPr>
      </w:pPr>
      <w:r>
        <w:rPr>
          <w:rFonts w:hint="eastAsia" w:ascii="宋体" w:hAnsi="宋体" w:cs="宋体"/>
          <w:color w:val="000000" w:themeColor="text1"/>
          <w:sz w:val="24"/>
          <w:szCs w:val="24"/>
          <w:shd w:val="clear" w:color="auto" w:fill="FFFFFF"/>
          <w:lang w:bidi="ar"/>
          <w14:textFill>
            <w14:solidFill>
              <w14:schemeClr w14:val="tx1"/>
            </w14:solidFill>
          </w14:textFill>
        </w:rPr>
        <w:t>异常低价投标审查的启动原因、审查意见和审查结果应当在评审报告中记录，并随供应商提供的相关书面说明及证明材料，以及评审委员会有关互联网浏览、查询历史一并归档。</w:t>
      </w:r>
    </w:p>
    <w:p w14:paraId="48946E1E">
      <w:pPr>
        <w:keepNext/>
        <w:spacing w:line="500" w:lineRule="exact"/>
        <w:jc w:val="center"/>
        <w:outlineLvl w:val="0"/>
        <w:rPr>
          <w:rFonts w:ascii="黑体" w:eastAsia="黑体"/>
          <w:bCs/>
          <w:color w:val="000000" w:themeColor="text1"/>
          <w:sz w:val="44"/>
          <w:szCs w:val="28"/>
          <w14:textFill>
            <w14:solidFill>
              <w14:schemeClr w14:val="tx1"/>
            </w14:solidFill>
          </w14:textFill>
        </w:rPr>
      </w:pPr>
      <w:r>
        <w:rPr>
          <w:rFonts w:hint="eastAsia" w:ascii="黑体" w:eastAsia="黑体"/>
          <w:bCs/>
          <w:color w:val="000000" w:themeColor="text1"/>
          <w:sz w:val="44"/>
          <w:szCs w:val="28"/>
          <w14:textFill>
            <w14:solidFill>
              <w14:schemeClr w14:val="tx1"/>
            </w14:solidFill>
          </w14:textFill>
        </w:rPr>
        <w:br w:type="page" w:clear="all"/>
      </w:r>
      <w:r>
        <w:rPr>
          <w:rFonts w:hint="eastAsia" w:ascii="黑体" w:eastAsia="黑体"/>
          <w:bCs/>
          <w:color w:val="000000" w:themeColor="text1"/>
          <w:sz w:val="44"/>
          <w:szCs w:val="28"/>
          <w14:textFill>
            <w14:solidFill>
              <w14:schemeClr w14:val="tx1"/>
            </w14:solidFill>
          </w14:textFill>
        </w:rPr>
        <w:t>第三章合同</w:t>
      </w:r>
      <w:bookmarkEnd w:id="154"/>
      <w:bookmarkEnd w:id="155"/>
      <w:bookmarkEnd w:id="156"/>
      <w:bookmarkEnd w:id="157"/>
      <w:bookmarkEnd w:id="158"/>
      <w:r>
        <w:rPr>
          <w:rFonts w:hint="eastAsia" w:ascii="黑体" w:eastAsia="黑体"/>
          <w:bCs/>
          <w:color w:val="000000" w:themeColor="text1"/>
          <w:sz w:val="44"/>
          <w:szCs w:val="28"/>
          <w14:textFill>
            <w14:solidFill>
              <w14:schemeClr w14:val="tx1"/>
            </w14:solidFill>
          </w14:textFill>
        </w:rPr>
        <w:t>文本</w:t>
      </w:r>
    </w:p>
    <w:p w14:paraId="015151AA">
      <w:pPr>
        <w:keepNext/>
        <w:spacing w:line="500" w:lineRule="exact"/>
        <w:jc w:val="center"/>
        <w:outlineLvl w:val="0"/>
        <w:rPr>
          <w:rFonts w:ascii="黑体" w:eastAsia="黑体"/>
          <w:bCs/>
          <w:color w:val="000000" w:themeColor="text1"/>
          <w:sz w:val="44"/>
          <w:szCs w:val="28"/>
          <w14:textFill>
            <w14:solidFill>
              <w14:schemeClr w14:val="tx1"/>
            </w14:solidFill>
          </w14:textFill>
        </w:rPr>
      </w:pPr>
    </w:p>
    <w:p w14:paraId="27B6954A">
      <w:pPr>
        <w:spacing w:line="500" w:lineRule="exact"/>
        <w:ind w:firstLine="480"/>
        <w:rPr>
          <w:rFonts w:hint="eastAsia" w:ascii="宋体" w:hAnsi="宋体"/>
          <w:bCs/>
          <w:color w:val="000000" w:themeColor="text1"/>
          <w:sz w:val="24"/>
          <w:szCs w:val="21"/>
          <w14:textFill>
            <w14:solidFill>
              <w14:schemeClr w14:val="tx1"/>
            </w14:solidFill>
          </w14:textFill>
        </w:rPr>
      </w:pPr>
      <w:bookmarkStart w:id="159" w:name="_Toc20823315"/>
      <w:bookmarkStart w:id="160" w:name="_Toc16938559"/>
      <w:bookmarkStart w:id="161" w:name="_Toc513029243"/>
      <w:r>
        <w:rPr>
          <w:rFonts w:hint="eastAsia" w:ascii="宋体" w:hAnsi="宋体"/>
          <w:bCs/>
          <w:color w:val="000000" w:themeColor="text1"/>
          <w:sz w:val="24"/>
          <w:szCs w:val="21"/>
          <w14:textFill>
            <w14:solidFill>
              <w14:schemeClr w14:val="tx1"/>
            </w14:solidFill>
          </w14:textFill>
        </w:rPr>
        <w:t>以下为中标后签定本项目合同的通用条款，中标人不得提出实质性的修改。</w:t>
      </w:r>
    </w:p>
    <w:bookmarkEnd w:id="159"/>
    <w:bookmarkEnd w:id="160"/>
    <w:bookmarkEnd w:id="161"/>
    <w:p w14:paraId="228A0A02">
      <w:pPr>
        <w:ind w:firstLine="1326"/>
        <w:rPr>
          <w:rFonts w:hint="eastAsia" w:ascii="宋体" w:hAnsi="宋体" w:cs="宋体"/>
          <w:b/>
          <w:bCs/>
          <w:color w:val="000000" w:themeColor="text1"/>
          <w:spacing w:val="-20"/>
          <w:sz w:val="48"/>
          <w:szCs w:val="48"/>
          <w14:textFill>
            <w14:solidFill>
              <w14:schemeClr w14:val="tx1"/>
            </w14:solidFill>
          </w14:textFill>
        </w:rPr>
      </w:pPr>
      <w:bookmarkStart w:id="162" w:name="_Hlt16619350"/>
      <w:bookmarkStart w:id="163" w:name="_Toc20823346"/>
      <w:bookmarkStart w:id="164" w:name="_Toc120614244"/>
      <w:bookmarkStart w:id="165" w:name="_Toc16938590"/>
      <w:bookmarkStart w:id="166" w:name="_Toc462564139"/>
      <w:bookmarkStart w:id="167" w:name="_Toc479757211"/>
    </w:p>
    <w:p w14:paraId="24AEB0B4">
      <w:pPr>
        <w:ind w:firstLine="1326"/>
        <w:rPr>
          <w:rFonts w:hint="eastAsia" w:ascii="宋体" w:hAnsi="宋体" w:cs="宋体"/>
          <w:b/>
          <w:bCs/>
          <w:color w:val="000000" w:themeColor="text1"/>
          <w:spacing w:val="-20"/>
          <w:sz w:val="48"/>
          <w:szCs w:val="48"/>
          <w14:textFill>
            <w14:solidFill>
              <w14:schemeClr w14:val="tx1"/>
            </w14:solidFill>
          </w14:textFill>
        </w:rPr>
      </w:pPr>
    </w:p>
    <w:p w14:paraId="5CBDAD89">
      <w:pPr>
        <w:ind w:firstLine="1326"/>
        <w:rPr>
          <w:rFonts w:hint="eastAsia" w:ascii="宋体" w:hAnsi="宋体" w:cs="宋体"/>
          <w:b/>
          <w:bCs/>
          <w:color w:val="000000" w:themeColor="text1"/>
          <w:spacing w:val="-20"/>
          <w:sz w:val="48"/>
          <w:szCs w:val="48"/>
          <w14:textFill>
            <w14:solidFill>
              <w14:schemeClr w14:val="tx1"/>
            </w14:solidFill>
          </w14:textFill>
        </w:rPr>
      </w:pPr>
    </w:p>
    <w:p w14:paraId="73B7558B">
      <w:pPr>
        <w:ind w:firstLine="1326"/>
        <w:rPr>
          <w:rFonts w:ascii="宋体" w:hAnsi="宋体" w:eastAsia="Arial" w:cs="宋体"/>
          <w:b/>
          <w:bCs/>
          <w:color w:val="000000" w:themeColor="text1"/>
          <w:spacing w:val="-20"/>
          <w:sz w:val="40"/>
          <w:szCs w:val="40"/>
          <w14:textFill>
            <w14:solidFill>
              <w14:schemeClr w14:val="tx1"/>
            </w14:solidFill>
          </w14:textFill>
        </w:rPr>
      </w:pPr>
      <w:r>
        <w:rPr>
          <w:rFonts w:hint="eastAsia" w:ascii="宋体" w:hAnsi="宋体" w:cs="宋体"/>
          <w:b/>
          <w:bCs/>
          <w:color w:val="000000" w:themeColor="text1"/>
          <w:spacing w:val="-20"/>
          <w:sz w:val="48"/>
          <w:szCs w:val="48"/>
          <w14:textFill>
            <w14:solidFill>
              <w14:schemeClr w14:val="tx1"/>
            </w14:solidFill>
          </w14:textFill>
        </w:rPr>
        <w:t>灌云县政府采购服务合同</w:t>
      </w:r>
    </w:p>
    <w:p w14:paraId="5B59A5E3">
      <w:pPr>
        <w:rPr>
          <w:rFonts w:ascii="宋体" w:hAnsi="宋体" w:eastAsia="Arial" w:cs="宋体"/>
          <w:b/>
          <w:bCs/>
          <w:color w:val="000000" w:themeColor="text1"/>
          <w:spacing w:val="-20"/>
          <w:sz w:val="40"/>
          <w:szCs w:val="40"/>
          <w14:textFill>
            <w14:solidFill>
              <w14:schemeClr w14:val="tx1"/>
            </w14:solidFill>
          </w14:textFill>
        </w:rPr>
      </w:pPr>
    </w:p>
    <w:p w14:paraId="193DE0FD">
      <w:pPr>
        <w:spacing w:line="360" w:lineRule="auto"/>
        <w:ind w:left="420"/>
        <w:rPr>
          <w:rFonts w:ascii="Calibri" w:hAnsi="Calibri" w:eastAsia="Arial"/>
          <w:color w:val="000000" w:themeColor="text1"/>
          <w:sz w:val="32"/>
          <w:szCs w:val="32"/>
          <w14:textFill>
            <w14:solidFill>
              <w14:schemeClr w14:val="tx1"/>
            </w14:solidFill>
          </w14:textFill>
        </w:rPr>
      </w:pPr>
      <w:r>
        <w:rPr>
          <w:rFonts w:hint="eastAsia" w:ascii="宋体" w:hAnsi="宋体" w:eastAsia="Arial" w:cs="宋体"/>
          <w:color w:val="000000" w:themeColor="text1"/>
          <w:sz w:val="32"/>
          <w:szCs w:val="32"/>
          <w14:textFill>
            <w14:solidFill>
              <w14:schemeClr w14:val="tx1"/>
            </w14:solidFill>
          </w14:textFill>
        </w:rPr>
        <w:t>项目名称：</w:t>
      </w:r>
    </w:p>
    <w:p w14:paraId="75ED167C">
      <w:pPr>
        <w:spacing w:line="360" w:lineRule="auto"/>
        <w:ind w:left="420"/>
        <w:rPr>
          <w:rFonts w:ascii="Calibri" w:hAnsi="Calibri" w:eastAsia="Arial"/>
          <w:color w:val="000000" w:themeColor="text1"/>
          <w:sz w:val="32"/>
          <w:szCs w:val="32"/>
          <w:u w:val="single"/>
          <w14:textFill>
            <w14:solidFill>
              <w14:schemeClr w14:val="tx1"/>
            </w14:solidFill>
          </w14:textFill>
        </w:rPr>
      </w:pPr>
      <w:r>
        <w:rPr>
          <w:rFonts w:hint="eastAsia" w:ascii="Calibri" w:hAnsi="Calibri" w:eastAsia="Arial"/>
          <w:color w:val="000000" w:themeColor="text1"/>
          <w:sz w:val="32"/>
          <w:szCs w:val="32"/>
          <w14:textFill>
            <w14:solidFill>
              <w14:schemeClr w14:val="tx1"/>
            </w14:solidFill>
          </w14:textFill>
        </w:rPr>
        <w:t>合同编号：</w:t>
      </w:r>
    </w:p>
    <w:p w14:paraId="23848551">
      <w:pPr>
        <w:spacing w:line="360" w:lineRule="auto"/>
        <w:ind w:left="420"/>
        <w:rPr>
          <w:rFonts w:ascii="Calibri" w:hAnsi="Calibri" w:eastAsia="Arial"/>
          <w:color w:val="000000" w:themeColor="text1"/>
          <w:sz w:val="32"/>
          <w:szCs w:val="32"/>
          <w14:textFill>
            <w14:solidFill>
              <w14:schemeClr w14:val="tx1"/>
            </w14:solidFill>
          </w14:textFill>
        </w:rPr>
      </w:pPr>
      <w:r>
        <w:rPr>
          <w:rFonts w:hint="eastAsia" w:ascii="Calibri" w:hAnsi="Calibri" w:eastAsia="Arial"/>
          <w:color w:val="000000" w:themeColor="text1"/>
          <w:sz w:val="32"/>
          <w:szCs w:val="32"/>
          <w14:textFill>
            <w14:solidFill>
              <w14:schemeClr w14:val="tx1"/>
            </w14:solidFill>
          </w14:textFill>
        </w:rPr>
        <w:t>甲方：</w:t>
      </w:r>
    </w:p>
    <w:p w14:paraId="2DFB280E">
      <w:pPr>
        <w:spacing w:line="360" w:lineRule="auto"/>
        <w:ind w:left="420"/>
        <w:rPr>
          <w:rFonts w:ascii="Calibri" w:hAnsi="Calibri" w:eastAsia="Arial"/>
          <w:color w:val="000000" w:themeColor="text1"/>
          <w:sz w:val="32"/>
          <w:szCs w:val="32"/>
          <w:u w:val="single"/>
          <w14:textFill>
            <w14:solidFill>
              <w14:schemeClr w14:val="tx1"/>
            </w14:solidFill>
          </w14:textFill>
        </w:rPr>
      </w:pPr>
      <w:r>
        <w:rPr>
          <w:rFonts w:hint="eastAsia" w:ascii="Calibri" w:hAnsi="Calibri" w:eastAsia="Arial"/>
          <w:color w:val="000000" w:themeColor="text1"/>
          <w:sz w:val="32"/>
          <w:szCs w:val="32"/>
          <w14:textFill>
            <w14:solidFill>
              <w14:schemeClr w14:val="tx1"/>
            </w14:solidFill>
          </w14:textFill>
        </w:rPr>
        <w:t>乙方：</w:t>
      </w:r>
    </w:p>
    <w:p w14:paraId="173C5A55">
      <w:pPr>
        <w:spacing w:line="360" w:lineRule="auto"/>
        <w:ind w:left="420"/>
        <w:rPr>
          <w:rFonts w:ascii="Calibri" w:hAnsi="Calibri" w:eastAsia="Arial"/>
          <w:color w:val="000000" w:themeColor="text1"/>
          <w:sz w:val="32"/>
          <w:szCs w:val="32"/>
          <w14:textFill>
            <w14:solidFill>
              <w14:schemeClr w14:val="tx1"/>
            </w14:solidFill>
          </w14:textFill>
        </w:rPr>
      </w:pPr>
      <w:r>
        <w:rPr>
          <w:rFonts w:hint="eastAsia" w:ascii="Calibri" w:hAnsi="Calibri" w:eastAsia="Arial"/>
          <w:color w:val="000000" w:themeColor="text1"/>
          <w:sz w:val="32"/>
          <w:szCs w:val="32"/>
          <w14:textFill>
            <w14:solidFill>
              <w14:schemeClr w14:val="tx1"/>
            </w14:solidFill>
          </w14:textFill>
        </w:rPr>
        <w:t>签订时间：</w:t>
      </w:r>
    </w:p>
    <w:p w14:paraId="01624008">
      <w:pPr>
        <w:widowControl/>
        <w:jc w:val="left"/>
        <w:rPr>
          <w:rFonts w:ascii="Calibri" w:hAnsi="Calibri" w:eastAsia="黑体"/>
          <w:color w:val="000000" w:themeColor="text1"/>
          <w:sz w:val="44"/>
          <w:szCs w:val="44"/>
          <w14:textFill>
            <w14:solidFill>
              <w14:schemeClr w14:val="tx1"/>
            </w14:solidFill>
          </w14:textFill>
        </w:rPr>
      </w:pPr>
      <w:r>
        <w:rPr>
          <w:rFonts w:ascii="Calibri" w:hAnsi="Calibri" w:eastAsia="黑体"/>
          <w:color w:val="000000" w:themeColor="text1"/>
          <w:sz w:val="44"/>
          <w:szCs w:val="44"/>
          <w14:textFill>
            <w14:solidFill>
              <w14:schemeClr w14:val="tx1"/>
            </w14:solidFill>
          </w14:textFill>
        </w:rPr>
        <w:br w:type="page" w:clear="all"/>
      </w:r>
    </w:p>
    <w:p w14:paraId="313F1B85">
      <w:pPr>
        <w:jc w:val="center"/>
        <w:rPr>
          <w:rFonts w:hint="eastAsia" w:ascii="黑体" w:hAnsi="黑体" w:eastAsia="黑体"/>
          <w:color w:val="000000" w:themeColor="text1"/>
          <w:sz w:val="44"/>
          <w:szCs w:val="44"/>
          <w14:textFill>
            <w14:solidFill>
              <w14:schemeClr w14:val="tx1"/>
            </w14:solidFill>
          </w14:textFill>
        </w:rPr>
      </w:pPr>
      <w:r>
        <w:rPr>
          <w:rFonts w:hint="eastAsia" w:ascii="黑体" w:hAnsi="黑体" w:eastAsia="黑体"/>
          <w:color w:val="000000" w:themeColor="text1"/>
          <w:sz w:val="44"/>
          <w:szCs w:val="44"/>
          <w14:textFill>
            <w14:solidFill>
              <w14:schemeClr w14:val="tx1"/>
            </w14:solidFill>
          </w14:textFill>
        </w:rPr>
        <w:t>使用说明</w:t>
      </w:r>
    </w:p>
    <w:p w14:paraId="5D0F8206">
      <w:pPr>
        <w:ind w:firstLine="640"/>
        <w:rPr>
          <w:rFonts w:hint="eastAsia" w:ascii="仿宋" w:hAnsi="仿宋" w:eastAsia="仿宋" w:cs="仿宋_GB2312"/>
          <w:color w:val="000000" w:themeColor="text1"/>
          <w:sz w:val="32"/>
          <w:szCs w:val="32"/>
          <w14:textFill>
            <w14:solidFill>
              <w14:schemeClr w14:val="tx1"/>
            </w14:solidFill>
          </w14:textFill>
        </w:rPr>
      </w:pPr>
      <w:r>
        <w:rPr>
          <w:rFonts w:hint="eastAsia" w:ascii="仿宋" w:hAnsi="仿宋" w:eastAsia="仿宋" w:cs="仿宋_GB2312"/>
          <w:color w:val="000000" w:themeColor="text1"/>
          <w:sz w:val="32"/>
          <w:szCs w:val="32"/>
          <w14:textFill>
            <w14:solidFill>
              <w14:schemeClr w14:val="tx1"/>
            </w14:solidFill>
          </w14:textFill>
        </w:rPr>
        <w:t>1.本合同标准文本适用于政府采购服务类采购项目；配套硬件设备系为完成服务所必需的组成部分，不属于独立采购的货物项目。</w:t>
      </w:r>
    </w:p>
    <w:p w14:paraId="36FC1B2D">
      <w:pPr>
        <w:ind w:firstLine="640"/>
        <w:rPr>
          <w:rFonts w:hint="eastAsia" w:ascii="仿宋" w:hAnsi="仿宋" w:eastAsia="仿宋" w:cs="仿宋_GB2312"/>
          <w:color w:val="000000" w:themeColor="text1"/>
          <w:sz w:val="32"/>
          <w:szCs w:val="32"/>
          <w14:textFill>
            <w14:solidFill>
              <w14:schemeClr w14:val="tx1"/>
            </w14:solidFill>
          </w14:textFill>
        </w:rPr>
      </w:pPr>
      <w:r>
        <w:rPr>
          <w:rFonts w:hint="eastAsia" w:ascii="仿宋" w:hAnsi="仿宋" w:eastAsia="仿宋" w:cs="仿宋_GB2312"/>
          <w:color w:val="000000" w:themeColor="text1"/>
          <w:sz w:val="32"/>
          <w:szCs w:val="32"/>
          <w14:textFill>
            <w14:solidFill>
              <w14:schemeClr w14:val="tx1"/>
            </w14:solidFill>
          </w14:textFill>
        </w:rPr>
        <w:t>2.本合同标准文本为政府采购服务合同编制提供参考，可以结合采购项目具体情况，对文本作必要的调整修订后使用。</w:t>
      </w:r>
    </w:p>
    <w:p w14:paraId="00AB5A3A">
      <w:pPr>
        <w:ind w:firstLine="640"/>
        <w:rPr>
          <w:rFonts w:hint="eastAsia" w:ascii="仿宋" w:hAnsi="仿宋" w:eastAsia="仿宋" w:cs="仿宋_GB2312"/>
          <w:color w:val="000000" w:themeColor="text1"/>
          <w:sz w:val="32"/>
          <w:szCs w:val="32"/>
          <w14:textFill>
            <w14:solidFill>
              <w14:schemeClr w14:val="tx1"/>
            </w14:solidFill>
          </w14:textFill>
        </w:rPr>
      </w:pPr>
      <w:r>
        <w:rPr>
          <w:rFonts w:hint="eastAsia" w:ascii="仿宋" w:hAnsi="仿宋" w:eastAsia="仿宋" w:cs="仿宋_GB2312"/>
          <w:color w:val="000000" w:themeColor="text1"/>
          <w:sz w:val="32"/>
          <w:szCs w:val="32"/>
          <w14:textFill>
            <w14:solidFill>
              <w14:schemeClr w14:val="tx1"/>
            </w14:solidFill>
          </w14:textFill>
        </w:rPr>
        <w:t>3.本合同标准文本各条款中，如涉及填写多家投标，多种采购标的、分包主要内容等信息的，可根据采购项目具体情况添加信息项。</w:t>
      </w:r>
    </w:p>
    <w:p w14:paraId="48B1247C">
      <w:pPr>
        <w:widowControl/>
        <w:jc w:val="center"/>
        <w:rPr>
          <w:rFonts w:hint="eastAsia" w:ascii="黑体" w:hAnsi="华文中宋" w:eastAsia="黑体"/>
          <w:color w:val="000000" w:themeColor="text1"/>
          <w:sz w:val="28"/>
          <w:szCs w:val="28"/>
          <w14:textFill>
            <w14:solidFill>
              <w14:schemeClr w14:val="tx1"/>
            </w14:solidFill>
          </w14:textFill>
        </w:rPr>
      </w:pPr>
      <w:bookmarkStart w:id="168" w:name="_Toc22209"/>
      <w:r>
        <w:rPr>
          <w:rFonts w:ascii="黑体" w:hAnsi="黑体" w:eastAsia="黑体"/>
          <w:b/>
          <w:bCs/>
          <w:color w:val="000000" w:themeColor="text1"/>
          <w:sz w:val="28"/>
          <w:szCs w:val="28"/>
          <w14:textFill>
            <w14:solidFill>
              <w14:schemeClr w14:val="tx1"/>
            </w14:solidFill>
          </w14:textFill>
        </w:rPr>
        <w:br w:type="page" w:clear="all"/>
      </w:r>
      <w:r>
        <w:rPr>
          <w:rFonts w:hint="eastAsia" w:ascii="黑体" w:hAnsi="黑体" w:eastAsia="黑体"/>
          <w:color w:val="000000" w:themeColor="text1"/>
          <w:sz w:val="28"/>
          <w:szCs w:val="28"/>
          <w14:textFill>
            <w14:solidFill>
              <w14:schemeClr w14:val="tx1"/>
            </w14:solidFill>
          </w14:textFill>
        </w:rPr>
        <w:t>第一节</w:t>
      </w:r>
      <w:r>
        <w:rPr>
          <w:rFonts w:hint="eastAsia" w:ascii="黑体" w:hAnsi="华文中宋" w:eastAsia="黑体"/>
          <w:color w:val="000000" w:themeColor="text1"/>
          <w:sz w:val="28"/>
          <w:szCs w:val="28"/>
          <w14:textFill>
            <w14:solidFill>
              <w14:schemeClr w14:val="tx1"/>
            </w14:solidFill>
          </w14:textFill>
        </w:rPr>
        <w:t>政府采购合同协议书</w:t>
      </w:r>
      <w:bookmarkEnd w:id="168"/>
    </w:p>
    <w:p w14:paraId="4ED1727A">
      <w:pPr>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甲方（全称）：</w:t>
      </w:r>
    </w:p>
    <w:p w14:paraId="542197EC">
      <w:pPr>
        <w:spacing w:line="400" w:lineRule="exact"/>
        <w:rPr>
          <w:rFonts w:hint="eastAsia"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乙方（全称）：</w:t>
      </w:r>
    </w:p>
    <w:p w14:paraId="27CE1E44">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依据《中华人民共和国民法典》、《中华人民共和国政府采购法》等有关的法律法规，以及本采购项目的招标文件等采购文件、乙方的《投标文件》及《中标通知书》，甲乙双方同意签订本合同。具体情况及要求如下：</w:t>
      </w:r>
    </w:p>
    <w:p w14:paraId="296BCEE7">
      <w:pPr>
        <w:numPr>
          <w:ilvl w:val="0"/>
          <w:numId w:val="7"/>
        </w:numPr>
        <w:spacing w:line="400" w:lineRule="exact"/>
        <w:ind w:firstLine="422"/>
        <w:jc w:val="lef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项目信息</w:t>
      </w:r>
    </w:p>
    <w:p w14:paraId="27ED303D">
      <w:pPr>
        <w:spacing w:line="400" w:lineRule="exact"/>
        <w:ind w:left="420"/>
        <w:jc w:val="lef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（1）采购项目名称：</w:t>
      </w:r>
    </w:p>
    <w:p w14:paraId="5160501A">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（2）采购项目编号：</w:t>
      </w:r>
    </w:p>
    <w:p w14:paraId="76EDDB45">
      <w:pPr>
        <w:spacing w:line="400" w:lineRule="exact"/>
        <w:ind w:firstLine="420"/>
        <w:jc w:val="lef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（3）项目内容：</w:t>
      </w:r>
    </w:p>
    <w:p w14:paraId="1E01E080">
      <w:pPr>
        <w:spacing w:line="400" w:lineRule="exact"/>
        <w:ind w:firstLine="945"/>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服务标的及数量项/套：</w:t>
      </w:r>
    </w:p>
    <w:p w14:paraId="490E60D9">
      <w:pPr>
        <w:spacing w:line="400" w:lineRule="exact"/>
        <w:ind w:firstLine="945"/>
        <w:jc w:val="left"/>
        <w:rPr>
          <w:rFonts w:hint="eastAsia" w:ascii="宋体" w:hAnsi="宋体" w:cs="宋体"/>
          <w:color w:val="000000" w:themeColor="text1"/>
          <w:szCs w:val="21"/>
          <w14:textFill>
            <w14:solidFill>
              <w14:schemeClr w14:val="tx1"/>
            </w14:solidFill>
          </w14:textFill>
        </w:rPr>
      </w:pPr>
    </w:p>
    <w:p w14:paraId="47A63036">
      <w:pPr>
        <w:spacing w:line="400" w:lineRule="exact"/>
        <w:ind w:firstLine="945"/>
        <w:jc w:val="lef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采购标的的技术要求、商务要求具体见附件。</w:t>
      </w:r>
    </w:p>
    <w:p w14:paraId="4D94571E">
      <w:pPr>
        <w:spacing w:line="400" w:lineRule="exact"/>
        <w:ind w:firstLine="420"/>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w:t>
      </w:r>
      <w:r>
        <w:rPr>
          <w:rFonts w:ascii="宋体" w:hAnsi="宋体" w:cs="Arial"/>
          <w:color w:val="000000" w:themeColor="text1"/>
          <w:szCs w:val="21"/>
          <w14:textFill>
            <w14:solidFill>
              <w14:schemeClr w14:val="tx1"/>
            </w14:solidFill>
          </w14:textFill>
        </w:rPr>
        <w:t>4</w:t>
      </w:r>
      <w:r>
        <w:rPr>
          <w:rFonts w:hint="eastAsia" w:ascii="宋体" w:hAnsi="宋体" w:cs="Arial"/>
          <w:color w:val="000000" w:themeColor="text1"/>
          <w:szCs w:val="21"/>
          <w14:textFill>
            <w14:solidFill>
              <w14:schemeClr w14:val="tx1"/>
            </w14:solidFill>
          </w14:textFill>
        </w:rPr>
        <w:t>）政府采购组织形式：</w:t>
      </w:r>
      <w:r>
        <w:rPr>
          <w:rFonts w:ascii="Wingdings" w:hAnsi="Wingdings" w:eastAsia="Wingdings" w:cs="Wingdings"/>
          <w:color w:val="000000" w:themeColor="text1"/>
          <w:szCs w:val="21"/>
          <w14:textFill>
            <w14:solidFill>
              <w14:schemeClr w14:val="tx1"/>
            </w14:solidFill>
          </w14:textFill>
        </w:rPr>
        <w:t>þ</w:t>
      </w:r>
      <w:r>
        <w:rPr>
          <w:rFonts w:hint="eastAsia" w:ascii="宋体" w:hAnsi="宋体" w:cs="Arial"/>
          <w:color w:val="000000" w:themeColor="text1"/>
          <w:szCs w:val="21"/>
          <w14:textFill>
            <w14:solidFill>
              <w14:schemeClr w14:val="tx1"/>
            </w14:solidFill>
          </w14:textFill>
        </w:rPr>
        <w:t>政府集中采购</w:t>
      </w:r>
      <w:r>
        <w:rPr>
          <w:rFonts w:ascii="Wingdings" w:hAnsi="Wingdings" w:eastAsia="Wingdings" w:cs="Wingdings"/>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部门集中采购</w:t>
      </w:r>
      <w:r>
        <w:rPr>
          <w:rFonts w:ascii="Wingdings" w:hAnsi="Wingdings" w:eastAsia="Wingdings" w:cs="Wingdings"/>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分散采购</w:t>
      </w:r>
    </w:p>
    <w:p w14:paraId="4EDEE906">
      <w:pPr>
        <w:spacing w:line="400" w:lineRule="exact"/>
        <w:ind w:firstLine="420"/>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w:t>
      </w:r>
      <w:r>
        <w:rPr>
          <w:rFonts w:ascii="宋体" w:hAnsi="宋体" w:cs="Arial"/>
          <w:color w:val="000000" w:themeColor="text1"/>
          <w:szCs w:val="21"/>
          <w14:textFill>
            <w14:solidFill>
              <w14:schemeClr w14:val="tx1"/>
            </w14:solidFill>
          </w14:textFill>
        </w:rPr>
        <w:t>5</w:t>
      </w:r>
      <w:r>
        <w:rPr>
          <w:rFonts w:hint="eastAsia" w:ascii="宋体" w:hAnsi="宋体" w:cs="Arial"/>
          <w:color w:val="000000" w:themeColor="text1"/>
          <w:szCs w:val="21"/>
          <w14:textFill>
            <w14:solidFill>
              <w14:schemeClr w14:val="tx1"/>
            </w14:solidFill>
          </w14:textFill>
        </w:rPr>
        <w:t>）政府采购方式：</w:t>
      </w:r>
      <w:r>
        <w:rPr>
          <w:rFonts w:ascii="Wingdings" w:hAnsi="Wingdings" w:eastAsia="Wingdings" w:cs="Wingdings"/>
          <w:color w:val="000000" w:themeColor="text1"/>
          <w:szCs w:val="21"/>
          <w14:textFill>
            <w14:solidFill>
              <w14:schemeClr w14:val="tx1"/>
            </w14:solidFill>
          </w14:textFill>
        </w:rPr>
        <w:t>þ</w:t>
      </w:r>
      <w:r>
        <w:rPr>
          <w:rFonts w:hint="eastAsia" w:ascii="宋体" w:hAnsi="宋体" w:cs="Arial"/>
          <w:color w:val="000000" w:themeColor="text1"/>
          <w:szCs w:val="21"/>
          <w14:textFill>
            <w14:solidFill>
              <w14:schemeClr w14:val="tx1"/>
            </w14:solidFill>
          </w14:textFill>
        </w:rPr>
        <w:t>公开招标</w:t>
      </w:r>
      <w:r>
        <w:rPr>
          <w:rFonts w:ascii="Wingdings" w:hAnsi="Wingdings" w:eastAsia="Wingdings" w:cs="Wingdings"/>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邀请招标</w:t>
      </w:r>
      <w:r>
        <w:rPr>
          <w:rFonts w:ascii="Wingdings" w:hAnsi="Wingdings" w:eastAsia="Wingdings" w:cs="Wingdings"/>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竞争性磋商</w:t>
      </w:r>
      <w:r>
        <w:rPr>
          <w:rFonts w:ascii="Wingdings" w:hAnsi="Wingdings" w:eastAsia="Wingdings" w:cs="Wingdings"/>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竞争性谈判</w:t>
      </w:r>
      <w:r>
        <w:rPr>
          <w:rFonts w:ascii="Wingdings" w:hAnsi="Wingdings" w:eastAsia="Wingdings" w:cs="Wingdings"/>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询价</w:t>
      </w:r>
      <w:r>
        <w:rPr>
          <w:rFonts w:ascii="Wingdings" w:hAnsi="Wingdings" w:eastAsia="Wingdings" w:cs="Wingdings"/>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单一来源</w:t>
      </w:r>
    </w:p>
    <w:p w14:paraId="589E5DD3">
      <w:pPr>
        <w:spacing w:line="400" w:lineRule="exact"/>
        <w:ind w:firstLine="2520" w:firstLineChars="1200"/>
        <w:rPr>
          <w:rFonts w:hint="eastAsia" w:ascii="宋体" w:hAnsi="宋体" w:cs="Arial"/>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框架协议</w:t>
      </w:r>
      <w:r>
        <w:rPr>
          <w:rFonts w:ascii="Wingdings" w:hAnsi="Wingdings" w:eastAsia="Wingdings" w:cs="Wingdings"/>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其他：</w:t>
      </w:r>
    </w:p>
    <w:p w14:paraId="4E824EE7">
      <w:pPr>
        <w:spacing w:line="400" w:lineRule="exact"/>
        <w:ind w:firstLine="420"/>
        <w:rPr>
          <w:rFonts w:hint="eastAsia" w:ascii="宋体" w:hAnsi="宋体"/>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w:t>
      </w:r>
      <w:r>
        <w:rPr>
          <w:rFonts w:ascii="宋体" w:hAnsi="宋体" w:cs="Arial"/>
          <w:color w:val="000000" w:themeColor="text1"/>
          <w:szCs w:val="21"/>
          <w14:textFill>
            <w14:solidFill>
              <w14:schemeClr w14:val="tx1"/>
            </w14:solidFill>
          </w14:textFill>
        </w:rPr>
        <w:t>6</w:t>
      </w:r>
      <w:r>
        <w:rPr>
          <w:rFonts w:hint="eastAsia" w:ascii="宋体" w:hAnsi="宋体" w:cs="Arial"/>
          <w:color w:val="000000" w:themeColor="text1"/>
          <w:szCs w:val="21"/>
          <w14:textFill>
            <w14:solidFill>
              <w14:schemeClr w14:val="tx1"/>
            </w14:solidFill>
          </w14:textFill>
        </w:rPr>
        <w:t>）中标（成交）供应商及其服务承接单位</w:t>
      </w:r>
      <w:r>
        <w:rPr>
          <w:rFonts w:hint="eastAsia" w:ascii="宋体" w:hAnsi="宋体"/>
          <w:color w:val="000000" w:themeColor="text1"/>
          <w:szCs w:val="21"/>
          <w14:textFill>
            <w14:solidFill>
              <w14:schemeClr w14:val="tx1"/>
            </w14:solidFill>
          </w14:textFill>
        </w:rPr>
        <w:t>是否为中小企业：</w:t>
      </w:r>
      <w:r>
        <w:rPr>
          <w:rFonts w:ascii="Wingdings" w:hAnsi="Wingdings" w:eastAsia="Wingdings" w:cs="Wingding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是</w:t>
      </w:r>
      <w:r>
        <w:rPr>
          <w:rFonts w:ascii="Wingdings" w:hAnsi="Wingdings" w:eastAsia="Wingdings" w:cs="Wingding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否</w:t>
      </w:r>
    </w:p>
    <w:p w14:paraId="7819D94B">
      <w:pPr>
        <w:spacing w:line="400" w:lineRule="exact"/>
        <w:ind w:firstLine="945"/>
        <w:jc w:val="left"/>
        <w:rPr>
          <w:rFonts w:hint="eastAsia"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是</w:t>
      </w:r>
      <w:bookmarkStart w:id="169" w:name="OLE_LINK1"/>
      <w:r>
        <w:rPr>
          <w:rFonts w:ascii="Wingdings" w:hAnsi="Wingdings" w:eastAsia="Wingdings" w:cs="Wingdings"/>
          <w:color w:val="000000" w:themeColor="text1"/>
          <w:szCs w:val="21"/>
          <w14:textFill>
            <w14:solidFill>
              <w14:schemeClr w14:val="tx1"/>
            </w14:solidFill>
          </w14:textFill>
        </w:rPr>
        <w:t>þ</w:t>
      </w:r>
      <w:bookmarkEnd w:id="169"/>
      <w:r>
        <w:rPr>
          <w:rFonts w:hint="eastAsia" w:ascii="宋体" w:hAnsi="宋体"/>
          <w:iCs/>
          <w:color w:val="000000" w:themeColor="text1"/>
          <w:szCs w:val="21"/>
          <w14:textFill>
            <w14:solidFill>
              <w14:schemeClr w14:val="tx1"/>
            </w14:solidFill>
          </w14:textFill>
        </w:rPr>
        <w:t>否</w:t>
      </w:r>
    </w:p>
    <w:p w14:paraId="12B2093C">
      <w:pPr>
        <w:spacing w:line="400" w:lineRule="exact"/>
        <w:ind w:firstLine="945"/>
        <w:jc w:val="left"/>
        <w:rPr>
          <w:rFonts w:hint="eastAsia" w:ascii="宋体" w:hAnsi="宋体"/>
          <w:iCs/>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þ</w:t>
      </w:r>
      <w:r>
        <w:rPr>
          <w:rFonts w:hint="eastAsia" w:ascii="宋体" w:hAnsi="宋体"/>
          <w:iCs/>
          <w:color w:val="000000" w:themeColor="text1"/>
          <w:szCs w:val="21"/>
          <w14:textFill>
            <w14:solidFill>
              <w14:schemeClr w14:val="tx1"/>
            </w14:solidFill>
          </w14:textFill>
        </w:rPr>
        <w:t>是</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否</w:t>
      </w:r>
    </w:p>
    <w:p w14:paraId="5319075B">
      <w:pPr>
        <w:spacing w:line="400" w:lineRule="exact"/>
        <w:ind w:firstLine="945"/>
        <w:jc w:val="left"/>
        <w:rPr>
          <w:rFonts w:hint="eastAsia" w:ascii="宋体" w:hAnsi="宋体"/>
          <w:iCs/>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中标（成交）采购标的承接单位是否为残疾人福利性单位：</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是</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否</w:t>
      </w:r>
    </w:p>
    <w:p w14:paraId="023C0F9F">
      <w:pPr>
        <w:spacing w:line="400" w:lineRule="exact"/>
        <w:ind w:firstLine="945"/>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中标（成交）采购标的承接单位是否为监狱企业：¨是¨否</w:t>
      </w:r>
    </w:p>
    <w:p w14:paraId="552FE6E8">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7</w:t>
      </w:r>
      <w:r>
        <w:rPr>
          <w:rFonts w:hint="eastAsia" w:ascii="宋体" w:hAnsi="宋体"/>
          <w:color w:val="000000" w:themeColor="text1"/>
          <w:szCs w:val="21"/>
          <w14:textFill>
            <w14:solidFill>
              <w14:schemeClr w14:val="tx1"/>
            </w14:solidFill>
          </w14:textFill>
        </w:rPr>
        <w:t>）合同是否分包：</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是</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否</w:t>
      </w:r>
    </w:p>
    <w:p w14:paraId="29BA2934">
      <w:pPr>
        <w:spacing w:line="400" w:lineRule="exact"/>
        <w:ind w:firstLine="945"/>
        <w:jc w:val="lef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分包主要内容：</w:t>
      </w:r>
    </w:p>
    <w:p w14:paraId="65CB6EFA">
      <w:pPr>
        <w:spacing w:line="400" w:lineRule="exact"/>
        <w:ind w:firstLine="945"/>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分包承接单位/制造商名称（如投标人与配套货物制造商不同，请分别填写）：</w:t>
      </w:r>
    </w:p>
    <w:p w14:paraId="486D6AC6">
      <w:pPr>
        <w:spacing w:line="400" w:lineRule="exact"/>
        <w:ind w:firstLine="945"/>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分包承接单位/制造商类型（如果投标人与配套货物制造商不同，分别填写承接单位类型与制造商类型）：</w:t>
      </w:r>
    </w:p>
    <w:p w14:paraId="28A614BC">
      <w:pPr>
        <w:spacing w:line="400" w:lineRule="exact"/>
        <w:ind w:firstLine="945"/>
        <w:jc w:val="left"/>
        <w:rPr>
          <w:rFonts w:hint="eastAsia" w:ascii="宋体" w:hAnsi="宋体"/>
          <w:iCs/>
          <w:color w:val="000000" w:themeColor="text1"/>
          <w:szCs w:val="21"/>
          <w14:textFill>
            <w14:solidFill>
              <w14:schemeClr w14:val="tx1"/>
            </w14:solidFill>
          </w14:textFill>
        </w:rPr>
      </w:pP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大型企业</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中型企业</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小微型企业</w:t>
      </w:r>
    </w:p>
    <w:p w14:paraId="06762BDE">
      <w:pPr>
        <w:spacing w:line="400" w:lineRule="exact"/>
        <w:ind w:firstLine="945"/>
        <w:jc w:val="left"/>
        <w:rPr>
          <w:rFonts w:hint="eastAsia" w:ascii="宋体" w:hAnsi="宋体"/>
          <w:color w:val="000000" w:themeColor="text1"/>
          <w14:textFill>
            <w14:solidFill>
              <w14:schemeClr w14:val="tx1"/>
            </w14:solidFill>
          </w14:textFill>
        </w:rPr>
      </w:pP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残疾人福利性单位</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监狱企业</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其他</w:t>
      </w:r>
    </w:p>
    <w:p w14:paraId="7E7DA6A1">
      <w:pPr>
        <w:spacing w:line="400" w:lineRule="exact"/>
        <w:ind w:firstLine="420"/>
        <w:jc w:val="left"/>
        <w:rPr>
          <w:rFonts w:hint="eastAsia"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ascii="宋体" w:hAnsi="宋体" w:cs="宋体"/>
          <w:color w:val="000000" w:themeColor="text1"/>
          <w:szCs w:val="21"/>
          <w14:textFill>
            <w14:solidFill>
              <w14:schemeClr w14:val="tx1"/>
            </w14:solidFill>
          </w14:textFill>
        </w:rPr>
        <w:t>8</w:t>
      </w:r>
      <w:r>
        <w:rPr>
          <w:rFonts w:hint="eastAsia" w:ascii="宋体" w:hAnsi="宋体" w:cs="宋体"/>
          <w:color w:val="000000" w:themeColor="text1"/>
          <w:szCs w:val="21"/>
          <w14:textFill>
            <w14:solidFill>
              <w14:schemeClr w14:val="tx1"/>
            </w14:solidFill>
          </w14:textFill>
        </w:rPr>
        <w:t>）中标（成交）投标人是否为外商投资企业：</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cs="宋体"/>
          <w:iCs/>
          <w:color w:val="000000" w:themeColor="text1"/>
          <w:szCs w:val="21"/>
          <w14:textFill>
            <w14:solidFill>
              <w14:schemeClr w14:val="tx1"/>
            </w14:solidFill>
          </w14:textFill>
        </w:rPr>
        <w:t>是</w:t>
      </w:r>
      <w:r>
        <w:rPr>
          <w:rFonts w:ascii="Wingdings" w:hAnsi="Wingdings" w:eastAsia="Wingdings" w:cs="Wingdings"/>
          <w:iCs/>
          <w:color w:val="000000" w:themeColor="text1"/>
          <w:szCs w:val="21"/>
          <w14:textFill>
            <w14:solidFill>
              <w14:schemeClr w14:val="tx1"/>
            </w14:solidFill>
          </w14:textFill>
        </w:rPr>
        <w:t>þ</w:t>
      </w:r>
      <w:r>
        <w:rPr>
          <w:rFonts w:hint="eastAsia" w:ascii="宋体" w:hAnsi="宋体" w:cs="宋体"/>
          <w:iCs/>
          <w:color w:val="000000" w:themeColor="text1"/>
          <w:szCs w:val="21"/>
          <w14:textFill>
            <w14:solidFill>
              <w14:schemeClr w14:val="tx1"/>
            </w14:solidFill>
          </w14:textFill>
        </w:rPr>
        <w:t>否</w:t>
      </w:r>
    </w:p>
    <w:p w14:paraId="356E7D87">
      <w:pPr>
        <w:tabs>
          <w:tab w:val="left" w:pos="1340"/>
        </w:tabs>
        <w:spacing w:line="400" w:lineRule="exact"/>
        <w:ind w:firstLine="945"/>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外商投资企业类型：</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全部由外国投资者投资</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cs="宋体"/>
          <w:iCs/>
          <w:color w:val="000000" w:themeColor="text1"/>
          <w:szCs w:val="21"/>
          <w14:textFill>
            <w14:solidFill>
              <w14:schemeClr w14:val="tx1"/>
            </w14:solidFill>
          </w14:textFill>
        </w:rPr>
        <w:t>部分由外国投资者投资</w:t>
      </w:r>
    </w:p>
    <w:p w14:paraId="6AD27470">
      <w:pPr>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ascii="宋体" w:hAnsi="宋体" w:cs="宋体"/>
          <w:color w:val="000000" w:themeColor="text1"/>
          <w:szCs w:val="21"/>
          <w14:textFill>
            <w14:solidFill>
              <w14:schemeClr w14:val="tx1"/>
            </w14:solidFill>
          </w14:textFill>
        </w:rPr>
        <w:t>9</w:t>
      </w:r>
      <w:r>
        <w:rPr>
          <w:rFonts w:hint="eastAsia" w:ascii="宋体" w:hAnsi="宋体" w:cs="宋体"/>
          <w:color w:val="000000" w:themeColor="text1"/>
          <w:szCs w:val="21"/>
          <w14:textFill>
            <w14:solidFill>
              <w14:schemeClr w14:val="tx1"/>
            </w14:solidFill>
          </w14:textFill>
        </w:rPr>
        <w:t>）是否涉及进口产品，本项目不接受进口产品。</w:t>
      </w:r>
    </w:p>
    <w:p w14:paraId="26C9E912">
      <w:pPr>
        <w:spacing w:line="400" w:lineRule="exact"/>
        <w:ind w:firstLine="945"/>
        <w:jc w:val="left"/>
        <w:rPr>
          <w:rFonts w:hint="eastAsia"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是，《政府采购品目分类目录》底级品目名称：金额：</w:t>
      </w:r>
    </w:p>
    <w:p w14:paraId="2AFF1F19">
      <w:pPr>
        <w:spacing w:line="400" w:lineRule="exact"/>
        <w:ind w:firstLine="945"/>
        <w:jc w:val="left"/>
        <w:rPr>
          <w:rFonts w:hint="eastAsia"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þ</w:t>
      </w:r>
      <w:r>
        <w:rPr>
          <w:rFonts w:hint="eastAsia" w:ascii="宋体" w:hAnsi="宋体"/>
          <w:color w:val="000000" w:themeColor="text1"/>
          <w:szCs w:val="21"/>
          <w14:textFill>
            <w14:solidFill>
              <w14:schemeClr w14:val="tx1"/>
            </w14:solidFill>
          </w14:textFill>
        </w:rPr>
        <w:t>否</w:t>
      </w:r>
    </w:p>
    <w:p w14:paraId="1858C778">
      <w:pPr>
        <w:tabs>
          <w:tab w:val="left" w:pos="740"/>
        </w:tabs>
        <w:spacing w:line="400" w:lineRule="exact"/>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）是否涉及节能产品：</w:t>
      </w:r>
    </w:p>
    <w:p w14:paraId="20E901B7">
      <w:pPr>
        <w:spacing w:line="400" w:lineRule="exact"/>
        <w:ind w:firstLine="945"/>
        <w:jc w:val="left"/>
        <w:rPr>
          <w:rFonts w:hint="eastAsia"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þ</w:t>
      </w:r>
      <w:r>
        <w:rPr>
          <w:rFonts w:hint="eastAsia" w:ascii="宋体" w:hAnsi="宋体"/>
          <w:color w:val="000000" w:themeColor="text1"/>
          <w:szCs w:val="21"/>
          <w14:textFill>
            <w14:solidFill>
              <w14:schemeClr w14:val="tx1"/>
            </w14:solidFill>
          </w14:textFill>
        </w:rPr>
        <w:t>是，《节能产品政府采购品目清单》的底级品目名称：</w:t>
      </w:r>
      <w:r>
        <w:rPr>
          <w:rFonts w:hint="eastAsia" w:ascii="Wingdings" w:hAnsi="Wingdings" w:eastAsia="Wingdings" w:cs="Wingdings"/>
          <w:color w:val="000000" w:themeColor="text1"/>
          <w:szCs w:val="21"/>
          <w14:textFill>
            <w14:solidFill>
              <w14:schemeClr w14:val="tx1"/>
            </w14:solidFill>
          </w14:textFill>
        </w:rPr>
        <w:t>激光打印机</w:t>
      </w:r>
      <w:r>
        <w:rPr>
          <w:rFonts w:hint="eastAsia" w:cs="Wingdings"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学情报告留痕设备）、</w:t>
      </w:r>
      <w:r>
        <w:rPr>
          <w:rFonts w:hint="eastAsia" w:ascii="Wingdings" w:hAnsi="Wingdings" w:eastAsia="Wingdings" w:cs="Wingdings"/>
          <w:color w:val="000000" w:themeColor="text1"/>
          <w:szCs w:val="21"/>
          <w14:textFill>
            <w14:solidFill>
              <w14:schemeClr w14:val="tx1"/>
            </w14:solidFill>
          </w14:textFill>
        </w:rPr>
        <w:t>台式计算机</w:t>
      </w:r>
      <w:r>
        <w:rPr>
          <w:rFonts w:hint="eastAsia" w:cs="Wingdings"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测评业务终端）</w:t>
      </w:r>
    </w:p>
    <w:p w14:paraId="25F38906">
      <w:pPr>
        <w:spacing w:line="400" w:lineRule="exact"/>
        <w:ind w:firstLine="945"/>
        <w:jc w:val="left"/>
        <w:rPr>
          <w:rFonts w:hint="eastAsia"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强制采购</w:t>
      </w:r>
      <w:r>
        <w:rPr>
          <w:rFonts w:ascii="Wingdings" w:hAnsi="Wingdings" w:eastAsia="Wingdings" w:cs="Wingding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优先采购</w:t>
      </w:r>
    </w:p>
    <w:p w14:paraId="0ADC5FDC">
      <w:pPr>
        <w:spacing w:line="400" w:lineRule="exact"/>
        <w:ind w:firstLine="945"/>
        <w:jc w:val="left"/>
        <w:rPr>
          <w:rFonts w:hint="eastAsia"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否</w:t>
      </w:r>
    </w:p>
    <w:p w14:paraId="435622A2">
      <w:pPr>
        <w:spacing w:line="400" w:lineRule="exact"/>
        <w:ind w:firstLine="945"/>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是否涉及环境标志产品：</w:t>
      </w:r>
    </w:p>
    <w:p w14:paraId="5A7B8508">
      <w:pPr>
        <w:spacing w:line="400" w:lineRule="exact"/>
        <w:ind w:firstLine="945"/>
        <w:jc w:val="left"/>
        <w:rPr>
          <w:rFonts w:hint="eastAsia" w:ascii="宋体" w:hAnsi="宋体"/>
          <w:color w:val="000000" w:themeColor="text1"/>
          <w:szCs w:val="21"/>
          <w14:textFill>
            <w14:solidFill>
              <w14:schemeClr w14:val="tx1"/>
            </w14:solidFill>
          </w14:textFill>
        </w:rPr>
      </w:pPr>
      <w:r>
        <w:rPr>
          <w:rFonts w:hint="eastAsia" w:ascii="Wingdings" w:hAnsi="Wingdings" w:eastAsia="Wingdings" w:cs="Wingdings"/>
          <w:color w:val="000000" w:themeColor="text1"/>
          <w:szCs w:val="21"/>
          <w14:textFill>
            <w14:solidFill>
              <w14:schemeClr w14:val="tx1"/>
            </w14:solidFill>
          </w14:textFill>
        </w:rPr>
        <w:t>þ是，《环境标志产品政府采购品目清单》的底级品目名称：激光打印机</w:t>
      </w:r>
      <w:r>
        <w:rPr>
          <w:rFonts w:hint="eastAsia" w:cs="Wingdings"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学情报告留痕设备）、</w:t>
      </w:r>
      <w:r>
        <w:rPr>
          <w:rFonts w:hint="eastAsia" w:ascii="Wingdings" w:hAnsi="Wingdings" w:eastAsia="Wingdings" w:cs="Wingdings"/>
          <w:color w:val="000000" w:themeColor="text1"/>
          <w:szCs w:val="21"/>
          <w14:textFill>
            <w14:solidFill>
              <w14:schemeClr w14:val="tx1"/>
            </w14:solidFill>
          </w14:textFill>
        </w:rPr>
        <w:t>台式计算机</w:t>
      </w:r>
      <w:r>
        <w:rPr>
          <w:rFonts w:hint="eastAsia" w:cs="Wingdings"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测评业务终端）</w:t>
      </w:r>
    </w:p>
    <w:p w14:paraId="4FAB5820">
      <w:pPr>
        <w:spacing w:line="400" w:lineRule="exact"/>
        <w:ind w:firstLine="945"/>
        <w:jc w:val="left"/>
        <w:rPr>
          <w:rFonts w:hint="eastAsia"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强制采购</w:t>
      </w:r>
      <w:bookmarkStart w:id="170" w:name="OLE_LINK5"/>
      <w:r>
        <w:rPr>
          <w:rFonts w:ascii="Wingdings" w:hAnsi="Wingdings" w:eastAsia="Wingdings" w:cs="Wingdings"/>
          <w:color w:val="000000" w:themeColor="text1"/>
          <w:szCs w:val="21"/>
          <w14:textFill>
            <w14:solidFill>
              <w14:schemeClr w14:val="tx1"/>
            </w14:solidFill>
          </w14:textFill>
        </w:rPr>
        <w:t>þ</w:t>
      </w:r>
      <w:bookmarkEnd w:id="170"/>
      <w:r>
        <w:rPr>
          <w:rFonts w:hint="eastAsia" w:ascii="宋体" w:hAnsi="宋体"/>
          <w:color w:val="000000" w:themeColor="text1"/>
          <w:szCs w:val="21"/>
          <w14:textFill>
            <w14:solidFill>
              <w14:schemeClr w14:val="tx1"/>
            </w14:solidFill>
          </w14:textFill>
        </w:rPr>
        <w:t>优先采购</w:t>
      </w:r>
    </w:p>
    <w:p w14:paraId="7B60A3C1">
      <w:pPr>
        <w:spacing w:line="400" w:lineRule="exact"/>
        <w:ind w:firstLine="945"/>
        <w:jc w:val="left"/>
        <w:rPr>
          <w:rFonts w:hint="eastAsia"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否</w:t>
      </w:r>
    </w:p>
    <w:p w14:paraId="4577250A">
      <w:pPr>
        <w:spacing w:line="400" w:lineRule="exact"/>
        <w:ind w:firstLine="945"/>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是否涉及绿色产品：</w:t>
      </w:r>
    </w:p>
    <w:p w14:paraId="06D4C947">
      <w:pPr>
        <w:spacing w:line="400" w:lineRule="exact"/>
        <w:ind w:firstLine="945"/>
        <w:jc w:val="left"/>
        <w:rPr>
          <w:rFonts w:hint="eastAsia"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是，绿色产品政府采购相关政策确定的底级品目名称：</w:t>
      </w:r>
    </w:p>
    <w:p w14:paraId="2C3A57B3">
      <w:pPr>
        <w:spacing w:line="400" w:lineRule="exact"/>
        <w:ind w:firstLine="945"/>
        <w:jc w:val="left"/>
        <w:rPr>
          <w:rFonts w:hint="eastAsia"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强制采购</w:t>
      </w:r>
      <w:r>
        <w:rPr>
          <w:rFonts w:ascii="Wingdings" w:hAnsi="Wingdings" w:eastAsia="Wingdings" w:cs="Wingdings"/>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优先采购</w:t>
      </w:r>
    </w:p>
    <w:p w14:paraId="55433CA0">
      <w:pPr>
        <w:spacing w:line="400" w:lineRule="exact"/>
        <w:ind w:firstLine="945"/>
        <w:jc w:val="left"/>
        <w:rPr>
          <w:rFonts w:hint="eastAsia"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þ</w:t>
      </w:r>
      <w:r>
        <w:rPr>
          <w:rFonts w:hint="eastAsia" w:ascii="宋体" w:hAnsi="宋体"/>
          <w:color w:val="000000" w:themeColor="text1"/>
          <w14:textFill>
            <w14:solidFill>
              <w14:schemeClr w14:val="tx1"/>
            </w14:solidFill>
          </w14:textFill>
        </w:rPr>
        <w:t>否</w:t>
      </w:r>
    </w:p>
    <w:p w14:paraId="0F79B4B9">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）涉及商品包装和快递包装的，是否参考《商品包装政府采购需求标准（试行）》、《快递包装政府采购需求标准（试行）》明确产品及相关快递服务的具体包装要求：</w:t>
      </w:r>
    </w:p>
    <w:p w14:paraId="4B16D494">
      <w:pPr>
        <w:spacing w:line="400" w:lineRule="exact"/>
        <w:ind w:firstLine="945"/>
        <w:jc w:val="left"/>
        <w:rPr>
          <w:rFonts w:hint="eastAsia" w:ascii="宋体" w:hAnsi="宋体"/>
          <w:color w:val="000000" w:themeColor="text1"/>
          <w:szCs w:val="21"/>
          <w14:textFill>
            <w14:solidFill>
              <w14:schemeClr w14:val="tx1"/>
            </w14:solidFill>
          </w14:textFill>
        </w:rPr>
      </w:pPr>
      <w:bookmarkStart w:id="171" w:name="OLE_LINK3"/>
      <w:r>
        <w:rPr>
          <w:rFonts w:ascii="Wingdings" w:hAnsi="Wingdings" w:eastAsia="Wingdings" w:cs="Wingdings"/>
          <w:color w:val="000000" w:themeColor="text1"/>
          <w:szCs w:val="21"/>
          <w14:textFill>
            <w14:solidFill>
              <w14:schemeClr w14:val="tx1"/>
            </w14:solidFill>
          </w14:textFill>
        </w:rPr>
        <w:t>þ</w:t>
      </w:r>
      <w:bookmarkEnd w:id="171"/>
      <w:r>
        <w:rPr>
          <w:rFonts w:hint="eastAsia" w:ascii="宋体" w:hAnsi="宋体"/>
          <w:color w:val="000000" w:themeColor="text1"/>
          <w:szCs w:val="21"/>
          <w14:textFill>
            <w14:solidFill>
              <w14:schemeClr w14:val="tx1"/>
            </w14:solidFill>
          </w14:textFill>
        </w:rPr>
        <w:t>是</w:t>
      </w:r>
      <w:r>
        <w:rPr>
          <w:rFonts w:ascii="Wingdings" w:hAnsi="Wingdings" w:eastAsia="Wingdings" w:cs="Wingding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否</w:t>
      </w:r>
      <w:r>
        <w:rPr>
          <w:rFonts w:ascii="Wingdings" w:hAnsi="Wingdings" w:eastAsia="Wingdings" w:cs="Wingding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不涉及</w:t>
      </w:r>
    </w:p>
    <w:p w14:paraId="45E61485">
      <w:pPr>
        <w:numPr>
          <w:ilvl w:val="0"/>
          <w:numId w:val="7"/>
        </w:numPr>
        <w:spacing w:line="400" w:lineRule="exact"/>
        <w:ind w:firstLine="422"/>
        <w:jc w:val="lef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合同金额</w:t>
      </w:r>
    </w:p>
    <w:p w14:paraId="26AE1B98">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（1）合同金额小写：</w:t>
      </w:r>
    </w:p>
    <w:p w14:paraId="00655191">
      <w:pPr>
        <w:spacing w:line="400" w:lineRule="exact"/>
        <w:ind w:firstLine="945"/>
        <w:jc w:val="lef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大写：</w:t>
      </w:r>
    </w:p>
    <w:p w14:paraId="49F6D5C2">
      <w:pPr>
        <w:spacing w:line="400" w:lineRule="exact"/>
        <w:ind w:firstLine="945"/>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分包金额（如有）小写：</w:t>
      </w:r>
    </w:p>
    <w:p w14:paraId="1D734228">
      <w:pPr>
        <w:spacing w:line="400" w:lineRule="exact"/>
        <w:ind w:firstLine="945"/>
        <w:jc w:val="lef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大写：</w:t>
      </w:r>
    </w:p>
    <w:p w14:paraId="69BDAFC0">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（2）合同定价方式：</w:t>
      </w:r>
    </w:p>
    <w:p w14:paraId="2D0C53EF">
      <w:pPr>
        <w:spacing w:line="400" w:lineRule="exact"/>
        <w:ind w:firstLine="945"/>
        <w:jc w:val="left"/>
        <w:rPr>
          <w:rFonts w:hint="eastAsia" w:ascii="宋体" w:hAnsi="宋体"/>
          <w:color w:val="000000" w:themeColor="text1"/>
          <w:szCs w:val="21"/>
          <w14:textFill>
            <w14:solidFill>
              <w14:schemeClr w14:val="tx1"/>
            </w14:solidFill>
          </w14:textFill>
        </w:rPr>
      </w:pPr>
      <w:r>
        <w:rPr>
          <w:rFonts w:ascii="Wingdings" w:hAnsi="Wingdings" w:eastAsia="Wingdings" w:cs="Wingdings"/>
          <w:iCs/>
          <w:color w:val="000000" w:themeColor="text1"/>
          <w:szCs w:val="21"/>
          <w14:textFill>
            <w14:solidFill>
              <w14:schemeClr w14:val="tx1"/>
            </w14:solidFill>
          </w14:textFill>
        </w:rPr>
        <w:t>þ</w:t>
      </w:r>
      <w:r>
        <w:rPr>
          <w:rFonts w:hint="eastAsia" w:ascii="宋体" w:hAnsi="宋体"/>
          <w:iCs/>
          <w:color w:val="000000" w:themeColor="text1"/>
          <w:szCs w:val="21"/>
          <w14:textFill>
            <w14:solidFill>
              <w14:schemeClr w14:val="tx1"/>
            </w14:solidFill>
          </w14:textFill>
        </w:rPr>
        <w:t>固定总价</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固定单价</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固定费率</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成本补偿</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绩效激励</w:t>
      </w:r>
      <w:r>
        <w:rPr>
          <w:rFonts w:ascii="Wingdings" w:hAnsi="Wingdings" w:eastAsia="Wingdings" w:cs="Wingdings"/>
          <w:i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其他</w:t>
      </w:r>
    </w:p>
    <w:p w14:paraId="4CFCC2FA">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（3）付款方式：</w:t>
      </w:r>
    </w:p>
    <w:p w14:paraId="17D0D1C8">
      <w:pPr>
        <w:spacing w:line="400" w:lineRule="exact"/>
        <w:ind w:firstLine="420"/>
        <w:jc w:val="left"/>
        <w:rPr>
          <w:rFonts w:hint="eastAsia" w:ascii="宋体" w:hAnsi="宋体"/>
          <w:b/>
          <w:bCs/>
          <w:color w:val="000000" w:themeColor="text1"/>
          <w:szCs w:val="21"/>
          <w:u w:val="single"/>
          <w14:textFill>
            <w14:solidFill>
              <w14:schemeClr w14:val="tx1"/>
            </w14:solidFill>
          </w14:textFill>
        </w:rPr>
      </w:pPr>
      <w:r>
        <w:rPr>
          <w:rFonts w:hint="eastAsia" w:ascii="宋体" w:hAnsi="宋体"/>
          <w:b/>
          <w:bCs/>
          <w:color w:val="000000" w:themeColor="text1"/>
          <w:szCs w:val="21"/>
          <w14:textFill>
            <w14:solidFill>
              <w14:schemeClr w14:val="tx1"/>
            </w14:solidFill>
          </w14:textFill>
        </w:rPr>
        <w:t>付款方式：</w:t>
      </w:r>
      <w:r>
        <w:rPr>
          <w:rFonts w:hint="eastAsia" w:ascii="宋体" w:hAnsi="宋体"/>
          <w:b/>
          <w:bCs/>
          <w:color w:val="000000" w:themeColor="text1"/>
          <w:szCs w:val="21"/>
          <w:u w:val="single"/>
          <w14:textFill>
            <w14:solidFill>
              <w14:schemeClr w14:val="tx1"/>
            </w14:solidFill>
          </w14:textFill>
        </w:rPr>
        <w:t>采购人在最终验收合格并收到合法有效发票及完整支付材料之日起10个工作日内，一次性支付合同金额的100%。</w:t>
      </w:r>
    </w:p>
    <w:p w14:paraId="410C9AC8">
      <w:pPr>
        <w:numPr>
          <w:ilvl w:val="0"/>
          <w:numId w:val="7"/>
        </w:numPr>
        <w:spacing w:line="400" w:lineRule="exact"/>
        <w:ind w:firstLine="422"/>
        <w:jc w:val="left"/>
        <w:rPr>
          <w:rFonts w:hint="eastAsia"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合同履行</w:t>
      </w:r>
    </w:p>
    <w:p w14:paraId="1B9ABC2E">
      <w:pPr>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（1）起始日期：年月日，完成日期：年月日。</w:t>
      </w:r>
    </w:p>
    <w:p w14:paraId="1A31FC2B">
      <w:pPr>
        <w:spacing w:line="400" w:lineRule="exact"/>
        <w:ind w:firstLine="420"/>
        <w:jc w:val="lef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（2）履约地点</w:t>
      </w:r>
      <w:r>
        <w:rPr>
          <w:rFonts w:hint="eastAsia" w:ascii="宋体" w:hAnsi="宋体" w:cs="宋体"/>
          <w:bCs/>
          <w:color w:val="000000" w:themeColor="text1"/>
          <w:szCs w:val="21"/>
          <w14:textFill>
            <w14:solidFill>
              <w14:schemeClr w14:val="tx1"/>
            </w14:solidFill>
          </w14:textFill>
        </w:rPr>
        <w:t>：灌云县教育局</w:t>
      </w:r>
      <w:r>
        <w:rPr>
          <w:rFonts w:hint="eastAsia" w:ascii="宋体" w:hAnsi="宋体" w:cs="宋体"/>
          <w:color w:val="000000" w:themeColor="text1"/>
          <w:szCs w:val="21"/>
          <w:u w:val="single"/>
          <w14:textFill>
            <w14:solidFill>
              <w14:schemeClr w14:val="tx1"/>
            </w14:solidFill>
          </w14:textFill>
        </w:rPr>
        <w:t>及本项目所涉各项目学校（学校数量及地点清单详见招标文件第四章采购需求）</w:t>
      </w:r>
    </w:p>
    <w:p w14:paraId="0AA3ADBB">
      <w:pPr>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（3）履约担保：</w:t>
      </w:r>
      <w:r>
        <w:rPr>
          <w:rFonts w:hint="eastAsia" w:ascii="宋体" w:hAnsi="宋体" w:cs="宋体"/>
          <w:color w:val="000000" w:themeColor="text1"/>
          <w14:textFill>
            <w14:solidFill>
              <w14:schemeClr w14:val="tx1"/>
            </w14:solidFill>
          </w14:textFill>
        </w:rPr>
        <w:t>是否收取履约保证金：</w:t>
      </w:r>
      <w:r>
        <w:rPr>
          <w:rFonts w:ascii="Wingdings" w:hAnsi="Wingdings" w:eastAsia="Wingdings" w:cs="Wingdings"/>
          <w:color w:val="000000" w:themeColor="text1"/>
          <w:szCs w:val="21"/>
          <w14:textFill>
            <w14:solidFill>
              <w14:schemeClr w14:val="tx1"/>
            </w14:solidFill>
          </w14:textFill>
        </w:rPr>
        <w:t>þ</w:t>
      </w:r>
      <w:r>
        <w:rPr>
          <w:rFonts w:hint="eastAsia" w:ascii="宋体" w:hAnsi="宋体" w:cs="宋体"/>
          <w:color w:val="000000" w:themeColor="text1"/>
          <w:szCs w:val="21"/>
          <w14:textFill>
            <w14:solidFill>
              <w14:schemeClr w14:val="tx1"/>
            </w14:solidFill>
          </w14:textFill>
        </w:rPr>
        <w:t>是</w:t>
      </w:r>
      <w:r>
        <w:rPr>
          <w:rFonts w:ascii="Wingdings" w:hAnsi="Wingdings" w:eastAsia="Wingdings" w:cs="Wingdings"/>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否</w:t>
      </w:r>
    </w:p>
    <w:p w14:paraId="444C8393">
      <w:pPr>
        <w:spacing w:line="400" w:lineRule="exact"/>
        <w:ind w:firstLine="945"/>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收取履约保证金形式：（支票、汇票、本票或者金融机构、担保机构出具的保函等非现金形式）</w:t>
      </w:r>
    </w:p>
    <w:p w14:paraId="4660716C">
      <w:pPr>
        <w:spacing w:line="400" w:lineRule="exact"/>
        <w:ind w:firstLine="84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收取履约保证金金额：合同金额的10%；</w:t>
      </w:r>
    </w:p>
    <w:p w14:paraId="7CEC1FF6">
      <w:pPr>
        <w:spacing w:line="400" w:lineRule="exact"/>
        <w:ind w:firstLine="945"/>
        <w:jc w:val="left"/>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履约担保期限：自合同生效之日起至本项目三年服务期届满且最终服务考核合格后30日内退还。</w:t>
      </w:r>
    </w:p>
    <w:p w14:paraId="09931782">
      <w:pPr>
        <w:spacing w:line="400" w:lineRule="exact"/>
        <w:ind w:firstLine="420"/>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（4）分期履行要求：</w:t>
      </w:r>
    </w:p>
    <w:p w14:paraId="6AF98282">
      <w:pPr>
        <w:spacing w:line="400" w:lineRule="exact"/>
        <w:ind w:firstLine="420"/>
        <w:jc w:val="left"/>
        <w:rPr>
          <w:rFonts w:hint="eastAsia"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（5）风险处置措施和替代方案：</w:t>
      </w:r>
      <w:r>
        <w:rPr>
          <w:rFonts w:hint="eastAsia" w:ascii="宋体" w:hAnsi="宋体" w:cs="宋体"/>
          <w:color w:val="000000" w:themeColor="text1"/>
          <w:szCs w:val="21"/>
          <w:u w:val="single"/>
          <w14:textFill>
            <w14:solidFill>
              <w14:schemeClr w14:val="tx1"/>
            </w14:solidFill>
          </w14:textFill>
        </w:rPr>
        <w:t>中标人无法继续履约的，采购人有权要求其限期整改；逾期未整改的，采购人有权解除合同并要求赔偿损失，同时可依法动用履约保证金，或按合同约定启用替代技术方案及备份数据。</w:t>
      </w:r>
    </w:p>
    <w:p w14:paraId="01109C7B">
      <w:pPr>
        <w:numPr>
          <w:ilvl w:val="0"/>
          <w:numId w:val="7"/>
        </w:numPr>
        <w:spacing w:line="400" w:lineRule="exact"/>
        <w:ind w:firstLine="422"/>
        <w:jc w:val="lef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合同验收</w:t>
      </w:r>
    </w:p>
    <w:p w14:paraId="754FD9D8">
      <w:pPr>
        <w:spacing w:line="400" w:lineRule="exact"/>
        <w:ind w:firstLine="420"/>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（1）验收组织方式：</w:t>
      </w:r>
      <w:r>
        <w:rPr>
          <w:rFonts w:ascii="Wingdings" w:hAnsi="Wingdings" w:eastAsia="Wingdings" w:cs="Wingdings"/>
          <w:color w:val="000000" w:themeColor="text1"/>
          <w:szCs w:val="21"/>
          <w14:textFill>
            <w14:solidFill>
              <w14:schemeClr w14:val="tx1"/>
            </w14:solidFill>
          </w14:textFill>
        </w:rPr>
        <w:t>þ</w:t>
      </w:r>
      <w:r>
        <w:rPr>
          <w:rFonts w:hint="eastAsia" w:ascii="宋体" w:hAnsi="宋体"/>
          <w:bCs/>
          <w:color w:val="000000" w:themeColor="text1"/>
          <w:szCs w:val="21"/>
          <w14:textFill>
            <w14:solidFill>
              <w14:schemeClr w14:val="tx1"/>
            </w14:solidFill>
          </w14:textFill>
        </w:rPr>
        <w:t>自行组织</w:t>
      </w:r>
      <w:r>
        <w:rPr>
          <w:rFonts w:ascii="Wingdings" w:hAnsi="Wingdings" w:eastAsia="Wingdings" w:cs="Wingdings"/>
          <w:color w:val="000000" w:themeColor="text1"/>
          <w:szCs w:val="21"/>
          <w14:textFill>
            <w14:solidFill>
              <w14:schemeClr w14:val="tx1"/>
            </w14:solidFill>
          </w14:textFill>
        </w:rPr>
        <w:t>¨</w:t>
      </w:r>
      <w:r>
        <w:rPr>
          <w:rFonts w:hint="eastAsia" w:ascii="宋体" w:hAnsi="宋体"/>
          <w:bCs/>
          <w:color w:val="000000" w:themeColor="text1"/>
          <w:szCs w:val="21"/>
          <w14:textFill>
            <w14:solidFill>
              <w14:schemeClr w14:val="tx1"/>
            </w14:solidFill>
          </w14:textFill>
        </w:rPr>
        <w:t>委托第三方组织</w:t>
      </w:r>
    </w:p>
    <w:p w14:paraId="13653865">
      <w:pPr>
        <w:spacing w:line="400" w:lineRule="exact"/>
        <w:ind w:firstLine="945"/>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验收主体：灌云县教育局（采购人）</w:t>
      </w:r>
    </w:p>
    <w:p w14:paraId="2D31428D">
      <w:pPr>
        <w:spacing w:line="400" w:lineRule="exact"/>
        <w:ind w:firstLine="945"/>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是否邀请本项目的其他投标人参加验收：</w:t>
      </w:r>
      <w:r>
        <w:rPr>
          <w:rFonts w:ascii="Wingdings" w:hAnsi="Wingdings" w:eastAsia="Wingdings" w:cs="Wingdings"/>
          <w:color w:val="000000" w:themeColor="text1"/>
          <w:szCs w:val="21"/>
          <w14:textFill>
            <w14:solidFill>
              <w14:schemeClr w14:val="tx1"/>
            </w14:solidFill>
          </w14:textFill>
        </w:rPr>
        <w:t>¨</w:t>
      </w:r>
      <w:r>
        <w:rPr>
          <w:rFonts w:hint="eastAsia" w:ascii="宋体" w:hAnsi="宋体"/>
          <w:bCs/>
          <w:color w:val="000000" w:themeColor="text1"/>
          <w:szCs w:val="21"/>
          <w14:textFill>
            <w14:solidFill>
              <w14:schemeClr w14:val="tx1"/>
            </w14:solidFill>
          </w14:textFill>
        </w:rPr>
        <w:t>是</w:t>
      </w:r>
      <w:r>
        <w:rPr>
          <w:rFonts w:ascii="Wingdings" w:hAnsi="Wingdings" w:eastAsia="Wingdings" w:cs="Wingdings"/>
          <w:color w:val="000000" w:themeColor="text1"/>
          <w:szCs w:val="21"/>
          <w14:textFill>
            <w14:solidFill>
              <w14:schemeClr w14:val="tx1"/>
            </w14:solidFill>
          </w14:textFill>
        </w:rPr>
        <w:t>þ</w:t>
      </w:r>
      <w:r>
        <w:rPr>
          <w:rFonts w:hint="eastAsia" w:ascii="宋体" w:hAnsi="宋体"/>
          <w:bCs/>
          <w:color w:val="000000" w:themeColor="text1"/>
          <w:szCs w:val="21"/>
          <w14:textFill>
            <w14:solidFill>
              <w14:schemeClr w14:val="tx1"/>
            </w14:solidFill>
          </w14:textFill>
        </w:rPr>
        <w:t>否</w:t>
      </w:r>
    </w:p>
    <w:p w14:paraId="55D2D61E">
      <w:pPr>
        <w:spacing w:line="400" w:lineRule="exact"/>
        <w:ind w:firstLine="945"/>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是否邀请专家参加验收：</w:t>
      </w:r>
      <w:r>
        <w:rPr>
          <w:rFonts w:ascii="Wingdings" w:hAnsi="Wingdings" w:eastAsia="Wingdings" w:cs="Wingdings"/>
          <w:color w:val="000000" w:themeColor="text1"/>
          <w:szCs w:val="21"/>
          <w14:textFill>
            <w14:solidFill>
              <w14:schemeClr w14:val="tx1"/>
            </w14:solidFill>
          </w14:textFill>
        </w:rPr>
        <w:t>þ</w:t>
      </w:r>
      <w:r>
        <w:rPr>
          <w:rFonts w:hint="eastAsia" w:ascii="宋体" w:hAnsi="宋体"/>
          <w:bCs/>
          <w:color w:val="000000" w:themeColor="text1"/>
          <w:szCs w:val="21"/>
          <w14:textFill>
            <w14:solidFill>
              <w14:schemeClr w14:val="tx1"/>
            </w14:solidFill>
          </w14:textFill>
        </w:rPr>
        <w:t>是</w:t>
      </w:r>
      <w:r>
        <w:rPr>
          <w:rFonts w:ascii="Wingdings" w:hAnsi="Wingdings" w:eastAsia="Wingdings" w:cs="Wingdings"/>
          <w:color w:val="000000" w:themeColor="text1"/>
          <w:szCs w:val="21"/>
          <w14:textFill>
            <w14:solidFill>
              <w14:schemeClr w14:val="tx1"/>
            </w14:solidFill>
          </w14:textFill>
        </w:rPr>
        <w:t>¨</w:t>
      </w:r>
      <w:r>
        <w:rPr>
          <w:rFonts w:hint="eastAsia" w:ascii="宋体" w:hAnsi="宋体"/>
          <w:bCs/>
          <w:color w:val="000000" w:themeColor="text1"/>
          <w:szCs w:val="21"/>
          <w14:textFill>
            <w14:solidFill>
              <w14:schemeClr w14:val="tx1"/>
            </w14:solidFill>
          </w14:textFill>
        </w:rPr>
        <w:t>否</w:t>
      </w:r>
    </w:p>
    <w:p w14:paraId="146D0DE6">
      <w:pPr>
        <w:spacing w:line="400" w:lineRule="exact"/>
        <w:ind w:firstLine="945"/>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是否邀请服务对象参加验收：</w:t>
      </w:r>
      <w:r>
        <w:rPr>
          <w:rFonts w:ascii="Wingdings" w:hAnsi="Wingdings" w:eastAsia="Wingdings" w:cs="Wingdings"/>
          <w:color w:val="000000" w:themeColor="text1"/>
          <w:szCs w:val="21"/>
          <w14:textFill>
            <w14:solidFill>
              <w14:schemeClr w14:val="tx1"/>
            </w14:solidFill>
          </w14:textFill>
        </w:rPr>
        <w:t>¨</w:t>
      </w:r>
      <w:r>
        <w:rPr>
          <w:rFonts w:hint="eastAsia" w:ascii="宋体" w:hAnsi="宋体"/>
          <w:bCs/>
          <w:color w:val="000000" w:themeColor="text1"/>
          <w:szCs w:val="21"/>
          <w14:textFill>
            <w14:solidFill>
              <w14:schemeClr w14:val="tx1"/>
            </w14:solidFill>
          </w14:textFill>
        </w:rPr>
        <w:t>是</w:t>
      </w:r>
      <w:r>
        <w:rPr>
          <w:rFonts w:ascii="Wingdings" w:hAnsi="Wingdings" w:eastAsia="Wingdings" w:cs="Wingdings"/>
          <w:color w:val="000000" w:themeColor="text1"/>
          <w:szCs w:val="21"/>
          <w14:textFill>
            <w14:solidFill>
              <w14:schemeClr w14:val="tx1"/>
            </w14:solidFill>
          </w14:textFill>
        </w:rPr>
        <w:t>þ</w:t>
      </w:r>
      <w:r>
        <w:rPr>
          <w:rFonts w:hint="eastAsia" w:ascii="宋体" w:hAnsi="宋体"/>
          <w:bCs/>
          <w:color w:val="000000" w:themeColor="text1"/>
          <w:szCs w:val="21"/>
          <w14:textFill>
            <w14:solidFill>
              <w14:schemeClr w14:val="tx1"/>
            </w14:solidFill>
          </w14:textFill>
        </w:rPr>
        <w:t>否</w:t>
      </w:r>
    </w:p>
    <w:p w14:paraId="36BAF198">
      <w:pPr>
        <w:spacing w:line="400" w:lineRule="exact"/>
        <w:ind w:firstLine="945"/>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是否邀请第三方检测机构参加验收：</w:t>
      </w:r>
      <w:r>
        <w:rPr>
          <w:rFonts w:ascii="Wingdings" w:hAnsi="Wingdings" w:eastAsia="Wingdings" w:cs="Wingdings"/>
          <w:color w:val="000000" w:themeColor="text1"/>
          <w:szCs w:val="21"/>
          <w14:textFill>
            <w14:solidFill>
              <w14:schemeClr w14:val="tx1"/>
            </w14:solidFill>
          </w14:textFill>
        </w:rPr>
        <w:t>¨</w:t>
      </w:r>
      <w:r>
        <w:rPr>
          <w:rFonts w:hint="eastAsia" w:ascii="宋体" w:hAnsi="宋体"/>
          <w:bCs/>
          <w:color w:val="000000" w:themeColor="text1"/>
          <w:szCs w:val="21"/>
          <w14:textFill>
            <w14:solidFill>
              <w14:schemeClr w14:val="tx1"/>
            </w14:solidFill>
          </w14:textFill>
        </w:rPr>
        <w:t>是</w:t>
      </w:r>
      <w:r>
        <w:rPr>
          <w:rFonts w:ascii="Wingdings" w:hAnsi="Wingdings" w:eastAsia="Wingdings" w:cs="Wingdings"/>
          <w:color w:val="000000" w:themeColor="text1"/>
          <w:szCs w:val="21"/>
          <w14:textFill>
            <w14:solidFill>
              <w14:schemeClr w14:val="tx1"/>
            </w14:solidFill>
          </w14:textFill>
        </w:rPr>
        <w:t>þ</w:t>
      </w:r>
      <w:r>
        <w:rPr>
          <w:rFonts w:hint="eastAsia" w:ascii="宋体" w:hAnsi="宋体"/>
          <w:bCs/>
          <w:color w:val="000000" w:themeColor="text1"/>
          <w:szCs w:val="21"/>
          <w14:textFill>
            <w14:solidFill>
              <w14:schemeClr w14:val="tx1"/>
            </w14:solidFill>
          </w14:textFill>
        </w:rPr>
        <w:t>否</w:t>
      </w:r>
    </w:p>
    <w:p w14:paraId="3CD3212C">
      <w:pPr>
        <w:spacing w:line="400" w:lineRule="exact"/>
        <w:ind w:firstLine="945"/>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是否进行抽查检测：</w:t>
      </w:r>
      <w:r>
        <w:rPr>
          <w:rFonts w:ascii="Wingdings" w:hAnsi="Wingdings" w:eastAsia="Wingdings" w:cs="Wingdings"/>
          <w:color w:val="000000" w:themeColor="text1"/>
          <w:szCs w:val="21"/>
          <w14:textFill>
            <w14:solidFill>
              <w14:schemeClr w14:val="tx1"/>
            </w14:solidFill>
          </w14:textFill>
        </w:rPr>
        <w:t>¨</w:t>
      </w:r>
      <w:r>
        <w:rPr>
          <w:rFonts w:hint="eastAsia" w:ascii="宋体" w:hAnsi="宋体"/>
          <w:bCs/>
          <w:color w:val="000000" w:themeColor="text1"/>
          <w:szCs w:val="21"/>
          <w14:textFill>
            <w14:solidFill>
              <w14:schemeClr w14:val="tx1"/>
            </w14:solidFill>
          </w14:textFill>
        </w:rPr>
        <w:t>是，抽查比例：</w:t>
      </w:r>
      <w:r>
        <w:rPr>
          <w:rFonts w:ascii="Wingdings" w:hAnsi="Wingdings" w:eastAsia="Wingdings" w:cs="Wingdings"/>
          <w:color w:val="000000" w:themeColor="text1"/>
          <w:szCs w:val="21"/>
          <w14:textFill>
            <w14:solidFill>
              <w14:schemeClr w14:val="tx1"/>
            </w14:solidFill>
          </w14:textFill>
        </w:rPr>
        <w:t>þ</w:t>
      </w:r>
      <w:r>
        <w:rPr>
          <w:rFonts w:hint="eastAsia" w:ascii="宋体" w:hAnsi="宋体"/>
          <w:bCs/>
          <w:color w:val="000000" w:themeColor="text1"/>
          <w:szCs w:val="21"/>
          <w14:textFill>
            <w14:solidFill>
              <w14:schemeClr w14:val="tx1"/>
            </w14:solidFill>
          </w14:textFill>
        </w:rPr>
        <w:t>否</w:t>
      </w:r>
    </w:p>
    <w:p w14:paraId="0AAC5D5E">
      <w:pPr>
        <w:spacing w:line="400" w:lineRule="exact"/>
        <w:ind w:firstLine="945"/>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是否存在破坏性检测：</w:t>
      </w:r>
      <w:r>
        <w:rPr>
          <w:rFonts w:ascii="Wingdings" w:hAnsi="Wingdings" w:eastAsia="Wingdings" w:cs="Wingdings"/>
          <w:color w:val="000000" w:themeColor="text1"/>
          <w:szCs w:val="21"/>
          <w14:textFill>
            <w14:solidFill>
              <w14:schemeClr w14:val="tx1"/>
            </w14:solidFill>
          </w14:textFill>
        </w:rPr>
        <w:t>¨</w:t>
      </w:r>
      <w:r>
        <w:rPr>
          <w:rFonts w:hint="eastAsia" w:ascii="宋体" w:hAnsi="宋体"/>
          <w:bCs/>
          <w:color w:val="000000" w:themeColor="text1"/>
          <w:szCs w:val="21"/>
          <w14:textFill>
            <w14:solidFill>
              <w14:schemeClr w14:val="tx1"/>
            </w14:solidFill>
          </w14:textFill>
        </w:rPr>
        <w:t>是，</w:t>
      </w:r>
      <w:r>
        <w:rPr>
          <w:rFonts w:hint="eastAsia" w:ascii="宋体" w:hAnsi="宋体"/>
          <w:bCs/>
          <w:color w:val="000000" w:themeColor="text1"/>
          <w:szCs w:val="21"/>
          <w:u w:val="single"/>
          <w14:textFill>
            <w14:solidFill>
              <w14:schemeClr w14:val="tx1"/>
            </w14:solidFill>
          </w14:textFill>
        </w:rPr>
        <w:t>（应明确对被破坏的检测产品的处理方式）</w:t>
      </w:r>
      <w:r>
        <w:rPr>
          <w:rFonts w:ascii="Wingdings" w:hAnsi="Wingdings" w:eastAsia="Wingdings" w:cs="Wingdings"/>
          <w:color w:val="000000" w:themeColor="text1"/>
          <w:szCs w:val="21"/>
          <w14:textFill>
            <w14:solidFill>
              <w14:schemeClr w14:val="tx1"/>
            </w14:solidFill>
          </w14:textFill>
        </w:rPr>
        <w:t>þ</w:t>
      </w:r>
      <w:r>
        <w:rPr>
          <w:rFonts w:hint="eastAsia" w:ascii="宋体" w:hAnsi="宋体"/>
          <w:bCs/>
          <w:color w:val="000000" w:themeColor="text1"/>
          <w:szCs w:val="21"/>
          <w14:textFill>
            <w14:solidFill>
              <w14:schemeClr w14:val="tx1"/>
            </w14:solidFill>
          </w14:textFill>
        </w:rPr>
        <w:t>否</w:t>
      </w:r>
    </w:p>
    <w:p w14:paraId="1186A476">
      <w:pPr>
        <w:spacing w:line="400" w:lineRule="exact"/>
        <w:ind w:firstLine="945"/>
        <w:jc w:val="lef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验收组织的其他事项：</w:t>
      </w:r>
    </w:p>
    <w:p w14:paraId="755FF704">
      <w:pPr>
        <w:spacing w:line="400" w:lineRule="exact"/>
        <w:ind w:firstLine="420"/>
        <w:jc w:val="lef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（2）履约验收时间：</w:t>
      </w:r>
      <w:r>
        <w:rPr>
          <w:rFonts w:hint="eastAsia" w:ascii="宋体" w:hAnsi="宋体"/>
          <w:bCs/>
          <w:color w:val="000000" w:themeColor="text1"/>
          <w:szCs w:val="21"/>
          <w:u w:val="single"/>
          <w14:textFill>
            <w14:solidFill>
              <w14:schemeClr w14:val="tx1"/>
            </w14:solidFill>
          </w14:textFill>
        </w:rPr>
        <w:t>初步验收于系统部署实施完成并接到中标人验收申请后7日内组织；试运行期满后3日内组织最终验收。</w:t>
      </w:r>
    </w:p>
    <w:p w14:paraId="7D943E79">
      <w:pPr>
        <w:spacing w:line="400" w:lineRule="exact"/>
        <w:ind w:firstLine="420"/>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（3）履约验收方式：现场验收与系统功能核验相结合，按初步验收、试运行、最终验收三阶段实施。</w:t>
      </w:r>
    </w:p>
    <w:p w14:paraId="3B2DA90F">
      <w:pPr>
        <w:spacing w:line="400" w:lineRule="exact"/>
        <w:ind w:firstLine="945"/>
        <w:jc w:val="left"/>
        <w:rPr>
          <w:rFonts w:hint="eastAsia" w:ascii="宋体" w:hAnsi="宋体"/>
          <w:bCs/>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w:t>
      </w:r>
      <w:r>
        <w:rPr>
          <w:rFonts w:hint="eastAsia" w:ascii="宋体" w:hAnsi="宋体"/>
          <w:bCs/>
          <w:color w:val="000000" w:themeColor="text1"/>
          <w:szCs w:val="21"/>
          <w14:textFill>
            <w14:solidFill>
              <w14:schemeClr w14:val="tx1"/>
            </w14:solidFill>
          </w14:textFill>
        </w:rPr>
        <w:t>一次性验收</w:t>
      </w:r>
      <w:r>
        <w:rPr>
          <w:rFonts w:ascii="Wingdings" w:hAnsi="Wingdings" w:eastAsia="Wingdings" w:cs="Wingdings"/>
          <w:color w:val="000000" w:themeColor="text1"/>
          <w:szCs w:val="21"/>
          <w14:textFill>
            <w14:solidFill>
              <w14:schemeClr w14:val="tx1"/>
            </w14:solidFill>
          </w14:textFill>
        </w:rPr>
        <w:t>þ</w:t>
      </w:r>
      <w:r>
        <w:rPr>
          <w:rFonts w:hint="eastAsia" w:ascii="宋体" w:hAnsi="宋体"/>
          <w:bCs/>
          <w:color w:val="000000" w:themeColor="text1"/>
          <w:szCs w:val="21"/>
          <w14:textFill>
            <w14:solidFill>
              <w14:schemeClr w14:val="tx1"/>
            </w14:solidFill>
          </w14:textFill>
        </w:rPr>
        <w:t>分期/分项验收：</w:t>
      </w:r>
      <w:r>
        <w:rPr>
          <w:rFonts w:hint="eastAsia" w:ascii="宋体" w:hAnsi="宋体"/>
          <w:bCs/>
          <w:color w:val="000000" w:themeColor="text1"/>
          <w:szCs w:val="21"/>
          <w:u w:val="single"/>
          <w14:textFill>
            <w14:solidFill>
              <w14:schemeClr w14:val="tx1"/>
            </w14:solidFill>
          </w14:textFill>
        </w:rPr>
        <w:t>（应明确分期</w:t>
      </w:r>
      <w:r>
        <w:rPr>
          <w:rFonts w:ascii="宋体" w:hAnsi="宋体"/>
          <w:bCs/>
          <w:color w:val="000000" w:themeColor="text1"/>
          <w:szCs w:val="21"/>
          <w:u w:val="single"/>
          <w14:textFill>
            <w14:solidFill>
              <w14:schemeClr w14:val="tx1"/>
            </w14:solidFill>
          </w14:textFill>
        </w:rPr>
        <w:t>/</w:t>
      </w:r>
      <w:r>
        <w:rPr>
          <w:rFonts w:hint="eastAsia" w:ascii="宋体" w:hAnsi="宋体"/>
          <w:bCs/>
          <w:color w:val="000000" w:themeColor="text1"/>
          <w:szCs w:val="21"/>
          <w:u w:val="single"/>
          <w14:textFill>
            <w14:solidFill>
              <w14:schemeClr w14:val="tx1"/>
            </w14:solidFill>
          </w14:textFill>
        </w:rPr>
        <w:t>分项验收的工作安排）</w:t>
      </w:r>
    </w:p>
    <w:p w14:paraId="61BB7D16">
      <w:pPr>
        <w:spacing w:line="400" w:lineRule="exact"/>
        <w:ind w:firstLine="420"/>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（4）履约验收程序：中标人提交验收申请及成果清单→采购人组织初步验收→10天试运行（可用率不低于99.5%）→采购人组织最终验收并出具书面验收报告→不合格的由中标人30日内整改并重新申请验收。</w:t>
      </w:r>
    </w:p>
    <w:p w14:paraId="70BAB09F">
      <w:pPr>
        <w:spacing w:line="400" w:lineRule="exact"/>
        <w:ind w:firstLine="420"/>
        <w:jc w:val="lef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（5）履约验收的内容：</w:t>
      </w:r>
      <w:r>
        <w:rPr>
          <w:rFonts w:hint="eastAsia" w:ascii="宋体" w:hAnsi="宋体"/>
          <w:bCs/>
          <w:color w:val="000000" w:themeColor="text1"/>
          <w:szCs w:val="21"/>
          <w:u w:val="single"/>
          <w14:textFill>
            <w14:solidFill>
              <w14:schemeClr w14:val="tx1"/>
            </w14:solidFill>
          </w14:textFill>
        </w:rPr>
        <w:t>系统功能模块完整性、技术参数响应情况、配套硬件交付与安装调试、数据准确性、系统稳定性、培训完成情况、文档移交情况及服务期保障承诺。</w:t>
      </w:r>
    </w:p>
    <w:p w14:paraId="4516B8BA">
      <w:pPr>
        <w:spacing w:line="400" w:lineRule="exact"/>
        <w:ind w:firstLine="420"/>
        <w:jc w:val="lef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（6）履约验收标准：</w:t>
      </w:r>
      <w:r>
        <w:rPr>
          <w:rFonts w:hint="eastAsia" w:ascii="宋体" w:hAnsi="宋体"/>
          <w:bCs/>
          <w:color w:val="000000" w:themeColor="text1"/>
          <w:szCs w:val="21"/>
          <w:u w:val="single"/>
          <w14:textFill>
            <w14:solidFill>
              <w14:schemeClr w14:val="tx1"/>
            </w14:solidFill>
          </w14:textFill>
        </w:rPr>
        <w:t>符合招标文件及中标人投标文件的全部技术要求和商务要求，试运行期系统可用率不低于99.5%，达到合格标准。</w:t>
      </w:r>
    </w:p>
    <w:p w14:paraId="13B97FE1">
      <w:pPr>
        <w:spacing w:line="40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（7）是否以采购活动中投标人提供的样品作为参考：</w:t>
      </w:r>
      <w:r>
        <w:rPr>
          <w:rFonts w:ascii="Wingdings" w:hAnsi="Wingdings" w:eastAsia="Wingdings" w:cs="Wingdings"/>
          <w:color w:val="000000" w:themeColor="text1"/>
          <w:szCs w:val="21"/>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是</w:t>
      </w:r>
      <w:r>
        <w:rPr>
          <w:rFonts w:ascii="Wingdings" w:hAnsi="Wingdings" w:eastAsia="Wingdings" w:cs="Wingdings"/>
          <w:color w:val="000000" w:themeColor="text1"/>
          <w:szCs w:val="21"/>
          <w14:textFill>
            <w14:solidFill>
              <w14:schemeClr w14:val="tx1"/>
            </w14:solidFill>
          </w14:textFill>
        </w:rPr>
        <w:t>þ</w:t>
      </w:r>
      <w:r>
        <w:rPr>
          <w:rFonts w:hint="eastAsia" w:ascii="宋体" w:hAnsi="宋体" w:cs="宋体"/>
          <w:bCs/>
          <w:color w:val="000000" w:themeColor="text1"/>
          <w:szCs w:val="21"/>
          <w14:textFill>
            <w14:solidFill>
              <w14:schemeClr w14:val="tx1"/>
            </w14:solidFill>
          </w14:textFill>
        </w:rPr>
        <w:t>否</w:t>
      </w:r>
    </w:p>
    <w:p w14:paraId="4E6B9914">
      <w:pPr>
        <w:spacing w:line="400" w:lineRule="exact"/>
        <w:ind w:firstLine="420"/>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（8）履约验收其他事项：采购人依法组织验收所需费用由采购人按照预算管理规定承担；邀请专家参加验收的专家费用执行连财购〔2021〕8号。</w:t>
      </w:r>
    </w:p>
    <w:p w14:paraId="10DC72E7">
      <w:pPr>
        <w:numPr>
          <w:ilvl w:val="0"/>
          <w:numId w:val="7"/>
        </w:numPr>
        <w:spacing w:line="400" w:lineRule="exact"/>
        <w:ind w:firstLine="422"/>
        <w:jc w:val="lef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组成合同的文件</w:t>
      </w:r>
    </w:p>
    <w:p w14:paraId="7430CB33">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本协议书与下列文件一起构成合同文件，如下述文件之间有任何抵触、矛盾或歧义，应按以下顺序解释：</w:t>
      </w:r>
    </w:p>
    <w:p w14:paraId="0EF06814">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（1）政府采购合同协议书及其变更、补充协议</w:t>
      </w:r>
    </w:p>
    <w:p w14:paraId="37D5872E">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（2）政府采购合同专用条款</w:t>
      </w:r>
    </w:p>
    <w:p w14:paraId="15AFC73B">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（3）政府采购合同通用条款</w:t>
      </w:r>
    </w:p>
    <w:p w14:paraId="137ADBE8">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（4）中标（成交）通知书</w:t>
      </w:r>
    </w:p>
    <w:p w14:paraId="6B5312F8">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（5）投标（响应）文件</w:t>
      </w:r>
    </w:p>
    <w:p w14:paraId="6D0B9D11">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（6）采购文件</w:t>
      </w:r>
    </w:p>
    <w:p w14:paraId="71958172">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（7）有关技术文件，图纸</w:t>
      </w:r>
    </w:p>
    <w:p w14:paraId="0F93DE64">
      <w:pPr>
        <w:spacing w:line="40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（8）国家法律、行政法规和规章制度规定或合同约定的作为合同组成部分的其他文件</w:t>
      </w:r>
    </w:p>
    <w:p w14:paraId="36C74C10">
      <w:pPr>
        <w:numPr>
          <w:ilvl w:val="0"/>
          <w:numId w:val="7"/>
        </w:numPr>
        <w:spacing w:line="400" w:lineRule="exact"/>
        <w:ind w:firstLine="422"/>
        <w:jc w:val="lef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合同生效</w:t>
      </w:r>
    </w:p>
    <w:p w14:paraId="16BDE253">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本合同自双方法定代表人或其委托代理人签字并加盖单位公章之日起生效。</w:t>
      </w:r>
    </w:p>
    <w:p w14:paraId="0DA03BD5">
      <w:pPr>
        <w:numPr>
          <w:ilvl w:val="0"/>
          <w:numId w:val="7"/>
        </w:numPr>
        <w:spacing w:line="400" w:lineRule="exact"/>
        <w:ind w:firstLine="422"/>
        <w:jc w:val="lef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合同份数</w:t>
      </w:r>
    </w:p>
    <w:p w14:paraId="57241E43">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本合同一式伍份，甲方执贰份，乙方执壹份，采购中心壹份，监督部门壹份均具有同等法律效力。</w:t>
      </w:r>
    </w:p>
    <w:p w14:paraId="1FA9DFE9">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合同订立时间：年月日</w:t>
      </w:r>
    </w:p>
    <w:p w14:paraId="52FFB2E1">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合同订立地点：</w:t>
      </w:r>
    </w:p>
    <w:p w14:paraId="367E3549">
      <w:pPr>
        <w:spacing w:line="400" w:lineRule="exact"/>
        <w:ind w:firstLine="420"/>
        <w:jc w:val="left"/>
        <w:rPr>
          <w:rFonts w:hint="eastAsia"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附件：具体标的及其技术要求和商务要求、联合协议、分包意向协议等。</w:t>
      </w:r>
    </w:p>
    <w:tbl>
      <w:tblPr>
        <w:tblStyle w:val="48"/>
        <w:tblW w:w="5154"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980"/>
        <w:gridCol w:w="1559"/>
        <w:gridCol w:w="2086"/>
        <w:gridCol w:w="3593"/>
      </w:tblGrid>
      <w:tr w14:paraId="7B21B47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jc w:val="center"/>
        </w:trPr>
        <w:tc>
          <w:tcPr>
            <w:tcW w:w="3539" w:type="dxa"/>
            <w:gridSpan w:val="2"/>
            <w:vAlign w:val="center"/>
          </w:tcPr>
          <w:p w14:paraId="22CEF94E">
            <w:pPr>
              <w:spacing w:line="300" w:lineRule="exact"/>
              <w:jc w:val="center"/>
              <w:rPr>
                <w:rFonts w:ascii="Calibri" w:hAnsi="Calibri" w:eastAsia="Arial"/>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甲</w:t>
            </w:r>
            <w:r>
              <w:rPr>
                <w:rFonts w:hint="eastAsia" w:ascii="Calibri" w:hAnsi="Calibri" w:eastAsia="Arial"/>
                <w:color w:val="000000" w:themeColor="text1"/>
                <w:szCs w:val="21"/>
                <w14:textFill>
                  <w14:solidFill>
                    <w14:schemeClr w14:val="tx1"/>
                  </w14:solidFill>
                </w14:textFill>
              </w:rPr>
              <w:t>方</w:t>
            </w:r>
          </w:p>
        </w:tc>
        <w:tc>
          <w:tcPr>
            <w:tcW w:w="5679" w:type="dxa"/>
            <w:gridSpan w:val="2"/>
            <w:vAlign w:val="center"/>
          </w:tcPr>
          <w:p w14:paraId="793ED942">
            <w:pPr>
              <w:spacing w:line="300" w:lineRule="exact"/>
              <w:jc w:val="center"/>
              <w:rPr>
                <w:rFonts w:ascii="Calibri" w:hAnsi="Calibri" w:eastAsia="Arial"/>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乙</w:t>
            </w:r>
            <w:r>
              <w:rPr>
                <w:rFonts w:hint="eastAsia" w:ascii="Calibri" w:hAnsi="Calibri" w:eastAsia="Arial"/>
                <w:color w:val="000000" w:themeColor="text1"/>
                <w:szCs w:val="21"/>
                <w14:textFill>
                  <w14:solidFill>
                    <w14:schemeClr w14:val="tx1"/>
                  </w14:solidFill>
                </w14:textFill>
              </w:rPr>
              <w:t>方（</w:t>
            </w:r>
            <w:r>
              <w:rPr>
                <w:rFonts w:hint="eastAsia" w:ascii="Calibri" w:hAnsi="Calibri"/>
                <w:color w:val="000000" w:themeColor="text1"/>
                <w:szCs w:val="21"/>
                <w14:textFill>
                  <w14:solidFill>
                    <w14:schemeClr w14:val="tx1"/>
                  </w14:solidFill>
                </w14:textFill>
              </w:rPr>
              <w:t>投标人</w:t>
            </w:r>
            <w:r>
              <w:rPr>
                <w:rFonts w:hint="eastAsia" w:ascii="Calibri" w:hAnsi="Calibri" w:eastAsia="Arial"/>
                <w:color w:val="000000" w:themeColor="text1"/>
                <w:szCs w:val="21"/>
                <w14:textFill>
                  <w14:solidFill>
                    <w14:schemeClr w14:val="tx1"/>
                  </w14:solidFill>
                </w14:textFill>
              </w:rPr>
              <w:t>）</w:t>
            </w:r>
          </w:p>
        </w:tc>
      </w:tr>
      <w:tr w14:paraId="5CF805B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57" w:hRule="atLeast"/>
          <w:jc w:val="center"/>
        </w:trPr>
        <w:tc>
          <w:tcPr>
            <w:tcW w:w="1980" w:type="dxa"/>
            <w:vAlign w:val="center"/>
          </w:tcPr>
          <w:p w14:paraId="5714D387">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单</w:t>
            </w:r>
            <w:r>
              <w:rPr>
                <w:rFonts w:hint="eastAsia" w:ascii="Calibri" w:hAnsi="Calibri" w:eastAsia="Arial"/>
                <w:color w:val="000000" w:themeColor="text1"/>
                <w:szCs w:val="21"/>
                <w14:textFill>
                  <w14:solidFill>
                    <w14:schemeClr w14:val="tx1"/>
                  </w14:solidFill>
                </w14:textFill>
              </w:rPr>
              <w:t>位名称（公章或合同章）</w:t>
            </w:r>
          </w:p>
        </w:tc>
        <w:tc>
          <w:tcPr>
            <w:tcW w:w="1559" w:type="dxa"/>
            <w:vAlign w:val="center"/>
          </w:tcPr>
          <w:p w14:paraId="5503D8F4">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0FA6EC99">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单</w:t>
            </w:r>
            <w:r>
              <w:rPr>
                <w:rFonts w:hint="eastAsia" w:ascii="Calibri" w:hAnsi="Calibri" w:eastAsia="Arial"/>
                <w:color w:val="000000" w:themeColor="text1"/>
                <w:szCs w:val="21"/>
                <w14:textFill>
                  <w14:solidFill>
                    <w14:schemeClr w14:val="tx1"/>
                  </w14:solidFill>
                </w14:textFill>
              </w:rPr>
              <w:t>位名称（公章或合同章）</w:t>
            </w:r>
          </w:p>
        </w:tc>
        <w:tc>
          <w:tcPr>
            <w:tcW w:w="3593" w:type="dxa"/>
            <w:vAlign w:val="center"/>
          </w:tcPr>
          <w:p w14:paraId="11CF68E6">
            <w:pPr>
              <w:spacing w:line="300" w:lineRule="exact"/>
              <w:jc w:val="center"/>
              <w:rPr>
                <w:rFonts w:ascii="Calibri" w:hAnsi="Calibri" w:eastAsia="Arial"/>
                <w:color w:val="000000" w:themeColor="text1"/>
                <w:spacing w:val="20"/>
                <w:szCs w:val="21"/>
                <w14:textFill>
                  <w14:solidFill>
                    <w14:schemeClr w14:val="tx1"/>
                  </w14:solidFill>
                </w14:textFill>
              </w:rPr>
            </w:pPr>
          </w:p>
        </w:tc>
      </w:tr>
      <w:tr w14:paraId="0FD72A7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806" w:hRule="atLeast"/>
          <w:jc w:val="center"/>
        </w:trPr>
        <w:tc>
          <w:tcPr>
            <w:tcW w:w="1980" w:type="dxa"/>
            <w:vMerge w:val="restart"/>
            <w:vAlign w:val="center"/>
          </w:tcPr>
          <w:p w14:paraId="31FF0B61">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w:t>
            </w:r>
            <w:r>
              <w:rPr>
                <w:rFonts w:hint="eastAsia" w:ascii="Calibri" w:hAnsi="Calibri" w:eastAsia="Arial"/>
                <w:color w:val="000000" w:themeColor="text1"/>
                <w:szCs w:val="21"/>
                <w14:textFill>
                  <w14:solidFill>
                    <w14:schemeClr w14:val="tx1"/>
                  </w14:solidFill>
                </w14:textFill>
              </w:rPr>
              <w:t>定代表人</w:t>
            </w:r>
          </w:p>
          <w:p w14:paraId="206444EF">
            <w:pPr>
              <w:spacing w:line="300" w:lineRule="exact"/>
              <w:ind w:firstLine="101"/>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或</w:t>
            </w:r>
            <w:r>
              <w:rPr>
                <w:rFonts w:hint="eastAsia" w:ascii="Calibri" w:hAnsi="Calibri" w:eastAsia="Arial"/>
                <w:color w:val="000000" w:themeColor="text1"/>
                <w:szCs w:val="21"/>
                <w14:textFill>
                  <w14:solidFill>
                    <w14:schemeClr w14:val="tx1"/>
                  </w14:solidFill>
                </w14:textFill>
              </w:rPr>
              <w:t>其委托代理人（签章）</w:t>
            </w:r>
          </w:p>
        </w:tc>
        <w:tc>
          <w:tcPr>
            <w:tcW w:w="1559" w:type="dxa"/>
            <w:vMerge w:val="restart"/>
            <w:vAlign w:val="center"/>
          </w:tcPr>
          <w:p w14:paraId="41B53D3F">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60FB6B1B">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w:t>
            </w:r>
            <w:r>
              <w:rPr>
                <w:rFonts w:hint="eastAsia" w:ascii="Calibri" w:hAnsi="Calibri" w:eastAsia="Arial"/>
                <w:color w:val="000000" w:themeColor="text1"/>
                <w:szCs w:val="21"/>
                <w14:textFill>
                  <w14:solidFill>
                    <w14:schemeClr w14:val="tx1"/>
                  </w14:solidFill>
                </w14:textFill>
              </w:rPr>
              <w:t>定代表人</w:t>
            </w:r>
            <w:r>
              <w:rPr>
                <w:rFonts w:hint="eastAsia" w:ascii="宋体" w:hAnsi="宋体" w:cs="宋体"/>
                <w:color w:val="000000" w:themeColor="text1"/>
                <w:szCs w:val="21"/>
                <w14:textFill>
                  <w14:solidFill>
                    <w14:schemeClr w14:val="tx1"/>
                  </w14:solidFill>
                </w14:textFill>
              </w:rPr>
              <w:t>或</w:t>
            </w:r>
            <w:r>
              <w:rPr>
                <w:rFonts w:hint="eastAsia" w:ascii="Calibri" w:hAnsi="Calibri" w:eastAsia="Arial"/>
                <w:color w:val="000000" w:themeColor="text1"/>
                <w:szCs w:val="21"/>
                <w14:textFill>
                  <w14:solidFill>
                    <w14:schemeClr w14:val="tx1"/>
                  </w14:solidFill>
                </w14:textFill>
              </w:rPr>
              <w:t>其委托代理人（签章）</w:t>
            </w:r>
          </w:p>
        </w:tc>
        <w:tc>
          <w:tcPr>
            <w:tcW w:w="3593" w:type="dxa"/>
            <w:vAlign w:val="center"/>
          </w:tcPr>
          <w:p w14:paraId="2848E71E">
            <w:pPr>
              <w:spacing w:line="300" w:lineRule="exact"/>
              <w:jc w:val="center"/>
              <w:rPr>
                <w:rFonts w:ascii="Calibri" w:hAnsi="Calibri" w:eastAsia="Arial"/>
                <w:color w:val="000000" w:themeColor="text1"/>
                <w:szCs w:val="21"/>
                <w14:textFill>
                  <w14:solidFill>
                    <w14:schemeClr w14:val="tx1"/>
                  </w14:solidFill>
                </w14:textFill>
              </w:rPr>
            </w:pPr>
          </w:p>
        </w:tc>
      </w:tr>
      <w:tr w14:paraId="563C638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980" w:type="dxa"/>
            <w:vMerge w:val="continue"/>
            <w:vAlign w:val="center"/>
          </w:tcPr>
          <w:p w14:paraId="4C85C6EA">
            <w:pPr>
              <w:spacing w:line="300" w:lineRule="exact"/>
              <w:jc w:val="center"/>
              <w:rPr>
                <w:rFonts w:ascii="Calibri" w:hAnsi="Calibri" w:eastAsia="Arial"/>
                <w:color w:val="000000" w:themeColor="text1"/>
                <w:szCs w:val="21"/>
                <w14:textFill>
                  <w14:solidFill>
                    <w14:schemeClr w14:val="tx1"/>
                  </w14:solidFill>
                </w14:textFill>
              </w:rPr>
            </w:pPr>
          </w:p>
        </w:tc>
        <w:tc>
          <w:tcPr>
            <w:tcW w:w="1559" w:type="dxa"/>
            <w:vMerge w:val="continue"/>
            <w:vAlign w:val="center"/>
          </w:tcPr>
          <w:p w14:paraId="432CE01D">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2B9EA1F6">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开户名称</w:t>
            </w:r>
          </w:p>
        </w:tc>
        <w:tc>
          <w:tcPr>
            <w:tcW w:w="3593" w:type="dxa"/>
            <w:vAlign w:val="center"/>
          </w:tcPr>
          <w:p w14:paraId="7FB823A5">
            <w:pPr>
              <w:spacing w:line="300" w:lineRule="exact"/>
              <w:jc w:val="center"/>
              <w:rPr>
                <w:rFonts w:ascii="Calibri" w:hAnsi="Calibri" w:eastAsia="Arial"/>
                <w:color w:val="000000" w:themeColor="text1"/>
                <w:spacing w:val="20"/>
                <w:szCs w:val="21"/>
                <w14:textFill>
                  <w14:solidFill>
                    <w14:schemeClr w14:val="tx1"/>
                  </w14:solidFill>
                </w14:textFill>
              </w:rPr>
            </w:pPr>
          </w:p>
        </w:tc>
      </w:tr>
      <w:tr w14:paraId="707B26A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980" w:type="dxa"/>
            <w:vAlign w:val="center"/>
          </w:tcPr>
          <w:p w14:paraId="65C241B9">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住</w:t>
            </w:r>
            <w:r>
              <w:rPr>
                <w:rFonts w:hint="eastAsia" w:ascii="Calibri" w:hAnsi="Calibri" w:eastAsia="Arial"/>
                <w:color w:val="000000" w:themeColor="text1"/>
                <w:szCs w:val="21"/>
                <w14:textFill>
                  <w14:solidFill>
                    <w14:schemeClr w14:val="tx1"/>
                  </w14:solidFill>
                </w14:textFill>
              </w:rPr>
              <w:t>所</w:t>
            </w:r>
          </w:p>
        </w:tc>
        <w:tc>
          <w:tcPr>
            <w:tcW w:w="1559" w:type="dxa"/>
            <w:vAlign w:val="center"/>
          </w:tcPr>
          <w:p w14:paraId="68604BB1">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5144BE4F">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住</w:t>
            </w:r>
            <w:r>
              <w:rPr>
                <w:rFonts w:hint="eastAsia" w:ascii="Calibri" w:hAnsi="Calibri" w:eastAsia="Arial"/>
                <w:color w:val="000000" w:themeColor="text1"/>
                <w:szCs w:val="21"/>
                <w14:textFill>
                  <w14:solidFill>
                    <w14:schemeClr w14:val="tx1"/>
                  </w14:solidFill>
                </w14:textFill>
              </w:rPr>
              <w:t>所</w:t>
            </w:r>
          </w:p>
        </w:tc>
        <w:tc>
          <w:tcPr>
            <w:tcW w:w="3593" w:type="dxa"/>
            <w:vAlign w:val="center"/>
          </w:tcPr>
          <w:p w14:paraId="5545C3F3">
            <w:pPr>
              <w:spacing w:line="300" w:lineRule="exact"/>
              <w:jc w:val="center"/>
              <w:rPr>
                <w:rFonts w:ascii="Calibri" w:hAnsi="Calibri" w:eastAsia="Arial"/>
                <w:color w:val="000000" w:themeColor="text1"/>
                <w:spacing w:val="20"/>
                <w:szCs w:val="21"/>
                <w14:textFill>
                  <w14:solidFill>
                    <w14:schemeClr w14:val="tx1"/>
                  </w14:solidFill>
                </w14:textFill>
              </w:rPr>
            </w:pPr>
          </w:p>
        </w:tc>
      </w:tr>
      <w:tr w14:paraId="0126577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980" w:type="dxa"/>
            <w:vAlign w:val="center"/>
          </w:tcPr>
          <w:p w14:paraId="3F86CBA8">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w:t>
            </w:r>
            <w:r>
              <w:rPr>
                <w:rFonts w:hint="eastAsia" w:ascii="Calibri" w:hAnsi="Calibri" w:eastAsia="Arial"/>
                <w:color w:val="000000" w:themeColor="text1"/>
                <w:szCs w:val="21"/>
                <w14:textFill>
                  <w14:solidFill>
                    <w14:schemeClr w14:val="tx1"/>
                  </w14:solidFill>
                </w14:textFill>
              </w:rPr>
              <w:t>系人</w:t>
            </w:r>
          </w:p>
        </w:tc>
        <w:tc>
          <w:tcPr>
            <w:tcW w:w="1559" w:type="dxa"/>
            <w:vAlign w:val="center"/>
          </w:tcPr>
          <w:p w14:paraId="313FB098">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73667269">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w:t>
            </w:r>
            <w:r>
              <w:rPr>
                <w:rFonts w:hint="eastAsia" w:ascii="Calibri" w:hAnsi="Calibri" w:eastAsia="Arial"/>
                <w:color w:val="000000" w:themeColor="text1"/>
                <w:szCs w:val="21"/>
                <w14:textFill>
                  <w14:solidFill>
                    <w14:schemeClr w14:val="tx1"/>
                  </w14:solidFill>
                </w14:textFill>
              </w:rPr>
              <w:t>系人</w:t>
            </w:r>
          </w:p>
        </w:tc>
        <w:tc>
          <w:tcPr>
            <w:tcW w:w="3593" w:type="dxa"/>
            <w:vAlign w:val="center"/>
          </w:tcPr>
          <w:p w14:paraId="3C401304">
            <w:pPr>
              <w:spacing w:line="300" w:lineRule="exact"/>
              <w:jc w:val="center"/>
              <w:rPr>
                <w:rFonts w:ascii="Calibri" w:hAnsi="Calibri" w:eastAsia="Arial"/>
                <w:color w:val="000000" w:themeColor="text1"/>
                <w:spacing w:val="20"/>
                <w:szCs w:val="21"/>
                <w14:textFill>
                  <w14:solidFill>
                    <w14:schemeClr w14:val="tx1"/>
                  </w14:solidFill>
                </w14:textFill>
              </w:rPr>
            </w:pPr>
          </w:p>
        </w:tc>
      </w:tr>
      <w:tr w14:paraId="2B0DFB4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980" w:type="dxa"/>
            <w:vAlign w:val="center"/>
          </w:tcPr>
          <w:p w14:paraId="36F585D5">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w:t>
            </w:r>
            <w:r>
              <w:rPr>
                <w:rFonts w:hint="eastAsia" w:ascii="Calibri" w:hAnsi="Calibri" w:eastAsia="Arial"/>
                <w:color w:val="000000" w:themeColor="text1"/>
                <w:szCs w:val="21"/>
                <w14:textFill>
                  <w14:solidFill>
                    <w14:schemeClr w14:val="tx1"/>
                  </w14:solidFill>
                </w14:textFill>
              </w:rPr>
              <w:t>系电话</w:t>
            </w:r>
          </w:p>
        </w:tc>
        <w:tc>
          <w:tcPr>
            <w:tcW w:w="1559" w:type="dxa"/>
            <w:vAlign w:val="center"/>
          </w:tcPr>
          <w:p w14:paraId="041C18EC">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44F4BAD3">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w:t>
            </w:r>
            <w:r>
              <w:rPr>
                <w:rFonts w:hint="eastAsia" w:ascii="Calibri" w:hAnsi="Calibri" w:eastAsia="Arial"/>
                <w:color w:val="000000" w:themeColor="text1"/>
                <w:szCs w:val="21"/>
                <w14:textFill>
                  <w14:solidFill>
                    <w14:schemeClr w14:val="tx1"/>
                  </w14:solidFill>
                </w14:textFill>
              </w:rPr>
              <w:t>系电话</w:t>
            </w:r>
          </w:p>
        </w:tc>
        <w:tc>
          <w:tcPr>
            <w:tcW w:w="3593" w:type="dxa"/>
            <w:vAlign w:val="center"/>
          </w:tcPr>
          <w:p w14:paraId="7BB0071E">
            <w:pPr>
              <w:spacing w:line="300" w:lineRule="exact"/>
              <w:jc w:val="center"/>
              <w:rPr>
                <w:rFonts w:ascii="Calibri" w:hAnsi="Calibri" w:eastAsia="Arial"/>
                <w:color w:val="000000" w:themeColor="text1"/>
                <w:spacing w:val="20"/>
                <w:szCs w:val="21"/>
                <w14:textFill>
                  <w14:solidFill>
                    <w14:schemeClr w14:val="tx1"/>
                  </w14:solidFill>
                </w14:textFill>
              </w:rPr>
            </w:pPr>
          </w:p>
        </w:tc>
      </w:tr>
      <w:tr w14:paraId="07FB7EF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980" w:type="dxa"/>
            <w:vAlign w:val="center"/>
          </w:tcPr>
          <w:p w14:paraId="526D32CC">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通</w:t>
            </w:r>
            <w:r>
              <w:rPr>
                <w:rFonts w:hint="eastAsia" w:ascii="Calibri" w:hAnsi="Calibri" w:eastAsia="Arial"/>
                <w:color w:val="000000" w:themeColor="text1"/>
                <w:szCs w:val="21"/>
                <w14:textFill>
                  <w14:solidFill>
                    <w14:schemeClr w14:val="tx1"/>
                  </w14:solidFill>
                </w14:textFill>
              </w:rPr>
              <w:t>信地址</w:t>
            </w:r>
          </w:p>
        </w:tc>
        <w:tc>
          <w:tcPr>
            <w:tcW w:w="1559" w:type="dxa"/>
            <w:vAlign w:val="center"/>
          </w:tcPr>
          <w:p w14:paraId="4242A6CF">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12061FDB">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通</w:t>
            </w:r>
            <w:r>
              <w:rPr>
                <w:rFonts w:hint="eastAsia" w:ascii="Calibri" w:hAnsi="Calibri" w:eastAsia="Arial"/>
                <w:color w:val="000000" w:themeColor="text1"/>
                <w:szCs w:val="21"/>
                <w14:textFill>
                  <w14:solidFill>
                    <w14:schemeClr w14:val="tx1"/>
                  </w14:solidFill>
                </w14:textFill>
              </w:rPr>
              <w:t>信地址</w:t>
            </w:r>
          </w:p>
        </w:tc>
        <w:tc>
          <w:tcPr>
            <w:tcW w:w="3593" w:type="dxa"/>
            <w:vAlign w:val="center"/>
          </w:tcPr>
          <w:p w14:paraId="1000C112">
            <w:pPr>
              <w:spacing w:line="300" w:lineRule="exact"/>
              <w:jc w:val="center"/>
              <w:rPr>
                <w:rFonts w:ascii="Calibri" w:hAnsi="Calibri" w:eastAsia="Arial"/>
                <w:color w:val="000000" w:themeColor="text1"/>
                <w:spacing w:val="20"/>
                <w:szCs w:val="21"/>
                <w14:textFill>
                  <w14:solidFill>
                    <w14:schemeClr w14:val="tx1"/>
                  </w14:solidFill>
                </w14:textFill>
              </w:rPr>
            </w:pPr>
          </w:p>
        </w:tc>
      </w:tr>
      <w:tr w14:paraId="409112D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980" w:type="dxa"/>
            <w:vAlign w:val="center"/>
          </w:tcPr>
          <w:p w14:paraId="5642C91C">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邮</w:t>
            </w:r>
            <w:r>
              <w:rPr>
                <w:rFonts w:hint="eastAsia" w:ascii="Calibri" w:hAnsi="Calibri" w:eastAsia="Arial"/>
                <w:color w:val="000000" w:themeColor="text1"/>
                <w:szCs w:val="21"/>
                <w14:textFill>
                  <w14:solidFill>
                    <w14:schemeClr w14:val="tx1"/>
                  </w14:solidFill>
                </w14:textFill>
              </w:rPr>
              <w:t>政编码</w:t>
            </w:r>
          </w:p>
        </w:tc>
        <w:tc>
          <w:tcPr>
            <w:tcW w:w="1559" w:type="dxa"/>
            <w:vAlign w:val="center"/>
          </w:tcPr>
          <w:p w14:paraId="5B2A08EB">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76A4FFBA">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邮</w:t>
            </w:r>
            <w:r>
              <w:rPr>
                <w:rFonts w:hint="eastAsia" w:ascii="Calibri" w:hAnsi="Calibri" w:eastAsia="Arial"/>
                <w:color w:val="000000" w:themeColor="text1"/>
                <w:szCs w:val="21"/>
                <w14:textFill>
                  <w14:solidFill>
                    <w14:schemeClr w14:val="tx1"/>
                  </w14:solidFill>
                </w14:textFill>
              </w:rPr>
              <w:t>政编码</w:t>
            </w:r>
          </w:p>
        </w:tc>
        <w:tc>
          <w:tcPr>
            <w:tcW w:w="3593" w:type="dxa"/>
            <w:vAlign w:val="center"/>
          </w:tcPr>
          <w:p w14:paraId="32F3730A">
            <w:pPr>
              <w:spacing w:line="300" w:lineRule="exact"/>
              <w:jc w:val="center"/>
              <w:rPr>
                <w:rFonts w:ascii="Calibri" w:hAnsi="Calibri" w:eastAsia="Arial"/>
                <w:color w:val="000000" w:themeColor="text1"/>
                <w:spacing w:val="20"/>
                <w:szCs w:val="21"/>
                <w14:textFill>
                  <w14:solidFill>
                    <w14:schemeClr w14:val="tx1"/>
                  </w14:solidFill>
                </w14:textFill>
              </w:rPr>
            </w:pPr>
          </w:p>
        </w:tc>
      </w:tr>
      <w:tr w14:paraId="0A1A500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980" w:type="dxa"/>
            <w:vAlign w:val="center"/>
          </w:tcPr>
          <w:p w14:paraId="188C6B2B">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w:t>
            </w:r>
            <w:r>
              <w:rPr>
                <w:rFonts w:hint="eastAsia" w:ascii="Calibri" w:hAnsi="Calibri" w:eastAsia="Arial"/>
                <w:color w:val="000000" w:themeColor="text1"/>
                <w:szCs w:val="21"/>
                <w14:textFill>
                  <w14:solidFill>
                    <w14:schemeClr w14:val="tx1"/>
                  </w14:solidFill>
                </w14:textFill>
              </w:rPr>
              <w:t>子邮箱</w:t>
            </w:r>
          </w:p>
        </w:tc>
        <w:tc>
          <w:tcPr>
            <w:tcW w:w="1559" w:type="dxa"/>
            <w:vAlign w:val="center"/>
          </w:tcPr>
          <w:p w14:paraId="5DF818C7">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11DB6110">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w:t>
            </w:r>
            <w:r>
              <w:rPr>
                <w:rFonts w:hint="eastAsia" w:ascii="Calibri" w:hAnsi="Calibri" w:eastAsia="Arial"/>
                <w:color w:val="000000" w:themeColor="text1"/>
                <w:szCs w:val="21"/>
                <w14:textFill>
                  <w14:solidFill>
                    <w14:schemeClr w14:val="tx1"/>
                  </w14:solidFill>
                </w14:textFill>
              </w:rPr>
              <w:t>子邮箱</w:t>
            </w:r>
          </w:p>
        </w:tc>
        <w:tc>
          <w:tcPr>
            <w:tcW w:w="3593" w:type="dxa"/>
            <w:vAlign w:val="center"/>
          </w:tcPr>
          <w:p w14:paraId="28276354">
            <w:pPr>
              <w:spacing w:line="300" w:lineRule="exact"/>
              <w:jc w:val="center"/>
              <w:rPr>
                <w:rFonts w:ascii="Calibri" w:hAnsi="Calibri" w:eastAsia="Arial"/>
                <w:color w:val="000000" w:themeColor="text1"/>
                <w:spacing w:val="20"/>
                <w:szCs w:val="21"/>
                <w14:textFill>
                  <w14:solidFill>
                    <w14:schemeClr w14:val="tx1"/>
                  </w14:solidFill>
                </w14:textFill>
              </w:rPr>
            </w:pPr>
          </w:p>
        </w:tc>
      </w:tr>
      <w:tr w14:paraId="0253305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980" w:type="dxa"/>
            <w:vAlign w:val="center"/>
          </w:tcPr>
          <w:p w14:paraId="2E7DE7F4">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统</w:t>
            </w:r>
            <w:r>
              <w:rPr>
                <w:rFonts w:hint="eastAsia" w:ascii="Calibri" w:hAnsi="Calibri" w:eastAsia="Arial"/>
                <w:color w:val="000000" w:themeColor="text1"/>
                <w:szCs w:val="21"/>
                <w14:textFill>
                  <w14:solidFill>
                    <w14:schemeClr w14:val="tx1"/>
                  </w14:solidFill>
                </w14:textFill>
              </w:rPr>
              <w:t>一社会信用代码</w:t>
            </w:r>
          </w:p>
        </w:tc>
        <w:tc>
          <w:tcPr>
            <w:tcW w:w="1559" w:type="dxa"/>
            <w:vAlign w:val="center"/>
          </w:tcPr>
          <w:p w14:paraId="2F383E54">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1BBBE952">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统</w:t>
            </w:r>
            <w:r>
              <w:rPr>
                <w:rFonts w:hint="eastAsia" w:ascii="Calibri" w:hAnsi="Calibri" w:eastAsia="Arial"/>
                <w:color w:val="000000" w:themeColor="text1"/>
                <w:szCs w:val="21"/>
                <w14:textFill>
                  <w14:solidFill>
                    <w14:schemeClr w14:val="tx1"/>
                  </w14:solidFill>
                </w14:textFill>
              </w:rPr>
              <w:t>一社会信用代码</w:t>
            </w:r>
          </w:p>
        </w:tc>
        <w:tc>
          <w:tcPr>
            <w:tcW w:w="3593" w:type="dxa"/>
            <w:vAlign w:val="center"/>
          </w:tcPr>
          <w:p w14:paraId="12F2A93C">
            <w:pPr>
              <w:spacing w:line="300" w:lineRule="exact"/>
              <w:jc w:val="center"/>
              <w:rPr>
                <w:rFonts w:ascii="Calibri" w:hAnsi="Calibri" w:eastAsia="Arial"/>
                <w:color w:val="000000" w:themeColor="text1"/>
                <w:spacing w:val="20"/>
                <w:szCs w:val="21"/>
                <w14:textFill>
                  <w14:solidFill>
                    <w14:schemeClr w14:val="tx1"/>
                  </w14:solidFill>
                </w14:textFill>
              </w:rPr>
            </w:pPr>
          </w:p>
        </w:tc>
      </w:tr>
      <w:tr w14:paraId="75F6E48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3539" w:type="dxa"/>
            <w:gridSpan w:val="2"/>
            <w:vMerge w:val="restart"/>
            <w:vAlign w:val="center"/>
          </w:tcPr>
          <w:p w14:paraId="4C72A018">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6474A9C9">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w:t>
            </w:r>
            <w:r>
              <w:rPr>
                <w:rFonts w:hint="eastAsia" w:ascii="Calibri" w:hAnsi="Calibri" w:eastAsia="Arial"/>
                <w:color w:val="000000" w:themeColor="text1"/>
                <w:szCs w:val="21"/>
                <w14:textFill>
                  <w14:solidFill>
                    <w14:schemeClr w14:val="tx1"/>
                  </w14:solidFill>
                </w14:textFill>
              </w:rPr>
              <w:t>户名称</w:t>
            </w:r>
          </w:p>
        </w:tc>
        <w:tc>
          <w:tcPr>
            <w:tcW w:w="3593" w:type="dxa"/>
            <w:vAlign w:val="center"/>
          </w:tcPr>
          <w:p w14:paraId="6AA27888">
            <w:pPr>
              <w:spacing w:line="300" w:lineRule="exact"/>
              <w:jc w:val="center"/>
              <w:rPr>
                <w:rFonts w:ascii="Calibri" w:hAnsi="Calibri" w:eastAsia="Arial"/>
                <w:color w:val="000000" w:themeColor="text1"/>
                <w:spacing w:val="20"/>
                <w:szCs w:val="21"/>
                <w14:textFill>
                  <w14:solidFill>
                    <w14:schemeClr w14:val="tx1"/>
                  </w14:solidFill>
                </w14:textFill>
              </w:rPr>
            </w:pPr>
          </w:p>
        </w:tc>
      </w:tr>
      <w:tr w14:paraId="169DDE4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3539" w:type="dxa"/>
            <w:gridSpan w:val="2"/>
            <w:vMerge w:val="continue"/>
            <w:vAlign w:val="center"/>
          </w:tcPr>
          <w:p w14:paraId="1BAAEBB0">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07207929">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w:t>
            </w:r>
            <w:r>
              <w:rPr>
                <w:rFonts w:hint="eastAsia" w:ascii="Calibri" w:hAnsi="Calibri" w:eastAsia="Arial"/>
                <w:color w:val="000000" w:themeColor="text1"/>
                <w:szCs w:val="21"/>
                <w14:textFill>
                  <w14:solidFill>
                    <w14:schemeClr w14:val="tx1"/>
                  </w14:solidFill>
                </w14:textFill>
              </w:rPr>
              <w:t>户银行</w:t>
            </w:r>
          </w:p>
        </w:tc>
        <w:tc>
          <w:tcPr>
            <w:tcW w:w="3593" w:type="dxa"/>
            <w:vAlign w:val="center"/>
          </w:tcPr>
          <w:p w14:paraId="03D4D28B">
            <w:pPr>
              <w:spacing w:line="300" w:lineRule="exact"/>
              <w:jc w:val="center"/>
              <w:rPr>
                <w:rFonts w:ascii="Calibri" w:hAnsi="Calibri" w:eastAsia="Arial"/>
                <w:color w:val="000000" w:themeColor="text1"/>
                <w:spacing w:val="20"/>
                <w:szCs w:val="21"/>
                <w14:textFill>
                  <w14:solidFill>
                    <w14:schemeClr w14:val="tx1"/>
                  </w14:solidFill>
                </w14:textFill>
              </w:rPr>
            </w:pPr>
          </w:p>
        </w:tc>
      </w:tr>
      <w:tr w14:paraId="6951E27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3539" w:type="dxa"/>
            <w:gridSpan w:val="2"/>
            <w:vMerge w:val="continue"/>
            <w:vAlign w:val="center"/>
          </w:tcPr>
          <w:p w14:paraId="416479EB">
            <w:pPr>
              <w:spacing w:line="300" w:lineRule="exact"/>
              <w:jc w:val="center"/>
              <w:rPr>
                <w:rFonts w:ascii="Calibri" w:hAnsi="Calibri" w:eastAsia="Arial"/>
                <w:color w:val="000000" w:themeColor="text1"/>
                <w:szCs w:val="21"/>
                <w14:textFill>
                  <w14:solidFill>
                    <w14:schemeClr w14:val="tx1"/>
                  </w14:solidFill>
                </w14:textFill>
              </w:rPr>
            </w:pPr>
          </w:p>
        </w:tc>
        <w:tc>
          <w:tcPr>
            <w:tcW w:w="2086" w:type="dxa"/>
            <w:vAlign w:val="center"/>
          </w:tcPr>
          <w:p w14:paraId="46A61472">
            <w:pPr>
              <w:spacing w:line="300" w:lineRule="exact"/>
              <w:jc w:val="center"/>
              <w:rPr>
                <w:rFonts w:ascii="Calibri" w:hAnsi="Calibri"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银</w:t>
            </w:r>
            <w:r>
              <w:rPr>
                <w:rFonts w:hint="eastAsia" w:ascii="Calibri" w:hAnsi="Calibri" w:eastAsia="Arial"/>
                <w:color w:val="000000" w:themeColor="text1"/>
                <w:szCs w:val="21"/>
                <w14:textFill>
                  <w14:solidFill>
                    <w14:schemeClr w14:val="tx1"/>
                  </w14:solidFill>
                </w14:textFill>
              </w:rPr>
              <w:t>行账号</w:t>
            </w:r>
          </w:p>
        </w:tc>
        <w:tc>
          <w:tcPr>
            <w:tcW w:w="3593" w:type="dxa"/>
            <w:vAlign w:val="center"/>
          </w:tcPr>
          <w:p w14:paraId="6C6B3EB7">
            <w:pPr>
              <w:spacing w:line="300" w:lineRule="exact"/>
              <w:jc w:val="center"/>
              <w:rPr>
                <w:rFonts w:ascii="Calibri" w:hAnsi="Calibri" w:eastAsia="Arial"/>
                <w:color w:val="000000" w:themeColor="text1"/>
                <w:spacing w:val="20"/>
                <w:szCs w:val="21"/>
                <w14:textFill>
                  <w14:solidFill>
                    <w14:schemeClr w14:val="tx1"/>
                  </w14:solidFill>
                </w14:textFill>
              </w:rPr>
            </w:pPr>
          </w:p>
        </w:tc>
      </w:tr>
      <w:tr w14:paraId="7781D2C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9218" w:type="dxa"/>
            <w:gridSpan w:val="4"/>
            <w:vAlign w:val="center"/>
          </w:tcPr>
          <w:p w14:paraId="056B1142">
            <w:pPr>
              <w:spacing w:line="360" w:lineRule="auto"/>
              <w:jc w:val="left"/>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注：涉及联合体或其他合同主体的信息应按上表格式加列。</w:t>
            </w:r>
          </w:p>
        </w:tc>
      </w:tr>
    </w:tbl>
    <w:p w14:paraId="4A7F6F1C">
      <w:pPr>
        <w:keepNext/>
        <w:keepLines/>
        <w:spacing w:before="260" w:after="260" w:line="400" w:lineRule="exact"/>
        <w:outlineLvl w:val="1"/>
        <w:rPr>
          <w:rFonts w:hint="eastAsia" w:ascii="黑体" w:hAnsi="黑体" w:eastAsia="黑体"/>
          <w:b/>
          <w:bCs/>
          <w:color w:val="000000" w:themeColor="text1"/>
          <w:sz w:val="28"/>
          <w:szCs w:val="28"/>
          <w14:textFill>
            <w14:solidFill>
              <w14:schemeClr w14:val="tx1"/>
            </w14:solidFill>
          </w14:textFill>
        </w:rPr>
      </w:pPr>
      <w:r>
        <w:rPr>
          <w:rFonts w:ascii="宋体" w:hAnsi="宋体" w:eastAsia="Arial"/>
          <w:b/>
          <w:bCs/>
          <w:color w:val="000000" w:themeColor="text1"/>
          <w:szCs w:val="21"/>
          <w:u w:val="single"/>
          <w14:textFill>
            <w14:solidFill>
              <w14:schemeClr w14:val="tx1"/>
            </w14:solidFill>
          </w14:textFill>
        </w:rPr>
        <w:br w:type="page" w:clear="all"/>
      </w:r>
      <w:bookmarkStart w:id="172" w:name="_Toc27624"/>
      <w:r>
        <w:rPr>
          <w:rFonts w:hint="eastAsia" w:ascii="黑体" w:hAnsi="黑体" w:eastAsia="黑体"/>
          <w:color w:val="000000" w:themeColor="text1"/>
          <w:sz w:val="28"/>
          <w:szCs w:val="28"/>
          <w14:textFill>
            <w14:solidFill>
              <w14:schemeClr w14:val="tx1"/>
            </w14:solidFill>
          </w14:textFill>
        </w:rPr>
        <w:t>第二节政府采购合同通用条款</w:t>
      </w:r>
      <w:bookmarkEnd w:id="172"/>
    </w:p>
    <w:p w14:paraId="15D67125">
      <w:pPr>
        <w:tabs>
          <w:tab w:val="left" w:pos="8820"/>
          <w:tab w:val="left" w:pos="9345"/>
          <w:tab w:val="left" w:pos="9765"/>
        </w:tabs>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color w:val="000000" w:themeColor="text1"/>
          <w:sz w:val="24"/>
          <w14:textFill>
            <w14:solidFill>
              <w14:schemeClr w14:val="tx1"/>
            </w14:solidFill>
          </w14:textFill>
        </w:rPr>
        <w:t>1.</w:t>
      </w:r>
      <w:r>
        <w:rPr>
          <w:rFonts w:hint="eastAsia" w:ascii="宋体" w:hAnsi="宋体" w:eastAsia="Arial"/>
          <w:b/>
          <w:bCs/>
          <w:color w:val="000000" w:themeColor="text1"/>
          <w:sz w:val="24"/>
          <w14:textFill>
            <w14:solidFill>
              <w14:schemeClr w14:val="tx1"/>
            </w14:solidFill>
          </w14:textFill>
        </w:rPr>
        <w:t>定义</w:t>
      </w:r>
    </w:p>
    <w:p w14:paraId="5EBF6877">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1.1合同当事人</w:t>
      </w:r>
    </w:p>
    <w:p w14:paraId="701776C4">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1）采购人（以下称甲方）是指使用财政性资金，通过政府采购方式向</w:t>
      </w:r>
      <w:r>
        <w:rPr>
          <w:rFonts w:hint="eastAsia" w:ascii="宋体" w:hAnsi="宋体"/>
          <w:color w:val="000000" w:themeColor="text1"/>
          <w:szCs w:val="21"/>
          <w14:textFill>
            <w14:solidFill>
              <w14:schemeClr w14:val="tx1"/>
            </w14:solidFill>
          </w14:textFill>
        </w:rPr>
        <w:t>投标人</w:t>
      </w:r>
      <w:r>
        <w:rPr>
          <w:rFonts w:hint="eastAsia" w:ascii="宋体" w:hAnsi="宋体" w:eastAsia="Arial"/>
          <w:color w:val="000000" w:themeColor="text1"/>
          <w:szCs w:val="21"/>
          <w14:textFill>
            <w14:solidFill>
              <w14:schemeClr w14:val="tx1"/>
            </w14:solidFill>
          </w14:textFill>
        </w:rPr>
        <w:t>购买货物及其相关服务的国家机关、事业单位、团体组织。</w:t>
      </w:r>
    </w:p>
    <w:p w14:paraId="4F343FBA">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投标人</w:t>
      </w:r>
      <w:r>
        <w:rPr>
          <w:rFonts w:hint="eastAsia" w:ascii="宋体" w:hAnsi="宋体" w:eastAsia="Arial"/>
          <w:color w:val="000000" w:themeColor="text1"/>
          <w:szCs w:val="21"/>
          <w14:textFill>
            <w14:solidFill>
              <w14:schemeClr w14:val="tx1"/>
            </w14:solidFill>
          </w14:textFill>
        </w:rPr>
        <w:t>（以下称乙方）是指参加政府采购活动并且中标（</w:t>
      </w:r>
      <w:r>
        <w:rPr>
          <w:rFonts w:hint="eastAsia" w:ascii="宋体" w:hAnsi="宋体"/>
          <w:color w:val="000000" w:themeColor="text1"/>
          <w:szCs w:val="21"/>
          <w14:textFill>
            <w14:solidFill>
              <w14:schemeClr w14:val="tx1"/>
            </w14:solidFill>
          </w14:textFill>
        </w:rPr>
        <w:t>成交</w:t>
      </w:r>
      <w:r>
        <w:rPr>
          <w:rFonts w:hint="eastAsia" w:ascii="宋体" w:hAnsi="宋体" w:eastAsia="Arial"/>
          <w:color w:val="000000" w:themeColor="text1"/>
          <w:szCs w:val="21"/>
          <w14:textFill>
            <w14:solidFill>
              <w14:schemeClr w14:val="tx1"/>
            </w14:solidFill>
          </w14:textFill>
        </w:rPr>
        <w:t>），向采购人提供合同约定的货物及其相关服务的法人、非法人组织或者自然人。</w:t>
      </w:r>
    </w:p>
    <w:p w14:paraId="227DAC99">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3）其他合同主体是指除采购人和</w:t>
      </w:r>
      <w:r>
        <w:rPr>
          <w:rFonts w:hint="eastAsia" w:ascii="宋体" w:hAnsi="宋体"/>
          <w:color w:val="000000" w:themeColor="text1"/>
          <w:szCs w:val="21"/>
          <w14:textFill>
            <w14:solidFill>
              <w14:schemeClr w14:val="tx1"/>
            </w14:solidFill>
          </w14:textFill>
        </w:rPr>
        <w:t>投标人</w:t>
      </w:r>
      <w:r>
        <w:rPr>
          <w:rFonts w:hint="eastAsia" w:ascii="宋体" w:hAnsi="宋体" w:eastAsia="Arial"/>
          <w:color w:val="000000" w:themeColor="text1"/>
          <w:szCs w:val="21"/>
          <w14:textFill>
            <w14:solidFill>
              <w14:schemeClr w14:val="tx1"/>
            </w14:solidFill>
          </w14:textFill>
        </w:rPr>
        <w:t>以外，</w:t>
      </w:r>
      <w:r>
        <w:rPr>
          <w:rFonts w:hint="eastAsia" w:ascii="宋体" w:hAnsi="宋体" w:eastAsia="Arial" w:cs="宋体"/>
          <w:bCs/>
          <w:color w:val="000000" w:themeColor="text1"/>
          <w:szCs w:val="21"/>
          <w14:textFill>
            <w14:solidFill>
              <w14:schemeClr w14:val="tx1"/>
            </w14:solidFill>
          </w14:textFill>
        </w:rPr>
        <w:t>依法参与合同缔结或履行，享有权利、承担义务的合同当事人</w:t>
      </w:r>
      <w:r>
        <w:rPr>
          <w:rFonts w:hint="eastAsia" w:ascii="宋体" w:hAnsi="宋体" w:eastAsia="Arial"/>
          <w:color w:val="000000" w:themeColor="text1"/>
          <w:szCs w:val="21"/>
          <w14:textFill>
            <w14:solidFill>
              <w14:schemeClr w14:val="tx1"/>
            </w14:solidFill>
          </w14:textFill>
        </w:rPr>
        <w:t>。</w:t>
      </w:r>
    </w:p>
    <w:p w14:paraId="4A531DE2">
      <w:pPr>
        <w:tabs>
          <w:tab w:val="left" w:pos="570"/>
          <w:tab w:val="left" w:pos="9240"/>
          <w:tab w:val="left" w:pos="9555"/>
        </w:tabs>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1.2本合同下列术语应解释为：</w:t>
      </w:r>
    </w:p>
    <w:p w14:paraId="71AE38B2">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1）“合同”系指</w:t>
      </w:r>
      <w:r>
        <w:rPr>
          <w:rFonts w:hint="eastAsia" w:ascii="宋体" w:hAnsi="宋体" w:eastAsia="Arial" w:cs="宋体"/>
          <w:bCs/>
          <w:color w:val="000000" w:themeColor="text1"/>
          <w:szCs w:val="21"/>
          <w14:textFill>
            <w14:solidFill>
              <w14:schemeClr w14:val="tx1"/>
            </w14:solidFill>
          </w14:textFill>
        </w:rPr>
        <w:t>合同当事人意思表示达成一致的任何协议，包括签署的</w:t>
      </w:r>
      <w:r>
        <w:rPr>
          <w:rFonts w:hint="eastAsia" w:ascii="宋体" w:hAnsi="宋体" w:eastAsia="Arial"/>
          <w:color w:val="000000" w:themeColor="text1"/>
          <w:szCs w:val="21"/>
          <w14:textFill>
            <w14:solidFill>
              <w14:schemeClr w14:val="tx1"/>
            </w14:solidFill>
          </w14:textFill>
        </w:rPr>
        <w:t>政府采购合同协议书及其变更、补充协议，政府采购合同专用条款，政府采购合同通用条款，中标（</w:t>
      </w:r>
      <w:r>
        <w:rPr>
          <w:rFonts w:hint="eastAsia" w:ascii="宋体" w:hAnsi="宋体"/>
          <w:color w:val="000000" w:themeColor="text1"/>
          <w:szCs w:val="21"/>
          <w14:textFill>
            <w14:solidFill>
              <w14:schemeClr w14:val="tx1"/>
            </w14:solidFill>
          </w14:textFill>
        </w:rPr>
        <w:t>成交</w:t>
      </w:r>
      <w:r>
        <w:rPr>
          <w:rFonts w:hint="eastAsia" w:ascii="宋体" w:hAnsi="宋体" w:eastAsia="Arial"/>
          <w:color w:val="000000" w:themeColor="text1"/>
          <w:szCs w:val="21"/>
          <w14:textFill>
            <w14:solidFill>
              <w14:schemeClr w14:val="tx1"/>
            </w14:solidFill>
          </w14:textFill>
        </w:rPr>
        <w:t>）通知书，投标（响应）文件，采购文件，有关技术文件和图纸，以及</w:t>
      </w:r>
      <w:r>
        <w:rPr>
          <w:rFonts w:hint="eastAsia" w:ascii="宋体" w:hAnsi="宋体" w:eastAsia="Arial" w:cs="宋体"/>
          <w:color w:val="000000" w:themeColor="text1"/>
          <w:szCs w:val="21"/>
          <w14:textFill>
            <w14:solidFill>
              <w14:schemeClr w14:val="tx1"/>
            </w14:solidFill>
          </w14:textFill>
        </w:rPr>
        <w:t>国家法律、行政法规和规章制度规定或合同约定的作为合同组成部分的其他文件</w:t>
      </w:r>
      <w:r>
        <w:rPr>
          <w:rFonts w:hint="eastAsia" w:ascii="宋体" w:hAnsi="宋体" w:eastAsia="Arial"/>
          <w:color w:val="000000" w:themeColor="text1"/>
          <w:szCs w:val="21"/>
          <w14:textFill>
            <w14:solidFill>
              <w14:schemeClr w14:val="tx1"/>
            </w14:solidFill>
          </w14:textFill>
        </w:rPr>
        <w:t>。</w:t>
      </w:r>
    </w:p>
    <w:p w14:paraId="43C1FD73">
      <w:pPr>
        <w:tabs>
          <w:tab w:val="left" w:pos="570"/>
          <w:tab w:val="left" w:pos="9240"/>
          <w:tab w:val="left" w:pos="9555"/>
        </w:tabs>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2）“合同价款”系指根据本合同规定乙方在全面履行合同义务后甲方应支付给乙方的价款。</w:t>
      </w:r>
    </w:p>
    <w:p w14:paraId="0424F721">
      <w:pPr>
        <w:tabs>
          <w:tab w:val="left" w:pos="570"/>
          <w:tab w:val="left" w:pos="9240"/>
          <w:tab w:val="left" w:pos="9555"/>
        </w:tabs>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服务</w:t>
      </w:r>
      <w:r>
        <w:rPr>
          <w:rFonts w:hint="eastAsia" w:ascii="宋体" w:hAnsi="宋体" w:eastAsia="Arial"/>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系指系统开发、部署实施、运维、培训；</w:t>
      </w:r>
      <w:r>
        <w:rPr>
          <w:rFonts w:hint="eastAsia" w:ascii="宋体" w:hAnsi="宋体" w:eastAsia="Arial"/>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服务成果</w:t>
      </w:r>
      <w:r>
        <w:rPr>
          <w:rFonts w:hint="eastAsia" w:ascii="宋体" w:hAnsi="宋体" w:eastAsia="Arial"/>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含软件、配套硬件、文档数据</w:t>
      </w:r>
      <w:r>
        <w:rPr>
          <w:rFonts w:hint="eastAsia" w:ascii="宋体" w:hAnsi="宋体" w:eastAsia="Arial"/>
          <w:color w:val="000000" w:themeColor="text1"/>
          <w:szCs w:val="21"/>
          <w14:textFill>
            <w14:solidFill>
              <w14:schemeClr w14:val="tx1"/>
            </w14:solidFill>
          </w14:textFill>
        </w:rPr>
        <w:t>等。</w:t>
      </w:r>
    </w:p>
    <w:p w14:paraId="19295201">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613BBFDC">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5）“分包”系指中标（</w:t>
      </w:r>
      <w:r>
        <w:rPr>
          <w:rFonts w:hint="eastAsia" w:ascii="宋体" w:hAnsi="宋体"/>
          <w:color w:val="000000" w:themeColor="text1"/>
          <w:szCs w:val="21"/>
          <w14:textFill>
            <w14:solidFill>
              <w14:schemeClr w14:val="tx1"/>
            </w14:solidFill>
          </w14:textFill>
        </w:rPr>
        <w:t>成交</w:t>
      </w:r>
      <w:r>
        <w:rPr>
          <w:rFonts w:hint="eastAsia" w:ascii="宋体" w:hAnsi="宋体" w:eastAsia="Arial"/>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投标人</w:t>
      </w:r>
      <w:r>
        <w:rPr>
          <w:rFonts w:hint="eastAsia" w:ascii="宋体" w:hAnsi="宋体" w:eastAsia="Arial"/>
          <w:color w:val="000000" w:themeColor="text1"/>
          <w:szCs w:val="21"/>
          <w14:textFill>
            <w14:solidFill>
              <w14:schemeClr w14:val="tx1"/>
            </w14:solidFill>
          </w14:textFill>
        </w:rPr>
        <w:t>按采购文件、投标（响应）文件的规定，根据分包意向协议，将中标（</w:t>
      </w:r>
      <w:r>
        <w:rPr>
          <w:rFonts w:hint="eastAsia" w:ascii="宋体" w:hAnsi="宋体"/>
          <w:color w:val="000000" w:themeColor="text1"/>
          <w:szCs w:val="21"/>
          <w14:textFill>
            <w14:solidFill>
              <w14:schemeClr w14:val="tx1"/>
            </w14:solidFill>
          </w14:textFill>
        </w:rPr>
        <w:t>成交</w:t>
      </w:r>
      <w:r>
        <w:rPr>
          <w:rFonts w:hint="eastAsia" w:ascii="宋体" w:hAnsi="宋体" w:eastAsia="Arial"/>
          <w:color w:val="000000" w:themeColor="text1"/>
          <w:szCs w:val="21"/>
          <w14:textFill>
            <w14:solidFill>
              <w14:schemeClr w14:val="tx1"/>
            </w14:solidFill>
          </w14:textFill>
        </w:rPr>
        <w:t>）项目中的部分履约内容，分给具有相应资质条件的</w:t>
      </w:r>
      <w:r>
        <w:rPr>
          <w:rFonts w:hint="eastAsia" w:ascii="宋体" w:hAnsi="宋体"/>
          <w:color w:val="000000" w:themeColor="text1"/>
          <w:szCs w:val="21"/>
          <w14:textFill>
            <w14:solidFill>
              <w14:schemeClr w14:val="tx1"/>
            </w14:solidFill>
          </w14:textFill>
        </w:rPr>
        <w:t>投标人</w:t>
      </w:r>
      <w:r>
        <w:rPr>
          <w:rFonts w:hint="eastAsia" w:ascii="宋体" w:hAnsi="宋体" w:eastAsia="Arial"/>
          <w:color w:val="000000" w:themeColor="text1"/>
          <w:szCs w:val="21"/>
          <w14:textFill>
            <w14:solidFill>
              <w14:schemeClr w14:val="tx1"/>
            </w14:solidFill>
          </w14:textFill>
        </w:rPr>
        <w:t>履行合同的行为。</w:t>
      </w:r>
    </w:p>
    <w:p w14:paraId="4C3C5069">
      <w:pPr>
        <w:tabs>
          <w:tab w:val="left" w:pos="570"/>
          <w:tab w:val="left" w:pos="9240"/>
          <w:tab w:val="left" w:pos="9555"/>
        </w:tabs>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6）“联合体”系指由两个以上的自然人、法人或者非法人组织组成，以一个</w:t>
      </w:r>
      <w:r>
        <w:rPr>
          <w:rFonts w:hint="eastAsia" w:ascii="宋体" w:hAnsi="宋体"/>
          <w:color w:val="000000" w:themeColor="text1"/>
          <w:szCs w:val="21"/>
          <w14:textFill>
            <w14:solidFill>
              <w14:schemeClr w14:val="tx1"/>
            </w14:solidFill>
          </w14:textFill>
        </w:rPr>
        <w:t>投标人</w:t>
      </w:r>
      <w:r>
        <w:rPr>
          <w:rFonts w:hint="eastAsia" w:ascii="宋体" w:hAnsi="宋体" w:eastAsia="Arial"/>
          <w:color w:val="000000" w:themeColor="text1"/>
          <w:szCs w:val="21"/>
          <w14:textFill>
            <w14:solidFill>
              <w14:schemeClr w14:val="tx1"/>
            </w14:solidFill>
          </w14:textFill>
        </w:rPr>
        <w:t>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Arial"/>
          <w:b/>
          <w:bCs/>
          <w:color w:val="000000" w:themeColor="text1"/>
          <w:szCs w:val="21"/>
          <w14:textFill>
            <w14:solidFill>
              <w14:schemeClr w14:val="tx1"/>
            </w14:solidFill>
          </w14:textFill>
        </w:rPr>
        <w:t>政府采购合同专用条款</w:t>
      </w:r>
      <w:r>
        <w:rPr>
          <w:rFonts w:hint="eastAsia" w:ascii="宋体" w:hAnsi="宋体" w:eastAsia="Arial"/>
          <w:color w:val="000000" w:themeColor="text1"/>
          <w:szCs w:val="21"/>
          <w14:textFill>
            <w14:solidFill>
              <w14:schemeClr w14:val="tx1"/>
            </w14:solidFill>
          </w14:textFill>
        </w:rPr>
        <w:t>】。</w:t>
      </w:r>
    </w:p>
    <w:p w14:paraId="40E59ECA">
      <w:pPr>
        <w:tabs>
          <w:tab w:val="left" w:pos="570"/>
          <w:tab w:val="left" w:pos="9240"/>
          <w:tab w:val="left" w:pos="9555"/>
        </w:tabs>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7）其他术语解释，见【</w:t>
      </w:r>
      <w:r>
        <w:rPr>
          <w:rFonts w:hint="eastAsia" w:ascii="宋体" w:hAnsi="宋体" w:eastAsia="Arial"/>
          <w:b/>
          <w:bCs/>
          <w:color w:val="000000" w:themeColor="text1"/>
          <w:szCs w:val="21"/>
          <w14:textFill>
            <w14:solidFill>
              <w14:schemeClr w14:val="tx1"/>
            </w14:solidFill>
          </w14:textFill>
        </w:rPr>
        <w:t>政府采购合同专用条款</w:t>
      </w:r>
      <w:r>
        <w:rPr>
          <w:rFonts w:hint="eastAsia" w:ascii="宋体" w:hAnsi="宋体" w:eastAsia="Arial"/>
          <w:color w:val="000000" w:themeColor="text1"/>
          <w:szCs w:val="21"/>
          <w14:textFill>
            <w14:solidFill>
              <w14:schemeClr w14:val="tx1"/>
            </w14:solidFill>
          </w14:textFill>
        </w:rPr>
        <w:t>】。</w:t>
      </w:r>
    </w:p>
    <w:p w14:paraId="440992A2">
      <w:pPr>
        <w:numPr>
          <w:ilvl w:val="0"/>
          <w:numId w:val="8"/>
        </w:num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合</w:t>
      </w:r>
      <w:r>
        <w:rPr>
          <w:rFonts w:hint="eastAsia" w:ascii="宋体" w:hAnsi="宋体" w:eastAsia="Arial"/>
          <w:b/>
          <w:color w:val="000000" w:themeColor="text1"/>
          <w:sz w:val="24"/>
          <w14:textFill>
            <w14:solidFill>
              <w14:schemeClr w14:val="tx1"/>
            </w14:solidFill>
          </w14:textFill>
        </w:rPr>
        <w:t>同标的及金额</w:t>
      </w:r>
    </w:p>
    <w:p w14:paraId="3E4B363B">
      <w:pPr>
        <w:spacing w:line="400" w:lineRule="exact"/>
        <w:ind w:firstLine="420"/>
        <w:jc w:val="left"/>
        <w:rPr>
          <w:rFonts w:ascii="宋体" w:hAnsi="宋体" w:eastAsia="Arial"/>
          <w:b/>
          <w:bCs/>
          <w:i/>
          <w:iCs/>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2.1合同标的及金额应与中标（</w:t>
      </w:r>
      <w:r>
        <w:rPr>
          <w:rFonts w:hint="eastAsia" w:ascii="宋体" w:hAnsi="宋体"/>
          <w:color w:val="000000" w:themeColor="text1"/>
          <w:szCs w:val="21"/>
          <w14:textFill>
            <w14:solidFill>
              <w14:schemeClr w14:val="tx1"/>
            </w14:solidFill>
          </w14:textFill>
        </w:rPr>
        <w:t>成交</w:t>
      </w:r>
      <w:r>
        <w:rPr>
          <w:rFonts w:hint="eastAsia" w:ascii="宋体" w:hAnsi="宋体" w:eastAsia="Arial"/>
          <w:color w:val="000000" w:themeColor="text1"/>
          <w:szCs w:val="21"/>
          <w14:textFill>
            <w14:solidFill>
              <w14:schemeClr w14:val="tx1"/>
            </w14:solidFill>
          </w14:textFill>
        </w:rPr>
        <w:t>）结果一致。乙方为履行本合同而发生的所有费用均应包含在合同价款中，甲方不再另行支付其他任何费用。</w:t>
      </w:r>
    </w:p>
    <w:p w14:paraId="666C460E">
      <w:pPr>
        <w:spacing w:line="400" w:lineRule="exact"/>
        <w:jc w:val="left"/>
        <w:rPr>
          <w:rFonts w:ascii="宋体" w:hAnsi="宋体" w:eastAsia="Arial"/>
          <w:b/>
          <w:color w:val="000000" w:themeColor="text1"/>
          <w:sz w:val="24"/>
          <w14:textFill>
            <w14:solidFill>
              <w14:schemeClr w14:val="tx1"/>
            </w14:solidFill>
          </w14:textFill>
        </w:rPr>
      </w:pPr>
      <w:r>
        <w:rPr>
          <w:rFonts w:hint="eastAsia" w:ascii="宋体" w:hAnsi="宋体" w:eastAsia="Arial"/>
          <w:b/>
          <w:color w:val="000000" w:themeColor="text1"/>
          <w:sz w:val="24"/>
          <w14:textFill>
            <w14:solidFill>
              <w14:schemeClr w14:val="tx1"/>
            </w14:solidFill>
          </w14:textFill>
        </w:rPr>
        <w:t>3.履行合同的时间、地点和方式</w:t>
      </w:r>
    </w:p>
    <w:p w14:paraId="62C87202">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3.1</w:t>
      </w:r>
      <w:r>
        <w:rPr>
          <w:rFonts w:hint="eastAsia" w:ascii="宋体" w:hAnsi="宋体" w:eastAsia="Arial" w:cs="宋体"/>
          <w:color w:val="000000" w:themeColor="text1"/>
          <w:szCs w:val="21"/>
          <w14:textFill>
            <w14:solidFill>
              <w14:schemeClr w14:val="tx1"/>
            </w14:solidFill>
          </w14:textFill>
        </w:rPr>
        <w:t>乙方应当在约定的时间、地点，按照约定方式履行合同。</w:t>
      </w:r>
    </w:p>
    <w:p w14:paraId="3ECA9849">
      <w:p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4.甲方的权利和义务</w:t>
      </w:r>
    </w:p>
    <w:p w14:paraId="7D40EF06">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4.1签署合同后，甲方应确定项目负责人（或项目联系人），负责与本合同有关的事务。甲方有权对乙方的履约行为进行检查，并及时确认乙方提交的事项。甲方应当配合乙方完成相关项目实施工作。</w:t>
      </w:r>
    </w:p>
    <w:p w14:paraId="3F1EB676">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4.2甲方有权要求乙方按时提交各阶段有关安排计划，并有权定期核对乙方提供货物数量、规格、质量等内容。甲方有权督促乙方工作并要求乙方更换不符合要求的货物。</w:t>
      </w:r>
    </w:p>
    <w:p w14:paraId="184A9B52">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4.3甲方有权要求乙方对服务成果中的缺陷部分予以修复、整改或重新提供，并按合同约定享有服务期保障及其他合同约定的权利。</w:t>
      </w:r>
    </w:p>
    <w:p w14:paraId="01355316">
      <w:pPr>
        <w:spacing w:line="400" w:lineRule="exact"/>
        <w:ind w:firstLine="420"/>
        <w:rPr>
          <w:rFonts w:ascii="Calibri" w:hAnsi="Calibri" w:eastAsia="华文楷体"/>
          <w:color w:val="000000" w:themeColor="text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4.4甲方应当按照合同约定及时对乙方交付的服务成果及配套硬件设备进行验收，</w:t>
      </w:r>
      <w:r>
        <w:rPr>
          <w:rFonts w:hint="eastAsia" w:ascii="宋体" w:hAnsi="宋体" w:eastAsia="Arial" w:cs="宋体"/>
          <w:color w:val="000000" w:themeColor="text1"/>
          <w:szCs w:val="21"/>
          <w14:textFill>
            <w14:solidFill>
              <w14:schemeClr w14:val="tx1"/>
            </w14:solidFill>
          </w14:textFill>
        </w:rPr>
        <w:t>应当在【政府采购合同专用条款】约定的期限内组织验收并反馈意见；最终以双方签署的书面验收报告为准，不得以采购人未提出异议推定</w:t>
      </w:r>
      <w:r>
        <w:rPr>
          <w:rFonts w:hint="eastAsia" w:ascii="宋体" w:hAnsi="宋体" w:eastAsia="Arial"/>
          <w:color w:val="000000" w:themeColor="text1"/>
          <w:szCs w:val="21"/>
          <w14:textFill>
            <w14:solidFill>
              <w14:schemeClr w14:val="tx1"/>
            </w14:solidFill>
          </w14:textFill>
        </w:rPr>
        <w:t>验收通过。</w:t>
      </w:r>
    </w:p>
    <w:p w14:paraId="75C1329A">
      <w:pPr>
        <w:spacing w:line="400" w:lineRule="exact"/>
        <w:ind w:firstLine="420"/>
        <w:jc w:val="left"/>
        <w:rPr>
          <w:rFonts w:ascii="宋体" w:hAnsi="宋体" w:eastAsia="Arial"/>
          <w:color w:val="000000" w:themeColor="text1"/>
          <w:szCs w:val="21"/>
          <w14:textFill>
            <w14:solidFill>
              <w14:schemeClr w14:val="tx1"/>
            </w14:solidFill>
          </w14:textFill>
        </w:rPr>
      </w:pPr>
      <w:r>
        <w:rPr>
          <w:rFonts w:ascii="宋体" w:hAnsi="宋体" w:eastAsia="Arial"/>
          <w:color w:val="000000" w:themeColor="text1"/>
          <w:szCs w:val="21"/>
          <w14:textFill>
            <w14:solidFill>
              <w14:schemeClr w14:val="tx1"/>
            </w14:solidFill>
          </w14:textFill>
        </w:rPr>
        <w:t>4</w:t>
      </w:r>
      <w:r>
        <w:rPr>
          <w:rFonts w:hint="eastAsia" w:ascii="宋体" w:hAnsi="宋体" w:eastAsia="Arial"/>
          <w:color w:val="000000" w:themeColor="text1"/>
          <w:szCs w:val="21"/>
          <w14:textFill>
            <w14:solidFill>
              <w14:schemeClr w14:val="tx1"/>
            </w14:solidFill>
          </w14:textFill>
        </w:rPr>
        <w:t>.</w:t>
      </w:r>
      <w:r>
        <w:rPr>
          <w:rFonts w:ascii="宋体" w:hAnsi="宋体" w:eastAsia="Arial"/>
          <w:color w:val="000000" w:themeColor="text1"/>
          <w:szCs w:val="21"/>
          <w14:textFill>
            <w14:solidFill>
              <w14:schemeClr w14:val="tx1"/>
            </w14:solidFill>
          </w14:textFill>
        </w:rPr>
        <w:t>5</w:t>
      </w:r>
      <w:r>
        <w:rPr>
          <w:rFonts w:hint="eastAsia" w:ascii="宋体" w:hAnsi="宋体" w:eastAsia="Arial"/>
          <w:color w:val="000000" w:themeColor="text1"/>
          <w:szCs w:val="21"/>
          <w14:textFill>
            <w14:solidFill>
              <w14:schemeClr w14:val="tx1"/>
            </w14:solidFill>
          </w14:textFill>
        </w:rPr>
        <w:t>甲方应当根据合同约定及时向乙方支付合同价款，不得以内部人员变更、履行内部付款流程等为由，拒绝或迟延支付。</w:t>
      </w:r>
    </w:p>
    <w:p w14:paraId="0FBF4652">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4.6国家法律法规规定及</w:t>
      </w:r>
      <w:r>
        <w:rPr>
          <w:rFonts w:hint="eastAsia" w:ascii="宋体" w:hAnsi="宋体" w:eastAsia="Arial" w:cs="宋体"/>
          <w:b/>
          <w:bCs/>
          <w:color w:val="000000" w:themeColor="text1"/>
          <w:szCs w:val="21"/>
          <w14:textFill>
            <w14:solidFill>
              <w14:schemeClr w14:val="tx1"/>
            </w14:solidFill>
          </w14:textFill>
        </w:rPr>
        <w:t>【政府采购合同专用条款】</w:t>
      </w:r>
      <w:r>
        <w:rPr>
          <w:rFonts w:hint="eastAsia" w:ascii="宋体" w:hAnsi="宋体" w:eastAsia="Arial"/>
          <w:color w:val="000000" w:themeColor="text1"/>
          <w:szCs w:val="21"/>
          <w14:textFill>
            <w14:solidFill>
              <w14:schemeClr w14:val="tx1"/>
            </w14:solidFill>
          </w14:textFill>
        </w:rPr>
        <w:t>约定应由甲方承担的其他义务和责任。</w:t>
      </w:r>
    </w:p>
    <w:p w14:paraId="37F966EB">
      <w:p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5.乙方的权利和义务</w:t>
      </w:r>
    </w:p>
    <w:p w14:paraId="75EE28DF">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5.1签署合同后，乙方应确定项目负责人（或项目联系人），负责与本合同有关的事务。</w:t>
      </w:r>
    </w:p>
    <w:p w14:paraId="4CA2FB9B">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5.2乙方应按照合同要求履约，充分合理安排，确保提供的货物及相关服务符合合同有关要求。接受项目行业管理部门及政府有关部门的指导，配合甲方的履约检查及验收，并负责项目实施过程中的所有协调工作。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39B483F">
      <w:pPr>
        <w:spacing w:line="400" w:lineRule="exact"/>
        <w:ind w:firstLine="370"/>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乙方有权</w:t>
      </w:r>
      <w:r>
        <w:rPr>
          <w:rFonts w:hint="eastAsia" w:ascii="宋体" w:hAnsi="宋体" w:cs="宋体"/>
          <w:color w:val="000000" w:themeColor="text1"/>
          <w:szCs w:val="21"/>
          <w14:textFill>
            <w14:solidFill>
              <w14:schemeClr w14:val="tx1"/>
            </w14:solidFill>
          </w14:textFill>
        </w:rPr>
        <w:t>根据合同约定向甲方收取合同价款。</w:t>
      </w:r>
    </w:p>
    <w:p w14:paraId="172F51AF">
      <w:pPr>
        <w:spacing w:line="400" w:lineRule="exact"/>
        <w:ind w:firstLine="370"/>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4</w:t>
      </w:r>
      <w:r>
        <w:rPr>
          <w:rFonts w:hint="eastAsia" w:ascii="宋体" w:hAnsi="宋体" w:cs="宋体"/>
          <w:color w:val="000000" w:themeColor="text1"/>
          <w:szCs w:val="21"/>
          <w14:textFill>
            <w14:solidFill>
              <w14:schemeClr w14:val="tx1"/>
            </w14:solidFill>
          </w14:textFill>
        </w:rPr>
        <w:t>国家法律法规规定</w:t>
      </w:r>
      <w:r>
        <w:rPr>
          <w:rFonts w:hint="eastAsia" w:ascii="宋体" w:hAnsi="宋体"/>
          <w:color w:val="000000" w:themeColor="text1"/>
          <w:szCs w:val="21"/>
          <w14:textFill>
            <w14:solidFill>
              <w14:schemeClr w14:val="tx1"/>
            </w14:solidFill>
          </w14:textFill>
        </w:rPr>
        <w:t>及</w:t>
      </w:r>
      <w:r>
        <w:rPr>
          <w:rFonts w:hint="eastAsia" w:ascii="宋体" w:hAnsi="宋体" w:cs="宋体"/>
          <w:b/>
          <w:bCs/>
          <w:color w:val="000000" w:themeColor="text1"/>
          <w:szCs w:val="21"/>
          <w14:textFill>
            <w14:solidFill>
              <w14:schemeClr w14:val="tx1"/>
            </w14:solidFill>
          </w14:textFill>
        </w:rPr>
        <w:t>【政府采购合同专用条款】</w:t>
      </w:r>
      <w:r>
        <w:rPr>
          <w:rFonts w:hint="eastAsia" w:ascii="宋体" w:hAnsi="宋体" w:cs="宋体"/>
          <w:color w:val="000000" w:themeColor="text1"/>
          <w:szCs w:val="21"/>
          <w14:textFill>
            <w14:solidFill>
              <w14:schemeClr w14:val="tx1"/>
            </w14:solidFill>
          </w14:textFill>
        </w:rPr>
        <w:t>约定应由乙方承担的其他义务和责任。</w:t>
      </w:r>
    </w:p>
    <w:p w14:paraId="0D5D7447">
      <w:pPr>
        <w:numPr>
          <w:ilvl w:val="0"/>
          <w:numId w:val="9"/>
        </w:num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合</w:t>
      </w:r>
      <w:r>
        <w:rPr>
          <w:rFonts w:hint="eastAsia" w:ascii="宋体" w:hAnsi="宋体" w:eastAsia="Arial"/>
          <w:b/>
          <w:bCs/>
          <w:color w:val="000000" w:themeColor="text1"/>
          <w:sz w:val="24"/>
          <w14:textFill>
            <w14:solidFill>
              <w14:schemeClr w14:val="tx1"/>
            </w14:solidFill>
          </w14:textFill>
        </w:rPr>
        <w:t>同履行</w:t>
      </w:r>
    </w:p>
    <w:p w14:paraId="55428921">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6.1甲乙双方应当按照</w:t>
      </w:r>
      <w:r>
        <w:rPr>
          <w:rFonts w:hint="eastAsia" w:ascii="宋体" w:hAnsi="宋体" w:eastAsia="Arial" w:cs="宋体"/>
          <w:b/>
          <w:bCs/>
          <w:color w:val="000000" w:themeColor="text1"/>
          <w:szCs w:val="21"/>
          <w14:textFill>
            <w14:solidFill>
              <w14:schemeClr w14:val="tx1"/>
            </w14:solidFill>
          </w14:textFill>
        </w:rPr>
        <w:t>【政府采购合同专用条款】</w:t>
      </w:r>
      <w:r>
        <w:rPr>
          <w:rFonts w:hint="eastAsia" w:ascii="宋体" w:hAnsi="宋体" w:eastAsia="Arial"/>
          <w:color w:val="000000" w:themeColor="text1"/>
          <w:szCs w:val="21"/>
          <w14:textFill>
            <w14:solidFill>
              <w14:schemeClr w14:val="tx1"/>
            </w14:solidFill>
          </w14:textFill>
        </w:rPr>
        <w:t>约定顺序履行合同义务；如果没有先后顺序的，应当同时履行。</w:t>
      </w:r>
    </w:p>
    <w:p w14:paraId="74939FCF">
      <w:pPr>
        <w:spacing w:line="400" w:lineRule="exact"/>
        <w:ind w:firstLine="420"/>
        <w:jc w:val="left"/>
        <w:rPr>
          <w:rFonts w:ascii="Calibri" w:hAnsi="Calibri" w:eastAsia="Arial"/>
          <w:color w:val="000000" w:themeColor="text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6.2甲乙双方按照合同约定顺序履行合同义务时，应当先履行一方未履行的，后履行一方有权拒绝其履行请求。先履行一方履行不符合约定的，后履行一方有权拒绝其相应的履行请求。</w:t>
      </w:r>
    </w:p>
    <w:p w14:paraId="5E66CCD2">
      <w:p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7.</w:t>
      </w:r>
      <w:r>
        <w:rPr>
          <w:rFonts w:hint="eastAsia" w:ascii="宋体" w:hAnsi="宋体" w:cs="宋体"/>
          <w:b/>
          <w:bCs/>
          <w:color w:val="000000" w:themeColor="text1"/>
          <w:sz w:val="24"/>
          <w14:textFill>
            <w14:solidFill>
              <w14:schemeClr w14:val="tx1"/>
            </w14:solidFill>
          </w14:textFill>
        </w:rPr>
        <w:t>配套硬件设备的包装、运输、保险和交付</w:t>
      </w:r>
      <w:r>
        <w:rPr>
          <w:rFonts w:hint="eastAsia" w:ascii="宋体" w:hAnsi="宋体" w:eastAsia="Arial"/>
          <w:b/>
          <w:bCs/>
          <w:color w:val="000000" w:themeColor="text1"/>
          <w:sz w:val="24"/>
          <w14:textFill>
            <w14:solidFill>
              <w14:schemeClr w14:val="tx1"/>
            </w14:solidFill>
          </w14:textFill>
        </w:rPr>
        <w:t>要求</w:t>
      </w:r>
    </w:p>
    <w:p w14:paraId="28CC819C">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7.1本合同</w:t>
      </w:r>
      <w:r>
        <w:rPr>
          <w:rFonts w:hint="eastAsia" w:ascii="宋体" w:hAnsi="宋体" w:eastAsia="Arial"/>
          <w:bCs/>
          <w:color w:val="000000" w:themeColor="text1"/>
          <w:szCs w:val="21"/>
          <w14:textFill>
            <w14:solidFill>
              <w14:schemeClr w14:val="tx1"/>
            </w14:solidFill>
          </w14:textFill>
        </w:rPr>
        <w:t>涉及商品包装、快递包装的，</w:t>
      </w:r>
      <w:r>
        <w:rPr>
          <w:rFonts w:hint="eastAsia" w:ascii="宋体" w:hAnsi="宋体" w:eastAsia="Arial"/>
          <w:color w:val="000000" w:themeColor="text1"/>
          <w:szCs w:val="21"/>
          <w14:textFill>
            <w14:solidFill>
              <w14:schemeClr w14:val="tx1"/>
            </w14:solidFill>
          </w14:textFill>
        </w:rPr>
        <w:t>除</w:t>
      </w:r>
      <w:r>
        <w:rPr>
          <w:rFonts w:hint="eastAsia" w:ascii="宋体" w:hAnsi="宋体" w:eastAsia="Arial"/>
          <w:b/>
          <w:color w:val="000000" w:themeColor="text1"/>
          <w:szCs w:val="21"/>
          <w14:textFill>
            <w14:solidFill>
              <w14:schemeClr w14:val="tx1"/>
            </w14:solidFill>
          </w14:textFill>
        </w:rPr>
        <w:t>【政府采购合同专用条款】</w:t>
      </w:r>
      <w:r>
        <w:rPr>
          <w:rFonts w:hint="eastAsia" w:ascii="宋体" w:hAnsi="宋体" w:eastAsia="Arial"/>
          <w:bCs/>
          <w:color w:val="000000" w:themeColor="text1"/>
          <w:szCs w:val="21"/>
          <w14:textFill>
            <w14:solidFill>
              <w14:schemeClr w14:val="tx1"/>
            </w14:solidFill>
          </w14:textFill>
        </w:rPr>
        <w:t>另有约定外，</w:t>
      </w:r>
      <w:r>
        <w:rPr>
          <w:rFonts w:hint="eastAsia" w:ascii="宋体" w:hAnsi="宋体" w:eastAsia="Arial"/>
          <w:color w:val="000000" w:themeColor="text1"/>
          <w:szCs w:val="21"/>
          <w14:textFill>
            <w14:solidFill>
              <w14:schemeClr w14:val="tx1"/>
            </w14:solidFill>
          </w14:textFill>
        </w:rPr>
        <w:t>包装应适应远距离运输、防潮、防震、防锈和防野蛮装卸等要求，确保货物安全无损地运抵</w:t>
      </w:r>
      <w:r>
        <w:rPr>
          <w:rFonts w:hint="eastAsia" w:ascii="宋体" w:hAnsi="宋体" w:eastAsia="Arial"/>
          <w:b/>
          <w:color w:val="000000" w:themeColor="text1"/>
          <w:szCs w:val="21"/>
          <w14:textFill>
            <w14:solidFill>
              <w14:schemeClr w14:val="tx1"/>
            </w14:solidFill>
          </w14:textFill>
        </w:rPr>
        <w:t>【政府采购合同专用条款】</w:t>
      </w:r>
      <w:r>
        <w:rPr>
          <w:rFonts w:hint="eastAsia" w:ascii="宋体" w:hAnsi="宋体" w:eastAsia="Arial"/>
          <w:bCs/>
          <w:color w:val="000000" w:themeColor="text1"/>
          <w:szCs w:val="21"/>
          <w14:textFill>
            <w14:solidFill>
              <w14:schemeClr w14:val="tx1"/>
            </w14:solidFill>
          </w14:textFill>
        </w:rPr>
        <w:t>约定的</w:t>
      </w:r>
      <w:r>
        <w:rPr>
          <w:rFonts w:hint="eastAsia" w:ascii="宋体" w:hAnsi="宋体" w:eastAsia="Arial"/>
          <w:color w:val="000000" w:themeColor="text1"/>
          <w:szCs w:val="21"/>
          <w14:textFill>
            <w14:solidFill>
              <w14:schemeClr w14:val="tx1"/>
            </w14:solidFill>
          </w14:textFill>
        </w:rPr>
        <w:t>指定现场。</w:t>
      </w:r>
    </w:p>
    <w:p w14:paraId="48951809">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7.2除</w:t>
      </w:r>
      <w:r>
        <w:rPr>
          <w:rFonts w:hint="eastAsia" w:ascii="宋体" w:hAnsi="宋体" w:eastAsia="Arial"/>
          <w:b/>
          <w:color w:val="000000" w:themeColor="text1"/>
          <w:szCs w:val="21"/>
          <w14:textFill>
            <w14:solidFill>
              <w14:schemeClr w14:val="tx1"/>
            </w14:solidFill>
          </w14:textFill>
        </w:rPr>
        <w:t>【政府采购合同专用条款】</w:t>
      </w:r>
      <w:r>
        <w:rPr>
          <w:rFonts w:hint="eastAsia" w:ascii="宋体" w:hAnsi="宋体" w:eastAsia="Arial"/>
          <w:bCs/>
          <w:color w:val="000000" w:themeColor="text1"/>
          <w:szCs w:val="21"/>
          <w14:textFill>
            <w14:solidFill>
              <w14:schemeClr w14:val="tx1"/>
            </w14:solidFill>
          </w14:textFill>
        </w:rPr>
        <w:t>另有约定外，</w:t>
      </w:r>
      <w:r>
        <w:rPr>
          <w:rFonts w:hint="eastAsia" w:ascii="宋体" w:hAnsi="宋体" w:eastAsia="Arial"/>
          <w:color w:val="000000" w:themeColor="text1"/>
          <w:szCs w:val="21"/>
          <w14:textFill>
            <w14:solidFill>
              <w14:schemeClr w14:val="tx1"/>
            </w14:solidFill>
          </w14:textFill>
        </w:rPr>
        <w:t>乙方负责办理将货物运抵本合同规定的交货地点，并装卸、交付至甲方的一切运输事项，相关费用应包含在合同价款中。</w:t>
      </w:r>
    </w:p>
    <w:p w14:paraId="1AC7ED5C">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7.3货物保险要求按</w:t>
      </w:r>
      <w:r>
        <w:rPr>
          <w:rFonts w:hint="eastAsia" w:ascii="宋体" w:hAnsi="宋体" w:eastAsia="Arial"/>
          <w:b/>
          <w:color w:val="000000" w:themeColor="text1"/>
          <w:szCs w:val="21"/>
          <w14:textFill>
            <w14:solidFill>
              <w14:schemeClr w14:val="tx1"/>
            </w14:solidFill>
          </w14:textFill>
        </w:rPr>
        <w:t>【政府采购合同专用条款】</w:t>
      </w:r>
      <w:r>
        <w:rPr>
          <w:rFonts w:hint="eastAsia" w:ascii="宋体" w:hAnsi="宋体" w:eastAsia="Arial"/>
          <w:bCs/>
          <w:color w:val="000000" w:themeColor="text1"/>
          <w:szCs w:val="21"/>
          <w14:textFill>
            <w14:solidFill>
              <w14:schemeClr w14:val="tx1"/>
            </w14:solidFill>
          </w14:textFill>
        </w:rPr>
        <w:t>规定执行</w:t>
      </w:r>
      <w:r>
        <w:rPr>
          <w:rFonts w:hint="eastAsia" w:ascii="宋体" w:hAnsi="宋体" w:eastAsia="Arial"/>
          <w:color w:val="000000" w:themeColor="text1"/>
          <w:szCs w:val="21"/>
          <w14:textFill>
            <w14:solidFill>
              <w14:schemeClr w14:val="tx1"/>
            </w14:solidFill>
          </w14:textFill>
        </w:rPr>
        <w:t>。</w:t>
      </w:r>
    </w:p>
    <w:p w14:paraId="02E99EF8">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7843A94">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7.5</w:t>
      </w:r>
      <w:r>
        <w:rPr>
          <w:rFonts w:hint="eastAsia" w:ascii="宋体" w:hAnsi="宋体" w:eastAsia="Arial" w:cs="宋体"/>
          <w:color w:val="000000" w:themeColor="text1"/>
          <w:szCs w:val="21"/>
          <w14:textFill>
            <w14:solidFill>
              <w14:schemeClr w14:val="tx1"/>
            </w14:solidFill>
          </w14:textFill>
        </w:rPr>
        <w:t>乙方在运输到达之前应提前通知甲方，并提示货物运输装卸的注意事项，甲方配合乙方做好货物的接收工作。</w:t>
      </w:r>
    </w:p>
    <w:p w14:paraId="06C8193C">
      <w:pPr>
        <w:spacing w:line="400" w:lineRule="exact"/>
        <w:ind w:firstLine="420"/>
        <w:rPr>
          <w:rFonts w:hint="eastAsia" w:ascii="华文楷体" w:hAnsi="华文楷体" w:eastAsia="华文楷体" w:cs="华文楷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7.6如因包装、运输问题导致货物损毁、丢失或者品质下降，甲方有权要求降价、换货、拒收部分或整批货物，由此产生的费用和损失，均由乙方承担。</w:t>
      </w:r>
    </w:p>
    <w:p w14:paraId="457CD8A1">
      <w:pPr>
        <w:spacing w:line="400" w:lineRule="exact"/>
        <w:jc w:val="left"/>
        <w:rPr>
          <w:rFonts w:ascii="宋体" w:hAnsi="宋体" w:eastAsia="Arial"/>
          <w:b/>
          <w:color w:val="000000" w:themeColor="text1"/>
          <w:sz w:val="24"/>
          <w14:textFill>
            <w14:solidFill>
              <w14:schemeClr w14:val="tx1"/>
            </w14:solidFill>
          </w14:textFill>
        </w:rPr>
      </w:pPr>
      <w:r>
        <w:rPr>
          <w:rFonts w:hint="eastAsia" w:ascii="宋体" w:hAnsi="宋体" w:eastAsia="Arial"/>
          <w:b/>
          <w:color w:val="000000" w:themeColor="text1"/>
          <w:sz w:val="24"/>
          <w14:textFill>
            <w14:solidFill>
              <w14:schemeClr w14:val="tx1"/>
            </w14:solidFill>
          </w14:textFill>
        </w:rPr>
        <w:t>8.质量标准和保证</w:t>
      </w:r>
    </w:p>
    <w:p w14:paraId="618F7D6A">
      <w:pPr>
        <w:spacing w:line="400" w:lineRule="exact"/>
        <w:ind w:firstLine="420"/>
        <w:jc w:val="left"/>
        <w:rPr>
          <w:rFonts w:hint="eastAsia" w:ascii="宋体" w:hAnsi="宋体" w:cs="Courier New"/>
          <w:b/>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8.1质量标准</w:t>
      </w:r>
    </w:p>
    <w:p w14:paraId="58CB3F0C">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本合同下提供的服务成果及配套硬件设备应符合合同约定的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83E8CA6">
      <w:pPr>
        <w:spacing w:line="400" w:lineRule="exact"/>
        <w:ind w:firstLine="420"/>
        <w:jc w:val="left"/>
        <w:rPr>
          <w:rFonts w:hint="eastAsia"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（2）采用中华人民共和国法定计量单位。</w:t>
      </w:r>
    </w:p>
    <w:p w14:paraId="62A67540">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3）乙方所提供的货物应符合国家有关安全、环保、卫生的规定。</w:t>
      </w:r>
    </w:p>
    <w:p w14:paraId="26ECF3E4">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（4）乙方应向甲方提交所提供服务成果及配套硬件设备的技术文件，包括相应的中文技术文件，如：系统说明、部署文档、图纸、操作手册、使用说明、维护手册或服务指南等。上述文件应随设备一并交付。</w:t>
      </w:r>
    </w:p>
    <w:p w14:paraId="6B552AEC">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8.2保证</w:t>
      </w:r>
    </w:p>
    <w:p w14:paraId="3D5C894F">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（1）乙方应保证提供的服务成果及配套硬件设备完全符合合同规定的质量、规格和性能要求。乙方应保证系统在正确部署、正常使用和保养条件下，在服务期内具备合同约定的性能。</w:t>
      </w:r>
      <w:r>
        <w:rPr>
          <w:rFonts w:hint="eastAsia" w:ascii="宋体" w:hAnsi="宋体" w:eastAsia="Arial"/>
          <w:color w:val="000000" w:themeColor="text1"/>
          <w:szCs w:val="21"/>
          <w14:textFill>
            <w14:solidFill>
              <w14:schemeClr w14:val="tx1"/>
            </w14:solidFill>
          </w14:textFill>
        </w:rPr>
        <w:t>存在</w:t>
      </w:r>
      <w:r>
        <w:rPr>
          <w:rFonts w:hint="eastAsia" w:ascii="宋体" w:hAnsi="宋体" w:cs="宋体"/>
          <w:color w:val="000000" w:themeColor="text1"/>
          <w:szCs w:val="21"/>
          <w14:textFill>
            <w14:solidFill>
              <w14:schemeClr w14:val="tx1"/>
            </w14:solidFill>
          </w14:textFill>
        </w:rPr>
        <w:t>服务期</w:t>
      </w:r>
      <w:r>
        <w:rPr>
          <w:rFonts w:hint="eastAsia" w:ascii="宋体" w:hAnsi="宋体" w:eastAsia="Arial"/>
          <w:color w:val="000000" w:themeColor="text1"/>
          <w:szCs w:val="21"/>
          <w14:textFill>
            <w14:solidFill>
              <w14:schemeClr w14:val="tx1"/>
            </w14:solidFill>
          </w14:textFill>
        </w:rPr>
        <w:t>的，货物最终交付验收合格后在</w:t>
      </w:r>
      <w:r>
        <w:rPr>
          <w:rFonts w:hint="eastAsia" w:ascii="宋体" w:hAnsi="宋体" w:eastAsia="Arial"/>
          <w:b/>
          <w:color w:val="000000" w:themeColor="text1"/>
          <w:szCs w:val="21"/>
          <w14:textFill>
            <w14:solidFill>
              <w14:schemeClr w14:val="tx1"/>
            </w14:solidFill>
          </w14:textFill>
        </w:rPr>
        <w:t>【政府采购合同专用条款】</w:t>
      </w:r>
      <w:r>
        <w:rPr>
          <w:rFonts w:hint="eastAsia" w:ascii="宋体" w:hAnsi="宋体" w:eastAsia="Arial"/>
          <w:color w:val="000000" w:themeColor="text1"/>
          <w:szCs w:val="21"/>
          <w14:textFill>
            <w14:solidFill>
              <w14:schemeClr w14:val="tx1"/>
            </w14:solidFill>
          </w14:textFill>
        </w:rPr>
        <w:t>规定或乙方书面承诺（两者以较长的为准）的</w:t>
      </w:r>
      <w:r>
        <w:rPr>
          <w:rFonts w:hint="eastAsia" w:ascii="宋体" w:hAnsi="宋体" w:cs="宋体"/>
          <w:color w:val="000000" w:themeColor="text1"/>
          <w:szCs w:val="21"/>
          <w14:textFill>
            <w14:solidFill>
              <w14:schemeClr w14:val="tx1"/>
            </w14:solidFill>
          </w14:textFill>
        </w:rPr>
        <w:t>服务期</w:t>
      </w:r>
      <w:r>
        <w:rPr>
          <w:rFonts w:hint="eastAsia" w:ascii="宋体" w:hAnsi="宋体" w:eastAsia="Arial"/>
          <w:color w:val="000000" w:themeColor="text1"/>
          <w:szCs w:val="21"/>
          <w14:textFill>
            <w14:solidFill>
              <w14:schemeClr w14:val="tx1"/>
            </w14:solidFill>
          </w14:textFill>
        </w:rPr>
        <w:t>内，本保证保持有效。</w:t>
      </w:r>
    </w:p>
    <w:p w14:paraId="220C72FE">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（2）在服务期内发现服务成果或配套硬件设备存在缺陷的，甲方应尽快以书面形式通知乙方。</w:t>
      </w:r>
    </w:p>
    <w:p w14:paraId="52A44533">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3）乙方收到通知后，应在</w:t>
      </w:r>
      <w:r>
        <w:rPr>
          <w:rFonts w:hint="eastAsia" w:ascii="宋体" w:hAnsi="宋体" w:eastAsia="Arial"/>
          <w:b/>
          <w:color w:val="000000" w:themeColor="text1"/>
          <w:szCs w:val="21"/>
          <w14:textFill>
            <w14:solidFill>
              <w14:schemeClr w14:val="tx1"/>
            </w14:solidFill>
          </w14:textFill>
        </w:rPr>
        <w:t>【政府采购合同专用条款】</w:t>
      </w:r>
      <w:r>
        <w:rPr>
          <w:rFonts w:hint="eastAsia" w:ascii="宋体" w:hAnsi="宋体" w:eastAsia="Arial"/>
          <w:color w:val="000000" w:themeColor="text1"/>
          <w:szCs w:val="21"/>
          <w14:textFill>
            <w14:solidFill>
              <w14:schemeClr w14:val="tx1"/>
            </w14:solidFill>
          </w14:textFill>
        </w:rPr>
        <w:t>规定的响应时间内以合理的速度免费维修或更换有缺陷的货物或部件。</w:t>
      </w:r>
    </w:p>
    <w:p w14:paraId="02FFA7F2">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（4）在服务期内，如果服务成果或配套硬件设备的质量、规格与合同不符，或证实存在缺陷，包括潜在的缺陷或使用不符合要求的材料等，</w:t>
      </w:r>
      <w:r>
        <w:rPr>
          <w:rFonts w:hint="eastAsia" w:ascii="宋体" w:hAnsi="宋体" w:eastAsia="Arial"/>
          <w:color w:val="000000" w:themeColor="text1"/>
          <w:szCs w:val="21"/>
          <w14:textFill>
            <w14:solidFill>
              <w14:schemeClr w14:val="tx1"/>
            </w14:solidFill>
          </w14:textFill>
        </w:rPr>
        <w:t>甲方可以根据本合同第15.1条规定以书面形式追究乙方的违约责任。</w:t>
      </w:r>
    </w:p>
    <w:p w14:paraId="24DAB067">
      <w:pPr>
        <w:spacing w:line="400" w:lineRule="exact"/>
        <w:ind w:firstLine="420"/>
        <w:jc w:val="left"/>
        <w:rPr>
          <w:rFonts w:ascii="Calibri" w:hAnsi="Calibri" w:eastAsia="Arial"/>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5）乙方在约定的时间内未能弥补缺陷，甲方可采取必要的补救措施，但其风险和费用将由乙方承担，甲方根据合同约定对乙方行使的其他权利不受影响。</w:t>
      </w:r>
    </w:p>
    <w:p w14:paraId="74AE2FD1">
      <w:p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9.权利瑕疵担保</w:t>
      </w:r>
    </w:p>
    <w:p w14:paraId="596D51F2">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9.1乙方保证对其提供的服务成果及配套硬件设备享有合法的权利。</w:t>
      </w:r>
    </w:p>
    <w:p w14:paraId="51ED95D7">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9.2乙方保证其交付的服务成果及配套硬件设备上不存在抵押权等担保物权。</w:t>
      </w:r>
    </w:p>
    <w:p w14:paraId="229A4CA6">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9.3如甲方使用上述服务成果或配套硬件设备构成对第三人侵权的，则由乙方承担全部责任。</w:t>
      </w:r>
    </w:p>
    <w:p w14:paraId="147B333B">
      <w:p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10.知识产权保护</w:t>
      </w:r>
    </w:p>
    <w:p w14:paraId="55691761">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10.1乙方对其提供的服务成果及配套硬件设备应当享有知识产权或经权利人合法授权，保证没有侵犯任何第三人的知识产权等权利。</w:t>
      </w:r>
      <w:bookmarkStart w:id="173" w:name="_Hlk163047038"/>
      <w:r>
        <w:rPr>
          <w:rFonts w:hint="eastAsia" w:ascii="宋体" w:hAnsi="宋体" w:eastAsia="Arial" w:cs="宋体"/>
          <w:color w:val="000000" w:themeColor="text1"/>
          <w:szCs w:val="15"/>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173"/>
      <w:r>
        <w:rPr>
          <w:rFonts w:hint="eastAsia" w:ascii="宋体" w:hAnsi="宋体" w:eastAsia="Arial"/>
          <w:color w:val="000000" w:themeColor="text1"/>
          <w:szCs w:val="21"/>
          <w14:textFill>
            <w14:solidFill>
              <w14:schemeClr w14:val="tx1"/>
            </w14:solidFill>
          </w14:textFill>
        </w:rPr>
        <w:t>。</w:t>
      </w:r>
    </w:p>
    <w:p w14:paraId="3BB2BFE0">
      <w:p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11.保密义务</w:t>
      </w:r>
    </w:p>
    <w:p w14:paraId="5377D3D5">
      <w:pPr>
        <w:spacing w:line="400" w:lineRule="exact"/>
        <w:ind w:firstLine="420"/>
        <w:jc w:val="left"/>
        <w:rPr>
          <w:rFonts w:ascii="宋体" w:hAnsi="宋体" w:eastAsia="Arial" w:cs="宋体"/>
          <w:color w:val="000000" w:themeColor="text1"/>
          <w:szCs w:val="15"/>
          <w14:textFill>
            <w14:solidFill>
              <w14:schemeClr w14:val="tx1"/>
            </w14:solidFill>
          </w14:textFill>
        </w:rPr>
      </w:pPr>
      <w:r>
        <w:rPr>
          <w:rFonts w:hint="eastAsia" w:ascii="宋体" w:hAnsi="宋体" w:eastAsia="Arial" w:cs="宋体"/>
          <w:color w:val="000000" w:themeColor="text1"/>
          <w:szCs w:val="15"/>
          <w14:textFill>
            <w14:solidFill>
              <w14:schemeClr w14:val="tx1"/>
            </w14:solidFill>
          </w14:textFill>
        </w:rPr>
        <w:t>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Arial" w:cs="宋体"/>
          <w:b/>
          <w:bCs/>
          <w:color w:val="000000" w:themeColor="text1"/>
          <w:szCs w:val="15"/>
          <w14:textFill>
            <w14:solidFill>
              <w14:schemeClr w14:val="tx1"/>
            </w14:solidFill>
          </w14:textFill>
        </w:rPr>
        <w:t>【政府采购合同专用条款】</w:t>
      </w:r>
      <w:r>
        <w:rPr>
          <w:rFonts w:hint="eastAsia" w:ascii="宋体" w:hAnsi="宋体" w:eastAsia="Arial" w:cs="宋体"/>
          <w:color w:val="000000" w:themeColor="text1"/>
          <w:szCs w:val="15"/>
          <w14:textFill>
            <w14:solidFill>
              <w14:schemeClr w14:val="tx1"/>
            </w14:solidFill>
          </w14:textFill>
        </w:rPr>
        <w:t>中约定。</w:t>
      </w:r>
    </w:p>
    <w:p w14:paraId="37067BF4">
      <w:p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12.合同价款支付</w:t>
      </w:r>
    </w:p>
    <w:p w14:paraId="0ECE16DC">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12.1合同价款支付按照国库集中支付制度及财政管理相关规定执行。</w:t>
      </w:r>
    </w:p>
    <w:p w14:paraId="134FB9E3">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749AE346">
      <w:p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13.履约保证</w:t>
      </w:r>
    </w:p>
    <w:p w14:paraId="750DDBE7">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13.1中标人应当在签订合同前，按合同金额的</w:t>
      </w:r>
      <w:r>
        <w:rPr>
          <w:rFonts w:hint="eastAsia" w:ascii="宋体" w:hAnsi="宋体"/>
          <w:color w:val="000000" w:themeColor="text1"/>
          <w:szCs w:val="21"/>
          <w14:textFill>
            <w14:solidFill>
              <w14:schemeClr w14:val="tx1"/>
            </w14:solidFill>
          </w14:textFill>
        </w:rPr>
        <w:t>10</w:t>
      </w:r>
      <w:r>
        <w:rPr>
          <w:rFonts w:hint="eastAsia" w:ascii="宋体" w:hAnsi="宋体" w:eastAsia="Arial"/>
          <w:color w:val="000000" w:themeColor="text1"/>
          <w:szCs w:val="21"/>
          <w14:textFill>
            <w14:solidFill>
              <w14:schemeClr w14:val="tx1"/>
            </w14:solidFill>
          </w14:textFill>
        </w:rPr>
        <w:t>%以支票、汇票、本票或者金融机构、担保机构出具的保函、电子履约保函（保险）等非现金形式提交履约保证金，不得以货物、设备或者其他实物作履约保证金。</w:t>
      </w:r>
    </w:p>
    <w:p w14:paraId="2FBA2747">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13.2履约保证金用于补偿采购人因中标人不能完成合同义务而蒙受的损失。</w:t>
      </w:r>
    </w:p>
    <w:p w14:paraId="13819A19">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13.3中标人违约的，采购人按照合同约定扣除其全部或部分履约保证金；如违约给采购人造成的损失超过履约保证金数额的，应当依法赔偿超过部分的损失。中标人没有违约的，采购人应当在三年服务期届满且最终服务考核合格后30日内退还履约保证金。</w:t>
      </w:r>
    </w:p>
    <w:p w14:paraId="6E01799C">
      <w:pPr>
        <w:spacing w:line="400" w:lineRule="exact"/>
        <w:jc w:val="left"/>
        <w:rPr>
          <w:rFonts w:ascii="宋体" w:hAnsi="宋体" w:eastAsia="Arial"/>
          <w:b/>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14.</w:t>
      </w:r>
      <w:r>
        <w:rPr>
          <w:rFonts w:hint="eastAsia" w:ascii="Calibri" w:hAnsi="Calibri" w:eastAsia="Arial"/>
          <w:b/>
          <w:color w:val="000000" w:themeColor="text1"/>
          <w:sz w:val="24"/>
          <w14:textFill>
            <w14:solidFill>
              <w14:schemeClr w14:val="tx1"/>
            </w14:solidFill>
          </w14:textFill>
        </w:rPr>
        <w:t>售后</w:t>
      </w:r>
      <w:r>
        <w:rPr>
          <w:rFonts w:hint="eastAsia" w:ascii="宋体" w:hAnsi="宋体" w:eastAsia="Arial"/>
          <w:b/>
          <w:color w:val="000000" w:themeColor="text1"/>
          <w:sz w:val="24"/>
          <w14:textFill>
            <w14:solidFill>
              <w14:schemeClr w14:val="tx1"/>
            </w14:solidFill>
          </w14:textFill>
        </w:rPr>
        <w:t>服务</w:t>
      </w:r>
    </w:p>
    <w:p w14:paraId="49A34F48">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14.1除项目不涉及或采购活动中明确约定无须承担外，乙方还应提供下列服务：</w:t>
      </w:r>
    </w:p>
    <w:p w14:paraId="19254F81">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配套硬件设备的安装、调试</w:t>
      </w:r>
      <w:r>
        <w:rPr>
          <w:rFonts w:hint="eastAsia" w:ascii="宋体" w:hAnsi="宋体" w:eastAsia="Arial"/>
          <w:color w:val="000000" w:themeColor="text1"/>
          <w:szCs w:val="21"/>
          <w14:textFill>
            <w14:solidFill>
              <w14:schemeClr w14:val="tx1"/>
            </w14:solidFill>
          </w14:textFill>
        </w:rPr>
        <w:t>、启动监督及技术支持；</w:t>
      </w:r>
    </w:p>
    <w:p w14:paraId="4767D33E">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（2）提供配套硬件设备组装、维修所需的专用工具和辅助材料；</w:t>
      </w:r>
    </w:p>
    <w:p w14:paraId="751FC105">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（3）在【政府采购合同专用条款】约定的期限内对所有的服务成果及配套硬件设备实施运行监督、维修</w:t>
      </w:r>
      <w:r>
        <w:rPr>
          <w:rFonts w:hint="eastAsia" w:ascii="宋体" w:hAnsi="宋体" w:eastAsia="Arial"/>
          <w:color w:val="000000" w:themeColor="text1"/>
          <w:szCs w:val="21"/>
          <w14:textFill>
            <w14:solidFill>
              <w14:schemeClr w14:val="tx1"/>
            </w14:solidFill>
          </w14:textFill>
        </w:rPr>
        <w:t>，但前提条件是该服务并不能免除乙方在</w:t>
      </w:r>
      <w:r>
        <w:rPr>
          <w:rFonts w:hint="eastAsia" w:ascii="宋体" w:hAnsi="宋体" w:cs="宋体"/>
          <w:color w:val="000000" w:themeColor="text1"/>
          <w:szCs w:val="21"/>
          <w14:textFill>
            <w14:solidFill>
              <w14:schemeClr w14:val="tx1"/>
            </w14:solidFill>
          </w14:textFill>
        </w:rPr>
        <w:t>服务期</w:t>
      </w:r>
      <w:r>
        <w:rPr>
          <w:rFonts w:hint="eastAsia" w:ascii="宋体" w:hAnsi="宋体" w:eastAsia="Arial"/>
          <w:color w:val="000000" w:themeColor="text1"/>
          <w:szCs w:val="21"/>
          <w14:textFill>
            <w14:solidFill>
              <w14:schemeClr w14:val="tx1"/>
            </w14:solidFill>
          </w14:textFill>
        </w:rPr>
        <w:t>内所承担的义务；</w:t>
      </w:r>
    </w:p>
    <w:p w14:paraId="5E3CD24D">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（4）在乙方所在地、制造商所在地或指定现场就系统的部署、启动、运营、维护、废弃处置等对甲方操作人员进行培训；</w:t>
      </w:r>
    </w:p>
    <w:p w14:paraId="5E5CCCFB">
      <w:pPr>
        <w:spacing w:line="40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依照法律、行政法规的规定或者按照【政府采购合同专用条款】约定，配套硬件设备在有效使用年限届满后应予回收的，乙方负有自行或者委托第三人予以回收的义务；服务期届满后，乙方负有将全部数据、文档及服务成果完整移交甲方的义务；</w:t>
      </w:r>
    </w:p>
    <w:p w14:paraId="2930A070">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6）</w:t>
      </w:r>
      <w:r>
        <w:rPr>
          <w:rFonts w:hint="eastAsia" w:ascii="宋体" w:hAnsi="宋体" w:eastAsia="Arial"/>
          <w:b/>
          <w:color w:val="000000" w:themeColor="text1"/>
          <w:szCs w:val="21"/>
          <w14:textFill>
            <w14:solidFill>
              <w14:schemeClr w14:val="tx1"/>
            </w14:solidFill>
          </w14:textFill>
        </w:rPr>
        <w:t>【政府采购合同专用条款】</w:t>
      </w:r>
      <w:r>
        <w:rPr>
          <w:rFonts w:hint="eastAsia" w:ascii="宋体" w:hAnsi="宋体" w:eastAsia="Arial"/>
          <w:color w:val="000000" w:themeColor="text1"/>
          <w:szCs w:val="21"/>
          <w14:textFill>
            <w14:solidFill>
              <w14:schemeClr w14:val="tx1"/>
            </w14:solidFill>
          </w14:textFill>
        </w:rPr>
        <w:t>规定由乙方提供的其他服务。</w:t>
      </w:r>
    </w:p>
    <w:p w14:paraId="4987A7B4">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14.2乙方提供的售后服务的费用已包含在合同价款中，甲方不再另行支付。</w:t>
      </w:r>
    </w:p>
    <w:p w14:paraId="74397503">
      <w:p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15.违约责任</w:t>
      </w:r>
    </w:p>
    <w:p w14:paraId="5B4ADF03">
      <w:pPr>
        <w:pStyle w:val="139"/>
        <w:spacing w:line="400" w:lineRule="exact"/>
        <w:ind w:left="420" w:firstLine="0"/>
        <w:jc w:val="left"/>
        <w:rPr>
          <w:rFonts w:ascii="宋体" w:hAnsi="宋体" w:eastAsia="Arial"/>
          <w:bCs/>
          <w:color w:val="000000" w:themeColor="text1"/>
          <w:szCs w:val="21"/>
          <w14:textFill>
            <w14:solidFill>
              <w14:schemeClr w14:val="tx1"/>
            </w14:solidFill>
          </w14:textFill>
        </w:rPr>
      </w:pPr>
      <w:r>
        <w:rPr>
          <w:rFonts w:hint="eastAsia" w:ascii="宋体" w:hAnsi="宋体" w:eastAsia="Arial"/>
          <w:bCs/>
          <w:color w:val="000000" w:themeColor="text1"/>
          <w:szCs w:val="21"/>
          <w14:textFill>
            <w14:solidFill>
              <w14:schemeClr w14:val="tx1"/>
            </w14:solidFill>
          </w14:textFill>
        </w:rPr>
        <w:t>15.1</w:t>
      </w:r>
      <w:r>
        <w:rPr>
          <w:rFonts w:hint="eastAsia" w:ascii="宋体" w:hAnsi="宋体" w:cs="宋体"/>
          <w:bCs/>
          <w:color w:val="000000" w:themeColor="text1"/>
          <w:szCs w:val="21"/>
          <w14:textFill>
            <w14:solidFill>
              <w14:schemeClr w14:val="tx1"/>
            </w14:solidFill>
          </w14:textFill>
        </w:rPr>
        <w:t>质量瑕疵的违约责任</w:t>
      </w:r>
    </w:p>
    <w:p w14:paraId="625A57B8">
      <w:pPr>
        <w:spacing w:line="400" w:lineRule="exact"/>
        <w:ind w:firstLine="420" w:firstLineChars="20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乙方提供的服务成果不符合合同约定的质量标准或存在缺陷的，甲方有权要求乙方根据【政府采购合同专用条款】要求及时整改、重作、更换，并承担由此给甲方造成的损失。</w:t>
      </w:r>
    </w:p>
    <w:p w14:paraId="3EE421AF">
      <w:pPr>
        <w:pStyle w:val="139"/>
        <w:spacing w:line="400" w:lineRule="exact"/>
        <w:ind w:left="420" w:firstLine="0"/>
        <w:jc w:val="left"/>
        <w:rPr>
          <w:rFonts w:ascii="宋体" w:hAnsi="宋体" w:eastAsia="Arial"/>
          <w:bCs/>
          <w:color w:val="000000" w:themeColor="text1"/>
          <w:szCs w:val="21"/>
          <w14:textFill>
            <w14:solidFill>
              <w14:schemeClr w14:val="tx1"/>
            </w14:solidFill>
          </w14:textFill>
        </w:rPr>
      </w:pPr>
      <w:r>
        <w:rPr>
          <w:rFonts w:hint="eastAsia" w:ascii="宋体" w:hAnsi="宋体" w:eastAsia="Arial"/>
          <w:bCs/>
          <w:color w:val="000000" w:themeColor="text1"/>
          <w:szCs w:val="21"/>
          <w14:textFill>
            <w14:solidFill>
              <w14:schemeClr w14:val="tx1"/>
            </w14:solidFill>
          </w14:textFill>
        </w:rPr>
        <w:t>15.2</w:t>
      </w:r>
      <w:r>
        <w:rPr>
          <w:rFonts w:hint="eastAsia" w:ascii="宋体" w:hAnsi="宋体" w:cs="宋体"/>
          <w:bCs/>
          <w:color w:val="000000" w:themeColor="text1"/>
          <w:szCs w:val="21"/>
          <w14:textFill>
            <w14:solidFill>
              <w14:schemeClr w14:val="tx1"/>
            </w14:solidFill>
          </w14:textFill>
        </w:rPr>
        <w:t>迟延提供服务、迟延交付配套硬件设备的违约责任</w:t>
      </w:r>
    </w:p>
    <w:p w14:paraId="50ED095F">
      <w:pPr>
        <w:spacing w:line="400" w:lineRule="exact"/>
        <w:ind w:firstLine="420" w:firstLineChars="20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乙方应按照本合同规定的时间、地点提供服务并交付配套硬件设备。在履行合同过程中，如果乙方遇到可能影响按时提供服务或交付的情形时，应及时以书面形式将迟延的事实、可能迟延的期限和理由通知甲方。甲方在收到乙方通知后，应尽快对情况进行评价，并确定是否同意延期提供服务或延长交付时间。</w:t>
      </w:r>
    </w:p>
    <w:p w14:paraId="308D5056">
      <w:pPr>
        <w:spacing w:line="400" w:lineRule="exact"/>
        <w:ind w:firstLine="420" w:firstLineChars="20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（2）如果乙方没有按照合同规定的时间提供服务或交付配套硬件设备，甲方有权从合同价款中扣除误期赔偿费而不影响合同项下的其他补救方法，赔偿费按</w:t>
      </w:r>
      <w:r>
        <w:rPr>
          <w:rFonts w:hint="eastAsia" w:ascii="宋体" w:hAnsi="宋体" w:cs="宋体"/>
          <w:b/>
          <w:color w:val="000000" w:themeColor="text1"/>
          <w:szCs w:val="21"/>
          <w14:textFill>
            <w14:solidFill>
              <w14:schemeClr w14:val="tx1"/>
            </w14:solidFill>
          </w14:textFill>
        </w:rPr>
        <w:t>【政府采购合同专用条款】</w:t>
      </w:r>
      <w:r>
        <w:rPr>
          <w:rFonts w:hint="eastAsia" w:ascii="宋体" w:hAnsi="宋体" w:cs="宋体"/>
          <w:color w:val="000000" w:themeColor="text1"/>
          <w:szCs w:val="21"/>
          <w14:textFill>
            <w14:solidFill>
              <w14:schemeClr w14:val="tx1"/>
            </w14:solidFill>
          </w14:textFill>
        </w:rPr>
        <w:t>规定执行。如果涉及公共利益，且赔偿金额无法弥补公共利益损失，甲方可要求继续履行或者采取其他补救措施。</w:t>
      </w:r>
    </w:p>
    <w:p w14:paraId="384FD061">
      <w:pPr>
        <w:pStyle w:val="139"/>
        <w:spacing w:line="400" w:lineRule="exact"/>
        <w:ind w:left="420" w:firstLine="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15.3</w:t>
      </w:r>
      <w:r>
        <w:rPr>
          <w:rFonts w:hint="eastAsia" w:ascii="宋体" w:hAnsi="宋体" w:cs="宋体"/>
          <w:color w:val="000000" w:themeColor="text1"/>
          <w:szCs w:val="21"/>
          <w14:textFill>
            <w14:solidFill>
              <w14:schemeClr w14:val="tx1"/>
            </w14:solidFill>
          </w14:textFill>
        </w:rPr>
        <w:t>迟延支付的违约责任</w:t>
      </w:r>
    </w:p>
    <w:p w14:paraId="68F9EA9C">
      <w:pPr>
        <w:spacing w:line="400" w:lineRule="exact"/>
        <w:ind w:firstLine="420" w:firstLineChars="20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甲方存在迟延支付乙方合同款项的，应当承担</w:t>
      </w:r>
      <w:r>
        <w:rPr>
          <w:rFonts w:hint="eastAsia" w:ascii="宋体" w:hAnsi="宋体" w:cs="宋体"/>
          <w:b/>
          <w:bCs/>
          <w:color w:val="000000" w:themeColor="text1"/>
          <w:szCs w:val="21"/>
          <w14:textFill>
            <w14:solidFill>
              <w14:schemeClr w14:val="tx1"/>
            </w14:solidFill>
          </w14:textFill>
        </w:rPr>
        <w:t>【政府采购合同专用条款】</w:t>
      </w:r>
      <w:r>
        <w:rPr>
          <w:rFonts w:hint="eastAsia" w:ascii="宋体" w:hAnsi="宋体" w:cs="宋体"/>
          <w:color w:val="000000" w:themeColor="text1"/>
          <w:szCs w:val="21"/>
          <w14:textFill>
            <w14:solidFill>
              <w14:schemeClr w14:val="tx1"/>
            </w14:solidFill>
          </w14:textFill>
        </w:rPr>
        <w:t>规定的逾期付款利息。</w:t>
      </w:r>
    </w:p>
    <w:p w14:paraId="56AA468D">
      <w:pPr>
        <w:pStyle w:val="139"/>
        <w:numPr>
          <w:ilvl w:val="0"/>
          <w:numId w:val="10"/>
        </w:numPr>
        <w:spacing w:line="400" w:lineRule="exact"/>
        <w:jc w:val="left"/>
        <w:rPr>
          <w:rFonts w:ascii="宋体" w:hAnsi="宋体" w:eastAsia="Arial"/>
          <w:color w:val="000000" w:themeColor="text1"/>
          <w:szCs w:val="21"/>
          <w14:textFill>
            <w14:solidFill>
              <w14:schemeClr w14:val="tx1"/>
            </w14:solidFill>
          </w14:textFill>
        </w:rPr>
      </w:pPr>
      <w:r>
        <w:rPr>
          <w:rFonts w:hint="eastAsia" w:ascii="宋体" w:hAnsi="宋体" w:eastAsia="Arial"/>
          <w:bCs/>
          <w:color w:val="000000" w:themeColor="text1"/>
          <w:szCs w:val="21"/>
          <w14:textFill>
            <w14:solidFill>
              <w14:schemeClr w14:val="tx1"/>
            </w14:solidFill>
          </w14:textFill>
        </w:rPr>
        <w:t>15.4</w:t>
      </w:r>
      <w:r>
        <w:rPr>
          <w:rFonts w:hint="eastAsia" w:ascii="宋体" w:hAnsi="宋体" w:cs="宋体"/>
          <w:bCs/>
          <w:color w:val="000000" w:themeColor="text1"/>
          <w:szCs w:val="21"/>
          <w14:textFill>
            <w14:solidFill>
              <w14:schemeClr w14:val="tx1"/>
            </w14:solidFill>
          </w14:textFill>
        </w:rPr>
        <w:t>其他违约责任根据项目实际需要按</w:t>
      </w:r>
      <w:r>
        <w:rPr>
          <w:rFonts w:hint="eastAsia" w:ascii="宋体" w:hAnsi="宋体" w:cs="宋体"/>
          <w:b/>
          <w:bCs/>
          <w:color w:val="000000" w:themeColor="text1"/>
          <w:szCs w:val="21"/>
          <w14:textFill>
            <w14:solidFill>
              <w14:schemeClr w14:val="tx1"/>
            </w14:solidFill>
          </w14:textFill>
        </w:rPr>
        <w:t>【政府采购合同专用条款】</w:t>
      </w:r>
      <w:r>
        <w:rPr>
          <w:rFonts w:hint="eastAsia" w:ascii="宋体" w:hAnsi="宋体" w:cs="宋体"/>
          <w:color w:val="000000" w:themeColor="text1"/>
          <w:szCs w:val="21"/>
          <w14:textFill>
            <w14:solidFill>
              <w14:schemeClr w14:val="tx1"/>
            </w14:solidFill>
          </w14:textFill>
        </w:rPr>
        <w:t>规定执行。</w:t>
      </w:r>
    </w:p>
    <w:p w14:paraId="5D616DEE">
      <w:pPr>
        <w:numPr>
          <w:ilvl w:val="0"/>
          <w:numId w:val="10"/>
        </w:numPr>
        <w:spacing w:line="400" w:lineRule="exact"/>
        <w:jc w:val="left"/>
        <w:rPr>
          <w:rFonts w:ascii="宋体" w:hAnsi="宋体" w:eastAsia="Arial"/>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合</w:t>
      </w:r>
      <w:r>
        <w:rPr>
          <w:rFonts w:hint="eastAsia" w:ascii="宋体" w:hAnsi="宋体" w:eastAsia="Arial"/>
          <w:b/>
          <w:color w:val="000000" w:themeColor="text1"/>
          <w:sz w:val="24"/>
          <w14:textFill>
            <w14:solidFill>
              <w14:schemeClr w14:val="tx1"/>
            </w14:solidFill>
          </w14:textFill>
        </w:rPr>
        <w:t>同变更、中止与终止</w:t>
      </w:r>
    </w:p>
    <w:p w14:paraId="7DC33413">
      <w:pPr>
        <w:spacing w:line="400" w:lineRule="exact"/>
        <w:ind w:firstLine="420"/>
        <w:jc w:val="left"/>
        <w:rPr>
          <w:rFonts w:ascii="宋体" w:hAnsi="宋体" w:eastAsia="Arial"/>
          <w:bCs/>
          <w:color w:val="000000" w:themeColor="text1"/>
          <w:szCs w:val="21"/>
          <w14:textFill>
            <w14:solidFill>
              <w14:schemeClr w14:val="tx1"/>
            </w14:solidFill>
          </w14:textFill>
        </w:rPr>
      </w:pPr>
      <w:r>
        <w:rPr>
          <w:rFonts w:hint="eastAsia" w:ascii="宋体" w:hAnsi="宋体" w:eastAsia="Arial"/>
          <w:bCs/>
          <w:color w:val="000000" w:themeColor="text1"/>
          <w:szCs w:val="21"/>
          <w14:textFill>
            <w14:solidFill>
              <w14:schemeClr w14:val="tx1"/>
            </w14:solidFill>
          </w14:textFill>
        </w:rPr>
        <w:t>16.1合同的变更</w:t>
      </w:r>
    </w:p>
    <w:p w14:paraId="44B1BD54">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政</w:t>
      </w:r>
      <w:r>
        <w:rPr>
          <w:rFonts w:hint="eastAsia" w:ascii="宋体" w:hAnsi="宋体" w:eastAsia="Arial"/>
          <w:color w:val="000000" w:themeColor="text1"/>
          <w:szCs w:val="21"/>
          <w14:textFill>
            <w14:solidFill>
              <w14:schemeClr w14:val="tx1"/>
            </w14:solidFill>
          </w14:textFill>
        </w:rPr>
        <w:t>府采购合同履行中，在不改变合同其他条款的前提下，甲方可以在合同价款10%的范围内追加与合同标的相同的</w:t>
      </w:r>
      <w:r>
        <w:rPr>
          <w:rFonts w:hint="eastAsia" w:ascii="宋体" w:hAnsi="宋体" w:cs="宋体"/>
          <w:color w:val="000000" w:themeColor="text1"/>
          <w:szCs w:val="21"/>
          <w14:textFill>
            <w14:solidFill>
              <w14:schemeClr w14:val="tx1"/>
            </w14:solidFill>
          </w14:textFill>
        </w:rPr>
        <w:t>服务（10%以内）</w:t>
      </w:r>
      <w:r>
        <w:rPr>
          <w:rFonts w:hint="eastAsia" w:ascii="宋体" w:hAnsi="宋体" w:eastAsia="Arial"/>
          <w:color w:val="000000" w:themeColor="text1"/>
          <w:szCs w:val="21"/>
          <w14:textFill>
            <w14:solidFill>
              <w14:schemeClr w14:val="tx1"/>
            </w14:solidFill>
          </w14:textFill>
        </w:rPr>
        <w:t>，并就此与乙方协商一致后签订补充协议。</w:t>
      </w:r>
    </w:p>
    <w:p w14:paraId="71B9263D">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16.2合同的中止</w:t>
      </w:r>
    </w:p>
    <w:p w14:paraId="66FCF37C">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1）合同履行过程中因</w:t>
      </w:r>
      <w:r>
        <w:rPr>
          <w:rFonts w:hint="eastAsia" w:ascii="宋体" w:hAnsi="宋体"/>
          <w:color w:val="000000" w:themeColor="text1"/>
          <w:szCs w:val="21"/>
          <w14:textFill>
            <w14:solidFill>
              <w14:schemeClr w14:val="tx1"/>
            </w14:solidFill>
          </w14:textFill>
        </w:rPr>
        <w:t>投标人</w:t>
      </w:r>
      <w:r>
        <w:rPr>
          <w:rFonts w:hint="eastAsia" w:ascii="宋体" w:hAnsi="宋体" w:eastAsia="Arial"/>
          <w:color w:val="000000" w:themeColor="text1"/>
          <w:szCs w:val="21"/>
          <w14:textFill>
            <w14:solidFill>
              <w14:schemeClr w14:val="tx1"/>
            </w14:solidFill>
          </w14:textFill>
        </w:rPr>
        <w:t>就采购文件、采购过程或结果提起投诉的，甲方认为有必要的，可以中止合同的履行。</w:t>
      </w:r>
    </w:p>
    <w:p w14:paraId="1115C9AC">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BE67500">
      <w:pPr>
        <w:spacing w:line="400" w:lineRule="exact"/>
        <w:ind w:firstLine="420"/>
        <w:rPr>
          <w:rFonts w:hint="eastAsia" w:ascii="华文楷体" w:hAnsi="华文楷体" w:eastAsia="华文楷体" w:cs="华文楷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（3）乙方分立、合并或者变更住所的，应当及时以书面形式告知甲方。乙方没有及时告知甲方，致使合同履行发生困难的，甲方可以中止合同履行并要求乙方承担由此给甲方造成的损失。</w:t>
      </w:r>
    </w:p>
    <w:p w14:paraId="2323263E">
      <w:pPr>
        <w:spacing w:line="400" w:lineRule="exact"/>
        <w:ind w:firstLine="420"/>
        <w:jc w:val="left"/>
        <w:rPr>
          <w:rFonts w:ascii="Calibri" w:hAnsi="Calibri" w:eastAsia="Arial"/>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4）甲方不得以行政区划调整、政府换届、机构或者职能调整以及相关责任人更替为由中止合同。</w:t>
      </w:r>
    </w:p>
    <w:p w14:paraId="167ED691">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16.3合同的终止</w:t>
      </w:r>
    </w:p>
    <w:p w14:paraId="1AFA3B71">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1）合同因有效期限届满而终止；</w:t>
      </w:r>
    </w:p>
    <w:p w14:paraId="0CC70B76">
      <w:pPr>
        <w:spacing w:line="400" w:lineRule="exact"/>
        <w:ind w:firstLine="420"/>
        <w:rPr>
          <w:rFonts w:ascii="宋体" w:hAnsi="宋体" w:eastAsia="Arial"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eastAsia="Arial"/>
          <w:color w:val="000000" w:themeColor="text1"/>
          <w:szCs w:val="21"/>
          <w14:textFill>
            <w14:solidFill>
              <w14:schemeClr w14:val="tx1"/>
            </w14:solidFill>
          </w14:textFill>
        </w:rPr>
        <w:t>2）乙方未按合同约定履行，构成根本性违约的，甲方有权终止合同，</w:t>
      </w:r>
      <w:r>
        <w:rPr>
          <w:rFonts w:hint="eastAsia" w:ascii="宋体" w:hAnsi="宋体" w:eastAsia="Arial" w:cs="宋体"/>
          <w:color w:val="000000" w:themeColor="text1"/>
          <w:szCs w:val="21"/>
          <w14:textFill>
            <w14:solidFill>
              <w14:schemeClr w14:val="tx1"/>
            </w14:solidFill>
          </w14:textFill>
        </w:rPr>
        <w:t>并追究乙方的违约责任</w:t>
      </w:r>
      <w:r>
        <w:rPr>
          <w:rFonts w:hint="eastAsia" w:ascii="宋体" w:hAnsi="宋体" w:eastAsia="Arial"/>
          <w:color w:val="000000" w:themeColor="text1"/>
          <w:szCs w:val="21"/>
          <w14:textFill>
            <w14:solidFill>
              <w14:schemeClr w14:val="tx1"/>
            </w14:solidFill>
          </w14:textFill>
        </w:rPr>
        <w:t>。</w:t>
      </w:r>
    </w:p>
    <w:p w14:paraId="4B0F6431">
      <w:pPr>
        <w:spacing w:line="400" w:lineRule="exact"/>
        <w:ind w:firstLine="440"/>
        <w:rPr>
          <w:rFonts w:hint="eastAsia" w:ascii="宋体" w:hAnsi="宋体" w:eastAsia="华文楷体" w:cs="华文楷体"/>
          <w:color w:val="000000" w:themeColor="text1"/>
          <w:sz w:val="22"/>
          <w:szCs w:val="21"/>
          <w14:textFill>
            <w14:solidFill>
              <w14:schemeClr w14:val="tx1"/>
            </w14:solidFill>
          </w14:textFill>
        </w:rPr>
      </w:pPr>
      <w:r>
        <w:rPr>
          <w:rFonts w:hint="eastAsia" w:ascii="宋体" w:hAnsi="宋体" w:eastAsia="华文楷体" w:cs="华文楷体"/>
          <w:color w:val="000000" w:themeColor="text1"/>
          <w:sz w:val="22"/>
          <w:szCs w:val="21"/>
          <w14:textFill>
            <w14:solidFill>
              <w14:schemeClr w14:val="tx1"/>
            </w14:solidFill>
          </w14:textFill>
        </w:rPr>
        <w:t>16.4</w:t>
      </w:r>
      <w:r>
        <w:rPr>
          <w:rFonts w:hint="eastAsia" w:ascii="宋体" w:hAnsi="宋体"/>
          <w:color w:val="000000" w:themeColor="text1"/>
          <w:szCs w:val="21"/>
          <w14:textFill>
            <w14:solidFill>
              <w14:schemeClr w14:val="tx1"/>
            </w14:solidFill>
          </w14:textFill>
        </w:rPr>
        <w:t>涉及国家利益、社会公共利益的情形</w:t>
      </w:r>
    </w:p>
    <w:p w14:paraId="288379BA">
      <w:pPr>
        <w:spacing w:line="400" w:lineRule="exact"/>
        <w:ind w:firstLine="420"/>
        <w:rPr>
          <w:rFonts w:hint="eastAsia" w:ascii="华文楷体" w:hAnsi="华文楷体" w:eastAsia="华文楷体" w:cs="华文楷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政府采购合同继续履行将损害国家利益和社会公共利益的，双方当事人应当变更、中止或者终止合同。有过错的一方应当承担赔偿责任，双方都有过错的，各自承担相应的责任。</w:t>
      </w:r>
    </w:p>
    <w:p w14:paraId="56E1AAD0">
      <w:p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17.合同分包</w:t>
      </w:r>
    </w:p>
    <w:p w14:paraId="2A62CA07">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17.1乙方不得将合同转包给其他</w:t>
      </w:r>
      <w:r>
        <w:rPr>
          <w:rFonts w:hint="eastAsia" w:ascii="宋体" w:hAnsi="宋体"/>
          <w:color w:val="000000" w:themeColor="text1"/>
          <w:szCs w:val="21"/>
          <w14:textFill>
            <w14:solidFill>
              <w14:schemeClr w14:val="tx1"/>
            </w14:solidFill>
          </w14:textFill>
        </w:rPr>
        <w:t>投标人</w:t>
      </w:r>
      <w:r>
        <w:rPr>
          <w:rFonts w:hint="eastAsia" w:ascii="宋体" w:hAnsi="宋体" w:eastAsia="Arial"/>
          <w:color w:val="000000" w:themeColor="text1"/>
          <w:szCs w:val="21"/>
          <w14:textFill>
            <w14:solidFill>
              <w14:schemeClr w14:val="tx1"/>
            </w14:solidFill>
          </w14:textFill>
        </w:rPr>
        <w:t>。涉及合同分包的，乙方应根据采购文件和投标（响应）文件规定进行合同分包。</w:t>
      </w:r>
    </w:p>
    <w:p w14:paraId="2AED2791">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17.2乙方执行政府采购政策向中小企业依法分包的，乙方应当按采购文件和投标（响应）文件签订分包意向协议，分包意向协议属于本合同组成部分。</w:t>
      </w:r>
    </w:p>
    <w:p w14:paraId="6713A1EB">
      <w:p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18.不可抗力</w:t>
      </w:r>
    </w:p>
    <w:p w14:paraId="77378FB5">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18.1不可抗力是指合同双方不能预见、不能避免且不能克服的客观情况。</w:t>
      </w:r>
    </w:p>
    <w:p w14:paraId="2990FCB4">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18.2任何一方对由于不可抗力造成的部分或全部不能履行合同不承担违约责任。但迟延履行后发生不可抗力的，不能免除责任。</w:t>
      </w:r>
    </w:p>
    <w:p w14:paraId="3A3B593C">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18.3遇有不可抗力的一方，应及时将事件情况以书面形式告知另一方，并在事件发生后及时向另一方提交合同不能履行或部分不能履行或需要延期履行的详细报告，以及证明不可抗力发生及其持续时间的证据。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1DB3674">
      <w:p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eastAsia="Arial"/>
          <w:b/>
          <w:bCs/>
          <w:color w:val="000000" w:themeColor="text1"/>
          <w:sz w:val="24"/>
          <w14:textFill>
            <w14:solidFill>
              <w14:schemeClr w14:val="tx1"/>
            </w14:solidFill>
          </w14:textFill>
        </w:rPr>
        <w:t>19.解决争议的方法</w:t>
      </w:r>
    </w:p>
    <w:p w14:paraId="21C4C9F2">
      <w:pPr>
        <w:spacing w:line="40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19.1因本合同及合同有关事项发生的争议，由甲乙双方友好协商解决。协商不成时，可以向有关组织申请调解。合同一方或双方不愿调解或调解不成的，可以通过仲裁或诉讼的方式解决争议。</w:t>
      </w:r>
    </w:p>
    <w:p w14:paraId="15841F89">
      <w:pPr>
        <w:spacing w:line="40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19.2选择仲裁的，应在</w:t>
      </w:r>
      <w:r>
        <w:rPr>
          <w:rFonts w:hint="eastAsia" w:ascii="宋体" w:hAnsi="宋体" w:cs="宋体"/>
          <w:b/>
          <w:bCs/>
          <w:color w:val="000000" w:themeColor="text1"/>
          <w:szCs w:val="21"/>
          <w14:textFill>
            <w14:solidFill>
              <w14:schemeClr w14:val="tx1"/>
            </w14:solidFill>
          </w14:textFill>
        </w:rPr>
        <w:t>【政府采购合同专用条款】</w:t>
      </w:r>
      <w:r>
        <w:rPr>
          <w:rFonts w:hint="eastAsia" w:ascii="宋体" w:hAnsi="宋体" w:cs="宋体"/>
          <w:color w:val="000000" w:themeColor="text1"/>
          <w:szCs w:val="21"/>
          <w14:textFill>
            <w14:solidFill>
              <w14:schemeClr w14:val="tx1"/>
            </w14:solidFill>
          </w14:textFill>
        </w:rPr>
        <w:t>中明确仲裁机构及仲裁地；通过诉讼方式解决的，可以在</w:t>
      </w:r>
      <w:r>
        <w:rPr>
          <w:rFonts w:hint="eastAsia" w:ascii="宋体" w:hAnsi="宋体" w:cs="宋体"/>
          <w:b/>
          <w:bCs/>
          <w:color w:val="000000" w:themeColor="text1"/>
          <w:szCs w:val="21"/>
          <w14:textFill>
            <w14:solidFill>
              <w14:schemeClr w14:val="tx1"/>
            </w14:solidFill>
          </w14:textFill>
        </w:rPr>
        <w:t>【政府采购合同专用条款】</w:t>
      </w:r>
      <w:r>
        <w:rPr>
          <w:rFonts w:hint="eastAsia" w:ascii="宋体" w:hAnsi="宋体" w:cs="宋体"/>
          <w:color w:val="000000" w:themeColor="text1"/>
          <w:szCs w:val="21"/>
          <w14:textFill>
            <w14:solidFill>
              <w14:schemeClr w14:val="tx1"/>
            </w14:solidFill>
          </w14:textFill>
        </w:rPr>
        <w:t>中进一步约定选择与争议有实际联系的地点的人民法院管辖，但管辖法院的约定不得违反级别管辖和专属管辖的规定。</w:t>
      </w:r>
    </w:p>
    <w:p w14:paraId="08BA7D5A">
      <w:pPr>
        <w:spacing w:line="40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19.3如甲乙双方有争议的事项不影响合同其他部分的履行，在争议解决期间，合同其他部分应当继续履行。</w:t>
      </w:r>
    </w:p>
    <w:p w14:paraId="75678A1C">
      <w:pPr>
        <w:spacing w:line="400" w:lineRule="exact"/>
        <w:jc w:val="left"/>
        <w:rPr>
          <w:rFonts w:ascii="宋体" w:hAnsi="宋体" w:eastAsia="Arial"/>
          <w:color w:val="000000" w:themeColor="text1"/>
          <w:sz w:val="24"/>
          <w14:textFill>
            <w14:solidFill>
              <w14:schemeClr w14:val="tx1"/>
            </w14:solidFill>
          </w14:textFill>
        </w:rPr>
      </w:pPr>
      <w:r>
        <w:rPr>
          <w:rFonts w:hint="eastAsia" w:ascii="宋体" w:hAnsi="宋体" w:eastAsia="Arial"/>
          <w:b/>
          <w:color w:val="000000" w:themeColor="text1"/>
          <w:sz w:val="24"/>
          <w14:textFill>
            <w14:solidFill>
              <w14:schemeClr w14:val="tx1"/>
            </w14:solidFill>
          </w14:textFill>
        </w:rPr>
        <w:t>20.政府采购政策</w:t>
      </w:r>
    </w:p>
    <w:p w14:paraId="202A38A7">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20.1</w:t>
      </w:r>
      <w:r>
        <w:rPr>
          <w:rFonts w:hint="eastAsia" w:ascii="宋体" w:hAnsi="宋体" w:eastAsia="Arial" w:cs="宋体"/>
          <w:color w:val="000000" w:themeColor="text1"/>
          <w:lang w:val="en-GB"/>
          <w14:textFill>
            <w14:solidFill>
              <w14:schemeClr w14:val="tx1"/>
            </w14:solidFill>
          </w14:textFill>
        </w:rPr>
        <w:t>本合同应当按照规定执行政府采购政策。</w:t>
      </w:r>
    </w:p>
    <w:p w14:paraId="0ECC287A">
      <w:pPr>
        <w:spacing w:line="400" w:lineRule="exact"/>
        <w:ind w:firstLine="420"/>
        <w:jc w:val="left"/>
        <w:rPr>
          <w:rFonts w:ascii="宋体" w:hAnsi="宋体" w:eastAsia="Arial"/>
          <w:color w:val="000000" w:themeColor="text1"/>
          <w:szCs w:val="21"/>
          <w14:textFill>
            <w14:solidFill>
              <w14:schemeClr w14:val="tx1"/>
            </w14:solidFill>
          </w14:textFill>
        </w:rPr>
      </w:pPr>
      <w:r>
        <w:rPr>
          <w:rFonts w:ascii="宋体" w:hAnsi="宋体" w:eastAsia="Arial"/>
          <w:color w:val="000000" w:themeColor="text1"/>
          <w:szCs w:val="21"/>
          <w14:textFill>
            <w14:solidFill>
              <w14:schemeClr w14:val="tx1"/>
            </w14:solidFill>
          </w14:textFill>
        </w:rPr>
        <w:t>2</w:t>
      </w:r>
      <w:r>
        <w:rPr>
          <w:rFonts w:hint="eastAsia" w:ascii="宋体" w:hAnsi="宋体" w:eastAsia="Arial"/>
          <w:color w:val="000000" w:themeColor="text1"/>
          <w:szCs w:val="21"/>
          <w14:textFill>
            <w14:solidFill>
              <w14:schemeClr w14:val="tx1"/>
            </w14:solidFill>
          </w14:textFill>
        </w:rPr>
        <w:t>0.2本合同依法执行政府采购政策的方式和内容，属于合同履约验收的范围。</w:t>
      </w:r>
      <w:r>
        <w:rPr>
          <w:rFonts w:hint="eastAsia" w:ascii="宋体" w:hAnsi="宋体" w:eastAsia="Arial" w:cs="宋体"/>
          <w:color w:val="000000" w:themeColor="text1"/>
          <w14:textFill>
            <w14:solidFill>
              <w14:schemeClr w14:val="tx1"/>
            </w14:solidFill>
          </w14:textFill>
        </w:rPr>
        <w:t>甲乙双方</w:t>
      </w:r>
      <w:r>
        <w:rPr>
          <w:rFonts w:hint="eastAsia" w:ascii="宋体" w:hAnsi="宋体" w:eastAsia="Arial" w:cs="宋体"/>
          <w:color w:val="000000" w:themeColor="text1"/>
          <w:lang w:val="en-GB"/>
          <w14:textFill>
            <w14:solidFill>
              <w14:schemeClr w14:val="tx1"/>
            </w14:solidFill>
          </w14:textFill>
        </w:rPr>
        <w:t>未按规定要求执行政府采购政策造成损失的</w:t>
      </w:r>
      <w:r>
        <w:rPr>
          <w:rFonts w:hint="eastAsia" w:ascii="宋体" w:hAnsi="宋体" w:eastAsia="Arial"/>
          <w:color w:val="000000" w:themeColor="text1"/>
          <w:szCs w:val="21"/>
          <w14:textFill>
            <w14:solidFill>
              <w14:schemeClr w14:val="tx1"/>
            </w14:solidFill>
          </w14:textFill>
        </w:rPr>
        <w:t>，有过错的一方应当承担赔偿责任，双方都有过错的，各自承担相应的责任。</w:t>
      </w:r>
    </w:p>
    <w:p w14:paraId="49398093">
      <w:pPr>
        <w:spacing w:line="400" w:lineRule="exact"/>
        <w:ind w:firstLine="420"/>
        <w:rPr>
          <w:rFonts w:ascii="Calibri" w:hAnsi="Calibri"/>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E066058">
      <w:pPr>
        <w:spacing w:line="400" w:lineRule="exact"/>
        <w:jc w:val="left"/>
        <w:rPr>
          <w:rFonts w:ascii="宋体" w:hAnsi="宋体" w:eastAsia="Arial"/>
          <w:b/>
          <w:color w:val="000000" w:themeColor="text1"/>
          <w:sz w:val="24"/>
          <w14:textFill>
            <w14:solidFill>
              <w14:schemeClr w14:val="tx1"/>
            </w14:solidFill>
          </w14:textFill>
        </w:rPr>
      </w:pPr>
      <w:r>
        <w:rPr>
          <w:rFonts w:hint="eastAsia" w:ascii="宋体" w:hAnsi="宋体" w:eastAsia="Arial"/>
          <w:b/>
          <w:color w:val="000000" w:themeColor="text1"/>
          <w:sz w:val="24"/>
          <w14:textFill>
            <w14:solidFill>
              <w14:schemeClr w14:val="tx1"/>
            </w14:solidFill>
          </w14:textFill>
        </w:rPr>
        <w:t>21.法律适用</w:t>
      </w:r>
    </w:p>
    <w:p w14:paraId="15AADAC0">
      <w:pPr>
        <w:spacing w:line="40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21.1本合同的订立、生效、解释、履行及与本合同有关的争议解决，均适用法律、行政法规。</w:t>
      </w:r>
    </w:p>
    <w:p w14:paraId="5696B5DD">
      <w:pPr>
        <w:spacing w:line="40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21.2本合同条款与法律、行政法规的强制性规定不一致的，双方当事人应按照法律、行政法规的强制性规定修改本合同的相关条款。</w:t>
      </w:r>
    </w:p>
    <w:p w14:paraId="6ECBCF60">
      <w:pPr>
        <w:spacing w:line="400" w:lineRule="exact"/>
        <w:jc w:val="left"/>
        <w:rPr>
          <w:rFonts w:ascii="宋体" w:hAnsi="宋体" w:eastAsia="Arial"/>
          <w:b/>
          <w:color w:val="000000" w:themeColor="text1"/>
          <w:sz w:val="24"/>
          <w14:textFill>
            <w14:solidFill>
              <w14:schemeClr w14:val="tx1"/>
            </w14:solidFill>
          </w14:textFill>
        </w:rPr>
      </w:pPr>
      <w:r>
        <w:rPr>
          <w:rFonts w:hint="eastAsia" w:ascii="宋体" w:hAnsi="宋体" w:eastAsia="Arial"/>
          <w:b/>
          <w:color w:val="000000" w:themeColor="text1"/>
          <w:sz w:val="24"/>
          <w14:textFill>
            <w14:solidFill>
              <w14:schemeClr w14:val="tx1"/>
            </w14:solidFill>
          </w14:textFill>
        </w:rPr>
        <w:t>22.通知</w:t>
      </w:r>
    </w:p>
    <w:p w14:paraId="1BDF8BE4">
      <w:pPr>
        <w:spacing w:line="40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22.1本合同任何一方向对方发出的通知、信件、数据电文等，应当发送至本合同第一部分《政府采购合同协议书》所约定的通讯地址、联系人、联系电话或电子邮箱。</w:t>
      </w:r>
    </w:p>
    <w:p w14:paraId="6A066099">
      <w:pPr>
        <w:spacing w:line="400" w:lineRule="exact"/>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22.2一方当事人变更名称、住所、联系人、联系电话或电子邮箱等信息的，应当在变更后3日内及时书面通知对方，对方实际收到变更通知前的送达仍为有效送达。</w:t>
      </w:r>
    </w:p>
    <w:p w14:paraId="11B4C552">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22.3本合同一方给另一方的通知均应采用书面形式，传真或快递送到本合同中规定的对方的地址和办理签收手续。</w:t>
      </w:r>
    </w:p>
    <w:p w14:paraId="5F02984E">
      <w:pPr>
        <w:spacing w:line="400" w:lineRule="exact"/>
        <w:ind w:firstLine="420"/>
        <w:jc w:val="left"/>
        <w:rPr>
          <w:rFonts w:ascii="宋体" w:hAnsi="宋体" w:eastAsia="Arial"/>
          <w:color w:val="000000" w:themeColor="text1"/>
          <w:szCs w:val="21"/>
          <w14:textFill>
            <w14:solidFill>
              <w14:schemeClr w14:val="tx1"/>
            </w14:solidFill>
          </w14:textFill>
        </w:rPr>
      </w:pPr>
      <w:r>
        <w:rPr>
          <w:rFonts w:hint="eastAsia" w:ascii="宋体" w:hAnsi="宋体" w:eastAsia="Arial"/>
          <w:color w:val="000000" w:themeColor="text1"/>
          <w:szCs w:val="21"/>
          <w14:textFill>
            <w14:solidFill>
              <w14:schemeClr w14:val="tx1"/>
            </w14:solidFill>
          </w14:textFill>
        </w:rPr>
        <w:t>22.4通知以送达之日或通知书中规定的生效之日起生效，两者中以较迟之日为准。</w:t>
      </w:r>
    </w:p>
    <w:p w14:paraId="0199C70D">
      <w:pPr>
        <w:numPr>
          <w:ilvl w:val="0"/>
          <w:numId w:val="11"/>
        </w:numPr>
        <w:spacing w:line="400" w:lineRule="exact"/>
        <w:jc w:val="left"/>
        <w:rPr>
          <w:rFonts w:ascii="宋体" w:hAnsi="宋体" w:eastAsia="Arial"/>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合</w:t>
      </w:r>
      <w:r>
        <w:rPr>
          <w:rFonts w:hint="eastAsia" w:ascii="宋体" w:hAnsi="宋体" w:eastAsia="Arial"/>
          <w:b/>
          <w:bCs/>
          <w:color w:val="000000" w:themeColor="text1"/>
          <w:sz w:val="24"/>
          <w14:textFill>
            <w14:solidFill>
              <w14:schemeClr w14:val="tx1"/>
            </w14:solidFill>
          </w14:textFill>
        </w:rPr>
        <w:t>同未尽事项</w:t>
      </w:r>
    </w:p>
    <w:p w14:paraId="0375E19E">
      <w:pPr>
        <w:spacing w:line="400" w:lineRule="exact"/>
        <w:ind w:firstLine="420"/>
        <w:jc w:val="left"/>
        <w:rPr>
          <w:rFonts w:ascii="宋体" w:hAnsi="宋体" w:eastAsia="Arial"/>
          <w:bCs/>
          <w:color w:val="000000" w:themeColor="text1"/>
          <w:szCs w:val="21"/>
          <w14:textFill>
            <w14:solidFill>
              <w14:schemeClr w14:val="tx1"/>
            </w14:solidFill>
          </w14:textFill>
        </w:rPr>
      </w:pPr>
      <w:r>
        <w:rPr>
          <w:rFonts w:hint="eastAsia" w:ascii="宋体" w:hAnsi="宋体" w:eastAsia="Arial"/>
          <w:bCs/>
          <w:color w:val="000000" w:themeColor="text1"/>
          <w:szCs w:val="21"/>
          <w14:textFill>
            <w14:solidFill>
              <w14:schemeClr w14:val="tx1"/>
            </w14:solidFill>
          </w14:textFill>
        </w:rPr>
        <w:t>23.1合同未尽事项见</w:t>
      </w:r>
      <w:r>
        <w:rPr>
          <w:rFonts w:hint="eastAsia" w:ascii="宋体" w:hAnsi="宋体" w:eastAsia="Arial"/>
          <w:b/>
          <w:color w:val="000000" w:themeColor="text1"/>
          <w:szCs w:val="21"/>
          <w14:textFill>
            <w14:solidFill>
              <w14:schemeClr w14:val="tx1"/>
            </w14:solidFill>
          </w14:textFill>
        </w:rPr>
        <w:t>【政府采购合同专用条款】</w:t>
      </w:r>
      <w:r>
        <w:rPr>
          <w:rFonts w:hint="eastAsia" w:ascii="宋体" w:hAnsi="宋体" w:eastAsia="Arial"/>
          <w:bCs/>
          <w:color w:val="000000" w:themeColor="text1"/>
          <w:szCs w:val="21"/>
          <w14:textFill>
            <w14:solidFill>
              <w14:schemeClr w14:val="tx1"/>
            </w14:solidFill>
          </w14:textFill>
        </w:rPr>
        <w:t>。</w:t>
      </w:r>
    </w:p>
    <w:p w14:paraId="5C5D1E19">
      <w:pPr>
        <w:spacing w:line="400" w:lineRule="exact"/>
        <w:jc w:val="left"/>
        <w:rPr>
          <w:rFonts w:hint="eastAsia" w:ascii="黑体" w:hAnsi="华文中宋" w:eastAsia="黑体"/>
          <w:color w:val="000000" w:themeColor="text1"/>
          <w:sz w:val="28"/>
          <w:szCs w:val="28"/>
          <w14:textFill>
            <w14:solidFill>
              <w14:schemeClr w14:val="tx1"/>
            </w14:solidFill>
          </w14:textFill>
        </w:rPr>
      </w:pPr>
      <w:r>
        <w:rPr>
          <w:rFonts w:hint="eastAsia" w:ascii="宋体" w:hAnsi="宋体" w:eastAsia="Arial"/>
          <w:bCs/>
          <w:color w:val="000000" w:themeColor="text1"/>
          <w:szCs w:val="21"/>
          <w14:textFill>
            <w14:solidFill>
              <w14:schemeClr w14:val="tx1"/>
            </w14:solidFill>
          </w14:textFill>
        </w:rPr>
        <w:t>23.2合同附件与合同正文具有同等的法律效力。</w:t>
      </w:r>
      <w:bookmarkStart w:id="174" w:name="_Toc20313"/>
    </w:p>
    <w:p w14:paraId="7B589727">
      <w:pPr>
        <w:jc w:val="center"/>
        <w:rPr>
          <w:rFonts w:hint="eastAsia"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br w:type="page" w:clear="all"/>
      </w:r>
      <w:r>
        <w:rPr>
          <w:rFonts w:hint="eastAsia" w:ascii="黑体" w:hAnsi="华文中宋" w:eastAsia="黑体"/>
          <w:color w:val="000000" w:themeColor="text1"/>
          <w:sz w:val="28"/>
          <w:szCs w:val="28"/>
          <w14:textFill>
            <w14:solidFill>
              <w14:schemeClr w14:val="tx1"/>
            </w14:solidFill>
          </w14:textFill>
        </w:rPr>
        <w:t>第三节政府采购合同专用条款</w:t>
      </w:r>
      <w:bookmarkEnd w:id="174"/>
    </w:p>
    <w:tbl>
      <w:tblPr>
        <w:tblStyle w:val="48"/>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2354"/>
        <w:gridCol w:w="4558"/>
      </w:tblGrid>
      <w:tr w14:paraId="5D44D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10ABAD9B">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252FBF4B">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1.2（6）项</w:t>
            </w:r>
          </w:p>
        </w:tc>
        <w:tc>
          <w:tcPr>
            <w:tcW w:w="2354" w:type="dxa"/>
            <w:vAlign w:val="center"/>
          </w:tcPr>
          <w:p w14:paraId="33CA6BA0">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w:t>
            </w:r>
            <w:r>
              <w:rPr>
                <w:rFonts w:hint="eastAsia" w:ascii="宋体" w:hAnsi="宋体" w:eastAsia="Arial"/>
                <w:color w:val="000000" w:themeColor="text1"/>
                <w:szCs w:val="21"/>
                <w14:textFill>
                  <w14:solidFill>
                    <w14:schemeClr w14:val="tx1"/>
                  </w14:solidFill>
                </w14:textFill>
              </w:rPr>
              <w:t>合体具体要求</w:t>
            </w:r>
          </w:p>
        </w:tc>
        <w:tc>
          <w:tcPr>
            <w:tcW w:w="4558" w:type="dxa"/>
            <w:vAlign w:val="center"/>
          </w:tcPr>
          <w:p w14:paraId="778FA89F">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不接受联合体</w:t>
            </w:r>
          </w:p>
        </w:tc>
      </w:tr>
      <w:tr w14:paraId="0F679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607" w:type="dxa"/>
            <w:vAlign w:val="center"/>
          </w:tcPr>
          <w:p w14:paraId="341C56E6">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3E3E7671">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1.2（7）项</w:t>
            </w:r>
          </w:p>
        </w:tc>
        <w:tc>
          <w:tcPr>
            <w:tcW w:w="2354" w:type="dxa"/>
            <w:vAlign w:val="center"/>
          </w:tcPr>
          <w:p w14:paraId="7D52B26D">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w:t>
            </w:r>
            <w:r>
              <w:rPr>
                <w:rFonts w:hint="eastAsia" w:ascii="宋体" w:hAnsi="宋体" w:eastAsia="Arial"/>
                <w:color w:val="000000" w:themeColor="text1"/>
                <w:szCs w:val="21"/>
                <w14:textFill>
                  <w14:solidFill>
                    <w14:schemeClr w14:val="tx1"/>
                  </w14:solidFill>
                </w14:textFill>
              </w:rPr>
              <w:t>他术语解释</w:t>
            </w:r>
          </w:p>
        </w:tc>
        <w:tc>
          <w:tcPr>
            <w:tcW w:w="4558" w:type="dxa"/>
            <w:vAlign w:val="center"/>
          </w:tcPr>
          <w:p w14:paraId="6893F695">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40A64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1500DD48">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5D35D9AA">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4.4款</w:t>
            </w:r>
          </w:p>
        </w:tc>
        <w:tc>
          <w:tcPr>
            <w:tcW w:w="2354" w:type="dxa"/>
            <w:vAlign w:val="center"/>
          </w:tcPr>
          <w:p w14:paraId="75EC25AC">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履</w:t>
            </w:r>
            <w:r>
              <w:rPr>
                <w:rFonts w:hint="eastAsia" w:ascii="宋体" w:hAnsi="宋体" w:eastAsia="Arial"/>
                <w:color w:val="000000" w:themeColor="text1"/>
                <w:szCs w:val="21"/>
                <w14:textFill>
                  <w14:solidFill>
                    <w14:schemeClr w14:val="tx1"/>
                  </w14:solidFill>
                </w14:textFill>
              </w:rPr>
              <w:t>约验收中甲方提出异议或作出说明的期限</w:t>
            </w:r>
          </w:p>
        </w:tc>
        <w:tc>
          <w:tcPr>
            <w:tcW w:w="4558" w:type="dxa"/>
            <w:vAlign w:val="center"/>
          </w:tcPr>
          <w:p w14:paraId="7F6E2C4B">
            <w:pPr>
              <w:jc w:val="center"/>
              <w:rPr>
                <w:rFonts w:ascii="宋体" w:hAnsi="宋体" w:eastAsia="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5个工作日</w:t>
            </w:r>
          </w:p>
        </w:tc>
      </w:tr>
      <w:tr w14:paraId="13FA7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44FF36A0">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0DDF7CFB">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4.6款</w:t>
            </w:r>
          </w:p>
        </w:tc>
        <w:tc>
          <w:tcPr>
            <w:tcW w:w="2354" w:type="dxa"/>
            <w:vAlign w:val="center"/>
          </w:tcPr>
          <w:p w14:paraId="51CA6F64">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约</w:t>
            </w:r>
            <w:r>
              <w:rPr>
                <w:rFonts w:hint="eastAsia" w:ascii="宋体" w:hAnsi="宋体" w:eastAsia="Arial"/>
                <w:color w:val="000000" w:themeColor="text1"/>
                <w:szCs w:val="21"/>
                <w14:textFill>
                  <w14:solidFill>
                    <w14:schemeClr w14:val="tx1"/>
                  </w14:solidFill>
                </w14:textFill>
              </w:rPr>
              <w:t>定甲方承担的其他义务和责任</w:t>
            </w:r>
          </w:p>
        </w:tc>
        <w:tc>
          <w:tcPr>
            <w:tcW w:w="4558" w:type="dxa"/>
            <w:vAlign w:val="center"/>
          </w:tcPr>
          <w:p w14:paraId="5E2030BC">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34F0C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0B566599">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0C8445EC">
            <w:pPr>
              <w:jc w:val="center"/>
              <w:rPr>
                <w:rFonts w:ascii="Calibri" w:hAnsi="Calibri" w:eastAsia="Arial"/>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5.4款</w:t>
            </w:r>
          </w:p>
        </w:tc>
        <w:tc>
          <w:tcPr>
            <w:tcW w:w="2354" w:type="dxa"/>
            <w:vAlign w:val="center"/>
          </w:tcPr>
          <w:p w14:paraId="497B3012">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约</w:t>
            </w:r>
            <w:r>
              <w:rPr>
                <w:rFonts w:hint="eastAsia" w:ascii="宋体" w:hAnsi="宋体" w:eastAsia="Arial"/>
                <w:color w:val="000000" w:themeColor="text1"/>
                <w:szCs w:val="21"/>
                <w14:textFill>
                  <w14:solidFill>
                    <w14:schemeClr w14:val="tx1"/>
                  </w14:solidFill>
                </w14:textFill>
              </w:rPr>
              <w:t>定乙方承担的其他义务和责任</w:t>
            </w:r>
          </w:p>
        </w:tc>
        <w:tc>
          <w:tcPr>
            <w:tcW w:w="4558" w:type="dxa"/>
            <w:vAlign w:val="center"/>
          </w:tcPr>
          <w:p w14:paraId="15F00B5E">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5FEC9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14F70C2B">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649A9A0C">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6.1款</w:t>
            </w:r>
          </w:p>
        </w:tc>
        <w:tc>
          <w:tcPr>
            <w:tcW w:w="2354" w:type="dxa"/>
            <w:vAlign w:val="center"/>
          </w:tcPr>
          <w:p w14:paraId="1A14A2B1">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履</w:t>
            </w:r>
            <w:r>
              <w:rPr>
                <w:rFonts w:hint="eastAsia" w:ascii="宋体" w:hAnsi="宋体" w:eastAsia="Arial"/>
                <w:color w:val="000000" w:themeColor="text1"/>
                <w:szCs w:val="21"/>
                <w14:textFill>
                  <w14:solidFill>
                    <w14:schemeClr w14:val="tx1"/>
                  </w14:solidFill>
                </w14:textFill>
              </w:rPr>
              <w:t>行合同义务的顺序</w:t>
            </w:r>
          </w:p>
        </w:tc>
        <w:tc>
          <w:tcPr>
            <w:tcW w:w="4558" w:type="dxa"/>
            <w:vAlign w:val="center"/>
          </w:tcPr>
          <w:p w14:paraId="24B21C18">
            <w:pPr>
              <w:jc w:val="center"/>
              <w:rPr>
                <w:rFonts w:ascii="宋体" w:hAnsi="宋体" w:eastAsia="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乙方完成系统部署实施及配套硬件交付、安装调试后申请验收；最终验收合格后甲方按合同约定一次性支付合同金额的100%。</w:t>
            </w:r>
          </w:p>
        </w:tc>
      </w:tr>
      <w:tr w14:paraId="29AAF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1340E8FD">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3C36DCFF">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7.1款</w:t>
            </w:r>
          </w:p>
        </w:tc>
        <w:tc>
          <w:tcPr>
            <w:tcW w:w="2354" w:type="dxa"/>
            <w:vAlign w:val="center"/>
          </w:tcPr>
          <w:p w14:paraId="1FC8E720">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包</w:t>
            </w:r>
            <w:r>
              <w:rPr>
                <w:rFonts w:hint="eastAsia" w:ascii="宋体" w:hAnsi="宋体" w:eastAsia="Arial"/>
                <w:color w:val="000000" w:themeColor="text1"/>
                <w:szCs w:val="21"/>
                <w14:textFill>
                  <w14:solidFill>
                    <w14:schemeClr w14:val="tx1"/>
                  </w14:solidFill>
                </w14:textFill>
              </w:rPr>
              <w:t>装特殊要求</w:t>
            </w:r>
          </w:p>
        </w:tc>
        <w:tc>
          <w:tcPr>
            <w:tcW w:w="4558" w:type="dxa"/>
            <w:vAlign w:val="center"/>
          </w:tcPr>
          <w:p w14:paraId="79576AD9">
            <w:pPr>
              <w:jc w:val="center"/>
              <w:rPr>
                <w:rFonts w:ascii="Calibri" w:hAnsi="Calibri"/>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绿色环保</w:t>
            </w:r>
          </w:p>
        </w:tc>
      </w:tr>
      <w:tr w14:paraId="70DEE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1EF23032">
            <w:pPr>
              <w:jc w:val="center"/>
              <w:rPr>
                <w:rFonts w:ascii="宋体" w:hAnsi="宋体" w:eastAsia="Arial"/>
                <w:color w:val="000000" w:themeColor="text1"/>
                <w:szCs w:val="21"/>
                <w14:textFill>
                  <w14:solidFill>
                    <w14:schemeClr w14:val="tx1"/>
                  </w14:solidFill>
                </w14:textFill>
              </w:rPr>
            </w:pPr>
          </w:p>
        </w:tc>
        <w:tc>
          <w:tcPr>
            <w:tcW w:w="2354" w:type="dxa"/>
            <w:vAlign w:val="center"/>
          </w:tcPr>
          <w:p w14:paraId="4C2FC023">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指</w:t>
            </w:r>
            <w:r>
              <w:rPr>
                <w:rFonts w:hint="eastAsia" w:ascii="宋体" w:hAnsi="宋体" w:eastAsia="Arial"/>
                <w:color w:val="000000" w:themeColor="text1"/>
                <w:szCs w:val="21"/>
                <w14:textFill>
                  <w14:solidFill>
                    <w14:schemeClr w14:val="tx1"/>
                  </w14:solidFill>
                </w14:textFill>
              </w:rPr>
              <w:t>定现场</w:t>
            </w:r>
          </w:p>
        </w:tc>
        <w:tc>
          <w:tcPr>
            <w:tcW w:w="4558" w:type="dxa"/>
            <w:vAlign w:val="center"/>
          </w:tcPr>
          <w:p w14:paraId="5EEACD9D">
            <w:pPr>
              <w:jc w:val="center"/>
              <w:rPr>
                <w:rFonts w:ascii="Calibri" w:hAnsi="Calibri" w:eastAsia="Arial"/>
                <w:color w:val="000000" w:themeColor="text1"/>
                <w14:textFill>
                  <w14:solidFill>
                    <w14:schemeClr w14:val="tx1"/>
                  </w14:solidFill>
                </w14:textFill>
              </w:rPr>
            </w:pPr>
            <w:r>
              <w:rPr>
                <w:rFonts w:hint="eastAsia" w:ascii="Calibri" w:hAnsi="Calibri"/>
                <w:color w:val="000000" w:themeColor="text1"/>
                <w14:textFill>
                  <w14:solidFill>
                    <w14:schemeClr w14:val="tx1"/>
                  </w14:solidFill>
                </w14:textFill>
              </w:rPr>
              <w:t>灌云县教育局</w:t>
            </w:r>
          </w:p>
        </w:tc>
      </w:tr>
      <w:tr w14:paraId="3BF80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2" w:hRule="atLeast"/>
          <w:jc w:val="center"/>
        </w:trPr>
        <w:tc>
          <w:tcPr>
            <w:tcW w:w="1607" w:type="dxa"/>
            <w:vAlign w:val="center"/>
          </w:tcPr>
          <w:p w14:paraId="31E30655">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6D76A8D8">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7.2款</w:t>
            </w:r>
          </w:p>
        </w:tc>
        <w:tc>
          <w:tcPr>
            <w:tcW w:w="2354" w:type="dxa"/>
            <w:vAlign w:val="center"/>
          </w:tcPr>
          <w:p w14:paraId="7C38489F">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运</w:t>
            </w:r>
            <w:r>
              <w:rPr>
                <w:rFonts w:hint="eastAsia" w:ascii="宋体" w:hAnsi="宋体" w:eastAsia="Arial"/>
                <w:color w:val="000000" w:themeColor="text1"/>
                <w:szCs w:val="21"/>
                <w14:textFill>
                  <w14:solidFill>
                    <w14:schemeClr w14:val="tx1"/>
                  </w14:solidFill>
                </w14:textFill>
              </w:rPr>
              <w:t>输特殊要求</w:t>
            </w:r>
          </w:p>
        </w:tc>
        <w:tc>
          <w:tcPr>
            <w:tcW w:w="4558" w:type="dxa"/>
            <w:vAlign w:val="center"/>
          </w:tcPr>
          <w:p w14:paraId="1646FA2B">
            <w:pPr>
              <w:jc w:val="center"/>
              <w:rPr>
                <w:rFonts w:ascii="Calibri" w:hAnsi="Calibri"/>
                <w:color w:val="000000" w:themeColor="text1"/>
                <w14:textFill>
                  <w14:solidFill>
                    <w14:schemeClr w14:val="tx1"/>
                  </w14:solidFill>
                </w14:textFill>
              </w:rPr>
            </w:pPr>
            <w:r>
              <w:rPr>
                <w:rFonts w:hint="eastAsia" w:ascii="Calibri" w:hAnsi="Calibri"/>
                <w:color w:val="000000" w:themeColor="text1"/>
                <w14:textFill>
                  <w14:solidFill>
                    <w14:schemeClr w14:val="tx1"/>
                  </w14:solidFill>
                </w14:textFill>
              </w:rPr>
              <w:t>/</w:t>
            </w:r>
          </w:p>
        </w:tc>
      </w:tr>
      <w:tr w14:paraId="7F419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Align w:val="center"/>
          </w:tcPr>
          <w:p w14:paraId="3547AF4E">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1A1D0474">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7.3款</w:t>
            </w:r>
          </w:p>
        </w:tc>
        <w:tc>
          <w:tcPr>
            <w:tcW w:w="2354" w:type="dxa"/>
            <w:vAlign w:val="center"/>
          </w:tcPr>
          <w:p w14:paraId="664083B2">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保</w:t>
            </w:r>
            <w:r>
              <w:rPr>
                <w:rFonts w:hint="eastAsia" w:ascii="宋体" w:hAnsi="宋体" w:eastAsia="Arial"/>
                <w:color w:val="000000" w:themeColor="text1"/>
                <w:szCs w:val="21"/>
                <w14:textFill>
                  <w14:solidFill>
                    <w14:schemeClr w14:val="tx1"/>
                  </w14:solidFill>
                </w14:textFill>
              </w:rPr>
              <w:t>险要求</w:t>
            </w:r>
          </w:p>
        </w:tc>
        <w:tc>
          <w:tcPr>
            <w:tcW w:w="4558" w:type="dxa"/>
            <w:vAlign w:val="center"/>
          </w:tcPr>
          <w:p w14:paraId="54092E49">
            <w:pPr>
              <w:jc w:val="center"/>
              <w:rPr>
                <w:rFonts w:ascii="Calibri" w:hAnsi="Calibri"/>
                <w:color w:val="000000" w:themeColor="text1"/>
                <w14:textFill>
                  <w14:solidFill>
                    <w14:schemeClr w14:val="tx1"/>
                  </w14:solidFill>
                </w14:textFill>
              </w:rPr>
            </w:pPr>
            <w:r>
              <w:rPr>
                <w:rFonts w:hint="eastAsia"/>
                <w:color w:val="000000" w:themeColor="text1"/>
                <w14:textFill>
                  <w14:solidFill>
                    <w14:schemeClr w14:val="tx1"/>
                  </w14:solidFill>
                </w14:textFill>
              </w:rPr>
              <w:t>由乙方自行办理并承担费用。</w:t>
            </w:r>
          </w:p>
        </w:tc>
      </w:tr>
      <w:tr w14:paraId="1E292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11A09BAC">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5980C49D">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8.2（1）项</w:t>
            </w:r>
          </w:p>
        </w:tc>
        <w:tc>
          <w:tcPr>
            <w:tcW w:w="2354" w:type="dxa"/>
            <w:vAlign w:val="center"/>
          </w:tcPr>
          <w:p w14:paraId="3C039E8A">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服务期</w:t>
            </w:r>
          </w:p>
        </w:tc>
        <w:tc>
          <w:tcPr>
            <w:tcW w:w="4558" w:type="dxa"/>
            <w:vAlign w:val="center"/>
          </w:tcPr>
          <w:p w14:paraId="71E5F65C">
            <w:pPr>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投标人须提供自最终验收合格之日起不少于3年的服务期，提供免费升级和运维服务，包括功能升级、安全补丁、版本更新。</w:t>
            </w:r>
          </w:p>
        </w:tc>
      </w:tr>
      <w:tr w14:paraId="11573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2CA28E49">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73393FE9">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8.2（3）项</w:t>
            </w:r>
          </w:p>
        </w:tc>
        <w:tc>
          <w:tcPr>
            <w:tcW w:w="2354" w:type="dxa"/>
            <w:vAlign w:val="center"/>
          </w:tcPr>
          <w:p w14:paraId="7655D317">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服务质量缺陷响应时间</w:t>
            </w:r>
          </w:p>
        </w:tc>
        <w:tc>
          <w:tcPr>
            <w:tcW w:w="4558" w:type="dxa"/>
            <w:vAlign w:val="center"/>
          </w:tcPr>
          <w:p w14:paraId="55900686">
            <w:pPr>
              <w:jc w:val="center"/>
              <w:rPr>
                <w:rFonts w:ascii="宋体" w:hAnsi="宋体" w:eastAsia="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按照成交供应商承诺时间要求执行。</w:t>
            </w:r>
          </w:p>
        </w:tc>
      </w:tr>
      <w:tr w14:paraId="00C45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59AE00CB">
            <w:pPr>
              <w:jc w:val="center"/>
              <w:rPr>
                <w:rFonts w:ascii="宋体" w:hAnsi="宋体" w:eastAsia="Arial"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s="宋体"/>
                <w:color w:val="000000" w:themeColor="text1"/>
                <w:szCs w:val="21"/>
                <w14:textFill>
                  <w14:solidFill>
                    <w14:schemeClr w14:val="tx1"/>
                  </w14:solidFill>
                </w14:textFill>
              </w:rPr>
              <w:t>二节</w:t>
            </w:r>
          </w:p>
          <w:p w14:paraId="036149C9">
            <w:pPr>
              <w:spacing w:line="400" w:lineRule="exact"/>
              <w:jc w:val="center"/>
              <w:rPr>
                <w:rFonts w:hint="eastAsia" w:ascii="华文楷体" w:hAnsi="华文楷体" w:eastAsia="华文楷体" w:cs="华文楷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第11.1款</w:t>
            </w:r>
          </w:p>
        </w:tc>
        <w:tc>
          <w:tcPr>
            <w:tcW w:w="2354" w:type="dxa"/>
            <w:vAlign w:val="center"/>
          </w:tcPr>
          <w:p w14:paraId="465855EC">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w:t>
            </w:r>
            <w:r>
              <w:rPr>
                <w:rFonts w:hint="eastAsia" w:ascii="宋体" w:hAnsi="宋体" w:eastAsia="Arial"/>
                <w:color w:val="000000" w:themeColor="text1"/>
                <w:szCs w:val="21"/>
                <w14:textFill>
                  <w14:solidFill>
                    <w14:schemeClr w14:val="tx1"/>
                  </w14:solidFill>
                </w14:textFill>
              </w:rPr>
              <w:t>他应当保密的信息</w:t>
            </w:r>
          </w:p>
        </w:tc>
        <w:tc>
          <w:tcPr>
            <w:tcW w:w="4558" w:type="dxa"/>
            <w:vAlign w:val="center"/>
          </w:tcPr>
          <w:p w14:paraId="45E51786">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6F9ED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vAlign w:val="center"/>
          </w:tcPr>
          <w:p w14:paraId="06AC94D4">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25D62BA3">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12.2款</w:t>
            </w:r>
          </w:p>
        </w:tc>
        <w:tc>
          <w:tcPr>
            <w:tcW w:w="2354" w:type="dxa"/>
            <w:vAlign w:val="center"/>
          </w:tcPr>
          <w:p w14:paraId="2454C80C">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w:t>
            </w:r>
            <w:r>
              <w:rPr>
                <w:rFonts w:hint="eastAsia" w:ascii="宋体" w:hAnsi="宋体" w:eastAsia="Arial"/>
                <w:color w:val="000000" w:themeColor="text1"/>
                <w:szCs w:val="21"/>
                <w14:textFill>
                  <w14:solidFill>
                    <w14:schemeClr w14:val="tx1"/>
                  </w14:solidFill>
                </w14:textFill>
              </w:rPr>
              <w:t>同价款支付时间</w:t>
            </w:r>
          </w:p>
        </w:tc>
        <w:tc>
          <w:tcPr>
            <w:tcW w:w="4558" w:type="dxa"/>
            <w:vAlign w:val="center"/>
          </w:tcPr>
          <w:p w14:paraId="638B3C8D">
            <w:pPr>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采购人在最终验收合格并收到合法有效发票及完整支付材料之日起10个工作日内，一次性支付合同金额的100%。</w:t>
            </w:r>
          </w:p>
        </w:tc>
      </w:tr>
      <w:tr w14:paraId="28C86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vAlign w:val="center"/>
          </w:tcPr>
          <w:p w14:paraId="3C3730B4">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2C5442EE">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13.2款</w:t>
            </w:r>
          </w:p>
        </w:tc>
        <w:tc>
          <w:tcPr>
            <w:tcW w:w="2354" w:type="dxa"/>
            <w:vAlign w:val="center"/>
          </w:tcPr>
          <w:p w14:paraId="379880A0">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履</w:t>
            </w:r>
            <w:r>
              <w:rPr>
                <w:rFonts w:hint="eastAsia" w:ascii="宋体" w:hAnsi="宋体" w:eastAsia="Arial"/>
                <w:color w:val="000000" w:themeColor="text1"/>
                <w:szCs w:val="21"/>
                <w14:textFill>
                  <w14:solidFill>
                    <w14:schemeClr w14:val="tx1"/>
                  </w14:solidFill>
                </w14:textFill>
              </w:rPr>
              <w:t>约保证金不予退还的情形</w:t>
            </w:r>
          </w:p>
        </w:tc>
        <w:tc>
          <w:tcPr>
            <w:tcW w:w="4558" w:type="dxa"/>
            <w:vAlign w:val="center"/>
          </w:tcPr>
          <w:p w14:paraId="708B3DA2">
            <w:pPr>
              <w:jc w:val="center"/>
              <w:rPr>
                <w:rFonts w:hint="eastAsia" w:ascii="宋体" w:hAnsi="宋体"/>
                <w:color w:val="000000" w:themeColor="text1"/>
                <w:szCs w:val="21"/>
                <w14:textFill>
                  <w14:solidFill>
                    <w14:schemeClr w14:val="tx1"/>
                  </w14:solidFill>
                </w14:textFill>
              </w:rPr>
            </w:pPr>
            <w:r>
              <w:rPr>
                <w:rFonts w:hint="eastAsia" w:ascii="宋体" w:hAnsi="宋体"/>
                <w:szCs w:val="21"/>
              </w:rPr>
              <w:t>乙方拒不签订合同或拒不履行合同义务，履约保证金不予退还。</w:t>
            </w:r>
          </w:p>
        </w:tc>
      </w:tr>
      <w:tr w14:paraId="3E87F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2A889164">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543E7B00">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13.3款</w:t>
            </w:r>
          </w:p>
        </w:tc>
        <w:tc>
          <w:tcPr>
            <w:tcW w:w="2354" w:type="dxa"/>
            <w:vAlign w:val="center"/>
          </w:tcPr>
          <w:p w14:paraId="7C018863">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履</w:t>
            </w:r>
            <w:r>
              <w:rPr>
                <w:rFonts w:hint="eastAsia" w:ascii="宋体" w:hAnsi="宋体" w:eastAsia="Arial"/>
                <w:color w:val="000000" w:themeColor="text1"/>
                <w:szCs w:val="21"/>
                <w14:textFill>
                  <w14:solidFill>
                    <w14:schemeClr w14:val="tx1"/>
                  </w14:solidFill>
                </w14:textFill>
              </w:rPr>
              <w:t>约保证金退还时间及逾期退还的违约金</w:t>
            </w:r>
          </w:p>
        </w:tc>
        <w:tc>
          <w:tcPr>
            <w:tcW w:w="4558" w:type="dxa"/>
            <w:vAlign w:val="center"/>
          </w:tcPr>
          <w:p w14:paraId="61DA328D">
            <w:pPr>
              <w:spacing w:line="400" w:lineRule="exact"/>
              <w:jc w:val="left"/>
              <w:rPr>
                <w:rFonts w:hint="eastAsia" w:ascii="宋体" w:hAnsi="宋体" w:cs="宋体"/>
                <w:color w:val="000000"/>
              </w:rPr>
            </w:pPr>
            <w:r>
              <w:rPr>
                <w:rFonts w:hint="eastAsia" w:ascii="宋体" w:hAnsi="宋体"/>
                <w:color w:val="000000" w:themeColor="text1"/>
                <w:szCs w:val="21"/>
                <w14:textFill>
                  <w14:solidFill>
                    <w14:schemeClr w14:val="tx1"/>
                  </w14:solidFill>
                </w14:textFill>
              </w:rPr>
              <w:t>服务期</w:t>
            </w:r>
            <w:r>
              <w:rPr>
                <w:rFonts w:hint="eastAsia" w:ascii="宋体" w:hAnsi="宋体" w:cs="宋体"/>
                <w:bCs/>
                <w:color w:val="000000"/>
                <w:szCs w:val="21"/>
              </w:rPr>
              <w:t>满后退还。</w:t>
            </w:r>
          </w:p>
          <w:p w14:paraId="0AD23D58">
            <w:pPr>
              <w:rPr>
                <w:rFonts w:hint="eastAsia" w:ascii="宋体" w:hAnsi="宋体"/>
                <w:color w:val="000000" w:themeColor="text1"/>
                <w:szCs w:val="21"/>
                <w14:textFill>
                  <w14:solidFill>
                    <w14:schemeClr w14:val="tx1"/>
                  </w14:solidFill>
                </w14:textFill>
              </w:rPr>
            </w:pPr>
          </w:p>
        </w:tc>
      </w:tr>
      <w:tr w14:paraId="437B5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vAlign w:val="center"/>
          </w:tcPr>
          <w:p w14:paraId="023E7B04">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3201F69C">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14.1（3）项</w:t>
            </w:r>
          </w:p>
        </w:tc>
        <w:tc>
          <w:tcPr>
            <w:tcW w:w="2354" w:type="dxa"/>
            <w:vAlign w:val="center"/>
          </w:tcPr>
          <w:p w14:paraId="105E9452">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运</w:t>
            </w:r>
            <w:r>
              <w:rPr>
                <w:rFonts w:hint="eastAsia" w:ascii="宋体" w:hAnsi="宋体" w:eastAsia="Arial"/>
                <w:color w:val="000000" w:themeColor="text1"/>
                <w:szCs w:val="21"/>
                <w14:textFill>
                  <w14:solidFill>
                    <w14:schemeClr w14:val="tx1"/>
                  </w14:solidFill>
                </w14:textFill>
              </w:rPr>
              <w:t>行监督、维修期限</w:t>
            </w:r>
          </w:p>
        </w:tc>
        <w:tc>
          <w:tcPr>
            <w:tcW w:w="4558" w:type="dxa"/>
            <w:vAlign w:val="center"/>
          </w:tcPr>
          <w:p w14:paraId="176CC982">
            <w:pPr>
              <w:jc w:val="center"/>
              <w:rPr>
                <w:rFonts w:ascii="宋体" w:hAnsi="宋体" w:eastAsia="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服务期内；</w:t>
            </w:r>
          </w:p>
        </w:tc>
      </w:tr>
      <w:tr w14:paraId="2A448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vAlign w:val="center"/>
          </w:tcPr>
          <w:p w14:paraId="6CE4FF3C">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2820983C">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14.1（5）项</w:t>
            </w:r>
          </w:p>
        </w:tc>
        <w:tc>
          <w:tcPr>
            <w:tcW w:w="2354" w:type="dxa"/>
            <w:vAlign w:val="center"/>
          </w:tcPr>
          <w:p w14:paraId="057CFDF5">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服务期满后数据及成果移交</w:t>
            </w:r>
          </w:p>
        </w:tc>
        <w:tc>
          <w:tcPr>
            <w:tcW w:w="4558" w:type="dxa"/>
            <w:vAlign w:val="center"/>
          </w:tcPr>
          <w:p w14:paraId="27275069">
            <w:pPr>
              <w:jc w:val="left"/>
              <w:rPr>
                <w:rFonts w:ascii="宋体" w:hAnsi="宋体" w:eastAsia="Arial"/>
                <w:color w:val="000000" w:themeColor="text1"/>
                <w:szCs w:val="21"/>
                <w14:textFill>
                  <w14:solidFill>
                    <w14:schemeClr w14:val="tx1"/>
                  </w14:solidFill>
                </w14:textFill>
              </w:rPr>
            </w:pPr>
            <w:r>
              <w:rPr>
                <w:rFonts w:hint="eastAsia"/>
                <w:color w:val="000000" w:themeColor="text1"/>
                <w14:textFill>
                  <w14:solidFill>
                    <w14:schemeClr w14:val="tx1"/>
                  </w14:solidFill>
                </w14:textFill>
              </w:rPr>
              <w:t>服务期届满前30日内，乙方应当将全部测评数据、学情数据、校本资源、本项目定制开发部分的源代码、数据库结构、接口文档、部署文档及运维记录等完整移交甲方；乙方既有通用平台软件、第三方组件及开源软件按既有授权提供使用许可，不属于移交范围，并配合完成数据迁移；数据格式应当为通用可读格式，不得加密锁定或者设置技术壁垒。</w:t>
            </w:r>
          </w:p>
        </w:tc>
      </w:tr>
      <w:tr w14:paraId="1F125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22D4F1EF">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5E521CB0">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14.1（6）项</w:t>
            </w:r>
          </w:p>
        </w:tc>
        <w:tc>
          <w:tcPr>
            <w:tcW w:w="2354" w:type="dxa"/>
            <w:vAlign w:val="center"/>
          </w:tcPr>
          <w:p w14:paraId="0F2374FE">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乙</w:t>
            </w:r>
            <w:r>
              <w:rPr>
                <w:rFonts w:hint="eastAsia" w:ascii="宋体" w:hAnsi="宋体" w:eastAsia="Arial"/>
                <w:color w:val="000000" w:themeColor="text1"/>
                <w:szCs w:val="21"/>
                <w14:textFill>
                  <w14:solidFill>
                    <w14:schemeClr w14:val="tx1"/>
                  </w14:solidFill>
                </w14:textFill>
              </w:rPr>
              <w:t>方提供的其他服务</w:t>
            </w:r>
          </w:p>
        </w:tc>
        <w:tc>
          <w:tcPr>
            <w:tcW w:w="4558" w:type="dxa"/>
            <w:vAlign w:val="center"/>
          </w:tcPr>
          <w:p w14:paraId="5E4BDAB6">
            <w:pPr>
              <w:jc w:val="left"/>
              <w:rPr>
                <w:rFonts w:ascii="宋体" w:hAnsi="宋体" w:eastAsia="Arial"/>
                <w:color w:val="000000" w:themeColor="text1"/>
                <w:szCs w:val="21"/>
                <w14:textFill>
                  <w14:solidFill>
                    <w14:schemeClr w14:val="tx1"/>
                  </w14:solidFill>
                </w14:textFill>
              </w:rPr>
            </w:pPr>
            <w:r>
              <w:rPr>
                <w:rFonts w:hint="eastAsia" w:ascii="宋体" w:hAnsi="宋体" w:eastAsia="Arial" w:cs="宋体"/>
                <w:iCs/>
                <w:color w:val="000000" w:themeColor="text1"/>
                <w:szCs w:val="21"/>
                <w14:textFill>
                  <w14:solidFill>
                    <w14:schemeClr w14:val="tx1"/>
                  </w14:solidFill>
                </w14:textFill>
              </w:rPr>
              <w:t>乙方提供7*24小时电话咨询，如遇紧急情况，需在8小时内到达现场处理解决。</w:t>
            </w:r>
          </w:p>
        </w:tc>
      </w:tr>
      <w:tr w14:paraId="4C2E0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1DEA49A7">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40183F12">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15.1款</w:t>
            </w:r>
          </w:p>
        </w:tc>
        <w:tc>
          <w:tcPr>
            <w:tcW w:w="2354" w:type="dxa"/>
            <w:vAlign w:val="center"/>
          </w:tcPr>
          <w:p w14:paraId="7D38603D">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修</w:t>
            </w:r>
            <w:r>
              <w:rPr>
                <w:rFonts w:hint="eastAsia" w:ascii="宋体" w:hAnsi="宋体" w:eastAsia="Arial"/>
                <w:color w:val="000000" w:themeColor="text1"/>
                <w:szCs w:val="21"/>
                <w14:textFill>
                  <w14:solidFill>
                    <w14:schemeClr w14:val="tx1"/>
                  </w14:solidFill>
                </w14:textFill>
              </w:rPr>
              <w:t>理、重作、更换相关具体规定</w:t>
            </w:r>
          </w:p>
        </w:tc>
        <w:tc>
          <w:tcPr>
            <w:tcW w:w="4558" w:type="dxa"/>
            <w:vAlign w:val="center"/>
          </w:tcPr>
          <w:p w14:paraId="76D10808">
            <w:pPr>
              <w:jc w:val="left"/>
              <w:rPr>
                <w:rFonts w:ascii="宋体" w:hAnsi="宋体" w:eastAsia="Arial"/>
                <w:color w:val="000000" w:themeColor="text1"/>
                <w:szCs w:val="21"/>
                <w14:textFill>
                  <w14:solidFill>
                    <w14:schemeClr w14:val="tx1"/>
                  </w14:solidFill>
                </w14:textFill>
              </w:rPr>
            </w:pPr>
            <w:r>
              <w:rPr>
                <w:rFonts w:hint="eastAsia"/>
                <w:color w:val="000000" w:themeColor="text1"/>
                <w14:textFill>
                  <w14:solidFill>
                    <w14:schemeClr w14:val="tx1"/>
                  </w14:solidFill>
                </w14:textFill>
              </w:rPr>
              <w:t>服务成果不符合合同要求的，乙方应当在甲方书面通知后5个工作日内完成整改、重作或者更换；同一问题经两次整改仍不合格的，甲方有权要求乙方按该部分价款的20%支付违约金。</w:t>
            </w:r>
          </w:p>
        </w:tc>
      </w:tr>
      <w:tr w14:paraId="0FB2A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1E06E79D">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09F0333A">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15.2（2）项</w:t>
            </w:r>
          </w:p>
        </w:tc>
        <w:tc>
          <w:tcPr>
            <w:tcW w:w="2354" w:type="dxa"/>
            <w:vAlign w:val="center"/>
          </w:tcPr>
          <w:p w14:paraId="5EE9EC98">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迟延提供服务、从合同价款中扣除</w:t>
            </w:r>
          </w:p>
        </w:tc>
        <w:tc>
          <w:tcPr>
            <w:tcW w:w="4558" w:type="dxa"/>
            <w:vAlign w:val="center"/>
          </w:tcPr>
          <w:p w14:paraId="4F2669B8">
            <w:pPr>
              <w:jc w:val="left"/>
              <w:rPr>
                <w:rFonts w:ascii="宋体" w:hAnsi="宋体" w:eastAsia="Arial"/>
                <w:color w:val="000000" w:themeColor="text1"/>
                <w:szCs w:val="21"/>
                <w:u w:val="single"/>
                <w14:textFill>
                  <w14:solidFill>
                    <w14:schemeClr w14:val="tx1"/>
                  </w14:solidFill>
                </w14:textFill>
              </w:rPr>
            </w:pPr>
            <w:r>
              <w:rPr>
                <w:rFonts w:hint="eastAsia"/>
                <w:color w:val="000000" w:themeColor="text1"/>
                <w14:textFill>
                  <w14:solidFill>
                    <w14:schemeClr w14:val="tx1"/>
                  </w14:solidFill>
                </w14:textFill>
              </w:rPr>
              <w:t>每迟延1日，按合同总金额的0.5‰从合同价款中扣除误期赔偿费，累计不超过合同总金额的5%；迟延超过30日的，甲方有权解除合同。</w:t>
            </w:r>
          </w:p>
        </w:tc>
      </w:tr>
      <w:tr w14:paraId="1FAC2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14:paraId="5354982C">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6F5EB728">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15.3款</w:t>
            </w:r>
          </w:p>
        </w:tc>
        <w:tc>
          <w:tcPr>
            <w:tcW w:w="2354" w:type="dxa"/>
            <w:vAlign w:val="center"/>
          </w:tcPr>
          <w:p w14:paraId="1FA57E4E">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逾</w:t>
            </w:r>
            <w:r>
              <w:rPr>
                <w:rFonts w:hint="eastAsia" w:ascii="宋体" w:hAnsi="宋体" w:eastAsia="Arial"/>
                <w:color w:val="000000" w:themeColor="text1"/>
                <w:szCs w:val="21"/>
                <w14:textFill>
                  <w14:solidFill>
                    <w14:schemeClr w14:val="tx1"/>
                  </w14:solidFill>
                </w14:textFill>
              </w:rPr>
              <w:t>期付款利息</w:t>
            </w:r>
          </w:p>
        </w:tc>
        <w:tc>
          <w:tcPr>
            <w:tcW w:w="4558" w:type="dxa"/>
            <w:vAlign w:val="center"/>
          </w:tcPr>
          <w:p w14:paraId="2AEB4B15">
            <w:pPr>
              <w:jc w:val="left"/>
              <w:rPr>
                <w:rFonts w:ascii="宋体" w:hAnsi="宋体" w:eastAsia="Arial"/>
                <w:color w:val="000000" w:themeColor="text1"/>
                <w:szCs w:val="21"/>
                <w:u w:val="single"/>
                <w14:textFill>
                  <w14:solidFill>
                    <w14:schemeClr w14:val="tx1"/>
                  </w14:solidFill>
                </w14:textFill>
              </w:rPr>
            </w:pPr>
            <w:r>
              <w:rPr>
                <w:rFonts w:hint="eastAsia"/>
                <w:color w:val="000000" w:themeColor="text1"/>
                <w14:textFill>
                  <w14:solidFill>
                    <w14:schemeClr w14:val="tx1"/>
                  </w14:solidFill>
                </w14:textFill>
              </w:rPr>
              <w:t>按同期全国银行间同业拆借中心公布的贷款市场报价利率（LPR）计付逾期付款利息。</w:t>
            </w:r>
          </w:p>
        </w:tc>
      </w:tr>
      <w:tr w14:paraId="5FD06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1607" w:type="dxa"/>
            <w:vAlign w:val="center"/>
          </w:tcPr>
          <w:p w14:paraId="2AA698A4">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543AA6B1">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15.4款</w:t>
            </w:r>
          </w:p>
        </w:tc>
        <w:tc>
          <w:tcPr>
            <w:tcW w:w="2354" w:type="dxa"/>
            <w:vAlign w:val="center"/>
          </w:tcPr>
          <w:p w14:paraId="6919A958">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w:t>
            </w:r>
            <w:r>
              <w:rPr>
                <w:rFonts w:hint="eastAsia" w:ascii="宋体" w:hAnsi="宋体" w:eastAsia="Arial"/>
                <w:color w:val="000000" w:themeColor="text1"/>
                <w:szCs w:val="21"/>
                <w14:textFill>
                  <w14:solidFill>
                    <w14:schemeClr w14:val="tx1"/>
                  </w14:solidFill>
                </w14:textFill>
              </w:rPr>
              <w:t>他违约责任</w:t>
            </w:r>
          </w:p>
        </w:tc>
        <w:tc>
          <w:tcPr>
            <w:tcW w:w="4558" w:type="dxa"/>
            <w:vAlign w:val="center"/>
          </w:tcPr>
          <w:p w14:paraId="18827508">
            <w:pPr>
              <w:jc w:val="left"/>
              <w:rPr>
                <w:rFonts w:ascii="宋体" w:hAnsi="宋体" w:eastAsia="Arial"/>
                <w:color w:val="000000" w:themeColor="text1"/>
                <w:szCs w:val="21"/>
                <w:u w:val="single"/>
                <w14:textFill>
                  <w14:solidFill>
                    <w14:schemeClr w14:val="tx1"/>
                  </w14:solidFill>
                </w14:textFill>
              </w:rPr>
            </w:pPr>
            <w:r>
              <w:rPr>
                <w:rFonts w:hint="eastAsia"/>
                <w:color w:val="000000" w:themeColor="text1"/>
                <w14:textFill>
                  <w14:solidFill>
                    <w14:schemeClr w14:val="tx1"/>
                  </w14:solidFill>
                </w14:textFill>
              </w:rPr>
              <w:t>乙方违反数据安全与个人信息保护约定的，甲方有权要求乙方支付合同总金额5%的违约金；造成严重后果的，甲方有权解除合同并依法追究责任。</w:t>
            </w:r>
          </w:p>
        </w:tc>
      </w:tr>
      <w:tr w14:paraId="50ED0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607" w:type="dxa"/>
            <w:vAlign w:val="center"/>
          </w:tcPr>
          <w:p w14:paraId="5851B553">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51A61E79">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19.2款</w:t>
            </w:r>
          </w:p>
        </w:tc>
        <w:tc>
          <w:tcPr>
            <w:tcW w:w="2354" w:type="dxa"/>
            <w:vAlign w:val="center"/>
          </w:tcPr>
          <w:p w14:paraId="6CEBE251">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解</w:t>
            </w:r>
            <w:r>
              <w:rPr>
                <w:rFonts w:hint="eastAsia" w:ascii="宋体" w:hAnsi="宋体" w:eastAsia="Arial"/>
                <w:color w:val="000000" w:themeColor="text1"/>
                <w:szCs w:val="21"/>
                <w14:textFill>
                  <w14:solidFill>
                    <w14:schemeClr w14:val="tx1"/>
                  </w14:solidFill>
                </w14:textFill>
              </w:rPr>
              <w:t>决争议的方法</w:t>
            </w:r>
          </w:p>
        </w:tc>
        <w:tc>
          <w:tcPr>
            <w:tcW w:w="4558" w:type="dxa"/>
            <w:vAlign w:val="center"/>
          </w:tcPr>
          <w:p w14:paraId="30563FE1">
            <w:pPr>
              <w:spacing w:line="400" w:lineRule="exact"/>
              <w:jc w:val="left"/>
              <w:rPr>
                <w:rFonts w:ascii="宋体" w:hAnsi="宋体" w:eastAsia="Arial"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因</w:t>
            </w:r>
            <w:r>
              <w:rPr>
                <w:rFonts w:hint="eastAsia" w:ascii="宋体" w:hAnsi="宋体" w:eastAsia="Arial" w:cs="宋体"/>
                <w:iCs/>
                <w:color w:val="000000" w:themeColor="text1"/>
                <w:szCs w:val="21"/>
                <w14:textFill>
                  <w14:solidFill>
                    <w14:schemeClr w14:val="tx1"/>
                  </w14:solidFill>
                </w14:textFill>
              </w:rPr>
              <w:t>本合同及合同有关事项发生的争议，按下列第（</w:t>
            </w:r>
            <w:r>
              <w:rPr>
                <w:rFonts w:hint="eastAsia" w:ascii="宋体" w:hAnsi="宋体" w:cs="宋体"/>
                <w:iCs/>
                <w:color w:val="000000" w:themeColor="text1"/>
                <w:szCs w:val="21"/>
                <w14:textFill>
                  <w14:solidFill>
                    <w14:schemeClr w14:val="tx1"/>
                  </w14:solidFill>
                </w14:textFill>
              </w:rPr>
              <w:t>2</w:t>
            </w:r>
            <w:r>
              <w:rPr>
                <w:rFonts w:hint="eastAsia" w:ascii="宋体" w:hAnsi="宋体" w:eastAsia="Arial" w:cs="宋体"/>
                <w:iCs/>
                <w:color w:val="000000" w:themeColor="text1"/>
                <w:szCs w:val="21"/>
                <w14:textFill>
                  <w14:solidFill>
                    <w14:schemeClr w14:val="tx1"/>
                  </w14:solidFill>
                </w14:textFill>
              </w:rPr>
              <w:t>）种方式解决：</w:t>
            </w:r>
          </w:p>
          <w:p w14:paraId="77DD575A">
            <w:pPr>
              <w:spacing w:line="400" w:lineRule="exact"/>
              <w:jc w:val="left"/>
              <w:rPr>
                <w:rFonts w:ascii="宋体" w:hAnsi="宋体" w:eastAsia="Arial"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r>
              <w:rPr>
                <w:rFonts w:hint="eastAsia" w:ascii="宋体" w:hAnsi="宋体" w:eastAsia="Arial" w:cs="宋体"/>
                <w:iCs/>
                <w:color w:val="000000" w:themeColor="text1"/>
                <w:szCs w:val="21"/>
                <w14:textFill>
                  <w14:solidFill>
                    <w14:schemeClr w14:val="tx1"/>
                  </w14:solidFill>
                </w14:textFill>
              </w:rPr>
              <w:t>1）向</w:t>
            </w:r>
            <w:r>
              <w:rPr>
                <w:rFonts w:hint="eastAsia" w:ascii="宋体" w:hAnsi="宋体" w:cs="宋体"/>
                <w:iCs/>
                <w:color w:val="000000" w:themeColor="text1"/>
                <w:szCs w:val="21"/>
                <w14:textFill>
                  <w14:solidFill>
                    <w14:schemeClr w14:val="tx1"/>
                  </w14:solidFill>
                </w14:textFill>
              </w:rPr>
              <w:t>连云港仲裁委员会申请仲裁，仲裁地点为连云港</w:t>
            </w:r>
            <w:r>
              <w:rPr>
                <w:rFonts w:hint="eastAsia" w:ascii="宋体" w:hAnsi="宋体" w:eastAsia="Arial" w:cs="宋体"/>
                <w:iCs/>
                <w:color w:val="000000" w:themeColor="text1"/>
                <w:szCs w:val="21"/>
                <w14:textFill>
                  <w14:solidFill>
                    <w14:schemeClr w14:val="tx1"/>
                  </w14:solidFill>
                </w14:textFill>
              </w:rPr>
              <w:t>；</w:t>
            </w:r>
          </w:p>
          <w:p w14:paraId="016D15E1">
            <w:pPr>
              <w:jc w:val="left"/>
              <w:rPr>
                <w:rFonts w:ascii="宋体" w:hAnsi="宋体" w:eastAsia="Arial"/>
                <w:color w:val="000000" w:themeColor="text1"/>
                <w:szCs w:val="21"/>
                <w:u w:val="single"/>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r>
              <w:rPr>
                <w:rFonts w:hint="eastAsia" w:ascii="宋体" w:hAnsi="宋体" w:eastAsia="Arial" w:cs="宋体"/>
                <w:iCs/>
                <w:color w:val="000000" w:themeColor="text1"/>
                <w:szCs w:val="21"/>
                <w14:textFill>
                  <w14:solidFill>
                    <w14:schemeClr w14:val="tx1"/>
                  </w14:solidFill>
                </w14:textFill>
              </w:rPr>
              <w:t>2）向</w:t>
            </w:r>
            <w:r>
              <w:rPr>
                <w:rFonts w:hint="eastAsia" w:ascii="宋体" w:hAnsi="宋体" w:cs="宋体"/>
                <w:iCs/>
                <w:color w:val="000000" w:themeColor="text1"/>
                <w:szCs w:val="21"/>
                <w14:textFill>
                  <w14:solidFill>
                    <w14:schemeClr w14:val="tx1"/>
                  </w14:solidFill>
                </w14:textFill>
              </w:rPr>
              <w:t>灌云县</w:t>
            </w:r>
            <w:r>
              <w:rPr>
                <w:rFonts w:hint="eastAsia" w:ascii="宋体" w:hAnsi="宋体" w:eastAsia="Arial" w:cs="宋体"/>
                <w:iCs/>
                <w:color w:val="000000" w:themeColor="text1"/>
                <w:szCs w:val="21"/>
                <w14:textFill>
                  <w14:solidFill>
                    <w14:schemeClr w14:val="tx1"/>
                  </w14:solidFill>
                </w14:textFill>
              </w:rPr>
              <w:t>人民法院起诉。</w:t>
            </w:r>
          </w:p>
        </w:tc>
      </w:tr>
      <w:tr w14:paraId="22CEE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607" w:type="dxa"/>
            <w:vAlign w:val="center"/>
          </w:tcPr>
          <w:p w14:paraId="304DF36A">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二节</w:t>
            </w:r>
          </w:p>
          <w:p w14:paraId="397FF915">
            <w:pPr>
              <w:jc w:val="center"/>
              <w:rPr>
                <w:rFonts w:ascii="宋体" w:hAnsi="宋体" w:eastAsia="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w:t>
            </w:r>
            <w:r>
              <w:rPr>
                <w:rFonts w:hint="eastAsia" w:ascii="宋体" w:hAnsi="宋体" w:eastAsia="Arial"/>
                <w:color w:val="000000" w:themeColor="text1"/>
                <w:szCs w:val="21"/>
                <w14:textFill>
                  <w14:solidFill>
                    <w14:schemeClr w14:val="tx1"/>
                  </w14:solidFill>
                </w14:textFill>
              </w:rPr>
              <w:t>23.1款</w:t>
            </w:r>
          </w:p>
        </w:tc>
        <w:tc>
          <w:tcPr>
            <w:tcW w:w="2354" w:type="dxa"/>
            <w:vAlign w:val="center"/>
          </w:tcPr>
          <w:p w14:paraId="7D8370B8">
            <w:pPr>
              <w:jc w:val="center"/>
              <w:rPr>
                <w:rFonts w:ascii="宋体" w:hAnsi="宋体" w:eastAsia="Arial"/>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其</w:t>
            </w:r>
            <w:r>
              <w:rPr>
                <w:rFonts w:hint="eastAsia" w:ascii="宋体" w:hAnsi="宋体" w:eastAsia="Arial"/>
                <w:bCs/>
                <w:color w:val="000000" w:themeColor="text1"/>
                <w:szCs w:val="21"/>
                <w14:textFill>
                  <w14:solidFill>
                    <w14:schemeClr w14:val="tx1"/>
                  </w14:solidFill>
                </w14:textFill>
              </w:rPr>
              <w:t>他专用条款</w:t>
            </w:r>
          </w:p>
        </w:tc>
        <w:tc>
          <w:tcPr>
            <w:tcW w:w="4558" w:type="dxa"/>
            <w:vAlign w:val="center"/>
          </w:tcPr>
          <w:p w14:paraId="368837BC">
            <w:pPr>
              <w:jc w:val="left"/>
              <w:rPr>
                <w:rFonts w:ascii="宋体" w:hAnsi="宋体" w:eastAsia="Arial"/>
                <w:color w:val="000000" w:themeColor="text1"/>
                <w:szCs w:val="21"/>
                <w14:textFill>
                  <w14:solidFill>
                    <w14:schemeClr w14:val="tx1"/>
                  </w14:solidFill>
                </w14:textFill>
              </w:rPr>
            </w:pPr>
          </w:p>
        </w:tc>
      </w:tr>
    </w:tbl>
    <w:p w14:paraId="76BC97CD">
      <w:pPr>
        <w:spacing w:before="120" w:after="120" w:line="500" w:lineRule="exact"/>
        <w:jc w:val="center"/>
        <w:rPr>
          <w:rFonts w:hint="eastAsia" w:ascii="宋体" w:hAnsi="宋体" w:cs="Courier New"/>
          <w:color w:val="000000" w:themeColor="text1"/>
          <w:sz w:val="24"/>
          <w:szCs w:val="24"/>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br w:type="page" w:clear="all"/>
      </w:r>
      <w:r>
        <w:rPr>
          <w:rFonts w:hint="eastAsia" w:ascii="黑体" w:hAnsi="Courier New" w:eastAsia="黑体" w:cs="Courier New"/>
          <w:bCs/>
          <w:color w:val="000000" w:themeColor="text1"/>
          <w:sz w:val="44"/>
          <w:szCs w:val="21"/>
          <w14:textFill>
            <w14:solidFill>
              <w14:schemeClr w14:val="tx1"/>
            </w14:solidFill>
          </w14:textFill>
        </w:rPr>
        <w:t>第</w:t>
      </w:r>
      <w:bookmarkEnd w:id="162"/>
      <w:r>
        <w:rPr>
          <w:rFonts w:hint="eastAsia" w:ascii="黑体" w:hAnsi="Courier New" w:eastAsia="黑体" w:cs="Courier New"/>
          <w:bCs/>
          <w:color w:val="000000" w:themeColor="text1"/>
          <w:sz w:val="44"/>
          <w:szCs w:val="21"/>
          <w14:textFill>
            <w14:solidFill>
              <w14:schemeClr w14:val="tx1"/>
            </w14:solidFill>
          </w14:textFill>
        </w:rPr>
        <w:t>四章采购需求</w:t>
      </w:r>
      <w:bookmarkEnd w:id="163"/>
      <w:bookmarkEnd w:id="164"/>
      <w:bookmarkEnd w:id="165"/>
    </w:p>
    <w:p w14:paraId="5BFE1FA6">
      <w:pPr>
        <w:spacing w:before="120" w:after="120" w:line="480" w:lineRule="exact"/>
        <w:ind w:firstLine="480" w:firstLineChars="200"/>
        <w:rPr>
          <w:rFonts w:hint="eastAsia" w:ascii="宋体" w:hAnsi="宋体" w:cs="Courier New"/>
          <w:color w:val="000000" w:themeColor="text1"/>
          <w:sz w:val="24"/>
          <w:szCs w:val="24"/>
          <w14:textFill>
            <w14:solidFill>
              <w14:schemeClr w14:val="tx1"/>
            </w14:solidFill>
          </w14:textFill>
        </w:rPr>
      </w:pPr>
      <w:bookmarkStart w:id="175" w:name="_Toc26554093"/>
      <w:bookmarkStart w:id="176" w:name="_Toc49090575"/>
      <w:r>
        <w:rPr>
          <w:rFonts w:hint="eastAsia" w:ascii="宋体" w:hAnsi="宋体" w:cs="Courier New"/>
          <w:color w:val="000000" w:themeColor="text1"/>
          <w:sz w:val="24"/>
          <w:szCs w:val="24"/>
          <w14:textFill>
            <w14:solidFill>
              <w14:schemeClr w14:val="tx1"/>
            </w14:solidFill>
          </w14:textFill>
        </w:rPr>
        <w:t>项目属性：服务类项目。采购标的对应的中小企业划分标准所属行业以采购清单中对应行业为准。</w:t>
      </w:r>
    </w:p>
    <w:p w14:paraId="172DD6DB">
      <w:pPr>
        <w:spacing w:before="120" w:after="120" w:line="48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执行《财政部发展改革委生态环境部市场监管总局关于调整优化节能产品、环境标志产品政府采购执行机制的通知》（财库〔2019〕9号）、《关于印发环境标志产品政府采购品目清单的通知》（财库〔2019〕18号）及《关于印发节能产品政府采购品目清单的通知》（财库〔2019〕19号）。本项目涉及强制采购节能产品的品目为：台式计算机（对应“测评业务终端”，该终端按《台式计算机政府采购需求标准（2023年版）》执行）、激光打印机（对应“学情报告留痕设备”）；投标人须对所投上述两项产品提供国家确定的认证机构出具的、处于有效期之内的节能产品认证证书，未提供或证书不在有效期内的，按无效投标处理。A3彩色高速扫描仪、条形标识输出终端、空白条形码耗材不属于强制采购节能产品范围，仅按环境标志产品优先采购执行，不作为无效投标情形。</w:t>
      </w:r>
    </w:p>
    <w:p w14:paraId="5498401C">
      <w:pPr>
        <w:spacing w:line="480" w:lineRule="exact"/>
        <w:ind w:firstLine="480"/>
        <w:rPr>
          <w:rFonts w:ascii="Calibri" w:hAnsi="Calibri" w:eastAsia="Arial"/>
          <w:color w:val="000000" w:themeColor="text1"/>
          <w:sz w:val="24"/>
          <w:szCs w:val="24"/>
          <w14:textFill>
            <w14:solidFill>
              <w14:schemeClr w14:val="tx1"/>
            </w14:solidFill>
          </w14:textFill>
        </w:rPr>
      </w:pPr>
      <w:r>
        <w:rPr>
          <w:rFonts w:hint="eastAsia" w:ascii="Calibri" w:hAnsi="Calibri" w:eastAsia="Arial"/>
          <w:color w:val="000000" w:themeColor="text1"/>
          <w:sz w:val="24"/>
          <w:szCs w:val="24"/>
          <w14:textFill>
            <w14:solidFill>
              <w14:schemeClr w14:val="tx1"/>
            </w14:solidFill>
          </w14:textFill>
        </w:rPr>
        <w:t>本招标文件中标注★的技术参数要求为实质性响应要求和条件，投标人须逐条明确作出满足实质性要求和条件的响应并按要求提供相关证明（或响应），否则将按无效投标处理。除★号实质性条款外，采购需求所列技术参数均为功能与性能的最低要求，投标人可提供优于或等效实现的技术方案，允许以“不低于”“不低于等于”“等效实现”方式响应，不得以参数表述的细微差异否定等效方案；采购人已就主要技术参数开展市场符合性论证，论证资料纳入采购档案。为减少参数指向性，特作如下通用说明：（1）采购需求对各项功能的描述均指业务能力要求，不要求产品界面、功能命名、菜单层级、操作路径与描述文字一致；采用不同技术路线、功能组合或交互方式达到同等业务效果的，视为满足。（2）凡采购需求中要求提供软件功能截图、证书、检测报告或承诺函的，投标人均可以软件功能截图、产品功能说明、技术方案、第三方检测报告或者承诺函中的任一方式响应，并加盖投标人公章；评标委员会不得仅因证明材料的形式差异认定负偏离。（3）采购需求中出现的品牌、型号、界面示例、资源或课程目录名称等，均为说明功能需要，不构成对特定品牌、特定产品的指定或倾向，也不作为否决投标的依据。（4）投标人就采购需求所列服务内容与功能要求提交的《投标真实性承诺函》《功能响应承诺函》，与软件功能截图、产品功能说明、技术方案、第三方检测报告具有同等证明效力；除本文件标注★的实质性条款，以及明确要求提供检测报告或者演示视频的条款外，任何一项功能要求不得以未附第三方检测报告、软件功能截图或者其他外部佐证为由认定负偏离、扣分或者作无效投标处理。</w:t>
      </w:r>
    </w:p>
    <w:p w14:paraId="6FE066FC">
      <w:pPr>
        <w:spacing w:line="360" w:lineRule="auto"/>
        <w:ind w:firstLine="480"/>
        <w:rPr>
          <w:rFonts w:ascii="Calibri" w:hAnsi="Calibri"/>
          <w:color w:val="000000" w:themeColor="text1"/>
          <w:sz w:val="24"/>
          <w:szCs w:val="24"/>
          <w14:textFill>
            <w14:solidFill>
              <w14:schemeClr w14:val="tx1"/>
            </w14:solidFill>
          </w14:textFill>
        </w:rPr>
      </w:pPr>
      <w:r>
        <w:rPr>
          <w:rFonts w:hint="eastAsia" w:ascii="Calibri" w:hAnsi="Calibri"/>
          <w:color w:val="000000" w:themeColor="text1"/>
          <w:sz w:val="24"/>
          <w:szCs w:val="24"/>
          <w14:textFill>
            <w14:solidFill>
              <w14:schemeClr w14:val="tx1"/>
            </w14:solidFill>
          </w14:textFill>
        </w:rPr>
        <w:t>为落实政府采购本国产品标准及相关政策，特明确如下：</w:t>
      </w:r>
    </w:p>
    <w:p w14:paraId="0EDBB235">
      <w:pPr>
        <w:spacing w:line="360" w:lineRule="auto"/>
        <w:ind w:firstLine="480"/>
        <w:rPr>
          <w:rFonts w:ascii="Calibri" w:hAnsi="Calibri" w:eastAsia="Arial"/>
          <w:color w:val="000000" w:themeColor="text1"/>
          <w:sz w:val="24"/>
          <w:szCs w:val="24"/>
          <w14:textFill>
            <w14:solidFill>
              <w14:schemeClr w14:val="tx1"/>
            </w14:solidFill>
          </w14:textFill>
        </w:rPr>
      </w:pPr>
      <w:r>
        <w:rPr>
          <w:rFonts w:hint="eastAsia" w:ascii="Calibri" w:hAnsi="Calibri" w:eastAsia="Arial"/>
          <w:color w:val="000000" w:themeColor="text1"/>
          <w:sz w:val="24"/>
          <w:szCs w:val="24"/>
          <w14:textFill>
            <w14:solidFill>
              <w14:schemeClr w14:val="tx1"/>
            </w14:solidFill>
          </w14:textFill>
        </w:rPr>
        <w:t>1.本项目服务内容中涉及的货物适用本国产品标准，对符合本国产品标准的货物给予政策支持。</w:t>
      </w:r>
    </w:p>
    <w:p w14:paraId="1D505B05">
      <w:pPr>
        <w:spacing w:line="360" w:lineRule="auto"/>
        <w:ind w:firstLine="480"/>
        <w:rPr>
          <w:rFonts w:ascii="Calibri" w:hAnsi="Calibri" w:eastAsia="Arial"/>
          <w:color w:val="000000" w:themeColor="text1"/>
          <w:sz w:val="24"/>
          <w:szCs w:val="24"/>
          <w14:textFill>
            <w14:solidFill>
              <w14:schemeClr w14:val="tx1"/>
            </w14:solidFill>
          </w14:textFill>
        </w:rPr>
      </w:pPr>
      <w:r>
        <w:rPr>
          <w:rFonts w:hint="eastAsia" w:ascii="Calibri" w:hAnsi="Calibri" w:eastAsia="Arial"/>
          <w:color w:val="000000" w:themeColor="text1"/>
          <w:sz w:val="24"/>
          <w:szCs w:val="24"/>
          <w14:textFill>
            <w14:solidFill>
              <w14:schemeClr w14:val="tx1"/>
            </w14:solidFill>
          </w14:textFill>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C09866">
      <w:pPr>
        <w:spacing w:line="360" w:lineRule="auto"/>
        <w:ind w:firstLine="480"/>
        <w:rPr>
          <w:rFonts w:ascii="Calibri" w:hAnsi="Calibri" w:eastAsia="Arial"/>
          <w:color w:val="000000" w:themeColor="text1"/>
          <w:sz w:val="24"/>
          <w:szCs w:val="24"/>
          <w14:textFill>
            <w14:solidFill>
              <w14:schemeClr w14:val="tx1"/>
            </w14:solidFill>
          </w14:textFill>
        </w:rPr>
      </w:pPr>
      <w:r>
        <w:rPr>
          <w:rFonts w:hint="eastAsia" w:ascii="Calibri" w:hAnsi="Calibri" w:eastAsia="Arial"/>
          <w:color w:val="000000" w:themeColor="text1"/>
          <w:sz w:val="24"/>
          <w:szCs w:val="24"/>
          <w14:textFill>
            <w14:solidFill>
              <w14:schemeClr w14:val="tx1"/>
            </w14:solidFill>
          </w14:textFill>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DA342C5">
      <w:pPr>
        <w:spacing w:line="360" w:lineRule="auto"/>
        <w:ind w:firstLine="480"/>
        <w:rPr>
          <w:rFonts w:ascii="Calibri" w:hAnsi="Calibri" w:eastAsia="Arial"/>
          <w:color w:val="000000" w:themeColor="text1"/>
          <w:sz w:val="24"/>
          <w:szCs w:val="24"/>
          <w14:textFill>
            <w14:solidFill>
              <w14:schemeClr w14:val="tx1"/>
            </w14:solidFill>
          </w14:textFill>
        </w:rPr>
      </w:pPr>
      <w:r>
        <w:rPr>
          <w:rFonts w:hint="eastAsia" w:ascii="Calibri" w:hAnsi="Calibri" w:eastAsia="Arial"/>
          <w:color w:val="000000" w:themeColor="text1"/>
          <w:sz w:val="24"/>
          <w:szCs w:val="24"/>
          <w14:textFill>
            <w14:solidFill>
              <w14:schemeClr w14:val="tx1"/>
            </w14:solidFill>
          </w14:textFill>
        </w:rPr>
        <w:t>采购清单及服务内容与要求（下列功能要求均为中标人应当提供的服务内容与应当达成的服务效果，投标人可自主选择技术路线、产品形态与实现方式；响应与验收以业务目标是否实现为依据，不以产品界面、功能命名、实现路径与本章描述一致为条件）：</w:t>
      </w:r>
    </w:p>
    <w:p w14:paraId="6B453E81">
      <w:pPr>
        <w:spacing w:line="360" w:lineRule="auto"/>
        <w:ind w:firstLine="480"/>
        <w:rPr>
          <w:rFonts w:ascii="Calibri" w:hAnsi="Calibri" w:eastAsia="Arial"/>
          <w:color w:val="000000" w:themeColor="text1"/>
          <w:sz w:val="24"/>
          <w:szCs w:val="24"/>
          <w14:textFill>
            <w14:solidFill>
              <w14:schemeClr w14:val="tx1"/>
            </w14:solidFill>
          </w14:textFill>
        </w:rPr>
      </w:pPr>
      <w:r>
        <w:rPr>
          <w:rFonts w:hint="eastAsia" w:ascii="Calibri" w:hAnsi="Calibri" w:eastAsia="Arial"/>
          <w:color w:val="000000" w:themeColor="text1"/>
          <w:sz w:val="24"/>
          <w:szCs w:val="24"/>
          <w14:textFill>
            <w14:solidFill>
              <w14:schemeClr w14:val="tx1"/>
            </w14:solidFill>
          </w14:textFill>
        </w:rPr>
        <w:t>本项目所采购系统为学业测评数据采集、分析与教学诊断的服务工具。采购人及各使用学校使用本系统开展学业测评、质量监测和日常考试管理，应当严格执行教育部及省、市教育行政部门关于中小学考试管理和义务教育质量监测的规定：严禁面向小学各年级和初高中非毕业年级组织区域性或跨校际考试，不得以测试、测验、限时练习、学情调研等名义变相组织考试；测评结果实行等级评价，不排名、不公布，不得作为评价学校和教师的依据，不得与升学挂钩。系统功能的使用范围、组织频次与结果应用由采购人依据上述规定自行确定并承担管理责任；投标人仅提供技术支撑与数据服务，不得自行组织或变相组织考试。系统应当支持学业等级评价，一般分4至5个等级，默认不向学生、家长公布个人分数与名次，监测与测评结果仅用于诊断学情教情、改进教学。</w:t>
      </w:r>
    </w:p>
    <w:tbl>
      <w:tblPr>
        <w:tblStyle w:val="48"/>
        <w:tblW w:w="10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855"/>
        <w:gridCol w:w="6516"/>
        <w:gridCol w:w="709"/>
        <w:gridCol w:w="709"/>
        <w:gridCol w:w="709"/>
      </w:tblGrid>
      <w:tr w14:paraId="6EA25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5A7BCAE1">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lang w:bidi="ar"/>
                <w14:textFill>
                  <w14:solidFill>
                    <w14:schemeClr w14:val="tx1"/>
                  </w14:solidFill>
                </w14:textFill>
              </w:rPr>
              <w:t>序号</w:t>
            </w:r>
          </w:p>
        </w:tc>
        <w:tc>
          <w:tcPr>
            <w:tcW w:w="855" w:type="dxa"/>
            <w:vAlign w:val="center"/>
          </w:tcPr>
          <w:p w14:paraId="5A2308DB">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lang w:bidi="ar"/>
                <w14:textFill>
                  <w14:solidFill>
                    <w14:schemeClr w14:val="tx1"/>
                  </w14:solidFill>
                </w14:textFill>
              </w:rPr>
              <w:t>功能模块</w:t>
            </w:r>
          </w:p>
        </w:tc>
        <w:tc>
          <w:tcPr>
            <w:tcW w:w="6516" w:type="dxa"/>
            <w:vAlign w:val="center"/>
          </w:tcPr>
          <w:p w14:paraId="0D17A1B6">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lang w:bidi="ar"/>
                <w14:textFill>
                  <w14:solidFill>
                    <w14:schemeClr w14:val="tx1"/>
                  </w14:solidFill>
                </w14:textFill>
              </w:rPr>
              <w:t>功能描述、配置参数</w:t>
            </w:r>
          </w:p>
        </w:tc>
        <w:tc>
          <w:tcPr>
            <w:tcW w:w="709" w:type="dxa"/>
            <w:vAlign w:val="center"/>
          </w:tcPr>
          <w:p w14:paraId="5EA38906">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lang w:bidi="ar"/>
                <w14:textFill>
                  <w14:solidFill>
                    <w14:schemeClr w14:val="tx1"/>
                  </w14:solidFill>
                </w14:textFill>
              </w:rPr>
              <w:t>单位</w:t>
            </w:r>
          </w:p>
        </w:tc>
        <w:tc>
          <w:tcPr>
            <w:tcW w:w="709" w:type="dxa"/>
            <w:vAlign w:val="center"/>
          </w:tcPr>
          <w:p w14:paraId="42CC9714">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b/>
                <w:bCs/>
                <w:color w:val="000000" w:themeColor="text1"/>
                <w:sz w:val="20"/>
                <w:szCs w:val="20"/>
                <w:lang w:bidi="ar"/>
                <w14:textFill>
                  <w14:solidFill>
                    <w14:schemeClr w14:val="tx1"/>
                  </w14:solidFill>
                </w14:textFill>
              </w:rPr>
              <w:t>数量</w:t>
            </w:r>
          </w:p>
        </w:tc>
        <w:tc>
          <w:tcPr>
            <w:tcW w:w="709" w:type="dxa"/>
            <w:vAlign w:val="center"/>
          </w:tcPr>
          <w:p w14:paraId="3DCCA352">
            <w:pPr>
              <w:widowControl/>
              <w:jc w:val="center"/>
              <w:rPr>
                <w:rFonts w:hint="eastAsia" w:ascii="宋体" w:hAnsi="宋体" w:cs="宋体"/>
                <w:b/>
                <w:bCs/>
                <w:color w:val="000000" w:themeColor="text1"/>
                <w:sz w:val="20"/>
                <w:szCs w:val="20"/>
                <w:lang w:bidi="ar"/>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所属行业</w:t>
            </w:r>
          </w:p>
        </w:tc>
      </w:tr>
      <w:tr w14:paraId="50B8D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660E3D90">
            <w:pPr>
              <w:widowControl/>
              <w:jc w:val="center"/>
              <w:rPr>
                <w:rFonts w:hint="eastAsia" w:ascii="宋体" w:hAnsi="宋体" w:cs="宋体"/>
                <w:b/>
                <w:bCs/>
                <w:color w:val="000000" w:themeColor="text1"/>
                <w:sz w:val="20"/>
                <w:szCs w:val="20"/>
                <w:lang w:bidi="ar"/>
                <w14:textFill>
                  <w14:solidFill>
                    <w14:schemeClr w14:val="tx1"/>
                  </w14:solidFill>
                </w14:textFill>
              </w:rPr>
            </w:pPr>
            <w:r>
              <w:rPr>
                <w:rFonts w:hint="eastAsia" w:ascii="宋体" w:hAnsi="宋体" w:cs="宋体"/>
                <w:b/>
                <w:bCs/>
                <w:color w:val="000000" w:themeColor="text1"/>
                <w:sz w:val="20"/>
                <w:szCs w:val="20"/>
                <w:lang w:bidi="ar"/>
                <w14:textFill>
                  <w14:solidFill>
                    <w14:schemeClr w14:val="tx1"/>
                  </w14:solidFill>
                </w14:textFill>
              </w:rPr>
              <w:t>一</w:t>
            </w:r>
          </w:p>
        </w:tc>
        <w:tc>
          <w:tcPr>
            <w:tcW w:w="7371" w:type="dxa"/>
            <w:gridSpan w:val="2"/>
            <w:vAlign w:val="center"/>
          </w:tcPr>
          <w:p w14:paraId="4B5CAAC8">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网上阅卷与学业数据分析系统</w:t>
            </w:r>
          </w:p>
        </w:tc>
        <w:tc>
          <w:tcPr>
            <w:tcW w:w="709" w:type="dxa"/>
            <w:vAlign w:val="center"/>
          </w:tcPr>
          <w:p w14:paraId="3D10A2F5">
            <w:pPr>
              <w:widowControl/>
              <w:jc w:val="center"/>
              <w:rPr>
                <w:rFonts w:hint="eastAsia" w:ascii="宋体" w:hAnsi="宋体" w:cs="宋体"/>
                <w:b/>
                <w:bCs/>
                <w:color w:val="000000" w:themeColor="text1"/>
                <w:sz w:val="20"/>
                <w:szCs w:val="20"/>
                <w:lang w:bidi="ar"/>
                <w14:textFill>
                  <w14:solidFill>
                    <w14:schemeClr w14:val="tx1"/>
                  </w14:solidFill>
                </w14:textFill>
              </w:rPr>
            </w:pPr>
          </w:p>
        </w:tc>
        <w:tc>
          <w:tcPr>
            <w:tcW w:w="709" w:type="dxa"/>
            <w:vAlign w:val="center"/>
          </w:tcPr>
          <w:p w14:paraId="424864D9">
            <w:pPr>
              <w:widowControl/>
              <w:jc w:val="center"/>
              <w:rPr>
                <w:rFonts w:hint="eastAsia" w:ascii="宋体" w:hAnsi="宋体" w:cs="宋体"/>
                <w:b/>
                <w:bCs/>
                <w:color w:val="000000" w:themeColor="text1"/>
                <w:sz w:val="20"/>
                <w:szCs w:val="20"/>
                <w:lang w:bidi="ar"/>
                <w14:textFill>
                  <w14:solidFill>
                    <w14:schemeClr w14:val="tx1"/>
                  </w14:solidFill>
                </w14:textFill>
              </w:rPr>
            </w:pPr>
          </w:p>
        </w:tc>
        <w:tc>
          <w:tcPr>
            <w:tcW w:w="709" w:type="dxa"/>
            <w:vAlign w:val="center"/>
          </w:tcPr>
          <w:p w14:paraId="6E51BC7C">
            <w:pPr>
              <w:widowControl/>
              <w:jc w:val="center"/>
              <w:rPr>
                <w:rFonts w:hint="eastAsia" w:ascii="宋体" w:hAnsi="宋体" w:cs="宋体"/>
                <w:b/>
                <w:bCs/>
                <w:color w:val="000000" w:themeColor="text1"/>
                <w:sz w:val="20"/>
                <w:szCs w:val="20"/>
                <w:lang w:bidi="ar"/>
                <w14:textFill>
                  <w14:solidFill>
                    <w14:schemeClr w14:val="tx1"/>
                  </w14:solidFill>
                </w14:textFill>
              </w:rPr>
            </w:pPr>
          </w:p>
        </w:tc>
      </w:tr>
      <w:tr w14:paraId="1AC2A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5D3F01AC">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1</w:t>
            </w:r>
          </w:p>
        </w:tc>
        <w:tc>
          <w:tcPr>
            <w:tcW w:w="855" w:type="dxa"/>
            <w:vAlign w:val="center"/>
          </w:tcPr>
          <w:p w14:paraId="55300364">
            <w:pPr>
              <w:widowControl/>
              <w:jc w:val="center"/>
              <w:rPr>
                <w:rFonts w:hint="eastAsia" w:ascii="宋体" w:hAnsi="宋体" w:cs="宋体"/>
                <w:b/>
                <w:bCs/>
                <w:color w:val="000000" w:themeColor="text1"/>
                <w:sz w:val="20"/>
                <w:szCs w:val="20"/>
                <w14:textFill>
                  <w14:solidFill>
                    <w14:schemeClr w14:val="tx1"/>
                  </w14:solidFill>
                </w14:textFill>
              </w:rPr>
            </w:pPr>
            <w:r>
              <w:rPr>
                <w:rFonts w:hint="eastAsia"/>
                <w:color w:val="000000" w:themeColor="text1"/>
                <w:sz w:val="20"/>
                <w:szCs w:val="20"/>
                <w:lang w:bidi="ar"/>
                <w14:textFill>
                  <w14:solidFill>
                    <w14:schemeClr w14:val="tx1"/>
                  </w14:solidFill>
                </w14:textFill>
              </w:rPr>
              <w:t>区域学业大数据教研平台</w:t>
            </w:r>
          </w:p>
        </w:tc>
        <w:tc>
          <w:tcPr>
            <w:tcW w:w="6516" w:type="dxa"/>
            <w:vAlign w:val="center"/>
          </w:tcPr>
          <w:p w14:paraId="2DFF005A">
            <w:pPr>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一、单次联测分析。提供单次联测成绩分析服务，服务成果应当包括：</w:t>
            </w:r>
          </w:p>
          <w:p w14:paraId="2ABD3B30">
            <w:pPr>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总分及单科成绩按全县、学校、班级、个人逐级下钻；选科科目以原始分、转换分两种方式计算总分，并按学业水平划定等级（等第）；优秀率、良好率、合格率、低分率等阈值可自定义；总分与单科达标情况及目标达成情况分析，单科分数线可在设定总分后自动计算；</w:t>
            </w:r>
          </w:p>
          <w:p w14:paraId="389466A5">
            <w:pPr>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2.学业等级分布与成绩分段分布；学业表现突出学生与需重点关注学生分布；试卷整体质量分析，涵盖题型、题组、知识点多维度评价与小题分析。</w:t>
            </w:r>
          </w:p>
          <w:p w14:paraId="3032A959">
            <w:pPr>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二、联测历次对比分析。提供联测历次对比分析服务，支持按学年、按级别范围筛选历次联测进行对比分析，服务成果应当包括：</w:t>
            </w:r>
          </w:p>
          <w:p w14:paraId="22979A45">
            <w:pPr>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1.全县、学校、班级各维度的整体学情对比、达标情况对比、总分与单学科学业等级分布对比、优秀学生分布对比，以及试卷整体分析对比和题型、题组两个维度的对比分析。</w:t>
            </w:r>
          </w:p>
          <w:p w14:paraId="2D0601DD">
            <w:pPr>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三、区域教学监管。投标人应当提供区域教学监管服务，服务成果应当包括：</w:t>
            </w:r>
          </w:p>
          <w:p w14:paraId="5A8248FC">
            <w:pPr>
              <w:jc w:val="left"/>
              <w:rPr>
                <w:rFonts w:hint="eastAsia" w:ascii="宋体" w:hAnsi="宋体" w:cs="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1.区域教学基本信息查询与导出；区域内联测类型数、网络评阅与手工评阅测评数统计；单校教学活动数</w:t>
            </w:r>
            <w:r>
              <w:rPr>
                <w:rFonts w:hint="eastAsia" w:ascii="宋体" w:hAnsi="宋体" w:cs="宋体"/>
                <w:color w:val="000000" w:themeColor="text1"/>
                <w:sz w:val="20"/>
                <w:szCs w:val="20"/>
                <w14:textFill>
                  <w14:solidFill>
                    <w14:schemeClr w14:val="tx1"/>
                  </w14:solidFill>
                </w14:textFill>
              </w:rPr>
              <w:t>据、校本题库资源及知识点分布情况；按章节查看各校知识点得分率与考频；</w:t>
            </w:r>
          </w:p>
          <w:p w14:paraId="5336D33F">
            <w:pPr>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2.区域内学校高频错题与共性错题汇总，支持按时间段、测评名称、得分率筛选；上述分析结论可按全县、学校、班级层级导出，供质量监测与教研使用。</w:t>
            </w:r>
          </w:p>
          <w:p w14:paraId="795300B5">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w:t>
            </w:r>
            <w:r>
              <w:rPr>
                <w:rFonts w:hint="eastAsia" w:ascii="宋体" w:hAnsi="宋体" w:cs="宋体"/>
                <w:color w:val="000000" w:themeColor="text1"/>
                <w:sz w:val="20"/>
                <w:szCs w:val="20"/>
                <w:lang w:bidi="ar"/>
                <w14:textFill>
                  <w14:solidFill>
                    <w14:schemeClr w14:val="tx1"/>
                  </w14:solidFill>
                </w14:textFill>
              </w:rPr>
              <w:t>为灌云县教育局提供</w:t>
            </w:r>
            <w:r>
              <w:rPr>
                <w:rFonts w:hint="eastAsia" w:ascii="宋体" w:hAnsi="宋体"/>
                <w:color w:val="000000" w:themeColor="text1"/>
                <w:sz w:val="20"/>
                <w:szCs w:val="20"/>
                <w14:textFill>
                  <w14:solidFill>
                    <w14:schemeClr w14:val="tx1"/>
                  </w14:solidFill>
                </w14:textFill>
              </w:rPr>
              <w:t>对联测学情数据进行精准管理界面，界面名称可提供自定义方式，支持指定单个学校的联测数据同步到该学校的校本学业大数据分析平台。（证明材料按本章通用说明提供）；</w:t>
            </w:r>
          </w:p>
        </w:tc>
        <w:tc>
          <w:tcPr>
            <w:tcW w:w="709" w:type="dxa"/>
            <w:vAlign w:val="center"/>
          </w:tcPr>
          <w:p w14:paraId="004F2462">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套</w:t>
            </w:r>
          </w:p>
        </w:tc>
        <w:tc>
          <w:tcPr>
            <w:tcW w:w="709" w:type="dxa"/>
            <w:vAlign w:val="center"/>
          </w:tcPr>
          <w:p w14:paraId="77336431">
            <w:pPr>
              <w:widowControl/>
              <w:jc w:val="center"/>
              <w:rPr>
                <w:rFonts w:hint="eastAsia" w:ascii="宋体" w:hAnsi="宋体" w:cs="宋体"/>
                <w:b/>
                <w:bCs/>
                <w:color w:val="000000" w:themeColor="text1"/>
                <w:sz w:val="20"/>
                <w:szCs w:val="20"/>
                <w14:textFill>
                  <w14:solidFill>
                    <w14:schemeClr w14:val="tx1"/>
                  </w14:solidFill>
                </w14:textFill>
              </w:rPr>
            </w:pPr>
            <w:r>
              <w:rPr>
                <w:rFonts w:ascii="宋体" w:hAnsi="宋体"/>
                <w:color w:val="000000" w:themeColor="text1"/>
                <w:sz w:val="20"/>
                <w:szCs w:val="20"/>
                <w:lang w:bidi="ar"/>
                <w14:textFill>
                  <w14:solidFill>
                    <w14:schemeClr w14:val="tx1"/>
                  </w14:solidFill>
                </w14:textFill>
              </w:rPr>
              <w:t>1</w:t>
            </w:r>
          </w:p>
        </w:tc>
        <w:tc>
          <w:tcPr>
            <w:tcW w:w="709" w:type="dxa"/>
            <w:vAlign w:val="center"/>
          </w:tcPr>
          <w:p w14:paraId="0997AC88">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软件和信息技术服务业</w:t>
            </w:r>
          </w:p>
        </w:tc>
      </w:tr>
      <w:tr w14:paraId="12FC5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37BB2310">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2</w:t>
            </w:r>
          </w:p>
        </w:tc>
        <w:tc>
          <w:tcPr>
            <w:tcW w:w="855" w:type="dxa"/>
            <w:vAlign w:val="center"/>
          </w:tcPr>
          <w:p w14:paraId="213CFC0C">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区域学业数据采集系统</w:t>
            </w:r>
          </w:p>
        </w:tc>
        <w:tc>
          <w:tcPr>
            <w:tcW w:w="6516" w:type="dxa"/>
            <w:vAlign w:val="center"/>
          </w:tcPr>
          <w:p w14:paraId="3B9E2D07">
            <w:pPr>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w:t>
            </w:r>
            <w:r>
              <w:rPr>
                <w:rFonts w:hint="eastAsia" w:ascii="宋体" w:hAnsi="宋体" w:cs="宋体"/>
                <w:color w:val="000000" w:themeColor="text1"/>
                <w:sz w:val="20"/>
                <w:szCs w:val="20"/>
                <w:lang w:bidi="ar"/>
                <w14:textFill>
                  <w14:solidFill>
                    <w14:schemeClr w14:val="tx1"/>
                  </w14:solidFill>
                </w14:textFill>
              </w:rPr>
              <w:t>为灌云县教育局</w:t>
            </w:r>
            <w:r>
              <w:rPr>
                <w:rFonts w:hint="eastAsia" w:ascii="宋体" w:hAnsi="宋体"/>
                <w:color w:val="000000" w:themeColor="text1"/>
                <w:sz w:val="20"/>
                <w:szCs w:val="20"/>
                <w14:textFill>
                  <w14:solidFill>
                    <w14:schemeClr w14:val="tx1"/>
                  </w14:solidFill>
                </w14:textFill>
              </w:rPr>
              <w:t>提供学业数据采集组织服务，界面名称可提供自定义方式，服务成果应当包括：新建空白测评，测评类型支持日常练习、期中测评、期末测评、学科活动，模式支持普通、新高考“3+1+2”及其他新高考模式；联测角色与权限管理，可对科目、参测学生、阅卷教师、任务分配、题目答案、阅卷监控、成绩等操作权限进行配置；WEB阅卷、APP阅卷等安全控制设置。</w:t>
            </w:r>
          </w:p>
          <w:p w14:paraId="3E324920">
            <w:pPr>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提供答题卡扫描组织服务，服务成果应当包括：学生答题卡分学校扫描与混合扫描两种方式，可查看各校扫描进度并确认完成情况；采用投标人自主开发的实时扫描控制程序，不依赖扫描仪自带图像扫描软件，支持多台扫描仪并行扫描；联测各参与校独立扫描后数据统一汇聚、集中阅卷。</w:t>
            </w:r>
          </w:p>
          <w:p w14:paraId="2A2C1376">
            <w:pPr>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提供阅卷任务分配与质量监控服务，服务成果应当包括：按参测学生人数、实际试卷数或自定义方式将阅卷任务分配至各学校，支持设置每所学校工作量及快速生成、复用任务；阅卷进度、阅卷质量监控与阅卷抽查；测评数据一键下载，支持自定义数据模板与数据维度后按“全体、学校、学校—学科”等格式导出；支持对特定学生的全科或单科成绩设置不纳入数据分析。</w:t>
            </w:r>
          </w:p>
        </w:tc>
        <w:tc>
          <w:tcPr>
            <w:tcW w:w="709" w:type="dxa"/>
            <w:vAlign w:val="center"/>
          </w:tcPr>
          <w:p w14:paraId="77F3709A">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套</w:t>
            </w:r>
          </w:p>
        </w:tc>
        <w:tc>
          <w:tcPr>
            <w:tcW w:w="709" w:type="dxa"/>
            <w:vAlign w:val="center"/>
          </w:tcPr>
          <w:p w14:paraId="5133C2E0">
            <w:pPr>
              <w:widowControl/>
              <w:jc w:val="center"/>
              <w:rPr>
                <w:rFonts w:hint="eastAsia" w:ascii="宋体" w:hAnsi="宋体"/>
                <w:color w:val="000000" w:themeColor="text1"/>
                <w:sz w:val="20"/>
                <w:szCs w:val="20"/>
                <w:lang w:bidi="ar"/>
                <w14:textFill>
                  <w14:solidFill>
                    <w14:schemeClr w14:val="tx1"/>
                  </w14:solidFill>
                </w14:textFill>
              </w:rPr>
            </w:pPr>
            <w:r>
              <w:rPr>
                <w:rFonts w:ascii="宋体" w:hAnsi="宋体"/>
                <w:color w:val="000000" w:themeColor="text1"/>
                <w:sz w:val="20"/>
                <w:szCs w:val="20"/>
                <w:lang w:bidi="ar"/>
                <w14:textFill>
                  <w14:solidFill>
                    <w14:schemeClr w14:val="tx1"/>
                  </w14:solidFill>
                </w14:textFill>
              </w:rPr>
              <w:t>1</w:t>
            </w:r>
          </w:p>
        </w:tc>
        <w:tc>
          <w:tcPr>
            <w:tcW w:w="709" w:type="dxa"/>
            <w:vAlign w:val="center"/>
          </w:tcPr>
          <w:p w14:paraId="49C7D9D3">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软件和信息技术服务业</w:t>
            </w:r>
          </w:p>
        </w:tc>
      </w:tr>
      <w:tr w14:paraId="49C4E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753B40AC">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3</w:t>
            </w:r>
          </w:p>
        </w:tc>
        <w:tc>
          <w:tcPr>
            <w:tcW w:w="855" w:type="dxa"/>
            <w:vAlign w:val="center"/>
          </w:tcPr>
          <w:p w14:paraId="7D2D0EDA">
            <w:pPr>
              <w:widowControl/>
              <w:jc w:val="center"/>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区域</w:t>
            </w:r>
          </w:p>
          <w:p w14:paraId="449FB183">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学业数据管理系统</w:t>
            </w:r>
          </w:p>
        </w:tc>
        <w:tc>
          <w:tcPr>
            <w:tcW w:w="6516" w:type="dxa"/>
            <w:vAlign w:val="center"/>
          </w:tcPr>
          <w:p w14:paraId="3D69D338">
            <w:pPr>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1.提供等级赋分配置服务，服务成果应当包括：按学段自定义等级赋分，支持原始分、新高考一分一档、成绩等级（按人数比例）、分数折算（按分值）、成绩等级（按满分比例）等策略；对上述策略自定义等级名称、人数比例、累计比例与等级成绩等参数，支持配置条目的新增与删除，并可设置启用该配置的科目。</w:t>
            </w:r>
          </w:p>
          <w:p w14:paraId="1FD8E303">
            <w:pPr>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2.提供报表数据设置服务，服务成果应当包括：按学段自定义总分范围、四率、分数线、分数段与学业水平段；自定义数据筛选（移除缺测、移除零分等）；自定义报表分析需求，包含四率分析、分数线分析、分数段分析；自定义学科组合（默认总分且不可删除）；四率可按满分比例或得分数值配置；分数线可按满分比例、得分数值、人数比例配置，学科命中率与学科贡献率默认勾选且可取消；分数段可选择是否人数累计。</w:t>
            </w:r>
          </w:p>
        </w:tc>
        <w:tc>
          <w:tcPr>
            <w:tcW w:w="709" w:type="dxa"/>
            <w:vAlign w:val="center"/>
          </w:tcPr>
          <w:p w14:paraId="5E89B17F">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套</w:t>
            </w:r>
          </w:p>
        </w:tc>
        <w:tc>
          <w:tcPr>
            <w:tcW w:w="709" w:type="dxa"/>
            <w:vAlign w:val="center"/>
          </w:tcPr>
          <w:p w14:paraId="636B32F2">
            <w:pPr>
              <w:widowControl/>
              <w:jc w:val="center"/>
              <w:rPr>
                <w:rFonts w:hint="eastAsia" w:ascii="宋体" w:hAnsi="宋体"/>
                <w:color w:val="000000" w:themeColor="text1"/>
                <w:sz w:val="20"/>
                <w:szCs w:val="20"/>
                <w:lang w:bidi="ar"/>
                <w14:textFill>
                  <w14:solidFill>
                    <w14:schemeClr w14:val="tx1"/>
                  </w14:solidFill>
                </w14:textFill>
              </w:rPr>
            </w:pPr>
            <w:r>
              <w:rPr>
                <w:rFonts w:ascii="宋体" w:hAnsi="宋体"/>
                <w:color w:val="000000" w:themeColor="text1"/>
                <w:sz w:val="20"/>
                <w:szCs w:val="20"/>
                <w:lang w:bidi="ar"/>
                <w14:textFill>
                  <w14:solidFill>
                    <w14:schemeClr w14:val="tx1"/>
                  </w14:solidFill>
                </w14:textFill>
              </w:rPr>
              <w:t>1</w:t>
            </w:r>
          </w:p>
        </w:tc>
        <w:tc>
          <w:tcPr>
            <w:tcW w:w="709" w:type="dxa"/>
            <w:vAlign w:val="center"/>
          </w:tcPr>
          <w:p w14:paraId="228E57A4">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软件和信息技术服务业</w:t>
            </w:r>
          </w:p>
        </w:tc>
      </w:tr>
      <w:tr w14:paraId="57B34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22D3113B">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4</w:t>
            </w:r>
          </w:p>
        </w:tc>
        <w:tc>
          <w:tcPr>
            <w:tcW w:w="855" w:type="dxa"/>
            <w:vAlign w:val="center"/>
          </w:tcPr>
          <w:p w14:paraId="1648D55C">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区域基础数据管理系统</w:t>
            </w:r>
          </w:p>
        </w:tc>
        <w:tc>
          <w:tcPr>
            <w:tcW w:w="6516" w:type="dxa"/>
            <w:vAlign w:val="center"/>
          </w:tcPr>
          <w:p w14:paraId="032DE47F">
            <w:pPr>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1.</w:t>
            </w:r>
            <w:r>
              <w:rPr>
                <w:rFonts w:hint="eastAsia" w:ascii="宋体" w:hAnsi="宋体" w:cs="宋体"/>
                <w:color w:val="000000" w:themeColor="text1"/>
                <w:sz w:val="20"/>
                <w:szCs w:val="20"/>
                <w:lang w:bidi="ar"/>
                <w14:textFill>
                  <w14:solidFill>
                    <w14:schemeClr w14:val="tx1"/>
                  </w14:solidFill>
                </w14:textFill>
              </w:rPr>
              <w:t>为灌云县教育局</w:t>
            </w:r>
            <w:r>
              <w:rPr>
                <w:rFonts w:hint="eastAsia" w:ascii="宋体" w:hAnsi="宋体" w:cs="宋体"/>
                <w:color w:val="000000" w:themeColor="text1"/>
                <w:sz w:val="20"/>
                <w:szCs w:val="20"/>
                <w14:textFill>
                  <w14:solidFill>
                    <w14:schemeClr w14:val="tx1"/>
                  </w14:solidFill>
                </w14:textFill>
              </w:rPr>
              <w:t>提供学校与班级数据管理服务，</w:t>
            </w:r>
            <w:r>
              <w:rPr>
                <w:rFonts w:hint="eastAsia" w:ascii="宋体" w:hAnsi="宋体"/>
                <w:color w:val="000000" w:themeColor="text1"/>
                <w:sz w:val="20"/>
                <w:szCs w:val="20"/>
                <w14:textFill>
                  <w14:solidFill>
                    <w14:schemeClr w14:val="tx1"/>
                  </w14:solidFill>
                </w14:textFill>
              </w:rPr>
              <w:t>界面名称可提供自定义方式，</w:t>
            </w:r>
            <w:r>
              <w:rPr>
                <w:rFonts w:hint="eastAsia" w:ascii="宋体" w:hAnsi="宋体" w:cs="宋体"/>
                <w:color w:val="000000" w:themeColor="text1"/>
                <w:sz w:val="20"/>
                <w:szCs w:val="20"/>
                <w14:textFill>
                  <w14:solidFill>
                    <w14:schemeClr w14:val="tx1"/>
                  </w14:solidFill>
                </w14:textFill>
              </w:rPr>
              <w:t>服务成果应当包括：学校信息通过单校录入或模板批量导入创建，并支持学校分组；学生信息包含姓名、账号、学号、入学年份、所属班级，支持批量导入导出、单条编辑删除与检索；班级信息支持编辑、添加与删除。</w:t>
            </w:r>
          </w:p>
          <w:p w14:paraId="12A386D9">
            <w:pPr>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2.提供教师与学生账号管理服务，服务成果应当包括：教师信息批量导入与单个新增，支持查看、编辑、重置密码及设置普通教师数据权限，支持按学校检索教师；学生信息批量导入与单个新增，支持批量修改班级学生信息，支持按学校检索学生。</w:t>
            </w:r>
          </w:p>
        </w:tc>
        <w:tc>
          <w:tcPr>
            <w:tcW w:w="709" w:type="dxa"/>
            <w:vAlign w:val="center"/>
          </w:tcPr>
          <w:p w14:paraId="2678FAD8">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套</w:t>
            </w:r>
          </w:p>
        </w:tc>
        <w:tc>
          <w:tcPr>
            <w:tcW w:w="709" w:type="dxa"/>
            <w:vAlign w:val="center"/>
          </w:tcPr>
          <w:p w14:paraId="0A3BE9F1">
            <w:pPr>
              <w:widowControl/>
              <w:jc w:val="center"/>
              <w:rPr>
                <w:rFonts w:hint="eastAsia" w:ascii="宋体" w:hAnsi="宋体"/>
                <w:color w:val="000000" w:themeColor="text1"/>
                <w:sz w:val="20"/>
                <w:szCs w:val="20"/>
                <w:lang w:bidi="ar"/>
                <w14:textFill>
                  <w14:solidFill>
                    <w14:schemeClr w14:val="tx1"/>
                  </w14:solidFill>
                </w14:textFill>
              </w:rPr>
            </w:pPr>
            <w:r>
              <w:rPr>
                <w:rFonts w:ascii="宋体" w:hAnsi="宋体"/>
                <w:color w:val="000000" w:themeColor="text1"/>
                <w:sz w:val="20"/>
                <w:szCs w:val="20"/>
                <w:lang w:bidi="ar"/>
                <w14:textFill>
                  <w14:solidFill>
                    <w14:schemeClr w14:val="tx1"/>
                  </w14:solidFill>
                </w14:textFill>
              </w:rPr>
              <w:t>1</w:t>
            </w:r>
          </w:p>
        </w:tc>
        <w:tc>
          <w:tcPr>
            <w:tcW w:w="709" w:type="dxa"/>
            <w:vAlign w:val="center"/>
          </w:tcPr>
          <w:p w14:paraId="378A823E">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软件和信息技术服务业</w:t>
            </w:r>
          </w:p>
        </w:tc>
      </w:tr>
      <w:tr w14:paraId="4C185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13BCCF8D">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5</w:t>
            </w:r>
          </w:p>
        </w:tc>
        <w:tc>
          <w:tcPr>
            <w:tcW w:w="855" w:type="dxa"/>
            <w:vAlign w:val="center"/>
          </w:tcPr>
          <w:p w14:paraId="4D7312CA">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网上阅卷系统</w:t>
            </w:r>
          </w:p>
        </w:tc>
        <w:tc>
          <w:tcPr>
            <w:tcW w:w="6516" w:type="dxa"/>
            <w:vAlign w:val="center"/>
          </w:tcPr>
          <w:p w14:paraId="52A49C8F">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提供学业测评数据采集与评阅全过程服务，服务内容应当覆盖测评采集与评阅组织、答题卡制作、答题卡扫描识别、在线阅卷、手阅数据采集与基础数据分析，服务成果应当满足下列要求。</w:t>
            </w:r>
          </w:p>
          <w:p w14:paraId="1016F73D">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一、网上阅卷数据采集。</w:t>
            </w:r>
          </w:p>
          <w:p w14:paraId="5C17981B">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（一）阅卷管理。提供测评采集与评阅组织服务，服务成果应当包括：</w:t>
            </w:r>
          </w:p>
          <w:p w14:paraId="10331F73">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1.支持学校日常练习、期中测评、期末测评等各类测评采集；支持测评试卷上传与教师自主资源标注；支持按角色、科目屏蔽或发布成绩；支持测评成绩及小题分补录；支持自定义多选题得分规则。</w:t>
            </w:r>
          </w:p>
          <w:p w14:paraId="144A37E0">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阅卷任务分配与阅卷组织服务，服务成果应当包括：支持按任务总量平均分配、自定义教师阅卷任务量、固定教师阅卷任务量等方式分配任务，并支持阅卷过程中调整教师任务量；支持批量设置阅卷教师、仲裁教师和题组长；支持批量设置客观题答案与分值、设置步骤分；支持对试题设置单评、双评。</w:t>
            </w:r>
          </w:p>
          <w:p w14:paraId="7E4E4F95">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（二）答题卡制作。提供答题卡制作服务，服务成果应当包括：</w:t>
            </w:r>
          </w:p>
          <w:p w14:paraId="1D5004B6">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▲1.</w:t>
            </w:r>
            <w:r>
              <w:rPr>
                <w:rFonts w:hint="eastAsia" w:ascii="宋体" w:hAnsi="宋体" w:cs="宋体"/>
                <w:color w:val="000000" w:themeColor="text1"/>
                <w:sz w:val="20"/>
                <w:szCs w:val="20"/>
                <w:lang w:bidi="ar"/>
                <w14:textFill>
                  <w14:solidFill>
                    <w14:schemeClr w14:val="tx1"/>
                  </w14:solidFill>
                </w14:textFill>
              </w:rPr>
              <w:t>提供</w:t>
            </w:r>
            <w:r>
              <w:rPr>
                <w:rFonts w:hint="eastAsia" w:ascii="宋体" w:hAnsi="宋体"/>
                <w:color w:val="000000" w:themeColor="text1"/>
                <w:sz w:val="20"/>
                <w:szCs w:val="20"/>
                <w:lang w:bidi="ar"/>
                <w14:textFill>
                  <w14:solidFill>
                    <w14:schemeClr w14:val="tx1"/>
                  </w14:solidFill>
                </w14:textFill>
              </w:rPr>
              <w:t>新建空白答题卡、题库制卡、三方制卡、导入word试卷制卡；（证明材料按本章通用说明提供）</w:t>
            </w:r>
          </w:p>
          <w:p w14:paraId="21D17E14">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答题卡制作与管理服务，服务成果应当包括：答题卡的编辑、下载、删除、废弃与复用，支持自定义模板及模板二次修改；版式支持1栏、2栏、3栏自由排版，编号版式支持填涂式编号、4~14位自定义编号及条形码；客观题选项支持横排与竖排布局，支持将混合题中的客观题作答并入顶部填涂区，客观题选项不少于26个，题卡合一三方卡支持按选项框选题号和自动识别题号。</w:t>
            </w:r>
          </w:p>
          <w:p w14:paraId="7CDE956F">
            <w:pPr>
              <w:widowControl/>
              <w:rPr>
                <w:rFonts w:hint="eastAsia" w:ascii="宋体" w:hAnsi="宋体" w:cs="宋体"/>
                <w:b/>
                <w:bCs/>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▲3.</w:t>
            </w:r>
            <w:r>
              <w:rPr>
                <w:rFonts w:hint="eastAsia" w:ascii="宋体" w:hAnsi="宋体" w:cs="宋体"/>
                <w:color w:val="000000" w:themeColor="text1"/>
                <w:sz w:val="20"/>
                <w:szCs w:val="20"/>
                <w:lang w:bidi="ar"/>
                <w14:textFill>
                  <w14:solidFill>
                    <w14:schemeClr w14:val="tx1"/>
                  </w14:solidFill>
                </w14:textFill>
              </w:rPr>
              <w:t>提供</w:t>
            </w:r>
            <w:r>
              <w:rPr>
                <w:rFonts w:hint="eastAsia" w:ascii="宋体" w:hAnsi="宋体"/>
                <w:color w:val="000000" w:themeColor="text1"/>
                <w:sz w:val="20"/>
                <w:szCs w:val="20"/>
                <w:lang w:bidi="ar"/>
                <w14:textFill>
                  <w14:solidFill>
                    <w14:schemeClr w14:val="tx1"/>
                  </w14:solidFill>
                </w14:textFill>
              </w:rPr>
              <w:t>设置单选题、判断题、多选题、填空题、解答题、选做题、主客观混合题的题型；需支持设置单独卷面分打分项；（证明材料按本章通用说明提供）</w:t>
            </w:r>
          </w:p>
          <w:p w14:paraId="0217D12B">
            <w:pPr>
              <w:widowControl/>
              <w:rPr>
                <w:rFonts w:hint="eastAsia" w:ascii="宋体" w:hAnsi="宋体"/>
                <w:b/>
                <w:bCs/>
                <w:color w:val="000000" w:themeColor="text1"/>
                <w:sz w:val="20"/>
                <w:szCs w:val="20"/>
                <w14:textFill>
                  <w14:solidFill>
                    <w14:schemeClr w14:val="tx1"/>
                  </w14:solidFill>
                </w14:textFill>
              </w:rPr>
            </w:pPr>
            <w:r>
              <w:rPr>
                <w:rFonts w:ascii="宋体" w:hAnsi="宋体"/>
                <w:color w:val="000000" w:themeColor="text1"/>
                <w:sz w:val="20"/>
                <w:szCs w:val="20"/>
                <w:lang w:bidi="ar"/>
                <w14:textFill>
                  <w14:solidFill>
                    <w14:schemeClr w14:val="tx1"/>
                  </w14:solidFill>
                </w14:textFill>
              </w:rPr>
              <w:t>▲4.</w:t>
            </w:r>
            <w:r>
              <w:rPr>
                <w:rFonts w:hint="eastAsia" w:ascii="宋体" w:hAnsi="宋体" w:cs="宋体"/>
                <w:color w:val="000000" w:themeColor="text1"/>
                <w:sz w:val="20"/>
                <w:szCs w:val="20"/>
                <w:lang w:bidi="ar"/>
                <w14:textFill>
                  <w14:solidFill>
                    <w14:schemeClr w14:val="tx1"/>
                  </w14:solidFill>
                </w14:textFill>
              </w:rPr>
              <w:t>提供</w:t>
            </w:r>
            <w:r>
              <w:rPr>
                <w:rFonts w:ascii="宋体" w:hAnsi="宋体"/>
                <w:color w:val="000000" w:themeColor="text1"/>
                <w:sz w:val="20"/>
                <w:szCs w:val="20"/>
                <w:lang w:bidi="ar"/>
                <w14:textFill>
                  <w14:solidFill>
                    <w14:schemeClr w14:val="tx1"/>
                  </w14:solidFill>
                </w14:textFill>
              </w:rPr>
              <w:t>简答题设置打分方式（分数格、对错、手写）、分数精度（无小数、有小数）、题目显示区域大小等；需支持添加作文格、田字格、四线格，作文格、田字格需支持设置字数和大、中、小三种格子；需支持增加选做题，满足分层测评场景，需支持自定义设置选做题的数量，需支持多选一或多选多；（证明材料按本章通用说明提供）</w:t>
            </w:r>
          </w:p>
          <w:p w14:paraId="66C00C40">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5.提供答题卡印制适配服务，服务成果应当包括：支持AB卷标记的答题卡制作及多张答题卡双面、单面打印设置；答题卡应当采用60克及以上纸张印制的市场通用规格，版面支持A3、A4、8K、16K、B4、B5纸张尺寸规格。</w:t>
            </w:r>
          </w:p>
          <w:p w14:paraId="70A2E4D7">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（三）答题卡扫描识别。提供答题卡扫描与识别服务，服务成果应当包括：</w:t>
            </w:r>
          </w:p>
          <w:p w14:paraId="34320B09">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支持分批扫描、先扫描后阅卷、边扫描边阅卷，支持扫描仪群组联网协同工作；扫描与学生编号填涂、条形码、客观题、主观题、缺测标记、AB卷及选做题识别同步完成；支持选定班级或导入名单进行扫描识别，支持同一场测评各学科设置不同的参加测评学生名单。</w:t>
            </w:r>
          </w:p>
          <w:p w14:paraId="7EDE26B7">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投标人应当提供扫描识别异常处理服务，服务成果应当包括：支持正反颠倒、上下颠倒及多张答题卡序号混乱情形的识别；对学生填涂的编号、客观题、选做题、AB卷信息存在错填、误填、漏填的，具有自动检测与提示功能；异常支持边扫描边处理、分批次处理、扫描完统一处理，支持多人远程同时协助处理；支持语文断句题不少于26个选项的自动识别，并支持设置多个识别模板。</w:t>
            </w:r>
          </w:p>
          <w:p w14:paraId="2B804181">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（四）在线阅卷。</w:t>
            </w:r>
          </w:p>
          <w:p w14:paraId="725DB1A0">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在线阅卷服务，服务成果应当包括：支持云端阅卷，支持标记优秀卷、典型错误卷与批注，支持键盘给分、打分板给分并保留阅卷痕迹，支持设置评分步长与提交问题卷；支持单题批量阅卷模式，可按行数和列数调整页面显示的答题数量与布局，同一页面显示不少于35份学生答题。</w:t>
            </w:r>
          </w:p>
          <w:p w14:paraId="0F743712">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阅卷过程支撑与核查服务，服务成果应当包括：支持按班级阅卷、移动端阅卷并保留批阅痕迹；支持管理员、科组长对阅卷总体进度、各题进度、个人进度与阅卷质量实时监控，支持试卷打回重阅；支持客观题成绩核查与主观题按学生、按班级查看得分明细并修改打分结果。</w:t>
            </w:r>
          </w:p>
          <w:p w14:paraId="78716F66">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3.提供阅卷质量监管服务，服务成果应当包括：题组长对单题进度与质量进行监控并支持抽样、打回；提前统计客观题得分数据；支持增设学科管理员并为其设置巡评学科，支持巡评员监管阅卷进度与质量；支持科组长通过移动端查看阅卷进度、得分分布与教师阅卷质量并处理问题卷。</w:t>
            </w:r>
          </w:p>
          <w:p w14:paraId="32CB8F4C">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4.提供成绩核查与仲裁服务，服务成果应当包括：支持成绩批量检查及监控，支持修改提交后重新生成评价分析报告，支持将作弊学生成绩设置为零分；支持在仲裁过程中按步骤分产生仲裁。</w:t>
            </w:r>
          </w:p>
          <w:p w14:paraId="4645182C">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二、手阅数据采集。</w:t>
            </w:r>
          </w:p>
          <w:p w14:paraId="63BD2759">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手阅数据采集服务，服务成果应当包括：支持从系统题库选题后自动生成答题卡，支持教师使用Web端浏览器在线制作与编辑答题卡；支持语文、数学、英语、物理、化学、生物、政治、历史、地理、信息技术、通用技术等学科Word试卷导入并由系统自动切题，按切题结构自动生成答题卡。</w:t>
            </w:r>
          </w:p>
          <w:p w14:paraId="6A9B7997">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▲2.</w:t>
            </w:r>
            <w:r>
              <w:rPr>
                <w:rFonts w:hint="eastAsia" w:ascii="宋体" w:hAnsi="宋体" w:cs="宋体"/>
                <w:color w:val="000000" w:themeColor="text1"/>
                <w:sz w:val="20"/>
                <w:szCs w:val="20"/>
                <w:lang w:bidi="ar"/>
                <w14:textFill>
                  <w14:solidFill>
                    <w14:schemeClr w14:val="tx1"/>
                  </w14:solidFill>
                </w14:textFill>
              </w:rPr>
              <w:t>提供</w:t>
            </w:r>
            <w:r>
              <w:rPr>
                <w:rFonts w:hint="eastAsia" w:ascii="宋体" w:hAnsi="宋体"/>
                <w:color w:val="000000" w:themeColor="text1"/>
                <w:sz w:val="20"/>
                <w:szCs w:val="20"/>
                <w:lang w:bidi="ar"/>
                <w14:textFill>
                  <w14:solidFill>
                    <w14:schemeClr w14:val="tx1"/>
                  </w14:solidFill>
                </w14:textFill>
              </w:rPr>
              <w:t>试题编辑服务，支付针对试题的答案、解析、知识点进行编辑；（证明材料按本章通用说明提供）</w:t>
            </w:r>
          </w:p>
          <w:p w14:paraId="69948426">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3.提供手阅答题卡排版与识别服务，服务成果应当包括：支持和试卷题干全部合一、纯答题卡、部分带题干三种形式；编号识别支持学生编号、学校自定义4~14位编号、填涂编号、条形码及手写编号等方式；排版支持单选题、多选题、判断题、填空题、解答题、选做题等题型，填空题支持一题多空批阅，支持将混合题中的客观题作答区域并入顶部填涂区，客观题选项不少于26个。</w:t>
            </w:r>
          </w:p>
          <w:p w14:paraId="019E8E09">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4.提供纸上作答批改与统分服务，服务成果应当包括：学生纸上作答、教师纸上批改，客观题由系统自动评分，主观题支持打分条、勾叉、手写分数三种模式评分并保留批阅痕迹；支持仅红笔痕迹识别与任意笔痕迹识别两种方式；支持解答题加分制和减分制两种统分方式；支持卡卷合一答题卡客观题题干与选项填涂区域左右结构布局。</w:t>
            </w:r>
          </w:p>
          <w:p w14:paraId="3ABB95C9">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▲5.</w:t>
            </w:r>
            <w:r>
              <w:rPr>
                <w:rFonts w:hint="eastAsia" w:ascii="宋体" w:hAnsi="宋体" w:cs="宋体"/>
                <w:color w:val="000000" w:themeColor="text1"/>
                <w:sz w:val="20"/>
                <w:szCs w:val="20"/>
                <w:lang w:bidi="ar"/>
                <w14:textFill>
                  <w14:solidFill>
                    <w14:schemeClr w14:val="tx1"/>
                  </w14:solidFill>
                </w14:textFill>
              </w:rPr>
              <w:t>提供</w:t>
            </w:r>
            <w:r>
              <w:rPr>
                <w:rFonts w:hint="eastAsia" w:ascii="宋体" w:hAnsi="宋体"/>
                <w:color w:val="000000" w:themeColor="text1"/>
                <w:sz w:val="20"/>
                <w:szCs w:val="20"/>
                <w:lang w:bidi="ar"/>
                <w14:textFill>
                  <w14:solidFill>
                    <w14:schemeClr w14:val="tx1"/>
                  </w14:solidFill>
                </w14:textFill>
              </w:rPr>
              <w:t>题卡不定点批改服务，支持纯作答的答题卡、卡卷合一的答题卡填空题作答区即批改区，不限定在指定框内进行批改；（证明材料按本章通用说明提供）</w:t>
            </w:r>
          </w:p>
          <w:p w14:paraId="496E016F">
            <w:pPr>
              <w:widowControl/>
              <w:rPr>
                <w:rFonts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6.提供手阅数据即时处理服务，服务成果应当包括：教师无需提前创建测评，学生答题卡即扫即创建扫描记录，扫描结束后即可查看分析报告，支持按不同用户查看扫描记录；支持同一场测评中部分学科先扫描后阅卷、其他学科先阅卷后扫描的自由组合，并生成测评总体评价分析报告。</w:t>
            </w:r>
          </w:p>
          <w:p w14:paraId="3945F635">
            <w:pPr>
              <w:widowControl/>
              <w:rPr>
                <w:rFonts w:hint="eastAsia" w:ascii="宋体" w:hAnsi="宋体" w:cs="宋体"/>
                <w:color w:val="000000" w:themeColor="text1"/>
                <w:sz w:val="20"/>
                <w:szCs w:val="20"/>
                <w:lang w:bidi="ar"/>
                <w14:textFill>
                  <w14:solidFill>
                    <w14:schemeClr w14:val="tx1"/>
                  </w14:solidFill>
                </w14:textFill>
              </w:rPr>
            </w:pPr>
            <w:r>
              <w:rPr>
                <w:rFonts w:hint="default" w:ascii="宋体" w:hAnsi="宋体" w:cs="宋体"/>
                <w:color w:val="000000" w:themeColor="text1"/>
                <w:sz w:val="20"/>
                <w:szCs w:val="20"/>
                <w:lang w:bidi="ar"/>
                <w14:textFill>
                  <w14:solidFill>
                    <w14:schemeClr w14:val="tx1"/>
                  </w14:solidFill>
                </w14:textFill>
              </w:rPr>
              <w:t>7.</w:t>
            </w:r>
            <w:r>
              <w:rPr>
                <w:rFonts w:hint="eastAsia" w:ascii="宋体" w:hAnsi="宋体" w:cs="宋体"/>
                <w:color w:val="000000" w:themeColor="text1"/>
                <w:sz w:val="20"/>
                <w:szCs w:val="20"/>
                <w:lang w:bidi="ar"/>
                <w14:textFill>
                  <w14:solidFill>
                    <w14:schemeClr w14:val="tx1"/>
                  </w14:solidFill>
                </w14:textFill>
              </w:rPr>
              <w:t>提供填空题 OCR 识别对比批改功能。基于 OCR 手写识别技术，可自动识别学生答卷上填空题的作答内容（含中文、英文、数字、公式、常用符号）；支持将学生答卷识别结果与答案卷（标准答案）填写内容进行一致性自动比对，按比对结果自动判定对、错、半对并生成批改标记；支持对污损、出框、字迹潦草等常见非规范书写情况的正常识别；对识别置信度较低的作答，系统应自动标记并转人工复核，支持教师对批改结果进行修改。</w:t>
            </w:r>
          </w:p>
          <w:p w14:paraId="0C13A2C5">
            <w:pPr>
              <w:widowControl/>
              <w:rPr>
                <w:rFonts w:hint="eastAsia" w:ascii="宋体" w:hAnsi="宋体" w:cs="宋体"/>
                <w:color w:val="000000" w:themeColor="text1"/>
                <w:sz w:val="20"/>
                <w:szCs w:val="20"/>
                <w:lang w:bidi="ar"/>
                <w14:textFill>
                  <w14:solidFill>
                    <w14:schemeClr w14:val="tx1"/>
                  </w14:solidFill>
                </w14:textFill>
              </w:rPr>
            </w:pPr>
            <w:r>
              <w:rPr>
                <w:rFonts w:hint="default" w:ascii="宋体" w:hAnsi="宋体" w:cs="宋体"/>
                <w:color w:val="000000" w:themeColor="text1"/>
                <w:sz w:val="20"/>
                <w:szCs w:val="20"/>
                <w:lang w:bidi="ar"/>
                <w14:textFill>
                  <w14:solidFill>
                    <w14:schemeClr w14:val="tx1"/>
                  </w14:solidFill>
                </w14:textFill>
              </w:rPr>
              <w:t>8.</w:t>
            </w:r>
            <w:r>
              <w:rPr>
                <w:rFonts w:hint="eastAsia" w:ascii="宋体" w:hAnsi="宋体" w:cs="宋体"/>
                <w:color w:val="000000" w:themeColor="text1"/>
                <w:sz w:val="20"/>
                <w:szCs w:val="20"/>
                <w:lang w:bidi="ar"/>
                <w14:textFill>
                  <w14:solidFill>
                    <w14:schemeClr w14:val="tx1"/>
                  </w14:solidFill>
                </w14:textFill>
              </w:rPr>
              <w:t>提供主观题智能批改对接功能。-提供简答题等主观题型的智能批改技术，基于语义理解对作答内容与评分要点进行匹配评分，支持按得分点给出评分建议及评分依据；在采购方提供对接大模型 API（接口地址、密钥）后，系统可通过调用大模型服务实现相应主观题型的智能批改功能；大模型接口由采购方统一管理，供应商负责完成对接联调，并确保作答数据仅在境内存储与处理；</w:t>
            </w:r>
          </w:p>
          <w:p w14:paraId="1C39D438">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三、基础数据分析。</w:t>
            </w:r>
          </w:p>
          <w:p w14:paraId="718F3A76">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（一）报告管理。</w:t>
            </w:r>
          </w:p>
          <w:p w14:paraId="1EC2C412">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报告发布与统计口径配置服务，服务成果应当包括：单次测评结束后，按学校诉求自主选择数据是否向校内相关角色（校长、年级主任、学科组长、备课组长、班主任、任课教师等，角色范围由采购人按学校实际岗位配置）发布；支持新高考模式下行政班与教学班双重评价分析，支持设置试卷分卷并进行分卷分析，支持设置试题题型与试题标签，支持同时设置不少于8个试题标签并进行分析。</w:t>
            </w:r>
          </w:p>
          <w:p w14:paraId="30E89C1D">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统计分析范围与指标配置服务，服务成果应当包括：支持按行政班或教学班、学生标签、学生选科组合、学科组灵活选择统计范围，并支持组合多个班级标签进行对比分析；支持对多个学科设置不同权重后组合分析，支持卷面分、等级、等级赋分、标准分、学科成绩比较高低五种计分方式，支持自主选择总分计分科目及各学科权重；支持优秀率、合格率、良好率、低分率、学业等级、成绩分段、达标分、临界生、学业表现突出学生、学习困难学生、T分数等指标自定义设置，支持根据历史达标数据预测学业水平达标分数线。</w:t>
            </w:r>
          </w:p>
          <w:p w14:paraId="66B9D980">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（二）联测报告。</w:t>
            </w:r>
          </w:p>
          <w:p w14:paraId="02DA02F5">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联测报告服务，服务成果应当包括：联测整体分析与单科分析，指标包括学科成绩对比、学校成绩对比、学业等级分布、成绩分段对比、达标分析、学业表现突出学生与需重点关注学生对比分析，并提供报告解读；联测分析报告支持Word、Excel形式导出，试卷分析、学生成绩、小题得分、题组分析支持Excel导出，试题解析支持Word导出。</w:t>
            </w:r>
          </w:p>
          <w:p w14:paraId="00B0235C">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▲2.提供联测试卷分析服务，指标包括试卷概览（整卷难度、信度、区分度）、分卷分析、大题分析、试题分组分析、小题分析、知识点分析、作答详情。（证明材料按本章通用说明提供）</w:t>
            </w:r>
          </w:p>
          <w:p w14:paraId="0049364D">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（三）校级报告。</w:t>
            </w:r>
          </w:p>
          <w:p w14:paraId="13B4E317">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校级报告服务，服务成果应当包括：支持生成物理、历史方向报告或选科报告；校级多学科报告，指标包括学科成绩对比、班级成绩对比、学业等级分布、成绩分段对比、达标分析、临界生对比、学业表现突出与需重点关注学生对比、优劣势学科对比；校级单学科报告，指标包括班级成绩对比、学业等级分布、成绩分段对比、达标分析、临界生对比、学业表现突出学生与学习困难学生对比。</w:t>
            </w:r>
          </w:p>
          <w:p w14:paraId="1D7895C6">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校级试卷分析与成绩导出服务，服务成果应当包括：试卷分析指标包括试卷整体难度、试题难度比例、信度、区分度、大题分析、小题分析、知识点分析、作答详情，支持选择添加班级进行对比分析；提供全部和各班学生成绩，指标包括班级、校级学业水平及进退步情况、各学科得分；学生成绩表、单科成绩汇总、学生小题明细表、题组得分情况支持Excel格式导出。</w:t>
            </w:r>
          </w:p>
          <w:p w14:paraId="3616801B">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（四）班级报告。</w:t>
            </w:r>
          </w:p>
          <w:p w14:paraId="183D67F9">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班级报告服务，服务成果应当包括：班主任查看班级多学科报告，指标包括学科成绩对比、平均分对比、学业等级分布、成绩分段对比、优劣势学科对比；授课教师查看班级单学科报告，指标包括学情概览、平均分对比、学业等级分布、需关注学生、高频错题，支持查看班级学生成绩单、学生单科作答原卷与试题解析；班级全科和单科成绩表支持Excel格式导出。</w:t>
            </w:r>
          </w:p>
          <w:p w14:paraId="06CA7EF9">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班级试卷分析与讲评服务，服务成果应当包括：班级试卷分析指标包括试卷整体难度、试题难度比例、信度、区分度、分卷分析、试题分组分析、大题分析、小题分析、知识点分析、作答详情，支持以表格、雷达图两种形式呈现并支持Excel导出；网页端试卷讲评工具支持按题号、得分率、题型得分率、知识点排序讲解，支持调取主观题典型错误解答和优秀解答进行多生多题对比讲解，支持讲评画笔与学生订正统计。</w:t>
            </w:r>
          </w:p>
          <w:p w14:paraId="2175BCD3">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3.提供答题统计与移动端讲评服务，服务成果应当包括：查看试题答题统计，包括班级均分与得分率、年级均分与得分率、客观题选项统计与主观题得分分布，并支持查看对应学生名单与典型卷；移动端试卷讲评支持按题号或学生作答情况排序讲解，支持单题作答分段统计、错题名单及学生原卷调取。</w:t>
            </w:r>
          </w:p>
          <w:p w14:paraId="3CD99E21">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（五）学生报告。</w:t>
            </w:r>
          </w:p>
          <w:p w14:paraId="039429AA">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学生学情报告服务，服务成果应当包括：学生账号查看个人全科报告，包含成绩等级、历次成绩变化、各学科发挥水平及学科诊断情况；查看个人单次测评涉及的知识点、各知识点权重及掌握程度；查看个人单科错题情况及错题解析，提供错题题号、题干、学生答案、正确答案、知识点及班级平均正确率。</w:t>
            </w:r>
          </w:p>
          <w:p w14:paraId="660F11C8">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▲2.提供查看个人单科的学情报告，包含成绩等级、历次成绩变化情况、作答原卷；（证明材料按本章通用说明提供）</w:t>
            </w:r>
          </w:p>
          <w:p w14:paraId="6B2A1A3E">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四、AI报告助手。</w:t>
            </w:r>
          </w:p>
          <w:p w14:paraId="493DAEA4">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投标人应当提供报告智能导览服务，测评报告模块内置智能助手，支持热门报表智能推荐并一键直达对应报表模块，支持教师以自然语言输入查询需求后自动识别意图并推送对应模块入口。</w:t>
            </w:r>
          </w:p>
        </w:tc>
        <w:tc>
          <w:tcPr>
            <w:tcW w:w="709" w:type="dxa"/>
            <w:vAlign w:val="center"/>
          </w:tcPr>
          <w:p w14:paraId="5E6195A1">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套</w:t>
            </w:r>
          </w:p>
        </w:tc>
        <w:tc>
          <w:tcPr>
            <w:tcW w:w="709" w:type="dxa"/>
            <w:vAlign w:val="center"/>
          </w:tcPr>
          <w:p w14:paraId="60B62956">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2</w:t>
            </w:r>
            <w:r>
              <w:rPr>
                <w:rFonts w:ascii="宋体" w:hAnsi="宋体"/>
                <w:color w:val="000000" w:themeColor="text1"/>
                <w:sz w:val="20"/>
                <w:szCs w:val="20"/>
                <w:lang w:bidi="ar"/>
                <w14:textFill>
                  <w14:solidFill>
                    <w14:schemeClr w14:val="tx1"/>
                  </w14:solidFill>
                </w14:textFill>
              </w:rPr>
              <w:t>8</w:t>
            </w:r>
          </w:p>
        </w:tc>
        <w:tc>
          <w:tcPr>
            <w:tcW w:w="709" w:type="dxa"/>
            <w:vAlign w:val="center"/>
          </w:tcPr>
          <w:p w14:paraId="475CBF01">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软件和信息技术服务业</w:t>
            </w:r>
          </w:p>
        </w:tc>
      </w:tr>
      <w:tr w14:paraId="0221F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5E0FFA28">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6</w:t>
            </w:r>
          </w:p>
        </w:tc>
        <w:tc>
          <w:tcPr>
            <w:tcW w:w="855" w:type="dxa"/>
            <w:vAlign w:val="center"/>
          </w:tcPr>
          <w:p w14:paraId="25FCBC48">
            <w:pPr>
              <w:widowControl/>
              <w:jc w:val="center"/>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历次学情追踪系统</w:t>
            </w:r>
          </w:p>
        </w:tc>
        <w:tc>
          <w:tcPr>
            <w:tcW w:w="6516" w:type="dxa"/>
            <w:vAlign w:val="center"/>
          </w:tcPr>
          <w:p w14:paraId="6BCFD146">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1.提供年级学情追踪服务，支持按分数、均差、五率分布查看各班级历次测评班级均分及年级均分分布，低于年级均分的班级成绩以颜色标注。</w:t>
            </w:r>
          </w:p>
          <w:p w14:paraId="1E9C5056">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班级学情追踪服务，服务成果应当包括：按试题来源、时间段、学科、班级等条件筛选并以折线图展示成绩变化趋势；展示班级薄弱知识点的班级掌握率、年级掌握率、班级未掌握人数及考频，班级掌握率低于60%的知识点自动标红；提供班级知识点错题解析，展示得分率、错题来源、相关考点、解析及答错/答对人数统计；支持教师按题型、难度、类型、解题方法、学科思想等维度筛选试题推送学生练习。</w:t>
            </w:r>
          </w:p>
          <w:p w14:paraId="6DC2A7EA">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▲3.提供学情详情服务，学情详情展示同一知识点不同得分率的学生具体名单，帮助教师及时了解学生的知识点掌握情况；（证明材料按本章通用说明提供）。</w:t>
            </w:r>
          </w:p>
          <w:p w14:paraId="5FB0B072">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4.提供班级共性错题分析服务，分析维度包括班级/年级得分率、错题来源、考点、答案解析、答对/答错人数统计，支持按自定义得分率展示共性错题，并支持将共性错题选入试卷袋进行错题强化训练。</w:t>
            </w:r>
          </w:p>
          <w:p w14:paraId="186DE9BF">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5.提供学生学情追踪服务，服务成果应当包括：按试题来源、时间段、学科、班级等条件筛选学生学情；支持对重点学生进行关注标记；查看学生成绩趋势图，支持按指标（班级相对水平、校级相对水平、T分数）和类别（日常练习、阶段练习、期中测评、期末测评、章节练习、阶段复习、适应性练习、学科活动等）筛选；查看学生知识点掌握情况及学科错题本，支持按得分范围筛选错题。</w:t>
            </w:r>
          </w:p>
          <w:p w14:paraId="4BAD002E">
            <w:pPr>
              <w:widowControl/>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▲6.提供查询过程性教学评价：提供按照年级输入学生姓名可查看该学生历次测评各学科成绩记录，包括得分、班级学业水平和校级学业水平；（证明材料按本章通用说明提供）。</w:t>
            </w:r>
          </w:p>
        </w:tc>
        <w:tc>
          <w:tcPr>
            <w:tcW w:w="709" w:type="dxa"/>
            <w:vAlign w:val="center"/>
          </w:tcPr>
          <w:p w14:paraId="46ECBC9A">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套</w:t>
            </w:r>
          </w:p>
        </w:tc>
        <w:tc>
          <w:tcPr>
            <w:tcW w:w="709" w:type="dxa"/>
            <w:vAlign w:val="center"/>
          </w:tcPr>
          <w:p w14:paraId="030C3C43">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28</w:t>
            </w:r>
          </w:p>
        </w:tc>
        <w:tc>
          <w:tcPr>
            <w:tcW w:w="709" w:type="dxa"/>
            <w:vAlign w:val="center"/>
          </w:tcPr>
          <w:p w14:paraId="0770816D">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软件和信息技术服务业</w:t>
            </w:r>
          </w:p>
        </w:tc>
      </w:tr>
      <w:tr w14:paraId="1D6F7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6C10D235">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7</w:t>
            </w:r>
          </w:p>
        </w:tc>
        <w:tc>
          <w:tcPr>
            <w:tcW w:w="855" w:type="dxa"/>
            <w:vAlign w:val="center"/>
          </w:tcPr>
          <w:p w14:paraId="5C5D3A49">
            <w:pPr>
              <w:widowControl/>
              <w:jc w:val="center"/>
              <w:rPr>
                <w:rFonts w:hint="eastAsia" w:ascii="宋体" w:hAnsi="宋体" w:cs="宋体"/>
                <w:color w:val="000000" w:themeColor="text1"/>
                <w:sz w:val="20"/>
                <w:szCs w:val="20"/>
                <w14:textFill>
                  <w14:solidFill>
                    <w14:schemeClr w14:val="tx1"/>
                  </w14:solidFill>
                </w14:textFill>
              </w:rPr>
            </w:pPr>
            <w:r>
              <w:rPr>
                <w:rFonts w:hint="eastAsia"/>
                <w:color w:val="000000" w:themeColor="text1"/>
                <w:sz w:val="20"/>
                <w:szCs w:val="20"/>
                <w:lang w:bidi="ar"/>
                <w14:textFill>
                  <w14:solidFill>
                    <w14:schemeClr w14:val="tx1"/>
                  </w14:solidFill>
                </w14:textFill>
              </w:rPr>
              <w:t>精准教学系统</w:t>
            </w:r>
          </w:p>
        </w:tc>
        <w:tc>
          <w:tcPr>
            <w:tcW w:w="6516" w:type="dxa"/>
            <w:vAlign w:val="center"/>
          </w:tcPr>
          <w:p w14:paraId="7F91F648">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一、学科学情。</w:t>
            </w:r>
          </w:p>
          <w:p w14:paraId="1DA21A59">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学科学情分析服务，服务成果应当包括：按时间维度查看年级薄弱知识点及年级掌握率、年级未掌握班级数；查看班级薄弱知识点及班级掌握率、年级掌握率、班级未掌握人数与本班、年级考频；查看班级共性错题（错题数、平均得分率），支持按测评、得分率、题型筛选并导出；支持根据薄弱知识点进行薄弱项训练、根据班级错题进行错题强化训练，提供错题重做、错题拓展以及错题重做+拓展三种组卷方式。</w:t>
            </w:r>
          </w:p>
          <w:p w14:paraId="6ED99B46">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二、学生学情。</w:t>
            </w:r>
          </w:p>
          <w:p w14:paraId="2D26CF8E">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学生学业档案服务，服务成果应当包括：查看每个学生学业档案，自动甄别临界生、波动生、下降生、进步生、稳定生并标记，提供知识点掌握情况并支持多学生多知识点对比；自动收录单科学业成绩与错题（支持PDF导出），提供全科学生学情分析；支持单个学生及班级历次测验成绩按时间范围筛选并以Excel导出。</w:t>
            </w:r>
          </w:p>
          <w:p w14:paraId="44F54FA1">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三、上届学情。</w:t>
            </w:r>
          </w:p>
          <w:p w14:paraId="11FCB38D">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上届学情参考服务，服务成果应当包括：按教材章节查看上届学生薄弱知识点及关联错题并支持导出，提供上届与本届薄弱知识点对比及本届各知识点历史学年掌握率；支持根据上届薄弱知识点关联错题进行强化训练，高中数学、物理、化学学科提供错题拓展资源，支持智能组题（按得分率范围筛题、可自定义题量）与自选错题两种形式，分别提供错题重做、错题拓展及错题重做+拓展等组卷方式。</w:t>
            </w:r>
          </w:p>
          <w:p w14:paraId="2680D675">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四、学业分析。</w:t>
            </w:r>
          </w:p>
          <w:p w14:paraId="37AFFCC1">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学业分析服务，服务成果应当包括：学业成绩发展趋势，支持按测评类型、测评列表、标准分、得分率、优秀率、及格率、科目指标维度筛选，支持本学年与历年对比；本学年学科均衡性分析，以雷达图展示并提供班级优势学科、劣势学科情况；各学科学业分层对比分析，从优秀、良好、合格、待合格维度分析各班级学生。</w:t>
            </w:r>
          </w:p>
          <w:p w14:paraId="75803F11">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五、教学监管。</w:t>
            </w:r>
          </w:p>
          <w:p w14:paraId="54006FE7">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教学监管服务，服务成果应当包括：按年级、学科、时段查询校内测评、扫描与校本试题建设数据；查看学校手阅、网阅及成绩补录次数，并以环形图展示练习、阶段练习、期中测评等的占比；学科分析，查看各学科测评数、网阅、手阅、补录、扫描数和题目数，支持查看和导出测评、班级、教师、学生详情；扫描分析，按图表查看班级扫描数据统计。</w:t>
            </w:r>
          </w:p>
          <w:p w14:paraId="2FD1CD28">
            <w:pPr>
              <w:rPr>
                <w:rFonts w:hint="eastAsia"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▲2.</w:t>
            </w:r>
            <w:r>
              <w:rPr>
                <w:rFonts w:hint="eastAsia" w:ascii="宋体" w:hAnsi="宋体" w:cs="宋体"/>
                <w:color w:val="000000" w:themeColor="text1"/>
                <w:sz w:val="20"/>
                <w:szCs w:val="20"/>
                <w:lang w:bidi="ar"/>
                <w14:textFill>
                  <w14:solidFill>
                    <w14:schemeClr w14:val="tx1"/>
                  </w14:solidFill>
                </w14:textFill>
              </w:rPr>
              <w:t>提供资源积累查询服务，支持</w:t>
            </w:r>
            <w:r>
              <w:rPr>
                <w:rFonts w:hint="eastAsia" w:ascii="宋体" w:hAnsi="宋体" w:cs="宋体"/>
                <w:color w:val="000000" w:themeColor="text1"/>
                <w:sz w:val="20"/>
                <w:szCs w:val="20"/>
                <w14:textFill>
                  <w14:solidFill>
                    <w14:schemeClr w14:val="tx1"/>
                  </w14:solidFill>
                </w14:textFill>
              </w:rPr>
              <w:t>查看校本试卷总量，并以环形图展示试卷的分类占比情况；（证明材料按本章通用说明提供）</w:t>
            </w:r>
          </w:p>
          <w:p w14:paraId="1EB84203">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六、教师教学诊断。</w:t>
            </w:r>
          </w:p>
          <w:p w14:paraId="1DC935B3">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教师教学诊断参考服务（仅用于教研诊断与教学改进，不得作为教师考核、排名或者奖惩依据），服务成果应当包括：创建教师教学诊断报告，按年级、班级、学科、统计时间段、测评类型选择两次测评对比；设置学业进步、两极均衡、层级变化、学优生培养、学习困难学生帮扶五个维度权重，按得分划分学业层级；查看班级教师教学表现总体情况及每位教师的诊断得分、优势与待改进方面；支持查看个人雷达图、教师间维度对比及两次测评的各班级标准分增量情况。</w:t>
            </w:r>
          </w:p>
        </w:tc>
        <w:tc>
          <w:tcPr>
            <w:tcW w:w="709" w:type="dxa"/>
            <w:vAlign w:val="center"/>
          </w:tcPr>
          <w:p w14:paraId="4B1DC7E1">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套</w:t>
            </w:r>
          </w:p>
        </w:tc>
        <w:tc>
          <w:tcPr>
            <w:tcW w:w="709" w:type="dxa"/>
            <w:vAlign w:val="center"/>
          </w:tcPr>
          <w:p w14:paraId="5089D0E3">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2</w:t>
            </w:r>
            <w:r>
              <w:rPr>
                <w:rFonts w:ascii="宋体" w:hAnsi="宋体"/>
                <w:color w:val="000000" w:themeColor="text1"/>
                <w:sz w:val="20"/>
                <w:szCs w:val="20"/>
                <w:lang w:bidi="ar"/>
                <w14:textFill>
                  <w14:solidFill>
                    <w14:schemeClr w14:val="tx1"/>
                  </w14:solidFill>
                </w14:textFill>
              </w:rPr>
              <w:t>8</w:t>
            </w:r>
          </w:p>
        </w:tc>
        <w:tc>
          <w:tcPr>
            <w:tcW w:w="709" w:type="dxa"/>
            <w:vAlign w:val="center"/>
          </w:tcPr>
          <w:p w14:paraId="521F7F9D">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软件和信息技术服务业</w:t>
            </w:r>
          </w:p>
        </w:tc>
      </w:tr>
      <w:tr w14:paraId="22250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58AD4ADC">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8</w:t>
            </w:r>
          </w:p>
        </w:tc>
        <w:tc>
          <w:tcPr>
            <w:tcW w:w="855" w:type="dxa"/>
            <w:vAlign w:val="center"/>
          </w:tcPr>
          <w:p w14:paraId="0B1DB1F7">
            <w:pPr>
              <w:widowControl/>
              <w:jc w:val="center"/>
              <w:rPr>
                <w:rFonts w:hint="eastAsia" w:ascii="宋体" w:hAnsi="宋体" w:cs="宋体"/>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学情查阅系统</w:t>
            </w:r>
          </w:p>
        </w:tc>
        <w:tc>
          <w:tcPr>
            <w:tcW w:w="6516" w:type="dxa"/>
            <w:vAlign w:val="center"/>
          </w:tcPr>
          <w:p w14:paraId="0D41149E">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▲1.提供学情详情查询服务，支持教师选择测评直接进入题目精准讲评，需支持对每题的得分率进行颜色区分，方便教师快速定位共性错题和个性错题；（证明材料按本章通用说明提供）</w:t>
            </w:r>
          </w:p>
          <w:p w14:paraId="14C0BA9B">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试题查阅与讲评支撑服务，服务成果应当包括：查看每题得分率与题目详情（题面、答案解析、难度、知识点、核心素养等）；客观题查看各选项统计及学生名单，主观题查看得分区间统计与学生名单并支持标注典型与优秀，选做题展示答题人员比例；支持切换班级学情总览、题目分析、学生作答详情进行讲评，并支持切换学科、班级查看每一份测评。</w:t>
            </w:r>
          </w:p>
        </w:tc>
        <w:tc>
          <w:tcPr>
            <w:tcW w:w="709" w:type="dxa"/>
            <w:vAlign w:val="center"/>
          </w:tcPr>
          <w:p w14:paraId="40C3918B">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套</w:t>
            </w:r>
          </w:p>
        </w:tc>
        <w:tc>
          <w:tcPr>
            <w:tcW w:w="709" w:type="dxa"/>
            <w:vAlign w:val="center"/>
          </w:tcPr>
          <w:p w14:paraId="29B3550B">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28</w:t>
            </w:r>
          </w:p>
        </w:tc>
        <w:tc>
          <w:tcPr>
            <w:tcW w:w="709" w:type="dxa"/>
            <w:vAlign w:val="center"/>
          </w:tcPr>
          <w:p w14:paraId="5FD24EC7">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软件和信息技术服务业</w:t>
            </w:r>
          </w:p>
        </w:tc>
      </w:tr>
      <w:tr w14:paraId="79E90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00E0E340">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9</w:t>
            </w:r>
          </w:p>
        </w:tc>
        <w:tc>
          <w:tcPr>
            <w:tcW w:w="855" w:type="dxa"/>
            <w:vAlign w:val="center"/>
          </w:tcPr>
          <w:p w14:paraId="4E7ACEEA">
            <w:pPr>
              <w:widowControl/>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校本题库系统</w:t>
            </w:r>
          </w:p>
        </w:tc>
        <w:tc>
          <w:tcPr>
            <w:tcW w:w="6516" w:type="dxa"/>
            <w:vAlign w:val="center"/>
          </w:tcPr>
          <w:p w14:paraId="5860B77B">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一、题库管理。</w:t>
            </w:r>
          </w:p>
          <w:p w14:paraId="116BD223">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提供校本题库建设与管理服务，服务成果应当包括：按知识点、校本教辅、校本错题、卷库等方式结构化管理；按知识点汇聚校本试题，支持按知识点交集、并集及题型、难度、类型、年份、题类、年级等条件筛选或按题干精准搜索；校本卷库支持教师上传试卷制卷后分享或选题组卷后分享，支持查看与下载原卷；校内错题支持按时间、年级、班级、学科和得分率筛选并支持选题组卷；个人卷库支持本地上传制卷或选题组卷保存，并支持选择已组试卷制作答题卡、选择班级发布测评。</w:t>
            </w:r>
          </w:p>
          <w:p w14:paraId="70694421">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2.题库选题：</w:t>
            </w:r>
          </w:p>
          <w:p w14:paraId="1167A7C4">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w:t>
            </w:r>
            <w:r>
              <w:rPr>
                <w:rFonts w:hint="eastAsia" w:ascii="宋体" w:hAnsi="宋体" w:cs="宋体"/>
                <w:color w:val="000000" w:themeColor="text1"/>
                <w:sz w:val="20"/>
                <w:szCs w:val="20"/>
                <w:lang w:bidi="ar"/>
                <w14:textFill>
                  <w14:solidFill>
                    <w14:schemeClr w14:val="tx1"/>
                  </w14:solidFill>
                </w14:textFill>
              </w:rPr>
              <w:t>提供</w:t>
            </w:r>
            <w:r>
              <w:rPr>
                <w:rFonts w:hint="eastAsia" w:ascii="宋体" w:hAnsi="宋体"/>
                <w:color w:val="000000" w:themeColor="text1"/>
                <w:sz w:val="20"/>
                <w:szCs w:val="20"/>
                <w14:textFill>
                  <w14:solidFill>
                    <w14:schemeClr w14:val="tx1"/>
                  </w14:solidFill>
                </w14:textFill>
              </w:rPr>
              <w:t>从学科知识点、校本教辅、校本卷库、校内错题、我的卷库中跨类别选择试题加入试卷袋，需支持查看试卷袋中已选试题的题型及对应数量；（证明材料按本章通用说明提供）；</w:t>
            </w:r>
          </w:p>
          <w:p w14:paraId="509BD4C2">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提供试卷袋管理服务，服务成果应当包括：预览试卷袋中的题目，支持拖动调整排序、添加或删除题目并查看小题解析；预览后保存至我的卷库并可设置试卷名称、年级、类型，支持保存时同步至校本卷库。</w:t>
            </w:r>
          </w:p>
          <w:p w14:paraId="053DE60E">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提供三方题库对接服务，三方题库应当嵌入系统内，无需另外打开浏览器网址和登录，支持通过三方题库直接选题、预览后保存至教师个人卷库；采购人应当在合同签订后协调现有题库服务方提供同等接口条件，匿名化接口规范、数据字典、授权方式及费用边界随采购文件一并公开。</w:t>
            </w:r>
          </w:p>
          <w:p w14:paraId="32AF56D1">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二、题库建设。</w:t>
            </w:r>
          </w:p>
          <w:p w14:paraId="0BA25E74">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提供试题智能加工服务，服务成果应当包括：智能划题、清空划题、手动划题、编辑试卷内容、批量修改并智能匹配题目与答案解析；对智能划题结果手动修正，支持设置题目名称、题型、选项个数、题号并标记为答案解析；题目预览与按答题卡快速定位核对，支持修改题目名称、选项个数、答案等内容。</w:t>
            </w:r>
          </w:p>
          <w:p w14:paraId="6F0E4967">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提供学科智能划题服务，服务成果应当包括：英语学科支持识别带下划线题号或题号前带括号的小题，支持上传试卷后自动解析题目与答案并自动划题，包括听力部分三级题型智能划题（自动识别听力大题号及小题内多段独立子题），解析后支持编辑题型、分值与答案；支持混合题型一键划题（小题共用大题题面，支持统一设置与批量修改题型）；划题完成后系统自动核对选项个数与设置匹配度并提示。</w:t>
            </w:r>
          </w:p>
          <w:p w14:paraId="1222D647">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3.提供试题标注与分值设置服务，服务成果应当包括：按小题设置分值或按题型设置总分后平均分配至每小题，多选题支持自定义得分规则；支持批量或单独标注题目难易度、知识点与核心素养（可多选）。</w:t>
            </w:r>
          </w:p>
          <w:p w14:paraId="5D831DF5">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4.提供试卷编辑与成果输出服务，服务成果应当包括：按小题展示与加工，支持对题型、题面、选项、答案、解析再次编辑，支持将含公式的图片一键转化为文字；支持按知识点、题类、难度、教材章节等标签标注，混合题支持按小题标注知识点和题类；支持修改未关联测评的试卷属性并同步至校本卷库；已加工试卷支持学生用卷、教师用卷、普通用卷和纯答案用卷PDF下载。</w:t>
            </w:r>
          </w:p>
        </w:tc>
        <w:tc>
          <w:tcPr>
            <w:tcW w:w="709" w:type="dxa"/>
            <w:vAlign w:val="center"/>
          </w:tcPr>
          <w:p w14:paraId="0A213ABD">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套</w:t>
            </w:r>
          </w:p>
        </w:tc>
        <w:tc>
          <w:tcPr>
            <w:tcW w:w="709" w:type="dxa"/>
            <w:vAlign w:val="center"/>
          </w:tcPr>
          <w:p w14:paraId="37D72C5E">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28</w:t>
            </w:r>
          </w:p>
        </w:tc>
        <w:tc>
          <w:tcPr>
            <w:tcW w:w="709" w:type="dxa"/>
            <w:vAlign w:val="center"/>
          </w:tcPr>
          <w:p w14:paraId="54CDE578">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软件和信息技术服务业</w:t>
            </w:r>
          </w:p>
        </w:tc>
      </w:tr>
      <w:tr w14:paraId="62B4B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7B91A307">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10</w:t>
            </w:r>
          </w:p>
        </w:tc>
        <w:tc>
          <w:tcPr>
            <w:tcW w:w="855" w:type="dxa"/>
            <w:vAlign w:val="center"/>
          </w:tcPr>
          <w:p w14:paraId="1D283E0E">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体系化课程资源系统</w:t>
            </w:r>
          </w:p>
        </w:tc>
        <w:tc>
          <w:tcPr>
            <w:tcW w:w="6516" w:type="dxa"/>
            <w:vAlign w:val="center"/>
          </w:tcPr>
          <w:p w14:paraId="2BE151F7">
            <w:pPr>
              <w:widowControl/>
              <w:jc w:val="left"/>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一、资源服务。</w:t>
            </w:r>
          </w:p>
          <w:p w14:paraId="7E123104">
            <w:pPr>
              <w:widowControl/>
              <w:jc w:val="left"/>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电子教材及配套资源服务，服务成果应当包括：校本学科纸质教材电子化，语文、英语、音乐支持点读，小学与初中阶段支持分句、段、篇章点读，高中阶段支持分段、篇点读，并为每个教师账号提供不少于10本电子课本下载权限；配套教学资源支持一键下载并与教材知识点关联、内置于对应位置，支持按资源名称搜索及导入、编辑，资源类型包含教案、课件、导学案、素材、微课、习题、试卷、课例等，格式支持PPT、Word、PDF、图片、音频、微课、Excel等。</w:t>
            </w:r>
          </w:p>
          <w:p w14:paraId="1AEF60D0">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新媒体交互式学科动态资源库，覆盖小学（数学、科学）、初中（数学、物理、化学、生物、地理）、高中（数学、物理、化学、生物、地理）等学段主要学科；各学段具体学科与知识模块目录由投标人按其资源体系申报，评标委员会按学段覆盖度与资源充足性评审，不得以目录名称或分类方式与本章描述不一致认定负偏离。（证明材料按本章通用说明提供）</w:t>
            </w:r>
          </w:p>
          <w:p w14:paraId="6C61D6DD">
            <w:pPr>
              <w:widowControl/>
              <w:rPr>
                <w:rFonts w:hint="eastAsia" w:ascii="宋体" w:hAnsi="宋体"/>
                <w:b/>
                <w:bCs/>
                <w:color w:val="000000" w:themeColor="text1"/>
                <w:sz w:val="20"/>
                <w:szCs w:val="20"/>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3.提供新媒体交互式学科动态资源库，针对学科教学中的重难点知识进行可视化呈现，提供可动态交互的3D、微件、视频等素材。须支持对微件/3D类素材进行自由翻转、缩放显示、交互展现等操作，并支持分享、重置、手写批注、意见反馈、查看素材简要介绍等功能；（证明材料按本章通用说明提供）</w:t>
            </w:r>
          </w:p>
          <w:p w14:paraId="007CCB2F">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4.新媒体交互式学科动态资源库小学数学与科学学科需提供不少于900个科学可视化素材；初中数学、物理、化学、生物、地理等学科需提供不少于1300个科学可视化素材；高中数学、物理、化学、生物、地理等学科需提供不少于2400个科学可视化素材；</w:t>
            </w:r>
          </w:p>
          <w:p w14:paraId="4E8B76F5">
            <w:pPr>
              <w:widowControl/>
              <w:jc w:val="left"/>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5.提供新媒体教参服务，服务成果应当包括：可视化教参支持纸质版与数字版两种方式，教师可通过移动终端扫描纸质版书籍内的可交互式资源（AR、互动微件等）后即时获取并立体展现，支持自由翻转、缩放显示、拍照截屏与交互展现；数字版须包含不少于13个主题，覆盖生命科学、物质科学、地球与宇宙科学、数学、物理、化学等学科领域，具体主题名称由投标人按其资源体系申报。</w:t>
            </w:r>
          </w:p>
          <w:p w14:paraId="575F6746">
            <w:pPr>
              <w:widowControl/>
              <w:jc w:val="left"/>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二、校本资源库。</w:t>
            </w:r>
          </w:p>
          <w:p w14:paraId="0209DEAC">
            <w:pPr>
              <w:widowControl/>
              <w:jc w:val="left"/>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校本资源存储与管理服务，服务成果应当包括：存储本校上传的同步教材资源、校本课程资源与教师个人教学资源，格式支持文本、表格、课件、图片、视频及音频等；支持按目录检索、筛选排序、预览、保存至个人网盘及导出；支持教师将个人资源分享至校本资源库并分享给其他教师。</w:t>
            </w:r>
          </w:p>
          <w:p w14:paraId="4FB011B9">
            <w:pPr>
              <w:widowControl/>
              <w:jc w:val="left"/>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三、个人资源库。</w:t>
            </w:r>
          </w:p>
          <w:p w14:paraId="30A4CA9D">
            <w:pPr>
              <w:widowControl/>
              <w:jc w:val="left"/>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个人资源库服务，服务成果应当包括：教师对个人资源上传、存储与管理，支持新建文件夹并将云端资源、校本资源存入个人网盘，个人网盘存储空间不小于20G；支持资源导出至本地电脑及资源、文件夹的重命名、移动、删除。</w:t>
            </w:r>
          </w:p>
        </w:tc>
        <w:tc>
          <w:tcPr>
            <w:tcW w:w="709" w:type="dxa"/>
            <w:vAlign w:val="center"/>
          </w:tcPr>
          <w:p w14:paraId="3CFDC2CD">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套</w:t>
            </w:r>
          </w:p>
        </w:tc>
        <w:tc>
          <w:tcPr>
            <w:tcW w:w="709" w:type="dxa"/>
            <w:vAlign w:val="center"/>
          </w:tcPr>
          <w:p w14:paraId="6E26FD2C">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28</w:t>
            </w:r>
          </w:p>
        </w:tc>
        <w:tc>
          <w:tcPr>
            <w:tcW w:w="709" w:type="dxa"/>
            <w:vAlign w:val="center"/>
          </w:tcPr>
          <w:p w14:paraId="68CB84DB">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软件和信息技术服务业</w:t>
            </w:r>
          </w:p>
        </w:tc>
      </w:tr>
      <w:tr w14:paraId="089CB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4A47B034">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11</w:t>
            </w:r>
          </w:p>
        </w:tc>
        <w:tc>
          <w:tcPr>
            <w:tcW w:w="855" w:type="dxa"/>
            <w:vAlign w:val="center"/>
          </w:tcPr>
          <w:p w14:paraId="3B3F9B79">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精准讲评与学情数据应用系统</w:t>
            </w:r>
          </w:p>
        </w:tc>
        <w:tc>
          <w:tcPr>
            <w:tcW w:w="6516" w:type="dxa"/>
            <w:vAlign w:val="center"/>
          </w:tcPr>
          <w:p w14:paraId="123C4FF8">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一、精准讲评应用及服务。</w:t>
            </w:r>
          </w:p>
          <w:p w14:paraId="2ED49CDC">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多场景授课与讲评服务，服务成果应当包括：支持电子课本、课件、电子白板、作业与测评讲评等多种授课形式；教师可通过教学系统直接调取学业数据分析系统内的测评进行教学，支持选取多个学生作答对比讲评、插入白板批注与板书讲解并保存分享；电子课本教学支持下载、插入备课资源及画笔标注、文本批注、聚焦、翻页；课件教学支持播放预览、页面切换、授课中写画及调用学科工具（划词搜索、中文识别、立体几何、英文识别等）；电子白板教学提供书写工具并提供不少于10个白板主题模板，支持导入图片至云白板。</w:t>
            </w:r>
          </w:p>
          <w:p w14:paraId="2D926D81">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AI教学工具服务，服务成果应当包括：手写中文或英文转写为印刷体，中文生字支持读音、笔顺、描红、笔画、结构、部首、组词与米字格显示，英文单词支持四线格显示；对手写中英文圈画后进行网络搜索；手写图形自动识别为标准规范图形，支持自由缩放、调整比例、设置边框线条与填充颜色及拖动、复制。</w:t>
            </w:r>
          </w:p>
          <w:p w14:paraId="657FAF93">
            <w:pPr>
              <w:widowControl/>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▲3.函数识别：</w:t>
            </w:r>
            <w:r>
              <w:rPr>
                <w:rFonts w:hint="eastAsia" w:ascii="宋体" w:hAnsi="宋体" w:cs="宋体"/>
                <w:color w:val="000000" w:themeColor="text1"/>
                <w:sz w:val="20"/>
                <w:szCs w:val="20"/>
                <w:lang w:bidi="ar"/>
                <w14:textFill>
                  <w14:solidFill>
                    <w14:schemeClr w14:val="tx1"/>
                  </w14:solidFill>
                </w14:textFill>
              </w:rPr>
              <w:t>提供</w:t>
            </w:r>
            <w:r>
              <w:rPr>
                <w:rFonts w:hint="eastAsia" w:ascii="宋体" w:hAnsi="宋体"/>
                <w:color w:val="000000" w:themeColor="text1"/>
                <w:sz w:val="20"/>
                <w:szCs w:val="20"/>
                <w:lang w:bidi="ar"/>
                <w14:textFill>
                  <w14:solidFill>
                    <w14:schemeClr w14:val="tx1"/>
                  </w14:solidFill>
                </w14:textFill>
              </w:rPr>
              <w:t>将教师手写的函数公式自动识别并转换为匹配的函数图形，并可通过手势划词直接进行删除与修改，需支持将相应的函数图形直接插入到白板内，方便教师进行二次讲解；（证明材料按本章通用说明提供）；</w:t>
            </w:r>
          </w:p>
          <w:p w14:paraId="6E7F7FB4">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4.提供微课录课服务，服务成果应当包括：任意授课界面下录制，录制区域可选择全屏或自定义区域，录制过程中可切换白板、教材、桌面、课件等场景并调用教学工具；支持暂停、结束与收起录制按钮，可选择视频画质与音频来源，支持麦克风与扬声器双重录制，录制结束自动生成MP4格式文件并支持保存至本地或网盘、分享给班级和学生。</w:t>
            </w:r>
          </w:p>
          <w:p w14:paraId="2C530C69">
            <w:pPr>
              <w:widowControl/>
              <w:rPr>
                <w:rFonts w:hint="eastAsia" w:ascii="宋体" w:hAnsi="宋体"/>
                <w:b/>
                <w:bCs/>
                <w:color w:val="000000" w:themeColor="text1"/>
                <w:sz w:val="20"/>
                <w:szCs w:val="20"/>
                <w:lang w:bidi="ar"/>
                <w14:textFill>
                  <w14:solidFill>
                    <w14:schemeClr w14:val="tx1"/>
                  </w14:solidFill>
                </w14:textFill>
              </w:rPr>
            </w:pPr>
            <w:r>
              <w:rPr>
                <w:rFonts w:hint="eastAsia" w:ascii="宋体" w:hAnsi="宋体"/>
                <w:color w:val="000000" w:themeColor="text1"/>
                <w:sz w:val="20"/>
                <w:szCs w:val="21"/>
                <w14:textFill>
                  <w14:solidFill>
                    <w14:schemeClr w14:val="tx1"/>
                  </w14:solidFill>
                </w14:textFill>
              </w:rPr>
              <w:t>▲5.</w:t>
            </w:r>
            <w:r>
              <w:rPr>
                <w:rFonts w:hint="eastAsia" w:ascii="宋体" w:hAnsi="宋体" w:cs="宋体"/>
                <w:color w:val="000000" w:themeColor="text1"/>
                <w:sz w:val="20"/>
                <w:szCs w:val="20"/>
                <w:lang w:bidi="ar"/>
                <w14:textFill>
                  <w14:solidFill>
                    <w14:schemeClr w14:val="tx1"/>
                  </w14:solidFill>
                </w14:textFill>
              </w:rPr>
              <w:t>提供</w:t>
            </w:r>
            <w:r>
              <w:rPr>
                <w:rFonts w:hint="eastAsia" w:ascii="宋体" w:hAnsi="宋体"/>
                <w:color w:val="000000" w:themeColor="text1"/>
                <w:sz w:val="20"/>
                <w:szCs w:val="21"/>
                <w14:textFill>
                  <w14:solidFill>
                    <w14:schemeClr w14:val="tx1"/>
                  </w14:solidFill>
                </w14:textFill>
              </w:rPr>
              <w:t>多屏交互授课：支持任意移动终端移动投屏授课，远程授权大屏登录个人账号、PPT推送、PPT遥控、调用白板、批注讲解、拍照讲解、实物展台、文本编辑实时同步、镜像同屏等；（证明材料按本章通用说明提供）；</w:t>
            </w:r>
          </w:p>
          <w:p w14:paraId="090FE0E7">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6.提供课后学习与报告智能服务，服务成果应当包括：学生课后查看教师分享的课件、微课、板书等富媒体资源，支持打开板书内的文档、视频等资源进行学习；测评报告模块内置智能助手，支持热门报表智能推荐并一键直达，支持教师以自然语言输入查询需求后自动推送对应模块入口。</w:t>
            </w:r>
          </w:p>
          <w:p w14:paraId="4133BFB5">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二、学情服务</w:t>
            </w:r>
          </w:p>
          <w:p w14:paraId="794E48A9">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▲1.</w:t>
            </w:r>
            <w:r>
              <w:rPr>
                <w:rFonts w:hint="eastAsia" w:ascii="宋体" w:hAnsi="宋体" w:cs="宋体"/>
                <w:color w:val="000000" w:themeColor="text1"/>
                <w:sz w:val="20"/>
                <w:szCs w:val="20"/>
                <w:lang w:bidi="ar"/>
                <w14:textFill>
                  <w14:solidFill>
                    <w14:schemeClr w14:val="tx1"/>
                  </w14:solidFill>
                </w14:textFill>
              </w:rPr>
              <w:t>提供</w:t>
            </w:r>
            <w:r>
              <w:rPr>
                <w:rFonts w:hint="eastAsia" w:ascii="宋体" w:hAnsi="宋体"/>
                <w:color w:val="000000" w:themeColor="text1"/>
                <w:sz w:val="20"/>
                <w:szCs w:val="20"/>
                <w:lang w:bidi="ar"/>
                <w14:textFill>
                  <w14:solidFill>
                    <w14:schemeClr w14:val="tx1"/>
                  </w14:solidFill>
                </w14:textFill>
              </w:rPr>
              <w:t>教学统计服务：支持教师查看个人的教学总览，包括课件总数、微课总数、课堂互动次数、作业次数、答疑总数、评价总数等，并能按时段分析教师个人的活跃趋势、教学行为分布、教学资源建设、学生活跃趋势、学生行为分布、作业人均总用时、作业平均得分率等；（证明材料按本章通用说明提供）</w:t>
            </w:r>
          </w:p>
          <w:p w14:paraId="4B46674A">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学情分析服务，服务成果应当包括：按年级、学科、时段分析学校整体教学投入情况（授课数、互动数、课件与微课分享数、布置与批改作业数、探究学习数、评价数与答疑数等）；查看班级整体学情数据，包括学习投入分析、学业水平分析与综合评价分析；查看学生个人学情数据，包括基础学情数据、综合评价趋势图、个人学情趋势图、个人知识点掌握情况及与班级对比、个人错题本等。</w:t>
            </w:r>
          </w:p>
          <w:p w14:paraId="66F5714D">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三、学情备课应用及服务。</w:t>
            </w:r>
          </w:p>
          <w:p w14:paraId="710874A1">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备课服务，服务成果应当包括：教师个人备课桌面，集成资源统一搜索引擎、备课工具、个人资源、校本资源、作业与测评中心、学情分析等信息；个人备课中心可按学段、学科、教材版本自动推送备课素材与课件并提供同步资源与校本资源，支持备课资源统一管理；个人备课网盘空间不少于50G，可按课件、微课、板书归类，支持资源插入白板、重命名、移动、删除、批量编辑及一键下载、一键加入备课、一键分享；支持通过云端将备课资源同步至电子课本对应章节目录；支持从云端、校本资源库、个人资源库获取资源并从本地添加教学资源。</w:t>
            </w:r>
          </w:p>
          <w:p w14:paraId="6C6F46A3">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2.课件工具：</w:t>
            </w:r>
          </w:p>
          <w:p w14:paraId="03F5C8B0">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▲1.提供基于原生PPT/主流国产办公软件的智能备课插件，非自有格式或嵌套式的备课工具，课件默认输出格式为PPT与主流国产办公软件的默认格式，非专有格式；（证明材料按本章通用说明提供）；</w:t>
            </w:r>
          </w:p>
          <w:p w14:paraId="0720C9F4">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提供课件工具服务，服务成果应当包括：备课资源与备课插件无缝结合，支持图片、视频、互动微件、3D等一键插入原生PPT或主流国产办公软件，并可按学段、学科、资源类型、知识点、关键字搜索资源；支持一键导入资源中心内同步资源与校本资源，实现PPT、音视频与文本资源导入替换；支持一键引入互联网链接资源并在PPT播放状态下二次跳转。</w:t>
            </w:r>
          </w:p>
          <w:p w14:paraId="0FF04A18">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课堂活动设计：提供不少于10种课堂活动模板，类型须覆盖分类、配对、竞技、连线、填空、选择、判断、思维导图等；其中思维导图须支持多种版式模板，并支持插入链接、图片、音视频与总结，可导出为本地文件；（证明材料按本章通用说明提供）</w:t>
            </w:r>
          </w:p>
          <w:p w14:paraId="105733E4">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3.AI教师助手。</w:t>
            </w:r>
          </w:p>
          <w:p w14:paraId="7C6E7C01">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提供AI教师助手服务，服务成果应当包括：创建并查看历史对话；基于用户输入生成教学设计、教学反思、课堂活动设计、实践作业、项目式学习、跨学科实践，以及辩论观点、实验活动、班会设计、活动发言稿、家长会发言稿、群通知、家校沟通计划、学生评语等内容，生成内容支持复制保存与查看对话案例。</w:t>
            </w:r>
          </w:p>
        </w:tc>
        <w:tc>
          <w:tcPr>
            <w:tcW w:w="709" w:type="dxa"/>
            <w:vAlign w:val="center"/>
          </w:tcPr>
          <w:p w14:paraId="35982BD3">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套</w:t>
            </w:r>
          </w:p>
        </w:tc>
        <w:tc>
          <w:tcPr>
            <w:tcW w:w="709" w:type="dxa"/>
            <w:vAlign w:val="center"/>
          </w:tcPr>
          <w:p w14:paraId="29D60210">
            <w:pPr>
              <w:widowControl/>
              <w:jc w:val="center"/>
              <w:rPr>
                <w:rFonts w:hint="eastAsia" w:ascii="宋体" w:hAnsi="宋体" w:cs="宋体"/>
                <w:b/>
                <w:bCs/>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28</w:t>
            </w:r>
          </w:p>
        </w:tc>
        <w:tc>
          <w:tcPr>
            <w:tcW w:w="709" w:type="dxa"/>
            <w:vAlign w:val="center"/>
          </w:tcPr>
          <w:p w14:paraId="1219F370">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软件和信息技术服务业</w:t>
            </w:r>
          </w:p>
        </w:tc>
      </w:tr>
      <w:tr w14:paraId="1E080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7F4E8711">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12</w:t>
            </w:r>
          </w:p>
        </w:tc>
        <w:tc>
          <w:tcPr>
            <w:tcW w:w="855" w:type="dxa"/>
            <w:tcBorders>
              <w:right w:val="single" w:color="auto" w:sz="4" w:space="0"/>
            </w:tcBorders>
            <w:vAlign w:val="center"/>
          </w:tcPr>
          <w:p w14:paraId="02A09309">
            <w:pPr>
              <w:spacing w:line="240" w:lineRule="exact"/>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数据安全与个人信息保护</w:t>
            </w:r>
          </w:p>
        </w:tc>
        <w:tc>
          <w:tcPr>
            <w:tcW w:w="6516" w:type="dxa"/>
            <w:tcBorders>
              <w:left w:val="single" w:color="auto" w:sz="4" w:space="0"/>
            </w:tcBorders>
            <w:vAlign w:val="center"/>
          </w:tcPr>
          <w:p w14:paraId="65357D7C">
            <w:pPr>
              <w:spacing w:line="240" w:lineRule="exact"/>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1.所有学生个人信息（含姓名、编号、成绩、作答图像等）存储于中华人民共和国境内，不得跨境传输；投标人不得将采购人及学校的数据用于任何商业用途，包括但不限于训练AI模型、数据分析、产品优化；未经采购人书面同意，不得向任何第三方披露；发生数据安全事件时，投标人须在2小时内通知采购人，并在24小时内提交书面事件报告和处置方案；合同终止后30日内，投标人须将全部数据完整迁移至采购人指定平台，并彻底销毁自身存储的所有数据副本，提供销毁证明；（证明材料按本章通用说明提供），承诺事项须逐条对应本条各项要求。）</w:t>
            </w:r>
          </w:p>
        </w:tc>
        <w:tc>
          <w:tcPr>
            <w:tcW w:w="709" w:type="dxa"/>
            <w:vAlign w:val="center"/>
          </w:tcPr>
          <w:p w14:paraId="501BE73F">
            <w:pPr>
              <w:widowControl/>
              <w:jc w:val="center"/>
              <w:rPr>
                <w:rFonts w:hint="eastAsia" w:ascii="宋体" w:hAnsi="宋体" w:cs="宋体"/>
                <w:b/>
                <w:bCs/>
                <w:color w:val="000000" w:themeColor="text1"/>
                <w:sz w:val="20"/>
                <w:szCs w:val="20"/>
                <w:lang w:bidi="ar"/>
                <w14:textFill>
                  <w14:solidFill>
                    <w14:schemeClr w14:val="tx1"/>
                  </w14:solidFill>
                </w14:textFill>
              </w:rPr>
            </w:pPr>
            <w:r>
              <w:rPr>
                <w:color w:val="000000" w:themeColor="text1"/>
                <w14:textFill>
                  <w14:solidFill>
                    <w14:schemeClr w14:val="tx1"/>
                  </w14:solidFill>
                </w14:textFill>
              </w:rPr>
              <w:t>项</w:t>
            </w:r>
          </w:p>
        </w:tc>
        <w:tc>
          <w:tcPr>
            <w:tcW w:w="709" w:type="dxa"/>
            <w:vAlign w:val="center"/>
          </w:tcPr>
          <w:p w14:paraId="59834DA0">
            <w:pPr>
              <w:widowControl/>
              <w:jc w:val="center"/>
              <w:rPr>
                <w:rFonts w:hint="eastAsia" w:ascii="宋体" w:hAnsi="宋体" w:cs="宋体"/>
                <w:b/>
                <w:bCs/>
                <w:color w:val="000000" w:themeColor="text1"/>
                <w:sz w:val="20"/>
                <w:szCs w:val="20"/>
                <w:lang w:bidi="ar"/>
                <w14:textFill>
                  <w14:solidFill>
                    <w14:schemeClr w14:val="tx1"/>
                  </w14:solidFill>
                </w14:textFill>
              </w:rPr>
            </w:pPr>
            <w:r>
              <w:rPr>
                <w:color w:val="000000" w:themeColor="text1"/>
                <w14:textFill>
                  <w14:solidFill>
                    <w14:schemeClr w14:val="tx1"/>
                  </w14:solidFill>
                </w14:textFill>
              </w:rPr>
              <w:t>1</w:t>
            </w:r>
          </w:p>
        </w:tc>
        <w:tc>
          <w:tcPr>
            <w:tcW w:w="709" w:type="dxa"/>
            <w:vAlign w:val="center"/>
          </w:tcPr>
          <w:p w14:paraId="1D45E8FD">
            <w:pPr>
              <w:widowControl/>
              <w:jc w:val="center"/>
              <w:rPr>
                <w:color w:val="000000" w:themeColor="text1"/>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软件和信息技术服务业</w:t>
            </w:r>
          </w:p>
        </w:tc>
      </w:tr>
      <w:tr w14:paraId="7E50D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341C88EB">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二</w:t>
            </w:r>
          </w:p>
        </w:tc>
        <w:tc>
          <w:tcPr>
            <w:tcW w:w="7371" w:type="dxa"/>
            <w:gridSpan w:val="2"/>
            <w:vAlign w:val="center"/>
          </w:tcPr>
          <w:p w14:paraId="45BD6042">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配套硬件及服务</w:t>
            </w:r>
          </w:p>
        </w:tc>
        <w:tc>
          <w:tcPr>
            <w:tcW w:w="709" w:type="dxa"/>
            <w:vAlign w:val="center"/>
          </w:tcPr>
          <w:p w14:paraId="0D22A95C">
            <w:pPr>
              <w:widowControl/>
              <w:jc w:val="center"/>
              <w:rPr>
                <w:rFonts w:hint="eastAsia" w:ascii="宋体" w:hAnsi="宋体" w:cs="宋体"/>
                <w:b/>
                <w:bCs/>
                <w:color w:val="000000" w:themeColor="text1"/>
                <w:sz w:val="20"/>
                <w:szCs w:val="20"/>
                <w:lang w:bidi="ar"/>
                <w14:textFill>
                  <w14:solidFill>
                    <w14:schemeClr w14:val="tx1"/>
                  </w14:solidFill>
                </w14:textFill>
              </w:rPr>
            </w:pPr>
          </w:p>
        </w:tc>
        <w:tc>
          <w:tcPr>
            <w:tcW w:w="709" w:type="dxa"/>
            <w:vAlign w:val="center"/>
          </w:tcPr>
          <w:p w14:paraId="05C7D8AF">
            <w:pPr>
              <w:widowControl/>
              <w:jc w:val="center"/>
              <w:rPr>
                <w:rFonts w:hint="eastAsia" w:ascii="宋体" w:hAnsi="宋体" w:cs="宋体"/>
                <w:b/>
                <w:bCs/>
                <w:color w:val="000000" w:themeColor="text1"/>
                <w:sz w:val="20"/>
                <w:szCs w:val="20"/>
                <w:lang w:bidi="ar"/>
                <w14:textFill>
                  <w14:solidFill>
                    <w14:schemeClr w14:val="tx1"/>
                  </w14:solidFill>
                </w14:textFill>
              </w:rPr>
            </w:pPr>
          </w:p>
        </w:tc>
        <w:tc>
          <w:tcPr>
            <w:tcW w:w="709" w:type="dxa"/>
            <w:vAlign w:val="center"/>
          </w:tcPr>
          <w:p w14:paraId="5ED07622">
            <w:pPr>
              <w:widowControl/>
              <w:jc w:val="center"/>
              <w:rPr>
                <w:rFonts w:hint="eastAsia" w:ascii="宋体" w:hAnsi="宋体" w:cs="宋体"/>
                <w:b/>
                <w:bCs/>
                <w:color w:val="000000" w:themeColor="text1"/>
                <w:sz w:val="20"/>
                <w:szCs w:val="20"/>
                <w:lang w:bidi="ar"/>
                <w14:textFill>
                  <w14:solidFill>
                    <w14:schemeClr w14:val="tx1"/>
                  </w14:solidFill>
                </w14:textFill>
              </w:rPr>
            </w:pPr>
          </w:p>
        </w:tc>
      </w:tr>
      <w:tr w14:paraId="250E4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7E77CC26">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1</w:t>
            </w:r>
          </w:p>
        </w:tc>
        <w:tc>
          <w:tcPr>
            <w:tcW w:w="855" w:type="dxa"/>
            <w:vAlign w:val="center"/>
          </w:tcPr>
          <w:p w14:paraId="54DFCB29">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olor w:val="000000" w:themeColor="text1"/>
                <w:sz w:val="20"/>
                <w:szCs w:val="20"/>
                <w14:textFill>
                  <w14:solidFill>
                    <w14:schemeClr w14:val="tx1"/>
                  </w14:solidFill>
                </w14:textFill>
              </w:rPr>
              <w:t>A3彩色高速扫描仪</w:t>
            </w:r>
          </w:p>
        </w:tc>
        <w:tc>
          <w:tcPr>
            <w:tcW w:w="6516" w:type="dxa"/>
            <w:vAlign w:val="center"/>
          </w:tcPr>
          <w:p w14:paraId="2881B964">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1.扫描类型与成像：A3馈纸式双面彩色扫描仪，采用接触式图像传感器（CIS）或同等成像技术，LED光源；</w:t>
            </w:r>
          </w:p>
          <w:p w14:paraId="13B1EE79">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2.走纸与介质适应：支持U型走纸、直通走纸或等效走纸路径中的任意一种；扫描区域最大不小于297mm×3000mm（满足A3幅面及长纸扫描），最小不大于120mm×80mm；支持长纸扫描（长度≥3000mm）。</w:t>
            </w:r>
          </w:p>
          <w:p w14:paraId="2C1653D4">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3.扫描性能：光学分辨率≥600dpi，支持黑白、灰阶、彩色三种扫描输出；扫描速度≥90ppm/180ipm（A4幅面、200/300dpi、彩色/灰度/黑白）；ADF容量≥150页（80克标准纸）。</w:t>
            </w:r>
          </w:p>
          <w:p w14:paraId="6F9AA482">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4.扫描模式与图像处理：支持重张检测（超声波或等效方式）、混合文档扫描、长纸模式扫描，可同时输出黑白、灰度、彩色三种影像；具备动态阈值、自动裁切、自动纠偏、自动色彩侦测、文字方向识别、移除空白页、装订孔去除、背景平滑、减噪等常用图像优化功能；支持一维码及二维码识别（可由扫描软件或上层应用系统实现）。上述功能允许以不同功能组合等效实现，不要求功能名称与本章描述一致。</w:t>
            </w:r>
          </w:p>
          <w:p w14:paraId="1AA60DC8">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5.控制面板：具备可编程自定义功能按键，按键数量不作限定；</w:t>
            </w:r>
          </w:p>
          <w:p w14:paraId="6F6B838D">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6.接口与系统适配：配置高速USB3.0及以上接口，支持国产主流操作系统；</w:t>
            </w:r>
          </w:p>
          <w:p w14:paraId="0AA2A685">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7.软件与集成：提供专业扫描软件及SDK或标准接口（如TWAIN），能与阅卷系统无缝对接，无需采购人另行支付开发费用；支持多批次目录同时操作、按分批页自动识别或手动添加标识进行批量拆分、批量导出。</w:t>
            </w:r>
          </w:p>
          <w:p w14:paraId="1CDAFE2E">
            <w:pPr>
              <w:widowControl/>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8.扩展能力：支持通过标准接口（如USB、TWAIN协议）外接兼容的A4/A3平板扫描仪或零边距书刊扫描仪以扩展功能，外接设备品牌由采购人自行选择。</w:t>
            </w:r>
          </w:p>
        </w:tc>
        <w:tc>
          <w:tcPr>
            <w:tcW w:w="709" w:type="dxa"/>
            <w:vAlign w:val="center"/>
          </w:tcPr>
          <w:p w14:paraId="1855F797">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台</w:t>
            </w:r>
          </w:p>
        </w:tc>
        <w:tc>
          <w:tcPr>
            <w:tcW w:w="709" w:type="dxa"/>
            <w:vAlign w:val="center"/>
          </w:tcPr>
          <w:p w14:paraId="35081D45">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28</w:t>
            </w:r>
          </w:p>
        </w:tc>
        <w:tc>
          <w:tcPr>
            <w:tcW w:w="709" w:type="dxa"/>
            <w:vAlign w:val="center"/>
          </w:tcPr>
          <w:p w14:paraId="1357A980">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工业</w:t>
            </w:r>
          </w:p>
        </w:tc>
      </w:tr>
      <w:tr w14:paraId="1F924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2FD135FA">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2</w:t>
            </w:r>
          </w:p>
        </w:tc>
        <w:tc>
          <w:tcPr>
            <w:tcW w:w="855" w:type="dxa"/>
            <w:vAlign w:val="center"/>
          </w:tcPr>
          <w:p w14:paraId="081080BB">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学情报告留痕设备</w:t>
            </w:r>
          </w:p>
        </w:tc>
        <w:tc>
          <w:tcPr>
            <w:tcW w:w="6516" w:type="dxa"/>
            <w:vAlign w:val="center"/>
          </w:tcPr>
          <w:p w14:paraId="7C272F4A">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1.打印要求：A3幅面黑白激光打印，A4打印速度≥20ppm，分辨率≥600×600dpi；</w:t>
            </w:r>
          </w:p>
          <w:p w14:paraId="064E3447">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2.接口与网络：支持有线以太网，配置USB2.0及以上接口与网口；</w:t>
            </w:r>
          </w:p>
        </w:tc>
        <w:tc>
          <w:tcPr>
            <w:tcW w:w="709" w:type="dxa"/>
            <w:vAlign w:val="center"/>
          </w:tcPr>
          <w:p w14:paraId="01384E28">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台</w:t>
            </w:r>
          </w:p>
        </w:tc>
        <w:tc>
          <w:tcPr>
            <w:tcW w:w="709" w:type="dxa"/>
            <w:vAlign w:val="center"/>
          </w:tcPr>
          <w:p w14:paraId="681AF725">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1</w:t>
            </w:r>
          </w:p>
        </w:tc>
        <w:tc>
          <w:tcPr>
            <w:tcW w:w="709" w:type="dxa"/>
            <w:vAlign w:val="center"/>
          </w:tcPr>
          <w:p w14:paraId="6D88437F">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工业</w:t>
            </w:r>
          </w:p>
        </w:tc>
      </w:tr>
      <w:tr w14:paraId="21DC6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4A41424E">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3</w:t>
            </w:r>
          </w:p>
        </w:tc>
        <w:tc>
          <w:tcPr>
            <w:tcW w:w="855" w:type="dxa"/>
            <w:vAlign w:val="center"/>
          </w:tcPr>
          <w:p w14:paraId="44998573">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条形标识输出终端</w:t>
            </w:r>
          </w:p>
        </w:tc>
        <w:tc>
          <w:tcPr>
            <w:tcW w:w="6516" w:type="dxa"/>
            <w:vAlign w:val="center"/>
          </w:tcPr>
          <w:p w14:paraId="50A161D2">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1.打印能力：直热式打印，打印宽度≥104mm，分辨率≥203dpi，内置GB18030字库与ASCII字库，支持一维条码与二维条码打印；</w:t>
            </w:r>
          </w:p>
          <w:p w14:paraId="5A329559">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2.介质与进纸：支持热敏卷筒纸（连续纸、标签纸、黑标纸）及热敏折叠纸，支持卷筒纸、后方折叠纸、外置支架等进纸方式；</w:t>
            </w:r>
          </w:p>
          <w:p w14:paraId="61984BED">
            <w:pP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3.传感与接口：标配开盖、纸尽、标签、黑标、撕纸等必要传感器或等效检测方式，标配USB2.0及以上接口。</w:t>
            </w:r>
          </w:p>
        </w:tc>
        <w:tc>
          <w:tcPr>
            <w:tcW w:w="709" w:type="dxa"/>
            <w:vAlign w:val="center"/>
          </w:tcPr>
          <w:p w14:paraId="2AA59FB6">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台</w:t>
            </w:r>
          </w:p>
        </w:tc>
        <w:tc>
          <w:tcPr>
            <w:tcW w:w="709" w:type="dxa"/>
            <w:vAlign w:val="center"/>
          </w:tcPr>
          <w:p w14:paraId="2EECD013">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3</w:t>
            </w:r>
          </w:p>
        </w:tc>
        <w:tc>
          <w:tcPr>
            <w:tcW w:w="709" w:type="dxa"/>
            <w:vAlign w:val="center"/>
          </w:tcPr>
          <w:p w14:paraId="4DF74344">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工业</w:t>
            </w:r>
          </w:p>
        </w:tc>
      </w:tr>
      <w:tr w14:paraId="186D1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1EED1F4A">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4</w:t>
            </w:r>
          </w:p>
        </w:tc>
        <w:tc>
          <w:tcPr>
            <w:tcW w:w="855" w:type="dxa"/>
            <w:vAlign w:val="center"/>
          </w:tcPr>
          <w:p w14:paraId="09D62ABC">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测评业务终端</w:t>
            </w:r>
          </w:p>
        </w:tc>
        <w:tc>
          <w:tcPr>
            <w:tcW w:w="6516" w:type="dxa"/>
            <w:vAlign w:val="center"/>
          </w:tcPr>
          <w:p w14:paraId="78322165">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1.处理器：采用国产处理器，CPU物理核数≥8核16线程，CPU主频≥2.4GHz、缓存≥4MB支持的内存最高速率≥2666MT/S</w:t>
            </w:r>
          </w:p>
          <w:p w14:paraId="36381B40">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2.内存：配置容量≥16GB，支持DDR4及以上；</w:t>
            </w:r>
          </w:p>
          <w:p w14:paraId="217A2DF5">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3.存储与显卡：固态存储容量≥512GB；配置独立显卡（显存≥2GB）或性能不低于该配置的集成显卡方案；</w:t>
            </w:r>
          </w:p>
          <w:p w14:paraId="6741E352">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4.显示屏：尺寸≥23.8英寸，分辨率≥1920×1080；</w:t>
            </w:r>
          </w:p>
          <w:p w14:paraId="65BAC064">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5.外设：标配鼠标不少于1个、键盘不少于1个；</w:t>
            </w:r>
          </w:p>
          <w:p w14:paraId="4873A2FB">
            <w:pP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6.接口与网络：有线网卡≥1个；USB接口≥4个（其中USB3.0不少于2个）、音频输入接口≥1个、音频输出接口≥1个；串口等其他接口由投标人按所投产品配置，不作强制要求。</w:t>
            </w:r>
          </w:p>
        </w:tc>
        <w:tc>
          <w:tcPr>
            <w:tcW w:w="709" w:type="dxa"/>
            <w:vAlign w:val="center"/>
          </w:tcPr>
          <w:p w14:paraId="17404B2E">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台</w:t>
            </w:r>
          </w:p>
        </w:tc>
        <w:tc>
          <w:tcPr>
            <w:tcW w:w="709" w:type="dxa"/>
            <w:vAlign w:val="center"/>
          </w:tcPr>
          <w:p w14:paraId="1890EEF1">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28</w:t>
            </w:r>
          </w:p>
        </w:tc>
        <w:tc>
          <w:tcPr>
            <w:tcW w:w="709" w:type="dxa"/>
            <w:vAlign w:val="center"/>
          </w:tcPr>
          <w:p w14:paraId="0B2B551E">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工业</w:t>
            </w:r>
          </w:p>
        </w:tc>
      </w:tr>
      <w:tr w14:paraId="66D81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2B2E3FD1">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5</w:t>
            </w:r>
          </w:p>
        </w:tc>
        <w:tc>
          <w:tcPr>
            <w:tcW w:w="855" w:type="dxa"/>
            <w:vAlign w:val="center"/>
          </w:tcPr>
          <w:p w14:paraId="2852FCDC">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olor w:val="000000" w:themeColor="text1"/>
                <w:sz w:val="20"/>
                <w:szCs w:val="20"/>
                <w14:textFill>
                  <w14:solidFill>
                    <w14:schemeClr w14:val="tx1"/>
                  </w14:solidFill>
                </w14:textFill>
              </w:rPr>
              <w:t>空白条形码耗材</w:t>
            </w:r>
          </w:p>
        </w:tc>
        <w:tc>
          <w:tcPr>
            <w:tcW w:w="6516" w:type="dxa"/>
            <w:vAlign w:val="center"/>
          </w:tcPr>
          <w:p w14:paraId="12BB45C9">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olor w:val="000000" w:themeColor="text1"/>
                <w:sz w:val="20"/>
                <w:szCs w:val="20"/>
                <w14:textFill>
                  <w14:solidFill>
                    <w14:schemeClr w14:val="tx1"/>
                  </w14:solidFill>
                </w14:textFill>
              </w:rPr>
              <w:t>50*20mm空白条形码</w:t>
            </w:r>
          </w:p>
        </w:tc>
        <w:tc>
          <w:tcPr>
            <w:tcW w:w="709" w:type="dxa"/>
            <w:vAlign w:val="center"/>
          </w:tcPr>
          <w:p w14:paraId="3570FCE6">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张</w:t>
            </w:r>
          </w:p>
        </w:tc>
        <w:tc>
          <w:tcPr>
            <w:tcW w:w="709" w:type="dxa"/>
            <w:vAlign w:val="center"/>
          </w:tcPr>
          <w:p w14:paraId="4AA2C4F7">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1000000</w:t>
            </w:r>
          </w:p>
        </w:tc>
        <w:tc>
          <w:tcPr>
            <w:tcW w:w="709" w:type="dxa"/>
            <w:vAlign w:val="center"/>
          </w:tcPr>
          <w:p w14:paraId="616B2786">
            <w:pPr>
              <w:widowControl/>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工业</w:t>
            </w:r>
          </w:p>
        </w:tc>
      </w:tr>
      <w:tr w14:paraId="25198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vAlign w:val="center"/>
          </w:tcPr>
          <w:p w14:paraId="0B635479">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6</w:t>
            </w:r>
          </w:p>
        </w:tc>
        <w:tc>
          <w:tcPr>
            <w:tcW w:w="855" w:type="dxa"/>
            <w:vAlign w:val="center"/>
          </w:tcPr>
          <w:p w14:paraId="7CAC6EDC">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服务保障</w:t>
            </w:r>
          </w:p>
        </w:tc>
        <w:tc>
          <w:tcPr>
            <w:tcW w:w="6516" w:type="dxa"/>
            <w:vAlign w:val="center"/>
          </w:tcPr>
          <w:p w14:paraId="7E25E401">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需根据采购人的具体要求开展服务保障工作，本项目为服务类项目，以“服务交付”方式履约：按下列要求提供服务，并在相应阶段提交服务成果（包括但不限于需求调研报告、实施方案、部署与配置记录、测试报告、培训签到与考核记录、试运行报告、数据迁移与交接记录、年度服务报告），服务成果作为初步验收、最终验收的依据：</w:t>
            </w:r>
          </w:p>
          <w:p w14:paraId="0EA904C2">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1.调试服务：投标人应当根据采购人要求，提供软件系统和配套硬件在各项目学校的安装部署及调试服务，并交付安装调试记录；</w:t>
            </w:r>
          </w:p>
          <w:p w14:paraId="05284CD7">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2.培训服务：提供软件系统和配套硬件的操作培训服务，各校指定操作人员可独立熟练操作软件系统及设备，提供不少于4次集中培训，每校至少2次上门培训，培训总人数不少于500人次。</w:t>
            </w:r>
          </w:p>
          <w:p w14:paraId="761876B8">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3.基础信息：完成平台基础信息导入建档等相关基础信息服务，保障管理人员和教师对平台和软件系统各项功能使用；</w:t>
            </w:r>
          </w:p>
          <w:p w14:paraId="238F6DE7">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4.测评技术服务：对区校使用平台进行单独或联合测评时，提供支持服务，确保测评全过程顺利进行；</w:t>
            </w:r>
          </w:p>
          <w:p w14:paraId="5077F08A">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5.服务保障：一般故障（功能异常但不影响核心业务）：响应时间≤30分钟，解决时间≤4小时；严重故障（系统无法登录、扫描中断、阅卷停滞）：响应时间≤15分钟，解决时间≤2小时；</w:t>
            </w:r>
          </w:p>
          <w:p w14:paraId="2453ABC3">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olor w:val="000000" w:themeColor="text1"/>
                <w:szCs w:val="24"/>
                <w14:textFill>
                  <w14:solidFill>
                    <w14:schemeClr w14:val="tx1"/>
                  </w14:solidFill>
                </w14:textFill>
              </w:rPr>
              <w:t>★</w:t>
            </w:r>
            <w:r>
              <w:rPr>
                <w:rFonts w:hint="eastAsia" w:ascii="宋体" w:hAnsi="宋体" w:cs="宋体"/>
                <w:color w:val="000000" w:themeColor="text1"/>
                <w:sz w:val="20"/>
                <w:szCs w:val="20"/>
                <w:lang w:bidi="ar"/>
                <w14:textFill>
                  <w14:solidFill>
                    <w14:schemeClr w14:val="tx1"/>
                  </w14:solidFill>
                </w14:textFill>
              </w:rPr>
              <w:t>6.部署服务：（1）本项目采用云部署方式，区域学业大数据教研平台部署于中华人民共和国境内的政务云或公有云，采购人负责提供云资源开通所需的政务云账号及备案材料，中标人承担云资源费用并负责云主机、存储、带宽、数据库、备份与安全组件的选型、开通、配置和三年运行维护，未经采购人书面同意，不得变更部署边界和数据存储地点。（2）系统须具备向本地化环境迁移的能力，迁移费用由中标单位负责。（3）重大联测期间提供不少于4名技术人员现场驻场支持，故障响应≤10分钟。（需要逐项提供承诺函，）</w:t>
            </w:r>
          </w:p>
          <w:p w14:paraId="38F11236">
            <w:pPr>
              <w:widowControl/>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7.应用系统应该通过网络安全等级保护（三级）定级备案并取得等级测评，取得公安机关备案证明及有效期内的测评报告，本项为初步验收与最终验收的必要条件；未完成的不予通过最终验收，并按合同专用条款承担违约责任。</w:t>
            </w:r>
          </w:p>
        </w:tc>
        <w:tc>
          <w:tcPr>
            <w:tcW w:w="709" w:type="dxa"/>
            <w:vAlign w:val="center"/>
          </w:tcPr>
          <w:p w14:paraId="13546834">
            <w:pPr>
              <w:widowControl/>
              <w:jc w:val="center"/>
              <w:rPr>
                <w:rFonts w:hint="eastAsia" w:ascii="宋体" w:hAnsi="宋体" w:cs="宋体"/>
                <w:color w:val="000000" w:themeColor="text1"/>
                <w:sz w:val="20"/>
                <w:szCs w:val="20"/>
                <w:lang w:bidi="ar"/>
                <w14:textFill>
                  <w14:solidFill>
                    <w14:schemeClr w14:val="tx1"/>
                  </w14:solidFill>
                </w14:textFill>
              </w:rPr>
            </w:pPr>
            <w:r>
              <w:rPr>
                <w:rFonts w:hint="eastAsia" w:ascii="宋体" w:hAnsi="宋体" w:cs="宋体"/>
                <w:color w:val="000000" w:themeColor="text1"/>
                <w:sz w:val="20"/>
                <w:szCs w:val="20"/>
                <w:lang w:bidi="ar"/>
                <w14:textFill>
                  <w14:solidFill>
                    <w14:schemeClr w14:val="tx1"/>
                  </w14:solidFill>
                </w14:textFill>
              </w:rPr>
              <w:t>项</w:t>
            </w:r>
          </w:p>
        </w:tc>
        <w:tc>
          <w:tcPr>
            <w:tcW w:w="709" w:type="dxa"/>
            <w:vAlign w:val="center"/>
          </w:tcPr>
          <w:p w14:paraId="282E4A6A">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1</w:t>
            </w:r>
          </w:p>
        </w:tc>
        <w:tc>
          <w:tcPr>
            <w:tcW w:w="709" w:type="dxa"/>
            <w:vAlign w:val="center"/>
          </w:tcPr>
          <w:p w14:paraId="12E98ED7">
            <w:pPr>
              <w:widowControl/>
              <w:jc w:val="center"/>
              <w:rPr>
                <w:rFonts w:hint="eastAsia" w:ascii="宋体" w:hAnsi="宋体"/>
                <w:color w:val="000000" w:themeColor="text1"/>
                <w:sz w:val="20"/>
                <w:szCs w:val="20"/>
                <w:lang w:bidi="ar"/>
                <w14:textFill>
                  <w14:solidFill>
                    <w14:schemeClr w14:val="tx1"/>
                  </w14:solidFill>
                </w14:textFill>
              </w:rPr>
            </w:pPr>
            <w:r>
              <w:rPr>
                <w:rFonts w:hint="eastAsia" w:ascii="宋体" w:hAnsi="宋体"/>
                <w:color w:val="000000" w:themeColor="text1"/>
                <w:sz w:val="20"/>
                <w:szCs w:val="20"/>
                <w:lang w:bidi="ar"/>
                <w14:textFill>
                  <w14:solidFill>
                    <w14:schemeClr w14:val="tx1"/>
                  </w14:solidFill>
                </w14:textFill>
              </w:rPr>
              <w:t>其他未列明行业</w:t>
            </w:r>
          </w:p>
        </w:tc>
      </w:tr>
    </w:tbl>
    <w:p w14:paraId="5FA0F662">
      <w:pPr>
        <w:numPr>
          <w:ilvl w:val="0"/>
          <w:numId w:val="12"/>
        </w:numPr>
        <w:spacing w:line="560" w:lineRule="exact"/>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商务要求：</w:t>
      </w:r>
    </w:p>
    <w:p w14:paraId="3D19015E">
      <w:pPr>
        <w:spacing w:line="520" w:lineRule="exact"/>
        <w:ind w:firstLine="210"/>
        <w:rPr>
          <w:rFonts w:hint="eastAsia" w:ascii="宋体" w:hAnsi="宋体"/>
          <w:color w:val="000000" w:themeColor="text1"/>
          <w14:textFill>
            <w14:solidFill>
              <w14:schemeClr w14:val="tx1"/>
            </w14:solidFill>
          </w14:textFill>
        </w:rPr>
      </w:pPr>
      <w:r>
        <w:rPr>
          <w:rFonts w:hint="eastAsia" w:ascii="宋体" w:hAnsi="宋体"/>
          <w:color w:val="000000" w:themeColor="text1"/>
          <w:szCs w:val="24"/>
          <w14:textFill>
            <w14:solidFill>
              <w14:schemeClr w14:val="tx1"/>
            </w14:solidFill>
          </w14:textFill>
        </w:rPr>
        <w:t>★</w:t>
      </w:r>
      <w:r>
        <w:rPr>
          <w:rFonts w:hint="eastAsia" w:ascii="宋体" w:hAnsi="宋体"/>
          <w:color w:val="000000" w:themeColor="text1"/>
          <w14:textFill>
            <w14:solidFill>
              <w14:schemeClr w14:val="tx1"/>
            </w14:solidFill>
          </w14:textFill>
        </w:rPr>
        <w:t>1、合同履行期限（工期）：60日历天；</w:t>
      </w:r>
    </w:p>
    <w:p w14:paraId="03563EFB">
      <w:pPr>
        <w:spacing w:line="520" w:lineRule="exact"/>
        <w:ind w:firstLine="210"/>
        <w:rPr>
          <w:color w:val="000000" w:themeColor="text1"/>
          <w14:textFill>
            <w14:solidFill>
              <w14:schemeClr w14:val="tx1"/>
            </w14:solidFill>
          </w14:textFill>
        </w:rPr>
      </w:pPr>
      <w:r>
        <w:rPr>
          <w:rFonts w:hint="eastAsia" w:ascii="宋体" w:hAnsi="宋体"/>
          <w:color w:val="000000" w:themeColor="text1"/>
          <w:szCs w:val="24"/>
          <w14:textFill>
            <w14:solidFill>
              <w14:schemeClr w14:val="tx1"/>
            </w14:solidFill>
          </w14:textFill>
        </w:rPr>
        <w:t>★</w:t>
      </w:r>
      <w:r>
        <w:rPr>
          <w:rFonts w:hint="eastAsia" w:ascii="宋体" w:hAnsi="宋体"/>
          <w:color w:val="000000" w:themeColor="text1"/>
          <w14:textFill>
            <w14:solidFill>
              <w14:schemeClr w14:val="tx1"/>
            </w14:solidFill>
          </w14:textFill>
        </w:rPr>
        <w:t>2、</w:t>
      </w:r>
      <w:r>
        <w:rPr>
          <w:rFonts w:hint="eastAsia" w:ascii="宋体" w:hAnsi="宋体"/>
          <w:b/>
          <w:bCs/>
          <w:color w:val="000000" w:themeColor="text1"/>
          <w14:textFill>
            <w14:solidFill>
              <w14:schemeClr w14:val="tx1"/>
            </w14:solidFill>
          </w14:textFill>
        </w:rPr>
        <w:t>服务期</w:t>
      </w:r>
      <w:r>
        <w:rPr>
          <w:rFonts w:hint="eastAsia" w:ascii="宋体" w:hAnsi="宋体"/>
          <w:color w:val="000000" w:themeColor="text1"/>
          <w14:textFill>
            <w14:solidFill>
              <w14:schemeClr w14:val="tx1"/>
            </w14:solidFill>
          </w14:textFill>
        </w:rPr>
        <w:t>：自最终验收合格之日起不少于3年，含免费升级与运维。</w:t>
      </w:r>
    </w:p>
    <w:p w14:paraId="1EBACFC5">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3、验收：</w:t>
      </w:r>
    </w:p>
    <w:p w14:paraId="7FC16EF6">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3.1验收主体：灌云县教育局；</w:t>
      </w:r>
    </w:p>
    <w:p w14:paraId="3ACACEA0">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3.2验收时间：系统部署实施及配套硬件交付、安装调试完成后接采购人通知；</w:t>
      </w:r>
    </w:p>
    <w:p w14:paraId="1165A253">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3.3验收方式：现场验收；</w:t>
      </w:r>
    </w:p>
    <w:p w14:paraId="03110799">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3.4验收程序：初步验收：部署完成后7日内，采购人组织初步验收，检查功能完整性、数据准确性、系统稳定性；</w:t>
      </w:r>
    </w:p>
    <w:p w14:paraId="3F5D29F6">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验收标准：符合招标文件及中标人投标文件的全部技术要求，达到合格标准。</w:t>
      </w:r>
    </w:p>
    <w:p w14:paraId="741F90BE">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试运行：初步验收通过后进入10天试运行期，试运行期间系统可用率不低于99.5%；</w:t>
      </w:r>
    </w:p>
    <w:p w14:paraId="7A00B9B6">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最终验收：试运行期满后3日内组织最终验收，出具验收报告；</w:t>
      </w:r>
    </w:p>
    <w:p w14:paraId="08E18284">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验收不合格的，投标人须在30日内整改完毕并重新验收，整改费用由投标人承担。</w:t>
      </w:r>
    </w:p>
    <w:p w14:paraId="4E58BE1F">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3.5投标人保证所供软件不侵犯第三方知识产权，如发生侵权纠纷，由投标人承担全部责任；</w:t>
      </w:r>
    </w:p>
    <w:p w14:paraId="3D827FA2">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采购人及学校教师上传的校本资源、试题、课件等内容，知识产权归采购人或教师所有，投标人仅享有为履行合同所必需的使用权；</w:t>
      </w:r>
    </w:p>
    <w:p w14:paraId="5267318F">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项目运行过程中产生的所有测评数据、学情分析数据归采购人所有；</w:t>
      </w:r>
    </w:p>
    <w:p w14:paraId="5BE50E45">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AI教师助手生成的教案、反思、评语等内容，使用权归采购人及教师所有</w:t>
      </w:r>
      <w:r>
        <w:rPr>
          <w:rFonts w:hint="eastAsia" w:ascii="宋体" w:hAnsi="宋体" w:cs="宋体"/>
          <w:color w:val="000000" w:themeColor="text1"/>
          <w:sz w:val="24"/>
          <w:szCs w:val="24"/>
          <w14:textFill>
            <w14:solidFill>
              <w14:schemeClr w14:val="tx1"/>
            </w14:solidFill>
          </w14:textFill>
        </w:rPr>
        <w:t>。</w:t>
      </w:r>
    </w:p>
    <w:p w14:paraId="7D61464D">
      <w:pPr>
        <w:widowControl/>
        <w:spacing w:line="520" w:lineRule="exact"/>
        <w:ind w:firstLine="482"/>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4、付款方式与履约保证金：</w:t>
      </w:r>
    </w:p>
    <w:p w14:paraId="17D304FE">
      <w:pPr>
        <w:widowControl/>
        <w:spacing w:line="520" w:lineRule="exact"/>
        <w:ind w:firstLine="482"/>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4.1合同款项的支付方式及进度安排：</w:t>
      </w:r>
    </w:p>
    <w:p w14:paraId="1573320F">
      <w:pPr>
        <w:spacing w:line="400" w:lineRule="exact"/>
        <w:ind w:firstLine="420"/>
        <w:jc w:val="lef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实行最终验收合格后一次性支付：采购人在最终验收合格并收到合法有效发票及完整支付材料之日起10个工作日内，一次性支付合同金额的100%。</w:t>
      </w:r>
    </w:p>
    <w:p w14:paraId="7F541C3F">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付款前，中标人需向采购人开具正规发票，否则自行承担延迟付款的责任。</w:t>
      </w:r>
    </w:p>
    <w:p w14:paraId="58CCA2EF">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当采购数量与实际使用数量不一致时（仅适用于空白条形码耗材等按量结算品目，且总量不超过采购清单数量），中标人根据实际使用量提供产品和服务，合同的最终结算金额按实际使用量乘以中标单价进行计算。</w:t>
      </w:r>
    </w:p>
    <w:p w14:paraId="3D938304">
      <w:pPr>
        <w:widowControl/>
        <w:spacing w:line="520" w:lineRule="exact"/>
        <w:ind w:right="-4" w:firstLine="420"/>
        <w:jc w:val="left"/>
        <w:rPr>
          <w:rFonts w:hint="eastAsia" w:ascii="宋体" w:hAnsi="宋体"/>
          <w:b/>
          <w:color w:val="000000" w:themeColor="text1"/>
          <w14:textFill>
            <w14:solidFill>
              <w14:schemeClr w14:val="tx1"/>
            </w14:solidFill>
          </w14:textFill>
        </w:rPr>
      </w:pPr>
      <w:r>
        <w:rPr>
          <w:rFonts w:hint="eastAsia"/>
          <w:b/>
          <w:color w:val="000000" w:themeColor="text1"/>
          <w14:textFill>
            <w14:solidFill>
              <w14:schemeClr w14:val="tx1"/>
            </w14:solidFill>
          </w14:textFill>
        </w:rPr>
        <w:t>4.2</w:t>
      </w:r>
      <w:r>
        <w:rPr>
          <w:rFonts w:hint="eastAsia" w:ascii="宋体" w:hAnsi="宋体"/>
          <w:b/>
          <w:color w:val="000000" w:themeColor="text1"/>
          <w14:textFill>
            <w14:solidFill>
              <w14:schemeClr w14:val="tx1"/>
            </w14:solidFill>
          </w14:textFill>
        </w:rPr>
        <w:t>本项目收取履约保证金：</w:t>
      </w:r>
    </w:p>
    <w:p w14:paraId="5F160246">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4.2.1履约保证金的数额为合同金额10%。中标人应当在合同签订前提交履约保证金；未按期提交的，采购人依法取消其中标资格并报同级财政部门处理；中标人应当采用支票、汇票、本票或者金融机构、担保机构出具的保函、电子履约保函（保险）等非现金形式在合同签订前提交。关于投标人可登录江苏政府采购网“资料下载”栏目下载“政府采购电子履约保函（保险）操作手册”</w:t>
      </w:r>
    </w:p>
    <w:p w14:paraId="6A621EC1">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4.2.2中标人违约的，采购人将按照合同约定扣除其全部或部分履约保证金。如中标人违约给采购人造成的损失超过履约保证金的，应当依法赔偿超过部分的损失。</w:t>
      </w:r>
    </w:p>
    <w:p w14:paraId="5142BE75">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4.2.3履约保证金自合同生效之日起至本项目三年服务期届满且最终服务考核合格后30日内，采购人应当按合同约定及时退还；逾期退还的，按合同约定承担违约责任。因本项目合同款项在最终验收合格后一次性支付，履约保证金作为中标人履行三年服务期义务的担保，不因合同款项已付清而提前退还。</w:t>
      </w:r>
    </w:p>
    <w:p w14:paraId="0891815F">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4.2.4年度服务考核（作为履约保证金扣减、违约金计取与服务评价的依据）：（1）考核主体为灌云县教育局，每服务年度届满后30日内组织一次；（2）考核指标满分100分：系统可用率≥99.5%（按月统计，计划内维护窗口除外）20分、故障响应与解决达标率≥95%20分、答题卡扫描识别准确率≥99.9%且成绩计算零差错15分、年度功能升级与安全补丁按时完成10分、培训与技术支持任务完成率100%10分、数据安全事件零发生（未发生数据出境、未用于AI训练）15分、学校满意度测评（样本不少于10所）10分；（3）80分及以上为合格；（4）考核程序：中标人提交年度服务报告→采购人组织考核并出具书面结论→中标人可在5个工作日内申辩一次→采购人作出最终结论；（5）不合格处理：60分（含）以上不满80分的，采购人按（80-实际得分）/100×合同金额1%的比例扣减履约保证金，并责令30日内整改；低于60分或连续两年不合格的，采购人有权解除合同并依法追究违约责任；（6）采购人无正当理由不组织考核的，视为该年度考核合格。</w:t>
      </w:r>
    </w:p>
    <w:p w14:paraId="511CDE72">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4.3信息安全：应用系统应该通过网络安全等级保护（三级）定级备案并通过等级测评，取得公安机关备案证明及有效期内的测评报告，未完成的不予通过最终验收。</w:t>
      </w:r>
    </w:p>
    <w:p w14:paraId="5B8E9973">
      <w:pPr>
        <w:spacing w:line="520" w:lineRule="exact"/>
        <w:ind w:firstLine="42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4.4报价要求：投标报价为完成本项目的所有含税费用，包含但不限于人员费用、专用设备、安装辅材、运输、现场安装调试、培训、管理、维护、利润、税金、保险、检测、验收、前期一般性咨询、售后服务、政策性文件规定及合同包含的所有风险、责任等各项应有费用。(参与本次项目报价的投标人视为已充分了解安装现场的安装条件，并已将可能发生的全部费用包含在总体报价中。）采购人在合同价款之外不再向中标人支付其他任何费用。</w:t>
      </w:r>
    </w:p>
    <w:p w14:paraId="08A1A90C">
      <w:pPr>
        <w:keepNext/>
        <w:outlineLvl w:val="0"/>
        <w:rPr>
          <w:rFonts w:ascii="黑体" w:eastAsia="黑体"/>
          <w:bCs/>
          <w:color w:val="000000" w:themeColor="text1"/>
          <w:szCs w:val="21"/>
          <w14:textFill>
            <w14:solidFill>
              <w14:schemeClr w14:val="tx1"/>
            </w14:solidFill>
          </w14:textFill>
        </w:rPr>
      </w:pPr>
      <w:bookmarkStart w:id="177" w:name="_Toc120614281"/>
    </w:p>
    <w:p w14:paraId="3CDEE3C9">
      <w:pPr>
        <w:keepNext/>
        <w:jc w:val="center"/>
        <w:outlineLvl w:val="0"/>
        <w:rPr>
          <w:color w:val="000000" w:themeColor="text1"/>
          <w14:textFill>
            <w14:solidFill>
              <w14:schemeClr w14:val="tx1"/>
            </w14:solidFill>
          </w14:textFill>
        </w:rPr>
      </w:pPr>
      <w:r>
        <w:rPr>
          <w:rFonts w:hint="eastAsia" w:ascii="黑体" w:eastAsia="黑体"/>
          <w:bCs/>
          <w:color w:val="000000" w:themeColor="text1"/>
          <w:sz w:val="44"/>
          <w:szCs w:val="28"/>
          <w14:textFill>
            <w14:solidFill>
              <w14:schemeClr w14:val="tx1"/>
            </w14:solidFill>
          </w14:textFill>
        </w:rPr>
        <w:br w:type="page" w:clear="all"/>
      </w:r>
      <w:r>
        <w:rPr>
          <w:rFonts w:hint="eastAsia" w:ascii="黑体" w:eastAsia="黑体"/>
          <w:bCs/>
          <w:color w:val="000000" w:themeColor="text1"/>
          <w:sz w:val="44"/>
          <w:szCs w:val="28"/>
          <w14:textFill>
            <w14:solidFill>
              <w14:schemeClr w14:val="tx1"/>
            </w14:solidFill>
          </w14:textFill>
        </w:rPr>
        <w:t>第五章</w:t>
      </w:r>
      <w:r>
        <w:rPr>
          <w:rFonts w:hint="eastAsia" w:ascii="黑体" w:eastAsia="黑体"/>
          <w:b/>
          <w:bCs/>
          <w:color w:val="000000" w:themeColor="text1"/>
          <w:sz w:val="44"/>
          <w:szCs w:val="28"/>
          <w14:textFill>
            <w14:solidFill>
              <w14:schemeClr w14:val="tx1"/>
            </w14:solidFill>
          </w14:textFill>
        </w:rPr>
        <w:t>评标方法与评标标准</w:t>
      </w:r>
    </w:p>
    <w:p w14:paraId="4DD57939">
      <w:pPr>
        <w:pStyle w:val="24"/>
        <w:tabs>
          <w:tab w:val="left" w:pos="2472"/>
        </w:tabs>
        <w:spacing w:line="500" w:lineRule="exact"/>
        <w:ind w:left="408" w:hanging="408"/>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一、评标委员会构成：本采购项目评标委员会由采购人代表和评审专家共5人以上单数组成，其中评审专家不得少于成员总数的三分之二。</w:t>
      </w:r>
    </w:p>
    <w:p w14:paraId="11986C6E">
      <w:pPr>
        <w:pStyle w:val="24"/>
        <w:tabs>
          <w:tab w:val="left" w:pos="2472"/>
        </w:tabs>
        <w:spacing w:line="500" w:lineRule="exact"/>
        <w:ind w:left="408" w:hanging="408"/>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二、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1F8480F2">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三、评标办法：</w:t>
      </w:r>
    </w:p>
    <w:p w14:paraId="3953743E">
      <w:pPr>
        <w:pStyle w:val="43"/>
        <w:tabs>
          <w:tab w:val="left" w:pos="0"/>
        </w:tabs>
        <w:spacing w:line="480" w:lineRule="exact"/>
        <w:ind w:left="1" w:firstLine="628"/>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并列，由评标委员会以随机抽取方式确定排列顺序，并在评标报告中记录。投标文件满足招标文件全部实质性要求，且按照评审因素的量化指标评审得分最高的投标人为排名第一的中标候选人。</w:t>
      </w:r>
    </w:p>
    <w:p w14:paraId="519F4E6E">
      <w:pPr>
        <w:spacing w:line="360" w:lineRule="auto"/>
        <w:ind w:firstLine="441"/>
        <w:jc w:val="left"/>
        <w:rPr>
          <w:rFonts w:ascii="宋体" w:hAnsi="宋体" w:eastAsia="Arial"/>
          <w:b/>
          <w:color w:val="000000" w:themeColor="text1"/>
          <w:sz w:val="24"/>
          <w:szCs w:val="24"/>
          <w14:textFill>
            <w14:solidFill>
              <w14:schemeClr w14:val="tx1"/>
            </w14:solidFill>
          </w14:textFill>
        </w:rPr>
      </w:pPr>
      <w:r>
        <w:rPr>
          <w:rFonts w:hint="eastAsia" w:ascii="宋体" w:hAnsi="宋体" w:eastAsia="Arial"/>
          <w:b/>
          <w:color w:val="000000" w:themeColor="text1"/>
          <w:sz w:val="24"/>
          <w:szCs w:val="24"/>
          <w14:textFill>
            <w14:solidFill>
              <w14:schemeClr w14:val="tx1"/>
            </w14:solidFill>
          </w14:textFill>
        </w:rPr>
        <w:t>政府采购政策功能落实</w:t>
      </w:r>
    </w:p>
    <w:p w14:paraId="6790BEFB">
      <w:pPr>
        <w:tabs>
          <w:tab w:val="left" w:pos="2472"/>
        </w:tabs>
        <w:spacing w:line="500" w:lineRule="exact"/>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监狱企业、残疾人福利性单位视同小微企业，同一供应商不重复享受同类中小企业价格优惠；供应商同时符合中小企业价格优惠和本国产品价格优惠的，两项政策叠加适用</w:t>
      </w:r>
      <w:r>
        <w:rPr>
          <w:rFonts w:hint="eastAsia"/>
          <w:color w:val="000000" w:themeColor="text1"/>
          <w14:textFill>
            <w14:solidFill>
              <w14:schemeClr w14:val="tx1"/>
            </w14:solidFill>
          </w14:textFill>
        </w:rPr>
        <w:t>。</w:t>
      </w:r>
    </w:p>
    <w:p w14:paraId="36FB880A">
      <w:pPr>
        <w:tabs>
          <w:tab w:val="left" w:pos="2472"/>
        </w:tabs>
        <w:spacing w:line="500" w:lineRule="exact"/>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1、小微型企业价格扣除</w:t>
      </w:r>
    </w:p>
    <w:p w14:paraId="6A9EADD7">
      <w:pPr>
        <w:tabs>
          <w:tab w:val="left" w:pos="2472"/>
        </w:tabs>
        <w:spacing w:line="500" w:lineRule="exact"/>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（1）本项目对小型和微型企业承接的服务给予10%的价格扣除，用扣除后的价格参与评审。</w:t>
      </w:r>
    </w:p>
    <w:p w14:paraId="647FF283">
      <w:pPr>
        <w:tabs>
          <w:tab w:val="left" w:pos="2472"/>
        </w:tabs>
        <w:spacing w:line="500" w:lineRule="exact"/>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（2）供应商需按照采购文件的要求提供相应的《小微企业声明函》。</w:t>
      </w:r>
    </w:p>
    <w:p w14:paraId="1B876A87">
      <w:pPr>
        <w:tabs>
          <w:tab w:val="left" w:pos="2472"/>
        </w:tabs>
        <w:spacing w:line="500" w:lineRule="exact"/>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（3）企业标准请参照《关于印发中小企业划型标准规定的通知》（工信部联企业[2011]300号）文件规定自行填写。</w:t>
      </w:r>
    </w:p>
    <w:p w14:paraId="350E75D7">
      <w:pPr>
        <w:tabs>
          <w:tab w:val="left" w:pos="2472"/>
        </w:tabs>
        <w:spacing w:line="500" w:lineRule="exact"/>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2、残疾人福利单位价格扣除</w:t>
      </w:r>
    </w:p>
    <w:p w14:paraId="06CB86CF">
      <w:pPr>
        <w:tabs>
          <w:tab w:val="left" w:pos="2472"/>
        </w:tabs>
        <w:spacing w:line="500" w:lineRule="exact"/>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（1）本项目对残疾人福利性单位视同小型、微型企业，给予10%的价格扣除，用扣除后的价格参与评审。</w:t>
      </w:r>
    </w:p>
    <w:p w14:paraId="48FF7489">
      <w:pPr>
        <w:tabs>
          <w:tab w:val="left" w:pos="2472"/>
        </w:tabs>
        <w:spacing w:line="500" w:lineRule="exact"/>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（2）残疾人福利单位需按照采购文件的要求提供《残疾人福利性单位声明函》。</w:t>
      </w:r>
    </w:p>
    <w:p w14:paraId="0B269499">
      <w:pPr>
        <w:tabs>
          <w:tab w:val="left" w:pos="2472"/>
        </w:tabs>
        <w:spacing w:line="460" w:lineRule="exact"/>
        <w:ind w:firstLine="482"/>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（3）残疾人福利单位标准请参照《关于促进残疾人就业政府采购政策的通知》（财库〔2017〕141号）。</w:t>
      </w:r>
    </w:p>
    <w:p w14:paraId="621F697A">
      <w:pPr>
        <w:tabs>
          <w:tab w:val="left" w:pos="2472"/>
        </w:tabs>
        <w:spacing w:line="460" w:lineRule="exact"/>
        <w:ind w:firstLine="482"/>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3、监狱和戒毒企业价格扣除</w:t>
      </w:r>
    </w:p>
    <w:p w14:paraId="6A1E5A7D">
      <w:pPr>
        <w:tabs>
          <w:tab w:val="left" w:pos="2472"/>
        </w:tabs>
        <w:spacing w:line="460" w:lineRule="exact"/>
        <w:ind w:firstLine="482"/>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（1）本项目对监狱和戒毒企业（简称监狱企业）视同小型、微型企业，给予10%的价格扣除，用扣除后的价格参与评审。</w:t>
      </w:r>
    </w:p>
    <w:p w14:paraId="29826034">
      <w:pPr>
        <w:tabs>
          <w:tab w:val="left" w:pos="2472"/>
        </w:tabs>
        <w:spacing w:line="460" w:lineRule="exact"/>
        <w:ind w:firstLine="482"/>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09B168DC">
      <w:pPr>
        <w:tabs>
          <w:tab w:val="left" w:pos="2472"/>
        </w:tabs>
        <w:spacing w:line="460" w:lineRule="exact"/>
        <w:ind w:firstLine="482"/>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（3）监狱企业标准请参照《关于政府采购支持监狱企业发展有关问题的通知》（财库[2014]68号）。</w:t>
      </w:r>
    </w:p>
    <w:p w14:paraId="76107BB6">
      <w:pPr>
        <w:tabs>
          <w:tab w:val="left" w:pos="2472"/>
        </w:tabs>
        <w:spacing w:line="460" w:lineRule="exact"/>
        <w:ind w:firstLine="482"/>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4、残疾人福利单位、监狱企业属于小型、微型企业的，不重复享受政策。</w:t>
      </w:r>
    </w:p>
    <w:p w14:paraId="51D2D30B">
      <w:pPr>
        <w:tabs>
          <w:tab w:val="left" w:pos="2472"/>
        </w:tabs>
        <w:spacing w:line="460" w:lineRule="exact"/>
        <w:ind w:firstLine="482"/>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5、本国产品价格扣除的适用条件、计算方法与扣除顺序，按政府采购政策功能落实。上述支持政策不改变最终中标价格，政府采购合同仍按照中标供应商的报价签订。</w:t>
      </w:r>
    </w:p>
    <w:tbl>
      <w:tblPr>
        <w:tblStyle w:val="48"/>
        <w:tblpPr w:leftFromText="180" w:rightFromText="180" w:vertAnchor="text" w:horzAnchor="page" w:tblpX="1493" w:tblpY="1089"/>
        <w:tblW w:w="513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38"/>
        <w:gridCol w:w="1099"/>
        <w:gridCol w:w="792"/>
        <w:gridCol w:w="6054"/>
      </w:tblGrid>
      <w:tr w14:paraId="5BFA0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trPr>
        <w:tc>
          <w:tcPr>
            <w:tcW w:w="1239" w:type="dxa"/>
            <w:vAlign w:val="center"/>
          </w:tcPr>
          <w:p w14:paraId="1FF73AB2">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评审因素</w:t>
            </w:r>
          </w:p>
        </w:tc>
        <w:tc>
          <w:tcPr>
            <w:tcW w:w="1100" w:type="dxa"/>
            <w:vAlign w:val="center"/>
          </w:tcPr>
          <w:p w14:paraId="6A936F24">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计分因素</w:t>
            </w:r>
          </w:p>
        </w:tc>
        <w:tc>
          <w:tcPr>
            <w:tcW w:w="793" w:type="dxa"/>
            <w:vAlign w:val="center"/>
          </w:tcPr>
          <w:p w14:paraId="351BA5ED">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分值</w:t>
            </w:r>
          </w:p>
        </w:tc>
        <w:tc>
          <w:tcPr>
            <w:tcW w:w="6061" w:type="dxa"/>
            <w:vAlign w:val="center"/>
          </w:tcPr>
          <w:p w14:paraId="00B93384">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评分标准</w:t>
            </w:r>
          </w:p>
        </w:tc>
      </w:tr>
      <w:tr w14:paraId="2EED5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0" w:hRule="atLeast"/>
        </w:trPr>
        <w:tc>
          <w:tcPr>
            <w:tcW w:w="1239" w:type="dxa"/>
            <w:vAlign w:val="center"/>
          </w:tcPr>
          <w:p w14:paraId="22FF5355">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价格部分</w:t>
            </w:r>
          </w:p>
          <w:p w14:paraId="382CA78A">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(15分)</w:t>
            </w:r>
          </w:p>
        </w:tc>
        <w:tc>
          <w:tcPr>
            <w:tcW w:w="1100" w:type="dxa"/>
            <w:vAlign w:val="center"/>
          </w:tcPr>
          <w:p w14:paraId="242433CC">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投标报价</w:t>
            </w:r>
          </w:p>
        </w:tc>
        <w:tc>
          <w:tcPr>
            <w:tcW w:w="793" w:type="dxa"/>
            <w:vAlign w:val="center"/>
          </w:tcPr>
          <w:p w14:paraId="1BE3EAB5">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15</w:t>
            </w:r>
          </w:p>
        </w:tc>
        <w:tc>
          <w:tcPr>
            <w:tcW w:w="6061" w:type="dxa"/>
            <w:vAlign w:val="center"/>
          </w:tcPr>
          <w:p w14:paraId="11AFF42E">
            <w:pPr>
              <w:spacing w:line="276" w:lineRule="auto"/>
              <w:ind w:firstLine="400" w:firstLineChars="200"/>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采用低价优先法计算，即满足采购文件要求且投标价格最低的投标报价为评标基准价，其价格分为满分15分。其他投标人的价格分统一按照下列公式计算：投标报价得分=(评标基准价／投标报价)×15（按四舍五入取至小数点后两位）。</w:t>
            </w:r>
          </w:p>
          <w:p w14:paraId="263734B2">
            <w:pPr>
              <w:spacing w:line="276" w:lineRule="auto"/>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因落实政府采购政策进行价格扣除的，用扣除后的价格参加评审。</w:t>
            </w:r>
          </w:p>
        </w:tc>
      </w:tr>
      <w:tr w14:paraId="03FE7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trPr>
        <w:tc>
          <w:tcPr>
            <w:tcW w:w="1239" w:type="dxa"/>
            <w:vMerge w:val="restart"/>
            <w:vAlign w:val="center"/>
          </w:tcPr>
          <w:p w14:paraId="62F0E17E">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技术部分</w:t>
            </w:r>
          </w:p>
          <w:p w14:paraId="4E079443">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(76分)</w:t>
            </w:r>
          </w:p>
        </w:tc>
        <w:tc>
          <w:tcPr>
            <w:tcW w:w="1100" w:type="dxa"/>
            <w:vAlign w:val="center"/>
          </w:tcPr>
          <w:p w14:paraId="13CFA0FD">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技术参数</w:t>
            </w:r>
          </w:p>
        </w:tc>
        <w:tc>
          <w:tcPr>
            <w:tcW w:w="793" w:type="dxa"/>
            <w:vAlign w:val="center"/>
          </w:tcPr>
          <w:p w14:paraId="1F5FCACD">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30</w:t>
            </w:r>
          </w:p>
        </w:tc>
        <w:tc>
          <w:tcPr>
            <w:tcW w:w="6061" w:type="dxa"/>
            <w:vAlign w:val="center"/>
          </w:tcPr>
          <w:p w14:paraId="38F3D97D">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（1）所投内容完全满足采购需求全部参数的，得30分。</w:t>
            </w:r>
          </w:p>
          <w:p w14:paraId="7DEB6108">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（2）计分颗粒度：以第四章采购需求《采购清单及技术参数要求》中的“序号条目”（软件1—12、硬件1—6，共18个条目）为计分项；同一序号条目内不论含多少并列技术指标，均按一个条目计，不重复扣分。</w:t>
            </w:r>
          </w:p>
          <w:p w14:paraId="49F65AD4">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（3）标注▲的重要参数（共21项）每一项经评委会认定负偏离的扣1.4分；标注★的实质性参数负偏离的，投标无效。</w:t>
            </w:r>
          </w:p>
          <w:p w14:paraId="0B0758A7">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（4）上述18个序号条目中，除▲、★外，每一条目整体功能不满足的扣0.5分。</w:t>
            </w:r>
          </w:p>
          <w:p w14:paraId="33E0A5C8">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（5）本项最高30分，最低0分（扣完为止，不产生负分）。</w:t>
            </w:r>
          </w:p>
          <w:p w14:paraId="4C44BC74">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（6）采购需求要求提供证明材料而未提供或提供与要求不符的，视为该条目负偏离；未要求提供证明材料的，以《技术要求响应及偏离表》填列内容为准。</w:t>
            </w:r>
            <w:bookmarkStart w:id="196" w:name="_GoBack"/>
            <w:bookmarkEnd w:id="196"/>
          </w:p>
        </w:tc>
      </w:tr>
      <w:tr w14:paraId="6BD86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2" w:hRule="atLeast"/>
        </w:trPr>
        <w:tc>
          <w:tcPr>
            <w:tcW w:w="1239" w:type="dxa"/>
            <w:vMerge w:val="continue"/>
            <w:vAlign w:val="center"/>
          </w:tcPr>
          <w:p w14:paraId="550CECDE">
            <w:pPr>
              <w:spacing w:line="276" w:lineRule="auto"/>
              <w:jc w:val="center"/>
              <w:rPr>
                <w:rFonts w:hint="eastAsia" w:ascii="宋体" w:hAnsi="宋体"/>
                <w:color w:val="000000" w:themeColor="text1"/>
                <w:sz w:val="20"/>
                <w:szCs w:val="20"/>
                <w14:textFill>
                  <w14:solidFill>
                    <w14:schemeClr w14:val="tx1"/>
                  </w14:solidFill>
                </w14:textFill>
              </w:rPr>
            </w:pPr>
          </w:p>
        </w:tc>
        <w:tc>
          <w:tcPr>
            <w:tcW w:w="1100" w:type="dxa"/>
            <w:vAlign w:val="center"/>
          </w:tcPr>
          <w:p w14:paraId="6BE7D205">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实施方案</w:t>
            </w:r>
          </w:p>
        </w:tc>
        <w:tc>
          <w:tcPr>
            <w:tcW w:w="793" w:type="dxa"/>
            <w:vAlign w:val="center"/>
          </w:tcPr>
          <w:p w14:paraId="3770EDB2">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5</w:t>
            </w:r>
          </w:p>
        </w:tc>
        <w:tc>
          <w:tcPr>
            <w:tcW w:w="6061" w:type="dxa"/>
            <w:vAlign w:val="center"/>
          </w:tcPr>
          <w:p w14:paraId="025BA474">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评委根据投标人提供的实施方案综合打分，方案应包括①项目进度安排②组织架构③进度控制④风险控制管理⑤信息安全管理措施等。</w:t>
            </w:r>
          </w:p>
          <w:p w14:paraId="10C0A101">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完整包含上述5项模块，且每个模块具备实质性内容，得5分。每缺失1个完整模块扣1分；模块仅列标题，无实质性实施内容的，视为缺失该模块。</w:t>
            </w:r>
          </w:p>
          <w:p w14:paraId="48ED52F2">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方案存在实质性缺陷或错误的，每处扣0.5分，本项得分最低扣至0分，不产生负分。</w:t>
            </w:r>
          </w:p>
          <w:p w14:paraId="5393E581">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缺陷或错误”的认定：①引用国家、行业强制性标准或规范描述错误；②方案项目名称、实施地点与本项目不一致；③关键节点缺失；④方案前后内容矛盾；⑤直接照搬其他项目方案，与本项目采购需求不匹配；⑥方案核心内容简单复制采购需求，无针对性实施安排。文字笔误、不影响方案实质可行性的微小疏漏，不认定为缺陷。本注释适用于本章各方案类评分项，各项独立计分，每项最低0分，不产生负分。</w:t>
            </w:r>
          </w:p>
        </w:tc>
      </w:tr>
      <w:tr w14:paraId="554ED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239" w:type="dxa"/>
            <w:vMerge w:val="continue"/>
            <w:vAlign w:val="center"/>
          </w:tcPr>
          <w:p w14:paraId="68CD97B0">
            <w:pPr>
              <w:spacing w:line="276" w:lineRule="auto"/>
              <w:jc w:val="center"/>
              <w:rPr>
                <w:rFonts w:hint="eastAsia" w:ascii="宋体" w:hAnsi="宋体"/>
                <w:color w:val="000000" w:themeColor="text1"/>
                <w:sz w:val="20"/>
                <w:szCs w:val="20"/>
                <w14:textFill>
                  <w14:solidFill>
                    <w14:schemeClr w14:val="tx1"/>
                  </w14:solidFill>
                </w14:textFill>
              </w:rPr>
            </w:pPr>
          </w:p>
        </w:tc>
        <w:tc>
          <w:tcPr>
            <w:tcW w:w="1100" w:type="dxa"/>
            <w:vAlign w:val="center"/>
          </w:tcPr>
          <w:p w14:paraId="3241245D">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培训方案</w:t>
            </w:r>
          </w:p>
        </w:tc>
        <w:tc>
          <w:tcPr>
            <w:tcW w:w="793" w:type="dxa"/>
            <w:vAlign w:val="center"/>
          </w:tcPr>
          <w:p w14:paraId="081CCD12">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5</w:t>
            </w:r>
          </w:p>
        </w:tc>
        <w:tc>
          <w:tcPr>
            <w:tcW w:w="6061" w:type="dxa"/>
            <w:vAlign w:val="center"/>
          </w:tcPr>
          <w:p w14:paraId="53F3D161">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评委根据投标人提供的培训方案综合打分，方案应包括①培训计划②师资力量③培训内容④培训考核⑤培训效果保障。</w:t>
            </w:r>
          </w:p>
          <w:p w14:paraId="4BB445A9">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完整包含上述5项模块，且每个模块具备实质性内容，得5分。每缺失1个完整模块扣1分；模块仅列标题，无实质性内容的，视为缺失该模块。</w:t>
            </w:r>
          </w:p>
          <w:p w14:paraId="5DE152EA">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方案存在实质性缺陷或错误的，每处扣0.5分，本项得分最低扣至0分，不产生负分。</w:t>
            </w:r>
          </w:p>
          <w:p w14:paraId="2836B1C7">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缺陷或错误”的认定：①引用国家、行业强制性标准或规范描述错误；②方案项目名称、实施地点与本项目不一致；③关键节点缺失；④方案前后内容矛盾；⑤直接照搬其他项目方案，与本项目采购需求不匹配；⑥方案核心内容简单复制采购需求，无针对性实施安排。文字笔误、不影响方案实质可行性的微小疏漏，不认定为缺陷。本注释适用于本章各方案类评分项，各项独立计分，每项最低0分，不产生负分。</w:t>
            </w:r>
          </w:p>
        </w:tc>
      </w:tr>
      <w:tr w14:paraId="4714B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2" w:hRule="atLeast"/>
        </w:trPr>
        <w:tc>
          <w:tcPr>
            <w:tcW w:w="1239" w:type="dxa"/>
            <w:vMerge w:val="continue"/>
            <w:vAlign w:val="center"/>
          </w:tcPr>
          <w:p w14:paraId="4DECCABC">
            <w:pPr>
              <w:spacing w:line="276" w:lineRule="auto"/>
              <w:jc w:val="center"/>
              <w:rPr>
                <w:rFonts w:hint="eastAsia" w:ascii="宋体" w:hAnsi="宋体"/>
                <w:color w:val="000000" w:themeColor="text1"/>
                <w:sz w:val="20"/>
                <w:szCs w:val="20"/>
                <w14:textFill>
                  <w14:solidFill>
                    <w14:schemeClr w14:val="tx1"/>
                  </w14:solidFill>
                </w14:textFill>
              </w:rPr>
            </w:pPr>
          </w:p>
        </w:tc>
        <w:tc>
          <w:tcPr>
            <w:tcW w:w="1100" w:type="dxa"/>
            <w:vAlign w:val="center"/>
          </w:tcPr>
          <w:p w14:paraId="102A7387">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应急响应方案</w:t>
            </w:r>
          </w:p>
        </w:tc>
        <w:tc>
          <w:tcPr>
            <w:tcW w:w="793" w:type="dxa"/>
            <w:vAlign w:val="center"/>
          </w:tcPr>
          <w:p w14:paraId="479EC4BB">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5</w:t>
            </w:r>
          </w:p>
        </w:tc>
        <w:tc>
          <w:tcPr>
            <w:tcW w:w="6061" w:type="dxa"/>
            <w:vAlign w:val="center"/>
          </w:tcPr>
          <w:p w14:paraId="30EE06BD">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评委根据投标人提供的应急响应方案综合打分，方案应包括①应急保障体系②风险识别③应急响应流程④分场景处置预案⑤应急演练总结。</w:t>
            </w:r>
          </w:p>
          <w:p w14:paraId="36853B1B">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完整包含上述5项模块，且每个模块具备实质性内容，得5分。每缺失1个完整模块扣1分；模块仅列标题，无实质性内容的，视为缺失该模块。</w:t>
            </w:r>
          </w:p>
          <w:p w14:paraId="3039485C">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方案存在实质性缺陷或错误的，每处扣0.5分，本项得分最低扣至0分，不产生负分。</w:t>
            </w:r>
          </w:p>
          <w:p w14:paraId="2099CB30">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缺陷或错误”的认定：①引用国家、行业强制性标准或规范描述错误；②方案项目名称、实施地点与本项目不一致；③关键节点缺失；④方案前后内容矛盾；⑤直接照搬其他项目方案，与本项目采购需求不匹配；⑥方案核心内容简单复制采购需求，无针对性实施安排。文字笔误、不影响方案实质可行性的微小疏漏，不认定为缺陷。本注释适用于本章各方案类评分项，各项独立计分，每项最低0分，不产生负分。</w:t>
            </w:r>
          </w:p>
        </w:tc>
      </w:tr>
      <w:tr w14:paraId="554C4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2" w:hRule="atLeast"/>
        </w:trPr>
        <w:tc>
          <w:tcPr>
            <w:tcW w:w="1239" w:type="dxa"/>
            <w:vMerge w:val="continue"/>
            <w:vAlign w:val="center"/>
          </w:tcPr>
          <w:p w14:paraId="015C3198">
            <w:pPr>
              <w:spacing w:line="276" w:lineRule="auto"/>
              <w:jc w:val="center"/>
              <w:rPr>
                <w:rFonts w:hint="eastAsia" w:ascii="宋体" w:hAnsi="宋体"/>
                <w:color w:val="000000" w:themeColor="text1"/>
                <w:sz w:val="20"/>
                <w:szCs w:val="20"/>
                <w14:textFill>
                  <w14:solidFill>
                    <w14:schemeClr w14:val="tx1"/>
                  </w14:solidFill>
                </w14:textFill>
              </w:rPr>
            </w:pPr>
          </w:p>
        </w:tc>
        <w:tc>
          <w:tcPr>
            <w:tcW w:w="1100" w:type="dxa"/>
            <w:vAlign w:val="center"/>
          </w:tcPr>
          <w:p w14:paraId="48E73BB5">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售后服务及运营方案</w:t>
            </w:r>
          </w:p>
        </w:tc>
        <w:tc>
          <w:tcPr>
            <w:tcW w:w="793" w:type="dxa"/>
            <w:vAlign w:val="center"/>
          </w:tcPr>
          <w:p w14:paraId="69EA5E07">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5</w:t>
            </w:r>
          </w:p>
        </w:tc>
        <w:tc>
          <w:tcPr>
            <w:tcW w:w="6061" w:type="dxa"/>
            <w:vAlign w:val="center"/>
          </w:tcPr>
          <w:p w14:paraId="5F261E97">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评委根据投标人提供的售后服务及运营方案综合打分，方案应包括①服务流程②服务内容③响应时间④服务人员能力⑤运营包括活动策划⑥内容设计⑦人员安排⑧效果保障措施。</w:t>
            </w:r>
          </w:p>
          <w:p w14:paraId="54705DD9">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完整包含上述8项模块，且每个模块具备实质性内容，得5分。每缺失1个完整模块扣1分；模块仅列标题，无实质性内容的，视为缺失该模块。</w:t>
            </w:r>
          </w:p>
          <w:p w14:paraId="75CD233F">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方案存在缺陷或错误的，每处扣0.5分，本项得分最低扣至0分，不产生负分。</w:t>
            </w:r>
          </w:p>
          <w:p w14:paraId="59CE2AC9">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缺陷或错误”的认定：①引用国家、行业强制性标准或规范描述错误；②方案项目名称、实施地点与本项目不一致；③关键节点缺失；④方案前后内容矛盾；⑤直接照搬其他项目方案，与本项目采购需求不匹配；⑥方案核心内容简单复制采购需求，无针对性实施安排。文字笔误、不影响方案实质可行性的微小疏漏，不认定为缺陷。本注释适用于本章各方案类评分项，各项独立计分，每项最低0分，不产生负分。</w:t>
            </w:r>
          </w:p>
        </w:tc>
      </w:tr>
      <w:tr w14:paraId="3721C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239" w:type="dxa"/>
            <w:vMerge w:val="continue"/>
            <w:vAlign w:val="center"/>
          </w:tcPr>
          <w:p w14:paraId="6A5DC5DD">
            <w:pPr>
              <w:spacing w:line="276" w:lineRule="auto"/>
              <w:jc w:val="left"/>
              <w:rPr>
                <w:rFonts w:hint="eastAsia" w:ascii="宋体" w:hAnsi="宋体"/>
                <w:color w:val="000000" w:themeColor="text1"/>
                <w:sz w:val="20"/>
                <w:szCs w:val="20"/>
                <w14:textFill>
                  <w14:solidFill>
                    <w14:schemeClr w14:val="tx1"/>
                  </w14:solidFill>
                </w14:textFill>
              </w:rPr>
            </w:pPr>
          </w:p>
        </w:tc>
        <w:tc>
          <w:tcPr>
            <w:tcW w:w="1100" w:type="dxa"/>
            <w:vAlign w:val="center"/>
          </w:tcPr>
          <w:p w14:paraId="2A7CAD3E">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平台能力与服务支撑</w:t>
            </w:r>
          </w:p>
        </w:tc>
        <w:tc>
          <w:tcPr>
            <w:tcW w:w="793" w:type="dxa"/>
            <w:vAlign w:val="center"/>
          </w:tcPr>
          <w:p w14:paraId="0C0EE3F7">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8</w:t>
            </w:r>
          </w:p>
        </w:tc>
        <w:tc>
          <w:tcPr>
            <w:tcW w:w="6061" w:type="dxa"/>
            <w:vAlign w:val="center"/>
          </w:tcPr>
          <w:p w14:paraId="324C364D">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所投软件厂商的企业云平台并发和使用量要求：校本应用登录功能的最大并发量不低于2000(其中每秒请求数QPS不低于2000)，资源分享功能调用(具体指用户调用该功能到分享列表和分享信息的过程)的最大并发量不低于800(其中QPS不低于800)，满足要求的，得1分（提供具有资质的第三方检测机构出具的检测报告，检测报告应当载明测试方法、测试依据、测试特性、测试版本、软硬件环境；允许以等效检测报告证明）。</w:t>
            </w:r>
          </w:p>
          <w:p w14:paraId="30CBEAF6">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所投软件厂商的企业云平台具备互联网违法不良信息监测与过滤能力（不少于8类，含涉黄、暴恐、谩骂、违禁的文本与图片音视频检测与管理），满足得1分（提供具有资质的第三方检测机构出具的检测报告；未提供检测方法与依据的，由评委会结合产品功能说明认定）。</w:t>
            </w:r>
          </w:p>
          <w:p w14:paraId="1A01A1AE">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3.所投教学产品的云平台已按信息安全等级保护三级要求建设，提供公安机关备案证明及有效期内的测评报告的，得1分；尚未完成的，应当在系统上线前完成定级备案并通过等级测评，并作为合同验收条件。</w:t>
            </w:r>
          </w:p>
          <w:p w14:paraId="4BA46089">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4.为保证使用的便捷性以及数据等的互通性，降低对接交付周期和成本，提供系统间数据互通的接口设计与联调服务承诺函得1分。</w:t>
            </w:r>
          </w:p>
          <w:p w14:paraId="7C1836D1">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5.本次招标内容重点满足以下教学技术要求，所投产品需具备相关知识产权：</w:t>
            </w:r>
          </w:p>
          <w:p w14:paraId="47FBE1F7">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（1）支持基于学情数据的智适应资源分层与内容推送等；提供与智适应学习与推送相匹配的计算机软件著作权证书，得1分。</w:t>
            </w:r>
          </w:p>
          <w:p w14:paraId="2518AC41">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（2）支持多维度采集学习过程数据，开展过程性教学评价分析；提供与过程性教学评价相匹配的计算机软件著作权证书，得1分。</w:t>
            </w:r>
          </w:p>
          <w:p w14:paraId="3E950631">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（3）支持教学数据汇聚分析，支撑教学数据资产管理与教学决策辅助；提供与数据资产与教学决策相匹配的计算机软件著作权证书，得1分。</w:t>
            </w:r>
          </w:p>
          <w:p w14:paraId="761B51B3">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（4）支持课堂多教学终端跨屏内容同步与协作互动；提供与多屏协作交互相匹配的计算机软件著作权证书，得1分。</w:t>
            </w:r>
          </w:p>
          <w:p w14:paraId="111A404F">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注：本项评价所投产品是否具备相应功能，提供计算机软件著作权证书或产品官网介绍体现相应技术内容的均可得分；评分时仅考察功能是否实现，不得因证书名称与参数文字表述不一致而否定等效功能。(仅以产品官网介绍体现相应技术内容的，评标现场保留功能核验权利)</w:t>
            </w:r>
          </w:p>
        </w:tc>
      </w:tr>
      <w:tr w14:paraId="00170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8" w:hRule="atLeast"/>
        </w:trPr>
        <w:tc>
          <w:tcPr>
            <w:tcW w:w="1239" w:type="dxa"/>
            <w:vMerge w:val="continue"/>
            <w:vAlign w:val="center"/>
          </w:tcPr>
          <w:p w14:paraId="2627F417">
            <w:pPr>
              <w:spacing w:line="276" w:lineRule="auto"/>
              <w:jc w:val="left"/>
              <w:rPr>
                <w:rFonts w:hint="eastAsia" w:ascii="宋体" w:hAnsi="宋体"/>
                <w:color w:val="000000" w:themeColor="text1"/>
                <w:sz w:val="20"/>
                <w:szCs w:val="20"/>
                <w14:textFill>
                  <w14:solidFill>
                    <w14:schemeClr w14:val="tx1"/>
                  </w14:solidFill>
                </w14:textFill>
              </w:rPr>
            </w:pPr>
          </w:p>
        </w:tc>
        <w:tc>
          <w:tcPr>
            <w:tcW w:w="1100" w:type="dxa"/>
            <w:vAlign w:val="center"/>
          </w:tcPr>
          <w:p w14:paraId="65CBE4F4">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产品功能演示</w:t>
            </w:r>
          </w:p>
        </w:tc>
        <w:tc>
          <w:tcPr>
            <w:tcW w:w="793" w:type="dxa"/>
            <w:vAlign w:val="center"/>
          </w:tcPr>
          <w:p w14:paraId="5A1B533C">
            <w:pPr>
              <w:spacing w:line="276"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w:t>
            </w:r>
          </w:p>
        </w:tc>
        <w:tc>
          <w:tcPr>
            <w:tcW w:w="6061" w:type="dxa"/>
            <w:vAlign w:val="center"/>
          </w:tcPr>
          <w:p w14:paraId="0A498DC4">
            <w:pPr>
              <w:adjustRightInd w:val="0"/>
              <w:snapToGrid w:val="0"/>
              <w:ind w:firstLine="402" w:firstLineChars="200"/>
              <w:jc w:val="left"/>
              <w:rPr>
                <w:rFonts w:hint="eastAsia" w:ascii="宋体" w:hAnsi="宋体"/>
                <w:b/>
                <w:bCs/>
                <w:color w:val="000000" w:themeColor="text1"/>
                <w:sz w:val="20"/>
                <w:szCs w:val="20"/>
                <w14:textFill>
                  <w14:solidFill>
                    <w14:schemeClr w14:val="tx1"/>
                  </w14:solidFill>
                </w14:textFill>
              </w:rPr>
            </w:pPr>
            <w:r>
              <w:rPr>
                <w:rFonts w:hint="eastAsia" w:ascii="宋体" w:hAnsi="宋体"/>
                <w:b/>
                <w:bCs/>
                <w:color w:val="000000" w:themeColor="text1"/>
                <w:sz w:val="20"/>
                <w:szCs w:val="20"/>
                <w14:textFill>
                  <w14:solidFill>
                    <w14:schemeClr w14:val="tx1"/>
                  </w14:solidFill>
                </w14:textFill>
              </w:rPr>
              <w:t xml:space="preserve">投标人对以下九项功能进行视频演示并提供对应软件链接及试用账号密码，并提供软件操作示范以便复现演示视频内容；提供9个对应演示视频，演示视频须系所投系统真实录屏，未使用生成式AI合成、未剪辑拼接，为连续无剪辑录屏，从登录界面开始，首先展示系统版本号，全程须显示“浏览器地址栏、系统内当前日期时间”，视频每演示出1项得2分，未显示上述要素或经剪辑的、演示不全或不满足要求不得分，满分18分。（投标人需要保留链接账号有效期覆盖评标结束之日起 30 日。） </w:t>
            </w:r>
          </w:p>
          <w:p w14:paraId="094EFE2A">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题库对接与选题：演示题库对接的技术实现——校本系统除自带题库外，可支持与学校在用三方题库进行深度对接，三方题库嵌入系统内无需另外打开浏览器网址和登陆；支持通过三方题库直接进行选题，预览后保存在校本系统内的教师个人卷库，无需先存入三方题库的教师个人卷库后再转存至校本系统个人卷库。</w:t>
            </w:r>
            <w:r>
              <w:rPr>
                <w:rFonts w:ascii="宋体" w:hAnsi="宋体"/>
                <w:color w:val="000000" w:themeColor="text1"/>
                <w:sz w:val="20"/>
                <w:szCs w:val="20"/>
                <w14:textFill>
                  <w14:solidFill>
                    <w14:schemeClr w14:val="tx1"/>
                  </w14:solidFill>
                </w14:textFill>
              </w:rPr>
              <w:cr/>
            </w:r>
            <w:r>
              <w:rPr>
                <w:rFonts w:hint="eastAsia" w:ascii="宋体" w:hAnsi="宋体"/>
                <w:color w:val="000000" w:themeColor="text1"/>
                <w:sz w:val="20"/>
                <w:szCs w:val="20"/>
                <w14:textFill>
                  <w14:solidFill>
                    <w14:schemeClr w14:val="tx1"/>
                  </w14:solidFill>
                </w14:textFill>
              </w:rPr>
              <w:t>采购人将在合同签订后协调现有题库服务方提供同等接口条件，投标人不得以未取得既有题库授权为由主张演示不能，也不得以模拟接口演示为由扣分。</w:t>
            </w:r>
          </w:p>
          <w:p w14:paraId="3679542B">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试卷解析：英语学科支持上传试卷后自动解析试卷内容中的题目和答案并进行自动划题，包括听力部分三级题型的智能划题，系统可自动识别听力大题号以及小题内的多个子题（如对话或独白分为多段独立子题），解析后支持教师对题型、分值和答案进行编辑。</w:t>
            </w:r>
          </w:p>
          <w:p w14:paraId="679ED753">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3.题卡格式：日常检测支持题卡</w:t>
            </w:r>
            <w:r>
              <w:rPr>
                <w:rFonts w:ascii="宋体" w:hAnsi="宋体"/>
                <w:color w:val="000000" w:themeColor="text1"/>
                <w:sz w:val="20"/>
                <w:szCs w:val="20"/>
                <w14:textFill>
                  <w14:solidFill>
                    <w14:schemeClr w14:val="tx1"/>
                  </w14:solidFill>
                </w14:textFill>
              </w:rPr>
              <w:t>合一</w:t>
            </w:r>
            <w:r>
              <w:rPr>
                <w:rFonts w:hint="eastAsia" w:ascii="宋体" w:hAnsi="宋体"/>
                <w:color w:val="000000" w:themeColor="text1"/>
                <w:sz w:val="20"/>
                <w:szCs w:val="20"/>
                <w14:textFill>
                  <w14:solidFill>
                    <w14:schemeClr w14:val="tx1"/>
                  </w14:solidFill>
                </w14:textFill>
              </w:rPr>
              <w:t>的答题卡形式，</w:t>
            </w:r>
            <w:r>
              <w:rPr>
                <w:rFonts w:ascii="宋体" w:hAnsi="宋体"/>
                <w:color w:val="000000" w:themeColor="text1"/>
                <w:sz w:val="20"/>
                <w:szCs w:val="20"/>
                <w14:textFill>
                  <w14:solidFill>
                    <w14:schemeClr w14:val="tx1"/>
                  </w14:solidFill>
                </w14:textFill>
              </w:rPr>
              <w:t>支持</w:t>
            </w:r>
            <w:r>
              <w:rPr>
                <w:rFonts w:hint="eastAsia" w:ascii="宋体" w:hAnsi="宋体"/>
                <w:color w:val="000000" w:themeColor="text1"/>
                <w:sz w:val="20"/>
                <w:szCs w:val="20"/>
                <w14:textFill>
                  <w14:solidFill>
                    <w14:schemeClr w14:val="tx1"/>
                  </w14:solidFill>
                </w14:textFill>
              </w:rPr>
              <w:t>A4纸张单双面打印，支持测试内容分栏显示（一栏或两栏），支持答题卡内容图文排版设置常规或紧凑模式，节约打印成本。</w:t>
            </w:r>
          </w:p>
          <w:p w14:paraId="53B785F5">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4.测评评阅：网页阅卷支持单题批量阅卷模式，可根据教师批改习惯，通过设置行数和列数，调整同一页面显示的不同学生的答题总量和布局，同一页面支持显示不少于35份学生答题；教师可点击单个学生的答题进行打分，并可根据页面中的整体答题情况，将未批改的题目设置为0分或满分，提高批改效率。</w:t>
            </w:r>
          </w:p>
          <w:p w14:paraId="429AFD0B">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5.AI报告助手：测评报告模块内置AI助手，支持热门报表智能推荐，点击后直接进入对应报表模块；同时支持教师输入文字，AI助手自动分析识别需求并推送对应模块入口，提高查看效率。</w:t>
            </w:r>
          </w:p>
          <w:p w14:paraId="4EEA5E32">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6.学情数据对接：校级学情数据提供开放接口，支持通过标准接口接入常用通用AI大模型工具，便于教师等各级用户通过大模型工具直接调取系统内的学情数据进行自定义个性化数据分析，无需从校本系统导出学情数据再导入大模型工具；</w:t>
            </w:r>
          </w:p>
          <w:p w14:paraId="102C7DC8">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7.试卷讲评：支持教师通过</w:t>
            </w:r>
            <w:r>
              <w:rPr>
                <w:rFonts w:ascii="宋体" w:hAnsi="宋体"/>
                <w:color w:val="000000" w:themeColor="text1"/>
                <w:sz w:val="20"/>
                <w:szCs w:val="20"/>
                <w14:textFill>
                  <w14:solidFill>
                    <w14:schemeClr w14:val="tx1"/>
                  </w14:solidFill>
                </w14:textFill>
              </w:rPr>
              <w:t>精准讲评</w:t>
            </w:r>
            <w:r>
              <w:rPr>
                <w:rFonts w:hint="eastAsia" w:ascii="宋体" w:hAnsi="宋体"/>
                <w:color w:val="000000" w:themeColor="text1"/>
                <w:sz w:val="20"/>
                <w:szCs w:val="20"/>
                <w14:textFill>
                  <w14:solidFill>
                    <w14:schemeClr w14:val="tx1"/>
                  </w14:solidFill>
                </w14:textFill>
              </w:rPr>
              <w:t>系统直接调取测评系统内的测评报告进行课堂教学，无需另外通过浏览器打开页面；支持自由选取多个学生作答进行对比，并将学生作答插入白板进行详细批注点评。</w:t>
            </w:r>
          </w:p>
          <w:p w14:paraId="15E21E6D">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8.讲评记录：支持教师将试卷讲评板书笔迹等进行保存，在复习时再次调取板书并进行原笔迹擦除、新增等操作；支持将讲评板书分享给学生；支持学生通过移动端查看教师分享的板书内容时可直接打开插入在白板内的文档、视频等富媒体资源。</w:t>
            </w:r>
          </w:p>
          <w:p w14:paraId="1EB5FAFD">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9.辅助教学：支持教师利用数字版或纸质版新媒体交互式教科丛书辅助教学；支持教师通过移动终端直接扫描纸质版丛书内的可交互式资源（AR、互动微件等）后即时获取并立体展现；支持对扫描出的AR资源进行自由翻转、缩放显示、拍照截屏等功能，也支持对扫描出的互动微件资源进行自由翻转、交互展现等功能。</w:t>
            </w:r>
          </w:p>
          <w:p w14:paraId="466A8903">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备注：本项最多18分。投标人应当使用真实系统或已部署的可运行实例演示；使用PPT演示等非交互式方式演示的，本项最多得3分。演示视频与链接账号登录的软件不相符的不得分。</w:t>
            </w:r>
          </w:p>
          <w:p w14:paraId="20446245">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一）演示视频应当为投标人所投系统真实运行环境的连续无剪辑录屏，不得剪辑、拼接、加速，也不得以其他系统画面替代；视频中应当完整显示浏览器地址栏（可核验的系统访问地址）、系统内当前日期时间与系统版本号。未能显示上述要素或者经剪辑、拼接的，该项演示不得分。</w:t>
            </w:r>
          </w:p>
          <w:p w14:paraId="7A7AB64C">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二）演示视频应当随电子投标文件一次性上传并固化，评审以投标文件中上传的视频为准；投标人另行提供的网络链接、网盘地址等仅作为备份，不得作为评审依据。投标截止时间后替换、补充演示视频的，不予认可。</w:t>
            </w:r>
          </w:p>
          <w:p w14:paraId="50B07B84">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三）投标人提供的软件链接及试用账号应当保持有效至评标结束之日起30日，并支持评标委员会或者采购人指定操作路径进行核验；账号失效、无法登录、实际运行环境与演示视频不一致，或者无法按指定路径复现演示内容的，该项演示不得分。</w:t>
            </w:r>
          </w:p>
          <w:p w14:paraId="1D7F652D">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四）投标人应当对其演示视频、软件链接、试用账号、操作手册以及随附的技术证明材料的真实性负责。经查证存在使用生成式人工智能合成、剪辑拼接、以其他系统冒充所投系统或者提供虚假材料谋取中标、成交情形的，采购人应当固定证据并报送同级财政部门，由财政部门依照《中华人民共和国政府采购法》第七十七条的规定处理；供应商有该条第一款第（一）至（五）项情形之一的，中标、成交无效。</w:t>
            </w:r>
          </w:p>
        </w:tc>
      </w:tr>
      <w:tr w14:paraId="11829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2" w:hRule="atLeast"/>
        </w:trPr>
        <w:tc>
          <w:tcPr>
            <w:tcW w:w="1239" w:type="dxa"/>
            <w:vMerge w:val="restart"/>
            <w:vAlign w:val="center"/>
          </w:tcPr>
          <w:p w14:paraId="0F908F37">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商务部分</w:t>
            </w:r>
          </w:p>
          <w:p w14:paraId="37D2E5E2">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(9分)</w:t>
            </w:r>
          </w:p>
        </w:tc>
        <w:tc>
          <w:tcPr>
            <w:tcW w:w="1100" w:type="dxa"/>
            <w:vAlign w:val="center"/>
          </w:tcPr>
          <w:p w14:paraId="30C9D960">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项目团队成员</w:t>
            </w:r>
          </w:p>
        </w:tc>
        <w:tc>
          <w:tcPr>
            <w:tcW w:w="793" w:type="dxa"/>
            <w:vAlign w:val="center"/>
          </w:tcPr>
          <w:p w14:paraId="4AA50A12">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6</w:t>
            </w:r>
          </w:p>
        </w:tc>
        <w:tc>
          <w:tcPr>
            <w:tcW w:w="6061" w:type="dxa"/>
            <w:vAlign w:val="center"/>
          </w:tcPr>
          <w:p w14:paraId="38803858">
            <w:pPr>
              <w:spacing w:line="276" w:lineRule="auto"/>
              <w:ind w:firstLine="400" w:firstLineChars="200"/>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1.投标人拟派项目负责人具有信息系统项目管理师，满足得2分，本项最高得2分。</w:t>
            </w:r>
          </w:p>
          <w:p w14:paraId="29FE5FB6">
            <w:pPr>
              <w:spacing w:line="276" w:lineRule="auto"/>
              <w:ind w:firstLine="400" w:firstLineChars="200"/>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2.投标人拟派项目团队成员（不包含项目负责人）中具有系统分析师、数据库系统工程师、系统集成项目管理工程师、信息安全工程师证书的，每提供一个证书的得1分，最高得4分。投标人应当在投标文件中载明上述人员在本项目中承担的具体工作任务。</w:t>
            </w:r>
          </w:p>
          <w:p w14:paraId="1EAA977F">
            <w:pPr>
              <w:spacing w:line="276" w:lineRule="auto"/>
              <w:ind w:firstLine="400" w:firstLineChars="200"/>
              <w:jc w:val="lef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注：上述人员必须为投标人单位正式职工，并提供相关证书原件扫描件及投标人为其缴纳的2026年1月至今任意一个月社保证明材料（加盖公章）；若人员入职时间不足一个月，可提供投标单位出具的在职承诺函（加盖公章），承诺该人员为投标单位正式员工并将依法缴纳社保，否则承担相应责任；如已退休的必须提供退休证明及聘用合同。一人多证不重复得分，按高计取。</w:t>
            </w:r>
          </w:p>
        </w:tc>
      </w:tr>
      <w:tr w14:paraId="615AC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1239" w:type="dxa"/>
            <w:vMerge w:val="continue"/>
            <w:vAlign w:val="center"/>
          </w:tcPr>
          <w:p w14:paraId="59D316F7">
            <w:pPr>
              <w:spacing w:line="276" w:lineRule="auto"/>
              <w:jc w:val="left"/>
              <w:rPr>
                <w:rFonts w:hint="eastAsia" w:ascii="宋体" w:hAnsi="宋体" w:cs="宋体"/>
                <w:color w:val="000000" w:themeColor="text1"/>
                <w:szCs w:val="21"/>
                <w14:textFill>
                  <w14:solidFill>
                    <w14:schemeClr w14:val="tx1"/>
                  </w14:solidFill>
                </w14:textFill>
              </w:rPr>
            </w:pPr>
          </w:p>
        </w:tc>
        <w:tc>
          <w:tcPr>
            <w:tcW w:w="1100" w:type="dxa"/>
            <w:vAlign w:val="center"/>
          </w:tcPr>
          <w:p w14:paraId="1224E35D">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类似项目</w:t>
            </w:r>
          </w:p>
        </w:tc>
        <w:tc>
          <w:tcPr>
            <w:tcW w:w="793" w:type="dxa"/>
            <w:vAlign w:val="center"/>
          </w:tcPr>
          <w:p w14:paraId="2C333443">
            <w:pPr>
              <w:spacing w:line="276" w:lineRule="auto"/>
              <w:jc w:val="center"/>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3</w:t>
            </w:r>
          </w:p>
        </w:tc>
        <w:tc>
          <w:tcPr>
            <w:tcW w:w="6061" w:type="dxa"/>
            <w:vAlign w:val="center"/>
          </w:tcPr>
          <w:p w14:paraId="4368C123">
            <w:pPr>
              <w:spacing w:line="276" w:lineRule="auto"/>
              <w:ind w:firstLine="400" w:firstLineChars="200"/>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自2023年1月1日以来，投标人具有网上阅卷系统、学业数据分析系统或教育信息化平台类项目，每提供一个得</w:t>
            </w:r>
            <w:r>
              <w:rPr>
                <w:rFonts w:hint="default" w:ascii="宋体" w:hAnsi="宋体"/>
                <w:color w:val="000000" w:themeColor="text1"/>
                <w:sz w:val="20"/>
                <w:szCs w:val="20"/>
                <w14:textFill>
                  <w14:solidFill>
                    <w14:schemeClr w14:val="tx1"/>
                  </w14:solidFill>
                </w14:textFill>
              </w:rPr>
              <w:t>1.5</w:t>
            </w:r>
            <w:r>
              <w:rPr>
                <w:rFonts w:hint="eastAsia" w:ascii="宋体" w:hAnsi="宋体"/>
                <w:color w:val="000000" w:themeColor="text1"/>
                <w:sz w:val="20"/>
                <w:szCs w:val="20"/>
                <w14:textFill>
                  <w14:solidFill>
                    <w14:schemeClr w14:val="tx1"/>
                  </w14:solidFill>
                </w14:textFill>
              </w:rPr>
              <w:t>分，最高得3分。</w:t>
            </w:r>
          </w:p>
          <w:p w14:paraId="24C62A8B">
            <w:pPr>
              <w:spacing w:line="276" w:lineRule="auto"/>
              <w:ind w:firstLine="40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说明：提供合同关键页（含项目名称、签订双方、签订时间、合同金额、项目内容）的清晰扫描件或电子合同，时间以合同签订时间为准；可补充提供验收报告、发票等佐证材料，但不得将其作为唯一计分条件；提供的业绩材料必须能清晰反映合同价款、时间、项目内容等需要明确的内容，未明确、缺项、含糊不清的不予计分。</w:t>
            </w:r>
          </w:p>
        </w:tc>
      </w:tr>
    </w:tbl>
    <w:p w14:paraId="7381A170">
      <w:pPr>
        <w:widowControl/>
        <w:tabs>
          <w:tab w:val="left" w:pos="0"/>
        </w:tabs>
        <w:spacing w:line="560" w:lineRule="exact"/>
        <w:ind w:firstLine="482"/>
        <w:jc w:val="left"/>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备注：</w:t>
      </w:r>
    </w:p>
    <w:p w14:paraId="4F1B2991">
      <w:pPr>
        <w:widowControl/>
        <w:tabs>
          <w:tab w:val="left" w:pos="0"/>
        </w:tabs>
        <w:spacing w:line="560" w:lineRule="exact"/>
        <w:ind w:firstLine="482" w:firstLineChars="200"/>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1.上述评标办法中涉及提供的证明材料以原件扫描件上传至电子投标文件中，上传的资料原件扫描件不齐全、不完整或无法清晰辨认的，评标委员会应当通过苏采云系统要求投标人</w:t>
      </w:r>
      <w:r>
        <w:rPr>
          <w:rFonts w:hint="eastAsia" w:ascii="宋体" w:hAnsi="宋体" w:cs="宋体"/>
          <w:b/>
          <w:color w:val="000000" w:themeColor="text1"/>
          <w:sz w:val="24"/>
          <w:szCs w:val="24"/>
          <w:lang w:val="en-US" w:eastAsia="zh-CN" w:bidi="ar"/>
          <w14:textFill>
            <w14:solidFill>
              <w14:schemeClr w14:val="tx1"/>
            </w14:solidFill>
          </w14:textFill>
        </w:rPr>
        <w:t>在30分钟内</w:t>
      </w:r>
      <w:r>
        <w:rPr>
          <w:rFonts w:hint="eastAsia" w:ascii="宋体" w:hAnsi="宋体" w:cs="宋体"/>
          <w:b/>
          <w:color w:val="000000" w:themeColor="text1"/>
          <w:sz w:val="24"/>
          <w:szCs w:val="24"/>
          <w:lang w:bidi="ar"/>
          <w14:textFill>
            <w14:solidFill>
              <w14:schemeClr w14:val="tx1"/>
            </w14:solidFill>
          </w14:textFill>
        </w:rPr>
        <w:t>澄清、说明或补正；经澄清、说明或补正后仍无法认定的，不予认可。</w:t>
      </w:r>
    </w:p>
    <w:p w14:paraId="60167E75">
      <w:pPr>
        <w:widowControl/>
        <w:tabs>
          <w:tab w:val="left" w:pos="0"/>
        </w:tabs>
        <w:spacing w:line="560" w:lineRule="exact"/>
        <w:ind w:firstLine="482" w:firstLineChars="200"/>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2、中标候选人履约能力核验与真实性核验。采购人应当在确定中标人前（最迟于发出中标通知书后、签订政府采购合同前）组织核验，核验对象为评标委员会推荐的第一中标候选人；核验内容为其投标文件中《投标真实性承诺函》《功能响应承诺函》及技术响应内容，与其所投系统的真实功能是否一致。（1）核验方式：中标候选人应当在收到采购人核验通知后48小时内，使用其投标所报系统（真实运行环境或者已部署的可运行实例），在采购人指定地点按照采购人指定的操作路径现场演示并接受质询；核验过程应当全程录音录像，形成书面核验记录，经双方签字确认。无正当理由拒不配合或者逾期未响应的，视为其响应内容与事实不符，按本条第（3）项处理。（2）核验仅判断投标响应内容与所投系统真实功能是否一致，不进行评分，不重新评审，不改变评标委员会的评审结论和中标候选人排序。（3）经核验一致的，采购人依法确定其为中标人；经核验存在承诺内容与所投系统真实功能不一致、无法演示、以其他系统冒充所投系统等情形的，采购人应当立即固定证据（核验记录、录音录像、系统截图），暂停发出中标通知书或者暂停签订合同，并将全部材料依法报送同级财政部门处理；采购人不得自行取消其中标候选人资格、不得自行确定其他中标候选人、不得重新评分。经财政部门认定属于《中华人民共和国政府采购法》第七十七条第一款第（一）项"提供虚假材料谋取中标、成交"情形的，中标无效，本项目依照财政部门决定依法处理。（4）投标人应当提供《投标真实性承诺函》（投标人可自拟格式，须逐条覆盖本条承诺事项并加盖投标人公章），并载明：本函所载响应内容真实、准确，与本单位所投系统实际功能一致；如与事实不符，本单位愿意接受财政部门依照《中华人民共和国政府采购法》第七十七条作出的处理（包括罚款、列入不良行为记录名单、一至三年内禁止参加政府采购活动），并承担相应法律责任。未提供该承诺函的，按无效投标处理。</w:t>
      </w:r>
    </w:p>
    <w:p w14:paraId="59FE4617">
      <w:pPr>
        <w:widowControl/>
        <w:tabs>
          <w:tab w:val="left" w:pos="0"/>
        </w:tabs>
        <w:spacing w:line="560" w:lineRule="exact"/>
        <w:ind w:firstLine="2640" w:firstLineChars="600"/>
        <w:jc w:val="left"/>
        <w:rPr>
          <w:rFonts w:ascii="黑体" w:eastAsia="黑体"/>
          <w:bCs/>
          <w:color w:val="000000" w:themeColor="text1"/>
          <w:sz w:val="44"/>
          <w:szCs w:val="28"/>
          <w14:textFill>
            <w14:solidFill>
              <w14:schemeClr w14:val="tx1"/>
            </w14:solidFill>
          </w14:textFill>
        </w:rPr>
      </w:pPr>
      <w:r>
        <w:rPr>
          <w:rFonts w:hint="eastAsia" w:ascii="黑体" w:eastAsia="黑体"/>
          <w:bCs/>
          <w:color w:val="000000" w:themeColor="text1"/>
          <w:sz w:val="44"/>
          <w:szCs w:val="28"/>
          <w14:textFill>
            <w14:solidFill>
              <w14:schemeClr w14:val="tx1"/>
            </w14:solidFill>
          </w14:textFill>
        </w:rPr>
        <w:br w:type="page" w:clear="all"/>
      </w:r>
      <w:r>
        <w:rPr>
          <w:rFonts w:hint="eastAsia" w:ascii="黑体" w:eastAsia="黑体"/>
          <w:bCs/>
          <w:color w:val="000000" w:themeColor="text1"/>
          <w:sz w:val="44"/>
          <w:szCs w:val="28"/>
          <w14:textFill>
            <w14:solidFill>
              <w14:schemeClr w14:val="tx1"/>
            </w14:solidFill>
          </w14:textFill>
        </w:rPr>
        <w:t>第六章投标</w:t>
      </w:r>
      <w:bookmarkEnd w:id="175"/>
      <w:bookmarkEnd w:id="176"/>
      <w:bookmarkEnd w:id="177"/>
      <w:r>
        <w:rPr>
          <w:rFonts w:hint="eastAsia" w:ascii="黑体" w:eastAsia="黑体"/>
          <w:bCs/>
          <w:color w:val="000000" w:themeColor="text1"/>
          <w:sz w:val="44"/>
          <w:szCs w:val="28"/>
          <w14:textFill>
            <w14:solidFill>
              <w14:schemeClr w14:val="tx1"/>
            </w14:solidFill>
          </w14:textFill>
        </w:rPr>
        <w:t>文件格式</w:t>
      </w:r>
    </w:p>
    <w:p w14:paraId="0AD3B64D">
      <w:pPr>
        <w:jc w:val="center"/>
        <w:rPr>
          <w:rFonts w:hint="eastAsia" w:ascii="宋体" w:hAnsi="宋体"/>
          <w:b/>
          <w:color w:val="000000" w:themeColor="text1"/>
          <w:sz w:val="72"/>
          <w:szCs w:val="21"/>
          <w14:textFill>
            <w14:solidFill>
              <w14:schemeClr w14:val="tx1"/>
            </w14:solidFill>
          </w14:textFill>
        </w:rPr>
      </w:pPr>
      <w:bookmarkStart w:id="178" w:name="_Hlt26671244"/>
      <w:bookmarkEnd w:id="178"/>
      <w:bookmarkStart w:id="179" w:name="_Hlt26955039"/>
      <w:bookmarkEnd w:id="179"/>
      <w:bookmarkStart w:id="180" w:name="_Toc49090576"/>
      <w:bookmarkStart w:id="181" w:name="_Toc26554094"/>
      <w:bookmarkStart w:id="182" w:name="_Toc120614282"/>
    </w:p>
    <w:p w14:paraId="7705688F">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投标文件</w:t>
      </w:r>
    </w:p>
    <w:p w14:paraId="258925D2">
      <w:pPr>
        <w:jc w:val="center"/>
        <w:rPr>
          <w:rFonts w:hint="eastAsia" w:ascii="宋体" w:hAnsi="宋体"/>
          <w:b/>
          <w:color w:val="000000" w:themeColor="text1"/>
          <w:sz w:val="72"/>
          <w:szCs w:val="21"/>
          <w14:textFill>
            <w14:solidFill>
              <w14:schemeClr w14:val="tx1"/>
            </w14:solidFill>
          </w14:textFill>
        </w:rPr>
      </w:pPr>
    </w:p>
    <w:p w14:paraId="197CA41C">
      <w:pPr>
        <w:jc w:val="center"/>
        <w:rPr>
          <w:rFonts w:hint="eastAsia" w:ascii="宋体" w:hAnsi="宋体"/>
          <w:b/>
          <w:color w:val="000000" w:themeColor="text1"/>
          <w:sz w:val="72"/>
          <w:szCs w:val="21"/>
          <w14:textFill>
            <w14:solidFill>
              <w14:schemeClr w14:val="tx1"/>
            </w14:solidFill>
          </w14:textFill>
        </w:rPr>
      </w:pPr>
    </w:p>
    <w:p w14:paraId="5DB09033">
      <w:pPr>
        <w:jc w:val="center"/>
        <w:rPr>
          <w:rFonts w:hint="eastAsia" w:ascii="宋体" w:hAnsi="宋体"/>
          <w:b/>
          <w:color w:val="000000" w:themeColor="text1"/>
          <w:sz w:val="36"/>
          <w:szCs w:val="21"/>
          <w14:textFill>
            <w14:solidFill>
              <w14:schemeClr w14:val="tx1"/>
            </w14:solidFill>
          </w14:textFill>
        </w:rPr>
      </w:pPr>
    </w:p>
    <w:p w14:paraId="5998E00C">
      <w:pPr>
        <w:jc w:val="center"/>
        <w:rPr>
          <w:rFonts w:hint="eastAsia" w:ascii="宋体" w:hAnsi="宋体"/>
          <w:b/>
          <w:color w:val="000000" w:themeColor="text1"/>
          <w:sz w:val="36"/>
          <w:szCs w:val="21"/>
          <w14:textFill>
            <w14:solidFill>
              <w14:schemeClr w14:val="tx1"/>
            </w14:solidFill>
          </w14:textFill>
        </w:rPr>
      </w:pPr>
    </w:p>
    <w:p w14:paraId="58D81F4C">
      <w:pPr>
        <w:jc w:val="center"/>
        <w:rPr>
          <w:rFonts w:hint="eastAsia" w:ascii="宋体" w:hAnsi="宋体"/>
          <w:b/>
          <w:color w:val="000000" w:themeColor="text1"/>
          <w:sz w:val="36"/>
          <w:szCs w:val="21"/>
          <w14:textFill>
            <w14:solidFill>
              <w14:schemeClr w14:val="tx1"/>
            </w14:solidFill>
          </w14:textFill>
        </w:rPr>
      </w:pPr>
    </w:p>
    <w:p w14:paraId="763598DF">
      <w:pPr>
        <w:ind w:firstLine="1084"/>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项目名称：</w:t>
      </w:r>
    </w:p>
    <w:p w14:paraId="0136A34B">
      <w:pPr>
        <w:ind w:firstLine="1084"/>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项目编号：</w:t>
      </w:r>
    </w:p>
    <w:p w14:paraId="28232686">
      <w:pPr>
        <w:ind w:firstLine="1084"/>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投标人名称：</w:t>
      </w:r>
      <w:r>
        <w:rPr>
          <w:rFonts w:hint="eastAsia" w:ascii="宋体" w:hAnsi="宋体"/>
          <w:b/>
          <w:color w:val="000000" w:themeColor="text1"/>
          <w:sz w:val="36"/>
          <w:szCs w:val="21"/>
          <w:u w:val="single"/>
          <w14:textFill>
            <w14:solidFill>
              <w14:schemeClr w14:val="tx1"/>
            </w14:solidFill>
          </w14:textFill>
        </w:rPr>
        <w:t>（加盖CA电子公章）</w:t>
      </w:r>
    </w:p>
    <w:p w14:paraId="6789B7F2">
      <w:pPr>
        <w:ind w:firstLine="1084"/>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日期：</w:t>
      </w:r>
    </w:p>
    <w:p w14:paraId="2962BF61">
      <w:pPr>
        <w:spacing w:line="440" w:lineRule="exact"/>
        <w:jc w:val="center"/>
        <w:rPr>
          <w:rFonts w:hint="eastAsia" w:ascii="宋体" w:hAnsi="宋体"/>
          <w:b/>
          <w:bCs/>
          <w:color w:val="000000" w:themeColor="text1"/>
          <w:sz w:val="32"/>
          <w:szCs w:val="32"/>
          <w14:textFill>
            <w14:solidFill>
              <w14:schemeClr w14:val="tx1"/>
            </w14:solidFill>
          </w14:textFill>
        </w:rPr>
      </w:pPr>
    </w:p>
    <w:p w14:paraId="4C54C328">
      <w:pPr>
        <w:spacing w:line="440" w:lineRule="exact"/>
        <w:rPr>
          <w:rFonts w:hint="eastAsia" w:ascii="宋体" w:hAnsi="宋体"/>
          <w:color w:val="000000" w:themeColor="text1"/>
          <w:szCs w:val="21"/>
          <w14:textFill>
            <w14:solidFill>
              <w14:schemeClr w14:val="tx1"/>
            </w14:solidFill>
          </w14:textFill>
        </w:rPr>
      </w:pPr>
    </w:p>
    <w:p w14:paraId="6ACFA3FB">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br w:type="page" w:clear="all"/>
      </w:r>
      <w:bookmarkEnd w:id="166"/>
      <w:bookmarkEnd w:id="167"/>
      <w:bookmarkEnd w:id="180"/>
      <w:bookmarkEnd w:id="181"/>
      <w:bookmarkEnd w:id="182"/>
      <w:r>
        <w:rPr>
          <w:rFonts w:hint="eastAsia" w:ascii="宋体" w:hAnsi="宋体" w:cs="宋体"/>
          <w:i/>
          <w:color w:val="000000" w:themeColor="text1"/>
          <w:sz w:val="28"/>
          <w:szCs w:val="28"/>
          <w:u w:val="single"/>
          <w14:textFill>
            <w14:solidFill>
              <w14:schemeClr w14:val="tx1"/>
            </w14:solidFill>
          </w14:textFill>
        </w:rPr>
        <w:t>一、法人或者其他组织的营业执照等证明文件，自然人的身份证明</w:t>
      </w:r>
    </w:p>
    <w:p w14:paraId="3AD2B4D7">
      <w:pPr>
        <w:spacing w:line="360" w:lineRule="auto"/>
        <w:rPr>
          <w:rFonts w:hint="eastAsia" w:ascii="宋体" w:hAnsi="宋体" w:cs="宋体"/>
          <w:color w:val="000000" w:themeColor="text1"/>
          <w14:textFill>
            <w14:solidFill>
              <w14:schemeClr w14:val="tx1"/>
            </w14:solidFill>
          </w14:textFill>
        </w:rPr>
      </w:pPr>
    </w:p>
    <w:p w14:paraId="4070823C">
      <w:pPr>
        <w:spacing w:line="360" w:lineRule="auto"/>
        <w:rPr>
          <w:rFonts w:hint="eastAsia" w:ascii="宋体" w:hAnsi="宋体" w:cs="宋体"/>
          <w:color w:val="000000" w:themeColor="text1"/>
          <w14:textFill>
            <w14:solidFill>
              <w14:schemeClr w14:val="tx1"/>
            </w14:solidFill>
          </w14:textFill>
        </w:rPr>
      </w:pPr>
    </w:p>
    <w:p w14:paraId="37410161">
      <w:pPr>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color w:val="000000" w:themeColor="text1"/>
          <w:sz w:val="36"/>
          <w:u w:val="single"/>
          <w14:textFill>
            <w14:solidFill>
              <w14:schemeClr w14:val="tx1"/>
            </w14:solidFill>
          </w14:textFill>
        </w:rPr>
        <w:br w:type="page" w:clear="all"/>
      </w:r>
      <w:r>
        <w:rPr>
          <w:rFonts w:hint="eastAsia" w:ascii="宋体" w:hAnsi="宋体" w:cs="宋体"/>
          <w:i/>
          <w:color w:val="000000" w:themeColor="text1"/>
          <w:sz w:val="28"/>
          <w:szCs w:val="28"/>
          <w:u w:val="single"/>
          <w14:textFill>
            <w14:solidFill>
              <w14:schemeClr w14:val="tx1"/>
            </w14:solidFill>
          </w14:textFill>
        </w:rPr>
        <w:t>二、具有良好的商业信誉和健全的财务会计制度</w:t>
      </w:r>
    </w:p>
    <w:p w14:paraId="53DEA7F3">
      <w:pPr>
        <w:spacing w:line="360" w:lineRule="auto"/>
        <w:rPr>
          <w:rFonts w:hint="eastAsia" w:ascii="宋体" w:hAnsi="宋体" w:cs="宋体"/>
          <w:color w:val="000000" w:themeColor="text1"/>
          <w14:textFill>
            <w14:solidFill>
              <w14:schemeClr w14:val="tx1"/>
            </w14:solidFill>
          </w14:textFill>
        </w:rPr>
      </w:pPr>
    </w:p>
    <w:p w14:paraId="1FDDFA95">
      <w:pPr>
        <w:spacing w:line="360" w:lineRule="auto"/>
        <w:rPr>
          <w:rFonts w:hint="eastAsia" w:ascii="宋体" w:hAnsi="宋体" w:cs="宋体"/>
          <w:color w:val="000000" w:themeColor="text1"/>
          <w14:textFill>
            <w14:solidFill>
              <w14:schemeClr w14:val="tx1"/>
            </w14:solidFill>
          </w14:textFill>
        </w:rPr>
      </w:pPr>
    </w:p>
    <w:p w14:paraId="21E2EFC9">
      <w:pPr>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iCs/>
          <w:color w:val="000000" w:themeColor="text1"/>
          <w:sz w:val="36"/>
          <w:u w:val="single"/>
          <w14:textFill>
            <w14:solidFill>
              <w14:schemeClr w14:val="tx1"/>
            </w14:solidFill>
          </w14:textFill>
        </w:rPr>
        <w:br w:type="page" w:clear="all"/>
      </w:r>
      <w:r>
        <w:rPr>
          <w:rFonts w:hint="eastAsia" w:ascii="宋体" w:hAnsi="宋体" w:cs="宋体"/>
          <w:i/>
          <w:color w:val="000000" w:themeColor="text1"/>
          <w:sz w:val="28"/>
          <w:szCs w:val="28"/>
          <w:u w:val="single"/>
          <w14:textFill>
            <w14:solidFill>
              <w14:schemeClr w14:val="tx1"/>
            </w14:solidFill>
          </w14:textFill>
        </w:rPr>
        <w:t>三、依法缴纳税收和社会保障资金的相关材料</w:t>
      </w:r>
    </w:p>
    <w:p w14:paraId="1A15BAB4">
      <w:pPr>
        <w:spacing w:line="360" w:lineRule="auto"/>
        <w:rPr>
          <w:rFonts w:hint="eastAsia" w:ascii="宋体" w:hAnsi="宋体" w:cs="宋体"/>
          <w:color w:val="000000" w:themeColor="text1"/>
          <w14:textFill>
            <w14:solidFill>
              <w14:schemeClr w14:val="tx1"/>
            </w14:solidFill>
          </w14:textFill>
        </w:rPr>
      </w:pPr>
    </w:p>
    <w:p w14:paraId="4EA84635">
      <w:pPr>
        <w:spacing w:line="360" w:lineRule="auto"/>
        <w:rPr>
          <w:rFonts w:hint="eastAsia" w:ascii="宋体" w:hAnsi="宋体" w:cs="宋体"/>
          <w:color w:val="000000" w:themeColor="text1"/>
          <w14:textFill>
            <w14:solidFill>
              <w14:schemeClr w14:val="tx1"/>
            </w14:solidFill>
          </w14:textFill>
        </w:rPr>
      </w:pPr>
    </w:p>
    <w:p w14:paraId="289A4FA6">
      <w:pPr>
        <w:spacing w:line="360" w:lineRule="auto"/>
        <w:jc w:val="cente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财务状况报告及税收、社会保障资金缴纳情况承诺函</w:t>
      </w:r>
    </w:p>
    <w:p w14:paraId="42EE5877">
      <w:pPr>
        <w:spacing w:line="360" w:lineRule="auto"/>
        <w:jc w:val="left"/>
        <w:rPr>
          <w:rFonts w:hint="eastAsia" w:ascii="宋体" w:hAnsi="宋体" w:cs="宋体"/>
          <w:color w:val="000000" w:themeColor="text1"/>
          <w:szCs w:val="24"/>
          <w14:textFill>
            <w14:solidFill>
              <w14:schemeClr w14:val="tx1"/>
            </w14:solidFill>
          </w14:textFill>
        </w:rPr>
      </w:pPr>
    </w:p>
    <w:p w14:paraId="4CC499CF">
      <w:pPr>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i/>
          <w:color w:val="000000" w:themeColor="text1"/>
          <w:sz w:val="24"/>
          <w:szCs w:val="24"/>
          <w:u w:val="single"/>
          <w14:textFill>
            <w14:solidFill>
              <w14:schemeClr w14:val="tx1"/>
            </w14:solidFill>
          </w14:textFill>
        </w:rPr>
        <w:t>招标人名称</w:t>
      </w:r>
    </w:p>
    <w:p w14:paraId="2D4D661A">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我方</w:t>
      </w:r>
      <w:r>
        <w:rPr>
          <w:rFonts w:hint="eastAsia" w:ascii="宋体" w:hAnsi="宋体" w:cs="宋体"/>
          <w:i/>
          <w:color w:val="000000" w:themeColor="text1"/>
          <w:sz w:val="24"/>
          <w:szCs w:val="24"/>
          <w:u w:val="single"/>
          <w14:textFill>
            <w14:solidFill>
              <w14:schemeClr w14:val="tx1"/>
            </w14:solidFill>
          </w14:textFill>
        </w:rPr>
        <w:t>投标人名称</w:t>
      </w:r>
      <w:r>
        <w:rPr>
          <w:rFonts w:hint="eastAsia" w:ascii="宋体" w:hAnsi="宋体" w:cs="宋体"/>
          <w:color w:val="000000" w:themeColor="text1"/>
          <w:sz w:val="24"/>
          <w:szCs w:val="24"/>
          <w14:textFill>
            <w14:solidFill>
              <w14:schemeClr w14:val="tx1"/>
            </w14:solidFill>
          </w14:textFill>
        </w:rPr>
        <w:t>参加</w:t>
      </w:r>
      <w:r>
        <w:rPr>
          <w:rFonts w:hint="eastAsia" w:ascii="宋体" w:hAnsi="宋体" w:cs="宋体"/>
          <w:i/>
          <w:color w:val="000000" w:themeColor="text1"/>
          <w:sz w:val="24"/>
          <w:szCs w:val="24"/>
          <w:u w:val="single"/>
          <w14:textFill>
            <w14:solidFill>
              <w14:schemeClr w14:val="tx1"/>
            </w14:solidFill>
          </w14:textFill>
        </w:rPr>
        <w:t>项目名称</w:t>
      </w:r>
      <w:r>
        <w:rPr>
          <w:rFonts w:hint="eastAsia" w:ascii="宋体" w:hAnsi="宋体" w:cs="宋体"/>
          <w:color w:val="000000" w:themeColor="text1"/>
          <w:sz w:val="24"/>
          <w:szCs w:val="24"/>
          <w14:textFill>
            <w14:solidFill>
              <w14:schemeClr w14:val="tx1"/>
            </w14:solidFill>
          </w14:textFill>
        </w:rPr>
        <w:t>（项目编号：</w:t>
      </w:r>
      <w:r>
        <w:rPr>
          <w:rFonts w:hint="eastAsia" w:ascii="宋体" w:hAnsi="宋体" w:cs="宋体"/>
          <w:i/>
          <w:color w:val="000000" w:themeColor="text1"/>
          <w:sz w:val="24"/>
          <w:szCs w:val="24"/>
          <w:u w:val="single"/>
          <w14:textFill>
            <w14:solidFill>
              <w14:schemeClr w14:val="tx1"/>
            </w14:solidFill>
          </w14:textFill>
        </w:rPr>
        <w:t>项目编号</w:t>
      </w:r>
      <w:r>
        <w:rPr>
          <w:rFonts w:hint="eastAsia" w:ascii="宋体" w:hAnsi="宋体" w:cs="宋体"/>
          <w:color w:val="000000" w:themeColor="text1"/>
          <w:sz w:val="24"/>
          <w:szCs w:val="24"/>
          <w14:textFill>
            <w14:solidFill>
              <w14:schemeClr w14:val="tx1"/>
            </w14:solidFill>
          </w14:textFill>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D52CD5D">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（1）具有良好的商业信誉和健全的财务会计制度（财务状况报告）；</w:t>
      </w:r>
    </w:p>
    <w:p w14:paraId="3C9D1B10">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（2）有依法缴纳税收和社会保障资金的良好记录。</w:t>
      </w:r>
    </w:p>
    <w:p w14:paraId="72240A14">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我方对上述承诺的真实性负责，如有虚假，将依法承担提供虚假材料谋取中标、成交责任，同时同意有关主管部门将相关失信信息记入公共信用信息系统并在相关政府门户网站公开。</w:t>
      </w:r>
    </w:p>
    <w:p w14:paraId="6BA3963A">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特此承诺</w:t>
      </w:r>
    </w:p>
    <w:p w14:paraId="7DC71DBC">
      <w:pPr>
        <w:spacing w:line="360" w:lineRule="auto"/>
        <w:ind w:firstLine="480"/>
        <w:jc w:val="left"/>
        <w:rPr>
          <w:rFonts w:hint="eastAsia" w:ascii="宋体" w:hAnsi="宋体" w:cs="宋体"/>
          <w:color w:val="000000" w:themeColor="text1"/>
          <w:sz w:val="24"/>
          <w:szCs w:val="24"/>
          <w14:textFill>
            <w14:solidFill>
              <w14:schemeClr w14:val="tx1"/>
            </w14:solidFill>
          </w14:textFill>
        </w:rPr>
      </w:pPr>
    </w:p>
    <w:p w14:paraId="5ACCC070">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投标人（公章）：</w:t>
      </w:r>
    </w:p>
    <w:p w14:paraId="7BFF6E5D">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法定代表人（单位负责人）或委托代理人（签名或签章）：</w:t>
      </w:r>
    </w:p>
    <w:p w14:paraId="1139D249">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日期：年月日</w:t>
      </w:r>
    </w:p>
    <w:p w14:paraId="7244EE98">
      <w:pPr>
        <w:spacing w:line="360" w:lineRule="auto"/>
        <w:rPr>
          <w:rFonts w:hint="eastAsia" w:ascii="宋体" w:hAnsi="宋体" w:cs="宋体"/>
          <w:color w:val="000000" w:themeColor="text1"/>
          <w14:textFill>
            <w14:solidFill>
              <w14:schemeClr w14:val="tx1"/>
            </w14:solidFill>
          </w14:textFill>
        </w:rPr>
      </w:pPr>
    </w:p>
    <w:p w14:paraId="59822046">
      <w:pPr>
        <w:spacing w:line="360" w:lineRule="auto"/>
        <w:rPr>
          <w:rFonts w:hint="eastAsia" w:ascii="宋体" w:hAnsi="宋体" w:cs="宋体"/>
          <w:color w:val="000000" w:themeColor="text1"/>
          <w14:textFill>
            <w14:solidFill>
              <w14:schemeClr w14:val="tx1"/>
            </w14:solidFill>
          </w14:textFill>
        </w:rPr>
      </w:pPr>
    </w:p>
    <w:p w14:paraId="701CFC5C">
      <w:pPr>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iCs/>
          <w:color w:val="000000" w:themeColor="text1"/>
          <w:sz w:val="36"/>
          <w:u w:val="single"/>
          <w14:textFill>
            <w14:solidFill>
              <w14:schemeClr w14:val="tx1"/>
            </w14:solidFill>
          </w14:textFill>
        </w:rPr>
        <w:br w:type="page" w:clear="all"/>
      </w:r>
      <w:r>
        <w:rPr>
          <w:rFonts w:hint="eastAsia" w:ascii="宋体" w:hAnsi="宋体" w:cs="宋体"/>
          <w:i/>
          <w:color w:val="000000" w:themeColor="text1"/>
          <w:sz w:val="28"/>
          <w:szCs w:val="28"/>
          <w:u w:val="single"/>
          <w14:textFill>
            <w14:solidFill>
              <w14:schemeClr w14:val="tx1"/>
            </w14:solidFill>
          </w14:textFill>
        </w:rPr>
        <w:t>四、具备履行合同所必需的设备和专业技术能力的声明及证明材料</w:t>
      </w:r>
    </w:p>
    <w:p w14:paraId="230A5AF2">
      <w:pPr>
        <w:spacing w:line="360" w:lineRule="auto"/>
        <w:jc w:val="center"/>
        <w:rPr>
          <w:rFonts w:hint="eastAsia" w:ascii="宋体" w:hAnsi="宋体" w:cs="宋体"/>
          <w:bCs/>
          <w:color w:val="000000" w:themeColor="text1"/>
          <w:sz w:val="36"/>
          <w:szCs w:val="28"/>
          <w14:textFill>
            <w14:solidFill>
              <w14:schemeClr w14:val="tx1"/>
            </w14:solidFill>
          </w14:textFill>
        </w:rPr>
      </w:pPr>
    </w:p>
    <w:p w14:paraId="5F4FC3C3">
      <w:pPr>
        <w:spacing w:line="360" w:lineRule="auto"/>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具备履行合同所必需的设备和专业技术能力的声明</w:t>
      </w:r>
    </w:p>
    <w:p w14:paraId="1216057B">
      <w:pPr>
        <w:spacing w:line="360" w:lineRule="auto"/>
        <w:ind w:firstLine="480"/>
        <w:jc w:val="left"/>
        <w:rPr>
          <w:rFonts w:hint="eastAsia" w:ascii="宋体" w:hAnsi="宋体" w:cs="宋体"/>
          <w:color w:val="000000" w:themeColor="text1"/>
          <w:sz w:val="24"/>
          <w:szCs w:val="24"/>
          <w14:textFill>
            <w14:solidFill>
              <w14:schemeClr w14:val="tx1"/>
            </w14:solidFill>
          </w14:textFill>
        </w:rPr>
      </w:pPr>
    </w:p>
    <w:p w14:paraId="71DCF9E6">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456BF1ED">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主要设备有：。（须附证明材料）</w:t>
      </w:r>
    </w:p>
    <w:p w14:paraId="592CF739">
      <w:pPr>
        <w:spacing w:line="360" w:lineRule="auto"/>
        <w:jc w:val="left"/>
        <w:rPr>
          <w:rFonts w:hint="eastAsia" w:ascii="宋体" w:hAnsi="宋体" w:cs="宋体"/>
          <w:color w:val="000000" w:themeColor="text1"/>
          <w:sz w:val="24"/>
          <w:szCs w:val="24"/>
          <w14:textFill>
            <w14:solidFill>
              <w14:schemeClr w14:val="tx1"/>
            </w14:solidFill>
          </w14:textFill>
        </w:rPr>
      </w:pPr>
    </w:p>
    <w:p w14:paraId="2D1535A7">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主要专业技术能力有：。（须附证明材料）</w:t>
      </w:r>
    </w:p>
    <w:p w14:paraId="21B80962">
      <w:pPr>
        <w:spacing w:line="360" w:lineRule="auto"/>
        <w:ind w:firstLine="480"/>
        <w:rPr>
          <w:rFonts w:hint="eastAsia" w:ascii="宋体" w:hAnsi="宋体" w:cs="宋体"/>
          <w:color w:val="000000" w:themeColor="text1"/>
          <w:sz w:val="24"/>
          <w:szCs w:val="24"/>
          <w14:textFill>
            <w14:solidFill>
              <w14:schemeClr w14:val="tx1"/>
            </w14:solidFill>
          </w14:textFill>
        </w:rPr>
      </w:pPr>
    </w:p>
    <w:p w14:paraId="2C4CB38B">
      <w:pPr>
        <w:spacing w:line="360" w:lineRule="auto"/>
        <w:ind w:firstLine="480"/>
        <w:rPr>
          <w:rFonts w:hint="eastAsia" w:ascii="宋体" w:hAnsi="宋体" w:cs="宋体"/>
          <w:color w:val="000000" w:themeColor="text1"/>
          <w:sz w:val="24"/>
          <w:szCs w:val="24"/>
          <w14:textFill>
            <w14:solidFill>
              <w14:schemeClr w14:val="tx1"/>
            </w14:solidFill>
          </w14:textFill>
        </w:rPr>
      </w:pPr>
    </w:p>
    <w:p w14:paraId="1590A527">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投标人（盖章）：</w:t>
      </w:r>
    </w:p>
    <w:p w14:paraId="691C91D9">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法定代表人（单位负责人）或委托代理人（签字或盖章）：</w:t>
      </w:r>
    </w:p>
    <w:p w14:paraId="08141305">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日期：年月日</w:t>
      </w:r>
    </w:p>
    <w:p w14:paraId="052A4A7C">
      <w:pPr>
        <w:spacing w:line="360" w:lineRule="auto"/>
        <w:jc w:val="left"/>
        <w:rPr>
          <w:rFonts w:hint="eastAsia" w:ascii="宋体" w:hAnsi="宋体" w:cs="宋体"/>
          <w:color w:val="000000" w:themeColor="text1"/>
          <w:szCs w:val="24"/>
          <w14:textFill>
            <w14:solidFill>
              <w14:schemeClr w14:val="tx1"/>
            </w14:solidFill>
          </w14:textFill>
        </w:rPr>
      </w:pPr>
    </w:p>
    <w:p w14:paraId="42783C35">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附主要设备和主要专业技术能力的证明材料如下：</w:t>
      </w:r>
    </w:p>
    <w:p w14:paraId="19AA89D5">
      <w:pPr>
        <w:spacing w:line="360" w:lineRule="auto"/>
        <w:jc w:val="left"/>
        <w:rPr>
          <w:rFonts w:hint="eastAsia" w:ascii="宋体" w:hAnsi="宋体" w:cs="宋体"/>
          <w:color w:val="000000" w:themeColor="text1"/>
          <w:sz w:val="24"/>
          <w:szCs w:val="24"/>
          <w14:textFill>
            <w14:solidFill>
              <w14:schemeClr w14:val="tx1"/>
            </w14:solidFill>
          </w14:textFill>
        </w:rPr>
      </w:pPr>
    </w:p>
    <w:p w14:paraId="3E767C48">
      <w:pPr>
        <w:spacing w:line="360" w:lineRule="auto"/>
        <w:jc w:val="left"/>
        <w:rPr>
          <w:rFonts w:hint="eastAsia" w:ascii="宋体" w:hAnsi="宋体" w:cs="宋体"/>
          <w:color w:val="000000" w:themeColor="text1"/>
          <w:sz w:val="24"/>
          <w:szCs w:val="24"/>
          <w14:textFill>
            <w14:solidFill>
              <w14:schemeClr w14:val="tx1"/>
            </w14:solidFill>
          </w14:textFill>
        </w:rPr>
      </w:pPr>
    </w:p>
    <w:p w14:paraId="628AB012">
      <w:pPr>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iCs/>
          <w:color w:val="000000" w:themeColor="text1"/>
          <w:sz w:val="36"/>
          <w:u w:val="single"/>
          <w14:textFill>
            <w14:solidFill>
              <w14:schemeClr w14:val="tx1"/>
            </w14:solidFill>
          </w14:textFill>
        </w:rPr>
        <w:br w:type="page" w:clear="all"/>
      </w:r>
      <w:r>
        <w:rPr>
          <w:rFonts w:hint="eastAsia" w:ascii="宋体" w:hAnsi="宋体" w:cs="宋体"/>
          <w:i/>
          <w:color w:val="000000" w:themeColor="text1"/>
          <w:sz w:val="28"/>
          <w:szCs w:val="28"/>
          <w:u w:val="single"/>
          <w14:textFill>
            <w14:solidFill>
              <w14:schemeClr w14:val="tx1"/>
            </w14:solidFill>
          </w14:textFill>
        </w:rPr>
        <w:t>五、参加政府采购活动前3年内在经营活动中没有重大违法记录的书面声明</w:t>
      </w:r>
    </w:p>
    <w:p w14:paraId="7D917B2D">
      <w:pPr>
        <w:spacing w:line="360" w:lineRule="auto"/>
        <w:jc w:val="center"/>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Cs/>
          <w:color w:val="000000" w:themeColor="text1"/>
          <w:sz w:val="36"/>
          <w:szCs w:val="28"/>
          <w14:textFill>
            <w14:solidFill>
              <w14:schemeClr w14:val="tx1"/>
            </w14:solidFill>
          </w14:textFill>
        </w:rPr>
        <w:t>声明</w:t>
      </w:r>
    </w:p>
    <w:p w14:paraId="512F68FB">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我单位郑重声明：参加本次政府采购活动前3年内，我单位在经营活动中没有因违法经营受到刑事处罚或者责令停产停业、吊销许可证或者执照、较大数额罚款等行政处罚。</w:t>
      </w:r>
    </w:p>
    <w:p w14:paraId="22DB33EF">
      <w:pPr>
        <w:spacing w:line="360" w:lineRule="auto"/>
        <w:ind w:firstLine="480"/>
        <w:jc w:val="left"/>
        <w:rPr>
          <w:rFonts w:hint="eastAsia" w:ascii="宋体" w:hAnsi="宋体" w:cs="宋体"/>
          <w:color w:val="000000" w:themeColor="text1"/>
          <w:sz w:val="24"/>
          <w:szCs w:val="24"/>
          <w14:textFill>
            <w14:solidFill>
              <w14:schemeClr w14:val="tx1"/>
            </w14:solidFill>
          </w14:textFill>
        </w:rPr>
      </w:pPr>
    </w:p>
    <w:p w14:paraId="4E642DFE">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投标人（盖章）：</w:t>
      </w:r>
    </w:p>
    <w:p w14:paraId="74453EC4">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法定代表人（单位负责人）或委托代理人（签字或盖章）：</w:t>
      </w:r>
    </w:p>
    <w:p w14:paraId="1F85C8B6">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日期：年月日</w:t>
      </w:r>
    </w:p>
    <w:p w14:paraId="6A71A9FC">
      <w:pPr>
        <w:spacing w:line="360" w:lineRule="auto"/>
        <w:rPr>
          <w:rFonts w:hint="eastAsia" w:ascii="宋体" w:hAnsi="宋体" w:cs="宋体"/>
          <w:color w:val="000000" w:themeColor="text1"/>
          <w14:textFill>
            <w14:solidFill>
              <w14:schemeClr w14:val="tx1"/>
            </w14:solidFill>
          </w14:textFill>
        </w:rPr>
      </w:pPr>
    </w:p>
    <w:p w14:paraId="25930768">
      <w:pPr>
        <w:spacing w:line="360" w:lineRule="auto"/>
        <w:rPr>
          <w:rFonts w:hint="eastAsia" w:ascii="宋体" w:hAnsi="宋体" w:cs="宋体"/>
          <w:color w:val="000000" w:themeColor="text1"/>
          <w14:textFill>
            <w14:solidFill>
              <w14:schemeClr w14:val="tx1"/>
            </w14:solidFill>
          </w14:textFill>
        </w:rPr>
      </w:pPr>
    </w:p>
    <w:p w14:paraId="148FF8FA">
      <w:pPr>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iCs/>
          <w:color w:val="000000" w:themeColor="text1"/>
          <w:sz w:val="36"/>
          <w:u w:val="single"/>
          <w14:textFill>
            <w14:solidFill>
              <w14:schemeClr w14:val="tx1"/>
            </w14:solidFill>
          </w14:textFill>
        </w:rPr>
        <w:br w:type="page" w:clear="all"/>
      </w:r>
      <w:r>
        <w:rPr>
          <w:rFonts w:hint="eastAsia" w:ascii="宋体" w:hAnsi="宋体" w:cs="宋体"/>
          <w:i/>
          <w:color w:val="000000" w:themeColor="text1"/>
          <w:sz w:val="28"/>
          <w:szCs w:val="28"/>
          <w:u w:val="single"/>
          <w14:textFill>
            <w14:solidFill>
              <w14:schemeClr w14:val="tx1"/>
            </w14:solidFill>
          </w14:textFill>
        </w:rPr>
        <w:t>六、法律、行政法规规定的其他条件的证明文件</w:t>
      </w:r>
    </w:p>
    <w:p w14:paraId="724F3A47">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（如有，请按要求提供）</w:t>
      </w:r>
    </w:p>
    <w:p w14:paraId="647B9D1E">
      <w:pPr>
        <w:spacing w:line="360" w:lineRule="auto"/>
        <w:rPr>
          <w:rFonts w:hint="eastAsia" w:ascii="宋体" w:hAnsi="宋体" w:cs="宋体"/>
          <w:color w:val="000000" w:themeColor="text1"/>
          <w14:textFill>
            <w14:solidFill>
              <w14:schemeClr w14:val="tx1"/>
            </w14:solidFill>
          </w14:textFill>
        </w:rPr>
      </w:pPr>
    </w:p>
    <w:p w14:paraId="75477451">
      <w:pPr>
        <w:spacing w:line="360" w:lineRule="auto"/>
        <w:rPr>
          <w:rFonts w:hint="eastAsia" w:ascii="宋体" w:hAnsi="宋体" w:cs="宋体"/>
          <w:color w:val="000000" w:themeColor="text1"/>
          <w14:textFill>
            <w14:solidFill>
              <w14:schemeClr w14:val="tx1"/>
            </w14:solidFill>
          </w14:textFill>
        </w:rPr>
      </w:pPr>
    </w:p>
    <w:p w14:paraId="51464142">
      <w:pPr>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iCs/>
          <w:color w:val="000000" w:themeColor="text1"/>
          <w:sz w:val="36"/>
          <w:u w:val="single"/>
          <w14:textFill>
            <w14:solidFill>
              <w14:schemeClr w14:val="tx1"/>
            </w14:solidFill>
          </w14:textFill>
        </w:rPr>
        <w:br w:type="page" w:clear="all"/>
      </w:r>
      <w:r>
        <w:rPr>
          <w:rFonts w:hint="eastAsia" w:ascii="宋体" w:hAnsi="宋体" w:cs="宋体"/>
          <w:i/>
          <w:color w:val="000000" w:themeColor="text1"/>
          <w:sz w:val="28"/>
          <w:szCs w:val="28"/>
          <w:u w:val="single"/>
          <w14:textFill>
            <w14:solidFill>
              <w14:schemeClr w14:val="tx1"/>
            </w14:solidFill>
          </w14:textFill>
        </w:rPr>
        <w:t>七、落实政府采购政策需满足的资格要求的证明文件</w:t>
      </w:r>
    </w:p>
    <w:p w14:paraId="0F42684E">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（如有，请按要求提供）</w:t>
      </w:r>
    </w:p>
    <w:p w14:paraId="01A83E53">
      <w:pPr>
        <w:spacing w:line="360" w:lineRule="auto"/>
        <w:rPr>
          <w:rFonts w:hint="eastAsia" w:ascii="宋体" w:hAnsi="宋体" w:cs="宋体"/>
          <w:color w:val="000000" w:themeColor="text1"/>
          <w14:textFill>
            <w14:solidFill>
              <w14:schemeClr w14:val="tx1"/>
            </w14:solidFill>
          </w14:textFill>
        </w:rPr>
      </w:pPr>
    </w:p>
    <w:p w14:paraId="2E6B9C4B">
      <w:pPr>
        <w:spacing w:line="360" w:lineRule="auto"/>
        <w:rPr>
          <w:rFonts w:hint="eastAsia" w:ascii="宋体" w:hAnsi="宋体" w:cs="宋体"/>
          <w:color w:val="000000" w:themeColor="text1"/>
          <w14:textFill>
            <w14:solidFill>
              <w14:schemeClr w14:val="tx1"/>
            </w14:solidFill>
          </w14:textFill>
        </w:rPr>
      </w:pPr>
    </w:p>
    <w:p w14:paraId="7157AE2E">
      <w:pPr>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iCs/>
          <w:color w:val="000000" w:themeColor="text1"/>
          <w:sz w:val="36"/>
          <w:u w:val="single"/>
          <w14:textFill>
            <w14:solidFill>
              <w14:schemeClr w14:val="tx1"/>
            </w14:solidFill>
          </w14:textFill>
        </w:rPr>
        <w:br w:type="page" w:clear="all"/>
      </w:r>
      <w:r>
        <w:rPr>
          <w:rFonts w:hint="eastAsia" w:ascii="宋体" w:hAnsi="宋体" w:cs="宋体"/>
          <w:i/>
          <w:color w:val="000000" w:themeColor="text1"/>
          <w:sz w:val="28"/>
          <w:szCs w:val="28"/>
          <w:u w:val="single"/>
          <w14:textFill>
            <w14:solidFill>
              <w14:schemeClr w14:val="tx1"/>
            </w14:solidFill>
          </w14:textFill>
        </w:rPr>
        <w:t>八、特定资格要求的证明文件</w:t>
      </w:r>
    </w:p>
    <w:p w14:paraId="4BC2043F">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（如有，请按要求提供）</w:t>
      </w:r>
    </w:p>
    <w:p w14:paraId="6D29CBE9">
      <w:pPr>
        <w:spacing w:line="360" w:lineRule="auto"/>
        <w:rPr>
          <w:rFonts w:hint="eastAsia" w:ascii="宋体" w:hAnsi="宋体" w:cs="宋体"/>
          <w:color w:val="000000" w:themeColor="text1"/>
          <w14:textFill>
            <w14:solidFill>
              <w14:schemeClr w14:val="tx1"/>
            </w14:solidFill>
          </w14:textFill>
        </w:rPr>
      </w:pPr>
    </w:p>
    <w:p w14:paraId="7780A07A">
      <w:pPr>
        <w:rPr>
          <w:rFonts w:hint="eastAsia" w:ascii="宋体" w:hAnsi="宋体" w:cs="宋体"/>
          <w:i/>
          <w:iCs/>
          <w:color w:val="000000" w:themeColor="text1"/>
          <w:sz w:val="36"/>
          <w:u w:val="single"/>
          <w14:textFill>
            <w14:solidFill>
              <w14:schemeClr w14:val="tx1"/>
            </w14:solidFill>
          </w14:textFill>
        </w:rPr>
      </w:pPr>
      <w:r>
        <w:rPr>
          <w:rFonts w:hint="eastAsia" w:ascii="宋体" w:hAnsi="宋体" w:cs="宋体"/>
          <w:i/>
          <w:iCs/>
          <w:color w:val="000000" w:themeColor="text1"/>
          <w:sz w:val="36"/>
          <w:u w:val="single"/>
          <w14:textFill>
            <w14:solidFill>
              <w14:schemeClr w14:val="tx1"/>
            </w14:solidFill>
          </w14:textFill>
        </w:rPr>
        <w:br w:type="page" w:clear="all"/>
      </w:r>
    </w:p>
    <w:p w14:paraId="1C996BD2">
      <w:pPr>
        <w:keepNext/>
        <w:keepLines/>
        <w:spacing w:line="360" w:lineRule="auto"/>
        <w:jc w:val="left"/>
        <w:outlineLvl w:val="1"/>
        <w:rPr>
          <w:rFonts w:hint="eastAsia" w:ascii="宋体" w:hAnsi="宋体" w:cs="宋体"/>
          <w:i/>
          <w:iCs/>
          <w:color w:val="000000" w:themeColor="text1"/>
          <w:sz w:val="36"/>
          <w:u w:val="single"/>
          <w14:textFill>
            <w14:solidFill>
              <w14:schemeClr w14:val="tx1"/>
            </w14:solidFill>
          </w14:textFill>
        </w:rPr>
      </w:pPr>
      <w:r>
        <w:rPr>
          <w:rFonts w:hint="eastAsia" w:ascii="宋体" w:hAnsi="宋体" w:cs="宋体"/>
          <w:i/>
          <w:color w:val="000000" w:themeColor="text1"/>
          <w:sz w:val="28"/>
          <w:szCs w:val="28"/>
          <w:u w:val="single"/>
          <w14:textFill>
            <w14:solidFill>
              <w14:schemeClr w14:val="tx1"/>
            </w14:solidFill>
          </w14:textFill>
        </w:rPr>
        <w:t>九、授权委托书与法定代表人（单位负责人）身份证明</w:t>
      </w:r>
    </w:p>
    <w:p w14:paraId="44CA28BC">
      <w:pPr>
        <w:spacing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授权委托书</w:t>
      </w:r>
    </w:p>
    <w:p w14:paraId="1A899F26">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致：采购单位</w:t>
      </w:r>
    </w:p>
    <w:p w14:paraId="2CAB2908">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人（姓名）系（投标人名称）的法定代表人（单位负责人），现委托（姓名）为我方代理人。代理人根据授权，以我方名义签署、澄清确认、递交、撤回、修改（项目名称）项目（项目编号：）投标文件和处理有关事宜，其法律后果由我方承担。</w:t>
      </w:r>
    </w:p>
    <w:p w14:paraId="3D51E289">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委托期限：自本授权委托书签署之日起至响应有效期届满之日止。</w:t>
      </w:r>
    </w:p>
    <w:p w14:paraId="096C7851">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代理人无转委托权。</w:t>
      </w:r>
      <w:r>
        <w:rPr>
          <w:rFonts w:hint="eastAsia" w:ascii="宋体" w:hAnsi="宋体" w:cs="宋体"/>
          <w:color w:val="000000" w:themeColor="text1"/>
          <w:sz w:val="24"/>
          <w:szCs w:val="24"/>
          <w14:textFill>
            <w14:solidFill>
              <w14:schemeClr w14:val="tx1"/>
            </w14:solidFill>
          </w14:textFill>
        </w:rPr>
        <w:br w:type="textWrapping" w:clear="all"/>
      </w:r>
    </w:p>
    <w:p w14:paraId="21506709">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投标人名称（加盖公章）：</w:t>
      </w:r>
    </w:p>
    <w:p w14:paraId="248D932C">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法定代表人（单位负责人）（签字、签章或印鉴）：</w:t>
      </w:r>
    </w:p>
    <w:p w14:paraId="6653BCB9">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委托代理人（签字/签章）：</w:t>
      </w:r>
    </w:p>
    <w:p w14:paraId="357BF8D3">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日期：年月日</w:t>
      </w:r>
    </w:p>
    <w:p w14:paraId="7005748A">
      <w:pPr>
        <w:spacing w:line="360" w:lineRule="auto"/>
        <w:ind w:firstLine="420"/>
        <w:jc w:val="left"/>
        <w:rPr>
          <w:rFonts w:hint="eastAsia" w:ascii="宋体" w:hAnsi="宋体" w:cs="宋体"/>
          <w:color w:val="000000" w:themeColor="text1"/>
          <w:sz w:val="24"/>
          <w:szCs w:val="24"/>
          <w14:textFill>
            <w14:solidFill>
              <w14:schemeClr w14:val="tx1"/>
            </w14:solidFill>
          </w14:textFill>
        </w:rPr>
      </w:pPr>
    </w:p>
    <w:p w14:paraId="1C54D3B0">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法定代表人（单位负责人）有效期内的身份证正反面电子件：</w:t>
      </w:r>
    </w:p>
    <w:tbl>
      <w:tblPr>
        <w:tblStyle w:val="4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CFCE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49BCA8">
            <w:pPr>
              <w:spacing w:line="360" w:lineRule="auto"/>
              <w:ind w:firstLine="420"/>
              <w:jc w:val="left"/>
              <w:rPr>
                <w:rFonts w:hint="eastAsia" w:ascii="宋体" w:hAnsi="宋体" w:cs="宋体"/>
                <w:color w:val="000000" w:themeColor="text1"/>
                <w:sz w:val="24"/>
                <w:szCs w:val="24"/>
                <w14:textFill>
                  <w14:solidFill>
                    <w14:schemeClr w14:val="tx1"/>
                  </w14:solidFill>
                </w14:textFill>
              </w:rPr>
            </w:pPr>
          </w:p>
          <w:p w14:paraId="10D7824E">
            <w:pPr>
              <w:spacing w:line="360" w:lineRule="auto"/>
              <w:ind w:firstLine="420"/>
              <w:jc w:val="left"/>
              <w:rPr>
                <w:rFonts w:hint="eastAsia" w:ascii="宋体" w:hAnsi="宋体" w:cs="宋体"/>
                <w:color w:val="000000" w:themeColor="text1"/>
                <w:sz w:val="24"/>
                <w:szCs w:val="24"/>
                <w14:textFill>
                  <w14:solidFill>
                    <w14:schemeClr w14:val="tx1"/>
                  </w14:solidFill>
                </w14:textFill>
              </w:rPr>
            </w:pPr>
          </w:p>
          <w:p w14:paraId="36AE94D2">
            <w:pPr>
              <w:spacing w:line="360" w:lineRule="auto"/>
              <w:ind w:firstLine="420"/>
              <w:jc w:val="left"/>
              <w:rPr>
                <w:rFonts w:hint="eastAsia" w:ascii="宋体" w:hAnsi="宋体" w:cs="宋体"/>
                <w:color w:val="000000" w:themeColor="text1"/>
                <w:sz w:val="24"/>
                <w:szCs w:val="24"/>
                <w14:textFill>
                  <w14:solidFill>
                    <w14:schemeClr w14:val="tx1"/>
                  </w14:solidFill>
                </w14:textFill>
              </w:rPr>
            </w:pPr>
          </w:p>
        </w:tc>
        <w:tc>
          <w:tcPr>
            <w:tcW w:w="4536" w:type="dxa"/>
          </w:tcPr>
          <w:p w14:paraId="629015C0">
            <w:pPr>
              <w:spacing w:line="360" w:lineRule="auto"/>
              <w:ind w:firstLine="420"/>
              <w:jc w:val="left"/>
              <w:rPr>
                <w:rFonts w:hint="eastAsia" w:ascii="宋体" w:hAnsi="宋体" w:cs="宋体"/>
                <w:color w:val="000000" w:themeColor="text1"/>
                <w:sz w:val="24"/>
                <w:szCs w:val="24"/>
                <w14:textFill>
                  <w14:solidFill>
                    <w14:schemeClr w14:val="tx1"/>
                  </w14:solidFill>
                </w14:textFill>
              </w:rPr>
            </w:pPr>
          </w:p>
          <w:p w14:paraId="4C9F624E">
            <w:pPr>
              <w:spacing w:line="360" w:lineRule="auto"/>
              <w:ind w:firstLine="420"/>
              <w:jc w:val="left"/>
              <w:rPr>
                <w:rFonts w:hint="eastAsia" w:ascii="宋体" w:hAnsi="宋体" w:cs="宋体"/>
                <w:color w:val="000000" w:themeColor="text1"/>
                <w:sz w:val="24"/>
                <w:szCs w:val="24"/>
                <w14:textFill>
                  <w14:solidFill>
                    <w14:schemeClr w14:val="tx1"/>
                  </w14:solidFill>
                </w14:textFill>
              </w:rPr>
            </w:pPr>
          </w:p>
          <w:p w14:paraId="198B3855">
            <w:pPr>
              <w:spacing w:line="360" w:lineRule="auto"/>
              <w:ind w:firstLine="420"/>
              <w:jc w:val="left"/>
              <w:rPr>
                <w:rFonts w:hint="eastAsia" w:ascii="宋体" w:hAnsi="宋体" w:cs="宋体"/>
                <w:color w:val="000000" w:themeColor="text1"/>
                <w:sz w:val="24"/>
                <w:szCs w:val="24"/>
                <w14:textFill>
                  <w14:solidFill>
                    <w14:schemeClr w14:val="tx1"/>
                  </w14:solidFill>
                </w14:textFill>
              </w:rPr>
            </w:pPr>
          </w:p>
        </w:tc>
      </w:tr>
    </w:tbl>
    <w:p w14:paraId="5C5971CB">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委托代理人有效期内的身份证正反面电子件：</w:t>
      </w:r>
    </w:p>
    <w:tbl>
      <w:tblPr>
        <w:tblStyle w:val="4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72E9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E6F5F05">
            <w:pPr>
              <w:spacing w:line="360" w:lineRule="auto"/>
              <w:ind w:firstLine="420"/>
              <w:jc w:val="left"/>
              <w:rPr>
                <w:rFonts w:hint="eastAsia" w:ascii="宋体" w:hAnsi="宋体" w:cs="宋体"/>
                <w:color w:val="000000" w:themeColor="text1"/>
                <w:sz w:val="24"/>
                <w:szCs w:val="24"/>
                <w14:textFill>
                  <w14:solidFill>
                    <w14:schemeClr w14:val="tx1"/>
                  </w14:solidFill>
                </w14:textFill>
              </w:rPr>
            </w:pPr>
          </w:p>
          <w:p w14:paraId="419D40B2">
            <w:pPr>
              <w:spacing w:line="360" w:lineRule="auto"/>
              <w:ind w:firstLine="420"/>
              <w:jc w:val="left"/>
              <w:rPr>
                <w:rFonts w:hint="eastAsia" w:ascii="宋体" w:hAnsi="宋体" w:cs="宋体"/>
                <w:color w:val="000000" w:themeColor="text1"/>
                <w:sz w:val="24"/>
                <w:szCs w:val="24"/>
                <w14:textFill>
                  <w14:solidFill>
                    <w14:schemeClr w14:val="tx1"/>
                  </w14:solidFill>
                </w14:textFill>
              </w:rPr>
            </w:pPr>
          </w:p>
          <w:p w14:paraId="48C7CC7F">
            <w:pPr>
              <w:spacing w:line="360" w:lineRule="auto"/>
              <w:ind w:firstLine="420"/>
              <w:jc w:val="left"/>
              <w:rPr>
                <w:rFonts w:hint="eastAsia" w:ascii="宋体" w:hAnsi="宋体" w:cs="宋体"/>
                <w:color w:val="000000" w:themeColor="text1"/>
                <w:sz w:val="24"/>
                <w:szCs w:val="24"/>
                <w14:textFill>
                  <w14:solidFill>
                    <w14:schemeClr w14:val="tx1"/>
                  </w14:solidFill>
                </w14:textFill>
              </w:rPr>
            </w:pPr>
          </w:p>
        </w:tc>
        <w:tc>
          <w:tcPr>
            <w:tcW w:w="4536" w:type="dxa"/>
          </w:tcPr>
          <w:p w14:paraId="33FD0A31">
            <w:pPr>
              <w:spacing w:line="360" w:lineRule="auto"/>
              <w:ind w:firstLine="420"/>
              <w:jc w:val="left"/>
              <w:rPr>
                <w:rFonts w:hint="eastAsia" w:ascii="宋体" w:hAnsi="宋体" w:cs="宋体"/>
                <w:color w:val="000000" w:themeColor="text1"/>
                <w:sz w:val="24"/>
                <w:szCs w:val="24"/>
                <w14:textFill>
                  <w14:solidFill>
                    <w14:schemeClr w14:val="tx1"/>
                  </w14:solidFill>
                </w14:textFill>
              </w:rPr>
            </w:pPr>
          </w:p>
          <w:p w14:paraId="0D7CBC6A">
            <w:pPr>
              <w:spacing w:line="360" w:lineRule="auto"/>
              <w:ind w:firstLine="420"/>
              <w:jc w:val="left"/>
              <w:rPr>
                <w:rFonts w:hint="eastAsia" w:ascii="宋体" w:hAnsi="宋体" w:cs="宋体"/>
                <w:color w:val="000000" w:themeColor="text1"/>
                <w:sz w:val="24"/>
                <w:szCs w:val="24"/>
                <w14:textFill>
                  <w14:solidFill>
                    <w14:schemeClr w14:val="tx1"/>
                  </w14:solidFill>
                </w14:textFill>
              </w:rPr>
            </w:pPr>
          </w:p>
          <w:p w14:paraId="0554F458">
            <w:pPr>
              <w:spacing w:line="360" w:lineRule="auto"/>
              <w:ind w:firstLine="420"/>
              <w:jc w:val="left"/>
              <w:rPr>
                <w:rFonts w:hint="eastAsia" w:ascii="宋体" w:hAnsi="宋体" w:cs="宋体"/>
                <w:color w:val="000000" w:themeColor="text1"/>
                <w:sz w:val="24"/>
                <w:szCs w:val="24"/>
                <w14:textFill>
                  <w14:solidFill>
                    <w14:schemeClr w14:val="tx1"/>
                  </w14:solidFill>
                </w14:textFill>
              </w:rPr>
            </w:pPr>
          </w:p>
        </w:tc>
      </w:tr>
    </w:tbl>
    <w:p w14:paraId="40B85EF2">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填报说明：</w:t>
      </w:r>
    </w:p>
    <w:p w14:paraId="7C1F4732">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1、若投标人为事业单位或其他组织或分支机构（仅当招标文件注明允许分支机构投标的），则法定代表人（单位负责人）处的签署人可为单位负责人。</w:t>
      </w:r>
    </w:p>
    <w:p w14:paraId="56FB4ED6">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2、若投标文件中全部签字之处均为法定代表人（单位负责人）本人签署，则可不提供本《授权委托书》，但须提供《法定代表人（单位负责人）身份证明》。</w:t>
      </w:r>
    </w:p>
    <w:p w14:paraId="020C4362">
      <w:pPr>
        <w:spacing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3、投标人为自然人的情形，可不提供本《授权委托书》。</w:t>
      </w:r>
    </w:p>
    <w:p w14:paraId="2B81BFB3">
      <w:pPr>
        <w:spacing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法定代表人（单位负责人）身份证明</w:t>
      </w:r>
    </w:p>
    <w:p w14:paraId="2BA3F93E">
      <w:pPr>
        <w:spacing w:line="360" w:lineRule="auto"/>
        <w:rPr>
          <w:rFonts w:hint="eastAsia" w:ascii="宋体" w:hAnsi="宋体" w:cs="宋体"/>
          <w:color w:val="000000" w:themeColor="text1"/>
          <w:sz w:val="20"/>
          <w:szCs w:val="20"/>
          <w14:textFill>
            <w14:solidFill>
              <w14:schemeClr w14:val="tx1"/>
            </w14:solidFill>
          </w14:textFill>
        </w:rPr>
      </w:pPr>
    </w:p>
    <w:p w14:paraId="4C9D8761">
      <w:pPr>
        <w:tabs>
          <w:tab w:val="left" w:pos="5580"/>
        </w:tabs>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采购单位</w:t>
      </w:r>
    </w:p>
    <w:p w14:paraId="525F757F">
      <w:pPr>
        <w:tabs>
          <w:tab w:val="left" w:pos="567"/>
          <w:tab w:val="left" w:pos="2412"/>
          <w:tab w:val="left" w:pos="3883"/>
          <w:tab w:val="left" w:pos="5352"/>
          <w:tab w:val="left" w:pos="6821"/>
        </w:tabs>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兹证明，</w:t>
      </w:r>
    </w:p>
    <w:p w14:paraId="332B5A23">
      <w:pPr>
        <w:tabs>
          <w:tab w:val="left" w:pos="567"/>
          <w:tab w:val="left" w:pos="1690"/>
          <w:tab w:val="left" w:pos="3400"/>
          <w:tab w:val="left" w:pos="5110"/>
          <w:tab w:val="left" w:pos="6821"/>
        </w:tabs>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姓名：性别：年龄：职务：</w:t>
      </w:r>
    </w:p>
    <w:p w14:paraId="212DB1C1">
      <w:pPr>
        <w:tabs>
          <w:tab w:val="left" w:pos="567"/>
          <w:tab w:val="left" w:pos="2412"/>
          <w:tab w:val="left" w:pos="3883"/>
          <w:tab w:val="left" w:pos="5352"/>
          <w:tab w:val="left" w:pos="6821"/>
        </w:tabs>
        <w:spacing w:line="360" w:lineRule="auto"/>
        <w:rPr>
          <w:rFonts w:hint="eastAsia" w:ascii="宋体" w:hAnsi="宋体" w:cs="宋体"/>
          <w:color w:val="000000" w:themeColor="text1"/>
          <w:sz w:val="24"/>
          <w:szCs w:val="24"/>
          <w14:textFill>
            <w14:solidFill>
              <w14:schemeClr w14:val="tx1"/>
            </w14:solidFill>
          </w14:textFill>
        </w:rPr>
      </w:pPr>
    </w:p>
    <w:p w14:paraId="71090610">
      <w:pPr>
        <w:tabs>
          <w:tab w:val="left" w:pos="2250"/>
          <w:tab w:val="left" w:pos="2412"/>
          <w:tab w:val="left" w:pos="3883"/>
          <w:tab w:val="left" w:pos="5352"/>
          <w:tab w:val="left" w:pos="6821"/>
        </w:tabs>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系</w:t>
      </w:r>
      <w:r>
        <w:rPr>
          <w:rFonts w:hint="eastAsia" w:ascii="宋体" w:hAnsi="宋体" w:cs="宋体"/>
          <w:color w:val="000000" w:themeColor="text1"/>
          <w:sz w:val="24"/>
          <w:szCs w:val="24"/>
          <w:u w:val="single"/>
          <w14:textFill>
            <w14:solidFill>
              <w14:schemeClr w14:val="tx1"/>
            </w14:solidFill>
          </w14:textFill>
        </w:rPr>
        <w:t>（投标人名称）</w:t>
      </w:r>
      <w:r>
        <w:rPr>
          <w:rFonts w:hint="eastAsia" w:ascii="宋体" w:hAnsi="宋体" w:cs="宋体"/>
          <w:color w:val="000000" w:themeColor="text1"/>
          <w:sz w:val="24"/>
          <w:szCs w:val="24"/>
          <w14:textFill>
            <w14:solidFill>
              <w14:schemeClr w14:val="tx1"/>
            </w14:solidFill>
          </w14:textFill>
        </w:rPr>
        <w:t>的法定代表人（单位负责人）。</w:t>
      </w:r>
    </w:p>
    <w:p w14:paraId="023A8290">
      <w:pPr>
        <w:tabs>
          <w:tab w:val="left" w:pos="567"/>
          <w:tab w:val="left" w:pos="2412"/>
          <w:tab w:val="left" w:pos="3883"/>
          <w:tab w:val="left" w:pos="5352"/>
          <w:tab w:val="left" w:pos="6821"/>
        </w:tabs>
        <w:spacing w:line="360" w:lineRule="auto"/>
        <w:rPr>
          <w:rFonts w:hint="eastAsia" w:ascii="宋体" w:hAnsi="宋体" w:cs="宋体"/>
          <w:color w:val="000000" w:themeColor="text1"/>
          <w:sz w:val="24"/>
          <w:szCs w:val="24"/>
          <w14:textFill>
            <w14:solidFill>
              <w14:schemeClr w14:val="tx1"/>
            </w14:solidFill>
          </w14:textFill>
        </w:rPr>
      </w:pPr>
    </w:p>
    <w:p w14:paraId="19AF6D69">
      <w:pPr>
        <w:tabs>
          <w:tab w:val="left" w:pos="567"/>
          <w:tab w:val="left" w:pos="2412"/>
          <w:tab w:val="left" w:pos="3883"/>
          <w:tab w:val="left" w:pos="5352"/>
          <w:tab w:val="left" w:pos="6821"/>
        </w:tabs>
        <w:spacing w:line="360" w:lineRule="auto"/>
        <w:rPr>
          <w:rFonts w:hint="eastAsia" w:ascii="宋体" w:hAnsi="宋体" w:cs="宋体"/>
          <w:color w:val="000000" w:themeColor="text1"/>
          <w:sz w:val="24"/>
          <w:szCs w:val="24"/>
          <w14:textFill>
            <w14:solidFill>
              <w14:schemeClr w14:val="tx1"/>
            </w14:solidFill>
          </w14:textFill>
        </w:rPr>
      </w:pPr>
    </w:p>
    <w:p w14:paraId="7A05173B">
      <w:pPr>
        <w:tabs>
          <w:tab w:val="left" w:pos="567"/>
        </w:tabs>
        <w:spacing w:line="360" w:lineRule="auto"/>
        <w:rPr>
          <w:rFonts w:hint="eastAsia" w:ascii="宋体" w:hAnsi="宋体" w:cs="宋体"/>
          <w:color w:val="000000" w:themeColor="text1"/>
          <w:spacing w:val="-3"/>
          <w:sz w:val="24"/>
          <w:szCs w:val="24"/>
          <w14:textFill>
            <w14:solidFill>
              <w14:schemeClr w14:val="tx1"/>
            </w14:solidFill>
          </w14:textFill>
        </w:rPr>
      </w:pPr>
      <w:r>
        <w:rPr>
          <w:rFonts w:hint="eastAsia" w:ascii="宋体" w:hAnsi="宋体" w:cs="宋体"/>
          <w:color w:val="000000" w:themeColor="text1"/>
          <w:spacing w:val="-3"/>
          <w:sz w:val="24"/>
          <w:szCs w:val="24"/>
          <w14:textFill>
            <w14:solidFill>
              <w14:schemeClr w14:val="tx1"/>
            </w14:solidFill>
          </w14:textFill>
        </w:rPr>
        <w:t>法</w:t>
      </w:r>
      <w:r>
        <w:rPr>
          <w:rFonts w:hint="eastAsia" w:ascii="宋体" w:hAnsi="宋体" w:cs="宋体"/>
          <w:color w:val="000000" w:themeColor="text1"/>
          <w:sz w:val="24"/>
          <w:szCs w:val="24"/>
          <w14:textFill>
            <w14:solidFill>
              <w14:schemeClr w14:val="tx1"/>
            </w14:solidFill>
          </w14:textFill>
        </w:rPr>
        <w:t>定</w:t>
      </w:r>
      <w:r>
        <w:rPr>
          <w:rFonts w:hint="eastAsia" w:ascii="宋体" w:hAnsi="宋体" w:cs="宋体"/>
          <w:color w:val="000000" w:themeColor="text1"/>
          <w:spacing w:val="-3"/>
          <w:sz w:val="24"/>
          <w:szCs w:val="24"/>
          <w14:textFill>
            <w14:solidFill>
              <w14:schemeClr w14:val="tx1"/>
            </w14:solidFill>
          </w14:textFill>
        </w:rPr>
        <w:t>代</w:t>
      </w:r>
      <w:r>
        <w:rPr>
          <w:rFonts w:hint="eastAsia" w:ascii="宋体" w:hAnsi="宋体" w:cs="宋体"/>
          <w:color w:val="000000" w:themeColor="text1"/>
          <w:sz w:val="24"/>
          <w:szCs w:val="24"/>
          <w14:textFill>
            <w14:solidFill>
              <w14:schemeClr w14:val="tx1"/>
            </w14:solidFill>
          </w14:textFill>
        </w:rPr>
        <w:t>表</w:t>
      </w:r>
      <w:r>
        <w:rPr>
          <w:rFonts w:hint="eastAsia" w:ascii="宋体" w:hAnsi="宋体" w:cs="宋体"/>
          <w:color w:val="000000" w:themeColor="text1"/>
          <w:spacing w:val="-3"/>
          <w:sz w:val="24"/>
          <w:szCs w:val="24"/>
          <w14:textFill>
            <w14:solidFill>
              <w14:schemeClr w14:val="tx1"/>
            </w14:solidFill>
          </w14:textFill>
        </w:rPr>
        <w:t>人</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pacing w:val="-3"/>
          <w:sz w:val="24"/>
          <w:szCs w:val="24"/>
          <w14:textFill>
            <w14:solidFill>
              <w14:schemeClr w14:val="tx1"/>
            </w14:solidFill>
          </w14:textFill>
        </w:rPr>
        <w:t>单</w:t>
      </w:r>
      <w:r>
        <w:rPr>
          <w:rFonts w:hint="eastAsia" w:ascii="宋体" w:hAnsi="宋体" w:cs="宋体"/>
          <w:color w:val="000000" w:themeColor="text1"/>
          <w:sz w:val="24"/>
          <w:szCs w:val="24"/>
          <w14:textFill>
            <w14:solidFill>
              <w14:schemeClr w14:val="tx1"/>
            </w14:solidFill>
          </w14:textFill>
        </w:rPr>
        <w:t>位</w:t>
      </w:r>
      <w:r>
        <w:rPr>
          <w:rFonts w:hint="eastAsia" w:ascii="宋体" w:hAnsi="宋体" w:cs="宋体"/>
          <w:color w:val="000000" w:themeColor="text1"/>
          <w:spacing w:val="-3"/>
          <w:sz w:val="24"/>
          <w:szCs w:val="24"/>
          <w14:textFill>
            <w14:solidFill>
              <w14:schemeClr w14:val="tx1"/>
            </w14:solidFill>
          </w14:textFill>
        </w:rPr>
        <w:t>负</w:t>
      </w:r>
      <w:r>
        <w:rPr>
          <w:rFonts w:hint="eastAsia" w:ascii="宋体" w:hAnsi="宋体" w:cs="宋体"/>
          <w:color w:val="000000" w:themeColor="text1"/>
          <w:sz w:val="24"/>
          <w:szCs w:val="24"/>
          <w14:textFill>
            <w14:solidFill>
              <w14:schemeClr w14:val="tx1"/>
            </w14:solidFill>
          </w14:textFill>
        </w:rPr>
        <w:t>责人</w:t>
      </w:r>
      <w:r>
        <w:rPr>
          <w:rFonts w:hint="eastAsia" w:ascii="宋体" w:hAnsi="宋体" w:cs="宋体"/>
          <w:color w:val="000000" w:themeColor="text1"/>
          <w:spacing w:val="-3"/>
          <w:sz w:val="24"/>
          <w:szCs w:val="24"/>
          <w14:textFill>
            <w14:solidFill>
              <w14:schemeClr w14:val="tx1"/>
            </w14:solidFill>
          </w14:textFill>
        </w:rPr>
        <w:t>）有效期内的身份证正反面电子件：</w:t>
      </w:r>
    </w:p>
    <w:tbl>
      <w:tblPr>
        <w:tblStyle w:val="4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59C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30592B38">
            <w:pPr>
              <w:tabs>
                <w:tab w:val="left" w:pos="5580"/>
              </w:tabs>
              <w:spacing w:line="360" w:lineRule="auto"/>
              <w:jc w:val="left"/>
              <w:rPr>
                <w:rFonts w:hint="eastAsia" w:ascii="宋体" w:hAnsi="宋体" w:cs="宋体"/>
                <w:color w:val="000000" w:themeColor="text1"/>
                <w:sz w:val="24"/>
                <w:szCs w:val="20"/>
                <w14:textFill>
                  <w14:solidFill>
                    <w14:schemeClr w14:val="tx1"/>
                  </w14:solidFill>
                </w14:textFill>
              </w:rPr>
            </w:pPr>
          </w:p>
          <w:p w14:paraId="67DBD5B0">
            <w:pPr>
              <w:tabs>
                <w:tab w:val="left" w:pos="5580"/>
              </w:tabs>
              <w:spacing w:line="360" w:lineRule="auto"/>
              <w:jc w:val="left"/>
              <w:rPr>
                <w:rFonts w:hint="eastAsia" w:ascii="宋体" w:hAnsi="宋体" w:cs="宋体"/>
                <w:color w:val="000000" w:themeColor="text1"/>
                <w:sz w:val="24"/>
                <w:szCs w:val="20"/>
                <w14:textFill>
                  <w14:solidFill>
                    <w14:schemeClr w14:val="tx1"/>
                  </w14:solidFill>
                </w14:textFill>
              </w:rPr>
            </w:pPr>
          </w:p>
          <w:p w14:paraId="77A1B2AD">
            <w:pPr>
              <w:tabs>
                <w:tab w:val="left" w:pos="5580"/>
              </w:tabs>
              <w:spacing w:line="360" w:lineRule="auto"/>
              <w:jc w:val="left"/>
              <w:rPr>
                <w:rFonts w:hint="eastAsia" w:ascii="宋体" w:hAnsi="宋体" w:cs="宋体"/>
                <w:color w:val="000000" w:themeColor="text1"/>
                <w:sz w:val="24"/>
                <w:szCs w:val="20"/>
                <w14:textFill>
                  <w14:solidFill>
                    <w14:schemeClr w14:val="tx1"/>
                  </w14:solidFill>
                </w14:textFill>
              </w:rPr>
            </w:pPr>
          </w:p>
        </w:tc>
        <w:tc>
          <w:tcPr>
            <w:tcW w:w="4536" w:type="dxa"/>
          </w:tcPr>
          <w:p w14:paraId="11508CB7">
            <w:pPr>
              <w:tabs>
                <w:tab w:val="left" w:pos="5580"/>
              </w:tabs>
              <w:spacing w:line="360" w:lineRule="auto"/>
              <w:jc w:val="left"/>
              <w:rPr>
                <w:rFonts w:hint="eastAsia" w:ascii="宋体" w:hAnsi="宋体" w:cs="宋体"/>
                <w:color w:val="000000" w:themeColor="text1"/>
                <w:sz w:val="24"/>
                <w:szCs w:val="20"/>
                <w14:textFill>
                  <w14:solidFill>
                    <w14:schemeClr w14:val="tx1"/>
                  </w14:solidFill>
                </w14:textFill>
              </w:rPr>
            </w:pPr>
          </w:p>
          <w:p w14:paraId="5A32F151">
            <w:pPr>
              <w:tabs>
                <w:tab w:val="left" w:pos="5580"/>
              </w:tabs>
              <w:spacing w:line="360" w:lineRule="auto"/>
              <w:jc w:val="left"/>
              <w:rPr>
                <w:rFonts w:hint="eastAsia" w:ascii="宋体" w:hAnsi="宋体" w:cs="宋体"/>
                <w:color w:val="000000" w:themeColor="text1"/>
                <w:sz w:val="24"/>
                <w:szCs w:val="20"/>
                <w14:textFill>
                  <w14:solidFill>
                    <w14:schemeClr w14:val="tx1"/>
                  </w14:solidFill>
                </w14:textFill>
              </w:rPr>
            </w:pPr>
          </w:p>
          <w:p w14:paraId="6F608A0A">
            <w:pPr>
              <w:tabs>
                <w:tab w:val="left" w:pos="5580"/>
              </w:tabs>
              <w:spacing w:line="360" w:lineRule="auto"/>
              <w:jc w:val="left"/>
              <w:rPr>
                <w:rFonts w:hint="eastAsia" w:ascii="宋体" w:hAnsi="宋体" w:cs="宋体"/>
                <w:color w:val="000000" w:themeColor="text1"/>
                <w:sz w:val="24"/>
                <w:szCs w:val="20"/>
                <w14:textFill>
                  <w14:solidFill>
                    <w14:schemeClr w14:val="tx1"/>
                  </w14:solidFill>
                </w14:textFill>
              </w:rPr>
            </w:pPr>
          </w:p>
        </w:tc>
      </w:tr>
    </w:tbl>
    <w:p w14:paraId="409E12AB">
      <w:pPr>
        <w:tabs>
          <w:tab w:val="left" w:pos="567"/>
        </w:tabs>
        <w:spacing w:line="360" w:lineRule="auto"/>
        <w:rPr>
          <w:rFonts w:hint="eastAsia" w:ascii="宋体" w:hAnsi="宋体" w:cs="宋体"/>
          <w:color w:val="000000" w:themeColor="text1"/>
          <w:spacing w:val="-3"/>
          <w:sz w:val="24"/>
          <w:szCs w:val="24"/>
          <w14:textFill>
            <w14:solidFill>
              <w14:schemeClr w14:val="tx1"/>
            </w14:solidFill>
          </w14:textFill>
        </w:rPr>
      </w:pPr>
    </w:p>
    <w:p w14:paraId="0B3EFE32">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投标人名称（加盖公章）</w:t>
      </w:r>
      <w:r>
        <w:rPr>
          <w:rFonts w:hint="eastAsia" w:ascii="宋体" w:hAnsi="宋体" w:cs="宋体"/>
          <w:color w:val="000000" w:themeColor="text1"/>
          <w:sz w:val="24"/>
          <w:szCs w:val="24"/>
          <w:lang w:val="zh-CN"/>
          <w14:textFill>
            <w14:solidFill>
              <w14:schemeClr w14:val="tx1"/>
            </w14:solidFill>
          </w14:textFill>
        </w:rPr>
        <w:t>：</w:t>
      </w:r>
    </w:p>
    <w:p w14:paraId="0AAA7000">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pacing w:val="-3"/>
          <w:sz w:val="24"/>
          <w:szCs w:val="24"/>
          <w14:textFill>
            <w14:solidFill>
              <w14:schemeClr w14:val="tx1"/>
            </w14:solidFill>
          </w14:textFill>
        </w:rPr>
        <w:t>法定代表人（</w:t>
      </w:r>
      <w:r>
        <w:rPr>
          <w:rFonts w:hint="eastAsia" w:ascii="宋体" w:hAnsi="宋体" w:cs="宋体"/>
          <w:color w:val="000000" w:themeColor="text1"/>
          <w:sz w:val="24"/>
          <w:szCs w:val="24"/>
          <w14:textFill>
            <w14:solidFill>
              <w14:schemeClr w14:val="tx1"/>
            </w14:solidFill>
          </w14:textFill>
        </w:rPr>
        <w:t>单位负责人</w:t>
      </w:r>
      <w:r>
        <w:rPr>
          <w:rFonts w:hint="eastAsia" w:ascii="宋体" w:hAnsi="宋体" w:cs="宋体"/>
          <w:color w:val="000000" w:themeColor="text1"/>
          <w:spacing w:val="-3"/>
          <w:sz w:val="24"/>
          <w:szCs w:val="24"/>
          <w14:textFill>
            <w14:solidFill>
              <w14:schemeClr w14:val="tx1"/>
            </w14:solidFill>
          </w14:textFill>
        </w:rPr>
        <w:t>）（签字、签章或印鉴）：</w:t>
      </w:r>
    </w:p>
    <w:p w14:paraId="47976D71">
      <w:pPr>
        <w:spacing w:line="360" w:lineRule="auto"/>
        <w:rPr>
          <w:rFonts w:hint="eastAsia" w:ascii="宋体" w:hAnsi="宋体" w:cs="宋体"/>
          <w:color w:val="000000" w:themeColor="text1"/>
          <w:sz w:val="24"/>
          <w:szCs w:val="24"/>
          <w14:textFill>
            <w14:solidFill>
              <w14:schemeClr w14:val="tx1"/>
            </w14:solidFill>
          </w14:textFill>
        </w:rPr>
      </w:pPr>
    </w:p>
    <w:p w14:paraId="174E5FCB">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日期：年月日</w:t>
      </w:r>
    </w:p>
    <w:p w14:paraId="34BDBD1F">
      <w:pPr>
        <w:spacing w:line="360" w:lineRule="auto"/>
        <w:rPr>
          <w:rFonts w:hint="eastAsia" w:ascii="宋体" w:hAnsi="宋体" w:cs="宋体"/>
          <w:color w:val="000000" w:themeColor="text1"/>
          <w:sz w:val="24"/>
          <w:szCs w:val="24"/>
          <w14:textFill>
            <w14:solidFill>
              <w14:schemeClr w14:val="tx1"/>
            </w14:solidFill>
          </w14:textFill>
        </w:rPr>
      </w:pPr>
    </w:p>
    <w:p w14:paraId="6E0D27F3">
      <w:pPr>
        <w:rPr>
          <w:rFonts w:hint="eastAsia" w:ascii="宋体" w:hAnsi="宋体" w:cs="宋体"/>
          <w:i/>
          <w:iCs/>
          <w:color w:val="000000" w:themeColor="text1"/>
          <w:sz w:val="36"/>
          <w:u w:val="single"/>
          <w14:textFill>
            <w14:solidFill>
              <w14:schemeClr w14:val="tx1"/>
            </w14:solidFill>
          </w14:textFill>
        </w:rPr>
      </w:pPr>
      <w:r>
        <w:rPr>
          <w:rFonts w:hint="eastAsia" w:ascii="宋体" w:hAnsi="宋体" w:cs="宋体"/>
          <w:i/>
          <w:iCs/>
          <w:color w:val="000000" w:themeColor="text1"/>
          <w:sz w:val="36"/>
          <w:u w:val="single"/>
          <w14:textFill>
            <w14:solidFill>
              <w14:schemeClr w14:val="tx1"/>
            </w14:solidFill>
          </w14:textFill>
        </w:rPr>
        <w:br w:type="page" w:clear="all"/>
      </w:r>
    </w:p>
    <w:p w14:paraId="09C27F61">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color w:val="000000" w:themeColor="text1"/>
          <w:sz w:val="28"/>
          <w:szCs w:val="28"/>
          <w:u w:val="single"/>
          <w14:textFill>
            <w14:solidFill>
              <w14:schemeClr w14:val="tx1"/>
            </w14:solidFill>
          </w14:textFill>
        </w:rPr>
        <w:t>十、投标函</w:t>
      </w:r>
    </w:p>
    <w:p w14:paraId="059D6783">
      <w:pPr>
        <w:tabs>
          <w:tab w:val="left" w:pos="360"/>
        </w:tabs>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36"/>
          <w:szCs w:val="28"/>
          <w14:textFill>
            <w14:solidFill>
              <w14:schemeClr w14:val="tx1"/>
            </w14:solidFill>
          </w14:textFill>
        </w:rPr>
        <w:t>投标函</w:t>
      </w:r>
    </w:p>
    <w:p w14:paraId="0298B3B5">
      <w:pPr>
        <w:spacing w:line="360" w:lineRule="auto"/>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致：</w:t>
      </w:r>
    </w:p>
    <w:p w14:paraId="3732D330">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根据贵方的JSZC-_________________号招标文件，正式授权下述签字人_________________(姓名)代表我方______________（投标人的名称），全权处理本次项目投标的有关事宜。</w:t>
      </w:r>
    </w:p>
    <w:p w14:paraId="33DCA744">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据此函，__________签字人兹宣布同意如下：</w:t>
      </w:r>
    </w:p>
    <w:p w14:paraId="3309A97B">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1.按招标文件规定的各项要求，向买方提供所需服务（含为完成服务所必需的配套硬件）。</w:t>
      </w:r>
    </w:p>
    <w:p w14:paraId="14B79BFE">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2.我们完全理解贵方不一定将合同授予最低报价的投标人。</w:t>
      </w:r>
    </w:p>
    <w:p w14:paraId="62E81D9D">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3.我们已详细审核全部招标文件及其有效补充文件，我们知道必须放弃提出含糊不清或误解问题的权利。</w:t>
      </w:r>
    </w:p>
    <w:p w14:paraId="7DC4EEAB">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4.我们同意从规定的开标日期起遵循本投标文件，并在规定的投标有效期期满之前均具有约束力。</w:t>
      </w:r>
    </w:p>
    <w:p w14:paraId="0704FFC6">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5.同意向贵方提供贵方可能另外要求的与投标有关的任何证据或资料，并保证我方已提供和将要提供的文件是真实的、准确的。</w:t>
      </w:r>
    </w:p>
    <w:p w14:paraId="65D506E6">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6.一旦我方中标,我方将根据招标文件的规定，严格履行合同的责任和义务,并保证在招标文件规定的时间完成项目，交付买方验收、使用。</w:t>
      </w:r>
    </w:p>
    <w:p w14:paraId="387699B2">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7.与本投标有关的正式通讯地址为：</w:t>
      </w:r>
    </w:p>
    <w:p w14:paraId="38F309F8">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地址：</w:t>
      </w:r>
    </w:p>
    <w:p w14:paraId="5ED253CC">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邮编：</w:t>
      </w:r>
    </w:p>
    <w:p w14:paraId="45E597BE">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电话：</w:t>
      </w:r>
    </w:p>
    <w:p w14:paraId="13FB3DAD">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传真：</w:t>
      </w:r>
    </w:p>
    <w:p w14:paraId="2879CDAC">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投标人开户行：</w:t>
      </w:r>
    </w:p>
    <w:p w14:paraId="63D3FF52">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账号：</w:t>
      </w:r>
    </w:p>
    <w:p w14:paraId="56F6E3B3">
      <w:pPr>
        <w:spacing w:line="360" w:lineRule="auto"/>
        <w:rPr>
          <w:rFonts w:hint="eastAsia" w:ascii="宋体" w:hAnsi="宋体" w:cs="宋体"/>
          <w:color w:val="000000" w:themeColor="text1"/>
          <w14:textFill>
            <w14:solidFill>
              <w14:schemeClr w14:val="tx1"/>
            </w14:solidFill>
          </w14:textFill>
        </w:rPr>
      </w:pPr>
    </w:p>
    <w:p w14:paraId="588A2DFB">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投标人（盖章）：</w:t>
      </w:r>
    </w:p>
    <w:p w14:paraId="4812DBDC">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法定代表人（单位负责人）或委托代理人（签字或盖章）：</w:t>
      </w:r>
    </w:p>
    <w:p w14:paraId="1689736C">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日期：年月日</w:t>
      </w:r>
    </w:p>
    <w:p w14:paraId="321DAA50">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color w:val="000000" w:themeColor="text1"/>
          <w:sz w:val="28"/>
          <w:szCs w:val="28"/>
          <w:u w:val="single"/>
          <w14:textFill>
            <w14:solidFill>
              <w14:schemeClr w14:val="tx1"/>
            </w14:solidFill>
          </w14:textFill>
        </w:rPr>
        <w:br w:type="page" w:clear="all"/>
      </w:r>
      <w:r>
        <w:rPr>
          <w:rFonts w:hint="eastAsia" w:ascii="宋体" w:hAnsi="宋体" w:cs="宋体"/>
          <w:i/>
          <w:color w:val="000000" w:themeColor="text1"/>
          <w:sz w:val="28"/>
          <w:szCs w:val="28"/>
          <w:u w:val="single"/>
          <w14:textFill>
            <w14:solidFill>
              <w14:schemeClr w14:val="tx1"/>
            </w14:solidFill>
          </w14:textFill>
        </w:rPr>
        <w:t>十一、中小企业声明函</w:t>
      </w:r>
    </w:p>
    <w:p w14:paraId="371B7BC1">
      <w:pPr>
        <w:tabs>
          <w:tab w:val="left" w:pos="360"/>
        </w:tabs>
        <w:spacing w:line="360" w:lineRule="auto"/>
        <w:jc w:val="center"/>
        <w:rPr>
          <w:rFonts w:hint="eastAsia" w:ascii="宋体" w:hAnsi="宋体" w:cs="宋体"/>
          <w:bCs/>
          <w:color w:val="000000" w:themeColor="text1"/>
          <w:sz w:val="36"/>
          <w:szCs w:val="28"/>
          <w14:textFill>
            <w14:solidFill>
              <w14:schemeClr w14:val="tx1"/>
            </w14:solidFill>
          </w14:textFill>
        </w:rPr>
      </w:pPr>
    </w:p>
    <w:p w14:paraId="346779E6">
      <w:pPr>
        <w:tabs>
          <w:tab w:val="left" w:pos="360"/>
        </w:tabs>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36"/>
          <w:szCs w:val="28"/>
          <w14:textFill>
            <w14:solidFill>
              <w14:schemeClr w14:val="tx1"/>
            </w14:solidFill>
          </w14:textFill>
        </w:rPr>
        <w:t>中小企业声明函</w:t>
      </w:r>
    </w:p>
    <w:p w14:paraId="00BC3DC8">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本公司（联合体）郑重声明，根据《政府采购促进中小企业发展管理办法》(财库〔2020〕46号)的规定，本公司（联合体）参加</w:t>
      </w:r>
      <w:r>
        <w:rPr>
          <w:rFonts w:hint="eastAsia" w:ascii="宋体" w:hAnsi="宋体" w:cs="宋体"/>
          <w:color w:val="000000" w:themeColor="text1"/>
          <w:sz w:val="24"/>
          <w:szCs w:val="24"/>
          <w:u w:val="single"/>
          <w14:textFill>
            <w14:solidFill>
              <w14:schemeClr w14:val="tx1"/>
            </w14:solidFill>
          </w14:textFill>
        </w:rPr>
        <w:t>（单位名称）</w:t>
      </w:r>
      <w:r>
        <w:rPr>
          <w:rFonts w:hint="eastAsia" w:ascii="宋体" w:hAnsi="宋体" w:cs="宋体"/>
          <w:color w:val="000000" w:themeColor="text1"/>
          <w:sz w:val="24"/>
          <w:szCs w:val="24"/>
          <w14:textFill>
            <w14:solidFill>
              <w14:schemeClr w14:val="tx1"/>
            </w14:solidFill>
          </w14:textFill>
        </w:rPr>
        <w:t>的</w:t>
      </w:r>
      <w:r>
        <w:rPr>
          <w:rFonts w:hint="eastAsia" w:ascii="宋体" w:hAnsi="宋体" w:cs="宋体"/>
          <w:color w:val="000000" w:themeColor="text1"/>
          <w:sz w:val="24"/>
          <w:szCs w:val="24"/>
          <w:u w:val="single"/>
          <w14:textFill>
            <w14:solidFill>
              <w14:schemeClr w14:val="tx1"/>
            </w14:solidFill>
          </w14:textFill>
        </w:rPr>
        <w:t>（项目名称）</w:t>
      </w:r>
      <w:r>
        <w:rPr>
          <w:rFonts w:hint="eastAsia" w:ascii="宋体" w:hAnsi="宋体" w:cs="宋体"/>
          <w:color w:val="000000" w:themeColor="text1"/>
          <w:sz w:val="24"/>
          <w:szCs w:val="24"/>
          <w14:textFill>
            <w14:solidFill>
              <w14:schemeClr w14:val="tx1"/>
            </w14:solidFill>
          </w14:textFill>
        </w:rPr>
        <w:t>（项目编号：，分包号：）采购活动，</w:t>
      </w:r>
      <w:r>
        <w:rPr>
          <w:rFonts w:hint="eastAsia" w:ascii="宋体" w:hAnsi="宋体" w:cs="宋体"/>
          <w:b/>
          <w:bCs/>
          <w:color w:val="000000" w:themeColor="text1"/>
          <w:sz w:val="24"/>
          <w:szCs w:val="24"/>
          <w14:textFill>
            <w14:solidFill>
              <w14:schemeClr w14:val="tx1"/>
            </w14:solidFill>
          </w14:textFill>
        </w:rPr>
        <w:t>服务全部由符合政策要求的中小企业承接</w:t>
      </w:r>
      <w:r>
        <w:rPr>
          <w:rFonts w:hint="eastAsia" w:ascii="宋体" w:hAnsi="宋体" w:cs="宋体"/>
          <w:color w:val="000000" w:themeColor="text1"/>
          <w:sz w:val="24"/>
          <w:szCs w:val="24"/>
          <w14:textFill>
            <w14:solidFill>
              <w14:schemeClr w14:val="tx1"/>
            </w14:solidFill>
          </w14:textFill>
        </w:rPr>
        <w:t>。根据《关于印发中小企业划型标准规定的通知》(工信部联企业〔2011〕300号)的规定，相关企业（含联合体中的中小企业、签订分包意向协议的中小企业）的具体情况如下：</w:t>
      </w:r>
    </w:p>
    <w:p w14:paraId="509AD13C">
      <w:pPr>
        <w:spacing w:line="360" w:lineRule="auto"/>
        <w:ind w:firstLine="480"/>
        <w:rPr>
          <w:rFonts w:hint="eastAsia" w:ascii="宋体" w:hAnsi="宋体" w:cs="宋体"/>
          <w:i/>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u w:val="single"/>
          <w14:textFill>
            <w14:solidFill>
              <w14:schemeClr w14:val="tx1"/>
            </w14:solidFill>
          </w14:textFill>
        </w:rPr>
        <w:t>（标的名称）</w:t>
      </w:r>
      <w:r>
        <w:rPr>
          <w:rFonts w:hint="eastAsia" w:ascii="宋体" w:hAnsi="宋体" w:cs="宋体"/>
          <w:color w:val="000000" w:themeColor="text1"/>
          <w:sz w:val="24"/>
          <w:szCs w:val="24"/>
          <w14:textFill>
            <w14:solidFill>
              <w14:schemeClr w14:val="tx1"/>
            </w14:solidFill>
          </w14:textFill>
        </w:rPr>
        <w:t>，属于</w:t>
      </w:r>
      <w:r>
        <w:rPr>
          <w:rFonts w:hint="eastAsia" w:ascii="宋体" w:hAnsi="宋体" w:cs="宋体"/>
          <w:color w:val="000000" w:themeColor="text1"/>
          <w:sz w:val="24"/>
          <w:szCs w:val="24"/>
          <w:u w:val="single"/>
          <w14:textFill>
            <w14:solidFill>
              <w14:schemeClr w14:val="tx1"/>
            </w14:solidFill>
          </w14:textFill>
        </w:rPr>
        <w:t>（招标文件中明确的所属行业）</w:t>
      </w:r>
      <w:r>
        <w:rPr>
          <w:rFonts w:hint="eastAsia" w:ascii="宋体" w:hAnsi="宋体" w:cs="宋体"/>
          <w:color w:val="000000" w:themeColor="text1"/>
          <w:sz w:val="24"/>
          <w:szCs w:val="24"/>
          <w14:textFill>
            <w14:solidFill>
              <w14:schemeClr w14:val="tx1"/>
            </w14:solidFill>
          </w14:textFill>
        </w:rPr>
        <w:t>行业；承接企业为</w:t>
      </w:r>
      <w:r>
        <w:rPr>
          <w:rFonts w:hint="eastAsia" w:ascii="宋体" w:hAnsi="宋体" w:cs="宋体"/>
          <w:color w:val="000000" w:themeColor="text1"/>
          <w:sz w:val="24"/>
          <w:szCs w:val="24"/>
          <w:u w:val="single"/>
          <w14:textFill>
            <w14:solidFill>
              <w14:schemeClr w14:val="tx1"/>
            </w14:solidFill>
          </w14:textFill>
        </w:rPr>
        <w:t>（企业名称）</w:t>
      </w:r>
      <w:r>
        <w:rPr>
          <w:rFonts w:hint="eastAsia" w:ascii="宋体" w:hAnsi="宋体" w:cs="宋体"/>
          <w:color w:val="000000" w:themeColor="text1"/>
          <w:sz w:val="24"/>
          <w:szCs w:val="24"/>
          <w14:textFill>
            <w14:solidFill>
              <w14:schemeClr w14:val="tx1"/>
            </w14:solidFill>
          </w14:textFill>
        </w:rPr>
        <w:t>，从业人员人，营业收入为万元，资产总额为万元，属于</w:t>
      </w:r>
      <w:r>
        <w:rPr>
          <w:rFonts w:hint="eastAsia" w:ascii="宋体" w:hAnsi="宋体" w:cs="宋体"/>
          <w:color w:val="000000" w:themeColor="text1"/>
          <w:sz w:val="24"/>
          <w:szCs w:val="24"/>
          <w:u w:val="single"/>
          <w14:textFill>
            <w14:solidFill>
              <w14:schemeClr w14:val="tx1"/>
            </w14:solidFill>
          </w14:textFill>
        </w:rPr>
        <w:t>（中型企业、小型企业、微型企业）</w:t>
      </w:r>
      <w:r>
        <w:rPr>
          <w:rFonts w:hint="eastAsia" w:ascii="宋体" w:hAnsi="宋体" w:cs="宋体"/>
          <w:color w:val="000000" w:themeColor="text1"/>
          <w:sz w:val="24"/>
          <w:szCs w:val="24"/>
          <w14:textFill>
            <w14:solidFill>
              <w14:schemeClr w14:val="tx1"/>
            </w14:solidFill>
          </w14:textFill>
        </w:rPr>
        <w:t>；</w:t>
      </w:r>
    </w:p>
    <w:p w14:paraId="5E59D1BF">
      <w:pPr>
        <w:spacing w:line="360" w:lineRule="auto"/>
        <w:ind w:firstLine="480"/>
        <w:rPr>
          <w:rFonts w:hint="eastAsia" w:ascii="宋体" w:hAnsi="宋体" w:cs="宋体"/>
          <w:i/>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u w:val="single"/>
          <w14:textFill>
            <w14:solidFill>
              <w14:schemeClr w14:val="tx1"/>
            </w14:solidFill>
          </w14:textFill>
        </w:rPr>
        <w:t>（标的名称）</w:t>
      </w:r>
      <w:r>
        <w:rPr>
          <w:rFonts w:hint="eastAsia" w:ascii="宋体" w:hAnsi="宋体" w:cs="宋体"/>
          <w:color w:val="000000" w:themeColor="text1"/>
          <w:sz w:val="24"/>
          <w:szCs w:val="24"/>
          <w14:textFill>
            <w14:solidFill>
              <w14:schemeClr w14:val="tx1"/>
            </w14:solidFill>
          </w14:textFill>
        </w:rPr>
        <w:t>，属于</w:t>
      </w:r>
      <w:r>
        <w:rPr>
          <w:rFonts w:hint="eastAsia" w:ascii="宋体" w:hAnsi="宋体" w:cs="宋体"/>
          <w:color w:val="000000" w:themeColor="text1"/>
          <w:sz w:val="24"/>
          <w:szCs w:val="24"/>
          <w:u w:val="single"/>
          <w14:textFill>
            <w14:solidFill>
              <w14:schemeClr w14:val="tx1"/>
            </w14:solidFill>
          </w14:textFill>
        </w:rPr>
        <w:t>（招标文件中明确的所属行业）</w:t>
      </w:r>
      <w:r>
        <w:rPr>
          <w:rFonts w:hint="eastAsia" w:ascii="宋体" w:hAnsi="宋体" w:cs="宋体"/>
          <w:color w:val="000000" w:themeColor="text1"/>
          <w:sz w:val="24"/>
          <w:szCs w:val="24"/>
          <w14:textFill>
            <w14:solidFill>
              <w14:schemeClr w14:val="tx1"/>
            </w14:solidFill>
          </w14:textFill>
        </w:rPr>
        <w:t>行业；承接企业为</w:t>
      </w:r>
      <w:r>
        <w:rPr>
          <w:rFonts w:hint="eastAsia" w:ascii="宋体" w:hAnsi="宋体" w:cs="宋体"/>
          <w:color w:val="000000" w:themeColor="text1"/>
          <w:sz w:val="24"/>
          <w:szCs w:val="24"/>
          <w:u w:val="single"/>
          <w14:textFill>
            <w14:solidFill>
              <w14:schemeClr w14:val="tx1"/>
            </w14:solidFill>
          </w14:textFill>
        </w:rPr>
        <w:t>（企业名称）</w:t>
      </w:r>
      <w:r>
        <w:rPr>
          <w:rFonts w:hint="eastAsia" w:ascii="宋体" w:hAnsi="宋体" w:cs="宋体"/>
          <w:color w:val="000000" w:themeColor="text1"/>
          <w:sz w:val="24"/>
          <w:szCs w:val="24"/>
          <w14:textFill>
            <w14:solidFill>
              <w14:schemeClr w14:val="tx1"/>
            </w14:solidFill>
          </w14:textFill>
        </w:rPr>
        <w:t>，从业人员人，营业收入为万元，资产总额为万元，属于</w:t>
      </w:r>
      <w:r>
        <w:rPr>
          <w:rFonts w:hint="eastAsia" w:ascii="宋体" w:hAnsi="宋体" w:cs="宋体"/>
          <w:color w:val="000000" w:themeColor="text1"/>
          <w:sz w:val="24"/>
          <w:szCs w:val="24"/>
          <w:u w:val="single"/>
          <w14:textFill>
            <w14:solidFill>
              <w14:schemeClr w14:val="tx1"/>
            </w14:solidFill>
          </w14:textFill>
        </w:rPr>
        <w:t>（中型企业、小型企业、微型企业）</w:t>
      </w:r>
      <w:r>
        <w:rPr>
          <w:rFonts w:hint="eastAsia" w:ascii="宋体" w:hAnsi="宋体" w:cs="宋体"/>
          <w:color w:val="000000" w:themeColor="text1"/>
          <w:sz w:val="24"/>
          <w:szCs w:val="24"/>
          <w14:textFill>
            <w14:solidFill>
              <w14:schemeClr w14:val="tx1"/>
            </w14:solidFill>
          </w14:textFill>
        </w:rPr>
        <w:t>；</w:t>
      </w:r>
    </w:p>
    <w:p w14:paraId="36D087B8">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u w:val="single"/>
          <w14:textFill>
            <w14:solidFill>
              <w14:schemeClr w14:val="tx1"/>
            </w14:solidFill>
          </w14:textFill>
        </w:rPr>
        <w:t>（标的名称）</w:t>
      </w:r>
      <w:r>
        <w:rPr>
          <w:rFonts w:hint="eastAsia" w:ascii="宋体" w:hAnsi="宋体" w:cs="宋体"/>
          <w:color w:val="000000" w:themeColor="text1"/>
          <w:sz w:val="24"/>
          <w:szCs w:val="24"/>
          <w14:textFill>
            <w14:solidFill>
              <w14:schemeClr w14:val="tx1"/>
            </w14:solidFill>
          </w14:textFill>
        </w:rPr>
        <w:t>，属于</w:t>
      </w:r>
      <w:r>
        <w:rPr>
          <w:rFonts w:hint="eastAsia" w:ascii="宋体" w:hAnsi="宋体" w:cs="宋体"/>
          <w:color w:val="000000" w:themeColor="text1"/>
          <w:sz w:val="24"/>
          <w:szCs w:val="24"/>
          <w:u w:val="single"/>
          <w14:textFill>
            <w14:solidFill>
              <w14:schemeClr w14:val="tx1"/>
            </w14:solidFill>
          </w14:textFill>
        </w:rPr>
        <w:t>（招标文件中明确的所属行业）</w:t>
      </w:r>
      <w:r>
        <w:rPr>
          <w:rFonts w:hint="eastAsia" w:ascii="宋体" w:hAnsi="宋体" w:cs="宋体"/>
          <w:color w:val="000000" w:themeColor="text1"/>
          <w:sz w:val="24"/>
          <w:szCs w:val="24"/>
          <w14:textFill>
            <w14:solidFill>
              <w14:schemeClr w14:val="tx1"/>
            </w14:solidFill>
          </w14:textFill>
        </w:rPr>
        <w:t>行业；承接企业为</w:t>
      </w:r>
      <w:r>
        <w:rPr>
          <w:rFonts w:hint="eastAsia" w:ascii="宋体" w:hAnsi="宋体" w:cs="宋体"/>
          <w:color w:val="000000" w:themeColor="text1"/>
          <w:sz w:val="24"/>
          <w:szCs w:val="24"/>
          <w:u w:val="single"/>
          <w14:textFill>
            <w14:solidFill>
              <w14:schemeClr w14:val="tx1"/>
            </w14:solidFill>
          </w14:textFill>
        </w:rPr>
        <w:t>（企业名称）</w:t>
      </w:r>
      <w:r>
        <w:rPr>
          <w:rFonts w:hint="eastAsia" w:ascii="宋体" w:hAnsi="宋体" w:cs="宋体"/>
          <w:color w:val="000000" w:themeColor="text1"/>
          <w:sz w:val="24"/>
          <w:szCs w:val="24"/>
          <w14:textFill>
            <w14:solidFill>
              <w14:schemeClr w14:val="tx1"/>
            </w14:solidFill>
          </w14:textFill>
        </w:rPr>
        <w:t>，从业人员人，营业收入为万元，资产总额为万元，属于</w:t>
      </w:r>
      <w:r>
        <w:rPr>
          <w:rFonts w:hint="eastAsia" w:ascii="宋体" w:hAnsi="宋体" w:cs="宋体"/>
          <w:color w:val="000000" w:themeColor="text1"/>
          <w:sz w:val="24"/>
          <w:szCs w:val="24"/>
          <w:u w:val="single"/>
          <w14:textFill>
            <w14:solidFill>
              <w14:schemeClr w14:val="tx1"/>
            </w14:solidFill>
          </w14:textFill>
        </w:rPr>
        <w:t>（中型企业、小型企业、微型企业）</w:t>
      </w:r>
      <w:r>
        <w:rPr>
          <w:rFonts w:hint="eastAsia" w:ascii="宋体" w:hAnsi="宋体" w:cs="宋体"/>
          <w:color w:val="000000" w:themeColor="text1"/>
          <w:sz w:val="24"/>
          <w:szCs w:val="24"/>
          <w14:textFill>
            <w14:solidFill>
              <w14:schemeClr w14:val="tx1"/>
            </w14:solidFill>
          </w14:textFill>
        </w:rPr>
        <w:t>；</w:t>
      </w:r>
    </w:p>
    <w:p w14:paraId="78F376EE">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w:t>
      </w:r>
    </w:p>
    <w:p w14:paraId="2F26878A">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742A955E">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本企业对上述声明内容的真实性负责。如有虚假，将依法承担相应责任。</w:t>
      </w:r>
    </w:p>
    <w:p w14:paraId="20B127FE">
      <w:pPr>
        <w:spacing w:line="360" w:lineRule="auto"/>
        <w:ind w:firstLine="28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企业名称（盖章）：</w:t>
      </w:r>
    </w:p>
    <w:p w14:paraId="47580407">
      <w:pPr>
        <w:spacing w:line="360" w:lineRule="auto"/>
        <w:ind w:firstLine="28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p>
    <w:p w14:paraId="169F68B2">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填报说明：</w:t>
      </w:r>
    </w:p>
    <w:p w14:paraId="7C803A92">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1、从业人员、营业收入、资产总额填报上一年度数据，无上一年度数据的新成立企业可不填报。</w:t>
      </w:r>
    </w:p>
    <w:p w14:paraId="5E53DEEF">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2、请投标人如实填写，所填内容须与投标分项报价表一致，如填写不完整或不一致或填写有误，将不享受扶持政策。</w:t>
      </w:r>
    </w:p>
    <w:p w14:paraId="529C663E">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3、中标人的《中小企业声明函》随中标结果公开，接受社会监督。</w:t>
      </w:r>
    </w:p>
    <w:p w14:paraId="550B362F">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p>
    <w:p w14:paraId="2A2A84DD">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color w:val="000000" w:themeColor="text1"/>
          <w:sz w:val="28"/>
          <w:szCs w:val="28"/>
          <w:u w:val="single"/>
          <w14:textFill>
            <w14:solidFill>
              <w14:schemeClr w14:val="tx1"/>
            </w14:solidFill>
          </w14:textFill>
        </w:rPr>
        <w:br w:type="page" w:clear="all"/>
      </w:r>
      <w:r>
        <w:rPr>
          <w:rFonts w:hint="eastAsia" w:ascii="宋体" w:hAnsi="宋体" w:cs="宋体"/>
          <w:i/>
          <w:color w:val="000000" w:themeColor="text1"/>
          <w:sz w:val="28"/>
          <w:szCs w:val="28"/>
          <w:u w:val="single"/>
          <w14:textFill>
            <w14:solidFill>
              <w14:schemeClr w14:val="tx1"/>
            </w14:solidFill>
          </w14:textFill>
        </w:rPr>
        <w:t>十二、残疾人福利性单位声明函</w:t>
      </w:r>
    </w:p>
    <w:p w14:paraId="3C37D951">
      <w:pPr>
        <w:tabs>
          <w:tab w:val="left" w:pos="360"/>
        </w:tabs>
        <w:spacing w:line="360" w:lineRule="auto"/>
        <w:jc w:val="center"/>
        <w:rPr>
          <w:rFonts w:hint="eastAsia" w:ascii="宋体" w:hAnsi="宋体" w:cs="宋体"/>
          <w:bCs/>
          <w:color w:val="000000" w:themeColor="text1"/>
          <w:sz w:val="36"/>
          <w:szCs w:val="28"/>
          <w14:textFill>
            <w14:solidFill>
              <w14:schemeClr w14:val="tx1"/>
            </w14:solidFill>
          </w14:textFill>
        </w:rPr>
      </w:pPr>
    </w:p>
    <w:p w14:paraId="4598D9C2">
      <w:pPr>
        <w:tabs>
          <w:tab w:val="left" w:pos="360"/>
        </w:tabs>
        <w:spacing w:line="360" w:lineRule="auto"/>
        <w:jc w:val="center"/>
        <w:rPr>
          <w:rFonts w:hint="eastAsia" w:ascii="宋体" w:hAnsi="宋体" w:cs="宋体"/>
          <w:color w:val="000000" w:themeColor="text1"/>
          <w:sz w:val="24"/>
          <w:szCs w:val="21"/>
          <w14:textFill>
            <w14:solidFill>
              <w14:schemeClr w14:val="tx1"/>
            </w14:solidFill>
          </w14:textFill>
        </w:rPr>
      </w:pPr>
      <w:r>
        <w:rPr>
          <w:rFonts w:hint="eastAsia" w:ascii="宋体" w:hAnsi="宋体" w:cs="宋体"/>
          <w:bCs/>
          <w:color w:val="000000" w:themeColor="text1"/>
          <w:sz w:val="36"/>
          <w:szCs w:val="28"/>
          <w14:textFill>
            <w14:solidFill>
              <w14:schemeClr w14:val="tx1"/>
            </w14:solidFill>
          </w14:textFill>
        </w:rPr>
        <w:t>残疾人福利性单位声明函</w:t>
      </w:r>
    </w:p>
    <w:p w14:paraId="13E6BF72">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本单位郑重声明，根据《财政部民政部中国残疾人联合会关于促进残疾人就业政府采购政策的通知》（财库</w:t>
      </w:r>
      <w:r>
        <w:rPr>
          <w:rFonts w:hint="eastAsia" w:ascii="宋体" w:hAnsi="宋体" w:cs="宋体"/>
          <w:color w:val="000000" w:themeColor="text1"/>
          <w:sz w:val="24"/>
          <w:szCs w:val="24"/>
          <w14:textFill>
            <w14:solidFill>
              <w14:schemeClr w14:val="tx1"/>
            </w14:solidFill>
          </w14:textFill>
        </w:rPr>
        <w:t>〔2017〕</w:t>
      </w:r>
      <w:r>
        <w:rPr>
          <w:rFonts w:hint="eastAsia" w:ascii="宋体" w:hAnsi="宋体" w:cs="宋体"/>
          <w:color w:val="000000" w:themeColor="text1"/>
          <w:sz w:val="24"/>
          <w:szCs w:val="21"/>
          <w14:textFill>
            <w14:solidFill>
              <w14:schemeClr w14:val="tx1"/>
            </w14:solidFill>
          </w14:textFill>
        </w:rPr>
        <w:t>141号）的规定，本单位为符合条件的残疾人福利性单位，且本单位参加（单位名称）的（项目名称）（项目编号：，分包号：）采购活动，由本单位提供服务，或者由其他残疾人福利性单位提供服务。相关企业的具体情况如下：</w:t>
      </w:r>
    </w:p>
    <w:p w14:paraId="164B3555">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1.（标的名称），承接单位为（企业名称），属于残疾人福利性单位；</w:t>
      </w:r>
    </w:p>
    <w:p w14:paraId="5E49CB34">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2.（标的名称），承接单位为（企业名称），属于残疾人福利性单位；</w:t>
      </w:r>
    </w:p>
    <w:p w14:paraId="5005751D">
      <w:pPr>
        <w:spacing w:line="360" w:lineRule="auto"/>
        <w:ind w:firstLine="480"/>
        <w:jc w:val="left"/>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w:t>
      </w:r>
    </w:p>
    <w:p w14:paraId="7C6AB099">
      <w:pPr>
        <w:spacing w:line="360" w:lineRule="auto"/>
        <w:ind w:firstLine="480"/>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本单位对上述声明的真实性负责。如有虚假，将依法承担相应责任。</w:t>
      </w:r>
    </w:p>
    <w:p w14:paraId="2405E055">
      <w:pPr>
        <w:spacing w:line="360" w:lineRule="auto"/>
        <w:ind w:firstLine="480"/>
        <w:rPr>
          <w:rFonts w:hint="eastAsia" w:ascii="宋体" w:hAnsi="宋体" w:cs="宋体"/>
          <w:color w:val="000000" w:themeColor="text1"/>
          <w:sz w:val="24"/>
          <w:szCs w:val="21"/>
          <w14:textFill>
            <w14:solidFill>
              <w14:schemeClr w14:val="tx1"/>
            </w14:solidFill>
          </w14:textFill>
        </w:rPr>
      </w:pPr>
    </w:p>
    <w:p w14:paraId="107BF55F">
      <w:pPr>
        <w:spacing w:line="360" w:lineRule="auto"/>
        <w:ind w:firstLine="480"/>
        <w:rPr>
          <w:rFonts w:hint="eastAsia" w:ascii="宋体" w:hAnsi="宋体" w:cs="宋体"/>
          <w:color w:val="000000" w:themeColor="text1"/>
          <w:sz w:val="24"/>
          <w:szCs w:val="21"/>
          <w14:textFill>
            <w14:solidFill>
              <w14:schemeClr w14:val="tx1"/>
            </w14:solidFill>
          </w14:textFill>
        </w:rPr>
      </w:pPr>
    </w:p>
    <w:p w14:paraId="7E8104D7">
      <w:pPr>
        <w:spacing w:line="360" w:lineRule="auto"/>
        <w:ind w:firstLine="28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单位名称（盖章）：</w:t>
      </w:r>
    </w:p>
    <w:p w14:paraId="36A3A950">
      <w:pPr>
        <w:spacing w:line="360" w:lineRule="auto"/>
        <w:ind w:firstLine="28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p>
    <w:p w14:paraId="3FA3299F">
      <w:pPr>
        <w:spacing w:line="360" w:lineRule="auto"/>
        <w:rPr>
          <w:rFonts w:hint="eastAsia" w:ascii="宋体" w:hAnsi="宋体" w:cs="宋体"/>
          <w:color w:val="000000" w:themeColor="text1"/>
          <w14:textFill>
            <w14:solidFill>
              <w14:schemeClr w14:val="tx1"/>
            </w14:solidFill>
          </w14:textFill>
        </w:rPr>
      </w:pPr>
    </w:p>
    <w:p w14:paraId="71807E25">
      <w:pPr>
        <w:spacing w:line="360" w:lineRule="auto"/>
        <w:rPr>
          <w:rFonts w:hint="eastAsia" w:ascii="宋体" w:hAnsi="宋体" w:cs="宋体"/>
          <w:color w:val="000000" w:themeColor="text1"/>
          <w14:textFill>
            <w14:solidFill>
              <w14:schemeClr w14:val="tx1"/>
            </w14:solidFill>
          </w14:textFill>
        </w:rPr>
      </w:pPr>
    </w:p>
    <w:p w14:paraId="697432EC">
      <w:pP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填报说明：</w:t>
      </w:r>
    </w:p>
    <w:p w14:paraId="29D26DB7">
      <w:pPr>
        <w:spacing w:line="360" w:lineRule="auto"/>
        <w:ind w:firstLine="480"/>
        <w:jc w:val="lef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请投标人如实填写，所填内容须与投标分项报价表一致，如填写不完整或不一致或填写有误，将不享受扶持政策。</w:t>
      </w:r>
    </w:p>
    <w:p w14:paraId="08C7C121">
      <w:pPr>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2、中标人的《残疾人福利性单位声明函》随中标结果公开</w:t>
      </w:r>
      <w:r>
        <w:rPr>
          <w:rFonts w:hint="eastAsia" w:ascii="宋体" w:hAnsi="宋体" w:cs="宋体"/>
          <w:color w:val="000000" w:themeColor="text1"/>
          <w:sz w:val="24"/>
          <w:szCs w:val="24"/>
          <w14:textFill>
            <w14:solidFill>
              <w14:schemeClr w14:val="tx1"/>
            </w14:solidFill>
          </w14:textFill>
        </w:rPr>
        <w:t>，接受社会监督</w:t>
      </w:r>
      <w:r>
        <w:rPr>
          <w:rFonts w:hint="eastAsia" w:ascii="宋体" w:hAnsi="宋体" w:cs="宋体"/>
          <w:bCs/>
          <w:color w:val="000000" w:themeColor="text1"/>
          <w:sz w:val="24"/>
          <w:szCs w:val="24"/>
          <w14:textFill>
            <w14:solidFill>
              <w14:schemeClr w14:val="tx1"/>
            </w14:solidFill>
          </w14:textFill>
        </w:rPr>
        <w:t>。</w:t>
      </w:r>
    </w:p>
    <w:p w14:paraId="7248B294">
      <w:pPr>
        <w:spacing w:line="360" w:lineRule="auto"/>
        <w:rPr>
          <w:rFonts w:hint="eastAsia" w:ascii="宋体" w:hAnsi="宋体" w:cs="宋体"/>
          <w:color w:val="000000" w:themeColor="text1"/>
          <w14:textFill>
            <w14:solidFill>
              <w14:schemeClr w14:val="tx1"/>
            </w14:solidFill>
          </w14:textFill>
        </w:rPr>
      </w:pPr>
    </w:p>
    <w:p w14:paraId="69F7BC51">
      <w:pPr>
        <w:spacing w:line="360" w:lineRule="auto"/>
        <w:rPr>
          <w:rFonts w:hint="eastAsia" w:ascii="宋体" w:hAnsi="宋体" w:cs="宋体"/>
          <w:color w:val="000000" w:themeColor="text1"/>
          <w14:textFill>
            <w14:solidFill>
              <w14:schemeClr w14:val="tx1"/>
            </w14:solidFill>
          </w14:textFill>
        </w:rPr>
      </w:pPr>
    </w:p>
    <w:p w14:paraId="600066A3">
      <w:pPr>
        <w:spacing w:line="360" w:lineRule="auto"/>
        <w:rPr>
          <w:rFonts w:hint="eastAsia" w:ascii="宋体" w:hAnsi="宋体" w:cs="宋体"/>
          <w:color w:val="000000" w:themeColor="text1"/>
          <w14:textFill>
            <w14:solidFill>
              <w14:schemeClr w14:val="tx1"/>
            </w14:solidFill>
          </w14:textFill>
        </w:rPr>
      </w:pPr>
    </w:p>
    <w:p w14:paraId="0A6E54AF">
      <w:pPr>
        <w:rPr>
          <w:rFonts w:hint="eastAsia" w:ascii="宋体" w:hAnsi="宋体" w:cs="宋体"/>
          <w:color w:val="000000" w:themeColor="text1"/>
          <w:sz w:val="36"/>
          <w14:textFill>
            <w14:solidFill>
              <w14:schemeClr w14:val="tx1"/>
            </w14:solidFill>
          </w14:textFill>
        </w:rPr>
      </w:pPr>
      <w:r>
        <w:rPr>
          <w:rFonts w:hint="eastAsia" w:ascii="宋体" w:hAnsi="宋体" w:cs="宋体"/>
          <w:color w:val="000000" w:themeColor="text1"/>
          <w:sz w:val="36"/>
          <w14:textFill>
            <w14:solidFill>
              <w14:schemeClr w14:val="tx1"/>
            </w14:solidFill>
          </w14:textFill>
        </w:rPr>
        <w:br w:type="page" w:clear="all"/>
      </w:r>
    </w:p>
    <w:p w14:paraId="45B36C68">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color w:val="000000" w:themeColor="text1"/>
          <w:sz w:val="28"/>
          <w:szCs w:val="28"/>
          <w:u w:val="single"/>
          <w14:textFill>
            <w14:solidFill>
              <w14:schemeClr w14:val="tx1"/>
            </w14:solidFill>
          </w14:textFill>
        </w:rPr>
        <w:t>十三、投标分项报价表</w:t>
      </w:r>
    </w:p>
    <w:p w14:paraId="0F52996A">
      <w:pPr>
        <w:tabs>
          <w:tab w:val="left" w:pos="360"/>
        </w:tabs>
        <w:spacing w:line="360" w:lineRule="auto"/>
        <w:jc w:val="center"/>
        <w:rPr>
          <w:rFonts w:hint="eastAsia" w:ascii="宋体" w:hAnsi="宋体" w:cs="宋体"/>
          <w:bCs/>
          <w:color w:val="000000" w:themeColor="text1"/>
          <w:sz w:val="36"/>
          <w:szCs w:val="28"/>
          <w14:textFill>
            <w14:solidFill>
              <w14:schemeClr w14:val="tx1"/>
            </w14:solidFill>
          </w14:textFill>
        </w:rPr>
      </w:pPr>
      <w:r>
        <w:rPr>
          <w:rFonts w:hint="eastAsia" w:ascii="宋体" w:hAnsi="宋体" w:cs="宋体"/>
          <w:bCs/>
          <w:color w:val="000000" w:themeColor="text1"/>
          <w:sz w:val="36"/>
          <w:szCs w:val="28"/>
          <w14:textFill>
            <w14:solidFill>
              <w14:schemeClr w14:val="tx1"/>
            </w14:solidFill>
          </w14:textFill>
        </w:rPr>
        <w:t>投标分项报价表</w:t>
      </w:r>
    </w:p>
    <w:p w14:paraId="6ED443DB">
      <w:pPr>
        <w:spacing w:line="360" w:lineRule="auto"/>
        <w:ind w:firstLine="21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项目名称：项目编号：单位：元</w:t>
      </w:r>
    </w:p>
    <w:tbl>
      <w:tblPr>
        <w:tblStyle w:val="48"/>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1250"/>
        <w:gridCol w:w="705"/>
        <w:gridCol w:w="1215"/>
        <w:gridCol w:w="825"/>
        <w:gridCol w:w="768"/>
        <w:gridCol w:w="927"/>
        <w:gridCol w:w="780"/>
        <w:gridCol w:w="765"/>
        <w:gridCol w:w="750"/>
        <w:gridCol w:w="793"/>
      </w:tblGrid>
      <w:tr w14:paraId="2834A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jc w:val="center"/>
        </w:trPr>
        <w:tc>
          <w:tcPr>
            <w:tcW w:w="521" w:type="dxa"/>
            <w:noWrap/>
            <w:vAlign w:val="center"/>
          </w:tcPr>
          <w:p w14:paraId="603C2C48">
            <w:pPr>
              <w:widowControl/>
              <w:spacing w:line="360" w:lineRule="auto"/>
              <w:jc w:val="center"/>
              <w:rPr>
                <w:rFonts w:hint="eastAsia" w:ascii="宋体" w:hAnsi="宋体" w:cs="宋体"/>
                <w:bCs/>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序号</w:t>
            </w:r>
          </w:p>
        </w:tc>
        <w:tc>
          <w:tcPr>
            <w:tcW w:w="1250" w:type="dxa"/>
            <w:vAlign w:val="center"/>
          </w:tcPr>
          <w:p w14:paraId="7F7BAC94">
            <w:pPr>
              <w:widowControl/>
              <w:spacing w:line="360" w:lineRule="auto"/>
              <w:jc w:val="center"/>
              <w:rPr>
                <w:rFonts w:hint="eastAsia" w:ascii="宋体" w:hAnsi="宋体" w:cs="宋体"/>
                <w:bCs/>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服务项目名称</w:t>
            </w:r>
          </w:p>
        </w:tc>
        <w:tc>
          <w:tcPr>
            <w:tcW w:w="705" w:type="dxa"/>
            <w:vAlign w:val="center"/>
          </w:tcPr>
          <w:p w14:paraId="4698B595">
            <w:pPr>
              <w:widowControl/>
              <w:spacing w:line="360" w:lineRule="auto"/>
              <w:jc w:val="center"/>
              <w:rPr>
                <w:rFonts w:hint="eastAsia" w:ascii="宋体" w:hAnsi="宋体" w:cs="宋体"/>
                <w:bCs/>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品牌</w:t>
            </w:r>
          </w:p>
        </w:tc>
        <w:tc>
          <w:tcPr>
            <w:tcW w:w="1215" w:type="dxa"/>
            <w:vAlign w:val="center"/>
          </w:tcPr>
          <w:p w14:paraId="6B7AECDE">
            <w:pPr>
              <w:widowControl/>
              <w:spacing w:line="360" w:lineRule="auto"/>
              <w:jc w:val="center"/>
              <w:rPr>
                <w:rFonts w:hint="eastAsia" w:ascii="宋体" w:hAnsi="宋体" w:cs="宋体"/>
                <w:bCs/>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是否涉及货物</w:t>
            </w:r>
          </w:p>
        </w:tc>
        <w:tc>
          <w:tcPr>
            <w:tcW w:w="825" w:type="dxa"/>
            <w:vAlign w:val="center"/>
          </w:tcPr>
          <w:p w14:paraId="65DDF562">
            <w:pPr>
              <w:widowControl/>
              <w:spacing w:line="360" w:lineRule="auto"/>
              <w:jc w:val="center"/>
              <w:rPr>
                <w:rFonts w:hint="eastAsia" w:ascii="宋体" w:hAnsi="宋体" w:cs="宋体"/>
                <w:bCs/>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规格型号</w:t>
            </w:r>
          </w:p>
        </w:tc>
        <w:tc>
          <w:tcPr>
            <w:tcW w:w="768" w:type="dxa"/>
            <w:vAlign w:val="center"/>
          </w:tcPr>
          <w:p w14:paraId="0F1BB0CF">
            <w:pPr>
              <w:widowControl/>
              <w:spacing w:line="360" w:lineRule="auto"/>
              <w:jc w:val="center"/>
              <w:rPr>
                <w:rFonts w:hint="eastAsia" w:ascii="宋体" w:hAnsi="宋体" w:cs="宋体"/>
                <w:bCs/>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承接/制造单位</w:t>
            </w:r>
          </w:p>
        </w:tc>
        <w:tc>
          <w:tcPr>
            <w:tcW w:w="927" w:type="dxa"/>
            <w:vAlign w:val="center"/>
          </w:tcPr>
          <w:p w14:paraId="345AA082">
            <w:pPr>
              <w:widowControl/>
              <w:spacing w:line="360" w:lineRule="auto"/>
              <w:jc w:val="center"/>
              <w:rPr>
                <w:rFonts w:hint="eastAsia" w:ascii="宋体" w:hAnsi="宋体" w:cs="宋体"/>
                <w:bCs/>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承接单位企业类型</w:t>
            </w:r>
          </w:p>
        </w:tc>
        <w:tc>
          <w:tcPr>
            <w:tcW w:w="780" w:type="dxa"/>
            <w:vAlign w:val="center"/>
          </w:tcPr>
          <w:p w14:paraId="13CC749E">
            <w:pPr>
              <w:widowControl/>
              <w:spacing w:line="360" w:lineRule="auto"/>
              <w:jc w:val="center"/>
              <w:rPr>
                <w:rFonts w:hint="eastAsia" w:ascii="宋体" w:hAnsi="宋体" w:cs="宋体"/>
                <w:bCs/>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单价</w:t>
            </w:r>
          </w:p>
        </w:tc>
        <w:tc>
          <w:tcPr>
            <w:tcW w:w="765" w:type="dxa"/>
            <w:vAlign w:val="center"/>
          </w:tcPr>
          <w:p w14:paraId="25A29FA0">
            <w:pPr>
              <w:widowControl/>
              <w:spacing w:line="360" w:lineRule="auto"/>
              <w:jc w:val="center"/>
              <w:rPr>
                <w:rFonts w:hint="eastAsia" w:ascii="宋体" w:hAnsi="宋体" w:cs="宋体"/>
                <w:bCs/>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数量</w:t>
            </w:r>
          </w:p>
        </w:tc>
        <w:tc>
          <w:tcPr>
            <w:tcW w:w="750" w:type="dxa"/>
            <w:vAlign w:val="center"/>
          </w:tcPr>
          <w:p w14:paraId="6AD288E0">
            <w:pPr>
              <w:widowControl/>
              <w:spacing w:line="360" w:lineRule="auto"/>
              <w:jc w:val="center"/>
              <w:rPr>
                <w:rFonts w:hint="eastAsia" w:ascii="宋体" w:hAnsi="宋体" w:cs="宋体"/>
                <w:bCs/>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计量单位</w:t>
            </w:r>
          </w:p>
        </w:tc>
        <w:tc>
          <w:tcPr>
            <w:tcW w:w="793" w:type="dxa"/>
            <w:vAlign w:val="center"/>
          </w:tcPr>
          <w:p w14:paraId="29D9EBB8">
            <w:pPr>
              <w:widowControl/>
              <w:spacing w:line="360" w:lineRule="auto"/>
              <w:jc w:val="center"/>
              <w:rPr>
                <w:rFonts w:hint="eastAsia" w:ascii="宋体" w:hAnsi="宋体" w:cs="宋体"/>
                <w:bCs/>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单项合计价</w:t>
            </w:r>
          </w:p>
        </w:tc>
      </w:tr>
      <w:tr w14:paraId="16BB2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noWrap/>
            <w:vAlign w:val="center"/>
          </w:tcPr>
          <w:p w14:paraId="07CB000D">
            <w:pPr>
              <w:widowControl/>
              <w:spacing w:line="360" w:lineRule="auto"/>
              <w:jc w:val="center"/>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1250" w:type="dxa"/>
            <w:noWrap/>
            <w:vAlign w:val="center"/>
          </w:tcPr>
          <w:p w14:paraId="11CD99C3">
            <w:pPr>
              <w:widowControl/>
              <w:spacing w:line="360" w:lineRule="auto"/>
              <w:rPr>
                <w:rFonts w:hint="eastAsia" w:ascii="宋体" w:hAnsi="宋体" w:cs="宋体"/>
                <w:color w:val="000000" w:themeColor="text1"/>
                <w:szCs w:val="24"/>
                <w14:textFill>
                  <w14:solidFill>
                    <w14:schemeClr w14:val="tx1"/>
                  </w14:solidFill>
                </w14:textFill>
              </w:rPr>
            </w:pPr>
          </w:p>
        </w:tc>
        <w:tc>
          <w:tcPr>
            <w:tcW w:w="705" w:type="dxa"/>
            <w:noWrap/>
            <w:vAlign w:val="center"/>
          </w:tcPr>
          <w:p w14:paraId="179099AC">
            <w:pPr>
              <w:widowControl/>
              <w:spacing w:line="360" w:lineRule="auto"/>
              <w:rPr>
                <w:rFonts w:hint="eastAsia" w:ascii="宋体" w:hAnsi="宋体" w:cs="宋体"/>
                <w:color w:val="000000" w:themeColor="text1"/>
                <w:szCs w:val="24"/>
                <w14:textFill>
                  <w14:solidFill>
                    <w14:schemeClr w14:val="tx1"/>
                  </w14:solidFill>
                </w14:textFill>
              </w:rPr>
            </w:pPr>
          </w:p>
        </w:tc>
        <w:tc>
          <w:tcPr>
            <w:tcW w:w="1215" w:type="dxa"/>
            <w:noWrap/>
            <w:vAlign w:val="center"/>
          </w:tcPr>
          <w:p w14:paraId="21640812">
            <w:pPr>
              <w:widowControl/>
              <w:spacing w:line="360" w:lineRule="auto"/>
              <w:rPr>
                <w:rFonts w:hint="eastAsia" w:ascii="宋体" w:hAnsi="宋体" w:cs="宋体"/>
                <w:color w:val="000000" w:themeColor="text1"/>
                <w:szCs w:val="24"/>
                <w14:textFill>
                  <w14:solidFill>
                    <w14:schemeClr w14:val="tx1"/>
                  </w14:solidFill>
                </w14:textFill>
              </w:rPr>
            </w:pPr>
          </w:p>
        </w:tc>
        <w:tc>
          <w:tcPr>
            <w:tcW w:w="825" w:type="dxa"/>
            <w:noWrap/>
            <w:vAlign w:val="center"/>
          </w:tcPr>
          <w:p w14:paraId="159650F1">
            <w:pPr>
              <w:widowControl/>
              <w:spacing w:line="360" w:lineRule="auto"/>
              <w:rPr>
                <w:rFonts w:hint="eastAsia" w:ascii="宋体" w:hAnsi="宋体" w:cs="宋体"/>
                <w:color w:val="000000" w:themeColor="text1"/>
                <w:szCs w:val="24"/>
                <w14:textFill>
                  <w14:solidFill>
                    <w14:schemeClr w14:val="tx1"/>
                  </w14:solidFill>
                </w14:textFill>
              </w:rPr>
            </w:pPr>
          </w:p>
        </w:tc>
        <w:tc>
          <w:tcPr>
            <w:tcW w:w="768" w:type="dxa"/>
            <w:noWrap/>
            <w:vAlign w:val="center"/>
          </w:tcPr>
          <w:p w14:paraId="42ABDC15">
            <w:pPr>
              <w:widowControl/>
              <w:spacing w:line="360" w:lineRule="auto"/>
              <w:rPr>
                <w:rFonts w:hint="eastAsia" w:ascii="宋体" w:hAnsi="宋体" w:cs="宋体"/>
                <w:color w:val="000000" w:themeColor="text1"/>
                <w:szCs w:val="24"/>
                <w14:textFill>
                  <w14:solidFill>
                    <w14:schemeClr w14:val="tx1"/>
                  </w14:solidFill>
                </w14:textFill>
              </w:rPr>
            </w:pPr>
          </w:p>
        </w:tc>
        <w:tc>
          <w:tcPr>
            <w:tcW w:w="927" w:type="dxa"/>
            <w:noWrap/>
            <w:vAlign w:val="center"/>
          </w:tcPr>
          <w:p w14:paraId="5626E3C0">
            <w:pPr>
              <w:widowControl/>
              <w:spacing w:line="360" w:lineRule="auto"/>
              <w:rPr>
                <w:rFonts w:hint="eastAsia" w:ascii="宋体" w:hAnsi="宋体" w:cs="宋体"/>
                <w:color w:val="000000" w:themeColor="text1"/>
                <w:szCs w:val="24"/>
                <w14:textFill>
                  <w14:solidFill>
                    <w14:schemeClr w14:val="tx1"/>
                  </w14:solidFill>
                </w14:textFill>
              </w:rPr>
            </w:pPr>
          </w:p>
        </w:tc>
        <w:tc>
          <w:tcPr>
            <w:tcW w:w="780" w:type="dxa"/>
            <w:vAlign w:val="center"/>
          </w:tcPr>
          <w:p w14:paraId="2CFC1996">
            <w:pPr>
              <w:widowControl/>
              <w:spacing w:line="360" w:lineRule="auto"/>
              <w:rPr>
                <w:rFonts w:hint="eastAsia" w:ascii="宋体" w:hAnsi="宋体" w:cs="宋体"/>
                <w:color w:val="000000" w:themeColor="text1"/>
                <w:szCs w:val="24"/>
                <w14:textFill>
                  <w14:solidFill>
                    <w14:schemeClr w14:val="tx1"/>
                  </w14:solidFill>
                </w14:textFill>
              </w:rPr>
            </w:pPr>
          </w:p>
        </w:tc>
        <w:tc>
          <w:tcPr>
            <w:tcW w:w="765" w:type="dxa"/>
            <w:noWrap/>
            <w:vAlign w:val="center"/>
          </w:tcPr>
          <w:p w14:paraId="5E6E6B5A">
            <w:pPr>
              <w:widowControl/>
              <w:spacing w:line="360" w:lineRule="auto"/>
              <w:rPr>
                <w:rFonts w:hint="eastAsia" w:ascii="宋体" w:hAnsi="宋体" w:cs="宋体"/>
                <w:color w:val="000000" w:themeColor="text1"/>
                <w:szCs w:val="24"/>
                <w14:textFill>
                  <w14:solidFill>
                    <w14:schemeClr w14:val="tx1"/>
                  </w14:solidFill>
                </w14:textFill>
              </w:rPr>
            </w:pPr>
          </w:p>
        </w:tc>
        <w:tc>
          <w:tcPr>
            <w:tcW w:w="750" w:type="dxa"/>
            <w:noWrap/>
            <w:vAlign w:val="center"/>
          </w:tcPr>
          <w:p w14:paraId="4D19500F">
            <w:pPr>
              <w:widowControl/>
              <w:spacing w:line="360" w:lineRule="auto"/>
              <w:rPr>
                <w:rFonts w:hint="eastAsia" w:ascii="宋体" w:hAnsi="宋体" w:cs="宋体"/>
                <w:color w:val="000000" w:themeColor="text1"/>
                <w:szCs w:val="24"/>
                <w14:textFill>
                  <w14:solidFill>
                    <w14:schemeClr w14:val="tx1"/>
                  </w14:solidFill>
                </w14:textFill>
              </w:rPr>
            </w:pPr>
          </w:p>
        </w:tc>
        <w:tc>
          <w:tcPr>
            <w:tcW w:w="793" w:type="dxa"/>
            <w:noWrap/>
            <w:vAlign w:val="center"/>
          </w:tcPr>
          <w:p w14:paraId="5F212CA9">
            <w:pPr>
              <w:widowControl/>
              <w:spacing w:line="360" w:lineRule="auto"/>
              <w:rPr>
                <w:rFonts w:hint="eastAsia" w:ascii="宋体" w:hAnsi="宋体" w:cs="宋体"/>
                <w:color w:val="000000" w:themeColor="text1"/>
                <w:szCs w:val="24"/>
                <w14:textFill>
                  <w14:solidFill>
                    <w14:schemeClr w14:val="tx1"/>
                  </w14:solidFill>
                </w14:textFill>
              </w:rPr>
            </w:pPr>
          </w:p>
        </w:tc>
      </w:tr>
      <w:tr w14:paraId="33E17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noWrap/>
            <w:vAlign w:val="center"/>
          </w:tcPr>
          <w:p w14:paraId="24F0370F">
            <w:pPr>
              <w:widowControl/>
              <w:spacing w:line="360" w:lineRule="auto"/>
              <w:jc w:val="center"/>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2</w:t>
            </w:r>
          </w:p>
        </w:tc>
        <w:tc>
          <w:tcPr>
            <w:tcW w:w="1250" w:type="dxa"/>
            <w:noWrap/>
            <w:vAlign w:val="center"/>
          </w:tcPr>
          <w:p w14:paraId="2E7CF32C">
            <w:pPr>
              <w:widowControl/>
              <w:spacing w:line="360" w:lineRule="auto"/>
              <w:rPr>
                <w:rFonts w:hint="eastAsia" w:ascii="宋体" w:hAnsi="宋体" w:cs="宋体"/>
                <w:color w:val="000000" w:themeColor="text1"/>
                <w:szCs w:val="24"/>
                <w14:textFill>
                  <w14:solidFill>
                    <w14:schemeClr w14:val="tx1"/>
                  </w14:solidFill>
                </w14:textFill>
              </w:rPr>
            </w:pPr>
          </w:p>
        </w:tc>
        <w:tc>
          <w:tcPr>
            <w:tcW w:w="705" w:type="dxa"/>
            <w:noWrap/>
            <w:vAlign w:val="center"/>
          </w:tcPr>
          <w:p w14:paraId="0A89A5B8">
            <w:pPr>
              <w:widowControl/>
              <w:spacing w:line="360" w:lineRule="auto"/>
              <w:rPr>
                <w:rFonts w:hint="eastAsia" w:ascii="宋体" w:hAnsi="宋体" w:cs="宋体"/>
                <w:color w:val="000000" w:themeColor="text1"/>
                <w:szCs w:val="24"/>
                <w14:textFill>
                  <w14:solidFill>
                    <w14:schemeClr w14:val="tx1"/>
                  </w14:solidFill>
                </w14:textFill>
              </w:rPr>
            </w:pPr>
          </w:p>
        </w:tc>
        <w:tc>
          <w:tcPr>
            <w:tcW w:w="1215" w:type="dxa"/>
            <w:noWrap/>
            <w:vAlign w:val="center"/>
          </w:tcPr>
          <w:p w14:paraId="5DA7494D">
            <w:pPr>
              <w:widowControl/>
              <w:spacing w:line="360" w:lineRule="auto"/>
              <w:rPr>
                <w:rFonts w:hint="eastAsia" w:ascii="宋体" w:hAnsi="宋体" w:cs="宋体"/>
                <w:color w:val="000000" w:themeColor="text1"/>
                <w:szCs w:val="24"/>
                <w14:textFill>
                  <w14:solidFill>
                    <w14:schemeClr w14:val="tx1"/>
                  </w14:solidFill>
                </w14:textFill>
              </w:rPr>
            </w:pPr>
          </w:p>
        </w:tc>
        <w:tc>
          <w:tcPr>
            <w:tcW w:w="825" w:type="dxa"/>
            <w:noWrap/>
            <w:vAlign w:val="center"/>
          </w:tcPr>
          <w:p w14:paraId="75B3F76B">
            <w:pPr>
              <w:widowControl/>
              <w:spacing w:line="360" w:lineRule="auto"/>
              <w:rPr>
                <w:rFonts w:hint="eastAsia" w:ascii="宋体" w:hAnsi="宋体" w:cs="宋体"/>
                <w:color w:val="000000" w:themeColor="text1"/>
                <w:szCs w:val="24"/>
                <w14:textFill>
                  <w14:solidFill>
                    <w14:schemeClr w14:val="tx1"/>
                  </w14:solidFill>
                </w14:textFill>
              </w:rPr>
            </w:pPr>
          </w:p>
        </w:tc>
        <w:tc>
          <w:tcPr>
            <w:tcW w:w="768" w:type="dxa"/>
            <w:noWrap/>
            <w:vAlign w:val="center"/>
          </w:tcPr>
          <w:p w14:paraId="1427CC05">
            <w:pPr>
              <w:widowControl/>
              <w:spacing w:line="360" w:lineRule="auto"/>
              <w:rPr>
                <w:rFonts w:hint="eastAsia" w:ascii="宋体" w:hAnsi="宋体" w:cs="宋体"/>
                <w:color w:val="000000" w:themeColor="text1"/>
                <w:szCs w:val="24"/>
                <w14:textFill>
                  <w14:solidFill>
                    <w14:schemeClr w14:val="tx1"/>
                  </w14:solidFill>
                </w14:textFill>
              </w:rPr>
            </w:pPr>
          </w:p>
        </w:tc>
        <w:tc>
          <w:tcPr>
            <w:tcW w:w="927" w:type="dxa"/>
            <w:noWrap/>
            <w:vAlign w:val="center"/>
          </w:tcPr>
          <w:p w14:paraId="55CA90F1">
            <w:pPr>
              <w:widowControl/>
              <w:spacing w:line="360" w:lineRule="auto"/>
              <w:rPr>
                <w:rFonts w:hint="eastAsia" w:ascii="宋体" w:hAnsi="宋体" w:cs="宋体"/>
                <w:color w:val="000000" w:themeColor="text1"/>
                <w:szCs w:val="24"/>
                <w14:textFill>
                  <w14:solidFill>
                    <w14:schemeClr w14:val="tx1"/>
                  </w14:solidFill>
                </w14:textFill>
              </w:rPr>
            </w:pPr>
          </w:p>
        </w:tc>
        <w:tc>
          <w:tcPr>
            <w:tcW w:w="780" w:type="dxa"/>
            <w:vAlign w:val="center"/>
          </w:tcPr>
          <w:p w14:paraId="57273F12">
            <w:pPr>
              <w:widowControl/>
              <w:spacing w:line="360" w:lineRule="auto"/>
              <w:rPr>
                <w:rFonts w:hint="eastAsia" w:ascii="宋体" w:hAnsi="宋体" w:cs="宋体"/>
                <w:color w:val="000000" w:themeColor="text1"/>
                <w:szCs w:val="24"/>
                <w14:textFill>
                  <w14:solidFill>
                    <w14:schemeClr w14:val="tx1"/>
                  </w14:solidFill>
                </w14:textFill>
              </w:rPr>
            </w:pPr>
          </w:p>
        </w:tc>
        <w:tc>
          <w:tcPr>
            <w:tcW w:w="765" w:type="dxa"/>
            <w:noWrap/>
            <w:vAlign w:val="center"/>
          </w:tcPr>
          <w:p w14:paraId="17AB875C">
            <w:pPr>
              <w:widowControl/>
              <w:spacing w:line="360" w:lineRule="auto"/>
              <w:rPr>
                <w:rFonts w:hint="eastAsia" w:ascii="宋体" w:hAnsi="宋体" w:cs="宋体"/>
                <w:color w:val="000000" w:themeColor="text1"/>
                <w:szCs w:val="24"/>
                <w14:textFill>
                  <w14:solidFill>
                    <w14:schemeClr w14:val="tx1"/>
                  </w14:solidFill>
                </w14:textFill>
              </w:rPr>
            </w:pPr>
          </w:p>
        </w:tc>
        <w:tc>
          <w:tcPr>
            <w:tcW w:w="750" w:type="dxa"/>
            <w:noWrap/>
            <w:vAlign w:val="center"/>
          </w:tcPr>
          <w:p w14:paraId="2A748487">
            <w:pPr>
              <w:widowControl/>
              <w:spacing w:line="360" w:lineRule="auto"/>
              <w:rPr>
                <w:rFonts w:hint="eastAsia" w:ascii="宋体" w:hAnsi="宋体" w:cs="宋体"/>
                <w:color w:val="000000" w:themeColor="text1"/>
                <w:szCs w:val="24"/>
                <w14:textFill>
                  <w14:solidFill>
                    <w14:schemeClr w14:val="tx1"/>
                  </w14:solidFill>
                </w14:textFill>
              </w:rPr>
            </w:pPr>
          </w:p>
        </w:tc>
        <w:tc>
          <w:tcPr>
            <w:tcW w:w="793" w:type="dxa"/>
            <w:noWrap/>
            <w:vAlign w:val="center"/>
          </w:tcPr>
          <w:p w14:paraId="530CFA0C">
            <w:pPr>
              <w:widowControl/>
              <w:spacing w:line="360" w:lineRule="auto"/>
              <w:rPr>
                <w:rFonts w:hint="eastAsia" w:ascii="宋体" w:hAnsi="宋体" w:cs="宋体"/>
                <w:color w:val="000000" w:themeColor="text1"/>
                <w:szCs w:val="24"/>
                <w14:textFill>
                  <w14:solidFill>
                    <w14:schemeClr w14:val="tx1"/>
                  </w14:solidFill>
                </w14:textFill>
              </w:rPr>
            </w:pPr>
          </w:p>
        </w:tc>
      </w:tr>
      <w:tr w14:paraId="30DB2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21" w:type="dxa"/>
            <w:noWrap/>
            <w:vAlign w:val="center"/>
          </w:tcPr>
          <w:p w14:paraId="6AC779F7">
            <w:pPr>
              <w:widowControl/>
              <w:spacing w:line="360" w:lineRule="auto"/>
              <w:jc w:val="center"/>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3</w:t>
            </w:r>
          </w:p>
        </w:tc>
        <w:tc>
          <w:tcPr>
            <w:tcW w:w="1250" w:type="dxa"/>
            <w:noWrap/>
            <w:vAlign w:val="center"/>
          </w:tcPr>
          <w:p w14:paraId="019EEFDF">
            <w:pPr>
              <w:widowControl/>
              <w:spacing w:line="360" w:lineRule="auto"/>
              <w:rPr>
                <w:rFonts w:hint="eastAsia" w:ascii="宋体" w:hAnsi="宋体" w:cs="宋体"/>
                <w:color w:val="000000" w:themeColor="text1"/>
                <w:szCs w:val="24"/>
                <w14:textFill>
                  <w14:solidFill>
                    <w14:schemeClr w14:val="tx1"/>
                  </w14:solidFill>
                </w14:textFill>
              </w:rPr>
            </w:pPr>
          </w:p>
        </w:tc>
        <w:tc>
          <w:tcPr>
            <w:tcW w:w="705" w:type="dxa"/>
            <w:noWrap/>
            <w:vAlign w:val="center"/>
          </w:tcPr>
          <w:p w14:paraId="4964EA4B">
            <w:pPr>
              <w:widowControl/>
              <w:spacing w:line="360" w:lineRule="auto"/>
              <w:rPr>
                <w:rFonts w:hint="eastAsia" w:ascii="宋体" w:hAnsi="宋体" w:cs="宋体"/>
                <w:color w:val="000000" w:themeColor="text1"/>
                <w:szCs w:val="24"/>
                <w14:textFill>
                  <w14:solidFill>
                    <w14:schemeClr w14:val="tx1"/>
                  </w14:solidFill>
                </w14:textFill>
              </w:rPr>
            </w:pPr>
          </w:p>
        </w:tc>
        <w:tc>
          <w:tcPr>
            <w:tcW w:w="1215" w:type="dxa"/>
            <w:noWrap/>
            <w:vAlign w:val="center"/>
          </w:tcPr>
          <w:p w14:paraId="3F7D2680">
            <w:pPr>
              <w:widowControl/>
              <w:spacing w:line="360" w:lineRule="auto"/>
              <w:rPr>
                <w:rFonts w:hint="eastAsia" w:ascii="宋体" w:hAnsi="宋体" w:cs="宋体"/>
                <w:color w:val="000000" w:themeColor="text1"/>
                <w:szCs w:val="24"/>
                <w14:textFill>
                  <w14:solidFill>
                    <w14:schemeClr w14:val="tx1"/>
                  </w14:solidFill>
                </w14:textFill>
              </w:rPr>
            </w:pPr>
          </w:p>
        </w:tc>
        <w:tc>
          <w:tcPr>
            <w:tcW w:w="825" w:type="dxa"/>
            <w:noWrap/>
            <w:vAlign w:val="center"/>
          </w:tcPr>
          <w:p w14:paraId="3F3AC6FB">
            <w:pPr>
              <w:widowControl/>
              <w:spacing w:line="360" w:lineRule="auto"/>
              <w:rPr>
                <w:rFonts w:hint="eastAsia" w:ascii="宋体" w:hAnsi="宋体" w:cs="宋体"/>
                <w:color w:val="000000" w:themeColor="text1"/>
                <w:szCs w:val="24"/>
                <w14:textFill>
                  <w14:solidFill>
                    <w14:schemeClr w14:val="tx1"/>
                  </w14:solidFill>
                </w14:textFill>
              </w:rPr>
            </w:pPr>
          </w:p>
        </w:tc>
        <w:tc>
          <w:tcPr>
            <w:tcW w:w="768" w:type="dxa"/>
            <w:noWrap/>
            <w:vAlign w:val="center"/>
          </w:tcPr>
          <w:p w14:paraId="4CF053CA">
            <w:pPr>
              <w:widowControl/>
              <w:spacing w:line="360" w:lineRule="auto"/>
              <w:rPr>
                <w:rFonts w:hint="eastAsia" w:ascii="宋体" w:hAnsi="宋体" w:cs="宋体"/>
                <w:color w:val="000000" w:themeColor="text1"/>
                <w:szCs w:val="24"/>
                <w14:textFill>
                  <w14:solidFill>
                    <w14:schemeClr w14:val="tx1"/>
                  </w14:solidFill>
                </w14:textFill>
              </w:rPr>
            </w:pPr>
          </w:p>
        </w:tc>
        <w:tc>
          <w:tcPr>
            <w:tcW w:w="927" w:type="dxa"/>
            <w:noWrap/>
            <w:vAlign w:val="center"/>
          </w:tcPr>
          <w:p w14:paraId="3ACB4699">
            <w:pPr>
              <w:widowControl/>
              <w:spacing w:line="360" w:lineRule="auto"/>
              <w:rPr>
                <w:rFonts w:hint="eastAsia" w:ascii="宋体" w:hAnsi="宋体" w:cs="宋体"/>
                <w:color w:val="000000" w:themeColor="text1"/>
                <w:szCs w:val="24"/>
                <w14:textFill>
                  <w14:solidFill>
                    <w14:schemeClr w14:val="tx1"/>
                  </w14:solidFill>
                </w14:textFill>
              </w:rPr>
            </w:pPr>
          </w:p>
        </w:tc>
        <w:tc>
          <w:tcPr>
            <w:tcW w:w="780" w:type="dxa"/>
            <w:vAlign w:val="center"/>
          </w:tcPr>
          <w:p w14:paraId="236029BC">
            <w:pPr>
              <w:widowControl/>
              <w:spacing w:line="360" w:lineRule="auto"/>
              <w:rPr>
                <w:rFonts w:hint="eastAsia" w:ascii="宋体" w:hAnsi="宋体" w:cs="宋体"/>
                <w:color w:val="000000" w:themeColor="text1"/>
                <w:szCs w:val="24"/>
                <w14:textFill>
                  <w14:solidFill>
                    <w14:schemeClr w14:val="tx1"/>
                  </w14:solidFill>
                </w14:textFill>
              </w:rPr>
            </w:pPr>
          </w:p>
        </w:tc>
        <w:tc>
          <w:tcPr>
            <w:tcW w:w="765" w:type="dxa"/>
            <w:noWrap/>
            <w:vAlign w:val="center"/>
          </w:tcPr>
          <w:p w14:paraId="3B2DD615">
            <w:pPr>
              <w:widowControl/>
              <w:spacing w:line="360" w:lineRule="auto"/>
              <w:rPr>
                <w:rFonts w:hint="eastAsia" w:ascii="宋体" w:hAnsi="宋体" w:cs="宋体"/>
                <w:color w:val="000000" w:themeColor="text1"/>
                <w:szCs w:val="24"/>
                <w14:textFill>
                  <w14:solidFill>
                    <w14:schemeClr w14:val="tx1"/>
                  </w14:solidFill>
                </w14:textFill>
              </w:rPr>
            </w:pPr>
          </w:p>
        </w:tc>
        <w:tc>
          <w:tcPr>
            <w:tcW w:w="750" w:type="dxa"/>
            <w:noWrap/>
            <w:vAlign w:val="center"/>
          </w:tcPr>
          <w:p w14:paraId="687AB3BA">
            <w:pPr>
              <w:widowControl/>
              <w:spacing w:line="360" w:lineRule="auto"/>
              <w:rPr>
                <w:rFonts w:hint="eastAsia" w:ascii="宋体" w:hAnsi="宋体" w:cs="宋体"/>
                <w:color w:val="000000" w:themeColor="text1"/>
                <w:szCs w:val="24"/>
                <w14:textFill>
                  <w14:solidFill>
                    <w14:schemeClr w14:val="tx1"/>
                  </w14:solidFill>
                </w14:textFill>
              </w:rPr>
            </w:pPr>
          </w:p>
        </w:tc>
        <w:tc>
          <w:tcPr>
            <w:tcW w:w="793" w:type="dxa"/>
            <w:noWrap/>
            <w:vAlign w:val="center"/>
          </w:tcPr>
          <w:p w14:paraId="464DC714">
            <w:pPr>
              <w:widowControl/>
              <w:spacing w:line="360" w:lineRule="auto"/>
              <w:rPr>
                <w:rFonts w:hint="eastAsia" w:ascii="宋体" w:hAnsi="宋体" w:cs="宋体"/>
                <w:color w:val="000000" w:themeColor="text1"/>
                <w:szCs w:val="24"/>
                <w14:textFill>
                  <w14:solidFill>
                    <w14:schemeClr w14:val="tx1"/>
                  </w14:solidFill>
                </w14:textFill>
              </w:rPr>
            </w:pPr>
          </w:p>
        </w:tc>
      </w:tr>
      <w:tr w14:paraId="66BB8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21" w:type="dxa"/>
            <w:noWrap/>
            <w:vAlign w:val="center"/>
          </w:tcPr>
          <w:p w14:paraId="61BFF495">
            <w:pPr>
              <w:widowControl/>
              <w:spacing w:line="360" w:lineRule="auto"/>
              <w:jc w:val="center"/>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1250" w:type="dxa"/>
            <w:noWrap/>
            <w:vAlign w:val="center"/>
          </w:tcPr>
          <w:p w14:paraId="1C16E7B3">
            <w:pPr>
              <w:widowControl/>
              <w:spacing w:line="360" w:lineRule="auto"/>
              <w:rPr>
                <w:rFonts w:hint="eastAsia" w:ascii="宋体" w:hAnsi="宋体" w:cs="宋体"/>
                <w:color w:val="000000" w:themeColor="text1"/>
                <w:szCs w:val="24"/>
                <w14:textFill>
                  <w14:solidFill>
                    <w14:schemeClr w14:val="tx1"/>
                  </w14:solidFill>
                </w14:textFill>
              </w:rPr>
            </w:pPr>
          </w:p>
        </w:tc>
        <w:tc>
          <w:tcPr>
            <w:tcW w:w="705" w:type="dxa"/>
            <w:noWrap/>
            <w:vAlign w:val="center"/>
          </w:tcPr>
          <w:p w14:paraId="35C38343">
            <w:pPr>
              <w:widowControl/>
              <w:spacing w:line="360" w:lineRule="auto"/>
              <w:rPr>
                <w:rFonts w:hint="eastAsia" w:ascii="宋体" w:hAnsi="宋体" w:cs="宋体"/>
                <w:color w:val="000000" w:themeColor="text1"/>
                <w:szCs w:val="24"/>
                <w14:textFill>
                  <w14:solidFill>
                    <w14:schemeClr w14:val="tx1"/>
                  </w14:solidFill>
                </w14:textFill>
              </w:rPr>
            </w:pPr>
          </w:p>
        </w:tc>
        <w:tc>
          <w:tcPr>
            <w:tcW w:w="1215" w:type="dxa"/>
            <w:noWrap/>
            <w:vAlign w:val="center"/>
          </w:tcPr>
          <w:p w14:paraId="288F74E3">
            <w:pPr>
              <w:widowControl/>
              <w:spacing w:line="360" w:lineRule="auto"/>
              <w:rPr>
                <w:rFonts w:hint="eastAsia" w:ascii="宋体" w:hAnsi="宋体" w:cs="宋体"/>
                <w:color w:val="000000" w:themeColor="text1"/>
                <w:szCs w:val="24"/>
                <w14:textFill>
                  <w14:solidFill>
                    <w14:schemeClr w14:val="tx1"/>
                  </w14:solidFill>
                </w14:textFill>
              </w:rPr>
            </w:pPr>
          </w:p>
        </w:tc>
        <w:tc>
          <w:tcPr>
            <w:tcW w:w="825" w:type="dxa"/>
            <w:noWrap/>
            <w:vAlign w:val="center"/>
          </w:tcPr>
          <w:p w14:paraId="2283F040">
            <w:pPr>
              <w:widowControl/>
              <w:spacing w:line="360" w:lineRule="auto"/>
              <w:rPr>
                <w:rFonts w:hint="eastAsia" w:ascii="宋体" w:hAnsi="宋体" w:cs="宋体"/>
                <w:color w:val="000000" w:themeColor="text1"/>
                <w:szCs w:val="24"/>
                <w14:textFill>
                  <w14:solidFill>
                    <w14:schemeClr w14:val="tx1"/>
                  </w14:solidFill>
                </w14:textFill>
              </w:rPr>
            </w:pPr>
          </w:p>
        </w:tc>
        <w:tc>
          <w:tcPr>
            <w:tcW w:w="768" w:type="dxa"/>
            <w:noWrap/>
            <w:vAlign w:val="center"/>
          </w:tcPr>
          <w:p w14:paraId="3AA47B2D">
            <w:pPr>
              <w:widowControl/>
              <w:spacing w:line="360" w:lineRule="auto"/>
              <w:rPr>
                <w:rFonts w:hint="eastAsia" w:ascii="宋体" w:hAnsi="宋体" w:cs="宋体"/>
                <w:color w:val="000000" w:themeColor="text1"/>
                <w:szCs w:val="24"/>
                <w14:textFill>
                  <w14:solidFill>
                    <w14:schemeClr w14:val="tx1"/>
                  </w14:solidFill>
                </w14:textFill>
              </w:rPr>
            </w:pPr>
          </w:p>
        </w:tc>
        <w:tc>
          <w:tcPr>
            <w:tcW w:w="927" w:type="dxa"/>
            <w:noWrap/>
            <w:vAlign w:val="center"/>
          </w:tcPr>
          <w:p w14:paraId="53164277">
            <w:pPr>
              <w:widowControl/>
              <w:spacing w:line="360" w:lineRule="auto"/>
              <w:rPr>
                <w:rFonts w:hint="eastAsia" w:ascii="宋体" w:hAnsi="宋体" w:cs="宋体"/>
                <w:color w:val="000000" w:themeColor="text1"/>
                <w:szCs w:val="24"/>
                <w14:textFill>
                  <w14:solidFill>
                    <w14:schemeClr w14:val="tx1"/>
                  </w14:solidFill>
                </w14:textFill>
              </w:rPr>
            </w:pPr>
          </w:p>
        </w:tc>
        <w:tc>
          <w:tcPr>
            <w:tcW w:w="780" w:type="dxa"/>
            <w:noWrap/>
            <w:vAlign w:val="center"/>
          </w:tcPr>
          <w:p w14:paraId="1800B642">
            <w:pPr>
              <w:widowControl/>
              <w:spacing w:line="360" w:lineRule="auto"/>
              <w:rPr>
                <w:rFonts w:hint="eastAsia" w:ascii="宋体" w:hAnsi="宋体" w:cs="宋体"/>
                <w:color w:val="000000" w:themeColor="text1"/>
                <w:szCs w:val="24"/>
                <w14:textFill>
                  <w14:solidFill>
                    <w14:schemeClr w14:val="tx1"/>
                  </w14:solidFill>
                </w14:textFill>
              </w:rPr>
            </w:pPr>
          </w:p>
        </w:tc>
        <w:tc>
          <w:tcPr>
            <w:tcW w:w="765" w:type="dxa"/>
            <w:noWrap/>
            <w:vAlign w:val="center"/>
          </w:tcPr>
          <w:p w14:paraId="6E5CD272">
            <w:pPr>
              <w:widowControl/>
              <w:spacing w:line="360" w:lineRule="auto"/>
              <w:rPr>
                <w:rFonts w:hint="eastAsia" w:ascii="宋体" w:hAnsi="宋体" w:cs="宋体"/>
                <w:color w:val="000000" w:themeColor="text1"/>
                <w:szCs w:val="24"/>
                <w14:textFill>
                  <w14:solidFill>
                    <w14:schemeClr w14:val="tx1"/>
                  </w14:solidFill>
                </w14:textFill>
              </w:rPr>
            </w:pPr>
          </w:p>
        </w:tc>
        <w:tc>
          <w:tcPr>
            <w:tcW w:w="750" w:type="dxa"/>
            <w:noWrap/>
            <w:vAlign w:val="center"/>
          </w:tcPr>
          <w:p w14:paraId="7A0262C3">
            <w:pPr>
              <w:widowControl/>
              <w:spacing w:line="360" w:lineRule="auto"/>
              <w:rPr>
                <w:rFonts w:hint="eastAsia" w:ascii="宋体" w:hAnsi="宋体" w:cs="宋体"/>
                <w:color w:val="000000" w:themeColor="text1"/>
                <w:szCs w:val="24"/>
                <w14:textFill>
                  <w14:solidFill>
                    <w14:schemeClr w14:val="tx1"/>
                  </w14:solidFill>
                </w14:textFill>
              </w:rPr>
            </w:pPr>
          </w:p>
        </w:tc>
        <w:tc>
          <w:tcPr>
            <w:tcW w:w="793" w:type="dxa"/>
            <w:noWrap/>
            <w:vAlign w:val="center"/>
          </w:tcPr>
          <w:p w14:paraId="4893BCB7">
            <w:pPr>
              <w:widowControl/>
              <w:spacing w:line="360" w:lineRule="auto"/>
              <w:rPr>
                <w:rFonts w:hint="eastAsia" w:ascii="宋体" w:hAnsi="宋体" w:cs="宋体"/>
                <w:color w:val="000000" w:themeColor="text1"/>
                <w:szCs w:val="24"/>
                <w14:textFill>
                  <w14:solidFill>
                    <w14:schemeClr w14:val="tx1"/>
                  </w14:solidFill>
                </w14:textFill>
              </w:rPr>
            </w:pPr>
          </w:p>
        </w:tc>
      </w:tr>
      <w:tr w14:paraId="15DEA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84" w:type="dxa"/>
            <w:gridSpan w:val="6"/>
            <w:noWrap/>
            <w:vAlign w:val="center"/>
          </w:tcPr>
          <w:p w14:paraId="42F4FBF7">
            <w:pPr>
              <w:widowControl/>
              <w:spacing w:line="360" w:lineRule="auto"/>
              <w:jc w:val="center"/>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总计（元）</w:t>
            </w:r>
          </w:p>
        </w:tc>
        <w:tc>
          <w:tcPr>
            <w:tcW w:w="4015" w:type="dxa"/>
            <w:gridSpan w:val="5"/>
            <w:vAlign w:val="center"/>
          </w:tcPr>
          <w:p w14:paraId="4B730048">
            <w:pPr>
              <w:widowControl/>
              <w:spacing w:line="360" w:lineRule="auto"/>
              <w:rPr>
                <w:rFonts w:hint="eastAsia" w:ascii="宋体" w:hAnsi="宋体" w:cs="宋体"/>
                <w:color w:val="000000" w:themeColor="text1"/>
                <w:szCs w:val="24"/>
                <w14:textFill>
                  <w14:solidFill>
                    <w14:schemeClr w14:val="tx1"/>
                  </w14:solidFill>
                </w14:textFill>
              </w:rPr>
            </w:pPr>
          </w:p>
        </w:tc>
      </w:tr>
      <w:tr w14:paraId="48B12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99" w:type="dxa"/>
            <w:gridSpan w:val="11"/>
            <w:noWrap/>
            <w:vAlign w:val="center"/>
          </w:tcPr>
          <w:p w14:paraId="19435F71">
            <w:pPr>
              <w:widowControl/>
              <w:spacing w:line="360" w:lineRule="auto"/>
              <w:rPr>
                <w:rFonts w:hint="eastAsia" w:ascii="宋体" w:hAnsi="宋体" w:cs="宋体"/>
                <w:color w:val="000000" w:themeColor="text1"/>
                <w:szCs w:val="24"/>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本采购包中提供的符合本国产品标准的产品成本之和占该采购包提供的全部产品成本之和的比例为____%。上述比例的分母为本国产品货物成本＋非本国产品货物成本，不含服务成本；供应商应当分列填列各项成本金额并自行承担填列不实的后果。（该部分供应商填写）</w:t>
            </w:r>
          </w:p>
        </w:tc>
      </w:tr>
    </w:tbl>
    <w:p w14:paraId="4F865761">
      <w:pPr>
        <w:spacing w:line="360" w:lineRule="auto"/>
        <w:ind w:firstLine="420"/>
        <w:rPr>
          <w:rFonts w:hint="eastAsia" w:ascii="宋体" w:hAnsi="宋体" w:cs="宋体"/>
          <w:color w:val="000000" w:themeColor="text1"/>
          <w:szCs w:val="24"/>
          <w14:textFill>
            <w14:solidFill>
              <w14:schemeClr w14:val="tx1"/>
            </w14:solidFill>
          </w14:textFill>
        </w:rPr>
      </w:pPr>
    </w:p>
    <w:p w14:paraId="6FD2F383">
      <w:pPr>
        <w:spacing w:line="360" w:lineRule="auto"/>
        <w:ind w:firstLine="420"/>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投标人（盖章）：</w:t>
      </w:r>
    </w:p>
    <w:p w14:paraId="0AD4C92D">
      <w:pPr>
        <w:spacing w:line="360" w:lineRule="auto"/>
        <w:ind w:firstLine="420"/>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法定代表人（单位负责人）或委托代理人（签字或盖章）：</w:t>
      </w:r>
    </w:p>
    <w:p w14:paraId="20367C12">
      <w:pPr>
        <w:spacing w:line="360" w:lineRule="auto"/>
        <w:ind w:firstLine="420"/>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日期：年月日</w:t>
      </w:r>
    </w:p>
    <w:p w14:paraId="65428545">
      <w:pPr>
        <w:spacing w:line="360" w:lineRule="auto"/>
        <w:rPr>
          <w:rFonts w:hint="eastAsia" w:ascii="宋体" w:hAnsi="宋体" w:cs="宋体"/>
          <w:color w:val="000000" w:themeColor="text1"/>
          <w:szCs w:val="20"/>
          <w14:textFill>
            <w14:solidFill>
              <w14:schemeClr w14:val="tx1"/>
            </w14:solidFill>
          </w14:textFill>
        </w:rPr>
      </w:pPr>
    </w:p>
    <w:p w14:paraId="43FF93E3">
      <w:pPr>
        <w:spacing w:line="360"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填报说明：</w:t>
      </w:r>
    </w:p>
    <w:p w14:paraId="3ED953EA">
      <w:pPr>
        <w:spacing w:line="360" w:lineRule="auto"/>
        <w:ind w:firstLine="420"/>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承接单位企业类型”栏填写服务承接单位类型为“大型”“中型”“小型”“微型”“监狱企业”或“残疾人福利性单位”；涉及配套货物的，另在备注栏填写制造商企业类型。服务类项目中小企业的认定以承接企业为准。</w:t>
      </w:r>
    </w:p>
    <w:p w14:paraId="327519CA">
      <w:pPr>
        <w:spacing w:line="360" w:lineRule="auto"/>
        <w:ind w:firstLine="420"/>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2、以上报价包含但不限于人员费用、全部软硬件设备、辅助材料、备品、备件、机械、运输、现场安装调试、人员培训、管理、维护、利润、技术支持、税金、保险、售后服务、政策性文件规定及合同包含的所有风险、责任等各项应有费用。</w:t>
      </w:r>
    </w:p>
    <w:p w14:paraId="516B35CB">
      <w:pPr>
        <w:spacing w:line="360" w:lineRule="auto"/>
        <w:ind w:firstLine="420"/>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3、请投标人如实、正确填写本表，所填内容将作为评审的依据，其内容应与对应的证明资料相符。</w:t>
      </w:r>
    </w:p>
    <w:p w14:paraId="18FB9DAA">
      <w:pPr>
        <w:spacing w:line="360" w:lineRule="auto"/>
        <w:ind w:firstLine="420"/>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4、行数或事项不够，可自行增加。</w:t>
      </w:r>
    </w:p>
    <w:p w14:paraId="07DC5256">
      <w:pPr>
        <w:spacing w:line="360" w:lineRule="auto"/>
        <w:ind w:firstLine="420"/>
        <w:rPr>
          <w:rFonts w:hint="eastAsia" w:ascii="宋体" w:hAnsi="宋体" w:cs="宋体"/>
          <w:color w:val="000000" w:themeColor="text1"/>
          <w14:textFill>
            <w14:solidFill>
              <w14:schemeClr w14:val="tx1"/>
            </w14:solidFill>
          </w14:textFill>
        </w:rPr>
      </w:pPr>
    </w:p>
    <w:p w14:paraId="2A4F5CF9">
      <w:pPr>
        <w:spacing w:line="360" w:lineRule="auto"/>
        <w:rPr>
          <w:rFonts w:hint="eastAsia" w:ascii="宋体" w:hAnsi="宋体" w:cs="宋体"/>
          <w:color w:val="000000" w:themeColor="text1"/>
          <w14:textFill>
            <w14:solidFill>
              <w14:schemeClr w14:val="tx1"/>
            </w14:solidFill>
          </w14:textFill>
        </w:rPr>
      </w:pPr>
    </w:p>
    <w:p w14:paraId="41AE8AFB">
      <w:pPr>
        <w:spacing w:line="360" w:lineRule="auto"/>
        <w:rPr>
          <w:rFonts w:hint="eastAsia" w:ascii="宋体" w:hAnsi="宋体" w:cs="宋体"/>
          <w:color w:val="000000" w:themeColor="text1"/>
          <w14:textFill>
            <w14:solidFill>
              <w14:schemeClr w14:val="tx1"/>
            </w14:solidFill>
          </w14:textFill>
        </w:rPr>
      </w:pPr>
    </w:p>
    <w:p w14:paraId="6016A6CF">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color w:val="000000" w:themeColor="text1"/>
          <w:sz w:val="28"/>
          <w:szCs w:val="28"/>
          <w:u w:val="single"/>
          <w14:textFill>
            <w14:solidFill>
              <w14:schemeClr w14:val="tx1"/>
            </w14:solidFill>
          </w14:textFill>
        </w:rPr>
        <w:t>十四、关于符合本国产品标准的声明函</w:t>
      </w:r>
    </w:p>
    <w:p w14:paraId="600A350E">
      <w:pPr>
        <w:spacing w:line="360" w:lineRule="auto"/>
        <w:ind w:firstLine="420"/>
        <w:jc w:val="left"/>
        <w:rPr>
          <w:rFonts w:hint="eastAsia" w:ascii="宋体" w:hAnsi="宋体" w:cs="宋体"/>
          <w:color w:val="000000" w:themeColor="text1"/>
          <w:szCs w:val="24"/>
          <w14:textFill>
            <w14:solidFill>
              <w14:schemeClr w14:val="tx1"/>
            </w14:solidFill>
          </w14:textFill>
        </w:rPr>
      </w:pPr>
    </w:p>
    <w:p w14:paraId="02A23C79">
      <w:pPr>
        <w:spacing w:line="360" w:lineRule="auto"/>
        <w:ind w:firstLine="420"/>
        <w:jc w:val="left"/>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24F68E07">
      <w:pPr>
        <w:spacing w:before="30" w:after="30"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4272915</wp:posOffset>
                </wp:positionH>
                <wp:positionV relativeFrom="paragraph">
                  <wp:posOffset>427990</wp:posOffset>
                </wp:positionV>
                <wp:extent cx="816610" cy="103505"/>
                <wp:effectExtent l="5715" t="6985" r="6350" b="13335"/>
                <wp:wrapNone/>
                <wp:docPr id="2" name="任意多边形: 形状 3"/>
                <wp:cNvGraphicFramePr/>
                <a:graphic xmlns:a="http://schemas.openxmlformats.org/drawingml/2006/main">
                  <a:graphicData uri="http://schemas.microsoft.com/office/word/2010/wordprocessingShape">
                    <wps:wsp>
                      <wps:cNvSpPr/>
                      <wps:spPr bwMode="auto">
                        <a:xfrm flipV="1">
                          <a:off x="0" y="0"/>
                          <a:ext cx="816610" cy="10350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形状 3" o:spid="_x0000_s1026" o:spt="100" style="position:absolute;left:0pt;flip:y;margin-left:336.45pt;margin-top:33.7pt;height:8.15pt;width:64.3pt;z-index:251659264;mso-width-relative:page;mso-height-relative:page;" filled="f" stroked="t" coordsize="21600,21600" o:gfxdata="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" path="m0,0l0,21600,21600,21600,21600,0,0,0xe">
                <v:path o:connectlocs="0,0;0,103505;816610,103505;816610,0;0,0" o:connectangles="0,0,0,0,0"/>
                <v:fill on="f" focussize="0,0"/>
                <v:stroke color="#000000" joinstyle="round"/>
                <v:imagedata o:title=""/>
                <o:lock v:ext="edit" aspectratio="f"/>
              </v:shape>
            </w:pict>
          </mc:Fallback>
        </mc:AlternateContent>
      </w:r>
      <w:r>
        <w:rPr>
          <w:rFonts w:hint="eastAsia"/>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3153410</wp:posOffset>
                </wp:positionH>
                <wp:positionV relativeFrom="paragraph">
                  <wp:posOffset>434975</wp:posOffset>
                </wp:positionV>
                <wp:extent cx="816610" cy="76200"/>
                <wp:effectExtent l="10160" t="13970" r="11430" b="5080"/>
                <wp:wrapNone/>
                <wp:docPr id="4" name="任意多边形: 形状 4"/>
                <wp:cNvGraphicFramePr/>
                <a:graphic xmlns:a="http://schemas.openxmlformats.org/drawingml/2006/main">
                  <a:graphicData uri="http://schemas.microsoft.com/office/word/2010/wordprocessingShape">
                    <wps:wsp>
                      <wps:cNvSpPr/>
                      <wps:spPr bwMode="auto">
                        <a:xfrm flipV="1">
                          <a:off x="0" y="0"/>
                          <a:ext cx="816610" cy="76200"/>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形状 4" o:spid="_x0000_s1026" o:spt="100" style="position:absolute;left:0pt;flip:y;margin-left:248.3pt;margin-top:34.25pt;height:6pt;width:64.3pt;z-index:251660288;mso-width-relative:page;mso-height-relative:page;" filled="f" stroked="t" coordsize="21600,21600" o:gfxdata="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" path="m0,0l0,21600,21600,21600,21600,0,0,0xe">
                <v:path o:connectlocs="0,0;0,76200;816610,76200;816610,0;0,0" o:connectangles="0,0,0,0,0"/>
                <v:fill on="f" focussize="0,0"/>
                <v:stroke color="#000000" joinstyle="round"/>
                <v:imagedata o:title=""/>
                <o:lock v:ext="edit" aspectratio="f"/>
              </v:shape>
            </w:pict>
          </mc:Fallback>
        </mc:AlternateContent>
      </w:r>
      <w:r>
        <w:rPr>
          <w:rFonts w:hint="eastAsia"/>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2115185</wp:posOffset>
                </wp:positionH>
                <wp:positionV relativeFrom="paragraph">
                  <wp:posOffset>387350</wp:posOffset>
                </wp:positionV>
                <wp:extent cx="565785" cy="130810"/>
                <wp:effectExtent l="10160" t="13970" r="5080" b="7620"/>
                <wp:wrapNone/>
                <wp:docPr id="6" name="任意多边形: 形状 5"/>
                <wp:cNvGraphicFramePr/>
                <a:graphic xmlns:a="http://schemas.openxmlformats.org/drawingml/2006/main">
                  <a:graphicData uri="http://schemas.microsoft.com/office/word/2010/wordprocessingShape">
                    <wps:wsp>
                      <wps:cNvSpPr/>
                      <wps:spPr bwMode="auto">
                        <a:xfrm flipV="1">
                          <a:off x="0" y="0"/>
                          <a:ext cx="565785" cy="130810"/>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形状 5" o:spid="_x0000_s1026" o:spt="100" style="position:absolute;left:0pt;flip:y;margin-left:166.55pt;margin-top:30.5pt;height:10.3pt;width:44.55pt;z-index:251661312;mso-width-relative:page;mso-height-relative:page;" filled="f" stroked="t" coordsize="21600,21600" o:gfxdata="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" path="m0,0l0,21600,21600,21600,21600,0,0,0xe">
                <v:path o:connectlocs="0,0;0,130810;565785,130810;565785,0;0,0" o:connectangles="0,0,0,0,0"/>
                <v:fill on="f" focussize="0,0"/>
                <v:stroke color="#000000" joinstyle="round"/>
                <v:imagedata o:title=""/>
                <o:lock v:ext="edit" aspectratio="f"/>
              </v:shape>
            </w:pict>
          </mc:Fallback>
        </mc:AlternateContent>
      </w:r>
      <w:r>
        <w:rPr>
          <w:rFonts w:hint="eastAsia"/>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1564005</wp:posOffset>
                </wp:positionH>
                <wp:positionV relativeFrom="paragraph">
                  <wp:posOffset>741045</wp:posOffset>
                </wp:positionV>
                <wp:extent cx="876300" cy="120015"/>
                <wp:effectExtent l="11430" t="5715" r="7620" b="7620"/>
                <wp:wrapNone/>
                <wp:docPr id="8" name="任意多边形: 形状 6"/>
                <wp:cNvGraphicFramePr/>
                <a:graphic xmlns:a="http://schemas.openxmlformats.org/drawingml/2006/main">
                  <a:graphicData uri="http://schemas.microsoft.com/office/word/2010/wordprocessingShape">
                    <wps:wsp>
                      <wps:cNvSpPr/>
                      <wps:spPr bwMode="auto">
                        <a:xfrm flipV="1">
                          <a:off x="0" y="0"/>
                          <a:ext cx="876300" cy="1200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形状 6" o:spid="_x0000_s1026" o:spt="100" style="position:absolute;left:0pt;flip:y;margin-left:123.15pt;margin-top:58.35pt;height:9.45pt;width:69pt;z-index:251662336;mso-width-relative:page;mso-height-relative:page;" filled="f" stroked="t" coordsize="21600,21600" o:gfxdata="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" path="m0,0l0,21600,21600,21600,21600,0,0,0xe">
                <v:path o:connectlocs="0,0;0,120015;876300,120015;876300,0;0,0" o:connectangles="0,0,0,0,0"/>
                <v:fill on="f" focussize="0,0"/>
                <v:stroke color="#000000" joinstyle="round"/>
                <v:imagedata o:title=""/>
                <o:lock v:ext="edit" aspectratio="f"/>
              </v:shape>
            </w:pict>
          </mc:Fallback>
        </mc:AlternateContent>
      </w:r>
      <w:r>
        <w:rPr>
          <w:rFonts w:hint="eastAsia"/>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695960</wp:posOffset>
                </wp:positionH>
                <wp:positionV relativeFrom="paragraph">
                  <wp:posOffset>738505</wp:posOffset>
                </wp:positionV>
                <wp:extent cx="364490" cy="97790"/>
                <wp:effectExtent l="10160" t="12700" r="6350" b="13335"/>
                <wp:wrapNone/>
                <wp:docPr id="10" name="任意多边形: 形状 7"/>
                <wp:cNvGraphicFramePr/>
                <a:graphic xmlns:a="http://schemas.openxmlformats.org/drawingml/2006/main">
                  <a:graphicData uri="http://schemas.microsoft.com/office/word/2010/wordprocessingShape">
                    <wps:wsp>
                      <wps:cNvSpPr/>
                      <wps:spPr bwMode="auto">
                        <a:xfrm flipV="1">
                          <a:off x="0" y="0"/>
                          <a:ext cx="364490" cy="97790"/>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形状 7" o:spid="_x0000_s1026" o:spt="100" style="position:absolute;left:0pt;flip:y;margin-left:54.8pt;margin-top:58.15pt;height:7.7pt;width:28.7pt;z-index:251663360;mso-width-relative:page;mso-height-relative:page;" filled="f" stroked="t" coordsize="21600,21600" o:gfxdata="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" path="m0,0l0,21600,21600,21600,21600,0,0,0xe">
                <v:path o:connectlocs="0,0;0,97790;364490,97790;364490,0;0,0" o:connectangles="0,0,0,0,0"/>
                <v:fill on="f" focussize="0,0"/>
                <v:stroke color="#000000" joinstyle="round"/>
                <v:imagedata o:title=""/>
                <o:lock v:ext="edit" aspectratio="f"/>
              </v:shape>
            </w:pict>
          </mc:Fallback>
        </mc:AlternateContent>
      </w:r>
      <w:r>
        <w:rPr>
          <w:rFonts w:hint="eastAsia"/>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4843145</wp:posOffset>
                </wp:positionH>
                <wp:positionV relativeFrom="paragraph">
                  <wp:posOffset>115570</wp:posOffset>
                </wp:positionV>
                <wp:extent cx="577215" cy="92075"/>
                <wp:effectExtent l="13970" t="8890" r="8890" b="13335"/>
                <wp:wrapNone/>
                <wp:docPr id="12" name="任意多边形: 形状 8"/>
                <wp:cNvGraphicFramePr/>
                <a:graphic xmlns:a="http://schemas.openxmlformats.org/drawingml/2006/main">
                  <a:graphicData uri="http://schemas.microsoft.com/office/word/2010/wordprocessingShape">
                    <wps:wsp>
                      <wps:cNvSpPr/>
                      <wps:spPr bwMode="auto">
                        <a:xfrm flipV="1">
                          <a:off x="0" y="0"/>
                          <a:ext cx="577215" cy="9207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形状 8" o:spid="_x0000_s1026" o:spt="100" style="position:absolute;left:0pt;flip:y;margin-left:381.35pt;margin-top:9.1pt;height:7.25pt;width:45.45pt;z-index:251664384;mso-width-relative:page;mso-height-relative:page;" filled="f" stroked="t" coordsize="21600,21600" o:gfxdata="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" path="m0,0l0,21600,21600,21600,21600,0,0,0xe">
                <v:path o:connectlocs="0,0;0,92075;577215,92075;577215,0;0,0" o:connectangles="0,0,0,0,0"/>
                <v:fill on="f" focussize="0,0"/>
                <v:stroke color="#000000" joinstyle="round"/>
                <v:imagedata o:title=""/>
                <o:lock v:ext="edit" aspectratio="f"/>
              </v:shape>
            </w:pict>
          </mc:Fallback>
        </mc:AlternateContent>
      </w:r>
      <w:r>
        <w:rPr>
          <w:rFonts w:hint="eastAsia" w:ascii="宋体" w:hAnsi="宋体" w:cs="宋体"/>
          <w:color w:val="000000" w:themeColor="text1"/>
          <w:sz w:val="24"/>
          <w:szCs w:val="24"/>
          <w:shd w:val="clear" w:color="auto" w:fill="FFFFFF"/>
          <w14:textFill>
            <w14:solidFill>
              <w14:schemeClr w14:val="tx1"/>
            </w14:solidFill>
          </w14:textFill>
        </w:rPr>
        <w:t>1.</w:t>
      </w:r>
      <w:r>
        <w:rPr>
          <w:rFonts w:hint="eastAsia" w:ascii="宋体" w:hAnsi="宋体" w:cs="宋体"/>
          <w:color w:val="000000" w:themeColor="text1"/>
          <w:szCs w:val="24"/>
          <w:u w:val="single"/>
          <w:shd w:val="clear" w:color="auto" w:fill="FFFFFF"/>
          <w14:textFill>
            <w14:solidFill>
              <w14:schemeClr w14:val="tx1"/>
            </w14:solidFill>
          </w14:textFill>
        </w:rPr>
        <w:t>（产品名称1）</w:t>
      </w:r>
      <w:r>
        <w:rPr>
          <w:rFonts w:hint="eastAsia" w:ascii="宋体" w:hAnsi="宋体" w:cs="宋体"/>
          <w:color w:val="000000" w:themeColor="text1"/>
          <w:szCs w:val="24"/>
          <w:shd w:val="clear" w:color="auto" w:fill="FFFFFF"/>
          <w:vertAlign w:val="superscript"/>
          <w14:textFill>
            <w14:solidFill>
              <w14:schemeClr w14:val="tx1"/>
            </w14:solidFill>
          </w14:textFill>
        </w:rPr>
        <w:t>1</w:t>
      </w:r>
      <w:r>
        <w:rPr>
          <w:rFonts w:hint="eastAsia" w:ascii="宋体" w:hAnsi="宋体" w:cs="宋体"/>
          <w:color w:val="000000" w:themeColor="text1"/>
          <w:sz w:val="24"/>
          <w:szCs w:val="24"/>
          <w:shd w:val="clear" w:color="auto" w:fill="FFFFFF"/>
          <w14:textFill>
            <w14:solidFill>
              <w14:schemeClr w14:val="tx1"/>
            </w14:solidFill>
          </w14:textFill>
        </w:rPr>
        <w:t>，生产厂为</w:t>
      </w:r>
      <w:r>
        <w:rPr>
          <w:rFonts w:hint="eastAsia" w:ascii="宋体" w:hAnsi="宋体" w:cs="宋体"/>
          <w:color w:val="000000" w:themeColor="text1"/>
          <w:szCs w:val="24"/>
          <w:u w:val="single"/>
          <w:shd w:val="clear" w:color="auto" w:fill="FFFFFF"/>
          <w14:textFill>
            <w14:solidFill>
              <w14:schemeClr w14:val="tx1"/>
            </w14:solidFill>
          </w14:textFill>
        </w:rPr>
        <w:t>（厂名）</w:t>
      </w:r>
      <w:r>
        <w:rPr>
          <w:rFonts w:hint="eastAsia" w:ascii="宋体" w:hAnsi="宋体" w:cs="宋体"/>
          <w:color w:val="000000" w:themeColor="text1"/>
          <w:szCs w:val="24"/>
          <w:shd w:val="clear" w:color="auto" w:fill="FFFFFF"/>
          <w:vertAlign w:val="superscript"/>
          <w14:textFill>
            <w14:solidFill>
              <w14:schemeClr w14:val="tx1"/>
            </w14:solidFill>
          </w14:textFill>
        </w:rPr>
        <w:t>2</w:t>
      </w:r>
      <w:r>
        <w:rPr>
          <w:rFonts w:hint="eastAsia" w:ascii="宋体" w:hAnsi="宋体" w:cs="宋体"/>
          <w:color w:val="000000" w:themeColor="text1"/>
          <w:sz w:val="24"/>
          <w:szCs w:val="24"/>
          <w:shd w:val="clear" w:color="auto" w:fill="FFFFFF"/>
          <w14:textFill>
            <w14:solidFill>
              <w14:schemeClr w14:val="tx1"/>
            </w14:solidFill>
          </w14:textFill>
        </w:rPr>
        <w:t>，厂址为</w:t>
      </w:r>
      <w:r>
        <w:rPr>
          <w:rFonts w:hint="eastAsia" w:ascii="宋体" w:hAnsi="宋体" w:cs="宋体"/>
          <w:color w:val="000000" w:themeColor="text1"/>
          <w:szCs w:val="24"/>
          <w:u w:val="single"/>
          <w:shd w:val="clear" w:color="auto" w:fill="FFFFFF"/>
          <w14:textFill>
            <w14:solidFill>
              <w14:schemeClr w14:val="tx1"/>
            </w14:solidFill>
          </w14:textFill>
        </w:rPr>
        <w:t>（生产厂址）</w:t>
      </w:r>
      <w:r>
        <w:rPr>
          <w:rFonts w:hint="eastAsia" w:ascii="宋体" w:hAnsi="宋体" w:cs="宋体"/>
          <w:color w:val="000000" w:themeColor="text1"/>
          <w:sz w:val="24"/>
          <w:szCs w:val="24"/>
          <w:shd w:val="clear" w:color="auto" w:fill="FFFFFF"/>
          <w14:textFill>
            <w14:solidFill>
              <w14:schemeClr w14:val="tx1"/>
            </w14:solidFill>
          </w14:textFill>
        </w:rPr>
        <w:t>。</w:t>
      </w:r>
      <w:r>
        <w:rPr>
          <w:rFonts w:hint="eastAsia" w:ascii="宋体" w:hAnsi="宋体" w:cs="宋体"/>
          <w:color w:val="000000" w:themeColor="text1"/>
          <w:szCs w:val="24"/>
          <w:u w:val="single"/>
          <w:shd w:val="clear" w:color="auto" w:fill="FFFFFF"/>
          <w14:textFill>
            <w14:solidFill>
              <w14:schemeClr w14:val="tx1"/>
            </w14:solidFill>
          </w14:textFill>
        </w:rPr>
        <w:t>（产品名称1）</w:t>
      </w:r>
      <w:r>
        <w:rPr>
          <w:rFonts w:hint="eastAsia" w:ascii="宋体" w:hAnsi="宋体" w:cs="宋体"/>
          <w:color w:val="000000" w:themeColor="text1"/>
          <w:sz w:val="24"/>
          <w:szCs w:val="24"/>
          <w:shd w:val="clear" w:color="auto" w:fill="FFFFFF"/>
          <w14:textFill>
            <w14:solidFill>
              <w14:schemeClr w14:val="tx1"/>
            </w14:solidFill>
          </w14:textFill>
        </w:rPr>
        <w:t>的中国境内生产的组件成本占比≥</w:t>
      </w:r>
      <w:r>
        <w:rPr>
          <w:rFonts w:hint="eastAsia" w:ascii="宋体" w:hAnsi="宋体" w:cs="宋体"/>
          <w:color w:val="000000" w:themeColor="text1"/>
          <w:szCs w:val="24"/>
          <w:u w:val="single"/>
          <w:shd w:val="clear" w:color="auto" w:fill="FFFFFF"/>
          <w14:textFill>
            <w14:solidFill>
              <w14:schemeClr w14:val="tx1"/>
            </w14:solidFill>
          </w14:textFill>
        </w:rPr>
        <w:t>（规定比例）</w:t>
      </w:r>
      <w:r>
        <w:rPr>
          <w:rFonts w:hint="eastAsia" w:ascii="宋体" w:hAnsi="宋体" w:cs="宋体"/>
          <w:color w:val="000000" w:themeColor="text1"/>
          <w:szCs w:val="24"/>
          <w:shd w:val="clear" w:color="auto" w:fill="FFFFFF"/>
          <w:vertAlign w:val="superscript"/>
          <w14:textFill>
            <w14:solidFill>
              <w14:schemeClr w14:val="tx1"/>
            </w14:solidFill>
          </w14:textFill>
        </w:rPr>
        <w:t>3</w:t>
      </w:r>
      <w:r>
        <w:rPr>
          <w:rFonts w:hint="eastAsia" w:ascii="宋体" w:hAnsi="宋体" w:cs="宋体"/>
          <w:color w:val="000000" w:themeColor="text1"/>
          <w:sz w:val="24"/>
          <w:szCs w:val="24"/>
          <w:shd w:val="clear" w:color="auto" w:fill="FFFFFF"/>
          <w14:textFill>
            <w14:solidFill>
              <w14:schemeClr w14:val="tx1"/>
            </w14:solidFill>
          </w14:textFill>
        </w:rPr>
        <w:t>。</w:t>
      </w:r>
      <w:r>
        <w:rPr>
          <w:rFonts w:hint="eastAsia" w:ascii="宋体" w:hAnsi="宋体" w:cs="宋体"/>
          <w:color w:val="000000" w:themeColor="text1"/>
          <w:szCs w:val="24"/>
          <w:u w:val="single"/>
          <w:shd w:val="clear" w:color="auto" w:fill="FFFFFF"/>
          <w14:textFill>
            <w14:solidFill>
              <w14:schemeClr w14:val="tx1"/>
            </w14:solidFill>
          </w14:textFill>
        </w:rPr>
        <w:t>（产品名称1）</w:t>
      </w:r>
      <w:r>
        <w:rPr>
          <w:rFonts w:hint="eastAsia" w:ascii="宋体" w:hAnsi="宋体" w:cs="宋体"/>
          <w:color w:val="000000" w:themeColor="text1"/>
          <w:sz w:val="24"/>
          <w:szCs w:val="24"/>
          <w:shd w:val="clear" w:color="auto" w:fill="FFFFFF"/>
          <w14:textFill>
            <w14:solidFill>
              <w14:schemeClr w14:val="tx1"/>
            </w14:solidFill>
          </w14:textFill>
        </w:rPr>
        <w:t>的</w:t>
      </w:r>
      <w:r>
        <w:rPr>
          <w:rFonts w:hint="eastAsia" w:ascii="宋体" w:hAnsi="宋体" w:cs="宋体"/>
          <w:color w:val="000000" w:themeColor="text1"/>
          <w:szCs w:val="24"/>
          <w:u w:val="single"/>
          <w:shd w:val="clear" w:color="auto" w:fill="FFFFFF"/>
          <w14:textFill>
            <w14:solidFill>
              <w14:schemeClr w14:val="tx1"/>
            </w14:solidFill>
          </w14:textFill>
        </w:rPr>
        <w:t>（关键组件）</w:t>
      </w:r>
      <w:r>
        <w:rPr>
          <w:rFonts w:hint="eastAsia" w:ascii="宋体" w:hAnsi="宋体" w:cs="宋体"/>
          <w:color w:val="000000" w:themeColor="text1"/>
          <w:szCs w:val="24"/>
          <w:shd w:val="clear" w:color="auto" w:fill="FFFFFF"/>
          <w:vertAlign w:val="superscript"/>
          <w14:textFill>
            <w14:solidFill>
              <w14:schemeClr w14:val="tx1"/>
            </w14:solidFill>
          </w14:textFill>
        </w:rPr>
        <w:t>4</w:t>
      </w:r>
      <w:r>
        <w:rPr>
          <w:rFonts w:hint="eastAsia" w:ascii="宋体" w:hAnsi="宋体" w:cs="宋体"/>
          <w:color w:val="000000" w:themeColor="text1"/>
          <w:sz w:val="24"/>
          <w:szCs w:val="24"/>
          <w:shd w:val="clear" w:color="auto" w:fill="FFFFFF"/>
          <w14:textFill>
            <w14:solidFill>
              <w14:schemeClr w14:val="tx1"/>
            </w14:solidFill>
          </w14:textFill>
        </w:rPr>
        <w:t>在中国境内生产。</w:t>
      </w:r>
      <w:r>
        <w:rPr>
          <w:rFonts w:hint="eastAsia" w:ascii="宋体" w:hAnsi="宋体" w:cs="宋体"/>
          <w:color w:val="000000" w:themeColor="text1"/>
          <w:szCs w:val="24"/>
          <w:u w:val="single"/>
          <w:shd w:val="clear" w:color="auto" w:fill="FFFFFF"/>
          <w14:textFill>
            <w14:solidFill>
              <w14:schemeClr w14:val="tx1"/>
            </w14:solidFill>
          </w14:textFill>
        </w:rPr>
        <w:t>（产品名称1）</w:t>
      </w:r>
      <w:r>
        <w:rPr>
          <w:rFonts w:hint="eastAsia" w:ascii="宋体" w:hAnsi="宋体" w:cs="宋体"/>
          <w:color w:val="000000" w:themeColor="text1"/>
          <w:sz w:val="24"/>
          <w:szCs w:val="24"/>
          <w:shd w:val="clear" w:color="auto" w:fill="FFFFFF"/>
          <w14:textFill>
            <w14:solidFill>
              <w14:schemeClr w14:val="tx1"/>
            </w14:solidFill>
          </w14:textFill>
        </w:rPr>
        <w:t>的</w:t>
      </w:r>
      <w:r>
        <w:rPr>
          <w:rFonts w:hint="eastAsia" w:ascii="宋体" w:hAnsi="宋体" w:cs="宋体"/>
          <w:color w:val="000000" w:themeColor="text1"/>
          <w:szCs w:val="24"/>
          <w:u w:val="single"/>
          <w:shd w:val="clear" w:color="auto" w:fill="FFFFFF"/>
          <w14:textFill>
            <w14:solidFill>
              <w14:schemeClr w14:val="tx1"/>
            </w14:solidFill>
          </w14:textFill>
        </w:rPr>
        <w:t>（关键工序）</w:t>
      </w:r>
      <w:r>
        <w:rPr>
          <w:rFonts w:hint="eastAsia" w:ascii="宋体" w:hAnsi="宋体" w:cs="宋体"/>
          <w:color w:val="000000" w:themeColor="text1"/>
          <w:szCs w:val="24"/>
          <w:shd w:val="clear" w:color="auto" w:fill="FFFFFF"/>
          <w:vertAlign w:val="superscript"/>
          <w14:textFill>
            <w14:solidFill>
              <w14:schemeClr w14:val="tx1"/>
            </w14:solidFill>
          </w14:textFill>
        </w:rPr>
        <w:t>5</w:t>
      </w:r>
      <w:r>
        <w:rPr>
          <w:rFonts w:hint="eastAsia" w:ascii="宋体" w:hAnsi="宋体" w:cs="宋体"/>
          <w:color w:val="000000" w:themeColor="text1"/>
          <w:sz w:val="24"/>
          <w:szCs w:val="24"/>
          <w:shd w:val="clear" w:color="auto" w:fill="FFFFFF"/>
          <w14:textFill>
            <w14:solidFill>
              <w14:schemeClr w14:val="tx1"/>
            </w14:solidFill>
          </w14:textFill>
        </w:rPr>
        <w:t>在中国境内完成。</w:t>
      </w:r>
    </w:p>
    <w:p w14:paraId="21B3727F">
      <w:pPr>
        <w:spacing w:before="30" w:after="30"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color w:val="000000" w:themeColor="text1"/>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4714240</wp:posOffset>
                </wp:positionH>
                <wp:positionV relativeFrom="paragraph">
                  <wp:posOffset>78740</wp:posOffset>
                </wp:positionV>
                <wp:extent cx="718185" cy="97790"/>
                <wp:effectExtent l="8890" t="13335" r="6350" b="12700"/>
                <wp:wrapNone/>
                <wp:docPr id="14" name="任意多边形: 形状 9"/>
                <wp:cNvGraphicFramePr/>
                <a:graphic xmlns:a="http://schemas.openxmlformats.org/drawingml/2006/main">
                  <a:graphicData uri="http://schemas.microsoft.com/office/word/2010/wordprocessingShape">
                    <wps:wsp>
                      <wps:cNvSpPr/>
                      <wps:spPr bwMode="auto">
                        <a:xfrm flipV="1">
                          <a:off x="0" y="0"/>
                          <a:ext cx="718185" cy="97790"/>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形状 9" o:spid="_x0000_s1026" o:spt="100" style="position:absolute;left:0pt;flip:y;margin-left:371.2pt;margin-top:6.2pt;height:7.7pt;width:56.55pt;z-index:251665408;mso-width-relative:page;mso-height-relative:page;" filled="f" stroked="t" coordsize="21600,21600" o:gfxdata="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" path="m0,0l0,21600,21600,21600,21600,0,0,0xe">
                <v:path o:connectlocs="0,0;0,97790;718185,97790;718185,0;0,0" o:connectangles="0,0,0,0,0"/>
                <v:fill on="f" focussize="0,0"/>
                <v:stroke color="#000000" joinstyle="round"/>
                <v:imagedata o:title=""/>
                <o:lock v:ext="edit" aspectratio="f"/>
              </v:shape>
            </w:pict>
          </mc:Fallback>
        </mc:AlternateContent>
      </w:r>
      <w:r>
        <w:rPr>
          <w:rFonts w:hint="eastAsia"/>
          <w:color w:val="000000" w:themeColor="text1"/>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1210310</wp:posOffset>
                </wp:positionH>
                <wp:positionV relativeFrom="paragraph">
                  <wp:posOffset>673735</wp:posOffset>
                </wp:positionV>
                <wp:extent cx="908685" cy="140970"/>
                <wp:effectExtent l="10160" t="8255" r="5080" b="12700"/>
                <wp:wrapNone/>
                <wp:docPr id="16" name="任意多边形: 形状 10"/>
                <wp:cNvGraphicFramePr/>
                <a:graphic xmlns:a="http://schemas.openxmlformats.org/drawingml/2006/main">
                  <a:graphicData uri="http://schemas.microsoft.com/office/word/2010/wordprocessingShape">
                    <wps:wsp>
                      <wps:cNvSpPr/>
                      <wps:spPr bwMode="auto">
                        <a:xfrm flipV="1">
                          <a:off x="0" y="0"/>
                          <a:ext cx="908685" cy="140970"/>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形状 10" o:spid="_x0000_s1026" o:spt="100" style="position:absolute;left:0pt;flip:y;margin-left:95.3pt;margin-top:53.05pt;height:11.1pt;width:71.55pt;z-index:251665408;mso-width-relative:page;mso-height-relative:page;" filled="f" stroked="t" coordsize="21600,21600" o:gfxdata="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" path="m0,0l0,21600,21600,21600,21600,0,0,0xe">
                <v:path o:connectlocs="0,0;0,140970;908685,140970;908685,0;0,0" o:connectangles="0,0,0,0,0"/>
                <v:fill on="f" focussize="0,0"/>
                <v:stroke color="#000000" joinstyle="round"/>
                <v:imagedata o:title=""/>
                <o:lock v:ext="edit" aspectratio="f"/>
              </v:shape>
            </w:pict>
          </mc:Fallback>
        </mc:AlternateContent>
      </w:r>
      <w:r>
        <w:rPr>
          <w:rFonts w:hint="eastAsia"/>
          <w:color w:val="000000" w:themeColor="text1"/>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123190</wp:posOffset>
                </wp:positionH>
                <wp:positionV relativeFrom="paragraph">
                  <wp:posOffset>692785</wp:posOffset>
                </wp:positionV>
                <wp:extent cx="821690" cy="102870"/>
                <wp:effectExtent l="8890" t="8255" r="7620" b="12700"/>
                <wp:wrapNone/>
                <wp:docPr id="18" name="任意多边形: 形状 11"/>
                <wp:cNvGraphicFramePr/>
                <a:graphic xmlns:a="http://schemas.openxmlformats.org/drawingml/2006/main">
                  <a:graphicData uri="http://schemas.microsoft.com/office/word/2010/wordprocessingShape">
                    <wps:wsp>
                      <wps:cNvSpPr/>
                      <wps:spPr bwMode="auto">
                        <a:xfrm flipV="1">
                          <a:off x="0" y="0"/>
                          <a:ext cx="821690" cy="102870"/>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任意多边形: 形状 11" o:spid="_x0000_s1026" o:spt="100" style="position:absolute;left:0pt;flip:y;margin-left:9.7pt;margin-top:54.55pt;height:8.1pt;width:64.7pt;z-index:251666432;mso-width-relative:page;mso-height-relative:page;" filled="f" stroked="t" coordsize="21600,21600" o:gfxdata="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" path="m0,0l0,21600,21600,21600,21600,0,0,0xe">
                <v:path o:connectlocs="0,0;0,102870;821690,102870;821690,0;0,0" o:connectangles="0,0,0,0,0"/>
                <v:fill on="f" focussize="0,0"/>
                <v:stroke color="#000000" miterlimit="8" joinstyle="miter"/>
                <v:imagedata o:title=""/>
                <o:lock v:ext="edit" aspectratio="f"/>
              </v:shape>
            </w:pict>
          </mc:Fallback>
        </mc:AlternateContent>
      </w:r>
      <w:r>
        <w:rPr>
          <w:rFonts w:hint="eastAsia"/>
          <w:color w:val="000000" w:themeColor="text1"/>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1718945</wp:posOffset>
                </wp:positionH>
                <wp:positionV relativeFrom="paragraph">
                  <wp:posOffset>324485</wp:posOffset>
                </wp:positionV>
                <wp:extent cx="816610" cy="147320"/>
                <wp:effectExtent l="13970" t="11430" r="7620" b="12700"/>
                <wp:wrapNone/>
                <wp:docPr id="20" name="任意多边形: 形状 12"/>
                <wp:cNvGraphicFramePr/>
                <a:graphic xmlns:a="http://schemas.openxmlformats.org/drawingml/2006/main">
                  <a:graphicData uri="http://schemas.microsoft.com/office/word/2010/wordprocessingShape">
                    <wps:wsp>
                      <wps:cNvSpPr/>
                      <wps:spPr bwMode="auto">
                        <a:xfrm flipV="1">
                          <a:off x="0" y="0"/>
                          <a:ext cx="816610" cy="147320"/>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形状 12" o:spid="_x0000_s1026" o:spt="100" style="position:absolute;left:0pt;flip:y;margin-left:135.35pt;margin-top:25.55pt;height:11.6pt;width:64.3pt;z-index:251667456;mso-width-relative:page;mso-height-relative:page;" filled="f" stroked="t" coordsize="21600,21600" o:gfxdata="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" path="m0,0l0,21600,21600,21600,21600,0,0,0xe">
                <v:path o:connectlocs="0,0;0,147320;816610,147320;816610,0;0,0" o:connectangles="0,0,0,0,0"/>
                <v:fill on="f" focussize="0,0"/>
                <v:stroke color="#000000" joinstyle="round"/>
                <v:imagedata o:title=""/>
                <o:lock v:ext="edit" aspectratio="f"/>
              </v:shape>
            </w:pict>
          </mc:Fallback>
        </mc:AlternateContent>
      </w:r>
      <w:r>
        <w:rPr>
          <w:rFonts w:hint="eastAsia"/>
          <w:color w:val="000000" w:themeColor="text1"/>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2592705</wp:posOffset>
                </wp:positionH>
                <wp:positionV relativeFrom="paragraph">
                  <wp:posOffset>376555</wp:posOffset>
                </wp:positionV>
                <wp:extent cx="843915" cy="125730"/>
                <wp:effectExtent l="11430" t="6350" r="11430" b="10795"/>
                <wp:wrapNone/>
                <wp:docPr id="22" name="任意多边形: 形状 13"/>
                <wp:cNvGraphicFramePr/>
                <a:graphic xmlns:a="http://schemas.openxmlformats.org/drawingml/2006/main">
                  <a:graphicData uri="http://schemas.microsoft.com/office/word/2010/wordprocessingShape">
                    <wps:wsp>
                      <wps:cNvSpPr/>
                      <wps:spPr bwMode="auto">
                        <a:xfrm flipV="1">
                          <a:off x="0" y="0"/>
                          <a:ext cx="843915" cy="125730"/>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形状 13" o:spid="_x0000_s1026" o:spt="100" style="position:absolute;left:0pt;flip:y;margin-left:204.15pt;margin-top:29.65pt;height:9.9pt;width:66.45pt;z-index:251668480;mso-width-relative:page;mso-height-relative:page;" filled="f" stroked="t" coordsize="21600,21600" o:gfxdata="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" path="m0,0l0,21600,21600,21600,21600,0,0,0xe">
                <v:path o:connectlocs="0,0;0,125730;843915,125730;843915,0;0,0" o:connectangles="0,0,0,0,0"/>
                <v:fill on="f" focussize="0,0"/>
                <v:stroke color="#000000" joinstyle="round"/>
                <v:imagedata o:title=""/>
                <o:lock v:ext="edit" aspectratio="f"/>
              </v:shape>
            </w:pict>
          </mc:Fallback>
        </mc:AlternateContent>
      </w:r>
      <w:r>
        <w:rPr>
          <w:rFonts w:hint="eastAsia"/>
          <w:color w:val="000000" w:themeColor="text1"/>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3682365</wp:posOffset>
                </wp:positionH>
                <wp:positionV relativeFrom="paragraph">
                  <wp:posOffset>372745</wp:posOffset>
                </wp:positionV>
                <wp:extent cx="849630" cy="120015"/>
                <wp:effectExtent l="5715" t="12065" r="11430" b="10795"/>
                <wp:wrapNone/>
                <wp:docPr id="24" name="任意多边形: 形状 14"/>
                <wp:cNvGraphicFramePr/>
                <a:graphic xmlns:a="http://schemas.openxmlformats.org/drawingml/2006/main">
                  <a:graphicData uri="http://schemas.microsoft.com/office/word/2010/wordprocessingShape">
                    <wps:wsp>
                      <wps:cNvSpPr/>
                      <wps:spPr bwMode="auto">
                        <a:xfrm flipV="1">
                          <a:off x="0" y="0"/>
                          <a:ext cx="849630" cy="1200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形状 14" o:spid="_x0000_s1026" o:spt="100" style="position:absolute;left:0pt;flip:y;margin-left:289.95pt;margin-top:29.35pt;height:9.45pt;width:66.9pt;z-index:251669504;mso-width-relative:page;mso-height-relative:page;" filled="f" stroked="t" coordsize="21600,21600" o:gfxdata="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" path="m0,0l0,21600,21600,21600,21600,0,0,0xe">
                <v:path o:connectlocs="0,0;0,120015;849630,120015;849630,0;0,0" o:connectangles="0,0,0,0,0"/>
                <v:fill on="f" focussize="0,0"/>
                <v:stroke color="#000000" joinstyle="round"/>
                <v:imagedata o:title=""/>
                <o:lock v:ext="edit" aspectratio="f"/>
              </v:shape>
            </w:pict>
          </mc:Fallback>
        </mc:AlternateContent>
      </w:r>
      <w:r>
        <w:rPr>
          <w:rFonts w:hint="eastAsia"/>
          <w:color w:val="000000" w:themeColor="text1"/>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4780915</wp:posOffset>
                </wp:positionH>
                <wp:positionV relativeFrom="paragraph">
                  <wp:posOffset>271780</wp:posOffset>
                </wp:positionV>
                <wp:extent cx="462280" cy="147320"/>
                <wp:effectExtent l="8890" t="6350" r="5080" b="8255"/>
                <wp:wrapNone/>
                <wp:docPr id="26" name="任意多边形: 形状 15"/>
                <wp:cNvGraphicFramePr/>
                <a:graphic xmlns:a="http://schemas.openxmlformats.org/drawingml/2006/main">
                  <a:graphicData uri="http://schemas.microsoft.com/office/word/2010/wordprocessingShape">
                    <wps:wsp>
                      <wps:cNvSpPr/>
                      <wps:spPr bwMode="auto">
                        <a:xfrm flipV="1">
                          <a:off x="0" y="0"/>
                          <a:ext cx="462280" cy="147320"/>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a:moveTo>
                                <a:pt x="0" y="0"/>
                              </a:moveTo>
                              <a:lnTo>
                                <a:pt x="0" y="21600"/>
                              </a:lnTo>
                              <a:lnTo>
                                <a:pt x="21600" y="21600"/>
                              </a:lnTo>
                              <a:lnTo>
                                <a:pt x="21600" y="0"/>
                              </a:lnTo>
                              <a:lnTo>
                                <a:pt x="0" y="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形状 15" o:spid="_x0000_s1026" o:spt="100" style="position:absolute;left:0pt;flip:y;margin-left:376.45pt;margin-top:21.4pt;height:11.6pt;width:36.4pt;z-index:251670528;mso-width-relative:page;mso-height-relative:page;" filled="f" stroked="t" coordsize="21600,21600" o:gfxdata="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" path="m0,0l0,21600,21600,21600,21600,0,0,0xe">
                <v:path o:connectlocs="0,0;0,147320;462280,147320;462280,0;0,0" o:connectangles="0,0,0,0,0"/>
                <v:fill on="f" focussize="0,0"/>
                <v:stroke color="#000000" joinstyle="round"/>
                <v:imagedata o:title=""/>
                <o:lock v:ext="edit" aspectratio="f"/>
              </v:shape>
            </w:pict>
          </mc:Fallback>
        </mc:AlternateContent>
      </w:r>
      <w:r>
        <w:rPr>
          <w:rFonts w:hint="eastAsia" w:ascii="宋体" w:hAnsi="宋体" w:cs="宋体"/>
          <w:color w:val="000000" w:themeColor="text1"/>
          <w:sz w:val="24"/>
          <w:szCs w:val="24"/>
          <w:shd w:val="clear" w:color="auto" w:fill="FFFFFF"/>
          <w14:textFill>
            <w14:solidFill>
              <w14:schemeClr w14:val="tx1"/>
            </w14:solidFill>
          </w14:textFill>
        </w:rPr>
        <w:t>2.</w:t>
      </w:r>
      <w:r>
        <w:rPr>
          <w:rFonts w:hint="eastAsia" w:ascii="宋体" w:hAnsi="宋体" w:cs="宋体"/>
          <w:color w:val="000000" w:themeColor="text1"/>
          <w:szCs w:val="24"/>
          <w:u w:val="single"/>
          <w:shd w:val="clear" w:color="auto" w:fill="FFFFFF"/>
          <w14:textFill>
            <w14:solidFill>
              <w14:schemeClr w14:val="tx1"/>
            </w14:solidFill>
          </w14:textFill>
        </w:rPr>
        <w:t>（产品名称2）</w:t>
      </w:r>
      <w:r>
        <w:rPr>
          <w:rFonts w:hint="eastAsia" w:ascii="宋体" w:hAnsi="宋体" w:cs="宋体"/>
          <w:color w:val="000000" w:themeColor="text1"/>
          <w:sz w:val="24"/>
          <w:szCs w:val="24"/>
          <w:shd w:val="clear" w:color="auto" w:fill="FFFFFF"/>
          <w14:textFill>
            <w14:solidFill>
              <w14:schemeClr w14:val="tx1"/>
            </w14:solidFill>
          </w14:textFill>
        </w:rPr>
        <w:t>，生产厂为</w:t>
      </w:r>
      <w:r>
        <w:rPr>
          <w:rFonts w:hint="eastAsia" w:ascii="宋体" w:hAnsi="宋体" w:cs="宋体"/>
          <w:color w:val="000000" w:themeColor="text1"/>
          <w:szCs w:val="24"/>
          <w:u w:val="single"/>
          <w:shd w:val="clear" w:color="auto" w:fill="FFFFFF"/>
          <w14:textFill>
            <w14:solidFill>
              <w14:schemeClr w14:val="tx1"/>
            </w14:solidFill>
          </w14:textFill>
        </w:rPr>
        <w:t>（厂名）</w:t>
      </w:r>
      <w:r>
        <w:rPr>
          <w:rFonts w:hint="eastAsia" w:ascii="宋体" w:hAnsi="宋体" w:cs="宋体"/>
          <w:color w:val="000000" w:themeColor="text1"/>
          <w:sz w:val="24"/>
          <w:szCs w:val="24"/>
          <w:shd w:val="clear" w:color="auto" w:fill="FFFFFF"/>
          <w14:textFill>
            <w14:solidFill>
              <w14:schemeClr w14:val="tx1"/>
            </w14:solidFill>
          </w14:textFill>
        </w:rPr>
        <w:t>，厂址为</w:t>
      </w:r>
      <w:r>
        <w:rPr>
          <w:rFonts w:hint="eastAsia" w:ascii="宋体" w:hAnsi="宋体" w:cs="宋体"/>
          <w:color w:val="000000" w:themeColor="text1"/>
          <w:szCs w:val="24"/>
          <w:u w:val="single"/>
          <w:shd w:val="clear" w:color="auto" w:fill="FFFFFF"/>
          <w14:textFill>
            <w14:solidFill>
              <w14:schemeClr w14:val="tx1"/>
            </w14:solidFill>
          </w14:textFill>
        </w:rPr>
        <w:t>（生产厂址）</w:t>
      </w:r>
      <w:r>
        <w:rPr>
          <w:rFonts w:hint="eastAsia" w:ascii="宋体" w:hAnsi="宋体" w:cs="宋体"/>
          <w:color w:val="000000" w:themeColor="text1"/>
          <w:sz w:val="24"/>
          <w:szCs w:val="24"/>
          <w:shd w:val="clear" w:color="auto" w:fill="FFFFFF"/>
          <w14:textFill>
            <w14:solidFill>
              <w14:schemeClr w14:val="tx1"/>
            </w14:solidFill>
          </w14:textFill>
        </w:rPr>
        <w:t>。</w:t>
      </w:r>
      <w:r>
        <w:rPr>
          <w:rFonts w:hint="eastAsia" w:ascii="宋体" w:hAnsi="宋体" w:cs="宋体"/>
          <w:color w:val="000000" w:themeColor="text1"/>
          <w:szCs w:val="24"/>
          <w:u w:val="single"/>
          <w:shd w:val="clear" w:color="auto" w:fill="FFFFFF"/>
          <w14:textFill>
            <w14:solidFill>
              <w14:schemeClr w14:val="tx1"/>
            </w14:solidFill>
          </w14:textFill>
        </w:rPr>
        <w:t>（产品名称2）</w:t>
      </w:r>
      <w:r>
        <w:rPr>
          <w:rFonts w:hint="eastAsia" w:ascii="宋体" w:hAnsi="宋体" w:cs="宋体"/>
          <w:color w:val="000000" w:themeColor="text1"/>
          <w:sz w:val="24"/>
          <w:szCs w:val="24"/>
          <w:shd w:val="clear" w:color="auto" w:fill="FFFFFF"/>
          <w14:textFill>
            <w14:solidFill>
              <w14:schemeClr w14:val="tx1"/>
            </w14:solidFill>
          </w14:textFill>
        </w:rPr>
        <w:t>的中国境内生产的组件成本占比≥</w:t>
      </w:r>
      <w:r>
        <w:rPr>
          <w:rFonts w:hint="eastAsia" w:ascii="宋体" w:hAnsi="宋体" w:cs="宋体"/>
          <w:color w:val="000000" w:themeColor="text1"/>
          <w:szCs w:val="24"/>
          <w:u w:val="single"/>
          <w:shd w:val="clear" w:color="auto" w:fill="FFFFFF"/>
          <w14:textFill>
            <w14:solidFill>
              <w14:schemeClr w14:val="tx1"/>
            </w14:solidFill>
          </w14:textFill>
        </w:rPr>
        <w:t>（规定比例）</w:t>
      </w:r>
      <w:r>
        <w:rPr>
          <w:rFonts w:hint="eastAsia" w:ascii="宋体" w:hAnsi="宋体" w:cs="宋体"/>
          <w:color w:val="000000" w:themeColor="text1"/>
          <w:sz w:val="24"/>
          <w:szCs w:val="24"/>
          <w:shd w:val="clear" w:color="auto" w:fill="FFFFFF"/>
          <w14:textFill>
            <w14:solidFill>
              <w14:schemeClr w14:val="tx1"/>
            </w14:solidFill>
          </w14:textFill>
        </w:rPr>
        <w:t>。</w:t>
      </w:r>
      <w:r>
        <w:rPr>
          <w:rFonts w:hint="eastAsia" w:ascii="宋体" w:hAnsi="宋体" w:cs="宋体"/>
          <w:color w:val="000000" w:themeColor="text1"/>
          <w:szCs w:val="24"/>
          <w:u w:val="single"/>
          <w:shd w:val="clear" w:color="auto" w:fill="FFFFFF"/>
          <w14:textFill>
            <w14:solidFill>
              <w14:schemeClr w14:val="tx1"/>
            </w14:solidFill>
          </w14:textFill>
        </w:rPr>
        <w:t>（产品名称2）</w:t>
      </w:r>
      <w:r>
        <w:rPr>
          <w:rFonts w:hint="eastAsia" w:ascii="宋体" w:hAnsi="宋体" w:cs="宋体"/>
          <w:color w:val="000000" w:themeColor="text1"/>
          <w:sz w:val="24"/>
          <w:szCs w:val="24"/>
          <w:shd w:val="clear" w:color="auto" w:fill="FFFFFF"/>
          <w14:textFill>
            <w14:solidFill>
              <w14:schemeClr w14:val="tx1"/>
            </w14:solidFill>
          </w14:textFill>
        </w:rPr>
        <w:t>的</w:t>
      </w:r>
      <w:r>
        <w:rPr>
          <w:rFonts w:hint="eastAsia" w:ascii="宋体" w:hAnsi="宋体" w:cs="宋体"/>
          <w:color w:val="000000" w:themeColor="text1"/>
          <w:szCs w:val="24"/>
          <w:u w:val="single"/>
          <w:shd w:val="clear" w:color="auto" w:fill="FFFFFF"/>
          <w14:textFill>
            <w14:solidFill>
              <w14:schemeClr w14:val="tx1"/>
            </w14:solidFill>
          </w14:textFill>
        </w:rPr>
        <w:t>（关键组件）</w:t>
      </w:r>
      <w:r>
        <w:rPr>
          <w:rFonts w:hint="eastAsia" w:ascii="宋体" w:hAnsi="宋体" w:cs="宋体"/>
          <w:color w:val="000000" w:themeColor="text1"/>
          <w:sz w:val="24"/>
          <w:szCs w:val="24"/>
          <w:shd w:val="clear" w:color="auto" w:fill="FFFFFF"/>
          <w14:textFill>
            <w14:solidFill>
              <w14:schemeClr w14:val="tx1"/>
            </w14:solidFill>
          </w14:textFill>
        </w:rPr>
        <w:t>在中国境内生产。</w:t>
      </w:r>
      <w:r>
        <w:rPr>
          <w:rFonts w:hint="eastAsia" w:ascii="宋体" w:hAnsi="宋体" w:cs="宋体"/>
          <w:color w:val="000000" w:themeColor="text1"/>
          <w:szCs w:val="24"/>
          <w:u w:val="single"/>
          <w:shd w:val="clear" w:color="auto" w:fill="FFFFFF"/>
          <w14:textFill>
            <w14:solidFill>
              <w14:schemeClr w14:val="tx1"/>
            </w14:solidFill>
          </w14:textFill>
        </w:rPr>
        <w:t>（产品名称2）</w:t>
      </w:r>
      <w:r>
        <w:rPr>
          <w:rFonts w:hint="eastAsia" w:ascii="宋体" w:hAnsi="宋体" w:cs="宋体"/>
          <w:color w:val="000000" w:themeColor="text1"/>
          <w:sz w:val="24"/>
          <w:szCs w:val="24"/>
          <w:shd w:val="clear" w:color="auto" w:fill="FFFFFF"/>
          <w14:textFill>
            <w14:solidFill>
              <w14:schemeClr w14:val="tx1"/>
            </w14:solidFill>
          </w14:textFill>
        </w:rPr>
        <w:t>的</w:t>
      </w:r>
      <w:r>
        <w:rPr>
          <w:rFonts w:hint="eastAsia" w:ascii="宋体" w:hAnsi="宋体" w:cs="宋体"/>
          <w:color w:val="000000" w:themeColor="text1"/>
          <w:szCs w:val="24"/>
          <w:u w:val="single"/>
          <w:shd w:val="clear" w:color="auto" w:fill="FFFFFF"/>
          <w14:textFill>
            <w14:solidFill>
              <w14:schemeClr w14:val="tx1"/>
            </w14:solidFill>
          </w14:textFill>
        </w:rPr>
        <w:t>（关键工序）</w:t>
      </w:r>
      <w:r>
        <w:rPr>
          <w:rFonts w:hint="eastAsia" w:ascii="宋体" w:hAnsi="宋体" w:cs="宋体"/>
          <w:color w:val="000000" w:themeColor="text1"/>
          <w:sz w:val="24"/>
          <w:szCs w:val="24"/>
          <w:shd w:val="clear" w:color="auto" w:fill="FFFFFF"/>
          <w14:textFill>
            <w14:solidFill>
              <w14:schemeClr w14:val="tx1"/>
            </w14:solidFill>
          </w14:textFill>
        </w:rPr>
        <w:t>在中国境内完成。</w:t>
      </w:r>
    </w:p>
    <w:p w14:paraId="7C3C3558">
      <w:pPr>
        <w:spacing w:before="30" w:after="30"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w:t>
      </w:r>
    </w:p>
    <w:p w14:paraId="2CD76E8D">
      <w:pPr>
        <w:spacing w:before="30" w:after="30" w:line="360" w:lineRule="auto"/>
        <w:ind w:firstLine="42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本公司（单位）对上述声明内容的真实性负责。如有虚假，愿承担相应法律责任。</w:t>
      </w:r>
    </w:p>
    <w:p w14:paraId="5FB8DB2E">
      <w:pPr>
        <w:spacing w:before="30" w:after="30" w:line="360" w:lineRule="auto"/>
        <w:jc w:val="left"/>
        <w:rPr>
          <w:rFonts w:hint="eastAsia" w:ascii="宋体" w:hAnsi="宋体" w:cs="宋体"/>
          <w:color w:val="000000" w:themeColor="text1"/>
          <w:sz w:val="24"/>
          <w:szCs w:val="24"/>
          <w14:textFill>
            <w14:solidFill>
              <w14:schemeClr w14:val="tx1"/>
            </w14:solidFill>
          </w14:textFill>
        </w:rPr>
      </w:pPr>
    </w:p>
    <w:p w14:paraId="51BD6A3F">
      <w:pPr>
        <w:spacing w:before="30" w:after="30" w:line="360" w:lineRule="auto"/>
        <w:ind w:right="480" w:firstLine="4728"/>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公司（单位）名称（盖章）：　        日期：　   年　  月　  日         </w:t>
      </w:r>
    </w:p>
    <w:p w14:paraId="6AA1DA5C">
      <w:pPr>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1.产品如有型号，请在“产品名称”栏一并填写。</w:t>
      </w:r>
    </w:p>
    <w:p w14:paraId="5E42F5B4">
      <w:pPr>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2.生产厂名与厂址应与生产厂营业执照载明的相关信息保持一致。</w:t>
      </w:r>
    </w:p>
    <w:p w14:paraId="49D8E503">
      <w:pPr>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3.该产品的中国境内生产的组件成本占比相关要求实施前，“规定比例”栏可不填，下同。</w:t>
      </w:r>
    </w:p>
    <w:p w14:paraId="20D69023">
      <w:pPr>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4.该产品的关键组件要求实施前，“关键组件”栏可不填，下同。</w:t>
      </w:r>
    </w:p>
    <w:p w14:paraId="626465B4">
      <w:pPr>
        <w:spacing w:line="360" w:lineRule="auto"/>
        <w:jc w:val="left"/>
        <w:rPr>
          <w:rFonts w:hint="eastAsia"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5.该产品的关键工序要求实施前，“关键工序”栏可不填，下同。</w:t>
      </w:r>
    </w:p>
    <w:p w14:paraId="409EA62C">
      <w:pPr>
        <w:spacing w:line="360" w:lineRule="auto"/>
        <w:jc w:val="left"/>
        <w:rPr>
          <w:rFonts w:hint="eastAsia"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6.用斜线划除的地方无需填写。</w:t>
      </w:r>
    </w:p>
    <w:p w14:paraId="2159C286">
      <w:pPr>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7.请供应商如实填写，如填写有误，将承担一切不利后果。</w:t>
      </w:r>
    </w:p>
    <w:p w14:paraId="0B884EAC">
      <w:pPr>
        <w:widowControl/>
        <w:shd w:val="clear" w:color="auto" w:fill="FFFFFF"/>
        <w:spacing w:line="360" w:lineRule="auto"/>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8.供应商提供虚假《声明函》、虚假证明文件谋取中标的，依照《中华人民共和国政府采购法》等法律法规规定追究相应责任。</w:t>
      </w:r>
    </w:p>
    <w:p w14:paraId="073ED49C">
      <w:pPr>
        <w:rPr>
          <w:rFonts w:hint="eastAsia" w:ascii="宋体" w:hAnsi="宋体" w:cs="宋体"/>
          <w:iCs/>
          <w:color w:val="000000" w:themeColor="text1"/>
          <w:szCs w:val="21"/>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9.</w:t>
      </w:r>
      <w:r>
        <w:rPr>
          <w:rFonts w:hint="eastAsia" w:ascii="宋体" w:hAnsi="宋体" w:cs="宋体"/>
          <w:color w:val="000000" w:themeColor="text1"/>
          <w:sz w:val="24"/>
          <w:szCs w:val="24"/>
          <w14:textFill>
            <w14:solidFill>
              <w14:schemeClr w14:val="tx1"/>
            </w14:solidFill>
          </w14:textFill>
        </w:rPr>
        <w:t>中标人的《声明函》或有关证明文件随中标结果公开，接受社会监督。</w:t>
      </w:r>
    </w:p>
    <w:p w14:paraId="106F1A06">
      <w:pPr>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color w:val="000000" w:themeColor="text1"/>
          <w:sz w:val="28"/>
          <w:szCs w:val="28"/>
          <w:u w:val="single"/>
          <w14:textFill>
            <w14:solidFill>
              <w14:schemeClr w14:val="tx1"/>
            </w14:solidFill>
          </w14:textFill>
        </w:rPr>
        <w:br w:type="page" w:clear="all"/>
      </w:r>
    </w:p>
    <w:p w14:paraId="1146183F">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color w:val="000000" w:themeColor="text1"/>
          <w:sz w:val="28"/>
          <w:szCs w:val="28"/>
          <w:u w:val="single"/>
          <w14:textFill>
            <w14:solidFill>
              <w14:schemeClr w14:val="tx1"/>
            </w14:solidFill>
          </w14:textFill>
        </w:rPr>
        <w:t>十五、技术要求响应及偏离表</w:t>
      </w:r>
    </w:p>
    <w:p w14:paraId="491CE7FA">
      <w:pPr>
        <w:tabs>
          <w:tab w:val="left" w:pos="360"/>
        </w:tabs>
        <w:spacing w:line="360" w:lineRule="auto"/>
        <w:jc w:val="center"/>
        <w:rPr>
          <w:rFonts w:hint="eastAsia" w:ascii="宋体" w:hAnsi="宋体" w:cs="宋体"/>
          <w:bCs/>
          <w:color w:val="000000" w:themeColor="text1"/>
          <w:sz w:val="36"/>
          <w:szCs w:val="28"/>
          <w14:textFill>
            <w14:solidFill>
              <w14:schemeClr w14:val="tx1"/>
            </w14:solidFill>
          </w14:textFill>
        </w:rPr>
      </w:pPr>
      <w:r>
        <w:rPr>
          <w:rFonts w:hint="eastAsia" w:ascii="宋体" w:hAnsi="宋体" w:cs="宋体"/>
          <w:bCs/>
          <w:color w:val="000000" w:themeColor="text1"/>
          <w:sz w:val="36"/>
          <w:szCs w:val="28"/>
          <w14:textFill>
            <w14:solidFill>
              <w14:schemeClr w14:val="tx1"/>
            </w14:solidFill>
          </w14:textFill>
        </w:rPr>
        <w:t>技术要求响应及偏离表</w:t>
      </w:r>
    </w:p>
    <w:p w14:paraId="74FC3969">
      <w:pPr>
        <w:spacing w:line="360" w:lineRule="auto"/>
        <w:ind w:firstLine="480"/>
        <w:jc w:val="left"/>
        <w:rPr>
          <w:rFonts w:hint="eastAsia" w:ascii="宋体" w:hAnsi="宋体" w:cs="宋体"/>
          <w:color w:val="000000" w:themeColor="text1"/>
          <w:sz w:val="36"/>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项目名称：项目编号：</w:t>
      </w:r>
    </w:p>
    <w:tbl>
      <w:tblPr>
        <w:tblStyle w:val="4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60917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0B3357F3">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3273" w:type="dxa"/>
            <w:vAlign w:val="center"/>
          </w:tcPr>
          <w:p w14:paraId="4BC1C0D8">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招标文件要求</w:t>
            </w:r>
          </w:p>
        </w:tc>
        <w:tc>
          <w:tcPr>
            <w:tcW w:w="3024" w:type="dxa"/>
            <w:vAlign w:val="center"/>
          </w:tcPr>
          <w:p w14:paraId="631007D1">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投标响应情况</w:t>
            </w:r>
          </w:p>
        </w:tc>
        <w:tc>
          <w:tcPr>
            <w:tcW w:w="1399" w:type="dxa"/>
            <w:vAlign w:val="center"/>
          </w:tcPr>
          <w:p w14:paraId="7908C599">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超出、符合或偏离</w:t>
            </w:r>
          </w:p>
        </w:tc>
      </w:tr>
      <w:tr w14:paraId="680CB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474CA71E">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3273" w:type="dxa"/>
            <w:vAlign w:val="center"/>
          </w:tcPr>
          <w:p w14:paraId="62B3F593">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3024" w:type="dxa"/>
            <w:vAlign w:val="center"/>
          </w:tcPr>
          <w:p w14:paraId="2CE0F3C7">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99" w:type="dxa"/>
            <w:vAlign w:val="center"/>
          </w:tcPr>
          <w:p w14:paraId="4CF4D7EF">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1787E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4C2D6642">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3273" w:type="dxa"/>
            <w:vAlign w:val="center"/>
          </w:tcPr>
          <w:p w14:paraId="04B8D1AA">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3024" w:type="dxa"/>
            <w:vAlign w:val="center"/>
          </w:tcPr>
          <w:p w14:paraId="41501883">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99" w:type="dxa"/>
            <w:vAlign w:val="center"/>
          </w:tcPr>
          <w:p w14:paraId="38C92472">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69324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54D56A1C">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3273" w:type="dxa"/>
            <w:vAlign w:val="center"/>
          </w:tcPr>
          <w:p w14:paraId="1A548433">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3024" w:type="dxa"/>
            <w:vAlign w:val="center"/>
          </w:tcPr>
          <w:p w14:paraId="37604BB4">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99" w:type="dxa"/>
            <w:vAlign w:val="center"/>
          </w:tcPr>
          <w:p w14:paraId="0445148E">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198C0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4A113ECF">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3273" w:type="dxa"/>
            <w:vAlign w:val="center"/>
          </w:tcPr>
          <w:p w14:paraId="12A3650B">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3024" w:type="dxa"/>
            <w:vAlign w:val="center"/>
          </w:tcPr>
          <w:p w14:paraId="2168024F">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99" w:type="dxa"/>
            <w:vAlign w:val="center"/>
          </w:tcPr>
          <w:p w14:paraId="2E2D43BA">
            <w:pPr>
              <w:spacing w:line="360" w:lineRule="auto"/>
              <w:jc w:val="center"/>
              <w:rPr>
                <w:rFonts w:hint="eastAsia" w:ascii="宋体" w:hAnsi="宋体" w:cs="宋体"/>
                <w:color w:val="000000" w:themeColor="text1"/>
                <w:sz w:val="24"/>
                <w:szCs w:val="24"/>
                <w14:textFill>
                  <w14:solidFill>
                    <w14:schemeClr w14:val="tx1"/>
                  </w14:solidFill>
                </w14:textFill>
              </w:rPr>
            </w:pPr>
          </w:p>
        </w:tc>
      </w:tr>
    </w:tbl>
    <w:p w14:paraId="2BA0D1DD">
      <w:pPr>
        <w:spacing w:line="360" w:lineRule="auto"/>
        <w:ind w:firstLine="480"/>
        <w:rPr>
          <w:rFonts w:hint="eastAsia" w:ascii="宋体" w:hAnsi="宋体" w:cs="宋体"/>
          <w:color w:val="000000" w:themeColor="text1"/>
          <w:sz w:val="24"/>
          <w:szCs w:val="24"/>
          <w14:textFill>
            <w14:solidFill>
              <w14:schemeClr w14:val="tx1"/>
            </w14:solidFill>
          </w14:textFill>
        </w:rPr>
      </w:pPr>
    </w:p>
    <w:p w14:paraId="539FD743">
      <w:pPr>
        <w:tabs>
          <w:tab w:val="left" w:pos="360"/>
        </w:tabs>
        <w:spacing w:line="360" w:lineRule="auto"/>
        <w:jc w:val="center"/>
        <w:rPr>
          <w:rFonts w:hint="eastAsia" w:ascii="宋体" w:hAnsi="宋体" w:cs="宋体"/>
          <w:bCs/>
          <w:color w:val="000000" w:themeColor="text1"/>
          <w:sz w:val="36"/>
          <w:szCs w:val="28"/>
          <w14:textFill>
            <w14:solidFill>
              <w14:schemeClr w14:val="tx1"/>
            </w14:solidFill>
          </w14:textFill>
        </w:rPr>
      </w:pPr>
      <w:r>
        <w:rPr>
          <w:rFonts w:hint="eastAsia" w:ascii="宋体" w:hAnsi="宋体" w:cs="宋体"/>
          <w:bCs/>
          <w:color w:val="000000" w:themeColor="text1"/>
          <w:sz w:val="36"/>
          <w:szCs w:val="28"/>
          <w14:textFill>
            <w14:solidFill>
              <w14:schemeClr w14:val="tx1"/>
            </w14:solidFill>
          </w14:textFill>
        </w:rPr>
        <w:t>实质性响应表</w:t>
      </w:r>
    </w:p>
    <w:p w14:paraId="36120639">
      <w:pPr>
        <w:spacing w:line="360" w:lineRule="auto"/>
        <w:ind w:firstLine="480"/>
        <w:jc w:val="left"/>
        <w:rPr>
          <w:rFonts w:hint="eastAsia" w:ascii="宋体" w:hAnsi="宋体" w:cs="宋体"/>
          <w:color w:val="000000" w:themeColor="text1"/>
          <w:sz w:val="36"/>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项目名称：项目编号：</w:t>
      </w:r>
    </w:p>
    <w:tbl>
      <w:tblPr>
        <w:tblStyle w:val="4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4681F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6C858D39">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3273" w:type="dxa"/>
            <w:vAlign w:val="center"/>
          </w:tcPr>
          <w:p w14:paraId="5A87BFB6">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招标文件要求</w:t>
            </w:r>
          </w:p>
        </w:tc>
        <w:tc>
          <w:tcPr>
            <w:tcW w:w="3024" w:type="dxa"/>
            <w:vAlign w:val="center"/>
          </w:tcPr>
          <w:p w14:paraId="24D29AA3">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投标响应情况</w:t>
            </w:r>
          </w:p>
        </w:tc>
        <w:tc>
          <w:tcPr>
            <w:tcW w:w="1399" w:type="dxa"/>
            <w:vAlign w:val="center"/>
          </w:tcPr>
          <w:p w14:paraId="3E8319CF">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超出、符合或偏离</w:t>
            </w:r>
          </w:p>
        </w:tc>
      </w:tr>
      <w:tr w14:paraId="37EA7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02BB3277">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3273" w:type="dxa"/>
            <w:vAlign w:val="center"/>
          </w:tcPr>
          <w:p w14:paraId="628BA451">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3024" w:type="dxa"/>
            <w:vAlign w:val="center"/>
          </w:tcPr>
          <w:p w14:paraId="222BB443">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99" w:type="dxa"/>
            <w:vAlign w:val="center"/>
          </w:tcPr>
          <w:p w14:paraId="01AF29FD">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1B562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8377D0F">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3273" w:type="dxa"/>
            <w:vAlign w:val="center"/>
          </w:tcPr>
          <w:p w14:paraId="43C569C9">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3024" w:type="dxa"/>
            <w:vAlign w:val="center"/>
          </w:tcPr>
          <w:p w14:paraId="07782CD9">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99" w:type="dxa"/>
            <w:vAlign w:val="center"/>
          </w:tcPr>
          <w:p w14:paraId="285D38BB">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56409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52CC5973">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3273" w:type="dxa"/>
            <w:vAlign w:val="center"/>
          </w:tcPr>
          <w:p w14:paraId="0490751C">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3024" w:type="dxa"/>
            <w:vAlign w:val="center"/>
          </w:tcPr>
          <w:p w14:paraId="34E96EF7">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99" w:type="dxa"/>
            <w:vAlign w:val="center"/>
          </w:tcPr>
          <w:p w14:paraId="7A52D19E">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2C8EC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07D6B35A">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3273" w:type="dxa"/>
            <w:vAlign w:val="center"/>
          </w:tcPr>
          <w:p w14:paraId="52AB482E">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3024" w:type="dxa"/>
            <w:vAlign w:val="center"/>
          </w:tcPr>
          <w:p w14:paraId="0FFCE74D">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99" w:type="dxa"/>
            <w:vAlign w:val="center"/>
          </w:tcPr>
          <w:p w14:paraId="74423F99">
            <w:pPr>
              <w:spacing w:line="360" w:lineRule="auto"/>
              <w:jc w:val="center"/>
              <w:rPr>
                <w:rFonts w:hint="eastAsia" w:ascii="宋体" w:hAnsi="宋体" w:cs="宋体"/>
                <w:color w:val="000000" w:themeColor="text1"/>
                <w:sz w:val="24"/>
                <w:szCs w:val="24"/>
                <w14:textFill>
                  <w14:solidFill>
                    <w14:schemeClr w14:val="tx1"/>
                  </w14:solidFill>
                </w14:textFill>
              </w:rPr>
            </w:pPr>
          </w:p>
        </w:tc>
      </w:tr>
    </w:tbl>
    <w:p w14:paraId="7D6E0674">
      <w:pPr>
        <w:spacing w:line="360" w:lineRule="auto"/>
        <w:ind w:firstLine="480"/>
        <w:rPr>
          <w:rFonts w:hint="eastAsia" w:ascii="宋体" w:hAnsi="宋体" w:cs="宋体"/>
          <w:color w:val="000000" w:themeColor="text1"/>
          <w:sz w:val="24"/>
          <w:szCs w:val="24"/>
          <w14:textFill>
            <w14:solidFill>
              <w14:schemeClr w14:val="tx1"/>
            </w14:solidFill>
          </w14:textFill>
        </w:rPr>
      </w:pPr>
    </w:p>
    <w:p w14:paraId="00FA8C60">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投标人（盖章）：</w:t>
      </w:r>
    </w:p>
    <w:p w14:paraId="26E7F8A6">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法定代表人（单位负责人）或委托代理人（签字或盖章）：</w:t>
      </w:r>
    </w:p>
    <w:p w14:paraId="2C3AAD82">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日期：年月日</w:t>
      </w:r>
    </w:p>
    <w:p w14:paraId="621F11DA">
      <w:pPr>
        <w:spacing w:line="360" w:lineRule="auto"/>
        <w:rPr>
          <w:rFonts w:hint="eastAsia" w:ascii="宋体" w:hAnsi="宋体" w:cs="宋体"/>
          <w:color w:val="000000" w:themeColor="text1"/>
          <w14:textFill>
            <w14:solidFill>
              <w14:schemeClr w14:val="tx1"/>
            </w14:solidFill>
          </w14:textFill>
        </w:rPr>
      </w:pPr>
    </w:p>
    <w:p w14:paraId="5CFCD48A">
      <w:pPr>
        <w:spacing w:line="360" w:lineRule="auto"/>
        <w:rPr>
          <w:rFonts w:hint="eastAsia" w:ascii="宋体" w:hAnsi="宋体" w:cs="宋体"/>
          <w:color w:val="000000" w:themeColor="text1"/>
          <w14:textFill>
            <w14:solidFill>
              <w14:schemeClr w14:val="tx1"/>
            </w14:solidFill>
          </w14:textFill>
        </w:rPr>
      </w:pPr>
    </w:p>
    <w:p w14:paraId="6A728959">
      <w:pPr>
        <w:rPr>
          <w:rFonts w:hint="eastAsia" w:ascii="宋体" w:hAnsi="宋体" w:cs="宋体"/>
          <w:i/>
          <w:iCs/>
          <w:color w:val="000000" w:themeColor="text1"/>
          <w:sz w:val="36"/>
          <w:u w:val="single"/>
          <w14:textFill>
            <w14:solidFill>
              <w14:schemeClr w14:val="tx1"/>
            </w14:solidFill>
          </w14:textFill>
        </w:rPr>
      </w:pPr>
      <w:bookmarkStart w:id="183" w:name="_Hlt26955054"/>
      <w:bookmarkEnd w:id="183"/>
      <w:r>
        <w:rPr>
          <w:rFonts w:hint="eastAsia" w:ascii="宋体" w:hAnsi="宋体" w:cs="宋体"/>
          <w:i/>
          <w:iCs/>
          <w:color w:val="000000" w:themeColor="text1"/>
          <w:sz w:val="36"/>
          <w:u w:val="single"/>
          <w14:textFill>
            <w14:solidFill>
              <w14:schemeClr w14:val="tx1"/>
            </w14:solidFill>
          </w14:textFill>
        </w:rPr>
        <w:br w:type="page" w:clear="all"/>
      </w:r>
    </w:p>
    <w:p w14:paraId="470C05A8">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color w:val="000000" w:themeColor="text1"/>
          <w:sz w:val="28"/>
          <w:szCs w:val="28"/>
          <w:u w:val="single"/>
          <w14:textFill>
            <w14:solidFill>
              <w14:schemeClr w14:val="tx1"/>
            </w14:solidFill>
          </w14:textFill>
        </w:rPr>
        <w:t>十六、商务要求响应及偏离表</w:t>
      </w:r>
    </w:p>
    <w:p w14:paraId="3341CE35">
      <w:pPr>
        <w:tabs>
          <w:tab w:val="left" w:pos="360"/>
        </w:tabs>
        <w:spacing w:line="360" w:lineRule="auto"/>
        <w:jc w:val="center"/>
        <w:rPr>
          <w:rFonts w:hint="eastAsia" w:ascii="宋体" w:hAnsi="宋体" w:cs="宋体"/>
          <w:bCs/>
          <w:color w:val="000000" w:themeColor="text1"/>
          <w:sz w:val="36"/>
          <w:szCs w:val="28"/>
          <w14:textFill>
            <w14:solidFill>
              <w14:schemeClr w14:val="tx1"/>
            </w14:solidFill>
          </w14:textFill>
        </w:rPr>
      </w:pPr>
      <w:r>
        <w:rPr>
          <w:rFonts w:hint="eastAsia" w:ascii="宋体" w:hAnsi="宋体" w:cs="宋体"/>
          <w:bCs/>
          <w:color w:val="000000" w:themeColor="text1"/>
          <w:sz w:val="36"/>
          <w:szCs w:val="28"/>
          <w14:textFill>
            <w14:solidFill>
              <w14:schemeClr w14:val="tx1"/>
            </w14:solidFill>
          </w14:textFill>
        </w:rPr>
        <w:t>商务要求响应及偏离表</w:t>
      </w:r>
    </w:p>
    <w:p w14:paraId="7E90885D">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项目名称：项目编号：</w:t>
      </w:r>
    </w:p>
    <w:tbl>
      <w:tblPr>
        <w:tblStyle w:val="4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02123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09CC5212">
            <w:pPr>
              <w:spacing w:line="360" w:lineRule="auto"/>
              <w:jc w:val="center"/>
              <w:rPr>
                <w:rFonts w:hint="eastAsia" w:ascii="宋体" w:hAnsi="宋体" w:cs="宋体"/>
                <w:color w:val="000000" w:themeColor="text1"/>
                <w:sz w:val="24"/>
                <w:szCs w:val="24"/>
                <w14:textFill>
                  <w14:solidFill>
                    <w14:schemeClr w14:val="tx1"/>
                  </w14:solidFill>
                </w14:textFill>
              </w:rPr>
            </w:pPr>
            <w:bookmarkStart w:id="184" w:name="_Hlt26955056"/>
            <w:bookmarkEnd w:id="184"/>
            <w:bookmarkStart w:id="185" w:name="_Hlt26782999"/>
            <w:bookmarkEnd w:id="185"/>
            <w:bookmarkStart w:id="186" w:name="_Hlt26580838"/>
            <w:bookmarkEnd w:id="186"/>
            <w:bookmarkStart w:id="187" w:name="_Hlt24879081"/>
            <w:bookmarkEnd w:id="187"/>
            <w:bookmarkStart w:id="188" w:name="_Hlt26609391"/>
            <w:bookmarkEnd w:id="188"/>
            <w:bookmarkStart w:id="189" w:name="_Hlt26671343"/>
            <w:bookmarkEnd w:id="189"/>
            <w:bookmarkStart w:id="190" w:name="_Hlt26671372"/>
            <w:bookmarkEnd w:id="190"/>
            <w:bookmarkStart w:id="191" w:name="_Hlt26955064"/>
            <w:bookmarkEnd w:id="191"/>
            <w:r>
              <w:rPr>
                <w:rFonts w:hint="eastAsia" w:ascii="宋体" w:hAnsi="宋体" w:cs="宋体"/>
                <w:color w:val="000000" w:themeColor="text1"/>
                <w:sz w:val="24"/>
                <w:szCs w:val="24"/>
                <w14:textFill>
                  <w14:solidFill>
                    <w14:schemeClr w14:val="tx1"/>
                  </w14:solidFill>
                </w14:textFill>
              </w:rPr>
              <w:t>序号</w:t>
            </w:r>
          </w:p>
        </w:tc>
        <w:tc>
          <w:tcPr>
            <w:tcW w:w="3263" w:type="dxa"/>
            <w:vAlign w:val="center"/>
          </w:tcPr>
          <w:p w14:paraId="7E7540CC">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招标文件要求</w:t>
            </w:r>
          </w:p>
        </w:tc>
        <w:tc>
          <w:tcPr>
            <w:tcW w:w="3034" w:type="dxa"/>
            <w:vAlign w:val="center"/>
          </w:tcPr>
          <w:p w14:paraId="7343BE27">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投标响应情况</w:t>
            </w:r>
          </w:p>
        </w:tc>
        <w:tc>
          <w:tcPr>
            <w:tcW w:w="1391" w:type="dxa"/>
            <w:vAlign w:val="center"/>
          </w:tcPr>
          <w:p w14:paraId="08E2DBAD">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超出、符合或偏离</w:t>
            </w:r>
          </w:p>
        </w:tc>
      </w:tr>
      <w:tr w14:paraId="51F20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101E4446">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3263" w:type="dxa"/>
            <w:vAlign w:val="center"/>
          </w:tcPr>
          <w:p w14:paraId="742DEE0C">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3034" w:type="dxa"/>
            <w:vAlign w:val="center"/>
          </w:tcPr>
          <w:p w14:paraId="2112312E">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91" w:type="dxa"/>
            <w:vAlign w:val="center"/>
          </w:tcPr>
          <w:p w14:paraId="51F57E10">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7FDA1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4D56C343">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3263" w:type="dxa"/>
            <w:vAlign w:val="center"/>
          </w:tcPr>
          <w:p w14:paraId="148DB8DC">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3034" w:type="dxa"/>
            <w:vAlign w:val="center"/>
          </w:tcPr>
          <w:p w14:paraId="1BF98965">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91" w:type="dxa"/>
            <w:vAlign w:val="center"/>
          </w:tcPr>
          <w:p w14:paraId="4F18A761">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1120E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6D9F8CD0">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3263" w:type="dxa"/>
            <w:vAlign w:val="center"/>
          </w:tcPr>
          <w:p w14:paraId="1CE9EC7E">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3034" w:type="dxa"/>
            <w:vAlign w:val="center"/>
          </w:tcPr>
          <w:p w14:paraId="55226B06">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91" w:type="dxa"/>
            <w:vAlign w:val="center"/>
          </w:tcPr>
          <w:p w14:paraId="2470A970">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29E3F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359E979A">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3263" w:type="dxa"/>
            <w:vAlign w:val="center"/>
          </w:tcPr>
          <w:p w14:paraId="202ACAE2">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3034" w:type="dxa"/>
            <w:vAlign w:val="center"/>
          </w:tcPr>
          <w:p w14:paraId="24B61512">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91" w:type="dxa"/>
            <w:vAlign w:val="center"/>
          </w:tcPr>
          <w:p w14:paraId="78532CA0">
            <w:pPr>
              <w:spacing w:line="360" w:lineRule="auto"/>
              <w:jc w:val="center"/>
              <w:rPr>
                <w:rFonts w:hint="eastAsia" w:ascii="宋体" w:hAnsi="宋体" w:cs="宋体"/>
                <w:color w:val="000000" w:themeColor="text1"/>
                <w:sz w:val="24"/>
                <w:szCs w:val="24"/>
                <w14:textFill>
                  <w14:solidFill>
                    <w14:schemeClr w14:val="tx1"/>
                  </w14:solidFill>
                </w14:textFill>
              </w:rPr>
            </w:pPr>
          </w:p>
        </w:tc>
      </w:tr>
    </w:tbl>
    <w:p w14:paraId="2942A821">
      <w:pPr>
        <w:spacing w:line="360" w:lineRule="auto"/>
        <w:ind w:firstLine="480"/>
        <w:rPr>
          <w:rFonts w:hint="eastAsia" w:ascii="宋体" w:hAnsi="宋体" w:cs="宋体"/>
          <w:color w:val="000000" w:themeColor="text1"/>
          <w:sz w:val="24"/>
          <w:szCs w:val="24"/>
          <w14:textFill>
            <w14:solidFill>
              <w14:schemeClr w14:val="tx1"/>
            </w14:solidFill>
          </w14:textFill>
        </w:rPr>
      </w:pPr>
    </w:p>
    <w:p w14:paraId="7D38C477">
      <w:pPr>
        <w:spacing w:line="360" w:lineRule="auto"/>
        <w:ind w:firstLine="480"/>
        <w:rPr>
          <w:rFonts w:hint="eastAsia" w:ascii="宋体" w:hAnsi="宋体" w:cs="宋体"/>
          <w:color w:val="000000" w:themeColor="text1"/>
          <w:sz w:val="24"/>
          <w:szCs w:val="24"/>
          <w14:textFill>
            <w14:solidFill>
              <w14:schemeClr w14:val="tx1"/>
            </w14:solidFill>
          </w14:textFill>
        </w:rPr>
      </w:pPr>
    </w:p>
    <w:p w14:paraId="05D5F834">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投标人（盖章）：</w:t>
      </w:r>
    </w:p>
    <w:p w14:paraId="7C9F96D0">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法定代表人（单位负责人）或委托代理人（签字或盖章）：</w:t>
      </w:r>
    </w:p>
    <w:p w14:paraId="1169A50C">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日期：年月日</w:t>
      </w:r>
    </w:p>
    <w:p w14:paraId="1CED7E06">
      <w:pPr>
        <w:spacing w:line="360" w:lineRule="auto"/>
        <w:rPr>
          <w:rFonts w:hint="eastAsia" w:ascii="宋体" w:hAnsi="宋体" w:cs="宋体"/>
          <w:color w:val="000000" w:themeColor="text1"/>
          <w14:textFill>
            <w14:solidFill>
              <w14:schemeClr w14:val="tx1"/>
            </w14:solidFill>
          </w14:textFill>
        </w:rPr>
      </w:pPr>
      <w:bookmarkStart w:id="192" w:name="_Hlt26609389"/>
      <w:bookmarkEnd w:id="192"/>
      <w:bookmarkStart w:id="193" w:name="_Hlt26671374"/>
      <w:bookmarkEnd w:id="193"/>
      <w:bookmarkStart w:id="194" w:name="_Hlt26955066"/>
      <w:bookmarkEnd w:id="194"/>
      <w:bookmarkStart w:id="195" w:name="_格式2__法定代表人授权书"/>
      <w:bookmarkEnd w:id="195"/>
    </w:p>
    <w:p w14:paraId="5E087CA7">
      <w:pPr>
        <w:spacing w:line="360" w:lineRule="auto"/>
        <w:rPr>
          <w:rFonts w:hint="eastAsia" w:ascii="宋体" w:hAnsi="宋体" w:cs="宋体"/>
          <w:color w:val="000000" w:themeColor="text1"/>
          <w14:textFill>
            <w14:solidFill>
              <w14:schemeClr w14:val="tx1"/>
            </w14:solidFill>
          </w14:textFill>
        </w:rPr>
      </w:pPr>
    </w:p>
    <w:p w14:paraId="06A2EFA8">
      <w:pPr>
        <w:rPr>
          <w:rFonts w:hint="eastAsia" w:ascii="宋体" w:hAnsi="宋体" w:cs="宋体"/>
          <w:iCs/>
          <w:color w:val="000000" w:themeColor="text1"/>
          <w:sz w:val="36"/>
          <w14:textFill>
            <w14:solidFill>
              <w14:schemeClr w14:val="tx1"/>
            </w14:solidFill>
          </w14:textFill>
        </w:rPr>
      </w:pPr>
      <w:r>
        <w:rPr>
          <w:rFonts w:hint="eastAsia" w:ascii="宋体" w:hAnsi="宋体" w:cs="宋体"/>
          <w:iCs/>
          <w:color w:val="000000" w:themeColor="text1"/>
          <w:sz w:val="36"/>
          <w14:textFill>
            <w14:solidFill>
              <w14:schemeClr w14:val="tx1"/>
            </w14:solidFill>
          </w14:textFill>
        </w:rPr>
        <w:br w:type="page" w:clear="all"/>
      </w:r>
    </w:p>
    <w:p w14:paraId="33D0C378">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color w:val="000000" w:themeColor="text1"/>
          <w:sz w:val="28"/>
          <w:szCs w:val="28"/>
          <w:u w:val="single"/>
          <w14:textFill>
            <w14:solidFill>
              <w14:schemeClr w14:val="tx1"/>
            </w14:solidFill>
          </w14:textFill>
        </w:rPr>
        <w:t>十七、类似项目业绩一览表</w:t>
      </w:r>
    </w:p>
    <w:p w14:paraId="6AE7985A">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p>
    <w:p w14:paraId="51CC92A8">
      <w:pPr>
        <w:tabs>
          <w:tab w:val="left" w:pos="360"/>
        </w:tabs>
        <w:spacing w:line="360" w:lineRule="auto"/>
        <w:jc w:val="center"/>
        <w:rPr>
          <w:rFonts w:hint="eastAsia" w:ascii="宋体" w:hAnsi="宋体" w:cs="宋体"/>
          <w:bCs/>
          <w:color w:val="000000" w:themeColor="text1"/>
          <w:sz w:val="36"/>
          <w:szCs w:val="28"/>
          <w14:textFill>
            <w14:solidFill>
              <w14:schemeClr w14:val="tx1"/>
            </w14:solidFill>
          </w14:textFill>
        </w:rPr>
      </w:pPr>
    </w:p>
    <w:p w14:paraId="3023087B">
      <w:pPr>
        <w:tabs>
          <w:tab w:val="left" w:pos="360"/>
        </w:tabs>
        <w:spacing w:line="360" w:lineRule="auto"/>
        <w:jc w:val="center"/>
        <w:rPr>
          <w:rFonts w:hint="eastAsia" w:ascii="宋体" w:hAnsi="宋体" w:cs="宋体"/>
          <w:bCs/>
          <w:color w:val="000000" w:themeColor="text1"/>
          <w:sz w:val="36"/>
          <w:szCs w:val="28"/>
          <w14:textFill>
            <w14:solidFill>
              <w14:schemeClr w14:val="tx1"/>
            </w14:solidFill>
          </w14:textFill>
        </w:rPr>
      </w:pPr>
      <w:r>
        <w:rPr>
          <w:rFonts w:hint="eastAsia" w:ascii="宋体" w:hAnsi="宋体" w:cs="宋体"/>
          <w:bCs/>
          <w:color w:val="000000" w:themeColor="text1"/>
          <w:sz w:val="36"/>
          <w:szCs w:val="28"/>
          <w14:textFill>
            <w14:solidFill>
              <w14:schemeClr w14:val="tx1"/>
            </w14:solidFill>
          </w14:textFill>
        </w:rPr>
        <w:t>类似项目业绩一览表</w:t>
      </w:r>
    </w:p>
    <w:p w14:paraId="4B091B2B">
      <w:pPr>
        <w:spacing w:line="360" w:lineRule="auto"/>
        <w:ind w:firstLine="24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项目名称：项目编号：</w:t>
      </w:r>
    </w:p>
    <w:tbl>
      <w:tblPr>
        <w:tblStyle w:val="4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6EA9B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vAlign w:val="center"/>
          </w:tcPr>
          <w:p w14:paraId="37641B36">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2686" w:type="dxa"/>
            <w:vAlign w:val="center"/>
          </w:tcPr>
          <w:p w14:paraId="1674B140">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p>
        </w:tc>
        <w:tc>
          <w:tcPr>
            <w:tcW w:w="1850" w:type="dxa"/>
            <w:vAlign w:val="center"/>
          </w:tcPr>
          <w:p w14:paraId="15C0946F">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签订时间</w:t>
            </w:r>
          </w:p>
        </w:tc>
        <w:tc>
          <w:tcPr>
            <w:tcW w:w="1985" w:type="dxa"/>
            <w:vAlign w:val="center"/>
          </w:tcPr>
          <w:p w14:paraId="180B11EF">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采购单位</w:t>
            </w:r>
          </w:p>
        </w:tc>
        <w:tc>
          <w:tcPr>
            <w:tcW w:w="1309" w:type="dxa"/>
            <w:vAlign w:val="center"/>
          </w:tcPr>
          <w:p w14:paraId="7BBBCCB8">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主要标的</w:t>
            </w:r>
          </w:p>
        </w:tc>
      </w:tr>
      <w:tr w14:paraId="7365F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0036FF51">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2686" w:type="dxa"/>
            <w:vAlign w:val="center"/>
          </w:tcPr>
          <w:p w14:paraId="58ED8464">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850" w:type="dxa"/>
          </w:tcPr>
          <w:p w14:paraId="2AFCD27D">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985" w:type="dxa"/>
            <w:vAlign w:val="center"/>
          </w:tcPr>
          <w:p w14:paraId="4023C553">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09" w:type="dxa"/>
            <w:vAlign w:val="center"/>
          </w:tcPr>
          <w:p w14:paraId="3755D8AB">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62781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29E631B2">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2686" w:type="dxa"/>
            <w:vAlign w:val="center"/>
          </w:tcPr>
          <w:p w14:paraId="7F0D3C6C">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850" w:type="dxa"/>
          </w:tcPr>
          <w:p w14:paraId="39D3F55E">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985" w:type="dxa"/>
            <w:vAlign w:val="center"/>
          </w:tcPr>
          <w:p w14:paraId="1378F3FD">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09" w:type="dxa"/>
            <w:vAlign w:val="center"/>
          </w:tcPr>
          <w:p w14:paraId="2234E669">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71E8B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344320A7">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2686" w:type="dxa"/>
            <w:vAlign w:val="center"/>
          </w:tcPr>
          <w:p w14:paraId="0E487F03">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850" w:type="dxa"/>
          </w:tcPr>
          <w:p w14:paraId="0E3D4F7D">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985" w:type="dxa"/>
            <w:vAlign w:val="center"/>
          </w:tcPr>
          <w:p w14:paraId="611F2721">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09" w:type="dxa"/>
            <w:vAlign w:val="center"/>
          </w:tcPr>
          <w:p w14:paraId="032D0A17">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2F0B8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07392B3C">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2686" w:type="dxa"/>
            <w:vAlign w:val="center"/>
          </w:tcPr>
          <w:p w14:paraId="373C48EE">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850" w:type="dxa"/>
          </w:tcPr>
          <w:p w14:paraId="1EC6ABC7">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985" w:type="dxa"/>
            <w:vAlign w:val="center"/>
          </w:tcPr>
          <w:p w14:paraId="46B8B88D">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309" w:type="dxa"/>
            <w:vAlign w:val="center"/>
          </w:tcPr>
          <w:p w14:paraId="378CC919">
            <w:pPr>
              <w:spacing w:line="360" w:lineRule="auto"/>
              <w:jc w:val="center"/>
              <w:rPr>
                <w:rFonts w:hint="eastAsia" w:ascii="宋体" w:hAnsi="宋体" w:cs="宋体"/>
                <w:color w:val="000000" w:themeColor="text1"/>
                <w:sz w:val="24"/>
                <w:szCs w:val="24"/>
                <w14:textFill>
                  <w14:solidFill>
                    <w14:schemeClr w14:val="tx1"/>
                  </w14:solidFill>
                </w14:textFill>
              </w:rPr>
            </w:pPr>
          </w:p>
        </w:tc>
      </w:tr>
    </w:tbl>
    <w:p w14:paraId="699410FA">
      <w:pPr>
        <w:spacing w:line="360" w:lineRule="auto"/>
        <w:ind w:firstLine="480"/>
        <w:rPr>
          <w:rFonts w:hint="eastAsia" w:ascii="宋体" w:hAnsi="宋体" w:cs="宋体"/>
          <w:color w:val="000000" w:themeColor="text1"/>
          <w:sz w:val="24"/>
          <w:szCs w:val="24"/>
          <w14:textFill>
            <w14:solidFill>
              <w14:schemeClr w14:val="tx1"/>
            </w14:solidFill>
          </w14:textFill>
        </w:rPr>
      </w:pPr>
    </w:p>
    <w:p w14:paraId="705C2FF1">
      <w:pPr>
        <w:spacing w:line="360" w:lineRule="auto"/>
        <w:ind w:firstLine="480"/>
        <w:rPr>
          <w:rFonts w:hint="eastAsia" w:ascii="宋体" w:hAnsi="宋体" w:cs="宋体"/>
          <w:color w:val="000000" w:themeColor="text1"/>
          <w:sz w:val="24"/>
          <w:szCs w:val="24"/>
          <w14:textFill>
            <w14:solidFill>
              <w14:schemeClr w14:val="tx1"/>
            </w14:solidFill>
          </w14:textFill>
        </w:rPr>
      </w:pPr>
    </w:p>
    <w:p w14:paraId="1BA82AB0">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投标人（盖章）：</w:t>
      </w:r>
    </w:p>
    <w:p w14:paraId="1D7A586A">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法定代表人（单位负责人）或委托代理人（签字或盖章）：</w:t>
      </w:r>
    </w:p>
    <w:p w14:paraId="799E9001">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日期：年月日</w:t>
      </w:r>
    </w:p>
    <w:p w14:paraId="53076ABA">
      <w:pPr>
        <w:spacing w:line="360" w:lineRule="auto"/>
        <w:rPr>
          <w:rFonts w:hint="eastAsia" w:ascii="宋体" w:hAnsi="宋体" w:cs="宋体"/>
          <w:color w:val="000000" w:themeColor="text1"/>
          <w14:textFill>
            <w14:solidFill>
              <w14:schemeClr w14:val="tx1"/>
            </w14:solidFill>
          </w14:textFill>
        </w:rPr>
      </w:pPr>
    </w:p>
    <w:p w14:paraId="5E963EDB">
      <w:pPr>
        <w:spacing w:line="360" w:lineRule="auto"/>
        <w:rPr>
          <w:rFonts w:hint="eastAsia" w:ascii="宋体" w:hAnsi="宋体" w:cs="宋体"/>
          <w:color w:val="000000" w:themeColor="text1"/>
          <w14:textFill>
            <w14:solidFill>
              <w14:schemeClr w14:val="tx1"/>
            </w14:solidFill>
          </w14:textFill>
        </w:rPr>
      </w:pPr>
    </w:p>
    <w:p w14:paraId="44F636DE">
      <w:pPr>
        <w:rPr>
          <w:rFonts w:hint="eastAsia" w:ascii="宋体" w:hAnsi="宋体" w:cs="宋体"/>
          <w:iCs/>
          <w:color w:val="000000" w:themeColor="text1"/>
          <w:sz w:val="36"/>
          <w14:textFill>
            <w14:solidFill>
              <w14:schemeClr w14:val="tx1"/>
            </w14:solidFill>
          </w14:textFill>
        </w:rPr>
      </w:pPr>
      <w:r>
        <w:rPr>
          <w:rFonts w:hint="eastAsia" w:ascii="宋体" w:hAnsi="宋体" w:cs="宋体"/>
          <w:iCs/>
          <w:color w:val="000000" w:themeColor="text1"/>
          <w:sz w:val="36"/>
          <w14:textFill>
            <w14:solidFill>
              <w14:schemeClr w14:val="tx1"/>
            </w14:solidFill>
          </w14:textFill>
        </w:rPr>
        <w:br w:type="page" w:clear="all"/>
      </w:r>
    </w:p>
    <w:p w14:paraId="34A3BE49">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color w:val="000000" w:themeColor="text1"/>
          <w:sz w:val="28"/>
          <w:szCs w:val="28"/>
          <w:u w:val="single"/>
          <w14:textFill>
            <w14:solidFill>
              <w14:schemeClr w14:val="tx1"/>
            </w14:solidFill>
          </w14:textFill>
        </w:rPr>
        <w:t>十八、项目团队人员一览表</w:t>
      </w:r>
    </w:p>
    <w:p w14:paraId="08C7D5FB">
      <w:pPr>
        <w:tabs>
          <w:tab w:val="left" w:pos="360"/>
        </w:tabs>
        <w:spacing w:line="360" w:lineRule="auto"/>
        <w:jc w:val="center"/>
        <w:rPr>
          <w:rFonts w:hint="eastAsia" w:ascii="宋体" w:hAnsi="宋体" w:cs="宋体"/>
          <w:bCs/>
          <w:color w:val="000000" w:themeColor="text1"/>
          <w:sz w:val="36"/>
          <w:szCs w:val="28"/>
          <w14:textFill>
            <w14:solidFill>
              <w14:schemeClr w14:val="tx1"/>
            </w14:solidFill>
          </w14:textFill>
        </w:rPr>
      </w:pPr>
      <w:r>
        <w:rPr>
          <w:rFonts w:hint="eastAsia" w:ascii="宋体" w:hAnsi="宋体" w:cs="宋体"/>
          <w:bCs/>
          <w:color w:val="000000" w:themeColor="text1"/>
          <w:sz w:val="36"/>
          <w:szCs w:val="28"/>
          <w14:textFill>
            <w14:solidFill>
              <w14:schemeClr w14:val="tx1"/>
            </w14:solidFill>
          </w14:textFill>
        </w:rPr>
        <w:t>项目团队人员一览表</w:t>
      </w:r>
    </w:p>
    <w:p w14:paraId="7568C164">
      <w:pPr>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项目名称：项目编号：</w:t>
      </w:r>
    </w:p>
    <w:tbl>
      <w:tblPr>
        <w:tblStyle w:val="48"/>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8"/>
        <w:gridCol w:w="2227"/>
        <w:gridCol w:w="2696"/>
        <w:gridCol w:w="2910"/>
      </w:tblGrid>
      <w:tr w14:paraId="7F816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088" w:type="dxa"/>
            <w:vAlign w:val="center"/>
          </w:tcPr>
          <w:p w14:paraId="4ED016E8">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姓名</w:t>
            </w:r>
          </w:p>
        </w:tc>
        <w:tc>
          <w:tcPr>
            <w:tcW w:w="2227" w:type="dxa"/>
            <w:vAlign w:val="center"/>
          </w:tcPr>
          <w:p w14:paraId="200BAC9B">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本项目拟担任职务</w:t>
            </w:r>
          </w:p>
        </w:tc>
        <w:tc>
          <w:tcPr>
            <w:tcW w:w="2696" w:type="dxa"/>
            <w:vAlign w:val="center"/>
          </w:tcPr>
          <w:p w14:paraId="7AE9867B">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技术职称、专业资质</w:t>
            </w:r>
          </w:p>
        </w:tc>
        <w:tc>
          <w:tcPr>
            <w:tcW w:w="2910" w:type="dxa"/>
            <w:vAlign w:val="center"/>
          </w:tcPr>
          <w:p w14:paraId="6BD90428">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主要资历及担任过的职务</w:t>
            </w:r>
          </w:p>
        </w:tc>
      </w:tr>
      <w:tr w14:paraId="2B020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88" w:type="dxa"/>
            <w:vAlign w:val="center"/>
          </w:tcPr>
          <w:p w14:paraId="233B3222">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227" w:type="dxa"/>
            <w:vAlign w:val="center"/>
          </w:tcPr>
          <w:p w14:paraId="30FF0AF5">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696" w:type="dxa"/>
          </w:tcPr>
          <w:p w14:paraId="43543338">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910" w:type="dxa"/>
          </w:tcPr>
          <w:p w14:paraId="103DB97F">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56D76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88" w:type="dxa"/>
            <w:vAlign w:val="center"/>
          </w:tcPr>
          <w:p w14:paraId="07108AD6">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227" w:type="dxa"/>
            <w:vAlign w:val="center"/>
          </w:tcPr>
          <w:p w14:paraId="20AAEDE4">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696" w:type="dxa"/>
          </w:tcPr>
          <w:p w14:paraId="5874F581">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910" w:type="dxa"/>
          </w:tcPr>
          <w:p w14:paraId="19FB401D">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4F615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88" w:type="dxa"/>
            <w:vAlign w:val="center"/>
          </w:tcPr>
          <w:p w14:paraId="1FCD7B42">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227" w:type="dxa"/>
            <w:vAlign w:val="center"/>
          </w:tcPr>
          <w:p w14:paraId="28FE6686">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696" w:type="dxa"/>
          </w:tcPr>
          <w:p w14:paraId="42AFEA76">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910" w:type="dxa"/>
          </w:tcPr>
          <w:p w14:paraId="71C28B27">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070E0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88" w:type="dxa"/>
            <w:vAlign w:val="center"/>
          </w:tcPr>
          <w:p w14:paraId="63AC9154">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227" w:type="dxa"/>
            <w:vAlign w:val="center"/>
          </w:tcPr>
          <w:p w14:paraId="6E503A59">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696" w:type="dxa"/>
          </w:tcPr>
          <w:p w14:paraId="16DB6BAF">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910" w:type="dxa"/>
          </w:tcPr>
          <w:p w14:paraId="7ABEDC15">
            <w:pPr>
              <w:spacing w:line="360" w:lineRule="auto"/>
              <w:jc w:val="center"/>
              <w:rPr>
                <w:rFonts w:hint="eastAsia" w:ascii="宋体" w:hAnsi="宋体" w:cs="宋体"/>
                <w:color w:val="000000" w:themeColor="text1"/>
                <w:sz w:val="24"/>
                <w:szCs w:val="24"/>
                <w14:textFill>
                  <w14:solidFill>
                    <w14:schemeClr w14:val="tx1"/>
                  </w14:solidFill>
                </w14:textFill>
              </w:rPr>
            </w:pPr>
          </w:p>
        </w:tc>
      </w:tr>
    </w:tbl>
    <w:p w14:paraId="3FD7E0AF">
      <w:pPr>
        <w:spacing w:line="360" w:lineRule="auto"/>
        <w:ind w:firstLine="480"/>
        <w:rPr>
          <w:rFonts w:hint="eastAsia" w:ascii="宋体" w:hAnsi="宋体" w:cs="宋体"/>
          <w:color w:val="000000" w:themeColor="text1"/>
          <w:sz w:val="24"/>
          <w:szCs w:val="24"/>
          <w14:textFill>
            <w14:solidFill>
              <w14:schemeClr w14:val="tx1"/>
            </w14:solidFill>
          </w14:textFill>
        </w:rPr>
      </w:pPr>
    </w:p>
    <w:p w14:paraId="57D36B3F">
      <w:pPr>
        <w:spacing w:line="360" w:lineRule="auto"/>
        <w:ind w:firstLine="480"/>
        <w:rPr>
          <w:rFonts w:hint="eastAsia" w:ascii="宋体" w:hAnsi="宋体" w:cs="宋体"/>
          <w:color w:val="000000" w:themeColor="text1"/>
          <w:sz w:val="24"/>
          <w:szCs w:val="24"/>
          <w14:textFill>
            <w14:solidFill>
              <w14:schemeClr w14:val="tx1"/>
            </w14:solidFill>
          </w14:textFill>
        </w:rPr>
      </w:pPr>
    </w:p>
    <w:p w14:paraId="64C62946">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投标人（盖章）：</w:t>
      </w:r>
    </w:p>
    <w:p w14:paraId="212A5705">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法定代表人（单位负责人）或委托代理人（签字或盖章）：</w:t>
      </w:r>
    </w:p>
    <w:p w14:paraId="70592691">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日期：年月日</w:t>
      </w:r>
    </w:p>
    <w:p w14:paraId="27297B05">
      <w:pPr>
        <w:spacing w:line="360" w:lineRule="auto"/>
        <w:rPr>
          <w:rFonts w:hint="eastAsia" w:ascii="宋体" w:hAnsi="宋体" w:cs="宋体"/>
          <w:color w:val="000000" w:themeColor="text1"/>
          <w14:textFill>
            <w14:solidFill>
              <w14:schemeClr w14:val="tx1"/>
            </w14:solidFill>
          </w14:textFill>
        </w:rPr>
      </w:pPr>
    </w:p>
    <w:p w14:paraId="7D61297B">
      <w:pPr>
        <w:spacing w:line="360" w:lineRule="auto"/>
        <w:rPr>
          <w:rFonts w:hint="eastAsia" w:ascii="宋体" w:hAnsi="宋体" w:cs="宋体"/>
          <w:color w:val="000000" w:themeColor="text1"/>
          <w14:textFill>
            <w14:solidFill>
              <w14:schemeClr w14:val="tx1"/>
            </w14:solidFill>
          </w14:textFill>
        </w:rPr>
      </w:pPr>
    </w:p>
    <w:p w14:paraId="13815C81">
      <w:pPr>
        <w:spacing w:line="360" w:lineRule="auto"/>
        <w:ind w:firstLine="643"/>
        <w:jc w:val="left"/>
        <w:rPr>
          <w:rFonts w:hint="eastAsia" w:ascii="宋体" w:hAnsi="宋体" w:cs="宋体"/>
          <w:b/>
          <w:color w:val="000000" w:themeColor="text1"/>
          <w:sz w:val="32"/>
          <w:szCs w:val="32"/>
          <w14:textFill>
            <w14:solidFill>
              <w14:schemeClr w14:val="tx1"/>
            </w14:solidFill>
          </w14:textFill>
        </w:rPr>
      </w:pPr>
    </w:p>
    <w:p w14:paraId="64C68E6A">
      <w:pPr>
        <w:rPr>
          <w:rFonts w:hint="eastAsia" w:ascii="宋体" w:hAnsi="宋体" w:cs="宋体"/>
          <w:bCs/>
          <w:i/>
          <w:color w:val="000000" w:themeColor="text1"/>
          <w:sz w:val="36"/>
          <w:szCs w:val="36"/>
          <w:u w:val="single"/>
          <w14:textFill>
            <w14:solidFill>
              <w14:schemeClr w14:val="tx1"/>
            </w14:solidFill>
          </w14:textFill>
        </w:rPr>
      </w:pPr>
      <w:r>
        <w:rPr>
          <w:rFonts w:hint="eastAsia" w:ascii="宋体" w:hAnsi="宋体" w:cs="宋体"/>
          <w:bCs/>
          <w:i/>
          <w:color w:val="000000" w:themeColor="text1"/>
          <w:sz w:val="36"/>
          <w:szCs w:val="36"/>
          <w:u w:val="single"/>
          <w14:textFill>
            <w14:solidFill>
              <w14:schemeClr w14:val="tx1"/>
            </w14:solidFill>
          </w14:textFill>
        </w:rPr>
        <w:br w:type="page" w:clear="all"/>
      </w:r>
    </w:p>
    <w:p w14:paraId="30525246">
      <w:pPr>
        <w:keepNext/>
        <w:keepLines/>
        <w:spacing w:line="360" w:lineRule="auto"/>
        <w:jc w:val="left"/>
        <w:outlineLvl w:val="1"/>
        <w:rPr>
          <w:rFonts w:hint="eastAsia" w:ascii="宋体" w:hAnsi="宋体" w:cs="宋体"/>
          <w:i/>
          <w:color w:val="000000" w:themeColor="text1"/>
          <w:sz w:val="28"/>
          <w:szCs w:val="28"/>
          <w:u w:val="single"/>
          <w14:textFill>
            <w14:solidFill>
              <w14:schemeClr w14:val="tx1"/>
            </w14:solidFill>
          </w14:textFill>
        </w:rPr>
      </w:pPr>
      <w:r>
        <w:rPr>
          <w:rFonts w:hint="eastAsia" w:ascii="宋体" w:hAnsi="宋体" w:cs="宋体"/>
          <w:i/>
          <w:color w:val="000000" w:themeColor="text1"/>
          <w:sz w:val="28"/>
          <w:szCs w:val="28"/>
          <w:u w:val="single"/>
          <w14:textFill>
            <w14:solidFill>
              <w14:schemeClr w14:val="tx1"/>
            </w14:solidFill>
          </w14:textFill>
        </w:rPr>
        <w:t>十九、开标一览表</w:t>
      </w:r>
    </w:p>
    <w:p w14:paraId="612B1222">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投标人全称（加盖公章）：</w:t>
      </w:r>
    </w:p>
    <w:p w14:paraId="4C637FDD">
      <w:pPr>
        <w:ind w:firstLine="480"/>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项目名称：</w:t>
      </w:r>
    </w:p>
    <w:p w14:paraId="202D0F23">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招标编号：</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57234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gridSpan w:val="2"/>
            <w:vAlign w:val="center"/>
          </w:tcPr>
          <w:p w14:paraId="7BAA80FC">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投标总报价</w:t>
            </w:r>
          </w:p>
        </w:tc>
      </w:tr>
      <w:tr w14:paraId="5A8D9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gridSpan w:val="2"/>
            <w:vAlign w:val="center"/>
          </w:tcPr>
          <w:p w14:paraId="7FEDA2DB">
            <w:pPr>
              <w:spacing w:line="500" w:lineRule="exact"/>
              <w:jc w:val="left"/>
              <w:rPr>
                <w:rFonts w:hint="eastAsia" w:ascii="宋体" w:hAnsi="宋体"/>
                <w:color w:val="000000" w:themeColor="text1"/>
                <w:sz w:val="24"/>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小写：元（人民币（大写）：元）</w:t>
            </w:r>
          </w:p>
        </w:tc>
      </w:tr>
      <w:tr w14:paraId="35D70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vAlign w:val="center"/>
          </w:tcPr>
          <w:p w14:paraId="05262A7E">
            <w:pPr>
              <w:spacing w:line="30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主要服务内容</w:t>
            </w:r>
          </w:p>
        </w:tc>
        <w:tc>
          <w:tcPr>
            <w:tcW w:w="6405" w:type="dxa"/>
            <w:vAlign w:val="center"/>
          </w:tcPr>
          <w:p w14:paraId="2438E5DD">
            <w:pPr>
              <w:spacing w:line="500" w:lineRule="exact"/>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网上阅卷与学业数据分析系统服务</w:t>
            </w:r>
          </w:p>
        </w:tc>
      </w:tr>
    </w:tbl>
    <w:p w14:paraId="15C276CE">
      <w:pPr>
        <w:rPr>
          <w:rFonts w:hint="eastAsia" w:ascii="宋体" w:hAnsi="宋体"/>
          <w:color w:val="000000" w:themeColor="text1"/>
          <w:sz w:val="24"/>
          <w:szCs w:val="24"/>
          <w14:textFill>
            <w14:solidFill>
              <w14:schemeClr w14:val="tx1"/>
            </w14:solidFill>
          </w14:textFill>
        </w:rPr>
      </w:pPr>
    </w:p>
    <w:p w14:paraId="60548763">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日期：年月日</w:t>
      </w:r>
    </w:p>
    <w:p w14:paraId="25DAD6E7">
      <w:pPr>
        <w:spacing w:line="360" w:lineRule="auto"/>
        <w:rPr>
          <w:rFonts w:hint="eastAsia" w:ascii="宋体" w:hAnsi="宋体" w:cs="宋体"/>
          <w:color w:val="000000" w:themeColor="text1"/>
          <w:sz w:val="24"/>
          <w:szCs w:val="24"/>
          <w14:textFill>
            <w14:solidFill>
              <w14:schemeClr w14:val="tx1"/>
            </w14:solidFill>
          </w14:textFill>
        </w:rPr>
      </w:pPr>
    </w:p>
    <w:p w14:paraId="57733202">
      <w:pPr>
        <w:spacing w:line="360" w:lineRule="auto"/>
        <w:ind w:firstLine="800"/>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40"/>
          <w:szCs w:val="32"/>
          <w14:textFill>
            <w14:solidFill>
              <w14:schemeClr w14:val="tx1"/>
            </w14:solidFill>
          </w14:textFill>
        </w:rPr>
        <w:br w:type="page" w:clear="all"/>
      </w:r>
    </w:p>
    <w:p w14:paraId="79526B9D">
      <w:pPr>
        <w:spacing w:line="360" w:lineRule="auto"/>
        <w:jc w:val="center"/>
        <w:rPr>
          <w:rFonts w:hint="eastAsia" w:ascii="宋体" w:hAnsi="宋体" w:cs="宋体"/>
          <w:bCs/>
          <w:color w:val="000000" w:themeColor="text1"/>
          <w:sz w:val="40"/>
          <w:szCs w:val="32"/>
          <w14:textFill>
            <w14:solidFill>
              <w14:schemeClr w14:val="tx1"/>
            </w14:solidFill>
          </w14:textFill>
        </w:rPr>
      </w:pPr>
      <w:r>
        <w:rPr>
          <w:rFonts w:hint="eastAsia" w:ascii="宋体" w:hAnsi="宋体" w:cs="宋体"/>
          <w:bCs/>
          <w:color w:val="000000" w:themeColor="text1"/>
          <w:sz w:val="40"/>
          <w:szCs w:val="32"/>
          <w14:textFill>
            <w14:solidFill>
              <w14:schemeClr w14:val="tx1"/>
            </w14:solidFill>
          </w14:textFill>
        </w:rPr>
        <w:t>质疑函范本</w:t>
      </w:r>
    </w:p>
    <w:p w14:paraId="69F74DA9">
      <w:pP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致：</w:t>
      </w:r>
    </w:p>
    <w:p w14:paraId="4F6B2E53">
      <w:pP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一、质疑投标人基本信息</w:t>
      </w:r>
    </w:p>
    <w:p w14:paraId="5DDD0F80">
      <w:pPr>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质疑投标人：</w:t>
      </w:r>
    </w:p>
    <w:p w14:paraId="04A88A2E">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地址：邮编：</w:t>
      </w:r>
    </w:p>
    <w:p w14:paraId="50C9B0AC">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联系人：联系电话：</w:t>
      </w:r>
    </w:p>
    <w:p w14:paraId="648B8588">
      <w:pPr>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授权代表：</w:t>
      </w:r>
    </w:p>
    <w:p w14:paraId="578EA472">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联系电话：</w:t>
      </w:r>
    </w:p>
    <w:p w14:paraId="164794CA">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地址：邮编：</w:t>
      </w:r>
    </w:p>
    <w:p w14:paraId="5323C806">
      <w:pP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二、质疑项目基本情况</w:t>
      </w:r>
    </w:p>
    <w:p w14:paraId="1EBD6254">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质疑项目的名称：</w:t>
      </w:r>
    </w:p>
    <w:p w14:paraId="6271E351">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质疑项目的编号：包号：</w:t>
      </w:r>
    </w:p>
    <w:p w14:paraId="462A7A1C">
      <w:pPr>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招标人名称：</w:t>
      </w:r>
    </w:p>
    <w:p w14:paraId="669B5C49">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招标文件获取日期：</w:t>
      </w:r>
    </w:p>
    <w:p w14:paraId="71304DBC">
      <w:pP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三、质疑事项具体内容</w:t>
      </w:r>
    </w:p>
    <w:p w14:paraId="652310BE">
      <w:pPr>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质疑事项1：</w:t>
      </w:r>
    </w:p>
    <w:p w14:paraId="0D463526">
      <w:pPr>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事实依据：</w:t>
      </w:r>
    </w:p>
    <w:p w14:paraId="5971AA66">
      <w:pPr>
        <w:spacing w:line="360" w:lineRule="auto"/>
        <w:rPr>
          <w:rFonts w:hint="eastAsia" w:ascii="宋体" w:hAnsi="宋体" w:cs="宋体"/>
          <w:color w:val="000000" w:themeColor="text1"/>
          <w:sz w:val="24"/>
          <w:szCs w:val="24"/>
          <w14:textFill>
            <w14:solidFill>
              <w14:schemeClr w14:val="tx1"/>
            </w14:solidFill>
          </w14:textFill>
        </w:rPr>
      </w:pPr>
    </w:p>
    <w:p w14:paraId="78A302B6">
      <w:pPr>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法律依据：</w:t>
      </w:r>
    </w:p>
    <w:p w14:paraId="20AC0365">
      <w:pPr>
        <w:spacing w:line="360" w:lineRule="auto"/>
        <w:rPr>
          <w:rFonts w:hint="eastAsia" w:ascii="宋体" w:hAnsi="宋体" w:cs="宋体"/>
          <w:color w:val="000000" w:themeColor="text1"/>
          <w:sz w:val="24"/>
          <w:szCs w:val="24"/>
          <w:u w:val="single"/>
          <w14:textFill>
            <w14:solidFill>
              <w14:schemeClr w14:val="tx1"/>
            </w14:solidFill>
          </w14:textFill>
        </w:rPr>
      </w:pPr>
    </w:p>
    <w:p w14:paraId="020AF62A">
      <w:pPr>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质疑事项2</w:t>
      </w:r>
    </w:p>
    <w:p w14:paraId="79924CC5">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p w14:paraId="7C982584">
      <w:pP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四、与质疑事项相关的质疑请求</w:t>
      </w:r>
    </w:p>
    <w:p w14:paraId="73E424C6">
      <w:pPr>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请求：</w:t>
      </w:r>
    </w:p>
    <w:p w14:paraId="1263A875">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签字（签章）：公章：</w:t>
      </w:r>
    </w:p>
    <w:p w14:paraId="144252F8">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p>
    <w:p w14:paraId="4F75ABFD">
      <w:pPr>
        <w:spacing w:line="360"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质疑函制作说明：</w:t>
      </w:r>
    </w:p>
    <w:p w14:paraId="7053F614">
      <w:pPr>
        <w:widowControl/>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1.投标人提出质疑时，应提交质疑函和必要的证明材料。</w:t>
      </w:r>
    </w:p>
    <w:p w14:paraId="6014500E">
      <w:pPr>
        <w:widowControl/>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p>
    <w:p w14:paraId="06500D6B">
      <w:pPr>
        <w:widowControl/>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3.质疑投标人若对项目的某一分包进行质疑，质疑函中应列明具体分包号。</w:t>
      </w:r>
    </w:p>
    <w:p w14:paraId="481F7DAA">
      <w:pPr>
        <w:widowControl/>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4.质疑函的质疑事项应具体、明确，并有必要的事实依据和法律依据。</w:t>
      </w:r>
    </w:p>
    <w:p w14:paraId="7B24BAA5">
      <w:pPr>
        <w:widowControl/>
        <w:spacing w:line="360" w:lineRule="auto"/>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5.质疑函的质疑请求应与质疑事项相关。</w:t>
      </w:r>
    </w:p>
    <w:p w14:paraId="4B194E9E">
      <w:pPr>
        <w:widowControl/>
        <w:spacing w:line="360" w:lineRule="auto"/>
        <w:ind w:firstLine="480"/>
        <w:jc w:val="lef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6" w:type="first"/>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黑体_GBK">
    <w:panose1 w:val="02010600010101010101"/>
    <w:charset w:val="86"/>
    <w:family w:val="script"/>
    <w:pitch w:val="default"/>
    <w:sig w:usb0="00000001" w:usb1="080E0000" w:usb2="00000000" w:usb3="00000000" w:csb0="00040000" w:csb1="00000000"/>
  </w:font>
  <w:font w:name="方正小标宋_GBK">
    <w:altName w:val="Arial Unicode MS"/>
    <w:panose1 w:val="00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Showcard Gothic">
    <w:panose1 w:val="04020904020102020604"/>
    <w:charset w:val="00"/>
    <w:family w:val="decorative"/>
    <w:pitch w:val="default"/>
    <w:sig w:usb0="00000003" w:usb1="00000000" w:usb2="00000000" w:usb3="00000000" w:csb0="20000001"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6F81E">
    <w:pPr>
      <w:pStyle w:val="30"/>
      <w:jc w:val="center"/>
      <w:rPr>
        <w:b/>
        <w:i/>
      </w:rP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-2540</wp:posOffset>
              </wp:positionV>
              <wp:extent cx="114935" cy="301625"/>
              <wp:effectExtent l="0" t="0" r="0" b="0"/>
              <wp:wrapNone/>
              <wp:docPr id="28" name="文本框 3"/>
              <wp:cNvGraphicFramePr/>
              <a:graphic xmlns:a="http://schemas.openxmlformats.org/drawingml/2006/main">
                <a:graphicData uri="http://schemas.microsoft.com/office/word/2010/wordprocessingShape">
                  <wps:wsp>
                    <wps:cNvSpPr txBox="1"/>
                    <wps:spPr bwMode="auto">
                      <a:xfrm>
                        <a:off x="0" y="0"/>
                        <a:ext cx="114935" cy="301625"/>
                      </a:xfrm>
                      <a:prstGeom prst="rect">
                        <a:avLst/>
                      </a:prstGeom>
                      <a:noFill/>
                      <a:ln>
                        <a:noFill/>
                      </a:ln>
                    </wps:spPr>
                    <wps:txbx>
                      <w:txbxContent>
                        <w:p w14:paraId="1DD7A909">
                          <w:pPr>
                            <w:pStyle w:val="30"/>
                            <w:tabs>
                              <w:tab w:val="clear" w:pos="4153"/>
                              <w:tab w:val="clear" w:pos="8306"/>
                            </w:tabs>
                            <w:rPr>
                              <w:rFonts w:hint="eastAsia" w:ascii="宋体" w:hAnsi="宋体"/>
                            </w:rPr>
                          </w:pPr>
                          <w:r>
                            <w:rPr>
                              <w:rFonts w:ascii="宋体" w:hAnsi="宋体"/>
                            </w:rPr>
                            <w:fldChar w:fldCharType="begin"/>
                          </w:r>
                          <w:r>
                            <w:rPr>
                              <w:rStyle w:val="53"/>
                              <w:rFonts w:ascii="宋体" w:hAnsi="宋体"/>
                            </w:rPr>
                            <w:instrText xml:space="preserve">PAGE  </w:instrText>
                          </w:r>
                          <w:r>
                            <w:rPr>
                              <w:rFonts w:ascii="宋体" w:hAnsi="宋体"/>
                            </w:rPr>
                            <w:fldChar w:fldCharType="separate"/>
                          </w:r>
                          <w:r>
                            <w:rPr>
                              <w:rStyle w:val="53"/>
                              <w:rFonts w:hint="eastAsia" w:ascii="宋体" w:hAnsi="宋体"/>
                            </w:rPr>
                            <w:t>４２</w:t>
                          </w:r>
                          <w:r>
                            <w:rPr>
                              <w:rFonts w:ascii="宋体" w:hAnsi="宋体"/>
                            </w:rPr>
                            <w:fldChar w:fldCharType="end"/>
                          </w:r>
                        </w:p>
                        <w:p w14:paraId="757C750A"/>
                      </w:txbxContent>
                    </wps:txbx>
                    <wps:bodyPr wrap="none" lIns="0" tIns="0" rIns="0" bIns="0" upright="1">
                      <a:spAutoFit/>
                    </wps:bodyPr>
                  </wps:wsp>
                </a:graphicData>
              </a:graphic>
            </wp:anchor>
          </w:drawing>
        </mc:Choice>
        <mc:Fallback>
          <w:pict>
            <v:shape id="文本框 3" o:spid="_x0000_s1026" o:spt="202" type="#_x0000_t202" style="position:absolute;left:0pt;margin-top:-0.2pt;height:23.75pt;width:9.05pt;mso-position-horizontal:center;mso-position-horizontal-relative:margin;mso-wrap-style:none;z-index:251672576;mso-width-relative:page;mso-height-relative:page;" filled="f" stroked="f" coordsize="21600,21600" o:gfxdata="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K7OiHzRAAAABAEAAA8AAAAAAAAAAQAgAAAA&#10;IgAAAGRycy9kb3ducmV2LnhtbFBLAQIUABQAAAAIAIdO4kC+aVDG2QEAAKYDAAAOAAAAAAAAAAEA&#10;IAAAACABAABkcnMvZTJvRG9jLnhtbFBLBQYAAAAABgAGAFkBAABrBQAAAAA=&#10;">
              <v:fill on="f" focussize="0,0"/>
              <v:stroke on="f"/>
              <v:imagedata o:title=""/>
              <o:lock v:ext="edit" aspectratio="f"/>
              <v:textbox inset="0mm,0mm,0mm,0mm" style="mso-fit-shape-to-text:t;">
                <w:txbxContent>
                  <w:p w14:paraId="1DD7A909">
                    <w:pPr>
                      <w:pStyle w:val="30"/>
                      <w:tabs>
                        <w:tab w:val="clear" w:pos="4153"/>
                        <w:tab w:val="clear" w:pos="8306"/>
                      </w:tabs>
                      <w:rPr>
                        <w:rFonts w:hint="eastAsia" w:ascii="宋体" w:hAnsi="宋体"/>
                      </w:rPr>
                    </w:pPr>
                    <w:r>
                      <w:rPr>
                        <w:rFonts w:ascii="宋体" w:hAnsi="宋体"/>
                      </w:rPr>
                      <w:fldChar w:fldCharType="begin"/>
                    </w:r>
                    <w:r>
                      <w:rPr>
                        <w:rStyle w:val="53"/>
                        <w:rFonts w:ascii="宋体" w:hAnsi="宋体"/>
                      </w:rPr>
                      <w:instrText xml:space="preserve">PAGE  </w:instrText>
                    </w:r>
                    <w:r>
                      <w:rPr>
                        <w:rFonts w:ascii="宋体" w:hAnsi="宋体"/>
                      </w:rPr>
                      <w:fldChar w:fldCharType="separate"/>
                    </w:r>
                    <w:r>
                      <w:rPr>
                        <w:rStyle w:val="53"/>
                        <w:rFonts w:hint="eastAsia" w:ascii="宋体" w:hAnsi="宋体"/>
                      </w:rPr>
                      <w:t>４２</w:t>
                    </w:r>
                    <w:r>
                      <w:rPr>
                        <w:rFonts w:ascii="宋体" w:hAnsi="宋体"/>
                      </w:rPr>
                      <w:fldChar w:fldCharType="end"/>
                    </w:r>
                  </w:p>
                  <w:p w14:paraId="757C750A"/>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2A3D8">
    <w:pPr>
      <w:pStyle w:val="30"/>
      <w:framePr w:wrap="around" w:vAnchor="text" w:hAnchor="margin" w:xAlign="center" w:y="1"/>
    </w:pPr>
    <w:r>
      <w:fldChar w:fldCharType="begin"/>
    </w:r>
    <w:r>
      <w:rPr>
        <w:rStyle w:val="53"/>
      </w:rPr>
      <w:instrText xml:space="preserve">PAGE  </w:instrText>
    </w:r>
    <w:r>
      <w:fldChar w:fldCharType="separate"/>
    </w:r>
    <w:r>
      <w:rPr>
        <w:rStyle w:val="53"/>
      </w:rPr>
      <w:t>1</w:t>
    </w:r>
    <w:r>
      <w:fldChar w:fldCharType="end"/>
    </w:r>
  </w:p>
  <w:p w14:paraId="24646A5D">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470D8">
    <w:pPr>
      <w:pStyle w:val="30"/>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14935" cy="284480"/>
              <wp:effectExtent l="0" t="0" r="0" b="0"/>
              <wp:wrapNone/>
              <wp:docPr id="30" name="文本框 1"/>
              <wp:cNvGraphicFramePr/>
              <a:graphic xmlns:a="http://schemas.openxmlformats.org/drawingml/2006/main">
                <a:graphicData uri="http://schemas.microsoft.com/office/word/2010/wordprocessingShape">
                  <wps:wsp>
                    <wps:cNvSpPr txBox="1"/>
                    <wps:spPr bwMode="auto">
                      <a:xfrm>
                        <a:off x="0" y="0"/>
                        <a:ext cx="114935" cy="284480"/>
                      </a:xfrm>
                      <a:prstGeom prst="rect">
                        <a:avLst/>
                      </a:prstGeom>
                      <a:noFill/>
                      <a:ln>
                        <a:noFill/>
                      </a:ln>
                    </wps:spPr>
                    <wps:txbx>
                      <w:txbxContent>
                        <w:p w14:paraId="4FFDA643">
                          <w:pPr>
                            <w:pStyle w:val="30"/>
                            <w:tabs>
                              <w:tab w:val="clear" w:pos="4153"/>
                              <w:tab w:val="clear" w:pos="8306"/>
                            </w:tabs>
                          </w:pPr>
                          <w:r>
                            <w:fldChar w:fldCharType="begin"/>
                          </w:r>
                          <w:r>
                            <w:instrText xml:space="preserve"> PAGE  \* MERGEFORMAT </w:instrText>
                          </w:r>
                          <w:r>
                            <w:fldChar w:fldCharType="separate"/>
                          </w:r>
                          <w:r>
                            <w:t>1</w:t>
                          </w:r>
                          <w:r>
                            <w:fldChar w:fldCharType="end"/>
                          </w:r>
                        </w:p>
                        <w:p w14:paraId="50E025D1"/>
                      </w:txbxContent>
                    </wps:txbx>
                    <wps:bodyPr wrap="none" lIns="0" tIns="0" rIns="0" bIns="0" upright="1">
                      <a:spAutoFit/>
                    </wps:bodyPr>
                  </wps:wsp>
                </a:graphicData>
              </a:graphic>
            </wp:anchor>
          </w:drawing>
        </mc:Choice>
        <mc:Fallback>
          <w:pict>
            <v:shape id="文本框 1" o:spid="_x0000_s1026" o:spt="202" type="#_x0000_t202" style="position:absolute;left:0pt;margin-top:0pt;height:22.4pt;width:9.05pt;mso-position-horizontal:center;mso-position-horizontal-relative:margin;mso-wrap-style:none;z-index:251671552;mso-width-relative:page;mso-height-relative:page;" filled="f" stroked="f" coordsize="21600,21600" o:gfxdata="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BKdMbLQAAAAAwEAAA8AAAAAAAAAAQAgAAAA&#10;IgAAAGRycy9kb3ducmV2LnhtbFBLAQIUABQAAAAIAIdO4kAV72Ji2gEAAKYDAAAOAAAAAAAAAAEA&#10;IAAAAB8BAABkcnMvZTJvRG9jLnhtbFBLBQYAAAAABgAGAFkBAABrBQAAAAA=&#10;">
              <v:fill on="f" focussize="0,0"/>
              <v:stroke on="f"/>
              <v:imagedata o:title=""/>
              <o:lock v:ext="edit" aspectratio="f"/>
              <v:textbox inset="0mm,0mm,0mm,0mm" style="mso-fit-shape-to-text:t;">
                <w:txbxContent>
                  <w:p w14:paraId="4FFDA643">
                    <w:pPr>
                      <w:pStyle w:val="30"/>
                      <w:tabs>
                        <w:tab w:val="clear" w:pos="4153"/>
                        <w:tab w:val="clear" w:pos="8306"/>
                      </w:tabs>
                    </w:pPr>
                    <w:r>
                      <w:fldChar w:fldCharType="begin"/>
                    </w:r>
                    <w:r>
                      <w:instrText xml:space="preserve"> PAGE  \* MERGEFORMAT </w:instrText>
                    </w:r>
                    <w:r>
                      <w:fldChar w:fldCharType="separate"/>
                    </w:r>
                    <w:r>
                      <w:t>1</w:t>
                    </w:r>
                    <w:r>
                      <w:fldChar w:fldCharType="end"/>
                    </w:r>
                  </w:p>
                  <w:p w14:paraId="50E025D1"/>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1A953">
    <w:pPr>
      <w:pStyle w:val="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AC16BA"/>
    <w:multiLevelType w:val="multilevel"/>
    <w:tmpl w:val="06AC16BA"/>
    <w:lvl w:ilvl="0" w:tentative="0">
      <w:start w:val="1"/>
      <w:numFmt w:val="decimal"/>
      <w:pStyle w:val="18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A8123FC"/>
    <w:multiLevelType w:val="multilevel"/>
    <w:tmpl w:val="0A8123FC"/>
    <w:lvl w:ilvl="0" w:tentative="0">
      <w:start w:val="23"/>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15BF082E"/>
    <w:multiLevelType w:val="multilevel"/>
    <w:tmpl w:val="15BF082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83D7FA4"/>
    <w:multiLevelType w:val="multilevel"/>
    <w:tmpl w:val="183D7FA4"/>
    <w:lvl w:ilvl="0" w:tentative="0">
      <w:start w:val="7"/>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91D327F"/>
    <w:multiLevelType w:val="multilevel"/>
    <w:tmpl w:val="191D327F"/>
    <w:lvl w:ilvl="0" w:tentative="0">
      <w:start w:val="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221653BD"/>
    <w:multiLevelType w:val="multilevel"/>
    <w:tmpl w:val="221653BD"/>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805150"/>
    <w:multiLevelType w:val="multilevel"/>
    <w:tmpl w:val="25805150"/>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35A11718"/>
    <w:multiLevelType w:val="multilevel"/>
    <w:tmpl w:val="35A11718"/>
    <w:lvl w:ilvl="0" w:tentative="0">
      <w:start w:val="1"/>
      <w:numFmt w:val="upperLetter"/>
      <w:pStyle w:val="9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AD62A1E"/>
    <w:multiLevelType w:val="multilevel"/>
    <w:tmpl w:val="4AD62A1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9">
    <w:nsid w:val="4FA22FCB"/>
    <w:multiLevelType w:val="multilevel"/>
    <w:tmpl w:val="4FA22FCB"/>
    <w:lvl w:ilvl="0" w:tentative="0">
      <w:start w:val="1"/>
      <w:numFmt w:val="chineseCounting"/>
      <w:suff w:val="nothing"/>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738B5A48"/>
    <w:multiLevelType w:val="multilevel"/>
    <w:tmpl w:val="738B5A48"/>
    <w:lvl w:ilvl="0" w:tentative="0">
      <w:start w:val="2"/>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7FAF344D"/>
    <w:multiLevelType w:val="multilevel"/>
    <w:tmpl w:val="7FAF344D"/>
    <w:lvl w:ilvl="0" w:tentative="0">
      <w:start w:val="1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8"/>
  </w:num>
  <w:num w:numId="2">
    <w:abstractNumId w:val="7"/>
  </w:num>
  <w:num w:numId="3">
    <w:abstractNumId w:val="0"/>
  </w:num>
  <w:num w:numId="4">
    <w:abstractNumId w:val="2"/>
  </w:num>
  <w:num w:numId="5">
    <w:abstractNumId w:val="3"/>
  </w:num>
  <w:num w:numId="6">
    <w:abstractNumId w:val="5"/>
  </w:num>
  <w:num w:numId="7">
    <w:abstractNumId w:val="6"/>
  </w:num>
  <w:num w:numId="8">
    <w:abstractNumId w:val="10"/>
  </w:num>
  <w:num w:numId="9">
    <w:abstractNumId w:val="4"/>
  </w:num>
  <w:num w:numId="10">
    <w:abstractNumId w:val="11"/>
  </w:num>
  <w:num w:numId="11">
    <w:abstractNumId w:val="1"/>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C15"/>
    <w:rsid w:val="00003E7E"/>
    <w:rsid w:val="000102CE"/>
    <w:rsid w:val="00012D29"/>
    <w:rsid w:val="00027B7C"/>
    <w:rsid w:val="00030469"/>
    <w:rsid w:val="000468EE"/>
    <w:rsid w:val="00054981"/>
    <w:rsid w:val="00057577"/>
    <w:rsid w:val="00082691"/>
    <w:rsid w:val="000947F8"/>
    <w:rsid w:val="000A347F"/>
    <w:rsid w:val="000C0270"/>
    <w:rsid w:val="000C28F3"/>
    <w:rsid w:val="000D56DB"/>
    <w:rsid w:val="000D66AD"/>
    <w:rsid w:val="000D7F70"/>
    <w:rsid w:val="000E1E75"/>
    <w:rsid w:val="000F1AE1"/>
    <w:rsid w:val="00101B2E"/>
    <w:rsid w:val="00113DAE"/>
    <w:rsid w:val="0011645C"/>
    <w:rsid w:val="00117E48"/>
    <w:rsid w:val="00130F29"/>
    <w:rsid w:val="00130F52"/>
    <w:rsid w:val="00134B3A"/>
    <w:rsid w:val="00135D74"/>
    <w:rsid w:val="00136A4D"/>
    <w:rsid w:val="0015030A"/>
    <w:rsid w:val="00170F8F"/>
    <w:rsid w:val="00180E18"/>
    <w:rsid w:val="0018297E"/>
    <w:rsid w:val="00195ADA"/>
    <w:rsid w:val="00196D24"/>
    <w:rsid w:val="001A446C"/>
    <w:rsid w:val="001B0152"/>
    <w:rsid w:val="001B0B0B"/>
    <w:rsid w:val="001C07C1"/>
    <w:rsid w:val="001C785F"/>
    <w:rsid w:val="001F33F5"/>
    <w:rsid w:val="0020726B"/>
    <w:rsid w:val="002108D3"/>
    <w:rsid w:val="00217C0E"/>
    <w:rsid w:val="0022337F"/>
    <w:rsid w:val="00225CCA"/>
    <w:rsid w:val="00226E9E"/>
    <w:rsid w:val="002751E0"/>
    <w:rsid w:val="002829F7"/>
    <w:rsid w:val="00290513"/>
    <w:rsid w:val="00291708"/>
    <w:rsid w:val="00293A84"/>
    <w:rsid w:val="002A124D"/>
    <w:rsid w:val="002B3E16"/>
    <w:rsid w:val="002E42F5"/>
    <w:rsid w:val="002F5AF0"/>
    <w:rsid w:val="0030707A"/>
    <w:rsid w:val="00312C25"/>
    <w:rsid w:val="003160C0"/>
    <w:rsid w:val="00324D93"/>
    <w:rsid w:val="003352E7"/>
    <w:rsid w:val="00347954"/>
    <w:rsid w:val="00356609"/>
    <w:rsid w:val="00391202"/>
    <w:rsid w:val="00391353"/>
    <w:rsid w:val="00394554"/>
    <w:rsid w:val="003B209F"/>
    <w:rsid w:val="003B7930"/>
    <w:rsid w:val="003E236A"/>
    <w:rsid w:val="003E4C2B"/>
    <w:rsid w:val="003F5B13"/>
    <w:rsid w:val="00402D27"/>
    <w:rsid w:val="004109F2"/>
    <w:rsid w:val="00415143"/>
    <w:rsid w:val="004175AD"/>
    <w:rsid w:val="00417C25"/>
    <w:rsid w:val="0042023B"/>
    <w:rsid w:val="0043133F"/>
    <w:rsid w:val="00462987"/>
    <w:rsid w:val="00464113"/>
    <w:rsid w:val="00473501"/>
    <w:rsid w:val="00473983"/>
    <w:rsid w:val="00484127"/>
    <w:rsid w:val="004909FF"/>
    <w:rsid w:val="00491FA6"/>
    <w:rsid w:val="00494625"/>
    <w:rsid w:val="004A01E5"/>
    <w:rsid w:val="004A457C"/>
    <w:rsid w:val="004A5F9D"/>
    <w:rsid w:val="004B4EAF"/>
    <w:rsid w:val="004C6252"/>
    <w:rsid w:val="004D1699"/>
    <w:rsid w:val="004E311C"/>
    <w:rsid w:val="004E47B4"/>
    <w:rsid w:val="004E5C0C"/>
    <w:rsid w:val="004E7703"/>
    <w:rsid w:val="00500310"/>
    <w:rsid w:val="0050424C"/>
    <w:rsid w:val="00520F99"/>
    <w:rsid w:val="0052477A"/>
    <w:rsid w:val="00530130"/>
    <w:rsid w:val="00543FA3"/>
    <w:rsid w:val="00551336"/>
    <w:rsid w:val="00555A11"/>
    <w:rsid w:val="00556CA6"/>
    <w:rsid w:val="00560C96"/>
    <w:rsid w:val="0056266E"/>
    <w:rsid w:val="005A58E4"/>
    <w:rsid w:val="005B0958"/>
    <w:rsid w:val="005D249F"/>
    <w:rsid w:val="005E7B6C"/>
    <w:rsid w:val="006015B4"/>
    <w:rsid w:val="0060445C"/>
    <w:rsid w:val="0061505E"/>
    <w:rsid w:val="0063557B"/>
    <w:rsid w:val="00635F2A"/>
    <w:rsid w:val="0065230B"/>
    <w:rsid w:val="00680593"/>
    <w:rsid w:val="00692701"/>
    <w:rsid w:val="006A15D6"/>
    <w:rsid w:val="006A599F"/>
    <w:rsid w:val="006A7BF9"/>
    <w:rsid w:val="006B7F51"/>
    <w:rsid w:val="006C5659"/>
    <w:rsid w:val="006D1B22"/>
    <w:rsid w:val="006D5506"/>
    <w:rsid w:val="006D733A"/>
    <w:rsid w:val="00702ED7"/>
    <w:rsid w:val="007116BF"/>
    <w:rsid w:val="0071477A"/>
    <w:rsid w:val="00720C1F"/>
    <w:rsid w:val="00725E5E"/>
    <w:rsid w:val="00733B32"/>
    <w:rsid w:val="007417FB"/>
    <w:rsid w:val="0074201F"/>
    <w:rsid w:val="007425C6"/>
    <w:rsid w:val="00747959"/>
    <w:rsid w:val="007501FE"/>
    <w:rsid w:val="007551AE"/>
    <w:rsid w:val="00757CB8"/>
    <w:rsid w:val="00773335"/>
    <w:rsid w:val="0077333D"/>
    <w:rsid w:val="0079040C"/>
    <w:rsid w:val="00792D63"/>
    <w:rsid w:val="0079405D"/>
    <w:rsid w:val="00794925"/>
    <w:rsid w:val="007A3C15"/>
    <w:rsid w:val="007C14B0"/>
    <w:rsid w:val="007C4169"/>
    <w:rsid w:val="007C5F9C"/>
    <w:rsid w:val="007C711A"/>
    <w:rsid w:val="007D1294"/>
    <w:rsid w:val="007E4EBD"/>
    <w:rsid w:val="008020D9"/>
    <w:rsid w:val="0080511D"/>
    <w:rsid w:val="00806B58"/>
    <w:rsid w:val="00807B1B"/>
    <w:rsid w:val="008118EC"/>
    <w:rsid w:val="008123A4"/>
    <w:rsid w:val="00813AA8"/>
    <w:rsid w:val="0082577F"/>
    <w:rsid w:val="008374A8"/>
    <w:rsid w:val="00843F23"/>
    <w:rsid w:val="0084568A"/>
    <w:rsid w:val="00875193"/>
    <w:rsid w:val="00875E07"/>
    <w:rsid w:val="00891ADA"/>
    <w:rsid w:val="008A3311"/>
    <w:rsid w:val="008B008F"/>
    <w:rsid w:val="008B12A2"/>
    <w:rsid w:val="008C007F"/>
    <w:rsid w:val="008C0B8C"/>
    <w:rsid w:val="008C355B"/>
    <w:rsid w:val="008D5576"/>
    <w:rsid w:val="008D741C"/>
    <w:rsid w:val="008E1F97"/>
    <w:rsid w:val="008F641D"/>
    <w:rsid w:val="00904949"/>
    <w:rsid w:val="009112F4"/>
    <w:rsid w:val="009125F8"/>
    <w:rsid w:val="00916EC0"/>
    <w:rsid w:val="00920EBC"/>
    <w:rsid w:val="00936127"/>
    <w:rsid w:val="00944DE9"/>
    <w:rsid w:val="00970992"/>
    <w:rsid w:val="00971A64"/>
    <w:rsid w:val="00973B46"/>
    <w:rsid w:val="00985BAA"/>
    <w:rsid w:val="00992F0E"/>
    <w:rsid w:val="009A0783"/>
    <w:rsid w:val="009A198B"/>
    <w:rsid w:val="009A3BAD"/>
    <w:rsid w:val="009A6C66"/>
    <w:rsid w:val="009C219E"/>
    <w:rsid w:val="009F1F97"/>
    <w:rsid w:val="009F3242"/>
    <w:rsid w:val="009F40C3"/>
    <w:rsid w:val="00A02833"/>
    <w:rsid w:val="00A15941"/>
    <w:rsid w:val="00A265D4"/>
    <w:rsid w:val="00A42DE3"/>
    <w:rsid w:val="00A5295A"/>
    <w:rsid w:val="00A55C41"/>
    <w:rsid w:val="00A7395D"/>
    <w:rsid w:val="00A73B37"/>
    <w:rsid w:val="00A83C5E"/>
    <w:rsid w:val="00A95BBB"/>
    <w:rsid w:val="00AA1C70"/>
    <w:rsid w:val="00AA394E"/>
    <w:rsid w:val="00AB1103"/>
    <w:rsid w:val="00AB20F9"/>
    <w:rsid w:val="00AB4758"/>
    <w:rsid w:val="00AB5552"/>
    <w:rsid w:val="00B100A2"/>
    <w:rsid w:val="00B16627"/>
    <w:rsid w:val="00B23BB1"/>
    <w:rsid w:val="00B256DC"/>
    <w:rsid w:val="00B454A9"/>
    <w:rsid w:val="00B613A6"/>
    <w:rsid w:val="00B66537"/>
    <w:rsid w:val="00B718B1"/>
    <w:rsid w:val="00B808B1"/>
    <w:rsid w:val="00B8164C"/>
    <w:rsid w:val="00BA1F06"/>
    <w:rsid w:val="00BB3260"/>
    <w:rsid w:val="00BC079A"/>
    <w:rsid w:val="00BC1438"/>
    <w:rsid w:val="00BC20E5"/>
    <w:rsid w:val="00BD2CAF"/>
    <w:rsid w:val="00BD2E5C"/>
    <w:rsid w:val="00BE7A9F"/>
    <w:rsid w:val="00BF2353"/>
    <w:rsid w:val="00C022A5"/>
    <w:rsid w:val="00C02F14"/>
    <w:rsid w:val="00C14E8A"/>
    <w:rsid w:val="00C243F9"/>
    <w:rsid w:val="00C3017F"/>
    <w:rsid w:val="00C539C2"/>
    <w:rsid w:val="00C5456D"/>
    <w:rsid w:val="00C65BAB"/>
    <w:rsid w:val="00C77BCF"/>
    <w:rsid w:val="00C961A1"/>
    <w:rsid w:val="00CA6825"/>
    <w:rsid w:val="00CB0777"/>
    <w:rsid w:val="00CD2791"/>
    <w:rsid w:val="00CD538E"/>
    <w:rsid w:val="00CF1DDC"/>
    <w:rsid w:val="00D10406"/>
    <w:rsid w:val="00D109F4"/>
    <w:rsid w:val="00D3095D"/>
    <w:rsid w:val="00D3423D"/>
    <w:rsid w:val="00D37C1C"/>
    <w:rsid w:val="00D4242F"/>
    <w:rsid w:val="00D47CF9"/>
    <w:rsid w:val="00D60F4B"/>
    <w:rsid w:val="00D7320C"/>
    <w:rsid w:val="00D87C19"/>
    <w:rsid w:val="00D9635C"/>
    <w:rsid w:val="00DC3D6A"/>
    <w:rsid w:val="00DC5FAD"/>
    <w:rsid w:val="00DC6094"/>
    <w:rsid w:val="00DC6B24"/>
    <w:rsid w:val="00DD1DE8"/>
    <w:rsid w:val="00E04933"/>
    <w:rsid w:val="00E145F2"/>
    <w:rsid w:val="00E221B2"/>
    <w:rsid w:val="00E36ADF"/>
    <w:rsid w:val="00E46103"/>
    <w:rsid w:val="00E46493"/>
    <w:rsid w:val="00E541C1"/>
    <w:rsid w:val="00E56D6D"/>
    <w:rsid w:val="00E65C1E"/>
    <w:rsid w:val="00E80EAA"/>
    <w:rsid w:val="00E81436"/>
    <w:rsid w:val="00E82218"/>
    <w:rsid w:val="00E85C9D"/>
    <w:rsid w:val="00E87FA2"/>
    <w:rsid w:val="00EA0479"/>
    <w:rsid w:val="00EA46C4"/>
    <w:rsid w:val="00EA4EE4"/>
    <w:rsid w:val="00EA5144"/>
    <w:rsid w:val="00EB4ECA"/>
    <w:rsid w:val="00EC03EB"/>
    <w:rsid w:val="00EC1BAB"/>
    <w:rsid w:val="00EC5A16"/>
    <w:rsid w:val="00ED1A88"/>
    <w:rsid w:val="00ED251F"/>
    <w:rsid w:val="00ED4520"/>
    <w:rsid w:val="00EF747C"/>
    <w:rsid w:val="00F011B5"/>
    <w:rsid w:val="00F032F1"/>
    <w:rsid w:val="00F145FB"/>
    <w:rsid w:val="00F318A9"/>
    <w:rsid w:val="00F40A2B"/>
    <w:rsid w:val="00F42E8B"/>
    <w:rsid w:val="00F517F7"/>
    <w:rsid w:val="00F5482D"/>
    <w:rsid w:val="00F56C44"/>
    <w:rsid w:val="00F57D1F"/>
    <w:rsid w:val="00F62AC4"/>
    <w:rsid w:val="00F651D0"/>
    <w:rsid w:val="00F671D5"/>
    <w:rsid w:val="00F70B2C"/>
    <w:rsid w:val="00F828BD"/>
    <w:rsid w:val="00F91E01"/>
    <w:rsid w:val="00F968E6"/>
    <w:rsid w:val="00F976FE"/>
    <w:rsid w:val="00FB2DCE"/>
    <w:rsid w:val="00FB61A0"/>
    <w:rsid w:val="00FD0065"/>
    <w:rsid w:val="00FD28B0"/>
    <w:rsid w:val="00FD3E39"/>
    <w:rsid w:val="00FE2F93"/>
    <w:rsid w:val="00FF056A"/>
    <w:rsid w:val="00FF4A7B"/>
    <w:rsid w:val="05A26D77"/>
    <w:rsid w:val="077614EF"/>
    <w:rsid w:val="084A5DB4"/>
    <w:rsid w:val="0A510059"/>
    <w:rsid w:val="0C0D4E13"/>
    <w:rsid w:val="0D314E4D"/>
    <w:rsid w:val="0E99434C"/>
    <w:rsid w:val="0FAF2DEE"/>
    <w:rsid w:val="0FE4264A"/>
    <w:rsid w:val="10FE773C"/>
    <w:rsid w:val="15BA5E1A"/>
    <w:rsid w:val="174C3BE5"/>
    <w:rsid w:val="1AEE5E13"/>
    <w:rsid w:val="228D0920"/>
    <w:rsid w:val="22A243CB"/>
    <w:rsid w:val="25581875"/>
    <w:rsid w:val="2C5C383D"/>
    <w:rsid w:val="2C8268A2"/>
    <w:rsid w:val="2FBB3B2C"/>
    <w:rsid w:val="31CC4FC0"/>
    <w:rsid w:val="35A77365"/>
    <w:rsid w:val="38877E93"/>
    <w:rsid w:val="3B3F4A55"/>
    <w:rsid w:val="3D7B5AED"/>
    <w:rsid w:val="3E1C137C"/>
    <w:rsid w:val="40971CBD"/>
    <w:rsid w:val="45A77266"/>
    <w:rsid w:val="45C36283"/>
    <w:rsid w:val="46130FB8"/>
    <w:rsid w:val="4AE20F59"/>
    <w:rsid w:val="4B1F26D1"/>
    <w:rsid w:val="4B2D6E38"/>
    <w:rsid w:val="4B9C37FE"/>
    <w:rsid w:val="4D671BE9"/>
    <w:rsid w:val="4EBE58AB"/>
    <w:rsid w:val="4F6B7A5F"/>
    <w:rsid w:val="519A7624"/>
    <w:rsid w:val="55E262F2"/>
    <w:rsid w:val="58395CD8"/>
    <w:rsid w:val="614D13CA"/>
    <w:rsid w:val="623460E6"/>
    <w:rsid w:val="62440D5B"/>
    <w:rsid w:val="62BC70F5"/>
    <w:rsid w:val="63041F5D"/>
    <w:rsid w:val="649845B8"/>
    <w:rsid w:val="67586529"/>
    <w:rsid w:val="6D7879AA"/>
    <w:rsid w:val="6F2A6F6F"/>
    <w:rsid w:val="708A5E8E"/>
    <w:rsid w:val="72D66D46"/>
    <w:rsid w:val="73DD006E"/>
    <w:rsid w:val="74A76D90"/>
    <w:rsid w:val="757739C7"/>
    <w:rsid w:val="7B914152"/>
    <w:rsid w:val="7D3E3EDD"/>
    <w:rsid w:val="7E862432"/>
    <w:rsid w:val="FEF5C2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78"/>
    <w:qFormat/>
    <w:uiPriority w:val="0"/>
    <w:pPr>
      <w:keepNext/>
      <w:jc w:val="center"/>
      <w:outlineLvl w:val="0"/>
    </w:pPr>
    <w:rPr>
      <w:rFonts w:ascii="楷体_GB2312" w:eastAsia="楷体_GB2312"/>
      <w:sz w:val="28"/>
      <w:szCs w:val="28"/>
    </w:rPr>
  </w:style>
  <w:style w:type="paragraph" w:styleId="3">
    <w:name w:val="heading 2"/>
    <w:basedOn w:val="1"/>
    <w:next w:val="4"/>
    <w:link w:val="258"/>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link w:val="113"/>
    <w:qFormat/>
    <w:uiPriority w:val="0"/>
    <w:pPr>
      <w:keepNext/>
      <w:keepLines/>
      <w:spacing w:before="260" w:after="260" w:line="416" w:lineRule="auto"/>
      <w:outlineLvl w:val="2"/>
    </w:pPr>
    <w:rPr>
      <w:b/>
      <w:bCs/>
      <w:sz w:val="32"/>
      <w:szCs w:val="32"/>
    </w:rPr>
  </w:style>
  <w:style w:type="paragraph" w:styleId="6">
    <w:name w:val="heading 4"/>
    <w:basedOn w:val="1"/>
    <w:next w:val="4"/>
    <w:link w:val="84"/>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1"/>
    <w:link w:val="79"/>
    <w:qFormat/>
    <w:uiPriority w:val="0"/>
    <w:pPr>
      <w:keepNext/>
      <w:outlineLvl w:val="4"/>
    </w:pPr>
    <w:rPr>
      <w:rFonts w:ascii="宋体"/>
      <w:color w:val="000000"/>
      <w:sz w:val="28"/>
      <w:szCs w:val="28"/>
    </w:rPr>
  </w:style>
  <w:style w:type="paragraph" w:styleId="8">
    <w:name w:val="heading 6"/>
    <w:basedOn w:val="1"/>
    <w:next w:val="1"/>
    <w:link w:val="24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170"/>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16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57"/>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0">
    <w:name w:val="Default Paragraph Font"/>
    <w:unhideWhenUsed/>
    <w:uiPriority w:val="1"/>
  </w:style>
  <w:style w:type="table" w:default="1" w:styleId="48">
    <w:name w:val="Normal Table"/>
    <w:semiHidden/>
    <w:unhideWhenUsed/>
    <w:uiPriority w:val="99"/>
    <w:tblPr>
      <w:tblCellMar>
        <w:top w:w="0" w:type="dxa"/>
        <w:left w:w="108" w:type="dxa"/>
        <w:bottom w:w="0" w:type="dxa"/>
        <w:right w:w="108" w:type="dxa"/>
      </w:tblCellMar>
    </w:tblPr>
  </w:style>
  <w:style w:type="paragraph" w:styleId="4">
    <w:name w:val="Normal Indent"/>
    <w:basedOn w:val="1"/>
    <w:link w:val="103"/>
    <w:qFormat/>
    <w:uiPriority w:val="0"/>
    <w:pPr>
      <w:ind w:firstLine="420"/>
    </w:pPr>
    <w:rPr>
      <w:szCs w:val="21"/>
    </w:rPr>
  </w:style>
  <w:style w:type="paragraph" w:styleId="12">
    <w:name w:val="List 3"/>
    <w:basedOn w:val="1"/>
    <w:qFormat/>
    <w:uiPriority w:val="0"/>
    <w:pPr>
      <w:ind w:left="100" w:hanging="200"/>
    </w:pPr>
    <w:rPr>
      <w:szCs w:val="21"/>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link w:val="73"/>
    <w:semiHidden/>
    <w:qFormat/>
    <w:uiPriority w:val="0"/>
    <w:pPr>
      <w:shd w:val="clear" w:color="auto" w:fill="000080"/>
    </w:pPr>
    <w:rPr>
      <w:szCs w:val="21"/>
    </w:rPr>
  </w:style>
  <w:style w:type="paragraph" w:styleId="16">
    <w:name w:val="annotation text"/>
    <w:basedOn w:val="1"/>
    <w:link w:val="180"/>
    <w:unhideWhenUsed/>
    <w:qFormat/>
    <w:uiPriority w:val="0"/>
    <w:pPr>
      <w:jc w:val="left"/>
    </w:pPr>
  </w:style>
  <w:style w:type="paragraph" w:styleId="17">
    <w:name w:val="Body Text 3"/>
    <w:basedOn w:val="1"/>
    <w:link w:val="89"/>
    <w:qFormat/>
    <w:uiPriority w:val="0"/>
    <w:rPr>
      <w:rFonts w:ascii="仿宋_GB2312" w:hAnsi="Arial" w:eastAsia="仿宋_GB2312"/>
      <w:sz w:val="32"/>
      <w:szCs w:val="32"/>
    </w:rPr>
  </w:style>
  <w:style w:type="paragraph" w:styleId="18">
    <w:name w:val="Body Text"/>
    <w:basedOn w:val="1"/>
    <w:next w:val="1"/>
    <w:link w:val="280"/>
    <w:qFormat/>
    <w:uiPriority w:val="0"/>
    <w:rPr>
      <w:rFonts w:ascii="楷体_GB2312" w:hAnsi="Arial" w:eastAsia="楷体_GB2312"/>
      <w:sz w:val="28"/>
      <w:szCs w:val="28"/>
    </w:rPr>
  </w:style>
  <w:style w:type="paragraph" w:styleId="19">
    <w:name w:val="Body Text Indent"/>
    <w:basedOn w:val="1"/>
    <w:next w:val="20"/>
    <w:link w:val="204"/>
    <w:unhideWhenUsed/>
    <w:qFormat/>
    <w:uiPriority w:val="0"/>
    <w:pPr>
      <w:spacing w:after="120"/>
      <w:ind w:left="420"/>
    </w:pPr>
  </w:style>
  <w:style w:type="paragraph" w:styleId="20">
    <w:name w:val="envelope return"/>
    <w:qFormat/>
    <w:uiPriority w:val="0"/>
    <w:pPr>
      <w:widowControl w:val="0"/>
      <w:jc w:val="both"/>
    </w:pPr>
    <w:rPr>
      <w:rFonts w:ascii="Arial" w:hAnsi="Arial" w:eastAsia="宋体" w:cs="Arial"/>
      <w:sz w:val="21"/>
      <w:szCs w:val="21"/>
      <w:lang w:val="en-US" w:eastAsia="zh-CN" w:bidi="ar-SA"/>
    </w:rPr>
  </w:style>
  <w:style w:type="paragraph" w:styleId="21">
    <w:name w:val="List 2"/>
    <w:basedOn w:val="1"/>
    <w:qFormat/>
    <w:uiPriority w:val="0"/>
    <w:pPr>
      <w:ind w:left="100" w:hanging="200"/>
    </w:pPr>
    <w:rPr>
      <w:szCs w:val="21"/>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109"/>
    <w:qFormat/>
    <w:uiPriority w:val="0"/>
    <w:rPr>
      <w:rFonts w:ascii="宋体" w:hAnsi="Courier New" w:cs="Courier New"/>
      <w:szCs w:val="21"/>
    </w:rPr>
  </w:style>
  <w:style w:type="paragraph" w:styleId="25">
    <w:name w:val="toc 8"/>
    <w:basedOn w:val="1"/>
    <w:next w:val="1"/>
    <w:unhideWhenUsed/>
    <w:qFormat/>
    <w:uiPriority w:val="39"/>
    <w:pPr>
      <w:spacing w:after="57"/>
      <w:ind w:left="1984"/>
    </w:pPr>
  </w:style>
  <w:style w:type="paragraph" w:styleId="26">
    <w:name w:val="Date"/>
    <w:basedOn w:val="1"/>
    <w:next w:val="1"/>
    <w:link w:val="242"/>
    <w:qFormat/>
    <w:uiPriority w:val="0"/>
    <w:rPr>
      <w:sz w:val="24"/>
      <w:szCs w:val="24"/>
    </w:rPr>
  </w:style>
  <w:style w:type="paragraph" w:styleId="27">
    <w:name w:val="Body Text Indent 2"/>
    <w:basedOn w:val="1"/>
    <w:link w:val="67"/>
    <w:qFormat/>
    <w:uiPriority w:val="0"/>
    <w:pPr>
      <w:ind w:left="630" w:firstLine="645"/>
    </w:pPr>
    <w:rPr>
      <w:rFonts w:ascii="Arial" w:hAnsi="Arial" w:eastAsia="仿宋_GB2312" w:cs="Arial"/>
      <w:sz w:val="32"/>
      <w:szCs w:val="32"/>
    </w:rPr>
  </w:style>
  <w:style w:type="paragraph" w:styleId="28">
    <w:name w:val="endnote text"/>
    <w:basedOn w:val="1"/>
    <w:link w:val="75"/>
    <w:semiHidden/>
    <w:unhideWhenUsed/>
    <w:qFormat/>
    <w:uiPriority w:val="99"/>
    <w:rPr>
      <w:sz w:val="20"/>
    </w:rPr>
  </w:style>
  <w:style w:type="paragraph" w:styleId="29">
    <w:name w:val="Balloon Text"/>
    <w:basedOn w:val="1"/>
    <w:link w:val="83"/>
    <w:semiHidden/>
    <w:qFormat/>
    <w:uiPriority w:val="0"/>
    <w:rPr>
      <w:sz w:val="18"/>
      <w:szCs w:val="18"/>
    </w:rPr>
  </w:style>
  <w:style w:type="paragraph" w:styleId="30">
    <w:name w:val="footer"/>
    <w:basedOn w:val="1"/>
    <w:link w:val="202"/>
    <w:qFormat/>
    <w:uiPriority w:val="0"/>
    <w:pPr>
      <w:tabs>
        <w:tab w:val="center" w:pos="4153"/>
        <w:tab w:val="right" w:pos="8306"/>
      </w:tabs>
      <w:jc w:val="left"/>
    </w:pPr>
    <w:rPr>
      <w:sz w:val="18"/>
      <w:szCs w:val="18"/>
    </w:rPr>
  </w:style>
  <w:style w:type="paragraph" w:styleId="31">
    <w:name w:val="header"/>
    <w:basedOn w:val="1"/>
    <w:link w:val="235"/>
    <w:qFormat/>
    <w:uiPriority w:val="0"/>
    <w:pPr>
      <w:pBdr>
        <w:bottom w:val="single" w:color="000000" w:sz="6" w:space="1"/>
      </w:pBdr>
      <w:tabs>
        <w:tab w:val="center" w:pos="4153"/>
        <w:tab w:val="right" w:pos="8306"/>
      </w:tabs>
      <w:jc w:val="center"/>
    </w:pPr>
    <w:rPr>
      <w:sz w:val="18"/>
      <w:szCs w:val="18"/>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81"/>
    <w:qFormat/>
    <w:uiPriority w:val="11"/>
    <w:pPr>
      <w:spacing w:before="200" w:after="200"/>
    </w:pPr>
    <w:rPr>
      <w:sz w:val="24"/>
      <w:szCs w:val="24"/>
    </w:rPr>
  </w:style>
  <w:style w:type="paragraph" w:styleId="35">
    <w:name w:val="List"/>
    <w:basedOn w:val="1"/>
    <w:qFormat/>
    <w:uiPriority w:val="0"/>
    <w:pPr>
      <w:ind w:left="200" w:hanging="200"/>
    </w:pPr>
    <w:rPr>
      <w:szCs w:val="21"/>
    </w:rPr>
  </w:style>
  <w:style w:type="paragraph" w:styleId="36">
    <w:name w:val="footnote text"/>
    <w:basedOn w:val="1"/>
    <w:link w:val="58"/>
    <w:semiHidden/>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Body Text Indent 3"/>
    <w:basedOn w:val="1"/>
    <w:link w:val="210"/>
    <w:qFormat/>
    <w:uiPriority w:val="0"/>
    <w:pPr>
      <w:ind w:left="645" w:firstLine="645"/>
    </w:pPr>
    <w:rPr>
      <w:rFonts w:ascii="Arial" w:hAnsi="Arial" w:eastAsia="仿宋_GB2312" w:cs="Arial"/>
      <w:color w:val="FFFF00"/>
      <w:sz w:val="32"/>
      <w:szCs w:val="32"/>
    </w:rPr>
  </w:style>
  <w:style w:type="paragraph" w:styleId="39">
    <w:name w:val="table of figures"/>
    <w:basedOn w:val="1"/>
    <w:next w:val="1"/>
    <w:semiHidden/>
    <w:qFormat/>
    <w:uiPriority w:val="0"/>
    <w:pPr>
      <w:ind w:left="840" w:hanging="420"/>
    </w:pPr>
    <w:rPr>
      <w:szCs w:val="21"/>
    </w:rPr>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Body Text 2"/>
    <w:basedOn w:val="1"/>
    <w:link w:val="166"/>
    <w:qFormat/>
    <w:uiPriority w:val="0"/>
    <w:pPr>
      <w:widowControl/>
      <w:jc w:val="center"/>
    </w:pPr>
    <w:rPr>
      <w:rFonts w:ascii="楷体_GB2312" w:eastAsia="楷体_GB2312"/>
      <w:sz w:val="28"/>
      <w:szCs w:val="28"/>
    </w:rPr>
  </w:style>
  <w:style w:type="paragraph" w:styleId="4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5">
    <w:name w:val="index 1"/>
    <w:basedOn w:val="1"/>
    <w:next w:val="1"/>
    <w:semiHidden/>
    <w:qFormat/>
    <w:uiPriority w:val="0"/>
    <w:pPr>
      <w:spacing w:line="240" w:lineRule="atLeast"/>
    </w:pPr>
    <w:rPr>
      <w:b/>
      <w:bCs/>
      <w:szCs w:val="21"/>
    </w:rPr>
  </w:style>
  <w:style w:type="paragraph" w:styleId="46">
    <w:name w:val="Title"/>
    <w:basedOn w:val="1"/>
    <w:next w:val="1"/>
    <w:link w:val="140"/>
    <w:qFormat/>
    <w:uiPriority w:val="10"/>
    <w:pPr>
      <w:spacing w:before="300" w:after="200"/>
      <w:contextualSpacing/>
    </w:pPr>
    <w:rPr>
      <w:sz w:val="48"/>
      <w:szCs w:val="48"/>
    </w:rPr>
  </w:style>
  <w:style w:type="paragraph" w:styleId="47">
    <w:name w:val="annotation subject"/>
    <w:basedOn w:val="16"/>
    <w:next w:val="16"/>
    <w:link w:val="203"/>
    <w:semiHidden/>
    <w:qFormat/>
    <w:uiPriority w:val="0"/>
    <w:rPr>
      <w:b/>
      <w:bCs/>
      <w:szCs w:val="21"/>
    </w:rPr>
  </w:style>
  <w:style w:type="table" w:styleId="49">
    <w:name w:val="Table Grid"/>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endnote reference"/>
    <w:semiHidden/>
    <w:unhideWhenUsed/>
    <w:qFormat/>
    <w:uiPriority w:val="99"/>
    <w:rPr>
      <w:vertAlign w:val="superscript"/>
    </w:rPr>
  </w:style>
  <w:style w:type="character" w:styleId="53">
    <w:name w:val="page number"/>
    <w:qFormat/>
    <w:uiPriority w:val="0"/>
  </w:style>
  <w:style w:type="character" w:styleId="54">
    <w:name w:val="Hyperlink"/>
    <w:qFormat/>
    <w:uiPriority w:val="0"/>
    <w:rPr>
      <w:color w:val="0000FF"/>
      <w:u w:val="single"/>
    </w:rPr>
  </w:style>
  <w:style w:type="character" w:styleId="55">
    <w:name w:val="annotation reference"/>
    <w:semiHidden/>
    <w:qFormat/>
    <w:uiPriority w:val="0"/>
    <w:rPr>
      <w:sz w:val="21"/>
      <w:szCs w:val="21"/>
    </w:rPr>
  </w:style>
  <w:style w:type="character" w:styleId="56">
    <w:name w:val="footnote reference"/>
    <w:unhideWhenUsed/>
    <w:qFormat/>
    <w:uiPriority w:val="99"/>
    <w:rPr>
      <w:vertAlign w:val="superscript"/>
    </w:rPr>
  </w:style>
  <w:style w:type="character" w:customStyle="1" w:styleId="57">
    <w:name w:val="标题 9 字符"/>
    <w:link w:val="11"/>
    <w:qFormat/>
    <w:uiPriority w:val="0"/>
    <w:rPr>
      <w:rFonts w:ascii="Arial" w:hAnsi="Arial" w:eastAsia="黑体" w:cs="Times New Roman"/>
      <w:szCs w:val="21"/>
    </w:rPr>
  </w:style>
  <w:style w:type="character" w:customStyle="1" w:styleId="58">
    <w:name w:val="脚注文本 字符"/>
    <w:link w:val="36"/>
    <w:qFormat/>
    <w:uiPriority w:val="99"/>
    <w:rPr>
      <w:sz w:val="18"/>
    </w:rPr>
  </w:style>
  <w:style w:type="table" w:customStyle="1" w:styleId="59">
    <w:name w:val="List Table 7 Colorful - Accent 6"/>
    <w:qFormat/>
    <w:uiPriority w:val="99"/>
    <w:tblPr>
      <w:tblBorders>
        <w:right w:val="single" w:color="FAC090" w:sz="4" w:space="0"/>
      </w:tblBorders>
      <w:tblCellMar>
        <w:top w:w="0" w:type="dxa"/>
        <w:left w:w="0" w:type="dxa"/>
        <w:bottom w:w="0" w:type="dxa"/>
        <w:right w:w="0" w:type="dxa"/>
      </w:tblCellMar>
    </w:tblPr>
  </w:style>
  <w:style w:type="paragraph" w:customStyle="1" w:styleId="60">
    <w:name w:val="Char1"/>
    <w:basedOn w:val="15"/>
    <w:qFormat/>
    <w:uiPriority w:val="0"/>
    <w:rPr>
      <w:rFonts w:ascii="Tahoma" w:hAnsi="Tahoma"/>
      <w:sz w:val="24"/>
      <w:szCs w:val="24"/>
    </w:rPr>
  </w:style>
  <w:style w:type="table" w:customStyle="1" w:styleId="6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character" w:customStyle="1" w:styleId="62">
    <w:name w:val="Heading 5 Char"/>
    <w:qFormat/>
    <w:uiPriority w:val="9"/>
    <w:rPr>
      <w:rFonts w:ascii="Arial" w:hAnsi="Arial" w:eastAsia="Arial" w:cs="Arial"/>
      <w:b/>
      <w:bCs/>
      <w:sz w:val="24"/>
      <w:szCs w:val="24"/>
    </w:rPr>
  </w:style>
  <w:style w:type="table" w:customStyle="1" w:styleId="6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paragraph" w:customStyle="1" w:styleId="6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table" w:customStyle="1" w:styleId="65">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66">
    <w:name w:val="清单表 7 彩色1"/>
    <w:qFormat/>
    <w:uiPriority w:val="99"/>
    <w:tblPr>
      <w:tblBorders>
        <w:right w:val="single" w:color="7F7F7F" w:sz="4" w:space="0"/>
      </w:tblBorders>
      <w:tblCellMar>
        <w:top w:w="0" w:type="dxa"/>
        <w:left w:w="0" w:type="dxa"/>
        <w:bottom w:w="0" w:type="dxa"/>
        <w:right w:w="0" w:type="dxa"/>
      </w:tblCellMar>
    </w:tblPr>
  </w:style>
  <w:style w:type="character" w:customStyle="1" w:styleId="67">
    <w:name w:val="正文文本缩进 2 字符"/>
    <w:link w:val="27"/>
    <w:qFormat/>
    <w:uiPriority w:val="0"/>
    <w:rPr>
      <w:rFonts w:ascii="Arial" w:hAnsi="Arial" w:eastAsia="仿宋_GB2312" w:cs="Arial"/>
      <w:sz w:val="32"/>
      <w:szCs w:val="32"/>
    </w:rPr>
  </w:style>
  <w:style w:type="table" w:customStyle="1" w:styleId="6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69">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70">
    <w:name w:val="List Table 7 Colorful - Accent 5"/>
    <w:qFormat/>
    <w:uiPriority w:val="99"/>
    <w:tblPr>
      <w:tblBorders>
        <w:right w:val="single" w:color="92CCDC" w:sz="4" w:space="0"/>
      </w:tblBorders>
      <w:tblCellMar>
        <w:top w:w="0" w:type="dxa"/>
        <w:left w:w="0" w:type="dxa"/>
        <w:bottom w:w="0" w:type="dxa"/>
        <w:right w:w="0" w:type="dxa"/>
      </w:tblCellMar>
    </w:tblPr>
  </w:style>
  <w:style w:type="paragraph" w:customStyle="1" w:styleId="71">
    <w:name w:val="目录 91"/>
    <w:basedOn w:val="1"/>
    <w:next w:val="1"/>
    <w:semiHidden/>
    <w:qFormat/>
    <w:uiPriority w:val="0"/>
    <w:pPr>
      <w:ind w:left="1680"/>
      <w:jc w:val="left"/>
    </w:pPr>
    <w:rPr>
      <w:szCs w:val="21"/>
    </w:rPr>
  </w:style>
  <w:style w:type="table" w:customStyle="1" w:styleId="7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character" w:customStyle="1" w:styleId="73">
    <w:name w:val="文档结构图 字符"/>
    <w:link w:val="15"/>
    <w:semiHidden/>
    <w:qFormat/>
    <w:uiPriority w:val="0"/>
    <w:rPr>
      <w:rFonts w:ascii="Times New Roman" w:hAnsi="Times New Roman" w:eastAsia="宋体" w:cs="Times New Roman"/>
      <w:szCs w:val="21"/>
      <w:shd w:val="clear" w:color="auto" w:fill="000080"/>
    </w:rPr>
  </w:style>
  <w:style w:type="table" w:customStyle="1" w:styleId="74">
    <w:name w:val="List Table 1 Light - Accent 2"/>
    <w:qFormat/>
    <w:uiPriority w:val="99"/>
    <w:tblPr>
      <w:tblCellMar>
        <w:top w:w="0" w:type="dxa"/>
        <w:left w:w="0" w:type="dxa"/>
        <w:bottom w:w="0" w:type="dxa"/>
        <w:right w:w="0" w:type="dxa"/>
      </w:tblCellMar>
    </w:tblPr>
  </w:style>
  <w:style w:type="character" w:customStyle="1" w:styleId="75">
    <w:name w:val="尾注文本 字符"/>
    <w:link w:val="28"/>
    <w:qFormat/>
    <w:uiPriority w:val="99"/>
    <w:rPr>
      <w:sz w:val="20"/>
    </w:rPr>
  </w:style>
  <w:style w:type="table" w:customStyle="1" w:styleId="76">
    <w:name w:val="List Table 1 Light - Accent 4"/>
    <w:qFormat/>
    <w:uiPriority w:val="99"/>
    <w:tblPr>
      <w:tblCellMar>
        <w:top w:w="0" w:type="dxa"/>
        <w:left w:w="0" w:type="dxa"/>
        <w:bottom w:w="0" w:type="dxa"/>
        <w:right w:w="0" w:type="dxa"/>
      </w:tblCellMar>
    </w:tblPr>
  </w:style>
  <w:style w:type="table" w:customStyle="1" w:styleId="77">
    <w:name w:val="无格式表格 51"/>
    <w:qFormat/>
    <w:uiPriority w:val="99"/>
    <w:tblPr>
      <w:tblCellMar>
        <w:top w:w="0" w:type="dxa"/>
        <w:left w:w="0" w:type="dxa"/>
        <w:bottom w:w="0" w:type="dxa"/>
        <w:right w:w="0" w:type="dxa"/>
      </w:tblCellMar>
    </w:tblPr>
  </w:style>
  <w:style w:type="character" w:customStyle="1" w:styleId="78">
    <w:name w:val="标题 1 字符"/>
    <w:link w:val="2"/>
    <w:qFormat/>
    <w:uiPriority w:val="0"/>
    <w:rPr>
      <w:rFonts w:ascii="楷体_GB2312" w:hAnsi="Times New Roman" w:eastAsia="楷体_GB2312" w:cs="Times New Roman"/>
      <w:sz w:val="28"/>
      <w:szCs w:val="28"/>
    </w:rPr>
  </w:style>
  <w:style w:type="character" w:customStyle="1" w:styleId="79">
    <w:name w:val="标题 5 字符"/>
    <w:link w:val="7"/>
    <w:qFormat/>
    <w:uiPriority w:val="0"/>
    <w:rPr>
      <w:rFonts w:ascii="宋体" w:hAnsi="Times New Roman" w:eastAsia="宋体" w:cs="Times New Roman"/>
      <w:color w:val="000000"/>
      <w:sz w:val="28"/>
      <w:szCs w:val="28"/>
    </w:rPr>
  </w:style>
  <w:style w:type="paragraph" w:customStyle="1" w:styleId="80">
    <w:name w:val="标题3"/>
    <w:basedOn w:val="1"/>
    <w:next w:val="1"/>
    <w:qFormat/>
    <w:uiPriority w:val="0"/>
    <w:pPr>
      <w:spacing w:line="590" w:lineRule="atLeast"/>
      <w:ind w:firstLine="624"/>
    </w:pPr>
    <w:rPr>
      <w:rFonts w:ascii="方正黑体_GBK" w:eastAsia="方正黑体_GBK"/>
      <w:sz w:val="32"/>
      <w:szCs w:val="32"/>
    </w:rPr>
  </w:style>
  <w:style w:type="character" w:customStyle="1" w:styleId="81">
    <w:name w:val="副标题 字符"/>
    <w:link w:val="34"/>
    <w:qFormat/>
    <w:uiPriority w:val="11"/>
    <w:rPr>
      <w:sz w:val="24"/>
      <w:szCs w:val="24"/>
    </w:rPr>
  </w:style>
  <w:style w:type="table" w:customStyle="1" w:styleId="82">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character" w:customStyle="1" w:styleId="83">
    <w:name w:val="批注框文本 字符"/>
    <w:link w:val="29"/>
    <w:semiHidden/>
    <w:qFormat/>
    <w:uiPriority w:val="0"/>
    <w:rPr>
      <w:rFonts w:ascii="Times New Roman" w:hAnsi="Times New Roman" w:eastAsia="宋体" w:cs="Times New Roman"/>
      <w:sz w:val="18"/>
      <w:szCs w:val="18"/>
    </w:rPr>
  </w:style>
  <w:style w:type="character" w:customStyle="1" w:styleId="84">
    <w:name w:val="标题 4 字符"/>
    <w:link w:val="6"/>
    <w:qFormat/>
    <w:uiPriority w:val="0"/>
    <w:rPr>
      <w:rFonts w:ascii="Arial" w:hAnsi="Arial" w:eastAsia="黑体" w:cs="Arial"/>
      <w:b/>
      <w:bCs/>
      <w:sz w:val="28"/>
      <w:szCs w:val="28"/>
    </w:rPr>
  </w:style>
  <w:style w:type="table" w:customStyle="1" w:styleId="8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86">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character" w:customStyle="1" w:styleId="88">
    <w:name w:val="Heading 6 Char"/>
    <w:qFormat/>
    <w:uiPriority w:val="9"/>
    <w:rPr>
      <w:rFonts w:ascii="Arial" w:hAnsi="Arial" w:eastAsia="Arial" w:cs="Arial"/>
      <w:b/>
      <w:bCs/>
      <w:sz w:val="22"/>
      <w:szCs w:val="22"/>
    </w:rPr>
  </w:style>
  <w:style w:type="character" w:customStyle="1" w:styleId="89">
    <w:name w:val="正文文本 3 字符"/>
    <w:link w:val="17"/>
    <w:qFormat/>
    <w:uiPriority w:val="0"/>
    <w:rPr>
      <w:rFonts w:ascii="仿宋_GB2312" w:hAnsi="Arial" w:eastAsia="仿宋_GB2312" w:cs="Times New Roman"/>
      <w:sz w:val="32"/>
      <w:szCs w:val="32"/>
    </w:rPr>
  </w:style>
  <w:style w:type="table" w:customStyle="1" w:styleId="9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92">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paragraph" w:customStyle="1" w:styleId="93">
    <w:name w:val="table_1stline"/>
    <w:basedOn w:val="1"/>
    <w:qFormat/>
    <w:uiPriority w:val="0"/>
    <w:pPr>
      <w:widowControl/>
      <w:spacing w:before="120"/>
      <w:jc w:val="left"/>
    </w:pPr>
    <w:rPr>
      <w:bCs/>
      <w:sz w:val="20"/>
      <w:szCs w:val="20"/>
      <w:lang w:val="de-DE" w:eastAsia="de-DE"/>
    </w:rPr>
  </w:style>
  <w:style w:type="table" w:customStyle="1" w:styleId="94">
    <w:name w:val="Lined - Accent 4"/>
    <w:qFormat/>
    <w:uiPriority w:val="99"/>
    <w:rPr>
      <w:color w:val="404040"/>
    </w:rPr>
    <w:tblPr>
      <w:tblCellMar>
        <w:top w:w="0" w:type="dxa"/>
        <w:left w:w="0" w:type="dxa"/>
        <w:bottom w:w="0" w:type="dxa"/>
        <w:right w:w="0" w:type="dxa"/>
      </w:tblCellMar>
    </w:tblPr>
  </w:style>
  <w:style w:type="paragraph" w:customStyle="1" w:styleId="95">
    <w:name w:val="二级目录"/>
    <w:next w:val="1"/>
    <w:link w:val="213"/>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table" w:customStyle="1" w:styleId="9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paragraph" w:styleId="97">
    <w:name w:val="Intense Quote"/>
    <w:basedOn w:val="1"/>
    <w:next w:val="1"/>
    <w:link w:val="11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98">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paragraph" w:customStyle="1" w:styleId="99">
    <w:name w:val="目录 31"/>
    <w:basedOn w:val="1"/>
    <w:next w:val="1"/>
    <w:semiHidden/>
    <w:qFormat/>
    <w:uiPriority w:val="0"/>
    <w:pPr>
      <w:ind w:left="420"/>
      <w:jc w:val="left"/>
    </w:pPr>
    <w:rPr>
      <w:i/>
      <w:iCs/>
      <w:szCs w:val="24"/>
    </w:rPr>
  </w:style>
  <w:style w:type="table" w:customStyle="1" w:styleId="10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0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02">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character" w:customStyle="1" w:styleId="103">
    <w:name w:val="正文缩进 字符"/>
    <w:link w:val="4"/>
    <w:qFormat/>
    <w:uiPriority w:val="0"/>
    <w:rPr>
      <w:szCs w:val="21"/>
    </w:rPr>
  </w:style>
  <w:style w:type="table" w:customStyle="1" w:styleId="104">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07">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08">
    <w:name w:val="Lined - Accent 3"/>
    <w:qFormat/>
    <w:uiPriority w:val="99"/>
    <w:rPr>
      <w:color w:val="404040"/>
    </w:rPr>
    <w:tblPr>
      <w:tblCellMar>
        <w:top w:w="0" w:type="dxa"/>
        <w:left w:w="0" w:type="dxa"/>
        <w:bottom w:w="0" w:type="dxa"/>
        <w:right w:w="0" w:type="dxa"/>
      </w:tblCellMar>
    </w:tblPr>
  </w:style>
  <w:style w:type="character" w:customStyle="1" w:styleId="109">
    <w:name w:val="纯文本 字符"/>
    <w:link w:val="24"/>
    <w:qFormat/>
    <w:uiPriority w:val="0"/>
    <w:rPr>
      <w:rFonts w:ascii="宋体" w:hAnsi="Courier New" w:eastAsia="宋体" w:cs="Courier New"/>
      <w:szCs w:val="21"/>
    </w:rPr>
  </w:style>
  <w:style w:type="table" w:customStyle="1" w:styleId="110">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1">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2">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character" w:customStyle="1" w:styleId="113">
    <w:name w:val="标题 3 字符"/>
    <w:link w:val="5"/>
    <w:qFormat/>
    <w:uiPriority w:val="0"/>
    <w:rPr>
      <w:rFonts w:ascii="Times New Roman" w:hAnsi="Times New Roman" w:eastAsia="宋体" w:cs="Times New Roman"/>
      <w:b/>
      <w:bCs/>
      <w:sz w:val="32"/>
      <w:szCs w:val="32"/>
    </w:rPr>
  </w:style>
  <w:style w:type="table" w:customStyle="1" w:styleId="114">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5">
    <w:name w:val="清单表 1 浅色1"/>
    <w:qFormat/>
    <w:uiPriority w:val="99"/>
    <w:tblPr>
      <w:tblCellMar>
        <w:top w:w="0" w:type="dxa"/>
        <w:left w:w="0" w:type="dxa"/>
        <w:bottom w:w="0" w:type="dxa"/>
        <w:right w:w="0" w:type="dxa"/>
      </w:tblCellMar>
    </w:tblPr>
  </w:style>
  <w:style w:type="table" w:customStyle="1" w:styleId="116">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character" w:customStyle="1" w:styleId="117">
    <w:name w:val="明显引用 字符"/>
    <w:link w:val="97"/>
    <w:qFormat/>
    <w:uiPriority w:val="30"/>
    <w:rPr>
      <w:i/>
    </w:rPr>
  </w:style>
  <w:style w:type="table" w:customStyle="1" w:styleId="11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paragraph" w:customStyle="1" w:styleId="12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table" w:customStyle="1" w:styleId="12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paragraph" w:customStyle="1" w:styleId="12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24">
    <w:name w:val="font5"/>
    <w:basedOn w:val="1"/>
    <w:qFormat/>
    <w:uiPriority w:val="0"/>
    <w:pPr>
      <w:widowControl/>
      <w:spacing w:before="100" w:beforeAutospacing="1" w:after="100" w:afterAutospacing="1"/>
      <w:jc w:val="left"/>
    </w:pPr>
    <w:rPr>
      <w:rFonts w:hint="eastAsia" w:ascii="宋体" w:hAnsi="宋体"/>
      <w:sz w:val="28"/>
      <w:szCs w:val="28"/>
    </w:rPr>
  </w:style>
  <w:style w:type="table" w:customStyle="1" w:styleId="125">
    <w:name w:val="Lined - Accent 5"/>
    <w:qFormat/>
    <w:uiPriority w:val="99"/>
    <w:rPr>
      <w:color w:val="404040"/>
    </w:rPr>
    <w:tblPr>
      <w:tblCellMar>
        <w:top w:w="0" w:type="dxa"/>
        <w:left w:w="0" w:type="dxa"/>
        <w:bottom w:w="0" w:type="dxa"/>
        <w:right w:w="0" w:type="dxa"/>
      </w:tblCellMar>
    </w:tblPr>
  </w:style>
  <w:style w:type="character" w:customStyle="1" w:styleId="126">
    <w:name w:val="列出段落 Char"/>
    <w:link w:val="127"/>
    <w:qFormat/>
    <w:uiPriority w:val="0"/>
    <w:rPr>
      <w:rFonts w:ascii="Calibri" w:hAnsi="Calibri"/>
      <w:sz w:val="24"/>
      <w:szCs w:val="24"/>
      <w:lang w:eastAsia="en-US" w:bidi="en-US"/>
    </w:rPr>
  </w:style>
  <w:style w:type="paragraph" w:customStyle="1" w:styleId="127">
    <w:name w:val="列出段落1"/>
    <w:basedOn w:val="1"/>
    <w:link w:val="126"/>
    <w:qFormat/>
    <w:uiPriority w:val="0"/>
    <w:pPr>
      <w:widowControl/>
      <w:ind w:left="720"/>
      <w:contextualSpacing/>
      <w:jc w:val="left"/>
    </w:pPr>
    <w:rPr>
      <w:rFonts w:ascii="Calibri" w:hAnsi="Calibri"/>
      <w:sz w:val="24"/>
      <w:szCs w:val="24"/>
      <w:lang w:eastAsia="en-US" w:bidi="en-US"/>
    </w:rPr>
  </w:style>
  <w:style w:type="paragraph" w:customStyle="1" w:styleId="128">
    <w:name w:val="目录 71"/>
    <w:basedOn w:val="1"/>
    <w:next w:val="1"/>
    <w:semiHidden/>
    <w:qFormat/>
    <w:uiPriority w:val="0"/>
    <w:pPr>
      <w:ind w:left="1260"/>
      <w:jc w:val="left"/>
    </w:pPr>
    <w:rPr>
      <w:szCs w:val="21"/>
    </w:rPr>
  </w:style>
  <w:style w:type="paragraph" w:customStyle="1" w:styleId="129">
    <w:name w:val="普通 (Web)"/>
    <w:basedOn w:val="1"/>
    <w:qFormat/>
    <w:uiPriority w:val="0"/>
    <w:pPr>
      <w:widowControl/>
      <w:spacing w:before="100" w:beforeAutospacing="1" w:after="100" w:afterAutospacing="1"/>
      <w:jc w:val="left"/>
    </w:pPr>
    <w:rPr>
      <w:rFonts w:ascii="宋体" w:hAnsi="宋体"/>
      <w:sz w:val="24"/>
      <w:szCs w:val="24"/>
    </w:rPr>
  </w:style>
  <w:style w:type="table" w:customStyle="1" w:styleId="130">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1">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character" w:customStyle="1" w:styleId="132">
    <w:name w:val="Heading 9 Char"/>
    <w:qFormat/>
    <w:uiPriority w:val="9"/>
    <w:rPr>
      <w:rFonts w:ascii="Arial" w:hAnsi="Arial" w:eastAsia="Arial" w:cs="Arial"/>
      <w:i/>
      <w:iCs/>
      <w:sz w:val="21"/>
      <w:szCs w:val="21"/>
    </w:rPr>
  </w:style>
  <w:style w:type="table" w:customStyle="1" w:styleId="133">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paragraph" w:customStyle="1" w:styleId="134">
    <w:name w:val="Table Text"/>
    <w:semiHidden/>
    <w:qFormat/>
    <w:uiPriority w:val="0"/>
    <w:pPr>
      <w:widowControl w:val="0"/>
      <w:jc w:val="both"/>
    </w:pPr>
    <w:rPr>
      <w:rFonts w:ascii="宋体" w:hAnsi="宋体" w:eastAsia="宋体" w:cs="宋体"/>
      <w:sz w:val="24"/>
      <w:szCs w:val="21"/>
      <w:lang w:val="en-US" w:eastAsia="en-US" w:bidi="ar-SA"/>
    </w:rPr>
  </w:style>
  <w:style w:type="table" w:customStyle="1" w:styleId="13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3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8">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paragraph" w:styleId="139">
    <w:name w:val="List Paragraph"/>
    <w:basedOn w:val="1"/>
    <w:qFormat/>
    <w:uiPriority w:val="34"/>
    <w:pPr>
      <w:ind w:firstLine="420"/>
    </w:pPr>
  </w:style>
  <w:style w:type="character" w:customStyle="1" w:styleId="140">
    <w:name w:val="标题 字符"/>
    <w:link w:val="46"/>
    <w:qFormat/>
    <w:uiPriority w:val="10"/>
    <w:rPr>
      <w:sz w:val="48"/>
      <w:szCs w:val="48"/>
    </w:rPr>
  </w:style>
  <w:style w:type="paragraph" w:customStyle="1" w:styleId="141">
    <w:name w:val="目录 21"/>
    <w:basedOn w:val="1"/>
    <w:next w:val="1"/>
    <w:semiHidden/>
    <w:qFormat/>
    <w:uiPriority w:val="0"/>
    <w:pPr>
      <w:ind w:left="210"/>
      <w:jc w:val="left"/>
    </w:pPr>
    <w:rPr>
      <w:smallCaps/>
      <w:szCs w:val="24"/>
    </w:rPr>
  </w:style>
  <w:style w:type="table" w:customStyle="1" w:styleId="14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paragraph" w:customStyle="1" w:styleId="143">
    <w:name w:val="Body Text(ch)"/>
    <w:basedOn w:val="1"/>
    <w:next w:val="18"/>
    <w:qFormat/>
    <w:uiPriority w:val="0"/>
    <w:pPr>
      <w:spacing w:after="120"/>
    </w:pPr>
    <w:rPr>
      <w:rFonts w:ascii="宋体" w:hAnsi="Arial"/>
      <w:bCs/>
      <w:iCs/>
      <w:szCs w:val="24"/>
    </w:rPr>
  </w:style>
  <w:style w:type="paragraph" w:customStyle="1" w:styleId="144">
    <w:name w:val="正文首行缩进1"/>
    <w:basedOn w:val="1"/>
    <w:link w:val="197"/>
    <w:qFormat/>
    <w:uiPriority w:val="0"/>
    <w:pPr>
      <w:spacing w:line="360" w:lineRule="auto"/>
      <w:ind w:firstLine="200"/>
    </w:pPr>
    <w:rPr>
      <w:rFonts w:ascii="仿宋_GB2312" w:eastAsia="仿宋_GB2312"/>
      <w:sz w:val="30"/>
      <w:szCs w:val="30"/>
    </w:rPr>
  </w:style>
  <w:style w:type="table" w:customStyle="1" w:styleId="14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paragraph" w:customStyle="1" w:styleId="14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table" w:customStyle="1" w:styleId="147">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8">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paragraph" w:customStyle="1" w:styleId="149">
    <w:name w:val="Char Char Char Char1"/>
    <w:basedOn w:val="15"/>
    <w:qFormat/>
    <w:uiPriority w:val="0"/>
    <w:pPr>
      <w:spacing w:line="360" w:lineRule="auto"/>
    </w:pPr>
    <w:rPr>
      <w:rFonts w:ascii="Tahoma" w:hAnsi="Tahoma"/>
      <w:sz w:val="24"/>
      <w:szCs w:val="24"/>
    </w:rPr>
  </w:style>
  <w:style w:type="table" w:customStyle="1" w:styleId="15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51">
    <w:name w:val="Lined - Accent 1"/>
    <w:qFormat/>
    <w:uiPriority w:val="99"/>
    <w:rPr>
      <w:color w:val="404040"/>
    </w:rPr>
    <w:tblPr>
      <w:tblCellMar>
        <w:top w:w="0" w:type="dxa"/>
        <w:left w:w="0" w:type="dxa"/>
        <w:bottom w:w="0" w:type="dxa"/>
        <w:right w:w="0" w:type="dxa"/>
      </w:tblCellMar>
    </w:tblPr>
  </w:style>
  <w:style w:type="table" w:customStyle="1" w:styleId="152">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3">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54">
    <w:name w:val="List Table 7 Colorful - Accent 1"/>
    <w:qFormat/>
    <w:uiPriority w:val="99"/>
    <w:tblPr>
      <w:tblBorders>
        <w:right w:val="single" w:color="4F81BD" w:sz="4" w:space="0"/>
      </w:tblBorders>
      <w:tblCellMar>
        <w:top w:w="0" w:type="dxa"/>
        <w:left w:w="0" w:type="dxa"/>
        <w:bottom w:w="0" w:type="dxa"/>
        <w:right w:w="0" w:type="dxa"/>
      </w:tblCellMar>
    </w:tblPr>
  </w:style>
  <w:style w:type="paragraph" w:customStyle="1" w:styleId="155">
    <w:name w:val="普通正文"/>
    <w:basedOn w:val="1"/>
    <w:qFormat/>
    <w:uiPriority w:val="0"/>
    <w:pPr>
      <w:spacing w:before="120" w:after="120" w:line="360" w:lineRule="auto"/>
      <w:ind w:firstLine="480"/>
      <w:jc w:val="left"/>
    </w:pPr>
    <w:rPr>
      <w:rFonts w:ascii="Arial" w:hAnsi="Arial"/>
      <w:sz w:val="24"/>
      <w:szCs w:val="24"/>
    </w:rPr>
  </w:style>
  <w:style w:type="table" w:customStyle="1" w:styleId="15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5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9">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character" w:customStyle="1" w:styleId="160">
    <w:name w:val="标题 8 字符"/>
    <w:link w:val="10"/>
    <w:qFormat/>
    <w:uiPriority w:val="0"/>
    <w:rPr>
      <w:rFonts w:ascii="Arial" w:hAnsi="Arial" w:eastAsia="黑体" w:cs="Times New Roman"/>
      <w:sz w:val="24"/>
      <w:szCs w:val="24"/>
    </w:rPr>
  </w:style>
  <w:style w:type="table" w:customStyle="1" w:styleId="16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6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6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paragraph" w:customStyle="1" w:styleId="164">
    <w:name w:val="4"/>
    <w:basedOn w:val="1"/>
    <w:next w:val="38"/>
    <w:qFormat/>
    <w:uiPriority w:val="0"/>
    <w:pPr>
      <w:spacing w:line="360" w:lineRule="auto"/>
      <w:ind w:firstLine="420"/>
    </w:pPr>
    <w:rPr>
      <w:color w:val="FF0000"/>
      <w:sz w:val="24"/>
      <w:szCs w:val="24"/>
    </w:rPr>
  </w:style>
  <w:style w:type="paragraph" w:styleId="165">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166">
    <w:name w:val="正文文本 2 字符"/>
    <w:link w:val="42"/>
    <w:qFormat/>
    <w:uiPriority w:val="0"/>
    <w:rPr>
      <w:rFonts w:ascii="楷体_GB2312" w:hAnsi="Times New Roman" w:eastAsia="楷体_GB2312" w:cs="Times New Roman"/>
      <w:sz w:val="28"/>
      <w:szCs w:val="28"/>
    </w:rPr>
  </w:style>
  <w:style w:type="table" w:customStyle="1" w:styleId="167">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character" w:customStyle="1" w:styleId="168">
    <w:name w:val="Heading 2 Char"/>
    <w:qFormat/>
    <w:uiPriority w:val="9"/>
    <w:rPr>
      <w:rFonts w:ascii="Arial" w:hAnsi="Arial" w:eastAsia="Arial" w:cs="Arial"/>
      <w:sz w:val="34"/>
    </w:rPr>
  </w:style>
  <w:style w:type="paragraph" w:customStyle="1" w:styleId="169">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character" w:customStyle="1" w:styleId="170">
    <w:name w:val="标题 7 字符"/>
    <w:link w:val="9"/>
    <w:qFormat/>
    <w:uiPriority w:val="0"/>
    <w:rPr>
      <w:rFonts w:ascii="Times New Roman" w:hAnsi="Times New Roman" w:eastAsia="宋体" w:cs="Times New Roman"/>
      <w:b/>
      <w:bCs/>
      <w:sz w:val="24"/>
      <w:szCs w:val="24"/>
    </w:rPr>
  </w:style>
  <w:style w:type="table" w:customStyle="1" w:styleId="171">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2">
    <w:name w:val="Lined - Accent 2"/>
    <w:qFormat/>
    <w:uiPriority w:val="99"/>
    <w:rPr>
      <w:color w:val="404040"/>
    </w:rPr>
    <w:tblPr>
      <w:tblCellMar>
        <w:top w:w="0" w:type="dxa"/>
        <w:left w:w="0" w:type="dxa"/>
        <w:bottom w:w="0" w:type="dxa"/>
        <w:right w:w="0" w:type="dxa"/>
      </w:tblCellMar>
    </w:tblPr>
  </w:style>
  <w:style w:type="table" w:customStyle="1" w:styleId="173">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character" w:customStyle="1" w:styleId="174">
    <w:name w:val="font21"/>
    <w:qFormat/>
    <w:uiPriority w:val="0"/>
    <w:rPr>
      <w:rFonts w:hint="eastAsia" w:ascii="宋体" w:hAnsi="宋体" w:eastAsia="宋体" w:cs="宋体"/>
      <w:color w:val="000000"/>
      <w:sz w:val="22"/>
      <w:szCs w:val="22"/>
      <w:u w:val="none"/>
    </w:rPr>
  </w:style>
  <w:style w:type="table" w:customStyle="1" w:styleId="175">
    <w:name w:val="List Table 1 Light - Accent 3"/>
    <w:qFormat/>
    <w:uiPriority w:val="99"/>
    <w:tblPr>
      <w:tblCellMar>
        <w:top w:w="0" w:type="dxa"/>
        <w:left w:w="0" w:type="dxa"/>
        <w:bottom w:w="0" w:type="dxa"/>
        <w:right w:w="0" w:type="dxa"/>
      </w:tblCellMar>
    </w:tblPr>
  </w:style>
  <w:style w:type="character" w:customStyle="1" w:styleId="176">
    <w:name w:val="font71"/>
    <w:qFormat/>
    <w:uiPriority w:val="0"/>
    <w:rPr>
      <w:rFonts w:hint="eastAsia" w:ascii="宋体" w:hAnsi="宋体" w:eastAsia="宋体" w:cs="宋体"/>
      <w:color w:val="FF0000"/>
      <w:sz w:val="21"/>
      <w:szCs w:val="21"/>
      <w:u w:val="none"/>
    </w:rPr>
  </w:style>
  <w:style w:type="table" w:customStyle="1" w:styleId="17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78">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79">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character" w:customStyle="1" w:styleId="180">
    <w:name w:val="批注文字 字符"/>
    <w:link w:val="16"/>
    <w:semiHidden/>
    <w:qFormat/>
    <w:uiPriority w:val="99"/>
  </w:style>
  <w:style w:type="table" w:customStyle="1" w:styleId="18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paragraph" w:customStyle="1" w:styleId="182">
    <w:name w:val="目录 51"/>
    <w:basedOn w:val="1"/>
    <w:next w:val="1"/>
    <w:semiHidden/>
    <w:qFormat/>
    <w:uiPriority w:val="0"/>
    <w:pPr>
      <w:ind w:left="840"/>
      <w:jc w:val="left"/>
    </w:pPr>
    <w:rPr>
      <w:szCs w:val="21"/>
    </w:rPr>
  </w:style>
  <w:style w:type="paragraph" w:customStyle="1" w:styleId="18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184">
    <w:name w:val="修订1"/>
    <w:semiHidden/>
    <w:qFormat/>
    <w:uiPriority w:val="99"/>
    <w:rPr>
      <w:rFonts w:ascii="Times New Roman" w:hAnsi="Times New Roman" w:eastAsia="宋体" w:cs="Times New Roman"/>
      <w:sz w:val="21"/>
      <w:szCs w:val="21"/>
      <w:lang w:val="en-US" w:eastAsia="zh-CN" w:bidi="ar-SA"/>
    </w:rPr>
  </w:style>
  <w:style w:type="table" w:customStyle="1" w:styleId="185">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8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paragraph" w:customStyle="1" w:styleId="18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188">
    <w:name w:val="样式1"/>
    <w:basedOn w:val="1"/>
    <w:qFormat/>
    <w:uiPriority w:val="0"/>
    <w:pPr>
      <w:numPr>
        <w:ilvl w:val="0"/>
        <w:numId w:val="3"/>
      </w:numPr>
    </w:pPr>
    <w:rPr>
      <w:rFonts w:ascii="宋体" w:hAnsi="宋体"/>
      <w:szCs w:val="21"/>
    </w:rPr>
  </w:style>
  <w:style w:type="paragraph" w:customStyle="1" w:styleId="189">
    <w:name w:val="图表"/>
    <w:qFormat/>
    <w:uiPriority w:val="0"/>
    <w:pPr>
      <w:widowControl w:val="0"/>
      <w:spacing w:line="360" w:lineRule="auto"/>
      <w:jc w:val="center"/>
    </w:pPr>
    <w:rPr>
      <w:rFonts w:hint="eastAsia" w:ascii="宋体" w:hAnsi="宋体" w:eastAsia="宋体" w:cs="宋体"/>
      <w:color w:val="000000"/>
      <w:sz w:val="24"/>
      <w:szCs w:val="21"/>
      <w:lang w:val="en-US" w:eastAsia="zh-CN" w:bidi="ar-SA"/>
    </w:rPr>
  </w:style>
  <w:style w:type="table" w:customStyle="1" w:styleId="19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paragraph" w:customStyle="1" w:styleId="191">
    <w:name w:val="Char"/>
    <w:basedOn w:val="1"/>
    <w:qFormat/>
    <w:uiPriority w:val="0"/>
    <w:pPr>
      <w:tabs>
        <w:tab w:val="left" w:pos="360"/>
      </w:tabs>
      <w:ind w:firstLine="200"/>
    </w:pPr>
    <w:rPr>
      <w:sz w:val="28"/>
      <w:szCs w:val="30"/>
    </w:rPr>
  </w:style>
  <w:style w:type="paragraph" w:customStyle="1" w:styleId="192">
    <w:name w:val="正文首行缩进 21"/>
    <w:basedOn w:val="19"/>
    <w:next w:val="35"/>
    <w:link w:val="255"/>
    <w:qFormat/>
    <w:uiPriority w:val="0"/>
    <w:pPr>
      <w:spacing w:after="0" w:line="360" w:lineRule="auto"/>
      <w:ind w:left="0" w:firstLine="420"/>
    </w:pPr>
    <w:rPr>
      <w:rFonts w:ascii="宋体" w:hAnsi="宋体"/>
      <w:szCs w:val="20"/>
    </w:rPr>
  </w:style>
  <w:style w:type="character" w:customStyle="1" w:styleId="193">
    <w:name w:val="Header Char"/>
    <w:qFormat/>
    <w:uiPriority w:val="99"/>
  </w:style>
  <w:style w:type="table" w:customStyle="1" w:styleId="194">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9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6">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character" w:customStyle="1" w:styleId="197">
    <w:name w:val="正文文本首行缩进 字符"/>
    <w:link w:val="144"/>
    <w:qFormat/>
    <w:uiPriority w:val="0"/>
    <w:rPr>
      <w:rFonts w:ascii="仿宋_GB2312" w:hAnsi="Times New Roman" w:eastAsia="仿宋_GB2312" w:cs="Times New Roman"/>
      <w:sz w:val="30"/>
      <w:szCs w:val="30"/>
    </w:rPr>
  </w:style>
  <w:style w:type="table" w:customStyle="1" w:styleId="198">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character" w:customStyle="1" w:styleId="199">
    <w:name w:val="font5 Char"/>
    <w:qFormat/>
    <w:uiPriority w:val="0"/>
    <w:rPr>
      <w:rFonts w:ascii="宋体" w:hAnsi="宋体" w:eastAsia="宋体"/>
      <w:sz w:val="28"/>
      <w:szCs w:val="28"/>
      <w:lang w:val="en-US" w:eastAsia="zh-CN" w:bidi="ar-SA"/>
    </w:rPr>
  </w:style>
  <w:style w:type="table" w:customStyle="1" w:styleId="200">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paragraph" w:customStyle="1" w:styleId="201">
    <w:name w:val="table_lines"/>
    <w:basedOn w:val="1"/>
    <w:qFormat/>
    <w:uiPriority w:val="0"/>
    <w:pPr>
      <w:widowControl/>
      <w:jc w:val="left"/>
    </w:pPr>
    <w:rPr>
      <w:sz w:val="20"/>
      <w:szCs w:val="20"/>
      <w:lang w:val="de-DE" w:eastAsia="de-DE"/>
    </w:rPr>
  </w:style>
  <w:style w:type="character" w:customStyle="1" w:styleId="202">
    <w:name w:val="页脚 字符"/>
    <w:link w:val="30"/>
    <w:qFormat/>
    <w:uiPriority w:val="0"/>
    <w:rPr>
      <w:rFonts w:ascii="Times New Roman" w:hAnsi="Times New Roman" w:eastAsia="宋体" w:cs="Times New Roman"/>
      <w:sz w:val="18"/>
      <w:szCs w:val="18"/>
    </w:rPr>
  </w:style>
  <w:style w:type="character" w:customStyle="1" w:styleId="203">
    <w:name w:val="批注主题 字符"/>
    <w:link w:val="47"/>
    <w:semiHidden/>
    <w:qFormat/>
    <w:uiPriority w:val="0"/>
    <w:rPr>
      <w:rFonts w:ascii="Times New Roman" w:hAnsi="Times New Roman" w:eastAsia="宋体" w:cs="Times New Roman"/>
      <w:b/>
      <w:bCs/>
      <w:szCs w:val="21"/>
    </w:rPr>
  </w:style>
  <w:style w:type="character" w:customStyle="1" w:styleId="204">
    <w:name w:val="正文文本缩进 字符"/>
    <w:link w:val="19"/>
    <w:semiHidden/>
    <w:qFormat/>
    <w:uiPriority w:val="99"/>
  </w:style>
  <w:style w:type="table" w:customStyle="1" w:styleId="20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206">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207">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paragraph" w:customStyle="1" w:styleId="208">
    <w:name w:val="Table Paragraph"/>
    <w:basedOn w:val="1"/>
    <w:qFormat/>
    <w:uiPriority w:val="1"/>
    <w:rPr>
      <w:rFonts w:ascii="宋体" w:hAnsi="宋体" w:cs="宋体"/>
      <w:lang w:val="zh-CN" w:bidi="zh-CN"/>
    </w:rPr>
  </w:style>
  <w:style w:type="paragraph" w:customStyle="1" w:styleId="20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10">
    <w:name w:val="正文文本缩进 3 字符"/>
    <w:link w:val="38"/>
    <w:qFormat/>
    <w:uiPriority w:val="0"/>
    <w:rPr>
      <w:rFonts w:ascii="Arial" w:hAnsi="Arial" w:eastAsia="仿宋_GB2312" w:cs="Arial"/>
      <w:color w:val="FFFF00"/>
      <w:sz w:val="32"/>
      <w:szCs w:val="32"/>
    </w:rPr>
  </w:style>
  <w:style w:type="table" w:customStyle="1" w:styleId="211">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212">
    <w:name w:val="List Table 1 Light - Accent 5"/>
    <w:qFormat/>
    <w:uiPriority w:val="99"/>
    <w:tblPr>
      <w:tblCellMar>
        <w:top w:w="0" w:type="dxa"/>
        <w:left w:w="0" w:type="dxa"/>
        <w:bottom w:w="0" w:type="dxa"/>
        <w:right w:w="0" w:type="dxa"/>
      </w:tblCellMar>
    </w:tblPr>
  </w:style>
  <w:style w:type="character" w:customStyle="1" w:styleId="213">
    <w:name w:val="二级目录 Char"/>
    <w:link w:val="95"/>
    <w:qFormat/>
    <w:uiPriority w:val="0"/>
    <w:rPr>
      <w:b/>
      <w:sz w:val="30"/>
      <w:szCs w:val="28"/>
    </w:rPr>
  </w:style>
  <w:style w:type="paragraph" w:customStyle="1" w:styleId="21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character" w:customStyle="1" w:styleId="215">
    <w:name w:val="Caption Char"/>
    <w:qFormat/>
    <w:uiPriority w:val="99"/>
  </w:style>
  <w:style w:type="table" w:customStyle="1" w:styleId="216">
    <w:name w:val="无格式表格 31"/>
    <w:qFormat/>
    <w:uiPriority w:val="99"/>
    <w:tblPr>
      <w:tblCellMar>
        <w:top w:w="0" w:type="dxa"/>
        <w:left w:w="0" w:type="dxa"/>
        <w:bottom w:w="0" w:type="dxa"/>
        <w:right w:w="0" w:type="dxa"/>
      </w:tblCellMar>
    </w:tblPr>
  </w:style>
  <w:style w:type="table" w:customStyle="1" w:styleId="21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219">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2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221">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character" w:customStyle="1" w:styleId="222">
    <w:name w:val="font41"/>
    <w:qFormat/>
    <w:uiPriority w:val="0"/>
    <w:rPr>
      <w:rFonts w:hint="default" w:ascii="Times New Roman" w:hAnsi="Times New Roman" w:cs="Times New Roman"/>
      <w:color w:val="000000"/>
      <w:sz w:val="20"/>
      <w:szCs w:val="20"/>
      <w:u w:val="none"/>
    </w:rPr>
  </w:style>
  <w:style w:type="table" w:customStyle="1" w:styleId="22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paragraph" w:customStyle="1" w:styleId="224">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2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26">
    <w:name w:val="目录 61"/>
    <w:basedOn w:val="1"/>
    <w:next w:val="1"/>
    <w:semiHidden/>
    <w:qFormat/>
    <w:uiPriority w:val="0"/>
    <w:pPr>
      <w:ind w:left="1050"/>
      <w:jc w:val="left"/>
    </w:pPr>
    <w:rPr>
      <w:szCs w:val="21"/>
    </w:rPr>
  </w:style>
  <w:style w:type="table" w:customStyle="1" w:styleId="22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2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paragraph" w:customStyle="1" w:styleId="229">
    <w:name w:val="正文文本1"/>
    <w:basedOn w:val="1"/>
    <w:next w:val="1"/>
    <w:qFormat/>
    <w:uiPriority w:val="0"/>
    <w:rPr>
      <w:rFonts w:ascii="楷体_GB2312" w:hAnsi="Arial" w:eastAsia="楷体_GB2312"/>
      <w:sz w:val="28"/>
      <w:szCs w:val="28"/>
    </w:rPr>
  </w:style>
  <w:style w:type="character" w:customStyle="1" w:styleId="230">
    <w:name w:val="引用 字符"/>
    <w:link w:val="231"/>
    <w:qFormat/>
    <w:uiPriority w:val="29"/>
    <w:rPr>
      <w:i/>
    </w:rPr>
  </w:style>
  <w:style w:type="paragraph" w:styleId="231">
    <w:name w:val="Quote"/>
    <w:basedOn w:val="1"/>
    <w:next w:val="1"/>
    <w:link w:val="230"/>
    <w:qFormat/>
    <w:uiPriority w:val="29"/>
    <w:pPr>
      <w:ind w:left="720" w:right="720"/>
    </w:pPr>
    <w:rPr>
      <w:i/>
    </w:rPr>
  </w:style>
  <w:style w:type="character" w:customStyle="1" w:styleId="232">
    <w:name w:val="已访问的超链接1"/>
    <w:qFormat/>
    <w:uiPriority w:val="0"/>
    <w:rPr>
      <w:color w:val="800080"/>
      <w:u w:val="single"/>
    </w:rPr>
  </w:style>
  <w:style w:type="table" w:customStyle="1" w:styleId="23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23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character" w:customStyle="1" w:styleId="235">
    <w:name w:val="页眉 字符"/>
    <w:link w:val="31"/>
    <w:qFormat/>
    <w:uiPriority w:val="0"/>
    <w:rPr>
      <w:rFonts w:ascii="Times New Roman" w:hAnsi="Times New Roman" w:eastAsia="宋体" w:cs="Times New Roman"/>
      <w:sz w:val="18"/>
      <w:szCs w:val="18"/>
    </w:rPr>
  </w:style>
  <w:style w:type="table" w:customStyle="1" w:styleId="236">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37">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238">
    <w:name w:val="List Table 1 Light - Accent 1"/>
    <w:qFormat/>
    <w:uiPriority w:val="99"/>
    <w:tblPr>
      <w:tblCellMar>
        <w:top w:w="0" w:type="dxa"/>
        <w:left w:w="0" w:type="dxa"/>
        <w:bottom w:w="0" w:type="dxa"/>
        <w:right w:w="0" w:type="dxa"/>
      </w:tblCellMar>
    </w:tblPr>
  </w:style>
  <w:style w:type="table" w:customStyle="1" w:styleId="239">
    <w:name w:val="List Table 7 Colorful - Accent 2"/>
    <w:qFormat/>
    <w:uiPriority w:val="99"/>
    <w:tblPr>
      <w:tblBorders>
        <w:right w:val="single" w:color="D99695" w:sz="4" w:space="0"/>
      </w:tblBorders>
      <w:tblCellMar>
        <w:top w:w="0" w:type="dxa"/>
        <w:left w:w="0" w:type="dxa"/>
        <w:bottom w:w="0" w:type="dxa"/>
        <w:right w:w="0" w:type="dxa"/>
      </w:tblCellMar>
    </w:tblPr>
  </w:style>
  <w:style w:type="paragraph" w:customStyle="1" w:styleId="240">
    <w:name w:val="Char Char Char Char"/>
    <w:basedOn w:val="15"/>
    <w:qFormat/>
    <w:uiPriority w:val="0"/>
    <w:pPr>
      <w:spacing w:line="360" w:lineRule="auto"/>
    </w:pPr>
    <w:rPr>
      <w:rFonts w:ascii="Tahoma" w:hAnsi="Tahoma"/>
      <w:sz w:val="24"/>
      <w:szCs w:val="24"/>
    </w:rPr>
  </w:style>
  <w:style w:type="table" w:customStyle="1" w:styleId="241">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character" w:customStyle="1" w:styleId="242">
    <w:name w:val="日期 字符"/>
    <w:link w:val="26"/>
    <w:qFormat/>
    <w:uiPriority w:val="0"/>
    <w:rPr>
      <w:rFonts w:ascii="Times New Roman" w:hAnsi="Times New Roman" w:eastAsia="宋体" w:cs="Times New Roman"/>
      <w:sz w:val="24"/>
      <w:szCs w:val="24"/>
    </w:rPr>
  </w:style>
  <w:style w:type="character" w:customStyle="1" w:styleId="243">
    <w:name w:val="标题 6 字符"/>
    <w:link w:val="8"/>
    <w:qFormat/>
    <w:uiPriority w:val="0"/>
    <w:rPr>
      <w:rFonts w:ascii="Arial" w:hAnsi="Arial" w:eastAsia="黑体" w:cs="Times New Roman"/>
      <w:b/>
      <w:bCs/>
      <w:sz w:val="24"/>
      <w:szCs w:val="24"/>
    </w:rPr>
  </w:style>
  <w:style w:type="table" w:customStyle="1" w:styleId="244">
    <w:name w:val="无格式表格 41"/>
    <w:qFormat/>
    <w:uiPriority w:val="99"/>
    <w:tblPr>
      <w:tblCellMar>
        <w:top w:w="0" w:type="dxa"/>
        <w:left w:w="0" w:type="dxa"/>
        <w:bottom w:w="0" w:type="dxa"/>
        <w:right w:w="0" w:type="dxa"/>
      </w:tblCellMar>
    </w:tblPr>
  </w:style>
  <w:style w:type="paragraph" w:customStyle="1" w:styleId="24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table" w:customStyle="1" w:styleId="246">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47">
    <w:name w:val="Lined - Accent"/>
    <w:qFormat/>
    <w:uiPriority w:val="99"/>
    <w:rPr>
      <w:color w:val="404040"/>
    </w:rPr>
    <w:tblPr>
      <w:tblCellMar>
        <w:top w:w="0" w:type="dxa"/>
        <w:left w:w="0" w:type="dxa"/>
        <w:bottom w:w="0" w:type="dxa"/>
        <w:right w:w="0" w:type="dxa"/>
      </w:tblCellMar>
    </w:tblPr>
  </w:style>
  <w:style w:type="paragraph" w:customStyle="1" w:styleId="248">
    <w:name w:val="目录 41"/>
    <w:basedOn w:val="1"/>
    <w:next w:val="1"/>
    <w:semiHidden/>
    <w:qFormat/>
    <w:uiPriority w:val="0"/>
    <w:pPr>
      <w:ind w:left="630"/>
      <w:jc w:val="left"/>
    </w:pPr>
    <w:rPr>
      <w:szCs w:val="21"/>
    </w:rPr>
  </w:style>
  <w:style w:type="table" w:customStyle="1" w:styleId="249">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5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25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52">
    <w:name w:val="List Table 1 Light - Accent 6"/>
    <w:qFormat/>
    <w:uiPriority w:val="99"/>
    <w:tblPr>
      <w:tblCellMar>
        <w:top w:w="0" w:type="dxa"/>
        <w:left w:w="0" w:type="dxa"/>
        <w:bottom w:w="0" w:type="dxa"/>
        <w:right w:w="0" w:type="dxa"/>
      </w:tblCellMar>
    </w:tblPr>
  </w:style>
  <w:style w:type="table" w:customStyle="1" w:styleId="253">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character" w:customStyle="1" w:styleId="254">
    <w:name w:val="font31"/>
    <w:qFormat/>
    <w:uiPriority w:val="0"/>
    <w:rPr>
      <w:rFonts w:hint="eastAsia" w:ascii="宋体" w:hAnsi="宋体" w:eastAsia="宋体" w:cs="宋体"/>
      <w:color w:val="000000"/>
      <w:sz w:val="21"/>
      <w:szCs w:val="21"/>
      <w:u w:val="none"/>
    </w:rPr>
  </w:style>
  <w:style w:type="character" w:customStyle="1" w:styleId="255">
    <w:name w:val="正文文本首行缩进 2 字符"/>
    <w:link w:val="192"/>
    <w:qFormat/>
    <w:uiPriority w:val="0"/>
    <w:rPr>
      <w:rFonts w:ascii="宋体" w:hAnsi="宋体" w:eastAsia="宋体" w:cs="Times New Roman"/>
      <w:szCs w:val="20"/>
    </w:rPr>
  </w:style>
  <w:style w:type="character" w:customStyle="1" w:styleId="256">
    <w:name w:val="Heading 7 Char"/>
    <w:qFormat/>
    <w:uiPriority w:val="9"/>
    <w:rPr>
      <w:rFonts w:ascii="Arial" w:hAnsi="Arial" w:eastAsia="Arial" w:cs="Arial"/>
      <w:b/>
      <w:bCs/>
      <w:i/>
      <w:iCs/>
      <w:sz w:val="22"/>
      <w:szCs w:val="22"/>
    </w:rPr>
  </w:style>
  <w:style w:type="table" w:customStyle="1" w:styleId="25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character" w:customStyle="1" w:styleId="258">
    <w:name w:val="标题 2 字符"/>
    <w:link w:val="3"/>
    <w:qFormat/>
    <w:uiPriority w:val="0"/>
    <w:rPr>
      <w:rFonts w:ascii="Arial" w:hAnsi="Arial" w:eastAsia="幼圆" w:cs="Arial"/>
      <w:b/>
      <w:bCs/>
      <w:sz w:val="44"/>
      <w:szCs w:val="44"/>
    </w:rPr>
  </w:style>
  <w:style w:type="paragraph" w:customStyle="1" w:styleId="259">
    <w:name w:val="TOC 标题1"/>
    <w:unhideWhenUsed/>
    <w:qFormat/>
    <w:uiPriority w:val="39"/>
    <w:rPr>
      <w:rFonts w:ascii="Times New Roman" w:hAnsi="Times New Roman" w:eastAsia="宋体" w:cs="Times New Roman"/>
      <w:lang w:val="en-US" w:eastAsia="zh-CN" w:bidi="ar-SA"/>
    </w:rPr>
  </w:style>
  <w:style w:type="table" w:customStyle="1" w:styleId="260">
    <w:name w:val="Lined - Accent 6"/>
    <w:qFormat/>
    <w:uiPriority w:val="99"/>
    <w:rPr>
      <w:color w:val="404040"/>
    </w:rPr>
    <w:tblPr>
      <w:tblCellMar>
        <w:top w:w="0" w:type="dxa"/>
        <w:left w:w="0" w:type="dxa"/>
        <w:bottom w:w="0" w:type="dxa"/>
        <w:right w:w="0" w:type="dxa"/>
      </w:tblCellMar>
    </w:tblPr>
  </w:style>
  <w:style w:type="table" w:customStyle="1" w:styleId="26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character" w:customStyle="1" w:styleId="262">
    <w:name w:val="Heading 1 Char"/>
    <w:qFormat/>
    <w:uiPriority w:val="9"/>
    <w:rPr>
      <w:rFonts w:ascii="Arial" w:hAnsi="Arial" w:eastAsia="Arial" w:cs="Arial"/>
      <w:sz w:val="40"/>
      <w:szCs w:val="40"/>
    </w:rPr>
  </w:style>
  <w:style w:type="paragraph" w:customStyle="1" w:styleId="26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table" w:customStyle="1" w:styleId="264">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paragraph" w:customStyle="1" w:styleId="265">
    <w:name w:val="font7"/>
    <w:basedOn w:val="1"/>
    <w:qFormat/>
    <w:uiPriority w:val="0"/>
    <w:pPr>
      <w:widowControl/>
      <w:spacing w:before="100" w:beforeAutospacing="1" w:after="100" w:afterAutospacing="1"/>
      <w:jc w:val="left"/>
    </w:pPr>
    <w:rPr>
      <w:rFonts w:hint="eastAsia" w:ascii="宋体" w:hAnsi="宋体"/>
      <w:sz w:val="18"/>
      <w:szCs w:val="18"/>
    </w:rPr>
  </w:style>
  <w:style w:type="table" w:customStyle="1" w:styleId="266">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267">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6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26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27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paragraph" w:customStyle="1" w:styleId="271">
    <w:name w:val="Char Char Char Char Char Char Char Char Char Char"/>
    <w:basedOn w:val="1"/>
    <w:qFormat/>
    <w:uiPriority w:val="0"/>
    <w:pPr>
      <w:spacing w:line="360" w:lineRule="auto"/>
    </w:pPr>
    <w:rPr>
      <w:sz w:val="24"/>
      <w:szCs w:val="20"/>
    </w:rPr>
  </w:style>
  <w:style w:type="character" w:customStyle="1" w:styleId="272">
    <w:name w:val="Heading 3 Char"/>
    <w:qFormat/>
    <w:uiPriority w:val="9"/>
    <w:rPr>
      <w:rFonts w:ascii="Arial" w:hAnsi="Arial" w:eastAsia="Arial" w:cs="Arial"/>
      <w:sz w:val="30"/>
      <w:szCs w:val="30"/>
    </w:rPr>
  </w:style>
  <w:style w:type="table" w:customStyle="1" w:styleId="27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character" w:customStyle="1" w:styleId="274">
    <w:name w:val="Footer Char"/>
    <w:qFormat/>
    <w:uiPriority w:val="99"/>
  </w:style>
  <w:style w:type="paragraph" w:customStyle="1" w:styleId="27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table" w:customStyle="1" w:styleId="27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character" w:customStyle="1" w:styleId="277">
    <w:name w:val="Heading 4 Char"/>
    <w:qFormat/>
    <w:uiPriority w:val="9"/>
    <w:rPr>
      <w:rFonts w:ascii="Arial" w:hAnsi="Arial" w:eastAsia="Arial" w:cs="Arial"/>
      <w:b/>
      <w:bCs/>
      <w:sz w:val="26"/>
      <w:szCs w:val="26"/>
    </w:rPr>
  </w:style>
  <w:style w:type="character" w:customStyle="1" w:styleId="278">
    <w:name w:val="Heading 8 Char"/>
    <w:qFormat/>
    <w:uiPriority w:val="9"/>
    <w:rPr>
      <w:rFonts w:ascii="Arial" w:hAnsi="Arial" w:eastAsia="Arial" w:cs="Arial"/>
      <w:i/>
      <w:iCs/>
      <w:sz w:val="22"/>
      <w:szCs w:val="22"/>
    </w:rPr>
  </w:style>
  <w:style w:type="table" w:customStyle="1" w:styleId="27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character" w:customStyle="1" w:styleId="280">
    <w:name w:val="正文文本 字符"/>
    <w:link w:val="18"/>
    <w:qFormat/>
    <w:uiPriority w:val="0"/>
    <w:rPr>
      <w:rFonts w:ascii="楷体_GB2312" w:hAnsi="Arial" w:eastAsia="楷体_GB2312" w:cs="Times New Roman"/>
      <w:sz w:val="28"/>
      <w:szCs w:val="28"/>
    </w:rPr>
  </w:style>
  <w:style w:type="table" w:customStyle="1" w:styleId="281">
    <w:name w:val="List Table 7 Colorful - Accent 4"/>
    <w:qFormat/>
    <w:uiPriority w:val="99"/>
    <w:tblPr>
      <w:tblBorders>
        <w:right w:val="single" w:color="B2A1C6" w:sz="4" w:space="0"/>
      </w:tblBorders>
      <w:tblCellMar>
        <w:top w:w="0" w:type="dxa"/>
        <w:left w:w="0" w:type="dxa"/>
        <w:bottom w:w="0" w:type="dxa"/>
        <w:right w:w="0" w:type="dxa"/>
      </w:tblCellMar>
    </w:tblPr>
  </w:style>
  <w:style w:type="character" w:customStyle="1" w:styleId="282">
    <w:name w:val="NormalCharacter1"/>
    <w:semiHidden/>
    <w:qFormat/>
    <w:uiPriority w:val="0"/>
    <w:rPr>
      <w:rFonts w:ascii="Arial" w:hAnsi="Arial" w:eastAsia="Arial" w:cs="Arial"/>
      <w:color w:val="000000"/>
      <w:sz w:val="21"/>
      <w:szCs w:val="21"/>
    </w:rPr>
  </w:style>
  <w:style w:type="table" w:customStyle="1" w:styleId="28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paragraph" w:customStyle="1" w:styleId="284">
    <w:name w:val="目录 81"/>
    <w:basedOn w:val="1"/>
    <w:next w:val="1"/>
    <w:semiHidden/>
    <w:qFormat/>
    <w:uiPriority w:val="0"/>
    <w:pPr>
      <w:ind w:left="1470"/>
      <w:jc w:val="left"/>
    </w:pPr>
    <w:rPr>
      <w:szCs w:val="21"/>
    </w:rPr>
  </w:style>
  <w:style w:type="table" w:customStyle="1" w:styleId="285">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6C68C9-DF18-4E5C-BE43-E251219B8ACC}">
  <ds:schemaRefs/>
</ds:datastoreItem>
</file>

<file path=docProps/app.xml><?xml version="1.0" encoding="utf-8"?>
<Properties xmlns="http://schemas.openxmlformats.org/officeDocument/2006/extended-properties" xmlns:vt="http://schemas.openxmlformats.org/officeDocument/2006/docPropsVTypes">
  <Template>Normal</Template>
  <Pages>87</Pages>
  <Words>186</Words>
  <Characters>216</Characters>
  <Lines>432</Lines>
  <Paragraphs>121</Paragraphs>
  <TotalTime>99</TotalTime>
  <ScaleCrop>false</ScaleCrop>
  <LinksUpToDate>false</LinksUpToDate>
  <CharactersWithSpaces>219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2026-10-24T15:39:00Z</dcterms:created>
  <dc:creator>86432</dc:creator>
  <cp:lastModifiedBy>WPS_1724922387</cp:lastModifiedBy>
  <dcterms:modified xsi:type="dcterms:W3CDTF">2026-10-28T06:57:35Z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eyJoZGlkIjoiY2YxOGI3ZmNmNzk2Y2E0NjlkMDAzODVlMDc3YzEyYjciLCJ1c2VySWQiOiIxNjI2OTQwMzcyIn0=</vt:lpwstr>
  </property>
  <property fmtid="{D5CDD505-2E9C-101B-9397-08002B2CF9AE}" pid="3" name="KSOProductBuildVer">
    <vt:lpwstr>2052-12.1.0.29161</vt:lpwstr>
  </property>
  <property fmtid="{D5CDD505-2E9C-101B-9397-08002B2CF9AE}" pid="4" name="ICV">
    <vt:lpwstr>A70DDF45AF4048778118668F04AA49D1_13</vt:lpwstr>
  </property>
</Properties>
</file>