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2D211C">
      <w:pPr>
        <w:widowControl/>
        <w:spacing w:line="520" w:lineRule="atLeast"/>
        <w:rPr>
          <w:rFonts w:ascii="Times New Roman" w:hAnsi="Times New Roman" w:eastAsia="宋体" w:cs="Microsoft New Tai Lue"/>
          <w:szCs w:val="21"/>
          <w:highlight w:val="none"/>
        </w:rPr>
      </w:pPr>
    </w:p>
    <w:p w14:paraId="00BD154D">
      <w:pPr>
        <w:widowControl/>
        <w:spacing w:line="520" w:lineRule="atLeast"/>
        <w:ind w:hanging="210"/>
        <w:jc w:val="left"/>
        <w:rPr>
          <w:rFonts w:ascii="Times New Roman" w:hAnsi="Times New Roman" w:eastAsia="宋体" w:cs="Microsoft New Tai Lue"/>
          <w:szCs w:val="21"/>
          <w:highlight w:val="none"/>
        </w:rPr>
      </w:pPr>
    </w:p>
    <w:p w14:paraId="23110EED">
      <w:pPr>
        <w:widowControl/>
        <w:spacing w:line="520" w:lineRule="atLeast"/>
        <w:ind w:hanging="210"/>
        <w:jc w:val="left"/>
        <w:rPr>
          <w:rFonts w:ascii="Times New Roman" w:hAnsi="Times New Roman" w:eastAsia="宋体" w:cs="Microsoft New Tai Lue"/>
          <w:szCs w:val="21"/>
          <w:highlight w:val="none"/>
        </w:rPr>
      </w:pPr>
    </w:p>
    <w:p w14:paraId="1F04287A">
      <w:pPr>
        <w:widowControl/>
        <w:spacing w:line="520" w:lineRule="atLeast"/>
        <w:ind w:hanging="210"/>
        <w:jc w:val="left"/>
        <w:rPr>
          <w:rFonts w:ascii="Times New Roman" w:hAnsi="Times New Roman" w:eastAsia="宋体" w:cs="Microsoft New Tai Lue"/>
          <w:szCs w:val="21"/>
          <w:highlight w:val="none"/>
        </w:rPr>
      </w:pPr>
    </w:p>
    <w:p w14:paraId="6996B24C">
      <w:pPr>
        <w:spacing w:before="100" w:after="100" w:line="360" w:lineRule="auto"/>
        <w:ind w:left="736" w:hanging="522"/>
        <w:jc w:val="center"/>
        <w:rPr>
          <w:rFonts w:hint="eastAsia" w:ascii="Times New Roman" w:hAnsi="Times New Roman" w:eastAsia="宋体" w:cs="宋体"/>
          <w:b/>
          <w:sz w:val="48"/>
          <w:szCs w:val="48"/>
          <w:highlight w:val="none"/>
          <w:lang w:eastAsia="zh-CN"/>
        </w:rPr>
      </w:pPr>
      <w:r>
        <w:rPr>
          <w:rFonts w:hint="eastAsia" w:cs="宋体"/>
          <w:b/>
          <w:sz w:val="48"/>
          <w:szCs w:val="48"/>
          <w:highlight w:val="none"/>
          <w:lang w:eastAsia="zh-CN"/>
        </w:rPr>
        <w:t>2026年高管中心机关三楼会议系统改造项目</w:t>
      </w:r>
    </w:p>
    <w:p w14:paraId="0047C16D">
      <w:pPr>
        <w:pStyle w:val="55"/>
        <w:rPr>
          <w:rFonts w:ascii="Times New Roman" w:hAnsi="Times New Roman" w:eastAsia="宋体" w:cs="Microsoft New Tai Lue"/>
          <w:b/>
          <w:sz w:val="84"/>
          <w:szCs w:val="84"/>
          <w:highlight w:val="none"/>
        </w:rPr>
      </w:pPr>
    </w:p>
    <w:p w14:paraId="3404594D">
      <w:pPr>
        <w:pStyle w:val="55"/>
        <w:ind w:left="1057" w:hanging="843"/>
        <w:rPr>
          <w:rFonts w:ascii="Times New Roman" w:hAnsi="Times New Roman" w:eastAsia="宋体" w:cs="Microsoft New Tai Lue"/>
          <w:b/>
          <w:sz w:val="84"/>
          <w:szCs w:val="84"/>
          <w:highlight w:val="none"/>
        </w:rPr>
      </w:pPr>
    </w:p>
    <w:p w14:paraId="7F9ED23B">
      <w:pPr>
        <w:pStyle w:val="55"/>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招 标 文 件</w:t>
      </w:r>
    </w:p>
    <w:p w14:paraId="0C2BB120">
      <w:pPr>
        <w:spacing w:line="440" w:lineRule="exact"/>
        <w:ind w:left="1178" w:hanging="964"/>
        <w:jc w:val="center"/>
        <w:rPr>
          <w:rFonts w:ascii="Times New Roman" w:hAnsi="Times New Roman" w:eastAsia="宋体" w:cs="Microsoft New Tai Lue"/>
          <w:b/>
          <w:sz w:val="96"/>
          <w:highlight w:val="none"/>
        </w:rPr>
      </w:pPr>
    </w:p>
    <w:p w14:paraId="3CB15B30">
      <w:pPr>
        <w:spacing w:line="360" w:lineRule="auto"/>
        <w:ind w:left="575" w:hanging="361"/>
        <w:jc w:val="center"/>
        <w:rPr>
          <w:rFonts w:hint="eastAsia" w:ascii="Times New Roman" w:hAnsi="Times New Roman" w:eastAsia="宋体" w:cs="Microsoft New Tai Lue"/>
          <w:b/>
          <w:sz w:val="44"/>
          <w:szCs w:val="44"/>
          <w:highlight w:val="none"/>
          <w:lang w:eastAsia="zh-CN"/>
        </w:rPr>
      </w:pPr>
      <w:r>
        <w:rPr>
          <w:rFonts w:hint="eastAsia" w:ascii="Times New Roman" w:hAnsi="Times New Roman" w:eastAsia="宋体" w:cs="宋体"/>
          <w:b/>
          <w:sz w:val="36"/>
          <w:szCs w:val="36"/>
          <w:highlight w:val="none"/>
        </w:rPr>
        <w:t>项目编号：</w:t>
      </w:r>
      <w:r>
        <w:rPr>
          <w:rFonts w:hint="eastAsia" w:cs="宋体"/>
          <w:b/>
          <w:sz w:val="36"/>
          <w:szCs w:val="36"/>
          <w:highlight w:val="none"/>
          <w:lang w:eastAsia="zh-CN"/>
        </w:rPr>
        <w:t>JSZC-320000-JITC-G2026-0360</w:t>
      </w:r>
    </w:p>
    <w:p w14:paraId="7529EAAF">
      <w:pPr>
        <w:spacing w:line="360" w:lineRule="auto"/>
        <w:ind w:left="534" w:right="640" w:hanging="320"/>
        <w:rPr>
          <w:rFonts w:ascii="Times New Roman" w:hAnsi="Times New Roman" w:eastAsia="宋体" w:cs="Microsoft New Tai Lue"/>
          <w:sz w:val="32"/>
          <w:highlight w:val="none"/>
        </w:rPr>
      </w:pPr>
    </w:p>
    <w:p w14:paraId="16BE75C7">
      <w:pPr>
        <w:spacing w:line="360" w:lineRule="auto"/>
        <w:ind w:left="534" w:right="640" w:hanging="320"/>
        <w:rPr>
          <w:rFonts w:ascii="Times New Roman" w:hAnsi="Times New Roman" w:eastAsia="宋体" w:cs="Microsoft New Tai Lue"/>
          <w:sz w:val="32"/>
          <w:highlight w:val="none"/>
        </w:rPr>
      </w:pPr>
    </w:p>
    <w:p w14:paraId="0C878CBF">
      <w:pPr>
        <w:spacing w:line="360" w:lineRule="auto"/>
        <w:ind w:left="534" w:right="640" w:hanging="320"/>
        <w:rPr>
          <w:rFonts w:ascii="Times New Roman" w:hAnsi="Times New Roman" w:eastAsia="宋体" w:cs="Microsoft New Tai Lue"/>
          <w:sz w:val="32"/>
          <w:highlight w:val="none"/>
        </w:rPr>
      </w:pPr>
    </w:p>
    <w:p w14:paraId="5206EBB8">
      <w:pPr>
        <w:pStyle w:val="247"/>
        <w:ind w:left="214" w:firstLine="640"/>
        <w:rPr>
          <w:rFonts w:ascii="Times New Roman" w:hAnsi="Times New Roman" w:eastAsia="宋体" w:cs="Microsoft New Tai Lue"/>
          <w:sz w:val="32"/>
          <w:highlight w:val="none"/>
        </w:rPr>
      </w:pPr>
    </w:p>
    <w:p w14:paraId="01E9322D">
      <w:pPr>
        <w:pStyle w:val="247"/>
        <w:ind w:left="214" w:firstLine="640"/>
        <w:rPr>
          <w:rFonts w:ascii="Times New Roman" w:hAnsi="Times New Roman" w:eastAsia="宋体" w:cs="Microsoft New Tai Lue"/>
          <w:sz w:val="32"/>
          <w:highlight w:val="none"/>
        </w:rPr>
      </w:pPr>
    </w:p>
    <w:p w14:paraId="1C45D3A8">
      <w:pPr>
        <w:pStyle w:val="247"/>
        <w:ind w:left="214" w:firstLine="0"/>
        <w:rPr>
          <w:rFonts w:ascii="Times New Roman" w:hAnsi="Times New Roman" w:eastAsia="宋体" w:cs="Microsoft New Tai Lue"/>
          <w:sz w:val="32"/>
          <w:szCs w:val="32"/>
          <w:highlight w:val="none"/>
        </w:rPr>
      </w:pPr>
      <w:r>
        <w:rPr>
          <w:rFonts w:ascii="Times New Roman" w:hAnsi="Times New Roman" w:eastAsia="宋体" w:cs="Microsoft New Tai Lue"/>
          <w:sz w:val="32"/>
          <w:szCs w:val="32"/>
          <w:highlight w:val="none"/>
        </w:rPr>
        <w:t xml:space="preserve">    </w:t>
      </w:r>
    </w:p>
    <w:p w14:paraId="282D9991">
      <w:pPr>
        <w:pStyle w:val="247"/>
        <w:ind w:left="214" w:firstLine="640"/>
        <w:rPr>
          <w:rFonts w:ascii="Times New Roman" w:hAnsi="Times New Roman" w:eastAsia="宋体" w:cs="Microsoft New Tai Lue"/>
          <w:sz w:val="32"/>
          <w:szCs w:val="32"/>
          <w:highlight w:val="none"/>
        </w:rPr>
      </w:pPr>
    </w:p>
    <w:p w14:paraId="15D8628A">
      <w:pPr>
        <w:pStyle w:val="247"/>
        <w:ind w:left="214" w:firstLine="640"/>
        <w:rPr>
          <w:rFonts w:ascii="Times New Roman" w:hAnsi="Times New Roman" w:eastAsia="宋体" w:cs="Microsoft New Tai Lue"/>
          <w:sz w:val="32"/>
          <w:szCs w:val="32"/>
          <w:highlight w:val="none"/>
        </w:rPr>
      </w:pPr>
    </w:p>
    <w:p w14:paraId="086FB1A8">
      <w:pPr>
        <w:spacing w:line="360" w:lineRule="auto"/>
        <w:ind w:left="534" w:right="640" w:hanging="320"/>
        <w:rPr>
          <w:rFonts w:ascii="Times New Roman" w:hAnsi="Times New Roman" w:eastAsia="宋体" w:cs="Microsoft New Tai Lue"/>
          <w:sz w:val="32"/>
          <w:highlight w:val="none"/>
        </w:rPr>
      </w:pPr>
    </w:p>
    <w:p w14:paraId="37E5D6F1">
      <w:pPr>
        <w:tabs>
          <w:tab w:val="left" w:pos="360"/>
        </w:tabs>
        <w:spacing w:line="360" w:lineRule="auto"/>
        <w:ind w:left="214" w:firstLine="1606"/>
        <w:jc w:val="left"/>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人：</w:t>
      </w:r>
      <w:r>
        <w:rPr>
          <w:rFonts w:hint="eastAsia" w:ascii="Times New Roman" w:hAnsi="Times New Roman" w:eastAsia="宋体" w:cs="Microsoft New Tai Lue"/>
          <w:b/>
          <w:sz w:val="32"/>
          <w:highlight w:val="none"/>
        </w:rPr>
        <w:t>江苏省高速公路经营管理中心</w:t>
      </w:r>
    </w:p>
    <w:p w14:paraId="6AE98215">
      <w:pPr>
        <w:tabs>
          <w:tab w:val="left" w:pos="360"/>
        </w:tabs>
        <w:spacing w:line="360" w:lineRule="auto"/>
        <w:ind w:left="214" w:firstLine="1606"/>
        <w:jc w:val="left"/>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采购代理机构：江苏省招标中心有限公司</w:t>
      </w:r>
    </w:p>
    <w:p w14:paraId="54764FDA">
      <w:pPr>
        <w:ind w:left="535" w:hanging="321"/>
        <w:jc w:val="center"/>
        <w:rPr>
          <w:rFonts w:ascii="Times New Roman" w:hAnsi="Times New Roman" w:eastAsia="宋体" w:cs="Microsoft New Tai Lue"/>
          <w:highlight w:val="none"/>
          <w:lang w:val="en-US" w:eastAsia="zh-CN"/>
        </w:rPr>
        <w:sectPr>
          <w:headerReference r:id="rId3" w:type="default"/>
          <w:footerReference r:id="rId4" w:type="default"/>
          <w:pgSz w:w="11906" w:h="16838"/>
          <w:pgMar w:top="1270" w:right="1066" w:bottom="1123" w:left="1134" w:header="794" w:footer="992" w:gutter="0"/>
          <w:pgNumType w:start="1"/>
          <w:cols w:space="1701" w:num="1"/>
          <w:docGrid w:linePitch="360" w:charSpace="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年</w:t>
      </w:r>
      <w:r>
        <w:rPr>
          <w:rFonts w:hint="eastAsia" w:ascii="Times New Roman" w:hAnsi="Times New Roman" w:eastAsia="宋体" w:cs="Microsoft New Tai Lue"/>
          <w:b/>
          <w:sz w:val="32"/>
          <w:highlight w:val="none"/>
        </w:rPr>
        <w:t xml:space="preserve"> </w:t>
      </w:r>
      <w:r>
        <w:rPr>
          <w:rFonts w:hint="eastAsia" w:cs="Microsoft New Tai Lue"/>
          <w:b/>
          <w:sz w:val="32"/>
          <w:highlight w:val="none"/>
          <w:lang w:val="en-US" w:eastAsia="zh-CN"/>
        </w:rPr>
        <w:t>十月</w:t>
      </w:r>
    </w:p>
    <w:p w14:paraId="24A6D77A">
      <w:pPr>
        <w:spacing w:line="500" w:lineRule="exact"/>
        <w:jc w:val="center"/>
        <w:rPr>
          <w:rFonts w:ascii="Times New Roman" w:hAnsi="Times New Roman" w:eastAsia="宋体" w:cs="Microsoft New Tai Lue"/>
          <w:b/>
          <w:sz w:val="44"/>
          <w:szCs w:val="44"/>
          <w:highlight w:val="none"/>
        </w:rPr>
      </w:pPr>
      <w:bookmarkStart w:id="0" w:name="_Toc531620161"/>
      <w:bookmarkStart w:id="1" w:name="_Toc80264696"/>
      <w:r>
        <w:rPr>
          <w:rFonts w:ascii="Times New Roman" w:hAnsi="Times New Roman" w:eastAsia="宋体" w:cs="Microsoft New Tai Lue"/>
          <w:b/>
          <w:sz w:val="44"/>
          <w:szCs w:val="44"/>
          <w:highlight w:val="none"/>
        </w:rPr>
        <w:t>目   录</w:t>
      </w:r>
    </w:p>
    <w:bookmarkEnd w:id="0"/>
    <w:bookmarkEnd w:id="1"/>
    <w:p w14:paraId="53C58758">
      <w:pPr>
        <w:pStyle w:val="22"/>
        <w:keepNext w:val="0"/>
        <w:keepLines w:val="0"/>
        <w:pageBreakBefore w:val="0"/>
        <w:widowControl w:val="0"/>
        <w:tabs>
          <w:tab w:val="right" w:leader="dot" w:pos="9710"/>
        </w:tabs>
        <w:kinsoku/>
        <w:wordWrap/>
        <w:overflowPunct/>
        <w:topLinePunct w:val="0"/>
        <w:autoSpaceDE/>
        <w:autoSpaceDN/>
        <w:bidi w:val="0"/>
        <w:adjustRightInd/>
        <w:snapToGrid/>
        <w:spacing w:line="360" w:lineRule="auto"/>
        <w:textAlignment w:val="auto"/>
        <w:rPr>
          <w:rFonts w:hint="eastAsia" w:ascii="宋体" w:hAnsi="宋体" w:eastAsia="宋体" w:cs="宋体"/>
          <w:sz w:val="30"/>
          <w:szCs w:val="30"/>
          <w:highlight w:val="none"/>
        </w:rPr>
      </w:pPr>
      <w:r>
        <w:rPr>
          <w:rFonts w:hint="eastAsia" w:ascii="宋体" w:hAnsi="宋体" w:eastAsia="宋体" w:cs="宋体"/>
          <w:b/>
          <w:sz w:val="30"/>
          <w:szCs w:val="30"/>
          <w:highlight w:val="none"/>
        </w:rPr>
        <w:fldChar w:fldCharType="begin"/>
      </w:r>
      <w:r>
        <w:rPr>
          <w:rFonts w:hint="eastAsia" w:ascii="宋体" w:hAnsi="宋体" w:eastAsia="宋体" w:cs="宋体"/>
          <w:b/>
          <w:sz w:val="30"/>
          <w:szCs w:val="30"/>
          <w:highlight w:val="none"/>
        </w:rPr>
        <w:instrText xml:space="preserve">TOC \o "1-1" \h \u </w:instrText>
      </w:r>
      <w:r>
        <w:rPr>
          <w:rFonts w:hint="eastAsia" w:ascii="宋体" w:hAnsi="宋体" w:eastAsia="宋体" w:cs="宋体"/>
          <w:b/>
          <w:sz w:val="30"/>
          <w:szCs w:val="30"/>
          <w:highlight w:val="none"/>
        </w:rPr>
        <w:fldChar w:fldCharType="separate"/>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_Toc32070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 xml:space="preserve">第一章 </w:t>
      </w:r>
      <w:r>
        <w:rPr>
          <w:rFonts w:hint="eastAsia" w:ascii="宋体" w:hAnsi="宋体" w:eastAsia="宋体" w:cs="宋体"/>
          <w:sz w:val="30"/>
          <w:szCs w:val="30"/>
          <w:highlight w:val="none"/>
        </w:rPr>
        <w:t>招标公告</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_Toc32070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3</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14:paraId="1C899924">
      <w:pPr>
        <w:pStyle w:val="22"/>
        <w:keepNext w:val="0"/>
        <w:keepLines w:val="0"/>
        <w:pageBreakBefore w:val="0"/>
        <w:widowControl w:val="0"/>
        <w:tabs>
          <w:tab w:val="right" w:leader="dot" w:pos="9710"/>
        </w:tabs>
        <w:kinsoku/>
        <w:wordWrap/>
        <w:overflowPunct/>
        <w:topLinePunct w:val="0"/>
        <w:autoSpaceDE/>
        <w:autoSpaceDN/>
        <w:bidi w:val="0"/>
        <w:adjustRightInd/>
        <w:snapToGrid/>
        <w:spacing w:line="360" w:lineRule="auto"/>
        <w:textAlignment w:val="auto"/>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_Toc5911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第二章 投标人须知</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_Toc5911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7</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14:paraId="2C58796A">
      <w:pPr>
        <w:pStyle w:val="22"/>
        <w:keepNext w:val="0"/>
        <w:keepLines w:val="0"/>
        <w:pageBreakBefore w:val="0"/>
        <w:widowControl w:val="0"/>
        <w:tabs>
          <w:tab w:val="right" w:leader="dot" w:pos="9710"/>
        </w:tabs>
        <w:kinsoku/>
        <w:wordWrap/>
        <w:overflowPunct/>
        <w:topLinePunct w:val="0"/>
        <w:autoSpaceDE/>
        <w:autoSpaceDN/>
        <w:bidi w:val="0"/>
        <w:adjustRightInd/>
        <w:snapToGrid/>
        <w:spacing w:line="360" w:lineRule="auto"/>
        <w:textAlignment w:val="auto"/>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_Toc30370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第三章 </w:t>
      </w:r>
      <w:r>
        <w:rPr>
          <w:rFonts w:hint="eastAsia" w:ascii="宋体" w:hAnsi="宋体" w:eastAsia="宋体" w:cs="宋体"/>
          <w:sz w:val="30"/>
          <w:szCs w:val="30"/>
          <w:highlight w:val="none"/>
          <w:lang w:val="zh-CN"/>
        </w:rPr>
        <w:t>合同</w:t>
      </w:r>
      <w:r>
        <w:rPr>
          <w:rFonts w:hint="eastAsia" w:ascii="宋体" w:hAnsi="宋体" w:eastAsia="宋体" w:cs="宋体"/>
          <w:sz w:val="30"/>
          <w:szCs w:val="30"/>
          <w:highlight w:val="none"/>
          <w:lang w:val="en-US" w:eastAsia="zh-CN"/>
        </w:rPr>
        <w:t>协议书</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_Toc30370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26</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14:paraId="0EB789B9">
      <w:pPr>
        <w:pStyle w:val="22"/>
        <w:keepNext w:val="0"/>
        <w:keepLines w:val="0"/>
        <w:pageBreakBefore w:val="0"/>
        <w:widowControl w:val="0"/>
        <w:tabs>
          <w:tab w:val="right" w:leader="dot" w:pos="9710"/>
        </w:tabs>
        <w:kinsoku/>
        <w:wordWrap/>
        <w:overflowPunct/>
        <w:topLinePunct w:val="0"/>
        <w:autoSpaceDE/>
        <w:autoSpaceDN/>
        <w:bidi w:val="0"/>
        <w:adjustRightInd/>
        <w:snapToGrid/>
        <w:spacing w:line="360" w:lineRule="auto"/>
        <w:textAlignment w:val="auto"/>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_Toc5307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第四章 采购需求</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_Toc5307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87</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14:paraId="2E67D13E">
      <w:pPr>
        <w:pStyle w:val="22"/>
        <w:keepNext w:val="0"/>
        <w:keepLines w:val="0"/>
        <w:pageBreakBefore w:val="0"/>
        <w:widowControl w:val="0"/>
        <w:tabs>
          <w:tab w:val="right" w:leader="dot" w:pos="9710"/>
        </w:tabs>
        <w:kinsoku/>
        <w:wordWrap/>
        <w:overflowPunct/>
        <w:topLinePunct w:val="0"/>
        <w:autoSpaceDE/>
        <w:autoSpaceDN/>
        <w:bidi w:val="0"/>
        <w:adjustRightInd/>
        <w:snapToGrid/>
        <w:spacing w:line="360" w:lineRule="auto"/>
        <w:textAlignment w:val="auto"/>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_Toc31030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 xml:space="preserve">第五章 </w:t>
      </w:r>
      <w:r>
        <w:rPr>
          <w:rFonts w:hint="eastAsia" w:ascii="宋体" w:hAnsi="宋体" w:eastAsia="宋体" w:cs="宋体"/>
          <w:sz w:val="30"/>
          <w:szCs w:val="30"/>
          <w:highlight w:val="none"/>
          <w:lang w:val="zh-CN"/>
        </w:rPr>
        <w:t>评标方法与评标标准</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_Toc31030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90</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14:paraId="75721236">
      <w:pPr>
        <w:pStyle w:val="22"/>
        <w:keepNext w:val="0"/>
        <w:keepLines w:val="0"/>
        <w:pageBreakBefore w:val="0"/>
        <w:widowControl w:val="0"/>
        <w:tabs>
          <w:tab w:val="right" w:leader="dot" w:pos="9710"/>
        </w:tabs>
        <w:kinsoku/>
        <w:wordWrap/>
        <w:overflowPunct/>
        <w:topLinePunct w:val="0"/>
        <w:autoSpaceDE/>
        <w:autoSpaceDN/>
        <w:bidi w:val="0"/>
        <w:adjustRightInd/>
        <w:snapToGrid/>
        <w:spacing w:line="360" w:lineRule="auto"/>
        <w:textAlignment w:val="auto"/>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_Toc28832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第六章 投标文件格式</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_Toc28832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95</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14:paraId="52F150F0">
      <w:pPr>
        <w:pStyle w:val="64"/>
        <w:keepNext w:val="0"/>
        <w:keepLines w:val="0"/>
        <w:pageBreakBefore w:val="0"/>
        <w:widowControl w:val="0"/>
        <w:tabs>
          <w:tab w:val="right" w:leader="dot" w:pos="8834"/>
        </w:tabs>
        <w:kinsoku/>
        <w:wordWrap/>
        <w:overflowPunct/>
        <w:topLinePunct w:val="0"/>
        <w:autoSpaceDE/>
        <w:autoSpaceDN/>
        <w:bidi w:val="0"/>
        <w:adjustRightInd/>
        <w:snapToGrid/>
        <w:spacing w:line="360" w:lineRule="auto"/>
        <w:ind w:left="454" w:hanging="240"/>
        <w:textAlignment w:val="auto"/>
        <w:rPr>
          <w:rFonts w:hint="eastAsia" w:ascii="Times New Roman" w:hAnsi="Times New Roman" w:eastAsia="宋体"/>
          <w:b/>
          <w:sz w:val="21"/>
          <w:szCs w:val="22"/>
          <w:highlight w:val="none"/>
        </w:rPr>
      </w:pPr>
      <w:r>
        <w:rPr>
          <w:rFonts w:hint="eastAsia" w:ascii="宋体" w:hAnsi="宋体" w:eastAsia="宋体" w:cs="宋体"/>
          <w:sz w:val="30"/>
          <w:szCs w:val="30"/>
          <w:highlight w:val="none"/>
        </w:rPr>
        <w:fldChar w:fldCharType="end"/>
      </w:r>
    </w:p>
    <w:p w14:paraId="00EB1C50">
      <w:pPr>
        <w:pStyle w:val="77"/>
        <w:numPr>
          <w:ilvl w:val="0"/>
          <w:numId w:val="2"/>
        </w:numPr>
        <w:ind w:left="535" w:hanging="321"/>
        <w:rPr>
          <w:rFonts w:ascii="Times New Roman" w:hAnsi="Times New Roman" w:eastAsia="宋体" w:cs="Microsoft New Tai Lue"/>
          <w:highlight w:val="none"/>
        </w:rPr>
        <w:sectPr>
          <w:headerReference r:id="rId5" w:type="default"/>
          <w:footerReference r:id="rId6" w:type="default"/>
          <w:pgSz w:w="11910" w:h="16840"/>
          <w:pgMar w:top="1270" w:right="1066" w:bottom="1123" w:left="1134" w:header="794" w:footer="1587" w:gutter="0"/>
          <w:cols w:space="1701" w:num="1"/>
          <w:docGrid w:linePitch="360" w:charSpace="0"/>
        </w:sectPr>
      </w:pPr>
      <w:bookmarkStart w:id="2" w:name="_Toc80264697"/>
      <w:bookmarkStart w:id="3" w:name="_Toc80792688"/>
    </w:p>
    <w:p w14:paraId="7AD9C80C">
      <w:pPr>
        <w:pStyle w:val="77"/>
        <w:rPr>
          <w:rFonts w:ascii="Times New Roman" w:hAnsi="Times New Roman" w:eastAsia="宋体" w:cs="Microsoft New Tai Lue"/>
          <w:highlight w:val="none"/>
        </w:rPr>
      </w:pPr>
      <w:bookmarkStart w:id="4" w:name="_Toc1477149056"/>
      <w:bookmarkStart w:id="5" w:name="_Toc32070"/>
      <w:r>
        <w:rPr>
          <w:rFonts w:hint="eastAsia" w:ascii="Times New Roman" w:hAnsi="Times New Roman" w:eastAsia="宋体" w:cs="Microsoft New Tai Lue"/>
          <w:highlight w:val="none"/>
          <w:lang w:val="en-US" w:eastAsia="zh-CN"/>
        </w:rPr>
        <w:t xml:space="preserve">第一章 </w:t>
      </w:r>
      <w:r>
        <w:rPr>
          <w:rFonts w:hint="eastAsia" w:ascii="Times New Roman" w:hAnsi="Times New Roman" w:eastAsia="宋体" w:cs="Microsoft New Tai Lue"/>
          <w:highlight w:val="none"/>
        </w:rPr>
        <w:t>招标公告</w:t>
      </w:r>
      <w:bookmarkEnd w:id="4"/>
      <w:bookmarkEnd w:id="5"/>
    </w:p>
    <w:p w14:paraId="3979640E">
      <w:pPr>
        <w:pBdr>
          <w:top w:val="single" w:color="000000" w:sz="4" w:space="1"/>
          <w:left w:val="single" w:color="000000" w:sz="4" w:space="4"/>
          <w:bottom w:val="single" w:color="000000" w:sz="4" w:space="1"/>
          <w:right w:val="single" w:color="000000" w:sz="4" w:space="4"/>
        </w:pBdr>
        <w:spacing w:line="400" w:lineRule="exact"/>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项目概况</w:t>
      </w:r>
    </w:p>
    <w:p w14:paraId="52909B4F">
      <w:pPr>
        <w:pBdr>
          <w:top w:val="single" w:color="000000" w:sz="4" w:space="1"/>
          <w:left w:val="single" w:color="000000" w:sz="4" w:space="4"/>
          <w:bottom w:val="single" w:color="000000" w:sz="4" w:space="1"/>
          <w:right w:val="single" w:color="000000" w:sz="4" w:space="4"/>
        </w:pBdr>
        <w:spacing w:line="400" w:lineRule="exact"/>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u w:val="single"/>
        </w:rPr>
        <w:t xml:space="preserve"> </w:t>
      </w:r>
      <w:r>
        <w:rPr>
          <w:rFonts w:hint="eastAsia" w:cs="Microsoft New Tai Lue"/>
          <w:bCs/>
          <w:szCs w:val="21"/>
          <w:highlight w:val="none"/>
          <w:u w:val="single"/>
          <w:lang w:eastAsia="zh-CN"/>
        </w:rPr>
        <w:t>2026年高管中心机关三楼会议系统改造项目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项目的潜在投标人应在</w:t>
      </w: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rPr>
        <w:t>江苏政府采购网</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年</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11</w:t>
      </w:r>
      <w:r>
        <w:rPr>
          <w:rFonts w:ascii="Times New Roman" w:hAnsi="Times New Roman" w:eastAsia="宋体" w:cs="Microsoft New Tai Lue"/>
          <w:b/>
          <w:bCs w:val="0"/>
          <w:szCs w:val="21"/>
          <w:highlight w:val="none"/>
        </w:rPr>
        <w:t>月</w:t>
      </w:r>
      <w:r>
        <w:rPr>
          <w:rFonts w:hint="eastAsia" w:cs="Microsoft New Tai Lue"/>
          <w:b/>
          <w:bCs w:val="0"/>
          <w:szCs w:val="21"/>
          <w:highlight w:val="none"/>
          <w:u w:val="single"/>
          <w:lang w:val="en-US" w:eastAsia="zh-CN"/>
        </w:rPr>
        <w:t xml:space="preserve">  2 </w:t>
      </w:r>
      <w:r>
        <w:rPr>
          <w:rFonts w:ascii="Times New Roman" w:hAnsi="Times New Roman" w:eastAsia="宋体" w:cs="Microsoft New Tai Lue"/>
          <w:b/>
          <w:bCs w:val="0"/>
          <w:szCs w:val="21"/>
          <w:highlight w:val="none"/>
        </w:rPr>
        <w:t>日</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0</w:t>
      </w:r>
      <w:r>
        <w:rPr>
          <w:rFonts w:hint="eastAsia" w:cs="Microsoft New Tai Lue"/>
          <w:b/>
          <w:bCs w:val="0"/>
          <w:szCs w:val="21"/>
          <w:highlight w:val="none"/>
          <w:u w:val="single"/>
          <w:lang w:val="en-US" w:eastAsia="zh-CN"/>
        </w:rPr>
        <w:t>9</w:t>
      </w:r>
      <w:r>
        <w:rPr>
          <w:rFonts w:hint="eastAsia" w:ascii="Times New Roman" w:hAnsi="Times New Roman" w:eastAsia="宋体" w:cs="Microsoft New Tai Lue"/>
          <w:b/>
          <w:bCs w:val="0"/>
          <w:szCs w:val="21"/>
          <w:highlight w:val="none"/>
          <w:lang w:val="en-US" w:eastAsia="zh-CN"/>
        </w:rPr>
        <w:t>时</w:t>
      </w:r>
      <w:r>
        <w:rPr>
          <w:rFonts w:ascii="Times New Roman" w:hAnsi="Times New Roman" w:eastAsia="宋体" w:cs="Microsoft New Tai Lue"/>
          <w:b/>
          <w:bCs w:val="0"/>
          <w:szCs w:val="21"/>
          <w:highlight w:val="none"/>
          <w:u w:val="single"/>
        </w:rPr>
        <w:t xml:space="preserve"> </w:t>
      </w:r>
      <w:r>
        <w:rPr>
          <w:rFonts w:hint="eastAsia" w:cs="Microsoft New Tai Lue"/>
          <w:b/>
          <w:bCs w:val="0"/>
          <w:szCs w:val="21"/>
          <w:highlight w:val="none"/>
          <w:u w:val="single"/>
          <w:lang w:val="en-US" w:eastAsia="zh-CN"/>
        </w:rPr>
        <w:t>3</w:t>
      </w:r>
      <w:r>
        <w:rPr>
          <w:rFonts w:hint="eastAsia" w:ascii="Times New Roman" w:hAnsi="Times New Roman" w:eastAsia="宋体" w:cs="Microsoft New Tai Lue"/>
          <w:b/>
          <w:bCs w:val="0"/>
          <w:szCs w:val="21"/>
          <w:highlight w:val="none"/>
          <w:u w:val="single"/>
          <w:lang w:val="en-US" w:eastAsia="zh-CN"/>
        </w:rPr>
        <w:t>0</w:t>
      </w:r>
      <w:r>
        <w:rPr>
          <w:rFonts w:ascii="Times New Roman" w:hAnsi="Times New Roman" w:eastAsia="宋体" w:cs="Microsoft New Tai Lue"/>
          <w:b/>
          <w:bCs w:val="0"/>
          <w:szCs w:val="21"/>
          <w:highlight w:val="none"/>
          <w:u w:val="single"/>
        </w:rPr>
        <w:t xml:space="preserve"> 分</w:t>
      </w:r>
      <w:r>
        <w:rPr>
          <w:rFonts w:ascii="Times New Roman" w:hAnsi="Times New Roman" w:eastAsia="宋体" w:cs="Microsoft New Tai Lue"/>
          <w:b/>
          <w:bCs w:val="0"/>
          <w:szCs w:val="21"/>
          <w:highlight w:val="none"/>
        </w:rPr>
        <w:t>（北京时间</w:t>
      </w:r>
      <w:r>
        <w:rPr>
          <w:rFonts w:hint="eastAsia" w:ascii="Times New Roman" w:hAnsi="Times New Roman" w:eastAsia="宋体" w:cs="Microsoft New Tai Lue"/>
          <w:b/>
          <w:bCs w:val="0"/>
          <w:szCs w:val="21"/>
          <w:highlight w:val="none"/>
          <w:lang w:eastAsia="zh-CN"/>
        </w:rPr>
        <w:t>，</w:t>
      </w:r>
      <w:r>
        <w:rPr>
          <w:rFonts w:hint="eastAsia" w:ascii="Times New Roman" w:hAnsi="Times New Roman" w:eastAsia="宋体" w:cs="Microsoft New Tai Lue"/>
          <w:b/>
          <w:bCs w:val="0"/>
          <w:szCs w:val="21"/>
          <w:highlight w:val="none"/>
          <w:lang w:val="en-US" w:eastAsia="zh-CN"/>
        </w:rPr>
        <w:t>下同</w:t>
      </w:r>
      <w:r>
        <w:rPr>
          <w:rFonts w:ascii="Times New Roman" w:hAnsi="Times New Roman" w:eastAsia="宋体" w:cs="Microsoft New Tai Lue"/>
          <w:b/>
          <w:bCs w:val="0"/>
          <w:szCs w:val="21"/>
          <w:highlight w:val="none"/>
        </w:rPr>
        <w:t>）</w:t>
      </w:r>
      <w:r>
        <w:rPr>
          <w:rFonts w:ascii="Times New Roman" w:hAnsi="Times New Roman" w:eastAsia="宋体" w:cs="Microsoft New Tai Lue"/>
          <w:bCs/>
          <w:szCs w:val="21"/>
          <w:highlight w:val="none"/>
        </w:rPr>
        <w:t>前递交投标文件。</w:t>
      </w:r>
    </w:p>
    <w:p w14:paraId="4954147D">
      <w:pPr>
        <w:spacing w:line="400" w:lineRule="exact"/>
        <w:ind w:left="425" w:hanging="211"/>
        <w:rPr>
          <w:rFonts w:ascii="Times New Roman" w:hAnsi="Times New Roman" w:eastAsia="宋体" w:cs="Microsoft New Tai Lue"/>
          <w:b/>
          <w:bCs/>
          <w:szCs w:val="44"/>
          <w:highlight w:val="none"/>
        </w:rPr>
      </w:pPr>
      <w:bookmarkStart w:id="6" w:name="_Toc93909065"/>
      <w:bookmarkStart w:id="7" w:name="_Toc96347851"/>
      <w:r>
        <w:rPr>
          <w:rFonts w:ascii="Times New Roman" w:hAnsi="Times New Roman" w:eastAsia="宋体" w:cs="Microsoft New Tai Lue"/>
          <w:b/>
          <w:bCs/>
          <w:szCs w:val="44"/>
          <w:highlight w:val="none"/>
        </w:rPr>
        <w:t>一、项目</w:t>
      </w:r>
      <w:bookmarkEnd w:id="2"/>
      <w:r>
        <w:rPr>
          <w:rFonts w:ascii="Times New Roman" w:hAnsi="Times New Roman" w:eastAsia="宋体" w:cs="Microsoft New Tai Lue"/>
          <w:b/>
          <w:bCs/>
          <w:szCs w:val="44"/>
          <w:highlight w:val="none"/>
        </w:rPr>
        <w:t>基本情况</w:t>
      </w:r>
      <w:bookmarkEnd w:id="3"/>
      <w:bookmarkEnd w:id="6"/>
      <w:bookmarkEnd w:id="7"/>
    </w:p>
    <w:p w14:paraId="1477D1BE">
      <w:pPr>
        <w:spacing w:line="400" w:lineRule="exact"/>
        <w:ind w:left="214" w:firstLine="420"/>
        <w:rPr>
          <w:rFonts w:hint="eastAsia" w:cs="Microsoft New Tai Lue"/>
          <w:bCs/>
          <w:szCs w:val="21"/>
          <w:highlight w:val="none"/>
          <w:lang w:eastAsia="zh-CN"/>
        </w:rPr>
      </w:pPr>
      <w:r>
        <w:rPr>
          <w:rFonts w:hint="eastAsia" w:ascii="Times New Roman" w:hAnsi="Times New Roman" w:eastAsia="宋体" w:cs="Microsoft New Tai Lue"/>
          <w:bCs/>
          <w:szCs w:val="21"/>
          <w:highlight w:val="none"/>
        </w:rPr>
        <w:t>1.1项目编号：</w:t>
      </w:r>
      <w:r>
        <w:rPr>
          <w:rFonts w:hint="eastAsia" w:cs="Microsoft New Tai Lue"/>
          <w:bCs/>
          <w:szCs w:val="21"/>
          <w:highlight w:val="none"/>
          <w:lang w:eastAsia="zh-CN"/>
        </w:rPr>
        <w:t>JSZC-320000-JITC-G2026-0360</w:t>
      </w:r>
    </w:p>
    <w:p w14:paraId="246ABCA8">
      <w:pPr>
        <w:spacing w:line="400" w:lineRule="exact"/>
        <w:ind w:left="214" w:firstLine="420"/>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1.2项目名称：</w:t>
      </w:r>
      <w:r>
        <w:rPr>
          <w:rFonts w:hint="eastAsia" w:cs="Microsoft New Tai Lue"/>
          <w:bCs/>
          <w:szCs w:val="21"/>
          <w:highlight w:val="none"/>
          <w:lang w:eastAsia="zh-CN"/>
        </w:rPr>
        <w:t>2026年高管中心机关三楼会议系统改造项目</w:t>
      </w:r>
    </w:p>
    <w:p w14:paraId="4C52E080">
      <w:pPr>
        <w:spacing w:line="400" w:lineRule="exact"/>
        <w:ind w:left="214" w:firstLine="420"/>
        <w:rPr>
          <w:rFonts w:hint="eastAsia" w:ascii="Times New Roman" w:hAnsi="Times New Roman" w:eastAsia="宋体" w:cs="Microsoft New Tai Lue"/>
          <w:bCs/>
          <w:szCs w:val="21"/>
          <w:highlight w:val="none"/>
          <w:lang w:val="en-US" w:eastAsia="zh-CN"/>
        </w:rPr>
      </w:pPr>
      <w:r>
        <w:rPr>
          <w:rFonts w:hint="eastAsia" w:ascii="Times New Roman" w:hAnsi="Times New Roman" w:eastAsia="宋体" w:cs="Microsoft New Tai Lue"/>
          <w:bCs/>
          <w:szCs w:val="21"/>
          <w:highlight w:val="none"/>
        </w:rPr>
        <w:t>1.3预算金额：148.88</w:t>
      </w:r>
      <w:r>
        <w:rPr>
          <w:rFonts w:hint="eastAsia" w:ascii="Times New Roman" w:hAnsi="Times New Roman" w:eastAsia="宋体" w:cs="Microsoft New Tai Lue"/>
          <w:bCs/>
          <w:szCs w:val="21"/>
          <w:highlight w:val="none"/>
          <w:lang w:val="en-US" w:eastAsia="zh-CN"/>
        </w:rPr>
        <w:t>万</w:t>
      </w:r>
      <w:r>
        <w:rPr>
          <w:rFonts w:hint="eastAsia" w:ascii="Times New Roman" w:hAnsi="Times New Roman" w:eastAsia="宋体" w:cs="Microsoft New Tai Lue"/>
          <w:bCs/>
          <w:szCs w:val="21"/>
          <w:highlight w:val="none"/>
        </w:rPr>
        <w:t>元</w:t>
      </w:r>
    </w:p>
    <w:p w14:paraId="65BDC707">
      <w:pPr>
        <w:spacing w:line="400" w:lineRule="exact"/>
        <w:ind w:left="214" w:firstLine="420"/>
        <w:rPr>
          <w:rFonts w:hint="eastAsia" w:ascii="Times New Roman" w:hAnsi="Times New Roman" w:eastAsia="宋体" w:cs="宋体"/>
          <w:bCs/>
          <w:szCs w:val="21"/>
          <w:highlight w:val="none"/>
        </w:rPr>
      </w:pPr>
      <w:r>
        <w:rPr>
          <w:rFonts w:hint="eastAsia" w:ascii="Times New Roman" w:hAnsi="Times New Roman" w:eastAsia="宋体" w:cs="Microsoft New Tai Lue"/>
          <w:bCs/>
          <w:szCs w:val="21"/>
          <w:highlight w:val="none"/>
        </w:rPr>
        <w:t>1.4最高</w:t>
      </w:r>
      <w:r>
        <w:rPr>
          <w:rFonts w:hint="eastAsia" w:cs="Microsoft New Tai Lue"/>
          <w:bCs/>
          <w:szCs w:val="21"/>
          <w:highlight w:val="none"/>
          <w:lang w:val="en-US" w:eastAsia="zh-CN"/>
        </w:rPr>
        <w:t>投标</w:t>
      </w:r>
      <w:r>
        <w:rPr>
          <w:rFonts w:hint="eastAsia" w:ascii="Times New Roman" w:hAnsi="Times New Roman" w:eastAsia="宋体" w:cs="Microsoft New Tai Lue"/>
          <w:bCs/>
          <w:szCs w:val="21"/>
          <w:highlight w:val="none"/>
        </w:rPr>
        <w:t>限价：</w:t>
      </w:r>
      <w:r>
        <w:rPr>
          <w:rFonts w:hint="eastAsia" w:ascii="Times New Roman" w:hAnsi="Times New Roman" w:eastAsia="宋体"/>
          <w:highlight w:val="none"/>
        </w:rPr>
        <w:t>本</w:t>
      </w:r>
      <w:r>
        <w:rPr>
          <w:rFonts w:hint="eastAsia"/>
          <w:highlight w:val="none"/>
          <w:lang w:val="en-US" w:eastAsia="zh-CN"/>
        </w:rPr>
        <w:t>项目</w:t>
      </w:r>
      <w:r>
        <w:rPr>
          <w:rFonts w:hint="eastAsia" w:ascii="Times New Roman" w:hAnsi="Times New Roman" w:eastAsia="宋体"/>
          <w:highlight w:val="none"/>
          <w:lang w:val="en-US" w:eastAsia="zh-CN"/>
        </w:rPr>
        <w:t>最高限价为</w:t>
      </w:r>
      <w:r>
        <w:rPr>
          <w:rFonts w:hint="eastAsia" w:ascii="宋体" w:hAnsi="宋体" w:cs="宋体"/>
          <w:b/>
          <w:szCs w:val="21"/>
          <w:highlight w:val="none"/>
          <w:lang w:val="en-US" w:eastAsia="zh-CN"/>
        </w:rPr>
        <w:t>1409363.57</w:t>
      </w:r>
      <w:r>
        <w:rPr>
          <w:rFonts w:hint="eastAsia" w:ascii="宋体" w:hAnsi="宋体" w:eastAsia="宋体" w:cs="宋体"/>
          <w:b/>
          <w:szCs w:val="21"/>
          <w:highlight w:val="none"/>
          <w:lang w:val="en-US" w:eastAsia="zh-CN"/>
        </w:rPr>
        <w:t>元</w:t>
      </w:r>
      <w:r>
        <w:rPr>
          <w:rFonts w:hint="eastAsia" w:ascii="Times New Roman" w:hAnsi="Times New Roman" w:eastAsia="宋体"/>
          <w:highlight w:val="none"/>
          <w:lang w:eastAsia="zh-CN"/>
        </w:rPr>
        <w:t>，</w:t>
      </w:r>
      <w:r>
        <w:rPr>
          <w:rFonts w:hint="eastAsia" w:ascii="Times New Roman" w:hAnsi="Times New Roman" w:eastAsia="宋体"/>
          <w:highlight w:val="none"/>
        </w:rPr>
        <w:t>供应商投标报价不得超过上述限价金额，否则将作无效标处理</w:t>
      </w:r>
      <w:r>
        <w:rPr>
          <w:rFonts w:hint="eastAsia"/>
          <w:highlight w:val="none"/>
          <w:lang w:eastAsia="zh-CN"/>
        </w:rPr>
        <w:t>。</w:t>
      </w:r>
    </w:p>
    <w:p w14:paraId="1A7CA428">
      <w:pPr>
        <w:spacing w:line="400" w:lineRule="exact"/>
        <w:ind w:left="214" w:firstLine="420"/>
        <w:rPr>
          <w:rFonts w:ascii="Times New Roman" w:hAnsi="Times New Roman" w:eastAsia="宋体"/>
          <w:highlight w:val="none"/>
        </w:rPr>
      </w:pPr>
      <w:r>
        <w:rPr>
          <w:rFonts w:hint="eastAsia" w:ascii="Times New Roman" w:hAnsi="Times New Roman" w:eastAsia="宋体" w:cs="Microsoft New Tai Lue"/>
          <w:bCs/>
          <w:szCs w:val="21"/>
          <w:highlight w:val="none"/>
        </w:rPr>
        <w:t>1.5采购需求：</w:t>
      </w:r>
      <w:r>
        <w:rPr>
          <w:rFonts w:hint="eastAsia" w:ascii="宋体" w:hAnsi="宋体" w:eastAsia="宋体" w:cs="宋体"/>
          <w:bCs/>
          <w:color w:val="auto"/>
          <w:szCs w:val="21"/>
          <w:highlight w:val="none"/>
          <w:u w:val="none"/>
          <w:lang w:val="en-US" w:eastAsia="zh-CN"/>
        </w:rPr>
        <w:t>高管中心机关三楼327、311会议室投入使用已超20年，会议设施设备普遍老化、部分已被淘汰，维修价值极低，无法保障高清视频会议等现代会议场景需求。为全面提升信息化会议保障能力，结合中心机关三楼整体维修改造工程，本次拟开展2026年高管中心机关三楼会议系统改造项目。</w:t>
      </w:r>
    </w:p>
    <w:p w14:paraId="0899F99F">
      <w:pPr>
        <w:spacing w:line="400" w:lineRule="exact"/>
        <w:ind w:left="214" w:firstLine="420"/>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1.6</w:t>
      </w:r>
      <w:r>
        <w:rPr>
          <w:rFonts w:hint="eastAsia" w:ascii="宋体" w:hAnsi="宋体" w:eastAsia="宋体" w:cs="宋体"/>
          <w:bCs/>
          <w:color w:val="000000"/>
          <w:szCs w:val="21"/>
          <w:highlight w:val="none"/>
          <w:lang w:val="en-US" w:eastAsia="zh-CN"/>
        </w:rPr>
        <w:t>工期：自合同签订起60日</w:t>
      </w:r>
      <w:r>
        <w:rPr>
          <w:rFonts w:hint="eastAsia" w:cs="Microsoft New Tai Lue"/>
          <w:bCs/>
          <w:szCs w:val="21"/>
          <w:highlight w:val="none"/>
          <w:lang w:val="en-US" w:eastAsia="zh-CN"/>
        </w:rPr>
        <w:t xml:space="preserve"> </w:t>
      </w:r>
    </w:p>
    <w:p w14:paraId="5BAD7387">
      <w:pPr>
        <w:spacing w:line="400" w:lineRule="exact"/>
        <w:ind w:left="214" w:firstLine="420"/>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1.7本项目是否接受联合体投标：不接受</w:t>
      </w:r>
      <w:r>
        <w:rPr>
          <w:rFonts w:hint="eastAsia" w:cs="Microsoft New Tai Lue"/>
          <w:bCs/>
          <w:szCs w:val="21"/>
          <w:highlight w:val="none"/>
          <w:lang w:val="en-US" w:eastAsia="zh-CN"/>
        </w:rPr>
        <w:t xml:space="preserve"> </w:t>
      </w:r>
    </w:p>
    <w:p w14:paraId="367879C3">
      <w:pPr>
        <w:spacing w:line="400" w:lineRule="exact"/>
        <w:ind w:left="214" w:firstLine="420"/>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1.8</w:t>
      </w:r>
      <w:r>
        <w:rPr>
          <w:rFonts w:hint="eastAsia" w:ascii="宋体" w:hAnsi="宋体" w:eastAsia="宋体" w:cs="宋体"/>
          <w:bCs/>
          <w:color w:val="000000"/>
          <w:szCs w:val="21"/>
          <w:highlight w:val="none"/>
        </w:rPr>
        <w:t>标段划分：本项目共划分1个标段</w:t>
      </w:r>
      <w:r>
        <w:rPr>
          <w:rFonts w:hint="eastAsia" w:ascii="宋体" w:hAnsi="宋体" w:eastAsia="宋体" w:cs="宋体"/>
          <w:bCs/>
          <w:color w:val="000000"/>
          <w:szCs w:val="21"/>
          <w:highlight w:val="none"/>
          <w:lang w:val="en-US" w:eastAsia="zh-CN"/>
        </w:rPr>
        <w:t xml:space="preserve"> </w:t>
      </w:r>
    </w:p>
    <w:p w14:paraId="303AA576">
      <w:pPr>
        <w:keepNext w:val="0"/>
        <w:keepLines w:val="0"/>
        <w:pageBreakBefore w:val="0"/>
        <w:widowControl w:val="0"/>
        <w:kinsoku/>
        <w:wordWrap/>
        <w:overflowPunct/>
        <w:topLinePunct w:val="0"/>
        <w:autoSpaceDE/>
        <w:autoSpaceDN/>
        <w:bidi w:val="0"/>
        <w:adjustRightInd/>
        <w:snapToGrid/>
        <w:spacing w:line="360" w:lineRule="auto"/>
        <w:ind w:left="425" w:hanging="211"/>
        <w:textAlignment w:val="auto"/>
        <w:rPr>
          <w:rFonts w:ascii="Times New Roman" w:hAnsi="Times New Roman" w:eastAsia="宋体" w:cs="Microsoft New Tai Lue"/>
          <w:b/>
          <w:bCs/>
          <w:szCs w:val="44"/>
          <w:highlight w:val="none"/>
        </w:rPr>
      </w:pPr>
      <w:bookmarkStart w:id="8" w:name="_Toc80264698"/>
      <w:bookmarkStart w:id="9" w:name="_Toc80792689"/>
      <w:bookmarkStart w:id="10" w:name="_Toc93909066"/>
      <w:bookmarkStart w:id="11" w:name="_Toc96347852"/>
      <w:r>
        <w:rPr>
          <w:rFonts w:ascii="Times New Roman" w:hAnsi="Times New Roman" w:eastAsia="宋体" w:cs="Microsoft New Tai Lue"/>
          <w:b/>
          <w:bCs/>
          <w:szCs w:val="44"/>
          <w:highlight w:val="none"/>
        </w:rPr>
        <w:t>二、</w:t>
      </w:r>
      <w:bookmarkEnd w:id="8"/>
      <w:r>
        <w:rPr>
          <w:rFonts w:ascii="Times New Roman" w:hAnsi="Times New Roman" w:eastAsia="宋体" w:cs="Microsoft New Tai Lue"/>
          <w:b/>
          <w:bCs/>
          <w:szCs w:val="44"/>
          <w:highlight w:val="none"/>
        </w:rPr>
        <w:t>申请人的资格要求</w:t>
      </w:r>
      <w:bookmarkEnd w:id="9"/>
      <w:bookmarkEnd w:id="10"/>
      <w:r>
        <w:rPr>
          <w:rFonts w:ascii="Times New Roman" w:hAnsi="Times New Roman" w:eastAsia="宋体" w:cs="Microsoft New Tai Lue"/>
          <w:b/>
          <w:bCs/>
          <w:szCs w:val="44"/>
          <w:highlight w:val="none"/>
        </w:rPr>
        <w:t>：</w:t>
      </w:r>
      <w:bookmarkEnd w:id="11"/>
    </w:p>
    <w:p w14:paraId="553CDBC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szCs w:val="21"/>
          <w:highlight w:val="none"/>
        </w:rPr>
      </w:pPr>
      <w:bookmarkStart w:id="12" w:name="_Toc80792690"/>
      <w:bookmarkStart w:id="13" w:name="_Toc80264699"/>
      <w:bookmarkStart w:id="14" w:name="_Toc96347853"/>
      <w:bookmarkStart w:id="15" w:name="_Toc93909067"/>
      <w:r>
        <w:rPr>
          <w:rFonts w:hint="eastAsia" w:ascii="宋体" w:hAnsi="宋体" w:eastAsia="宋体" w:cs="宋体"/>
          <w:bCs/>
          <w:szCs w:val="21"/>
          <w:highlight w:val="none"/>
        </w:rPr>
        <w:t>2.1满足《中华人民共和国政府采购法》第二十二条规定：</w:t>
      </w:r>
    </w:p>
    <w:p w14:paraId="5C13E5E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2.1.1法人或者其他组织的营业执照等证明文件，自然人的身份证明；</w:t>
      </w:r>
    </w:p>
    <w:p w14:paraId="6DE3588F">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2.1.2具有良好的商业信誉和健全的财务会计制度，提供上年度财务报表复印件（即2025年度财务报表，如为新成立的公司，应提供公司成立之后的财务报表）或投标截止时间前3个月内，由其基本开户银行出具的资信证明；</w:t>
      </w:r>
    </w:p>
    <w:p w14:paraId="11E0FF10">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2.1.3具有履行合同所必需的设备和专业技术能力，提供具备履行合同所必需的设备和专业技术能力的证明材料或承诺函（由供应商根据项目需求提供说明材料）；</w:t>
      </w:r>
    </w:p>
    <w:p w14:paraId="7685F278">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2.1.4有依法缴纳税收和社会保障资金的良好记录，提供本次采购活动前6个月内（即</w:t>
      </w:r>
      <w:sdt>
        <w:sdtPr>
          <w:rPr>
            <w:rFonts w:hint="eastAsia" w:ascii="宋体" w:hAnsi="宋体" w:eastAsia="宋体" w:cs="宋体"/>
            <w:bCs/>
            <w:szCs w:val="21"/>
            <w:highlight w:val="none"/>
          </w:rPr>
          <w:id w:val="1441181680"/>
          <w:placeholder>
            <w:docPart w:val="{d7b8818e-132f-413a-bb0f-912bd3ff629d}"/>
          </w:placeholder>
        </w:sdtPr>
        <w:sdtEndPr>
          <w:rPr>
            <w:rFonts w:hint="eastAsia" w:ascii="宋体" w:hAnsi="宋体" w:eastAsia="宋体" w:cs="宋体"/>
            <w:bCs/>
            <w:szCs w:val="21"/>
            <w:highlight w:val="none"/>
          </w:rPr>
        </w:sdtEndPr>
        <w:sdtContent>
          <w:r>
            <w:rPr>
              <w:rFonts w:hint="eastAsia" w:ascii="宋体" w:hAnsi="宋体" w:eastAsia="宋体" w:cs="宋体"/>
              <w:bCs/>
              <w:szCs w:val="21"/>
              <w:highlight w:val="none"/>
            </w:rPr>
            <w:t>202</w:t>
          </w:r>
          <w:r>
            <w:rPr>
              <w:rFonts w:hint="eastAsia" w:ascii="宋体" w:hAnsi="宋体" w:eastAsia="宋体" w:cs="宋体"/>
              <w:bCs/>
              <w:szCs w:val="21"/>
              <w:highlight w:val="none"/>
              <w:lang w:val="en-US" w:eastAsia="zh-CN"/>
            </w:rPr>
            <w:t>6</w:t>
          </w:r>
          <w:r>
            <w:rPr>
              <w:rFonts w:hint="eastAsia" w:ascii="宋体" w:hAnsi="宋体" w:eastAsia="宋体" w:cs="宋体"/>
              <w:bCs/>
              <w:szCs w:val="21"/>
              <w:highlight w:val="none"/>
            </w:rPr>
            <w:t>年</w:t>
          </w:r>
          <w:r>
            <w:rPr>
              <w:rFonts w:hint="eastAsia" w:ascii="宋体" w:hAnsi="宋体" w:eastAsia="宋体" w:cs="宋体"/>
              <w:bCs/>
              <w:szCs w:val="21"/>
              <w:highlight w:val="none"/>
              <w:lang w:val="en-US" w:eastAsia="zh-CN"/>
            </w:rPr>
            <w:t>3</w:t>
          </w:r>
          <w:r>
            <w:rPr>
              <w:rFonts w:hint="eastAsia" w:ascii="宋体" w:hAnsi="宋体" w:eastAsia="宋体" w:cs="宋体"/>
              <w:bCs/>
              <w:szCs w:val="21"/>
              <w:highlight w:val="none"/>
            </w:rPr>
            <w:t>月</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lang w:val="en-US" w:eastAsia="zh-CN"/>
            </w:rPr>
            <w:t>含</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以来</w:t>
          </w:r>
        </w:sdtContent>
      </w:sdt>
      <w:r>
        <w:rPr>
          <w:rFonts w:hint="eastAsia" w:ascii="宋体" w:hAnsi="宋体" w:eastAsia="宋体" w:cs="宋体"/>
          <w:bCs/>
          <w:szCs w:val="21"/>
          <w:highlight w:val="none"/>
        </w:rPr>
        <w:t>），至少1个月缴纳税收和社会保险的凭证复印件，依法享受免缴、缓缴的，提供证明材料复印件；</w:t>
      </w:r>
    </w:p>
    <w:p w14:paraId="6ADFF2A1">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2.1.5参加本次政府采购活动前三年内，在经营活动中没有重大违法记录，提供声明函（重大违法记录是指供应商因违法经营受到刑事处罚或责令停产停业、吊销许可证或者执照、较大数额罚款等行政处罚）</w:t>
      </w:r>
      <w:r>
        <w:rPr>
          <w:rFonts w:hint="eastAsia" w:ascii="宋体" w:hAnsi="宋体" w:eastAsia="宋体" w:cs="宋体"/>
          <w:bCs/>
          <w:szCs w:val="21"/>
          <w:highlight w:val="none"/>
          <w:lang w:eastAsia="zh-CN"/>
        </w:rPr>
        <w:t>；</w:t>
      </w:r>
    </w:p>
    <w:p w14:paraId="3D235D97">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2.1.6法律、行政法规规定的其他条件。</w:t>
      </w:r>
    </w:p>
    <w:p w14:paraId="7417106E">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2.2落实政府采购政策需满足的资格要求：</w:t>
      </w:r>
    </w:p>
    <w:p w14:paraId="42CB2C5F">
      <w:pPr>
        <w:spacing w:line="360" w:lineRule="auto"/>
        <w:ind w:firstLine="420"/>
        <w:rPr>
          <w:rFonts w:hint="eastAsia" w:ascii="宋体" w:hAnsi="宋体" w:eastAsia="宋体" w:cs="宋体"/>
          <w:b/>
          <w:bCs w:val="0"/>
          <w:szCs w:val="21"/>
          <w:highlight w:val="none"/>
          <w:lang w:eastAsia="zh-CN"/>
        </w:rPr>
      </w:pPr>
      <w:r>
        <w:rPr>
          <w:rFonts w:hint="eastAsia" w:ascii="宋体" w:hAnsi="宋体" w:eastAsia="宋体" w:cs="宋体"/>
          <w:bCs/>
          <w:szCs w:val="21"/>
          <w:highlight w:val="none"/>
          <w:lang w:eastAsia="zh-CN"/>
        </w:rPr>
        <w:t>（</w:t>
      </w:r>
      <w:r>
        <w:rPr>
          <w:rFonts w:hint="eastAsia" w:ascii="宋体" w:hAnsi="宋体" w:eastAsia="宋体" w:cs="宋体"/>
          <w:bCs/>
          <w:szCs w:val="21"/>
          <w:highlight w:val="none"/>
          <w:lang w:val="en-US" w:eastAsia="zh-CN"/>
        </w:rPr>
        <w:t>1</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中小企业政策：■</w:t>
      </w:r>
      <w:r>
        <w:rPr>
          <w:rFonts w:hint="eastAsia" w:ascii="宋体" w:hAnsi="宋体" w:eastAsia="宋体" w:cs="宋体"/>
          <w:b/>
          <w:bCs w:val="0"/>
          <w:szCs w:val="21"/>
          <w:highlight w:val="none"/>
        </w:rPr>
        <w:t>本项目不</w:t>
      </w:r>
      <w:r>
        <w:rPr>
          <w:rFonts w:hint="eastAsia" w:ascii="宋体" w:hAnsi="宋体" w:eastAsia="宋体" w:cs="宋体"/>
          <w:b/>
          <w:bCs w:val="0"/>
          <w:szCs w:val="21"/>
          <w:highlight w:val="none"/>
          <w:lang w:val="en-US" w:eastAsia="zh-CN"/>
        </w:rPr>
        <w:t>专门</w:t>
      </w:r>
      <w:r>
        <w:rPr>
          <w:rFonts w:hint="eastAsia" w:ascii="宋体" w:hAnsi="宋体" w:eastAsia="宋体" w:cs="宋体"/>
          <w:b/>
          <w:bCs w:val="0"/>
          <w:szCs w:val="21"/>
          <w:highlight w:val="none"/>
        </w:rPr>
        <w:t>面向中小企业预留采购份额</w:t>
      </w:r>
      <w:r>
        <w:rPr>
          <w:rFonts w:hint="eastAsia" w:ascii="宋体" w:hAnsi="宋体" w:eastAsia="宋体" w:cs="宋体"/>
          <w:b/>
          <w:bCs w:val="0"/>
          <w:szCs w:val="21"/>
          <w:highlight w:val="none"/>
          <w:lang w:eastAsia="zh-CN"/>
        </w:rPr>
        <w:t>。</w:t>
      </w:r>
    </w:p>
    <w:p w14:paraId="0C683705">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lang w:eastAsia="zh-CN"/>
        </w:rPr>
        <w:t>（</w:t>
      </w:r>
      <w:r>
        <w:rPr>
          <w:rFonts w:hint="eastAsia" w:ascii="宋体" w:hAnsi="宋体" w:eastAsia="宋体" w:cs="宋体"/>
          <w:bCs/>
          <w:szCs w:val="21"/>
          <w:highlight w:val="none"/>
          <w:lang w:val="en-US" w:eastAsia="zh-CN"/>
        </w:rPr>
        <w:t>2</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其它落实政府采购政策的资格要求（如有）：无。</w:t>
      </w:r>
    </w:p>
    <w:p w14:paraId="7AD92A38">
      <w:pPr>
        <w:spacing w:line="360" w:lineRule="auto"/>
        <w:ind w:firstLine="420"/>
        <w:rPr>
          <w:rFonts w:hint="eastAsia" w:ascii="宋体" w:hAnsi="宋体" w:eastAsia="宋体" w:cs="宋体"/>
          <w:b/>
          <w:bCs w:val="0"/>
          <w:color w:val="auto"/>
          <w:szCs w:val="21"/>
          <w:highlight w:val="none"/>
        </w:rPr>
      </w:pPr>
      <w:r>
        <w:rPr>
          <w:rFonts w:hint="eastAsia" w:ascii="宋体" w:hAnsi="宋体" w:eastAsia="宋体" w:cs="宋体"/>
          <w:b w:val="0"/>
          <w:bCs/>
          <w:color w:val="auto"/>
          <w:szCs w:val="21"/>
          <w:highlight w:val="none"/>
        </w:rPr>
        <w:t>2.3本项目的特定资格要求：</w:t>
      </w:r>
    </w:p>
    <w:p w14:paraId="28604509">
      <w:pPr>
        <w:spacing w:line="360" w:lineRule="auto"/>
        <w:ind w:firstLine="420"/>
        <w:rPr>
          <w:rFonts w:hint="eastAsia" w:ascii="宋体" w:hAnsi="宋体" w:eastAsia="宋体" w:cs="宋体"/>
          <w:color w:val="auto"/>
          <w:szCs w:val="24"/>
          <w:highlight w:val="none"/>
          <w:lang w:val="en-US" w:eastAsia="zh-CN"/>
        </w:rPr>
      </w:pPr>
      <w:r>
        <w:rPr>
          <w:rFonts w:hint="eastAsia" w:ascii="宋体" w:hAnsi="宋体" w:eastAsia="宋体" w:cs="宋体"/>
          <w:bCs/>
          <w:color w:val="auto"/>
          <w:szCs w:val="21"/>
          <w:highlight w:val="none"/>
        </w:rPr>
        <w:t>2.3.</w:t>
      </w:r>
      <w:r>
        <w:rPr>
          <w:rFonts w:hint="eastAsia" w:ascii="宋体" w:hAnsi="宋体" w:eastAsia="宋体" w:cs="宋体"/>
          <w:bCs/>
          <w:color w:val="auto"/>
          <w:szCs w:val="21"/>
          <w:highlight w:val="none"/>
          <w:lang w:val="en-US" w:eastAsia="zh-CN"/>
        </w:rPr>
        <w:t>1</w:t>
      </w:r>
    </w:p>
    <w:p w14:paraId="0A0DF52C">
      <w:pPr>
        <w:spacing w:line="360" w:lineRule="auto"/>
        <w:ind w:firstLine="42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（1）供应商具有专业承包电子与智能化工程二级(含)以上资质（提供有效的证书复印件并加盖公章）；</w:t>
      </w:r>
    </w:p>
    <w:p w14:paraId="5D0781D0">
      <w:pPr>
        <w:spacing w:line="360" w:lineRule="auto"/>
        <w:ind w:firstLine="42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（2）供应商具备有效的安全生产许可证（提供证书复印件加盖公章）；</w:t>
      </w:r>
    </w:p>
    <w:p w14:paraId="009F368A">
      <w:pPr>
        <w:spacing w:line="360" w:lineRule="auto"/>
        <w:ind w:firstLine="42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（3）项目负责人具备注册建造师证机电工程二级(含)以上资质并且具有有效的安全生产考核合格证书(B类证)；(提供有效的证书复印件加盖公章)。</w:t>
      </w:r>
    </w:p>
    <w:p w14:paraId="4AB3B7F8">
      <w:pPr>
        <w:spacing w:line="360" w:lineRule="auto"/>
        <w:ind w:firstLine="42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（4）投标的项目负责人无在建工程（符合并提供加盖公章的承诺书）</w:t>
      </w:r>
    </w:p>
    <w:p w14:paraId="343060BF">
      <w:pPr>
        <w:spacing w:line="360" w:lineRule="auto"/>
        <w:ind w:firstLine="42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（5）本项目必须设置专职安全员，专职安全员具有省级及以上主管部门核发的《安全生产管理人员安全生产考核合格证书》C类证书。(提供有效的证书复印件加盖公章)</w:t>
      </w:r>
    </w:p>
    <w:p w14:paraId="723FEF66">
      <w:pPr>
        <w:spacing w:line="360" w:lineRule="auto"/>
        <w:ind w:left="0"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供应商存在下列情形的不得参加本次采购活动：</w:t>
      </w:r>
    </w:p>
    <w:p w14:paraId="110BC91F">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.1</w:t>
      </w:r>
      <w:r>
        <w:rPr>
          <w:rFonts w:hint="eastAsia" w:ascii="宋体" w:hAnsi="宋体" w:cs="宋体"/>
          <w:bCs/>
          <w:color w:val="auto"/>
          <w:szCs w:val="21"/>
          <w:highlight w:val="none"/>
          <w:lang w:val="en-US" w:eastAsia="zh-CN"/>
        </w:rPr>
        <w:t>投标人</w:t>
      </w:r>
      <w:r>
        <w:rPr>
          <w:rFonts w:hint="eastAsia" w:ascii="宋体" w:hAnsi="宋体" w:eastAsia="宋体" w:cs="宋体"/>
          <w:bCs/>
          <w:color w:val="auto"/>
          <w:szCs w:val="21"/>
          <w:highlight w:val="none"/>
        </w:rPr>
        <w:t>单位负责人为同一人或者存在直接控股、管理关系的不同</w:t>
      </w:r>
      <w:r>
        <w:rPr>
          <w:rFonts w:hint="eastAsia" w:ascii="宋体" w:hAnsi="宋体" w:cs="宋体"/>
          <w:bCs/>
          <w:color w:val="auto"/>
          <w:szCs w:val="21"/>
          <w:highlight w:val="none"/>
          <w:lang w:val="en-US" w:eastAsia="zh-CN"/>
        </w:rPr>
        <w:t>投标人</w:t>
      </w:r>
      <w:r>
        <w:rPr>
          <w:rFonts w:hint="eastAsia" w:ascii="宋体" w:hAnsi="宋体" w:eastAsia="宋体" w:cs="宋体"/>
          <w:bCs/>
          <w:color w:val="auto"/>
          <w:szCs w:val="21"/>
          <w:highlight w:val="none"/>
        </w:rPr>
        <w:t>，不得参加同一合同项下的政府采购活动。</w:t>
      </w:r>
    </w:p>
    <w:p w14:paraId="31ABDE3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.2除单一来源项目外，凡为采购项目提供整体设计、规范编制或者项目管理、监理、检测等服务的</w:t>
      </w:r>
      <w:r>
        <w:rPr>
          <w:rFonts w:hint="eastAsia" w:ascii="宋体" w:hAnsi="宋体" w:cs="宋体"/>
          <w:bCs/>
          <w:color w:val="auto"/>
          <w:szCs w:val="21"/>
          <w:highlight w:val="none"/>
          <w:lang w:val="en-US" w:eastAsia="zh-CN"/>
        </w:rPr>
        <w:t>投标人</w:t>
      </w:r>
      <w:r>
        <w:rPr>
          <w:rFonts w:hint="eastAsia" w:ascii="宋体" w:hAnsi="宋体" w:eastAsia="宋体" w:cs="宋体"/>
          <w:bCs/>
          <w:color w:val="auto"/>
          <w:szCs w:val="21"/>
          <w:highlight w:val="none"/>
        </w:rPr>
        <w:t>不得再参加本项目的采购活动。</w:t>
      </w:r>
    </w:p>
    <w:p w14:paraId="18F4D16F">
      <w:pPr>
        <w:spacing w:line="400" w:lineRule="exact"/>
        <w:ind w:firstLine="420" w:firstLineChars="200"/>
        <w:jc w:val="lef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2.3.2.3通过“信用中国”网站（http://www.creditchina.gov.cn）、中国政府采购网（www.ccgp.gov.cn）查询供应商的信用记录，通过以上查询渠道，供应商被列入失信被执行人、重大税收违法失信主体名单、政府采购严重违法失信行为记录。</w:t>
      </w:r>
    </w:p>
    <w:p w14:paraId="7DCA8A4A">
      <w:pPr>
        <w:spacing w:line="400" w:lineRule="exact"/>
        <w:ind w:left="425" w:hanging="211"/>
        <w:jc w:val="left"/>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三、获取招标文件</w:t>
      </w:r>
      <w:bookmarkEnd w:id="12"/>
      <w:bookmarkEnd w:id="13"/>
      <w:bookmarkEnd w:id="14"/>
      <w:bookmarkEnd w:id="15"/>
    </w:p>
    <w:p w14:paraId="0DD2EA98">
      <w:pPr>
        <w:spacing w:line="400" w:lineRule="exact"/>
        <w:ind w:left="214" w:firstLine="525"/>
        <w:rPr>
          <w:rFonts w:hint="eastAsia" w:ascii="Times New Roman" w:hAnsi="Times New Roman" w:eastAsia="宋体"/>
          <w:highlight w:val="none"/>
        </w:rPr>
      </w:pPr>
      <w:bookmarkStart w:id="16" w:name="_Toc80264700"/>
      <w:bookmarkStart w:id="17" w:name="_Toc80792691"/>
      <w:bookmarkStart w:id="18" w:name="_Toc93909068"/>
      <w:bookmarkStart w:id="19" w:name="_Toc96347854"/>
      <w:r>
        <w:rPr>
          <w:rFonts w:hint="eastAsia" w:ascii="Times New Roman" w:hAnsi="Times New Roman" w:eastAsia="宋体"/>
          <w:highlight w:val="none"/>
        </w:rPr>
        <w:t>时间：自本公告发布之日起5个工作日。</w:t>
      </w:r>
    </w:p>
    <w:p w14:paraId="2B692161">
      <w:pPr>
        <w:spacing w:line="400" w:lineRule="exact"/>
        <w:ind w:left="214" w:firstLine="525"/>
        <w:rPr>
          <w:rFonts w:hint="eastAsia" w:ascii="Times New Roman" w:hAnsi="Times New Roman" w:eastAsia="宋体"/>
          <w:highlight w:val="none"/>
        </w:rPr>
      </w:pPr>
      <w:r>
        <w:rPr>
          <w:rFonts w:hint="eastAsia" w:ascii="Times New Roman" w:hAnsi="Times New Roman" w:eastAsia="宋体"/>
          <w:highlight w:val="none"/>
        </w:rPr>
        <w:t>地点：江苏政府采购网（http://www.ccgp-jiangsu.gov.cn/）。</w:t>
      </w:r>
    </w:p>
    <w:p w14:paraId="548C9813">
      <w:pPr>
        <w:spacing w:line="400" w:lineRule="exact"/>
        <w:ind w:left="214" w:firstLine="525"/>
        <w:rPr>
          <w:rFonts w:hint="eastAsia" w:ascii="Times New Roman" w:hAnsi="Times New Roman" w:eastAsia="宋体"/>
          <w:highlight w:val="none"/>
        </w:rPr>
      </w:pPr>
      <w:r>
        <w:rPr>
          <w:rFonts w:hint="eastAsia" w:ascii="Times New Roman" w:hAnsi="Times New Roman" w:eastAsia="宋体"/>
          <w:highlight w:val="none"/>
        </w:rPr>
        <w:t>方式：网上下载</w:t>
      </w:r>
    </w:p>
    <w:p w14:paraId="289180F6">
      <w:pPr>
        <w:spacing w:line="400" w:lineRule="exact"/>
        <w:ind w:left="214" w:firstLine="525"/>
        <w:rPr>
          <w:rFonts w:ascii="Times New Roman" w:hAnsi="Times New Roman" w:eastAsia="宋体"/>
          <w:highlight w:val="none"/>
        </w:rPr>
      </w:pPr>
      <w:r>
        <w:rPr>
          <w:rFonts w:hint="eastAsia" w:ascii="Times New Roman" w:hAnsi="Times New Roman" w:eastAsia="宋体"/>
          <w:highlight w:val="none"/>
        </w:rPr>
        <w:t>售价：0.00元。</w:t>
      </w:r>
    </w:p>
    <w:p w14:paraId="01C25C9A">
      <w:pPr>
        <w:spacing w:line="400" w:lineRule="exact"/>
        <w:ind w:left="425" w:hanging="211"/>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四、</w:t>
      </w:r>
      <w:bookmarkEnd w:id="16"/>
      <w:bookmarkEnd w:id="17"/>
      <w:r>
        <w:rPr>
          <w:rFonts w:ascii="Times New Roman" w:hAnsi="Times New Roman" w:eastAsia="宋体" w:cs="Microsoft New Tai Lue"/>
          <w:b/>
          <w:bCs/>
          <w:szCs w:val="44"/>
          <w:highlight w:val="none"/>
        </w:rPr>
        <w:t>提交投标文件截止时间、开标时间和地点</w:t>
      </w:r>
      <w:bookmarkEnd w:id="18"/>
      <w:bookmarkEnd w:id="19"/>
    </w:p>
    <w:p w14:paraId="3FA397AE">
      <w:pPr>
        <w:spacing w:after="40" w:line="360" w:lineRule="auto"/>
        <w:ind w:firstLine="525"/>
        <w:rPr>
          <w:rFonts w:ascii="Times New Roman" w:hAnsi="Times New Roman" w:eastAsia="宋体" w:cs="Microsoft New Tai Lue"/>
          <w:bCs/>
          <w:szCs w:val="21"/>
          <w:highlight w:val="none"/>
        </w:rPr>
      </w:pPr>
      <w:bookmarkStart w:id="20" w:name="_Toc80792693"/>
      <w:bookmarkStart w:id="21" w:name="_Toc96347855"/>
      <w:bookmarkStart w:id="22" w:name="_Toc93909069"/>
      <w:r>
        <w:rPr>
          <w:rFonts w:hint="eastAsia" w:ascii="Times New Roman" w:hAnsi="Times New Roman" w:eastAsia="宋体" w:cs="Microsoft New Tai Lue"/>
          <w:bCs/>
          <w:szCs w:val="21"/>
          <w:highlight w:val="none"/>
        </w:rPr>
        <w:t>提交投标文件截止时间、开标时间：2026年</w:t>
      </w:r>
      <w:r>
        <w:rPr>
          <w:rFonts w:hint="eastAsia" w:cs="Microsoft New Tai Lue"/>
          <w:bCs/>
          <w:szCs w:val="21"/>
          <w:highlight w:val="none"/>
          <w:lang w:val="en-US" w:eastAsia="zh-CN"/>
        </w:rPr>
        <w:t>11</w:t>
      </w:r>
      <w:r>
        <w:rPr>
          <w:rFonts w:hint="eastAsia" w:ascii="Times New Roman" w:hAnsi="Times New Roman" w:eastAsia="宋体" w:cs="Microsoft New Tai Lue"/>
          <w:bCs/>
          <w:szCs w:val="21"/>
          <w:highlight w:val="none"/>
        </w:rPr>
        <w:t>月</w:t>
      </w:r>
      <w:r>
        <w:rPr>
          <w:rFonts w:hint="eastAsia" w:cs="Microsoft New Tai Lue"/>
          <w:bCs/>
          <w:szCs w:val="21"/>
          <w:highlight w:val="none"/>
          <w:lang w:val="en-US" w:eastAsia="zh-CN"/>
        </w:rPr>
        <w:t>2</w:t>
      </w:r>
      <w:r>
        <w:rPr>
          <w:rFonts w:hint="eastAsia" w:ascii="Times New Roman" w:hAnsi="Times New Roman" w:eastAsia="宋体" w:cs="Microsoft New Tai Lue"/>
          <w:bCs/>
          <w:szCs w:val="21"/>
          <w:highlight w:val="none"/>
        </w:rPr>
        <w:t>日</w:t>
      </w:r>
      <w:r>
        <w:rPr>
          <w:rFonts w:hint="eastAsia" w:cs="Microsoft New Tai Lue"/>
          <w:bCs/>
          <w:szCs w:val="21"/>
          <w:highlight w:val="none"/>
          <w:lang w:val="en-US" w:eastAsia="zh-CN"/>
        </w:rPr>
        <w:t>09</w:t>
      </w:r>
      <w:r>
        <w:rPr>
          <w:rFonts w:hint="eastAsia" w:ascii="Times New Roman" w:hAnsi="Times New Roman" w:eastAsia="宋体" w:cs="Microsoft New Tai Lue"/>
          <w:bCs/>
          <w:szCs w:val="21"/>
          <w:highlight w:val="none"/>
        </w:rPr>
        <w:t>：</w:t>
      </w:r>
      <w:r>
        <w:rPr>
          <w:rFonts w:hint="eastAsia" w:cs="Microsoft New Tai Lue"/>
          <w:bCs/>
          <w:szCs w:val="21"/>
          <w:highlight w:val="none"/>
          <w:lang w:val="en-US" w:eastAsia="zh-CN"/>
        </w:rPr>
        <w:t>30</w:t>
      </w:r>
      <w:r>
        <w:rPr>
          <w:rFonts w:hint="eastAsia" w:ascii="Times New Roman" w:hAnsi="Times New Roman" w:eastAsia="宋体" w:cs="Microsoft New Tai Lue"/>
          <w:bCs/>
          <w:szCs w:val="21"/>
          <w:highlight w:val="none"/>
        </w:rPr>
        <w:t>（北京时间）</w:t>
      </w:r>
    </w:p>
    <w:p w14:paraId="30DE7676">
      <w:pPr>
        <w:spacing w:after="40" w:line="360" w:lineRule="auto"/>
        <w:ind w:firstLine="525"/>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提交投标文件地点：江苏省政府采购管理交易系统（苏采云）（以下简称“苏采云”）（网址：http://jszfcg.jsczt.cn/）</w:t>
      </w:r>
    </w:p>
    <w:p w14:paraId="6F914FDA">
      <w:pPr>
        <w:spacing w:after="40" w:line="360" w:lineRule="auto"/>
        <w:ind w:firstLine="525"/>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开标地点：“苏采云”网上开标大厅</w:t>
      </w:r>
    </w:p>
    <w:p w14:paraId="5789CEE5">
      <w:pPr>
        <w:spacing w:line="400" w:lineRule="exact"/>
        <w:ind w:left="425" w:hanging="211"/>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五、</w:t>
      </w:r>
      <w:bookmarkEnd w:id="20"/>
      <w:r>
        <w:rPr>
          <w:rFonts w:ascii="Times New Roman" w:hAnsi="Times New Roman" w:eastAsia="宋体" w:cs="Microsoft New Tai Lue"/>
          <w:b/>
          <w:bCs/>
          <w:szCs w:val="44"/>
          <w:highlight w:val="none"/>
        </w:rPr>
        <w:t>公告期</w:t>
      </w:r>
      <w:bookmarkEnd w:id="21"/>
      <w:bookmarkEnd w:id="22"/>
      <w:r>
        <w:rPr>
          <w:rFonts w:hint="eastAsia" w:ascii="Times New Roman" w:hAnsi="Times New Roman" w:eastAsia="宋体" w:cs="Microsoft New Tai Lue"/>
          <w:b/>
          <w:bCs/>
          <w:szCs w:val="44"/>
          <w:highlight w:val="none"/>
        </w:rPr>
        <w:t>限</w:t>
      </w:r>
    </w:p>
    <w:p w14:paraId="49FFB90B">
      <w:pPr>
        <w:spacing w:line="400" w:lineRule="exact"/>
        <w:ind w:left="214" w:firstLine="525"/>
        <w:rPr>
          <w:rFonts w:ascii="Times New Roman" w:hAnsi="Times New Roman" w:eastAsia="宋体" w:cs="Microsoft New Tai Lue"/>
          <w:highlight w:val="none"/>
        </w:rPr>
      </w:pPr>
      <w:r>
        <w:rPr>
          <w:rFonts w:ascii="Times New Roman" w:hAnsi="Times New Roman" w:eastAsia="宋体" w:cs="Microsoft New Tai Lue"/>
          <w:highlight w:val="none"/>
        </w:rPr>
        <w:t>自本公告发布之日起5个工作日。</w:t>
      </w:r>
    </w:p>
    <w:p w14:paraId="2697FA25">
      <w:pPr>
        <w:spacing w:line="400" w:lineRule="exact"/>
        <w:ind w:left="425" w:hanging="211"/>
        <w:rPr>
          <w:rFonts w:ascii="Times New Roman" w:hAnsi="Times New Roman" w:eastAsia="宋体" w:cs="Microsoft New Tai Lue"/>
          <w:b/>
          <w:bCs/>
          <w:szCs w:val="44"/>
          <w:highlight w:val="none"/>
        </w:rPr>
      </w:pPr>
      <w:bookmarkStart w:id="23" w:name="_Toc96347856"/>
      <w:bookmarkStart w:id="24" w:name="_Toc93909070"/>
      <w:r>
        <w:rPr>
          <w:rFonts w:ascii="Times New Roman" w:hAnsi="Times New Roman" w:eastAsia="宋体" w:cs="Microsoft New Tai Lue"/>
          <w:b/>
          <w:bCs/>
          <w:szCs w:val="44"/>
          <w:highlight w:val="none"/>
        </w:rPr>
        <w:t>六、其他补充事宜</w:t>
      </w:r>
      <w:bookmarkEnd w:id="23"/>
      <w:bookmarkEnd w:id="24"/>
    </w:p>
    <w:p w14:paraId="12976ED9">
      <w:pPr>
        <w:spacing w:line="360" w:lineRule="auto"/>
        <w:ind w:firstLine="420"/>
        <w:rPr>
          <w:rFonts w:hint="eastAsia" w:ascii="宋体" w:hAnsi="宋体" w:eastAsia="宋体" w:cs="宋体"/>
          <w:color w:val="auto"/>
          <w:szCs w:val="21"/>
          <w:highlight w:val="none"/>
        </w:rPr>
      </w:pPr>
      <w:bookmarkStart w:id="25" w:name="_Toc80792694"/>
      <w:bookmarkStart w:id="26" w:name="_Toc80264702"/>
      <w:bookmarkStart w:id="27" w:name="_Toc96347857"/>
      <w:bookmarkStart w:id="28" w:name="_Toc93909071"/>
      <w:r>
        <w:rPr>
          <w:rFonts w:hint="eastAsia" w:ascii="宋体" w:hAnsi="宋体" w:eastAsia="宋体" w:cs="宋体"/>
          <w:color w:val="auto"/>
          <w:szCs w:val="21"/>
          <w:highlight w:val="none"/>
        </w:rPr>
        <w:t>1.政府采购支持政策:</w:t>
      </w:r>
    </w:p>
    <w:p w14:paraId="0BB7596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(1)《政府采购促进中小企业发展管理办法》</w:t>
      </w:r>
    </w:p>
    <w:p w14:paraId="03BB9F0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(2)《关于政府采购支持监狱企业发展有关问题的通知》</w:t>
      </w:r>
    </w:p>
    <w:p w14:paraId="7BCF4FE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(3)《关于促进残疾人就业政府采购政策的通知》</w:t>
      </w:r>
    </w:p>
    <w:p w14:paraId="2B0831D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(4)《关于调整优化节能产品、环境标志产品政府采购执行机制的通知》</w:t>
      </w:r>
    </w:p>
    <w:p w14:paraId="7A0386D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(5)《关于做好政府采购支持企业发展有关事项的通知》</w:t>
      </w:r>
    </w:p>
    <w:p w14:paraId="1310F52A">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(6)《国务院办公厅关于在政府采购中实施本国产品标准及相关政策的通知》、关于贯彻落实《国务院办公厅关于在政府采购中实施本国产品标准及相关政策的通知》的意见</w:t>
      </w:r>
    </w:p>
    <w:p w14:paraId="5719EA3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2.潜在供应商访问政府采购管理交易系统(苏采云)的网络地址和方法:</w:t>
      </w:r>
    </w:p>
    <w:p w14:paraId="17487888">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一-制作</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-导出加密的</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(后缀名为zip)--通过“苏采云”系统上传</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w:t>
      </w:r>
    </w:p>
    <w:p w14:paraId="43E3B84D">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(2)“CA数字证书”的获取:供应商需办理CA锁，“苏采云”系统目前仅支持“苏采云”系统下的政务CA，省内各地区办理的“苏采云”系统下的政务CA全省通用。</w:t>
      </w:r>
    </w:p>
    <w:p w14:paraId="3DF2388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(3)“CA数字证书”的办理材料以及供应商操作手册详见:http://jsxcmm. com/help/gys. html.</w:t>
      </w:r>
    </w:p>
    <w:p w14:paraId="741CDE03">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(4)潜在供应商访问“苏采云”系统的网络地址和方法:“苏采云”系统的网址:http://jszfcg.jsczt.cn/jszc/login.</w:t>
      </w:r>
    </w:p>
    <w:p w14:paraId="202E50F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(5)采购文件(后缀名为“.kedt”)、供应商操作手册及政府采购客户端工具也可通过“苏采云”系统--已报名项目--报名详情页面内相应链接进行下载。</w:t>
      </w:r>
    </w:p>
    <w:p w14:paraId="1FBF5077">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(6)招标代理机构(采购代理机构)将数据电文形式的采购文件加载至“苏采云”系统，供潜在供应商下载或者查阅。</w:t>
      </w:r>
    </w:p>
    <w:p w14:paraId="7FEE0751">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 “苏采云”南京地区客服热线025-83633744、025-83633743。</w:t>
      </w:r>
    </w:p>
    <w:p w14:paraId="4D97468C">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p>
    <w:p w14:paraId="12CC178F">
      <w:pPr>
        <w:spacing w:line="400" w:lineRule="exact"/>
        <w:ind w:left="425" w:hanging="211"/>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rPr>
        <w:t>4</w:t>
      </w:r>
      <w:r>
        <w:rPr>
          <w:rFonts w:hint="eastAsia" w:ascii="宋体" w:hAnsi="宋体" w:eastAsia="宋体" w:cs="宋体"/>
          <w:color w:val="auto"/>
          <w:szCs w:val="21"/>
          <w:highlight w:val="none"/>
        </w:rPr>
        <w:t>.有关本次采购的事项若存在变动或修改，敬请及时关注“江苏政府采购网”发布的信息。</w:t>
      </w:r>
    </w:p>
    <w:p w14:paraId="75350322">
      <w:pPr>
        <w:spacing w:line="400" w:lineRule="exact"/>
        <w:ind w:left="425" w:hanging="211"/>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七、</w:t>
      </w:r>
      <w:bookmarkEnd w:id="25"/>
      <w:bookmarkEnd w:id="26"/>
      <w:r>
        <w:rPr>
          <w:rFonts w:ascii="Times New Roman" w:hAnsi="Times New Roman" w:eastAsia="宋体" w:cs="Microsoft New Tai Lue"/>
          <w:b/>
          <w:bCs/>
          <w:szCs w:val="44"/>
          <w:highlight w:val="none"/>
        </w:rPr>
        <w:t>对本次招标提出询问，请按以下方式联系。</w:t>
      </w:r>
      <w:bookmarkEnd w:id="27"/>
      <w:bookmarkEnd w:id="28"/>
    </w:p>
    <w:p w14:paraId="7202E01B">
      <w:pPr>
        <w:spacing w:line="360" w:lineRule="auto"/>
        <w:ind w:firstLine="525"/>
        <w:rPr>
          <w:rFonts w:hint="eastAsia" w:ascii="宋体" w:hAnsi="宋体" w:eastAsia="宋体" w:cs="宋体"/>
          <w:color w:val="auto"/>
          <w:szCs w:val="21"/>
          <w:highlight w:val="none"/>
        </w:rPr>
      </w:pPr>
      <w:bookmarkStart w:id="29" w:name="_Toc71561877"/>
      <w:bookmarkStart w:id="30" w:name="_Toc80264704"/>
      <w:r>
        <w:rPr>
          <w:rFonts w:hint="eastAsia" w:ascii="宋体" w:hAnsi="宋体" w:eastAsia="宋体" w:cs="宋体"/>
          <w:color w:val="auto"/>
          <w:szCs w:val="21"/>
          <w:highlight w:val="none"/>
        </w:rPr>
        <w:t>1．采购人信息</w:t>
      </w:r>
    </w:p>
    <w:p w14:paraId="620AD0A2">
      <w:pPr>
        <w:spacing w:line="360" w:lineRule="auto"/>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w:t>
      </w:r>
      <w:sdt>
        <w:sdtPr>
          <w:rPr>
            <w:rFonts w:hint="eastAsia" w:ascii="宋体" w:hAnsi="宋体" w:eastAsia="宋体" w:cs="宋体"/>
            <w:color w:val="auto"/>
            <w:szCs w:val="21"/>
            <w:highlight w:val="none"/>
          </w:rPr>
          <w:id w:val="147474393"/>
          <w:placeholder>
            <w:docPart w:val="{2e584235-f787-44f3-b5f5-8eba0b8176c6}"/>
          </w:placeholder>
        </w:sdtPr>
        <w:sdtEndPr>
          <w:rPr>
            <w:rFonts w:hint="eastAsia" w:ascii="宋体" w:hAnsi="宋体" w:eastAsia="宋体" w:cs="宋体"/>
            <w:color w:val="auto"/>
            <w:szCs w:val="21"/>
            <w:highlight w:val="none"/>
          </w:rPr>
        </w:sdtEndPr>
        <w:sdtContent>
          <w:r>
            <w:rPr>
              <w:rFonts w:hint="eastAsia" w:ascii="宋体" w:hAnsi="宋体" w:eastAsia="宋体" w:cs="宋体"/>
              <w:color w:val="auto"/>
              <w:szCs w:val="21"/>
              <w:highlight w:val="none"/>
              <w:lang w:eastAsia="zh-CN"/>
            </w:rPr>
            <w:t>江苏省高速公路经营管理中心</w:t>
          </w:r>
        </w:sdtContent>
      </w:sdt>
    </w:p>
    <w:p w14:paraId="352C7AA9">
      <w:pPr>
        <w:spacing w:line="360" w:lineRule="auto"/>
        <w:ind w:firstLine="525"/>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地址：</w:t>
      </w:r>
      <w:r>
        <w:rPr>
          <w:rFonts w:hint="eastAsia" w:ascii="宋体" w:hAnsi="宋体" w:eastAsia="宋体" w:cs="宋体"/>
          <w:color w:val="auto"/>
          <w:szCs w:val="21"/>
          <w:highlight w:val="none"/>
          <w:lang w:val="en-US" w:eastAsia="zh-CN"/>
        </w:rPr>
        <w:t>南京市江苏路60-1号</w:t>
      </w:r>
    </w:p>
    <w:p w14:paraId="709B64BB">
      <w:pPr>
        <w:spacing w:line="360" w:lineRule="auto"/>
        <w:ind w:firstLine="52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联系人：</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姜</w:t>
      </w:r>
      <w:r>
        <w:rPr>
          <w:rFonts w:hint="eastAsia" w:ascii="宋体" w:hAnsi="宋体" w:eastAsia="宋体" w:cs="宋体"/>
          <w:color w:val="auto"/>
          <w:szCs w:val="21"/>
          <w:highlight w:val="none"/>
          <w:lang w:val="en-US" w:eastAsia="zh-CN"/>
        </w:rPr>
        <w:t>工</w:t>
      </w:r>
    </w:p>
    <w:p w14:paraId="0E58B2B0">
      <w:pPr>
        <w:spacing w:line="360" w:lineRule="auto"/>
        <w:ind w:firstLine="52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联系方式：</w:t>
      </w:r>
      <w:r>
        <w:rPr>
          <w:rFonts w:hint="eastAsia" w:ascii="宋体" w:hAnsi="宋体" w:eastAsia="宋体" w:cs="宋体"/>
          <w:color w:val="auto"/>
          <w:szCs w:val="21"/>
          <w:highlight w:val="none"/>
          <w:lang w:val="en-US" w:eastAsia="zh-CN"/>
        </w:rPr>
        <w:t>15321276427</w:t>
      </w:r>
    </w:p>
    <w:p w14:paraId="46D1F2B3">
      <w:pPr>
        <w:spacing w:line="360" w:lineRule="auto"/>
        <w:ind w:firstLine="525"/>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2．采购代理机构信息</w:t>
      </w:r>
    </w:p>
    <w:p w14:paraId="7EFA3D4D">
      <w:pPr>
        <w:spacing w:line="360" w:lineRule="auto"/>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名称：江苏省招标中心有限公司</w:t>
      </w:r>
    </w:p>
    <w:p w14:paraId="6CC64B26">
      <w:pPr>
        <w:spacing w:line="360" w:lineRule="auto"/>
        <w:ind w:firstLine="52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地址：南京市雨花台区宁双路19号云密城C栋3楼305</w:t>
      </w:r>
      <w:r>
        <w:rPr>
          <w:rFonts w:hint="eastAsia" w:ascii="宋体" w:hAnsi="宋体" w:eastAsia="宋体" w:cs="宋体"/>
          <w:color w:val="auto"/>
          <w:szCs w:val="21"/>
          <w:highlight w:val="none"/>
          <w:lang w:val="en-US" w:eastAsia="zh-CN"/>
        </w:rPr>
        <w:t>室</w:t>
      </w:r>
    </w:p>
    <w:p w14:paraId="4DCC33D7">
      <w:pPr>
        <w:spacing w:line="360" w:lineRule="auto"/>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w:t>
      </w:r>
      <w:sdt>
        <w:sdtPr>
          <w:rPr>
            <w:rFonts w:hint="eastAsia" w:ascii="宋体" w:hAnsi="宋体" w:eastAsia="宋体" w:cs="宋体"/>
            <w:color w:val="auto"/>
            <w:szCs w:val="21"/>
            <w:highlight w:val="none"/>
          </w:rPr>
          <w:id w:val="147480290"/>
          <w:placeholder>
            <w:docPart w:val="{2e584235-f787-44f3-b5f5-8eba0b8176c6}"/>
          </w:placeholder>
        </w:sdtPr>
        <w:sdtEndPr>
          <w:rPr>
            <w:rFonts w:hint="eastAsia" w:ascii="宋体" w:hAnsi="宋体" w:eastAsia="宋体" w:cs="宋体"/>
            <w:color w:val="auto"/>
            <w:szCs w:val="21"/>
            <w:highlight w:val="none"/>
          </w:rPr>
        </w:sdtEndPr>
        <w:sdtContent>
          <w:sdt>
            <w:sdtPr>
              <w:rPr>
                <w:rFonts w:hint="eastAsia" w:ascii="宋体" w:hAnsi="宋体" w:eastAsia="宋体" w:cs="宋体"/>
                <w:color w:val="auto"/>
                <w:szCs w:val="21"/>
                <w:highlight w:val="none"/>
              </w:rPr>
              <w:id w:val="147477889"/>
              <w:placeholder>
                <w:docPart w:val="{5da55318-2ea7-4095-829c-12161b593d98}"/>
              </w:placeholder>
            </w:sdtPr>
            <w:sdtEndPr>
              <w:rPr>
                <w:rFonts w:hint="eastAsia" w:ascii="宋体" w:hAnsi="宋体" w:eastAsia="宋体" w:cs="宋体"/>
                <w:color w:val="auto"/>
                <w:szCs w:val="21"/>
                <w:highlight w:val="none"/>
              </w:rPr>
            </w:sdtEndPr>
            <w:sdtContent>
              <w:r>
                <w:rPr>
                  <w:rFonts w:hint="eastAsia" w:ascii="宋体" w:hAnsi="宋体" w:eastAsia="宋体" w:cs="宋体"/>
                  <w:color w:val="auto"/>
                  <w:szCs w:val="21"/>
                  <w:highlight w:val="none"/>
                  <w:lang w:val="en-US" w:eastAsia="zh-CN"/>
                </w:rPr>
                <w:t>呼禹、杨小莉、</w:t>
              </w:r>
              <w:r>
                <w:rPr>
                  <w:rFonts w:hint="eastAsia" w:ascii="宋体" w:hAnsi="宋体" w:eastAsia="宋体" w:cs="宋体"/>
                  <w:color w:val="auto"/>
                  <w:szCs w:val="21"/>
                  <w:highlight w:val="none"/>
                </w:rPr>
                <w:t>宗超</w:t>
              </w:r>
            </w:sdtContent>
          </w:sdt>
        </w:sdtContent>
      </w:sdt>
    </w:p>
    <w:p w14:paraId="4D3D2070">
      <w:pPr>
        <w:spacing w:line="360" w:lineRule="auto"/>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联系方式：</w:t>
      </w:r>
      <w:sdt>
        <w:sdtPr>
          <w:rPr>
            <w:rFonts w:hint="eastAsia" w:ascii="宋体" w:hAnsi="宋体" w:eastAsia="宋体" w:cs="宋体"/>
            <w:color w:val="auto"/>
            <w:szCs w:val="21"/>
            <w:highlight w:val="none"/>
          </w:rPr>
          <w:id w:val="147476428"/>
          <w:placeholder>
            <w:docPart w:val="{2e584235-f787-44f3-b5f5-8eba0b8176c6}"/>
          </w:placeholder>
        </w:sdtPr>
        <w:sdtEndPr>
          <w:rPr>
            <w:rFonts w:hint="eastAsia" w:ascii="宋体" w:hAnsi="宋体" w:eastAsia="宋体" w:cs="宋体"/>
            <w:color w:val="auto"/>
            <w:szCs w:val="21"/>
            <w:highlight w:val="none"/>
            <w:lang w:val="en-US"/>
          </w:rPr>
        </w:sdtEndPr>
        <w:sdtContent>
          <w:sdt>
            <w:sdtPr>
              <w:rPr>
                <w:rFonts w:hint="eastAsia" w:ascii="宋体" w:hAnsi="宋体" w:eastAsia="宋体" w:cs="宋体"/>
                <w:color w:val="auto"/>
                <w:szCs w:val="21"/>
                <w:highlight w:val="none"/>
              </w:rPr>
              <w:id w:val="147467015"/>
              <w:placeholder>
                <w:docPart w:val="{3ece5bad-a35b-4bbb-81a2-3bb10c6fd801}"/>
              </w:placeholder>
            </w:sdtPr>
            <w:sdtEndPr>
              <w:rPr>
                <w:rFonts w:hint="eastAsia" w:ascii="宋体" w:hAnsi="宋体" w:eastAsia="宋体" w:cs="宋体"/>
                <w:color w:val="auto"/>
                <w:szCs w:val="21"/>
                <w:highlight w:val="none"/>
                <w:lang w:val="en-US"/>
              </w:rPr>
            </w:sdtEndPr>
            <w:sdtContent>
              <w:r>
                <w:rPr>
                  <w:rFonts w:hint="eastAsia" w:ascii="宋体" w:hAnsi="宋体" w:eastAsia="宋体" w:cs="宋体"/>
                  <w:color w:val="auto"/>
                  <w:szCs w:val="21"/>
                  <w:highlight w:val="none"/>
                  <w:lang w:val="en-US" w:eastAsia="zh-CN"/>
                </w:rPr>
                <w:t>18021508706、1</w:t>
              </w:r>
              <w:r>
                <w:rPr>
                  <w:rFonts w:hint="eastAsia" w:ascii="宋体" w:hAnsi="宋体" w:eastAsia="宋体" w:cs="宋体"/>
                  <w:color w:val="auto"/>
                  <w:szCs w:val="21"/>
                  <w:highlight w:val="none"/>
                </w:rPr>
                <w:t xml:space="preserve">8761879918 </w:t>
              </w:r>
            </w:sdtContent>
          </w:sdt>
        </w:sdtContent>
      </w:sdt>
    </w:p>
    <w:p w14:paraId="1EF00279">
      <w:pPr>
        <w:spacing w:line="360" w:lineRule="auto"/>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3．项目联系方式</w:t>
      </w:r>
    </w:p>
    <w:p w14:paraId="21D326AF">
      <w:pPr>
        <w:spacing w:line="360" w:lineRule="auto"/>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项目联系人：</w:t>
      </w:r>
      <w:sdt>
        <w:sdtPr>
          <w:rPr>
            <w:rFonts w:hint="eastAsia" w:ascii="宋体" w:hAnsi="宋体" w:eastAsia="宋体" w:cs="宋体"/>
            <w:color w:val="auto"/>
            <w:szCs w:val="21"/>
            <w:highlight w:val="none"/>
          </w:rPr>
          <w:id w:val="147466230"/>
          <w:placeholder>
            <w:docPart w:val="{2e584235-f787-44f3-b5f5-8eba0b8176c6}"/>
          </w:placeholder>
        </w:sdtPr>
        <w:sdtEndPr>
          <w:rPr>
            <w:rFonts w:hint="eastAsia" w:ascii="宋体" w:hAnsi="宋体" w:eastAsia="宋体" w:cs="宋体"/>
            <w:color w:val="auto"/>
            <w:szCs w:val="21"/>
            <w:highlight w:val="none"/>
          </w:rPr>
        </w:sdtEndPr>
        <w:sdtContent>
          <w:sdt>
            <w:sdtPr>
              <w:rPr>
                <w:rFonts w:hint="eastAsia" w:ascii="宋体" w:hAnsi="宋体" w:eastAsia="宋体" w:cs="宋体"/>
                <w:color w:val="auto"/>
                <w:szCs w:val="21"/>
                <w:highlight w:val="none"/>
              </w:rPr>
              <w:id w:val="147472305"/>
              <w:placeholder>
                <w:docPart w:val="{a854329c-08da-4807-b271-5baa252e079b}"/>
              </w:placeholder>
            </w:sdtPr>
            <w:sdtEndPr>
              <w:rPr>
                <w:rFonts w:hint="eastAsia" w:ascii="宋体" w:hAnsi="宋体" w:eastAsia="宋体" w:cs="宋体"/>
                <w:color w:val="auto"/>
                <w:szCs w:val="21"/>
                <w:highlight w:val="none"/>
              </w:rPr>
            </w:sdtEndPr>
            <w:sdtContent>
              <w:r>
                <w:rPr>
                  <w:rFonts w:hint="eastAsia" w:ascii="宋体" w:hAnsi="宋体" w:eastAsia="宋体" w:cs="宋体"/>
                  <w:color w:val="auto"/>
                  <w:szCs w:val="21"/>
                  <w:highlight w:val="none"/>
                  <w:lang w:val="en-US" w:eastAsia="zh-CN"/>
                </w:rPr>
                <w:t>呼禹、杨小莉</w:t>
              </w:r>
            </w:sdtContent>
          </w:sdt>
        </w:sdtContent>
      </w:sdt>
    </w:p>
    <w:p w14:paraId="3860E9F1">
      <w:pPr>
        <w:spacing w:line="360" w:lineRule="auto"/>
        <w:ind w:firstLine="525"/>
        <w:rPr>
          <w:rFonts w:hint="eastAsia" w:ascii="宋体" w:hAnsi="宋体" w:eastAsia="宋体" w:cs="宋体"/>
          <w:color w:val="000000"/>
          <w:szCs w:val="21"/>
          <w:highlight w:val="none"/>
          <w:lang w:bidi="ar"/>
        </w:rPr>
      </w:pPr>
      <w:r>
        <w:rPr>
          <w:rFonts w:hint="eastAsia" w:ascii="宋体" w:hAnsi="宋体" w:eastAsia="宋体" w:cs="宋体"/>
          <w:color w:val="auto"/>
          <w:szCs w:val="21"/>
          <w:highlight w:val="none"/>
        </w:rPr>
        <w:t>电话：</w:t>
      </w:r>
      <w:sdt>
        <w:sdtPr>
          <w:rPr>
            <w:rFonts w:hint="eastAsia" w:ascii="宋体" w:hAnsi="宋体" w:eastAsia="宋体" w:cs="宋体"/>
            <w:color w:val="auto"/>
            <w:szCs w:val="21"/>
            <w:highlight w:val="none"/>
          </w:rPr>
          <w:id w:val="147459991"/>
          <w:placeholder>
            <w:docPart w:val="{775312c0-5c93-483c-8e7b-e860b69e32d6}"/>
          </w:placeholder>
        </w:sdtPr>
        <w:sdtEndPr>
          <w:rPr>
            <w:rFonts w:hint="eastAsia" w:ascii="宋体" w:hAnsi="宋体" w:eastAsia="宋体" w:cs="宋体"/>
            <w:color w:val="auto"/>
            <w:szCs w:val="21"/>
            <w:highlight w:val="none"/>
            <w:lang w:val="en-US"/>
          </w:rPr>
        </w:sdtEndPr>
        <w:sdtContent>
          <w:r>
            <w:rPr>
              <w:rFonts w:hint="eastAsia" w:ascii="宋体" w:hAnsi="宋体" w:eastAsia="宋体" w:cs="宋体"/>
              <w:color w:val="auto"/>
              <w:szCs w:val="21"/>
              <w:highlight w:val="none"/>
              <w:lang w:val="en-US" w:eastAsia="zh-CN"/>
            </w:rPr>
            <w:t>18021508706、1</w:t>
          </w:r>
          <w:r>
            <w:rPr>
              <w:rFonts w:hint="eastAsia" w:ascii="宋体" w:hAnsi="宋体" w:eastAsia="宋体" w:cs="宋体"/>
              <w:color w:val="auto"/>
              <w:szCs w:val="21"/>
              <w:highlight w:val="none"/>
            </w:rPr>
            <w:t xml:space="preserve">8761879918 </w:t>
          </w:r>
        </w:sdtContent>
      </w:sdt>
    </w:p>
    <w:p w14:paraId="35127CD0">
      <w:pPr>
        <w:pStyle w:val="77"/>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bookmarkEnd w:id="29"/>
      <w:bookmarkEnd w:id="30"/>
      <w:bookmarkStart w:id="31" w:name="_Toc5911"/>
      <w:bookmarkStart w:id="32" w:name="_Toc1533224872"/>
      <w:r>
        <w:rPr>
          <w:rFonts w:hint="eastAsia" w:ascii="Times New Roman" w:hAnsi="Times New Roman" w:eastAsia="宋体" w:cs="Microsoft New Tai Lue"/>
          <w:highlight w:val="none"/>
        </w:rPr>
        <w:t>第二章 投标人须知</w:t>
      </w:r>
      <w:bookmarkEnd w:id="31"/>
      <w:bookmarkEnd w:id="32"/>
    </w:p>
    <w:p w14:paraId="6CDA251A">
      <w:pPr>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投标人须知前附表</w:t>
      </w:r>
    </w:p>
    <w:p w14:paraId="0C9EF34D">
      <w:pPr>
        <w:jc w:val="center"/>
        <w:rPr>
          <w:rFonts w:ascii="Times New Roman" w:hAnsi="Times New Roman" w:eastAsia="宋体" w:cs="Microsoft New Tai Lue"/>
          <w:highlight w:val="none"/>
        </w:rPr>
      </w:pPr>
      <w:r>
        <w:rPr>
          <w:rFonts w:ascii="Times New Roman" w:hAnsi="Times New Roman" w:eastAsia="宋体" w:cs="Microsoft New Tai Lue"/>
          <w:highlight w:val="none"/>
        </w:rPr>
        <w:t>本</w:t>
      </w:r>
      <w:r>
        <w:rPr>
          <w:rFonts w:hint="eastAsia" w:ascii="Times New Roman" w:hAnsi="Times New Roman" w:eastAsia="宋体" w:cs="Microsoft New Tai Lue"/>
          <w:highlight w:val="none"/>
        </w:rPr>
        <w:t>表</w:t>
      </w:r>
      <w:r>
        <w:rPr>
          <w:rFonts w:ascii="Times New Roman" w:hAnsi="Times New Roman" w:eastAsia="宋体" w:cs="Microsoft New Tai Lue"/>
          <w:highlight w:val="none"/>
        </w:rPr>
        <w:t>是对《投标人须知》正文的具体补充和修改，如有矛盾，以本《前附表》为准。</w:t>
      </w:r>
    </w:p>
    <w:p w14:paraId="41DDB7C9">
      <w:pPr>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标记“</w:t>
      </w:r>
      <w:r>
        <w:rPr>
          <w:rFonts w:hint="eastAsia" w:ascii="Times New Roman" w:hAnsi="Times New Roman" w:eastAsia="宋体"/>
          <w:b/>
          <w:sz w:val="24"/>
          <w:highlight w:val="none"/>
        </w:rPr>
        <w:t>■</w:t>
      </w:r>
      <w:r>
        <w:rPr>
          <w:rFonts w:hint="eastAsia" w:ascii="Times New Roman" w:hAnsi="Times New Roman" w:eastAsia="宋体" w:cs="Microsoft New Tai Lue"/>
          <w:highlight w:val="none"/>
        </w:rPr>
        <w:t>”的选项意为适用于本项目，标记“□”的选项意为不适用于本项目。</w:t>
      </w:r>
    </w:p>
    <w:tbl>
      <w:tblPr>
        <w:tblStyle w:val="32"/>
        <w:tblW w:w="48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3"/>
        <w:gridCol w:w="1460"/>
        <w:gridCol w:w="2525"/>
        <w:gridCol w:w="4790"/>
      </w:tblGrid>
      <w:tr w14:paraId="6F2656E9">
        <w:trPr>
          <w:jc w:val="center"/>
        </w:trPr>
        <w:tc>
          <w:tcPr>
            <w:tcW w:w="903" w:type="dxa"/>
            <w:noWrap w:val="0"/>
            <w:vAlign w:val="center"/>
          </w:tcPr>
          <w:p w14:paraId="61B0869A">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b/>
                <w:sz w:val="21"/>
                <w:szCs w:val="21"/>
                <w:highlight w:val="none"/>
                <w:lang w:val="en-US" w:eastAsia="zh-CN" w:bidi="ar-SA"/>
              </w:rPr>
            </w:pPr>
            <w:r>
              <w:rPr>
                <w:rFonts w:hint="eastAsia" w:ascii="Times New Roman" w:hAnsi="Times New Roman" w:eastAsia="宋体" w:cs="Microsoft New Tai Lue"/>
                <w:b/>
                <w:sz w:val="21"/>
                <w:szCs w:val="21"/>
                <w:highlight w:val="none"/>
                <w:lang w:val="en-US" w:eastAsia="zh-CN" w:bidi="ar-SA"/>
              </w:rPr>
              <w:t>序号</w:t>
            </w:r>
          </w:p>
        </w:tc>
        <w:tc>
          <w:tcPr>
            <w:tcW w:w="1460" w:type="dxa"/>
            <w:noWrap w:val="0"/>
            <w:vAlign w:val="center"/>
          </w:tcPr>
          <w:p w14:paraId="4CF1CDBF">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b/>
                <w:sz w:val="21"/>
                <w:szCs w:val="21"/>
                <w:highlight w:val="none"/>
                <w:lang w:val="en-US" w:eastAsia="zh-CN" w:bidi="ar-SA"/>
              </w:rPr>
            </w:pPr>
            <w:r>
              <w:rPr>
                <w:rFonts w:hint="eastAsia" w:ascii="Times New Roman" w:hAnsi="Times New Roman" w:eastAsia="宋体" w:cs="Microsoft New Tai Lue"/>
                <w:b/>
                <w:sz w:val="21"/>
                <w:szCs w:val="21"/>
                <w:highlight w:val="none"/>
                <w:lang w:val="en-US" w:eastAsia="zh-CN" w:bidi="ar-SA"/>
              </w:rPr>
              <w:t>条款号</w:t>
            </w:r>
          </w:p>
        </w:tc>
        <w:tc>
          <w:tcPr>
            <w:tcW w:w="2526" w:type="dxa"/>
            <w:noWrap w:val="0"/>
            <w:vAlign w:val="center"/>
          </w:tcPr>
          <w:p w14:paraId="41F79301">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b/>
                <w:sz w:val="21"/>
                <w:szCs w:val="21"/>
                <w:highlight w:val="none"/>
                <w:lang w:val="en-US" w:eastAsia="zh-CN" w:bidi="ar-SA"/>
              </w:rPr>
            </w:pPr>
            <w:r>
              <w:rPr>
                <w:rFonts w:ascii="Times New Roman" w:hAnsi="Times New Roman" w:eastAsia="宋体" w:cs="Microsoft New Tai Lue"/>
                <w:b/>
                <w:sz w:val="21"/>
                <w:szCs w:val="21"/>
                <w:highlight w:val="none"/>
                <w:lang w:val="en-US" w:eastAsia="zh-CN" w:bidi="ar-SA"/>
              </w:rPr>
              <w:t>条款名称</w:t>
            </w:r>
          </w:p>
        </w:tc>
        <w:tc>
          <w:tcPr>
            <w:tcW w:w="4791" w:type="dxa"/>
            <w:noWrap w:val="0"/>
            <w:vAlign w:val="center"/>
          </w:tcPr>
          <w:p w14:paraId="3160D302">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b/>
                <w:sz w:val="21"/>
                <w:szCs w:val="21"/>
                <w:highlight w:val="none"/>
                <w:lang w:val="en-US" w:eastAsia="zh-CN" w:bidi="ar-SA"/>
              </w:rPr>
            </w:pPr>
            <w:r>
              <w:rPr>
                <w:rFonts w:ascii="Times New Roman" w:hAnsi="Times New Roman" w:eastAsia="宋体" w:cs="Microsoft New Tai Lue"/>
                <w:b/>
                <w:sz w:val="21"/>
                <w:szCs w:val="21"/>
                <w:highlight w:val="none"/>
                <w:lang w:val="en-US" w:eastAsia="zh-CN" w:bidi="ar-SA"/>
              </w:rPr>
              <w:t>编列内容规定</w:t>
            </w:r>
          </w:p>
        </w:tc>
      </w:tr>
      <w:tr w14:paraId="1405A45F">
        <w:trPr>
          <w:jc w:val="center"/>
        </w:trPr>
        <w:tc>
          <w:tcPr>
            <w:tcW w:w="903" w:type="dxa"/>
            <w:noWrap w:val="0"/>
            <w:vAlign w:val="center"/>
          </w:tcPr>
          <w:p w14:paraId="48F9CF53">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4A63AB70">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2.1</w:t>
            </w:r>
          </w:p>
        </w:tc>
        <w:tc>
          <w:tcPr>
            <w:tcW w:w="2526" w:type="dxa"/>
            <w:noWrap w:val="0"/>
            <w:vAlign w:val="center"/>
          </w:tcPr>
          <w:p w14:paraId="6C5B9BE7">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采购人</w:t>
            </w:r>
          </w:p>
        </w:tc>
        <w:tc>
          <w:tcPr>
            <w:tcW w:w="4791" w:type="dxa"/>
            <w:noWrap w:val="0"/>
            <w:vAlign w:val="center"/>
          </w:tcPr>
          <w:p w14:paraId="22F24D80">
            <w:pPr>
              <w:keepNext w:val="0"/>
              <w:keepLines w:val="0"/>
              <w:pageBreakBefore w:val="0"/>
              <w:widowControl w:val="0"/>
              <w:spacing w:before="58" w:after="58" w:line="288" w:lineRule="auto"/>
              <w:ind w:left="42" w:right="42" w:firstLine="0"/>
              <w:jc w:val="left"/>
              <w:rPr>
                <w:rFonts w:hint="eastAsia" w:ascii="Times New Roman" w:hAnsi="Times New Roman" w:eastAsia="宋体" w:cs="宋体"/>
                <w:bCs/>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名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eastAsia="zh-CN" w:bidi="ar-SA"/>
              </w:rPr>
              <w:t>称：</w:t>
            </w:r>
            <w:r>
              <w:rPr>
                <w:rFonts w:hint="eastAsia" w:ascii="Times New Roman" w:hAnsi="Times New Roman" w:eastAsia="宋体" w:cs="宋体"/>
                <w:bCs/>
                <w:sz w:val="21"/>
                <w:szCs w:val="21"/>
                <w:highlight w:val="none"/>
                <w:lang w:val="en-US" w:eastAsia="zh-CN" w:bidi="ar-SA"/>
              </w:rPr>
              <w:t>江苏省高速公路经营管理中心</w:t>
            </w:r>
          </w:p>
          <w:p w14:paraId="1A9C9C7E">
            <w:pPr>
              <w:keepNext w:val="0"/>
              <w:keepLines w:val="0"/>
              <w:pageBreakBefore w:val="0"/>
              <w:widowControl w:val="0"/>
              <w:spacing w:before="58" w:after="58" w:line="288" w:lineRule="auto"/>
              <w:ind w:left="42" w:right="42" w:firstLine="0"/>
              <w:jc w:val="left"/>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地  址：</w:t>
            </w:r>
            <w:r>
              <w:rPr>
                <w:rFonts w:ascii="Times New Roman" w:hAnsi="Times New Roman" w:eastAsia="宋体" w:cs="Times New Roman"/>
                <w:sz w:val="21"/>
                <w:szCs w:val="21"/>
                <w:highlight w:val="none"/>
                <w:lang w:val="en-US" w:eastAsia="zh-CN" w:bidi="ar-SA"/>
              </w:rPr>
              <w:t>南京市鼓楼区江苏路60-1号</w:t>
            </w:r>
          </w:p>
          <w:p w14:paraId="4FFEDA01">
            <w:pPr>
              <w:pStyle w:val="267"/>
              <w:widowControl w:val="0"/>
              <w:spacing w:before="160" w:line="276" w:lineRule="auto"/>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联系人：</w:t>
            </w:r>
            <w:r>
              <w:rPr>
                <w:rFonts w:hint="eastAsia" w:ascii="宋体" w:hAnsi="宋体" w:eastAsia="宋体" w:cs="宋体"/>
                <w:color w:val="auto"/>
                <w:szCs w:val="21"/>
                <w:highlight w:val="none"/>
                <w:lang w:eastAsia="zh-CN"/>
              </w:rPr>
              <w:t>姜</w:t>
            </w:r>
            <w:r>
              <w:rPr>
                <w:rFonts w:hint="eastAsia" w:ascii="宋体" w:hAnsi="宋体" w:eastAsia="宋体" w:cs="宋体"/>
                <w:color w:val="auto"/>
                <w:szCs w:val="21"/>
                <w:highlight w:val="none"/>
                <w:lang w:val="en-US" w:eastAsia="zh-CN"/>
              </w:rPr>
              <w:t>工</w:t>
            </w:r>
          </w:p>
          <w:p w14:paraId="0224817B">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电话：15321276427</w:t>
            </w:r>
          </w:p>
        </w:tc>
      </w:tr>
      <w:tr w14:paraId="5BF84FF4">
        <w:trPr>
          <w:jc w:val="center"/>
        </w:trPr>
        <w:tc>
          <w:tcPr>
            <w:tcW w:w="903" w:type="dxa"/>
            <w:noWrap w:val="0"/>
            <w:vAlign w:val="center"/>
          </w:tcPr>
          <w:p w14:paraId="1578F3B5">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2DECB015">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2.2</w:t>
            </w:r>
          </w:p>
        </w:tc>
        <w:tc>
          <w:tcPr>
            <w:tcW w:w="2526" w:type="dxa"/>
            <w:noWrap w:val="0"/>
            <w:vAlign w:val="center"/>
          </w:tcPr>
          <w:p w14:paraId="1977399B">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采购代理机构</w:t>
            </w:r>
          </w:p>
        </w:tc>
        <w:tc>
          <w:tcPr>
            <w:tcW w:w="4791" w:type="dxa"/>
            <w:noWrap w:val="0"/>
            <w:vAlign w:val="center"/>
          </w:tcPr>
          <w:p w14:paraId="6B820BAF">
            <w:pPr>
              <w:pStyle w:val="267"/>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名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eastAsia="zh-CN" w:bidi="ar-SA"/>
              </w:rPr>
              <w:t>称 ：</w:t>
            </w:r>
            <w:r>
              <w:rPr>
                <w:rFonts w:hint="eastAsia" w:ascii="Times New Roman" w:hAnsi="Times New Roman" w:eastAsia="宋体" w:cs="Microsoft New Tai Lue"/>
                <w:sz w:val="21"/>
                <w:szCs w:val="21"/>
                <w:highlight w:val="none"/>
                <w:lang w:val="en-US" w:eastAsia="zh-CN" w:bidi="ar-SA"/>
              </w:rPr>
              <w:t>江苏省招标中心有限公司</w:t>
            </w:r>
          </w:p>
          <w:p w14:paraId="53F9FC2B">
            <w:pPr>
              <w:pStyle w:val="267"/>
              <w:spacing w:before="160" w:line="276" w:lineRule="auto"/>
              <w:jc w:val="both"/>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 xml:space="preserve">地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eastAsia="zh-CN" w:bidi="ar-SA"/>
              </w:rPr>
              <w:t>址 ：</w:t>
            </w:r>
            <w:r>
              <w:rPr>
                <w:rFonts w:hint="eastAsia" w:ascii="宋体" w:hAnsi="宋体" w:eastAsia="宋体" w:cs="宋体"/>
                <w:color w:val="000000"/>
                <w:sz w:val="21"/>
                <w:szCs w:val="21"/>
                <w:highlight w:val="none"/>
                <w:lang w:val="en-US" w:eastAsia="zh-CN"/>
              </w:rPr>
              <w:t>南京市雨花台区宁双路19号云密城C栋3楼 305室</w:t>
            </w:r>
          </w:p>
          <w:p w14:paraId="5F66DD4F">
            <w:pPr>
              <w:pStyle w:val="267"/>
              <w:spacing w:before="160" w:line="276" w:lineRule="auto"/>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联系人：</w:t>
            </w:r>
            <w:sdt>
              <w:sdtPr>
                <w:rPr>
                  <w:rFonts w:hint="eastAsia" w:ascii="宋体" w:hAnsi="宋体" w:eastAsia="宋体" w:cs="宋体"/>
                  <w:color w:val="000000"/>
                  <w:sz w:val="21"/>
                  <w:szCs w:val="21"/>
                  <w:highlight w:val="none"/>
                  <w:lang w:val="en-US" w:eastAsia="zh-CN"/>
                </w:rPr>
                <w:id w:val="147475652"/>
                <w:placeholder>
                  <w:docPart w:val="{30544da4-503c-45e8-a188-8033676490d8}"/>
                </w:placeholder>
              </w:sdtPr>
              <w:sdtEndPr>
                <w:rPr>
                  <w:rFonts w:hint="eastAsia" w:ascii="宋体" w:hAnsi="宋体" w:eastAsia="宋体" w:cs="宋体"/>
                  <w:color w:val="000000"/>
                  <w:sz w:val="21"/>
                  <w:szCs w:val="21"/>
                  <w:highlight w:val="none"/>
                  <w:lang w:val="en-US" w:eastAsia="zh-CN"/>
                </w:rPr>
              </w:sdtEndPr>
              <w:sdtContent>
                <w:r>
                  <w:rPr>
                    <w:rFonts w:hint="eastAsia" w:ascii="宋体" w:hAnsi="宋体" w:eastAsia="宋体" w:cs="宋体"/>
                    <w:color w:val="000000"/>
                    <w:sz w:val="21"/>
                    <w:szCs w:val="21"/>
                    <w:highlight w:val="none"/>
                    <w:lang w:val="en-US" w:eastAsia="zh-CN"/>
                  </w:rPr>
                  <w:t>呼禹、杨小莉、宗超</w:t>
                </w:r>
              </w:sdtContent>
            </w:sdt>
          </w:p>
          <w:p w14:paraId="101431DE">
            <w:pPr>
              <w:pStyle w:val="267"/>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zh-CN" w:eastAsia="zh-CN" w:bidi="zh-CN"/>
              </w:rPr>
            </w:pPr>
            <w:r>
              <w:rPr>
                <w:rFonts w:hint="eastAsia" w:ascii="宋体" w:hAnsi="宋体" w:eastAsia="宋体" w:cs="宋体"/>
                <w:color w:val="000000"/>
                <w:sz w:val="21"/>
                <w:szCs w:val="21"/>
                <w:highlight w:val="none"/>
                <w:lang w:val="en-US" w:eastAsia="zh-CN"/>
              </w:rPr>
              <w:t>电话：</w:t>
            </w:r>
            <w:sdt>
              <w:sdtPr>
                <w:rPr>
                  <w:rFonts w:hint="eastAsia" w:ascii="宋体" w:hAnsi="宋体" w:eastAsia="宋体" w:cs="宋体"/>
                  <w:color w:val="000000"/>
                  <w:sz w:val="21"/>
                  <w:szCs w:val="21"/>
                  <w:highlight w:val="none"/>
                  <w:lang w:val="en-US" w:eastAsia="zh-CN"/>
                </w:rPr>
                <w:id w:val="147482827"/>
                <w:placeholder>
                  <w:docPart w:val="{144600ac-0a41-41b7-bad1-8f8cc45eeedb}"/>
                </w:placeholder>
              </w:sdtPr>
              <w:sdtEndPr>
                <w:rPr>
                  <w:rFonts w:hint="eastAsia" w:ascii="宋体" w:hAnsi="宋体" w:eastAsia="宋体" w:cs="宋体"/>
                  <w:color w:val="auto"/>
                  <w:sz w:val="21"/>
                  <w:szCs w:val="21"/>
                  <w:highlight w:val="none"/>
                  <w:lang w:val="en-US" w:eastAsia="zh-CN"/>
                </w:rPr>
              </w:sdtEndPr>
              <w:sdtContent>
                <w:r>
                  <w:rPr>
                    <w:rFonts w:hint="eastAsia" w:ascii="宋体" w:hAnsi="宋体" w:eastAsia="宋体" w:cs="宋体"/>
                    <w:color w:val="000000"/>
                    <w:sz w:val="21"/>
                    <w:szCs w:val="21"/>
                    <w:highlight w:val="none"/>
                    <w:lang w:val="en-US" w:eastAsia="zh-CN"/>
                  </w:rPr>
                  <w:t xml:space="preserve">18021508706、18761879918 </w:t>
                </w:r>
              </w:sdtContent>
            </w:sdt>
          </w:p>
        </w:tc>
      </w:tr>
      <w:tr w14:paraId="19E3BE5D">
        <w:trPr>
          <w:jc w:val="center"/>
        </w:trPr>
        <w:tc>
          <w:tcPr>
            <w:tcW w:w="903" w:type="dxa"/>
            <w:noWrap w:val="0"/>
            <w:vAlign w:val="center"/>
          </w:tcPr>
          <w:p w14:paraId="40EC5E27">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2B865F1B">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4</w:t>
            </w:r>
          </w:p>
        </w:tc>
        <w:tc>
          <w:tcPr>
            <w:tcW w:w="2526" w:type="dxa"/>
            <w:noWrap w:val="0"/>
            <w:vAlign w:val="center"/>
          </w:tcPr>
          <w:p w14:paraId="01A16857">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本项目执行的政府采购政策</w:t>
            </w:r>
          </w:p>
        </w:tc>
        <w:tc>
          <w:tcPr>
            <w:tcW w:w="4791" w:type="dxa"/>
            <w:noWrap w:val="0"/>
            <w:vAlign w:val="center"/>
          </w:tcPr>
          <w:p w14:paraId="15EEB7AE">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bCs/>
                <w:sz w:val="21"/>
                <w:szCs w:val="21"/>
                <w:highlight w:val="none"/>
                <w:lang w:val="en-US" w:eastAsia="zh-CN" w:bidi="ar-SA"/>
              </w:rPr>
            </w:pPr>
            <w:r>
              <w:rPr>
                <w:rFonts w:ascii="Times New Roman" w:hAnsi="Times New Roman" w:eastAsia="宋体" w:cs="Microsoft New Tai Lue"/>
                <w:bCs/>
                <w:sz w:val="21"/>
                <w:szCs w:val="21"/>
                <w:highlight w:val="none"/>
                <w:lang w:val="en-US" w:eastAsia="zh-CN" w:bidi="ar-SA"/>
              </w:rPr>
              <w:t>详见</w:t>
            </w:r>
            <w:r>
              <w:rPr>
                <w:rFonts w:ascii="Times New Roman" w:hAnsi="Times New Roman" w:eastAsia="宋体" w:cs="Microsoft New Tai Lue"/>
                <w:sz w:val="21"/>
                <w:szCs w:val="21"/>
                <w:highlight w:val="none"/>
                <w:lang w:val="en-US" w:eastAsia="zh-CN" w:bidi="ar-SA"/>
              </w:rPr>
              <w:t>招标文件第</w:t>
            </w:r>
            <w:r>
              <w:rPr>
                <w:rFonts w:hint="eastAsia" w:ascii="Times New Roman" w:hAnsi="Times New Roman" w:eastAsia="宋体" w:cs="Microsoft New Tai Lue"/>
                <w:sz w:val="21"/>
                <w:szCs w:val="21"/>
                <w:highlight w:val="none"/>
                <w:lang w:val="en-US" w:eastAsia="zh-CN" w:bidi="ar-SA"/>
              </w:rPr>
              <w:t>一</w:t>
            </w:r>
            <w:r>
              <w:rPr>
                <w:rFonts w:ascii="Times New Roman" w:hAnsi="Times New Roman" w:eastAsia="宋体" w:cs="Microsoft New Tai Lue"/>
                <w:sz w:val="21"/>
                <w:szCs w:val="21"/>
                <w:highlight w:val="none"/>
                <w:lang w:val="en-US" w:eastAsia="zh-CN" w:bidi="ar-SA"/>
              </w:rPr>
              <w:t>章《</w:t>
            </w:r>
            <w:r>
              <w:rPr>
                <w:rFonts w:hint="eastAsia" w:ascii="Times New Roman" w:hAnsi="Times New Roman" w:eastAsia="宋体" w:cs="Microsoft New Tai Lue"/>
                <w:sz w:val="21"/>
                <w:szCs w:val="21"/>
                <w:highlight w:val="none"/>
                <w:lang w:val="en-US" w:eastAsia="zh-CN" w:bidi="ar-SA"/>
              </w:rPr>
              <w:t>招标公告</w:t>
            </w:r>
            <w:r>
              <w:rPr>
                <w:rFonts w:ascii="Times New Roman" w:hAnsi="Times New Roman" w:eastAsia="宋体" w:cs="Microsoft New Tai Lue"/>
                <w:sz w:val="21"/>
                <w:szCs w:val="21"/>
                <w:highlight w:val="none"/>
                <w:lang w:val="en-US" w:eastAsia="zh-CN" w:bidi="ar-SA"/>
              </w:rPr>
              <w:t>》</w:t>
            </w:r>
          </w:p>
        </w:tc>
      </w:tr>
      <w:tr w14:paraId="2BD453BC">
        <w:trPr>
          <w:jc w:val="center"/>
        </w:trPr>
        <w:tc>
          <w:tcPr>
            <w:tcW w:w="903" w:type="dxa"/>
            <w:noWrap w:val="0"/>
            <w:vAlign w:val="center"/>
          </w:tcPr>
          <w:p w14:paraId="111AC25B">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5A0AB9B6">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8.1</w:t>
            </w:r>
          </w:p>
        </w:tc>
        <w:tc>
          <w:tcPr>
            <w:tcW w:w="2526" w:type="dxa"/>
            <w:noWrap w:val="0"/>
            <w:vAlign w:val="center"/>
          </w:tcPr>
          <w:p w14:paraId="239C74D0">
            <w:pPr>
              <w:keepNext w:val="0"/>
              <w:keepLines w:val="0"/>
              <w:pageBreakBefore w:val="0"/>
              <w:widowControl w:val="0"/>
              <w:spacing w:before="58" w:after="58" w:line="288" w:lineRule="auto"/>
              <w:ind w:left="42" w:right="42" w:firstLine="0"/>
              <w:jc w:val="left"/>
              <w:rPr>
                <w:rFonts w:hint="default" w:ascii="Times New Roman" w:hAnsi="Times New Roman" w:eastAsia="宋体" w:cs="Microsoft New Tai Lue"/>
                <w:bCs/>
                <w:sz w:val="21"/>
                <w:szCs w:val="21"/>
                <w:highlight w:val="none"/>
                <w:lang w:val="en-US" w:eastAsia="zh-CN" w:bidi="ar-SA"/>
              </w:rPr>
            </w:pPr>
            <w:r>
              <w:rPr>
                <w:rFonts w:ascii="Times New Roman" w:hAnsi="Times New Roman" w:eastAsia="宋体" w:cs="Microsoft New Tai Lue"/>
                <w:bCs/>
                <w:sz w:val="21"/>
                <w:szCs w:val="21"/>
                <w:highlight w:val="none"/>
                <w:lang w:val="en-US" w:eastAsia="zh-CN" w:bidi="ar-SA"/>
              </w:rPr>
              <w:t>现场</w:t>
            </w:r>
            <w:r>
              <w:rPr>
                <w:rFonts w:hint="eastAsia" w:cs="Microsoft New Tai Lue"/>
                <w:bCs/>
                <w:sz w:val="21"/>
                <w:szCs w:val="21"/>
                <w:highlight w:val="none"/>
                <w:lang w:val="en-US" w:eastAsia="zh-CN" w:bidi="ar-SA"/>
              </w:rPr>
              <w:t>踏勘</w:t>
            </w:r>
          </w:p>
        </w:tc>
        <w:tc>
          <w:tcPr>
            <w:tcW w:w="4791" w:type="dxa"/>
            <w:noWrap w:val="0"/>
            <w:vAlign w:val="center"/>
          </w:tcPr>
          <w:p w14:paraId="6D209708">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Segoe UI Symbol"/>
                <w:bCs/>
                <w:sz w:val="21"/>
                <w:szCs w:val="21"/>
                <w:highlight w:val="none"/>
                <w:lang w:val="en-US" w:eastAsia="zh-CN" w:bidi="ar-SA"/>
              </w:rPr>
              <w:t>■</w:t>
            </w:r>
            <w:r>
              <w:rPr>
                <w:rFonts w:ascii="Times New Roman" w:hAnsi="Times New Roman" w:eastAsia="宋体" w:cs="Microsoft New Tai Lue"/>
                <w:bCs/>
                <w:sz w:val="21"/>
                <w:szCs w:val="21"/>
                <w:highlight w:val="none"/>
                <w:lang w:val="en-US" w:eastAsia="zh-CN" w:bidi="ar-SA"/>
              </w:rPr>
              <w:t>不组织</w:t>
            </w:r>
          </w:p>
        </w:tc>
      </w:tr>
      <w:tr w14:paraId="26D82647">
        <w:trPr>
          <w:jc w:val="center"/>
        </w:trPr>
        <w:tc>
          <w:tcPr>
            <w:tcW w:w="903" w:type="dxa"/>
            <w:noWrap w:val="0"/>
            <w:vAlign w:val="center"/>
          </w:tcPr>
          <w:p w14:paraId="0BCBC00D">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106554D8">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9</w:t>
            </w:r>
            <w:r>
              <w:rPr>
                <w:rFonts w:ascii="Times New Roman" w:hAnsi="Times New Roman" w:eastAsia="宋体" w:cs="Microsoft New Tai Lue"/>
                <w:sz w:val="21"/>
                <w:szCs w:val="21"/>
                <w:highlight w:val="none"/>
                <w:lang w:val="en-US" w:eastAsia="zh-CN" w:bidi="ar-SA"/>
              </w:rPr>
              <w:t>.1</w:t>
            </w:r>
          </w:p>
        </w:tc>
        <w:tc>
          <w:tcPr>
            <w:tcW w:w="2526" w:type="dxa"/>
            <w:noWrap w:val="0"/>
            <w:vAlign w:val="center"/>
          </w:tcPr>
          <w:p w14:paraId="55B1A176">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开标</w:t>
            </w:r>
            <w:r>
              <w:rPr>
                <w:rFonts w:ascii="Times New Roman" w:hAnsi="Times New Roman" w:eastAsia="宋体" w:cs="Microsoft New Tai Lue"/>
                <w:sz w:val="21"/>
                <w:szCs w:val="21"/>
                <w:highlight w:val="none"/>
                <w:lang w:val="en-US" w:eastAsia="zh-CN" w:bidi="ar-SA"/>
              </w:rPr>
              <w:t>前答疑会</w:t>
            </w:r>
          </w:p>
        </w:tc>
        <w:tc>
          <w:tcPr>
            <w:tcW w:w="4791" w:type="dxa"/>
            <w:noWrap w:val="0"/>
            <w:vAlign w:val="center"/>
          </w:tcPr>
          <w:p w14:paraId="19E9DAA4">
            <w:pPr>
              <w:pStyle w:val="267"/>
              <w:keepNext w:val="0"/>
              <w:keepLines w:val="0"/>
              <w:pageBreakBefore w:val="0"/>
              <w:widowControl w:val="0"/>
              <w:spacing w:before="58" w:after="58" w:line="288" w:lineRule="auto"/>
              <w:ind w:left="42" w:right="42" w:firstLine="0"/>
              <w:jc w:val="left"/>
              <w:rPr>
                <w:rFonts w:hint="eastAsia" w:ascii="Times New Roman" w:hAnsi="Times New Roman" w:eastAsia="宋体" w:cs="Segoe UI Symbol"/>
                <w:bCs/>
                <w:sz w:val="22"/>
                <w:szCs w:val="21"/>
                <w:highlight w:val="none"/>
                <w:lang w:val="zh-CN" w:eastAsia="zh-CN" w:bidi="zh-CN"/>
              </w:rPr>
            </w:pPr>
            <w:r>
              <w:rPr>
                <w:rFonts w:hint="eastAsia" w:ascii="Times New Roman" w:hAnsi="Times New Roman" w:eastAsia="宋体" w:cs="Segoe UI Symbol"/>
                <w:bCs/>
                <w:sz w:val="22"/>
                <w:szCs w:val="21"/>
                <w:highlight w:val="none"/>
                <w:lang w:val="zh-CN" w:eastAsia="zh-CN" w:bidi="zh-CN"/>
              </w:rPr>
              <w:t>■</w:t>
            </w:r>
            <w:r>
              <w:rPr>
                <w:rFonts w:hint="eastAsia" w:ascii="Times New Roman" w:hAnsi="Times New Roman" w:eastAsia="宋体" w:cs="Times New Roman"/>
                <w:sz w:val="21"/>
                <w:szCs w:val="21"/>
                <w:highlight w:val="none"/>
                <w:lang w:val="en-US" w:eastAsia="zh-CN" w:bidi="ar-SA"/>
              </w:rPr>
              <w:t>不召开</w:t>
            </w:r>
          </w:p>
        </w:tc>
      </w:tr>
      <w:tr w14:paraId="4506A2AE">
        <w:trPr>
          <w:jc w:val="center"/>
        </w:trPr>
        <w:tc>
          <w:tcPr>
            <w:tcW w:w="903" w:type="dxa"/>
            <w:noWrap w:val="0"/>
            <w:vAlign w:val="center"/>
          </w:tcPr>
          <w:p w14:paraId="09A2C6A1">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5C777BBE">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10.1</w:t>
            </w:r>
          </w:p>
        </w:tc>
        <w:tc>
          <w:tcPr>
            <w:tcW w:w="2526" w:type="dxa"/>
            <w:noWrap w:val="0"/>
            <w:vAlign w:val="center"/>
          </w:tcPr>
          <w:p w14:paraId="1FB88569">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联合体投标</w:t>
            </w:r>
          </w:p>
        </w:tc>
        <w:tc>
          <w:tcPr>
            <w:tcW w:w="4791" w:type="dxa"/>
            <w:noWrap w:val="0"/>
            <w:vAlign w:val="center"/>
          </w:tcPr>
          <w:p w14:paraId="0AAEA4EA">
            <w:pPr>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Segoe UI Symbol"/>
                <w:bCs/>
                <w:sz w:val="21"/>
                <w:szCs w:val="21"/>
                <w:highlight w:val="none"/>
                <w:lang w:val="en-US" w:eastAsia="zh-CN" w:bidi="ar-SA"/>
              </w:rPr>
              <w:t>■</w:t>
            </w:r>
            <w:r>
              <w:rPr>
                <w:rFonts w:ascii="Times New Roman" w:hAnsi="Times New Roman" w:eastAsia="宋体" w:cs="Microsoft New Tai Lue"/>
                <w:bCs/>
                <w:sz w:val="21"/>
                <w:szCs w:val="21"/>
                <w:highlight w:val="none"/>
                <w:lang w:val="en-US" w:eastAsia="zh-CN" w:bidi="ar-SA"/>
              </w:rPr>
              <w:t>不接受</w:t>
            </w:r>
          </w:p>
        </w:tc>
      </w:tr>
      <w:tr w14:paraId="75E67117">
        <w:trPr>
          <w:jc w:val="center"/>
        </w:trPr>
        <w:tc>
          <w:tcPr>
            <w:tcW w:w="903" w:type="dxa"/>
            <w:noWrap w:val="0"/>
            <w:vAlign w:val="center"/>
          </w:tcPr>
          <w:p w14:paraId="0B03C0CC">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007D9907">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1</w:t>
            </w:r>
            <w:r>
              <w:rPr>
                <w:rFonts w:ascii="Times New Roman" w:hAnsi="Times New Roman" w:eastAsia="宋体" w:cs="Microsoft New Tai Lue"/>
                <w:sz w:val="21"/>
                <w:szCs w:val="21"/>
                <w:highlight w:val="none"/>
                <w:lang w:val="en-US" w:eastAsia="zh-CN" w:bidi="ar-SA"/>
              </w:rPr>
              <w:t>1</w:t>
            </w:r>
            <w:r>
              <w:rPr>
                <w:rFonts w:hint="eastAsia" w:ascii="Times New Roman" w:hAnsi="Times New Roman" w:eastAsia="宋体" w:cs="Microsoft New Tai Lue"/>
                <w:sz w:val="21"/>
                <w:szCs w:val="21"/>
                <w:highlight w:val="none"/>
                <w:lang w:val="en-US" w:eastAsia="zh-CN" w:bidi="ar-SA"/>
              </w:rPr>
              <w:t>.1</w:t>
            </w:r>
          </w:p>
        </w:tc>
        <w:tc>
          <w:tcPr>
            <w:tcW w:w="2526" w:type="dxa"/>
            <w:noWrap w:val="0"/>
            <w:vAlign w:val="center"/>
          </w:tcPr>
          <w:p w14:paraId="0D3632A7">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分包</w:t>
            </w:r>
          </w:p>
        </w:tc>
        <w:tc>
          <w:tcPr>
            <w:tcW w:w="4791" w:type="dxa"/>
            <w:noWrap w:val="0"/>
            <w:vAlign w:val="center"/>
          </w:tcPr>
          <w:p w14:paraId="46DB6059">
            <w:pPr>
              <w:keepNext w:val="0"/>
              <w:keepLines w:val="0"/>
              <w:pageBreakBefore w:val="0"/>
              <w:widowControl w:val="0"/>
              <w:spacing w:before="58" w:after="58" w:line="288" w:lineRule="auto"/>
              <w:ind w:left="42" w:right="42" w:firstLine="0"/>
              <w:jc w:val="both"/>
              <w:rPr>
                <w:rFonts w:hint="eastAsia" w:ascii="Times New Roman" w:hAnsi="Times New Roman" w:eastAsia="宋体" w:cs="Segoe UI Symbol"/>
                <w:bCs/>
                <w:sz w:val="21"/>
                <w:szCs w:val="21"/>
                <w:highlight w:val="none"/>
                <w:lang w:val="en-US" w:eastAsia="zh-CN" w:bidi="ar-SA"/>
              </w:rPr>
            </w:pPr>
            <w:r>
              <w:rPr>
                <w:rFonts w:ascii="Times New Roman" w:hAnsi="Times New Roman" w:eastAsia="宋体" w:cs="Times New Roman"/>
                <w:sz w:val="21"/>
                <w:szCs w:val="21"/>
                <w:highlight w:val="none"/>
                <w:lang w:val="en-US" w:eastAsia="zh-CN" w:bidi="ar-SA"/>
              </w:rPr>
              <w:t>本项目的非主体、非关键性工作是否允许分包：</w:t>
            </w:r>
          </w:p>
          <w:p w14:paraId="251B967F">
            <w:pPr>
              <w:keepNext w:val="0"/>
              <w:keepLines w:val="0"/>
              <w:pageBreakBefore w:val="0"/>
              <w:widowControl w:val="0"/>
              <w:spacing w:before="58" w:after="58" w:line="288" w:lineRule="auto"/>
              <w:ind w:left="42" w:right="42" w:firstLine="0"/>
              <w:jc w:val="both"/>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Segoe UI Symbol"/>
                <w:bCs/>
                <w:sz w:val="21"/>
                <w:szCs w:val="21"/>
                <w:highlight w:val="none"/>
                <w:lang w:val="en-US" w:eastAsia="zh-CN" w:bidi="ar-SA"/>
              </w:rPr>
              <w:t>■</w:t>
            </w:r>
            <w:r>
              <w:rPr>
                <w:rFonts w:ascii="Times New Roman" w:hAnsi="Times New Roman" w:eastAsia="宋体" w:cs="Microsoft New Tai Lue"/>
                <w:bCs/>
                <w:sz w:val="21"/>
                <w:szCs w:val="21"/>
                <w:highlight w:val="none"/>
                <w:lang w:val="en-US" w:eastAsia="zh-CN" w:bidi="ar-SA"/>
              </w:rPr>
              <w:t>不</w:t>
            </w:r>
            <w:r>
              <w:rPr>
                <w:rFonts w:hint="eastAsia" w:ascii="Times New Roman" w:hAnsi="Times New Roman" w:eastAsia="宋体" w:cs="Microsoft New Tai Lue"/>
                <w:bCs/>
                <w:sz w:val="21"/>
                <w:szCs w:val="21"/>
                <w:highlight w:val="none"/>
                <w:lang w:val="en-US" w:eastAsia="zh-CN" w:bidi="ar-SA"/>
              </w:rPr>
              <w:t>允许</w:t>
            </w:r>
          </w:p>
        </w:tc>
      </w:tr>
      <w:tr w14:paraId="7D4CE72D">
        <w:trPr>
          <w:trHeight w:val="656" w:hRule="atLeast"/>
          <w:jc w:val="center"/>
        </w:trPr>
        <w:tc>
          <w:tcPr>
            <w:tcW w:w="903" w:type="dxa"/>
            <w:noWrap w:val="0"/>
            <w:vAlign w:val="center"/>
          </w:tcPr>
          <w:p w14:paraId="7F1AAE8C">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03E1B13D">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1</w:t>
            </w:r>
            <w:r>
              <w:rPr>
                <w:rFonts w:ascii="Times New Roman" w:hAnsi="Times New Roman" w:eastAsia="宋体" w:cs="Microsoft New Tai Lue"/>
                <w:sz w:val="21"/>
                <w:szCs w:val="21"/>
                <w:highlight w:val="none"/>
                <w:lang w:val="en-US" w:eastAsia="zh-CN" w:bidi="ar-SA"/>
              </w:rPr>
              <w:t>4</w:t>
            </w:r>
            <w:r>
              <w:rPr>
                <w:rFonts w:hint="eastAsia" w:ascii="Times New Roman" w:hAnsi="Times New Roman" w:eastAsia="宋体" w:cs="Microsoft New Tai Lue"/>
                <w:sz w:val="21"/>
                <w:szCs w:val="21"/>
                <w:highlight w:val="none"/>
                <w:lang w:val="en-US" w:eastAsia="zh-CN" w:bidi="ar-SA"/>
              </w:rPr>
              <w:t>.1</w:t>
            </w:r>
          </w:p>
        </w:tc>
        <w:tc>
          <w:tcPr>
            <w:tcW w:w="2526" w:type="dxa"/>
            <w:noWrap w:val="0"/>
            <w:vAlign w:val="center"/>
          </w:tcPr>
          <w:p w14:paraId="02A65D52">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采购</w:t>
            </w:r>
            <w:r>
              <w:rPr>
                <w:rFonts w:ascii="Times New Roman" w:hAnsi="Times New Roman" w:eastAsia="宋体" w:cs="Microsoft New Tai Lue"/>
                <w:sz w:val="21"/>
                <w:szCs w:val="21"/>
                <w:highlight w:val="none"/>
                <w:lang w:val="en-US" w:eastAsia="zh-CN" w:bidi="ar-SA"/>
              </w:rPr>
              <w:t>预算</w:t>
            </w:r>
          </w:p>
        </w:tc>
        <w:tc>
          <w:tcPr>
            <w:tcW w:w="4791" w:type="dxa"/>
            <w:noWrap w:val="0"/>
            <w:vAlign w:val="center"/>
          </w:tcPr>
          <w:p w14:paraId="5009F1B8">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bCs/>
                <w:sz w:val="21"/>
                <w:szCs w:val="21"/>
                <w:highlight w:val="none"/>
                <w:lang w:val="en-US" w:eastAsia="zh-CN" w:bidi="ar-SA"/>
              </w:rPr>
              <w:t>详见</w:t>
            </w:r>
            <w:r>
              <w:rPr>
                <w:rFonts w:ascii="Times New Roman" w:hAnsi="Times New Roman" w:eastAsia="宋体" w:cs="Microsoft New Tai Lue"/>
                <w:sz w:val="21"/>
                <w:szCs w:val="21"/>
                <w:highlight w:val="none"/>
                <w:lang w:val="en-US" w:eastAsia="zh-CN" w:bidi="ar-SA"/>
              </w:rPr>
              <w:t>招标文件第</w:t>
            </w:r>
            <w:r>
              <w:rPr>
                <w:rFonts w:hint="eastAsia" w:ascii="Times New Roman" w:hAnsi="Times New Roman" w:eastAsia="宋体" w:cs="Microsoft New Tai Lue"/>
                <w:sz w:val="21"/>
                <w:szCs w:val="21"/>
                <w:highlight w:val="none"/>
                <w:lang w:val="en-US" w:eastAsia="zh-CN" w:bidi="ar-SA"/>
              </w:rPr>
              <w:t>一</w:t>
            </w:r>
            <w:r>
              <w:rPr>
                <w:rFonts w:ascii="Times New Roman" w:hAnsi="Times New Roman" w:eastAsia="宋体" w:cs="Microsoft New Tai Lue"/>
                <w:sz w:val="21"/>
                <w:szCs w:val="21"/>
                <w:highlight w:val="none"/>
                <w:lang w:val="en-US" w:eastAsia="zh-CN" w:bidi="ar-SA"/>
              </w:rPr>
              <w:t>章《</w:t>
            </w:r>
            <w:r>
              <w:rPr>
                <w:rFonts w:hint="eastAsia" w:ascii="Times New Roman" w:hAnsi="Times New Roman" w:eastAsia="宋体" w:cs="Microsoft New Tai Lue"/>
                <w:sz w:val="21"/>
                <w:szCs w:val="21"/>
                <w:highlight w:val="none"/>
                <w:lang w:val="en-US" w:eastAsia="zh-CN" w:bidi="ar-SA"/>
              </w:rPr>
              <w:t>招标公告</w:t>
            </w:r>
            <w:r>
              <w:rPr>
                <w:rFonts w:ascii="Times New Roman" w:hAnsi="Times New Roman" w:eastAsia="宋体" w:cs="Microsoft New Tai Lue"/>
                <w:sz w:val="21"/>
                <w:szCs w:val="21"/>
                <w:highlight w:val="none"/>
                <w:lang w:val="en-US" w:eastAsia="zh-CN" w:bidi="ar-SA"/>
              </w:rPr>
              <w:t>》</w:t>
            </w:r>
          </w:p>
        </w:tc>
      </w:tr>
      <w:tr w14:paraId="28A3E8E2">
        <w:trPr>
          <w:trHeight w:val="746" w:hRule="atLeast"/>
          <w:jc w:val="center"/>
        </w:trPr>
        <w:tc>
          <w:tcPr>
            <w:tcW w:w="903" w:type="dxa"/>
            <w:noWrap w:val="0"/>
            <w:vAlign w:val="center"/>
          </w:tcPr>
          <w:p w14:paraId="64A08F83">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2A6D0525">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1</w:t>
            </w:r>
            <w:r>
              <w:rPr>
                <w:rFonts w:ascii="Times New Roman" w:hAnsi="Times New Roman" w:eastAsia="宋体" w:cs="Microsoft New Tai Lue"/>
                <w:sz w:val="21"/>
                <w:szCs w:val="21"/>
                <w:highlight w:val="none"/>
                <w:lang w:val="en-US" w:eastAsia="zh-CN" w:bidi="ar-SA"/>
              </w:rPr>
              <w:t>4</w:t>
            </w:r>
            <w:r>
              <w:rPr>
                <w:rFonts w:hint="eastAsia" w:ascii="Times New Roman" w:hAnsi="Times New Roman" w:eastAsia="宋体" w:cs="Microsoft New Tai Lue"/>
                <w:sz w:val="21"/>
                <w:szCs w:val="21"/>
                <w:highlight w:val="none"/>
                <w:lang w:val="en-US" w:eastAsia="zh-CN" w:bidi="ar-SA"/>
              </w:rPr>
              <w:t>.2</w:t>
            </w:r>
          </w:p>
        </w:tc>
        <w:tc>
          <w:tcPr>
            <w:tcW w:w="2526" w:type="dxa"/>
            <w:noWrap w:val="0"/>
            <w:vAlign w:val="center"/>
          </w:tcPr>
          <w:p w14:paraId="114E6992">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本项目设定的最高限价</w:t>
            </w:r>
          </w:p>
        </w:tc>
        <w:tc>
          <w:tcPr>
            <w:tcW w:w="4791" w:type="dxa"/>
            <w:noWrap w:val="0"/>
            <w:vAlign w:val="center"/>
          </w:tcPr>
          <w:p w14:paraId="0400E487">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bCs/>
                <w:sz w:val="21"/>
                <w:szCs w:val="21"/>
                <w:highlight w:val="none"/>
                <w:lang w:val="en-US" w:eastAsia="zh-CN" w:bidi="ar-SA"/>
              </w:rPr>
              <w:t>详见</w:t>
            </w:r>
            <w:r>
              <w:rPr>
                <w:rFonts w:ascii="Times New Roman" w:hAnsi="Times New Roman" w:eastAsia="宋体" w:cs="Microsoft New Tai Lue"/>
                <w:sz w:val="21"/>
                <w:szCs w:val="21"/>
                <w:highlight w:val="none"/>
                <w:lang w:val="en-US" w:eastAsia="zh-CN" w:bidi="ar-SA"/>
              </w:rPr>
              <w:t>招标文件第</w:t>
            </w:r>
            <w:r>
              <w:rPr>
                <w:rFonts w:hint="eastAsia" w:ascii="Times New Roman" w:hAnsi="Times New Roman" w:eastAsia="宋体" w:cs="Microsoft New Tai Lue"/>
                <w:sz w:val="21"/>
                <w:szCs w:val="21"/>
                <w:highlight w:val="none"/>
                <w:lang w:val="en-US" w:eastAsia="zh-CN" w:bidi="ar-SA"/>
              </w:rPr>
              <w:t>一</w:t>
            </w:r>
            <w:r>
              <w:rPr>
                <w:rFonts w:ascii="Times New Roman" w:hAnsi="Times New Roman" w:eastAsia="宋体" w:cs="Microsoft New Tai Lue"/>
                <w:sz w:val="21"/>
                <w:szCs w:val="21"/>
                <w:highlight w:val="none"/>
                <w:lang w:val="en-US" w:eastAsia="zh-CN" w:bidi="ar-SA"/>
              </w:rPr>
              <w:t>章《</w:t>
            </w:r>
            <w:r>
              <w:rPr>
                <w:rFonts w:hint="eastAsia" w:ascii="Times New Roman" w:hAnsi="Times New Roman" w:eastAsia="宋体" w:cs="Microsoft New Tai Lue"/>
                <w:sz w:val="21"/>
                <w:szCs w:val="21"/>
                <w:highlight w:val="none"/>
                <w:lang w:val="en-US" w:eastAsia="zh-CN" w:bidi="ar-SA"/>
              </w:rPr>
              <w:t>招标公告</w:t>
            </w:r>
            <w:r>
              <w:rPr>
                <w:rFonts w:ascii="Times New Roman" w:hAnsi="Times New Roman" w:eastAsia="宋体" w:cs="Microsoft New Tai Lue"/>
                <w:sz w:val="21"/>
                <w:szCs w:val="21"/>
                <w:highlight w:val="none"/>
                <w:lang w:val="en-US" w:eastAsia="zh-CN" w:bidi="ar-SA"/>
              </w:rPr>
              <w:t>》</w:t>
            </w:r>
          </w:p>
        </w:tc>
      </w:tr>
      <w:tr w14:paraId="369FECC5">
        <w:trPr>
          <w:trHeight w:val="656" w:hRule="atLeast"/>
          <w:jc w:val="center"/>
        </w:trPr>
        <w:tc>
          <w:tcPr>
            <w:tcW w:w="903" w:type="dxa"/>
            <w:noWrap w:val="0"/>
            <w:vAlign w:val="center"/>
          </w:tcPr>
          <w:p w14:paraId="1934769E">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21EB8BD6">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1</w:t>
            </w:r>
            <w:r>
              <w:rPr>
                <w:rFonts w:ascii="Times New Roman" w:hAnsi="Times New Roman" w:eastAsia="宋体" w:cs="Microsoft New Tai Lue"/>
                <w:sz w:val="21"/>
                <w:szCs w:val="21"/>
                <w:highlight w:val="none"/>
                <w:lang w:val="en-US" w:eastAsia="zh-CN" w:bidi="ar-SA"/>
              </w:rPr>
              <w:t>5</w:t>
            </w:r>
            <w:r>
              <w:rPr>
                <w:rFonts w:hint="eastAsia" w:ascii="Times New Roman" w:hAnsi="Times New Roman" w:eastAsia="宋体" w:cs="Microsoft New Tai Lue"/>
                <w:sz w:val="21"/>
                <w:szCs w:val="21"/>
                <w:highlight w:val="none"/>
                <w:lang w:val="en-US" w:eastAsia="zh-CN" w:bidi="ar-SA"/>
              </w:rPr>
              <w:t>.1</w:t>
            </w:r>
          </w:p>
        </w:tc>
        <w:tc>
          <w:tcPr>
            <w:tcW w:w="2526" w:type="dxa"/>
            <w:noWrap w:val="0"/>
            <w:vAlign w:val="center"/>
          </w:tcPr>
          <w:p w14:paraId="5BF25D35">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供应商</w:t>
            </w:r>
            <w:r>
              <w:rPr>
                <w:rFonts w:ascii="Times New Roman" w:hAnsi="Times New Roman" w:eastAsia="宋体" w:cs="Microsoft New Tai Lue"/>
                <w:bCs/>
                <w:sz w:val="21"/>
                <w:szCs w:val="21"/>
                <w:highlight w:val="none"/>
                <w:lang w:val="en-US" w:eastAsia="zh-CN" w:bidi="ar-SA"/>
              </w:rPr>
              <w:t>资格条件</w:t>
            </w:r>
          </w:p>
        </w:tc>
        <w:tc>
          <w:tcPr>
            <w:tcW w:w="4791" w:type="dxa"/>
            <w:noWrap w:val="0"/>
            <w:vAlign w:val="center"/>
          </w:tcPr>
          <w:p w14:paraId="5005397A">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bCs/>
                <w:sz w:val="21"/>
                <w:szCs w:val="21"/>
                <w:highlight w:val="none"/>
                <w:lang w:val="en-US" w:eastAsia="zh-CN" w:bidi="ar-SA"/>
              </w:rPr>
            </w:pPr>
            <w:r>
              <w:rPr>
                <w:rFonts w:ascii="Times New Roman" w:hAnsi="Times New Roman" w:eastAsia="宋体" w:cs="Microsoft New Tai Lue"/>
                <w:bCs/>
                <w:sz w:val="21"/>
                <w:szCs w:val="21"/>
                <w:highlight w:val="none"/>
                <w:lang w:val="en-US" w:eastAsia="zh-CN" w:bidi="ar-SA"/>
              </w:rPr>
              <w:t>详见招标文件第一章《</w:t>
            </w:r>
            <w:r>
              <w:rPr>
                <w:rFonts w:hint="eastAsia" w:ascii="Times New Roman" w:hAnsi="Times New Roman" w:eastAsia="宋体" w:cs="Microsoft New Tai Lue"/>
                <w:bCs/>
                <w:sz w:val="21"/>
                <w:szCs w:val="21"/>
                <w:highlight w:val="none"/>
                <w:lang w:val="en-US" w:eastAsia="zh-CN" w:bidi="ar-SA"/>
              </w:rPr>
              <w:t>招标公告</w:t>
            </w:r>
            <w:r>
              <w:rPr>
                <w:rFonts w:ascii="Times New Roman" w:hAnsi="Times New Roman" w:eastAsia="宋体" w:cs="Microsoft New Tai Lue"/>
                <w:bCs/>
                <w:sz w:val="21"/>
                <w:szCs w:val="21"/>
                <w:highlight w:val="none"/>
                <w:lang w:val="en-US" w:eastAsia="zh-CN" w:bidi="ar-SA"/>
              </w:rPr>
              <w:t>》</w:t>
            </w:r>
          </w:p>
        </w:tc>
      </w:tr>
      <w:tr w14:paraId="09273333">
        <w:trPr>
          <w:trHeight w:val="656" w:hRule="atLeast"/>
          <w:jc w:val="center"/>
        </w:trPr>
        <w:tc>
          <w:tcPr>
            <w:tcW w:w="903" w:type="dxa"/>
            <w:noWrap w:val="0"/>
            <w:vAlign w:val="center"/>
          </w:tcPr>
          <w:p w14:paraId="65508D7E">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3BADA64C">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20.5</w:t>
            </w:r>
          </w:p>
        </w:tc>
        <w:tc>
          <w:tcPr>
            <w:tcW w:w="2526" w:type="dxa"/>
            <w:noWrap w:val="0"/>
            <w:vAlign w:val="center"/>
          </w:tcPr>
          <w:p w14:paraId="78483620">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投标报价</w:t>
            </w:r>
          </w:p>
        </w:tc>
        <w:tc>
          <w:tcPr>
            <w:tcW w:w="4791" w:type="dxa"/>
            <w:noWrap w:val="0"/>
            <w:vAlign w:val="center"/>
          </w:tcPr>
          <w:p w14:paraId="17F2DC5D">
            <w:pPr>
              <w:pStyle w:val="262"/>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投标报价的其他要求：</w:t>
            </w:r>
          </w:p>
          <w:p w14:paraId="78AC33E2">
            <w:pPr>
              <w:pStyle w:val="262"/>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Segoe UI Symbol"/>
                <w:bCs/>
                <w:sz w:val="20"/>
                <w:szCs w:val="21"/>
                <w:highlight w:val="none"/>
                <w:lang w:val="en-US" w:eastAsia="zh-CN" w:bidi="ar-SA"/>
              </w:rPr>
              <w:t>■</w:t>
            </w:r>
            <w:r>
              <w:rPr>
                <w:rFonts w:hint="eastAsia" w:ascii="Times New Roman" w:hAnsi="Times New Roman" w:eastAsia="宋体" w:cs="Microsoft New Tai Lue"/>
                <w:bCs/>
                <w:sz w:val="21"/>
                <w:szCs w:val="21"/>
                <w:highlight w:val="none"/>
                <w:lang w:val="en-US" w:eastAsia="zh-CN" w:bidi="ar-SA"/>
              </w:rPr>
              <w:t>无</w:t>
            </w:r>
          </w:p>
        </w:tc>
      </w:tr>
      <w:tr w14:paraId="29551759">
        <w:trPr>
          <w:trHeight w:val="656" w:hRule="atLeast"/>
          <w:jc w:val="center"/>
        </w:trPr>
        <w:tc>
          <w:tcPr>
            <w:tcW w:w="903" w:type="dxa"/>
            <w:noWrap w:val="0"/>
            <w:vAlign w:val="center"/>
          </w:tcPr>
          <w:p w14:paraId="24EEF21F">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4A75D215">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21.1</w:t>
            </w:r>
          </w:p>
        </w:tc>
        <w:tc>
          <w:tcPr>
            <w:tcW w:w="2526" w:type="dxa"/>
            <w:noWrap w:val="0"/>
            <w:vAlign w:val="center"/>
          </w:tcPr>
          <w:p w14:paraId="099503A0">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投标有效期</w:t>
            </w:r>
          </w:p>
        </w:tc>
        <w:tc>
          <w:tcPr>
            <w:tcW w:w="4791" w:type="dxa"/>
            <w:noWrap w:val="0"/>
            <w:vAlign w:val="center"/>
          </w:tcPr>
          <w:p w14:paraId="0831D257">
            <w:pPr>
              <w:pStyle w:val="262"/>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自提交投标文件的截止之日起算</w:t>
            </w:r>
            <w:r>
              <w:rPr>
                <w:rFonts w:hint="eastAsia" w:ascii="Times New Roman" w:hAnsi="Times New Roman" w:eastAsia="宋体" w:cs="Microsoft New Tai Lue"/>
                <w:bCs/>
                <w:sz w:val="21"/>
                <w:szCs w:val="21"/>
                <w:highlight w:val="none"/>
                <w:u w:val="single"/>
                <w:lang w:val="en-US" w:eastAsia="zh-CN" w:bidi="ar-SA"/>
              </w:rPr>
              <w:t xml:space="preserve"> 90 </w:t>
            </w:r>
            <w:r>
              <w:rPr>
                <w:rFonts w:hint="eastAsia" w:ascii="Times New Roman" w:hAnsi="Times New Roman" w:eastAsia="宋体" w:cs="Microsoft New Tai Lue"/>
                <w:bCs/>
                <w:sz w:val="21"/>
                <w:szCs w:val="21"/>
                <w:highlight w:val="none"/>
                <w:lang w:val="en-US" w:eastAsia="zh-CN" w:bidi="ar-SA"/>
              </w:rPr>
              <w:t>日历天</w:t>
            </w:r>
          </w:p>
        </w:tc>
      </w:tr>
      <w:tr w14:paraId="303CEFBC">
        <w:trPr>
          <w:trHeight w:val="546" w:hRule="atLeast"/>
          <w:jc w:val="center"/>
        </w:trPr>
        <w:tc>
          <w:tcPr>
            <w:tcW w:w="903" w:type="dxa"/>
            <w:noWrap w:val="0"/>
            <w:vAlign w:val="center"/>
          </w:tcPr>
          <w:p w14:paraId="26C26A1D">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6A98DD4C">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22.1</w:t>
            </w:r>
          </w:p>
        </w:tc>
        <w:tc>
          <w:tcPr>
            <w:tcW w:w="2526" w:type="dxa"/>
            <w:noWrap w:val="0"/>
            <w:vAlign w:val="center"/>
          </w:tcPr>
          <w:p w14:paraId="348EFAE3">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投标保证金</w:t>
            </w:r>
          </w:p>
        </w:tc>
        <w:tc>
          <w:tcPr>
            <w:tcW w:w="4791" w:type="dxa"/>
            <w:noWrap w:val="0"/>
            <w:vAlign w:val="center"/>
          </w:tcPr>
          <w:p w14:paraId="0FE323F2">
            <w:pPr>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Segoe UI Symbol"/>
                <w:bCs/>
                <w:sz w:val="21"/>
                <w:szCs w:val="21"/>
                <w:highlight w:val="none"/>
                <w:lang w:val="en-US" w:eastAsia="zh-CN" w:bidi="ar-SA"/>
              </w:rPr>
              <w:t>■不需要</w:t>
            </w:r>
          </w:p>
        </w:tc>
      </w:tr>
      <w:tr w14:paraId="6ADA351F">
        <w:trPr>
          <w:trHeight w:val="90" w:hRule="atLeast"/>
          <w:jc w:val="center"/>
        </w:trPr>
        <w:tc>
          <w:tcPr>
            <w:tcW w:w="903" w:type="dxa"/>
            <w:noWrap w:val="0"/>
            <w:vAlign w:val="center"/>
          </w:tcPr>
          <w:p w14:paraId="7E3B1F85">
            <w:pPr>
              <w:pStyle w:val="262"/>
              <w:keepNext w:val="0"/>
              <w:keepLines w:val="0"/>
              <w:pageBreakBefore w:val="0"/>
              <w:widowControl w:val="0"/>
              <w:numPr>
                <w:ilvl w:val="0"/>
                <w:numId w:val="3"/>
              </w:numPr>
              <w:spacing w:before="58" w:after="58" w:line="288" w:lineRule="auto"/>
              <w:ind w:left="425" w:right="42" w:hanging="425"/>
              <w:jc w:val="center"/>
              <w:rPr>
                <w:rFonts w:hint="eastAsia" w:ascii="Times New Roman" w:hAnsi="Times New Roman" w:eastAsia="宋体" w:cs="Microsoft New Tai Lue"/>
                <w:sz w:val="21"/>
                <w:szCs w:val="21"/>
                <w:highlight w:val="none"/>
                <w:lang w:val="en-US" w:eastAsia="zh-CN" w:bidi="ar-SA"/>
              </w:rPr>
            </w:pPr>
          </w:p>
        </w:tc>
        <w:tc>
          <w:tcPr>
            <w:tcW w:w="1460" w:type="dxa"/>
            <w:noWrap w:val="0"/>
            <w:vAlign w:val="center"/>
          </w:tcPr>
          <w:p w14:paraId="2133EE46">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24.1</w:t>
            </w:r>
          </w:p>
        </w:tc>
        <w:tc>
          <w:tcPr>
            <w:tcW w:w="2526" w:type="dxa"/>
            <w:noWrap w:val="0"/>
            <w:vAlign w:val="center"/>
          </w:tcPr>
          <w:p w14:paraId="11DDFEA5">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投标文件的密封和标记</w:t>
            </w:r>
          </w:p>
        </w:tc>
        <w:tc>
          <w:tcPr>
            <w:tcW w:w="4791" w:type="dxa"/>
            <w:noWrap w:val="0"/>
            <w:vAlign w:val="center"/>
          </w:tcPr>
          <w:p w14:paraId="1C67C403">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本项目全流程苏采云线上实施。投标人应当按照《操作手册》规定，在招标公告规定的投标截止时间前制作并上传电子投标文件。招标代理机构拒绝接收提交投标文件截止时间后上传的任何电子投标文件。</w:t>
            </w:r>
          </w:p>
        </w:tc>
      </w:tr>
      <w:tr w14:paraId="1B862667">
        <w:trPr>
          <w:trHeight w:val="656" w:hRule="atLeast"/>
          <w:jc w:val="center"/>
        </w:trPr>
        <w:tc>
          <w:tcPr>
            <w:tcW w:w="903" w:type="dxa"/>
            <w:noWrap w:val="0"/>
            <w:vAlign w:val="center"/>
          </w:tcPr>
          <w:p w14:paraId="4F6FE849">
            <w:pPr>
              <w:pStyle w:val="262"/>
              <w:keepNext w:val="0"/>
              <w:keepLines w:val="0"/>
              <w:pageBreakBefore w:val="0"/>
              <w:widowControl w:val="0"/>
              <w:numPr>
                <w:ilvl w:val="0"/>
                <w:numId w:val="3"/>
              </w:numPr>
              <w:spacing w:before="58" w:after="58" w:line="288" w:lineRule="auto"/>
              <w:ind w:left="425" w:right="42" w:hanging="425"/>
              <w:jc w:val="center"/>
              <w:rPr>
                <w:rFonts w:hint="eastAsia" w:ascii="Times New Roman" w:hAnsi="Times New Roman" w:eastAsia="宋体" w:cs="Microsoft New Tai Lue"/>
                <w:sz w:val="21"/>
                <w:szCs w:val="21"/>
                <w:highlight w:val="none"/>
                <w:lang w:val="en-US" w:eastAsia="zh-CN" w:bidi="ar-SA"/>
              </w:rPr>
            </w:pPr>
          </w:p>
        </w:tc>
        <w:tc>
          <w:tcPr>
            <w:tcW w:w="1460" w:type="dxa"/>
            <w:noWrap w:val="0"/>
            <w:vAlign w:val="center"/>
          </w:tcPr>
          <w:p w14:paraId="6950ACC3">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25</w:t>
            </w:r>
            <w:r>
              <w:rPr>
                <w:rFonts w:hint="eastAsia" w:ascii="Times New Roman" w:hAnsi="Times New Roman" w:eastAsia="宋体" w:cs="Microsoft New Tai Lue"/>
                <w:sz w:val="21"/>
                <w:szCs w:val="21"/>
                <w:highlight w:val="none"/>
                <w:lang w:val="en-US" w:eastAsia="zh-CN" w:bidi="ar-SA"/>
              </w:rPr>
              <w:t>.1</w:t>
            </w:r>
          </w:p>
        </w:tc>
        <w:tc>
          <w:tcPr>
            <w:tcW w:w="2526" w:type="dxa"/>
            <w:noWrap w:val="0"/>
            <w:vAlign w:val="center"/>
          </w:tcPr>
          <w:p w14:paraId="7291130E">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提交投标文件的截止时间、地点</w:t>
            </w:r>
          </w:p>
        </w:tc>
        <w:tc>
          <w:tcPr>
            <w:tcW w:w="4791" w:type="dxa"/>
            <w:noWrap w:val="0"/>
            <w:vAlign w:val="center"/>
          </w:tcPr>
          <w:p w14:paraId="127EA1EA">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详见招标文件第一章《</w:t>
            </w:r>
            <w:r>
              <w:rPr>
                <w:rFonts w:hint="eastAsia" w:ascii="Times New Roman" w:hAnsi="Times New Roman" w:eastAsia="宋体" w:cs="Microsoft New Tai Lue"/>
                <w:sz w:val="21"/>
                <w:szCs w:val="21"/>
                <w:highlight w:val="none"/>
                <w:lang w:val="en-US" w:eastAsia="zh-CN" w:bidi="ar-SA"/>
              </w:rPr>
              <w:t>招标公告</w:t>
            </w:r>
            <w:r>
              <w:rPr>
                <w:rFonts w:ascii="Times New Roman" w:hAnsi="Times New Roman" w:eastAsia="宋体" w:cs="Microsoft New Tai Lue"/>
                <w:sz w:val="21"/>
                <w:szCs w:val="21"/>
                <w:highlight w:val="none"/>
                <w:lang w:val="en-US" w:eastAsia="zh-CN" w:bidi="ar-SA"/>
              </w:rPr>
              <w:t>》</w:t>
            </w:r>
          </w:p>
        </w:tc>
      </w:tr>
      <w:tr w14:paraId="273CC67F">
        <w:trPr>
          <w:trHeight w:val="656" w:hRule="atLeast"/>
          <w:jc w:val="center"/>
        </w:trPr>
        <w:tc>
          <w:tcPr>
            <w:tcW w:w="903" w:type="dxa"/>
            <w:noWrap w:val="0"/>
            <w:vAlign w:val="center"/>
          </w:tcPr>
          <w:p w14:paraId="7F031262">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6B7259B9">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28.1</w:t>
            </w:r>
          </w:p>
        </w:tc>
        <w:tc>
          <w:tcPr>
            <w:tcW w:w="2526" w:type="dxa"/>
            <w:noWrap w:val="0"/>
            <w:vAlign w:val="center"/>
          </w:tcPr>
          <w:p w14:paraId="32F5D6FF">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开标时间、地点</w:t>
            </w:r>
          </w:p>
        </w:tc>
        <w:tc>
          <w:tcPr>
            <w:tcW w:w="4791" w:type="dxa"/>
            <w:noWrap w:val="0"/>
            <w:vAlign w:val="center"/>
          </w:tcPr>
          <w:p w14:paraId="1C529778">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详见招标文件第一章《</w:t>
            </w:r>
            <w:r>
              <w:rPr>
                <w:rFonts w:hint="eastAsia" w:ascii="Times New Roman" w:hAnsi="Times New Roman" w:eastAsia="宋体" w:cs="Microsoft New Tai Lue"/>
                <w:sz w:val="21"/>
                <w:szCs w:val="21"/>
                <w:highlight w:val="none"/>
                <w:lang w:val="en-US" w:eastAsia="zh-CN" w:bidi="ar-SA"/>
              </w:rPr>
              <w:t>招标公告</w:t>
            </w:r>
            <w:r>
              <w:rPr>
                <w:rFonts w:ascii="Times New Roman" w:hAnsi="Times New Roman" w:eastAsia="宋体" w:cs="Microsoft New Tai Lue"/>
                <w:sz w:val="21"/>
                <w:szCs w:val="21"/>
                <w:highlight w:val="none"/>
                <w:lang w:val="en-US" w:eastAsia="zh-CN" w:bidi="ar-SA"/>
              </w:rPr>
              <w:t>》</w:t>
            </w:r>
          </w:p>
        </w:tc>
      </w:tr>
      <w:tr w14:paraId="3B3C8B35">
        <w:trPr>
          <w:trHeight w:val="656" w:hRule="atLeast"/>
          <w:jc w:val="center"/>
        </w:trPr>
        <w:tc>
          <w:tcPr>
            <w:tcW w:w="903" w:type="dxa"/>
            <w:noWrap w:val="0"/>
            <w:vAlign w:val="center"/>
          </w:tcPr>
          <w:p w14:paraId="5357855C">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01A3F3FC">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29</w:t>
            </w:r>
          </w:p>
        </w:tc>
        <w:tc>
          <w:tcPr>
            <w:tcW w:w="2526" w:type="dxa"/>
            <w:noWrap w:val="0"/>
            <w:vAlign w:val="center"/>
          </w:tcPr>
          <w:p w14:paraId="2F9F37B1">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信用查询</w:t>
            </w:r>
          </w:p>
        </w:tc>
        <w:tc>
          <w:tcPr>
            <w:tcW w:w="4791" w:type="dxa"/>
            <w:noWrap w:val="0"/>
            <w:vAlign w:val="center"/>
          </w:tcPr>
          <w:p w14:paraId="615E7BAC">
            <w:pPr>
              <w:pStyle w:val="262"/>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■采购人或采购代理机构将通过“信用中国”网站</w:t>
            </w:r>
            <w:r>
              <w:rPr>
                <w:rFonts w:ascii="Times New Roman" w:hAnsi="Times New Roman" w:eastAsia="宋体" w:cs="Microsoft New Tai Lue"/>
                <w:bCs/>
                <w:sz w:val="21"/>
                <w:szCs w:val="21"/>
                <w:highlight w:val="none"/>
                <w:lang w:val="en-US" w:eastAsia="zh-CN" w:bidi="ar-SA"/>
              </w:rPr>
              <w:t>(www.creditchina.gov.cn)</w:t>
            </w:r>
            <w:r>
              <w:rPr>
                <w:rFonts w:hint="eastAsia" w:ascii="Times New Roman" w:hAnsi="Times New Roman" w:eastAsia="宋体" w:cs="Microsoft New Tai Lue"/>
                <w:bCs/>
                <w:sz w:val="21"/>
                <w:szCs w:val="21"/>
                <w:highlight w:val="none"/>
                <w:lang w:val="en-US" w:eastAsia="zh-CN" w:bidi="ar-SA"/>
              </w:rPr>
              <w:t>、中国政府采购网</w:t>
            </w:r>
            <w:r>
              <w:rPr>
                <w:rFonts w:ascii="Times New Roman" w:hAnsi="Times New Roman" w:eastAsia="宋体" w:cs="Microsoft New Tai Lue"/>
                <w:bCs/>
                <w:sz w:val="21"/>
                <w:szCs w:val="21"/>
                <w:highlight w:val="none"/>
                <w:lang w:val="en-US" w:eastAsia="zh-CN" w:bidi="ar-SA"/>
              </w:rPr>
              <w:t>(www.ccgp.gov.cn)</w:t>
            </w:r>
            <w:r>
              <w:rPr>
                <w:rFonts w:hint="eastAsia" w:ascii="Times New Roman" w:hAnsi="Times New Roman" w:eastAsia="宋体" w:cs="Microsoft New Tai Lue"/>
                <w:bCs/>
                <w:sz w:val="21"/>
                <w:szCs w:val="21"/>
                <w:highlight w:val="none"/>
                <w:lang w:val="en-US" w:eastAsia="zh-CN" w:bidi="ar-SA"/>
              </w:rPr>
              <w:t>查询相关主体信用记录。本次查询的信用记录打印的网页版将留存在评标报告中。</w:t>
            </w:r>
            <w:r>
              <w:rPr>
                <w:rFonts w:ascii="Times New Roman" w:hAnsi="Times New Roman" w:eastAsia="宋体" w:cs="Microsoft New Tai Lue"/>
                <w:bCs/>
                <w:sz w:val="21"/>
                <w:szCs w:val="21"/>
                <w:highlight w:val="none"/>
                <w:lang w:val="en-US" w:eastAsia="zh-CN" w:bidi="ar-SA"/>
              </w:rPr>
              <w:t>截止时点：投标截止时间以后、资格审查阶段采购人或采购代理机构的实际查询时间</w:t>
            </w:r>
            <w:r>
              <w:rPr>
                <w:rFonts w:hint="eastAsia" w:ascii="Times New Roman" w:hAnsi="Times New Roman" w:eastAsia="宋体" w:cs="Microsoft New Tai Lue"/>
                <w:bCs/>
                <w:sz w:val="21"/>
                <w:szCs w:val="21"/>
                <w:highlight w:val="none"/>
                <w:lang w:val="en-US" w:eastAsia="zh-CN" w:bidi="ar-SA"/>
              </w:rPr>
              <w:t>。</w:t>
            </w:r>
          </w:p>
        </w:tc>
      </w:tr>
      <w:tr w14:paraId="494BCADE">
        <w:trPr>
          <w:trHeight w:val="656" w:hRule="atLeast"/>
          <w:jc w:val="center"/>
        </w:trPr>
        <w:tc>
          <w:tcPr>
            <w:tcW w:w="903" w:type="dxa"/>
            <w:noWrap w:val="0"/>
            <w:vAlign w:val="center"/>
          </w:tcPr>
          <w:p w14:paraId="6614C2AD">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58CF4821">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30.1.1</w:t>
            </w:r>
          </w:p>
        </w:tc>
        <w:tc>
          <w:tcPr>
            <w:tcW w:w="2526" w:type="dxa"/>
            <w:noWrap w:val="0"/>
            <w:vAlign w:val="center"/>
          </w:tcPr>
          <w:p w14:paraId="7175B30E">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评标委员会</w:t>
            </w:r>
          </w:p>
        </w:tc>
        <w:tc>
          <w:tcPr>
            <w:tcW w:w="4791" w:type="dxa"/>
            <w:noWrap w:val="0"/>
            <w:vAlign w:val="center"/>
          </w:tcPr>
          <w:p w14:paraId="6AA91702">
            <w:pPr>
              <w:pStyle w:val="262"/>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5人及以上单数</w:t>
            </w:r>
            <w:r>
              <w:rPr>
                <w:rFonts w:ascii="Times New Roman" w:hAnsi="Times New Roman" w:eastAsia="宋体" w:cs="Microsoft New Tai Lue"/>
                <w:bCs/>
                <w:sz w:val="21"/>
                <w:szCs w:val="21"/>
                <w:highlight w:val="none"/>
                <w:lang w:val="en-US" w:eastAsia="zh-CN" w:bidi="ar-SA"/>
              </w:rPr>
              <w:t>。</w:t>
            </w:r>
          </w:p>
        </w:tc>
      </w:tr>
      <w:tr w14:paraId="7A19092C">
        <w:trPr>
          <w:trHeight w:val="478" w:hRule="atLeast"/>
          <w:jc w:val="center"/>
        </w:trPr>
        <w:tc>
          <w:tcPr>
            <w:tcW w:w="903" w:type="dxa"/>
            <w:noWrap w:val="0"/>
            <w:vAlign w:val="center"/>
          </w:tcPr>
          <w:p w14:paraId="05E57EEE">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702F0B7F">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31.3</w:t>
            </w:r>
          </w:p>
        </w:tc>
        <w:tc>
          <w:tcPr>
            <w:tcW w:w="2526" w:type="dxa"/>
            <w:noWrap w:val="0"/>
            <w:vAlign w:val="center"/>
          </w:tcPr>
          <w:p w14:paraId="572E652E">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确定中标单位</w:t>
            </w:r>
          </w:p>
        </w:tc>
        <w:tc>
          <w:tcPr>
            <w:tcW w:w="4791" w:type="dxa"/>
            <w:noWrap w:val="0"/>
            <w:vAlign w:val="center"/>
          </w:tcPr>
          <w:p w14:paraId="49C734F9">
            <w:pPr>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1</w:t>
            </w:r>
            <w:r>
              <w:rPr>
                <w:rFonts w:ascii="Times New Roman" w:hAnsi="Times New Roman" w:eastAsia="宋体" w:cs="Microsoft New Tai Lue"/>
                <w:bCs/>
                <w:sz w:val="21"/>
                <w:szCs w:val="21"/>
                <w:highlight w:val="none"/>
                <w:lang w:val="en-US" w:eastAsia="zh-CN" w:bidi="ar-SA"/>
              </w:rPr>
              <w:t>.</w:t>
            </w:r>
            <w:r>
              <w:rPr>
                <w:rFonts w:hint="eastAsia" w:ascii="Times New Roman" w:hAnsi="Times New Roman" w:eastAsia="宋体" w:cs="Microsoft New Tai Lue"/>
                <w:bCs/>
                <w:sz w:val="21"/>
                <w:szCs w:val="21"/>
                <w:highlight w:val="none"/>
                <w:lang w:val="en-US" w:eastAsia="zh-CN" w:bidi="ar-SA"/>
              </w:rPr>
              <w:t>评委会根据本采购文件规定评分办法与评分标准综合打分，并按综合得分由高到低顺序每标段向采购人推荐3名中标候选人。</w:t>
            </w:r>
          </w:p>
          <w:p w14:paraId="69DA8BE7">
            <w:pPr>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bCs/>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tc>
      </w:tr>
      <w:tr w14:paraId="76BBF063">
        <w:trPr>
          <w:trHeight w:val="656" w:hRule="atLeast"/>
          <w:jc w:val="center"/>
        </w:trPr>
        <w:tc>
          <w:tcPr>
            <w:tcW w:w="903" w:type="dxa"/>
            <w:noWrap w:val="0"/>
            <w:vAlign w:val="center"/>
          </w:tcPr>
          <w:p w14:paraId="430CB305">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39CE0E63">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31.4</w:t>
            </w:r>
          </w:p>
        </w:tc>
        <w:tc>
          <w:tcPr>
            <w:tcW w:w="2526" w:type="dxa"/>
            <w:noWrap w:val="0"/>
            <w:vAlign w:val="center"/>
          </w:tcPr>
          <w:p w14:paraId="74885726">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公告媒体</w:t>
            </w:r>
          </w:p>
        </w:tc>
        <w:tc>
          <w:tcPr>
            <w:tcW w:w="4791" w:type="dxa"/>
            <w:noWrap w:val="0"/>
            <w:vAlign w:val="center"/>
          </w:tcPr>
          <w:p w14:paraId="183EC0FE">
            <w:pPr>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bCs/>
                <w:sz w:val="21"/>
                <w:szCs w:val="24"/>
                <w:highlight w:val="none"/>
                <w:lang w:val="en-US" w:eastAsia="zh-CN" w:bidi="ar-SA"/>
              </w:rPr>
              <w:t>《江苏政府采购网》（http://www.ccgp-jiangsu.gov.cn/）</w:t>
            </w:r>
          </w:p>
        </w:tc>
      </w:tr>
      <w:tr w14:paraId="58BCE11A">
        <w:trPr>
          <w:trHeight w:val="656" w:hRule="atLeast"/>
          <w:jc w:val="center"/>
        </w:trPr>
        <w:tc>
          <w:tcPr>
            <w:tcW w:w="903" w:type="dxa"/>
            <w:noWrap w:val="0"/>
            <w:vAlign w:val="center"/>
          </w:tcPr>
          <w:p w14:paraId="517BAB4E">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0B12144D">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36.1</w:t>
            </w:r>
          </w:p>
        </w:tc>
        <w:tc>
          <w:tcPr>
            <w:tcW w:w="2526" w:type="dxa"/>
            <w:noWrap w:val="0"/>
            <w:vAlign w:val="center"/>
          </w:tcPr>
          <w:p w14:paraId="02A31F85">
            <w:pPr>
              <w:keepNext w:val="0"/>
              <w:keepLines w:val="0"/>
              <w:pageBreakBefore w:val="0"/>
              <w:widowControl w:val="0"/>
              <w:spacing w:before="58" w:after="58" w:line="288" w:lineRule="auto"/>
              <w:ind w:left="42" w:right="42" w:firstLine="0"/>
              <w:jc w:val="left"/>
              <w:rPr>
                <w:rFonts w:hint="eastAsia"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t>供应商对采购文件的</w:t>
            </w:r>
          </w:p>
          <w:p w14:paraId="4D73A48E">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Times New Roman"/>
                <w:sz w:val="21"/>
                <w:szCs w:val="21"/>
                <w:highlight w:val="none"/>
                <w:lang w:val="en-US" w:eastAsia="zh-CN" w:bidi="ar-SA"/>
              </w:rPr>
              <w:t>询问</w:t>
            </w:r>
          </w:p>
        </w:tc>
        <w:tc>
          <w:tcPr>
            <w:tcW w:w="4791" w:type="dxa"/>
            <w:noWrap w:val="0"/>
            <w:vAlign w:val="center"/>
          </w:tcPr>
          <w:p w14:paraId="53F69445">
            <w:pPr>
              <w:pStyle w:val="55"/>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bCs/>
                <w:sz w:val="21"/>
                <w:szCs w:val="21"/>
                <w:highlight w:val="none"/>
                <w:lang w:val="en-US" w:eastAsia="zh-CN" w:bidi="ar-SA"/>
              </w:rPr>
            </w:pPr>
            <w:r>
              <w:rPr>
                <w:rFonts w:ascii="Times New Roman" w:hAnsi="Times New Roman" w:eastAsia="宋体" w:cs="Courier New"/>
                <w:bCs/>
                <w:sz w:val="21"/>
                <w:szCs w:val="21"/>
                <w:highlight w:val="none"/>
                <w:lang w:val="en-US" w:eastAsia="zh-CN" w:bidi="ar-SA"/>
              </w:rPr>
              <w:t>形式：以书面形式（盖章扫描件及WPS兼容格式文件发至</w:t>
            </w:r>
            <w:r>
              <w:rPr>
                <w:rFonts w:ascii="Times New Roman" w:hAnsi="Times New Roman" w:eastAsia="宋体" w:cs="Courier New"/>
                <w:bCs/>
                <w:sz w:val="21"/>
                <w:szCs w:val="21"/>
                <w:highlight w:val="none"/>
                <w:u w:val="single"/>
                <w:lang w:val="en-US" w:eastAsia="zh-CN" w:bidi="ar-SA"/>
              </w:rPr>
              <w:t xml:space="preserve"> </w:t>
            </w:r>
            <w:r>
              <w:rPr>
                <w:rFonts w:hint="default" w:ascii="宋体" w:hAnsi="宋体" w:eastAsia="宋体" w:cs="宋体"/>
                <w:bCs/>
                <w:color w:val="000000"/>
                <w:highlight w:val="none"/>
                <w:u w:val="single"/>
                <w:lang w:val="en-US" w:eastAsia="zh-CN"/>
              </w:rPr>
              <w:t>huy@jstcc.cn</w:t>
            </w:r>
            <w:r>
              <w:rPr>
                <w:rFonts w:ascii="Times New Roman" w:hAnsi="Times New Roman" w:eastAsia="宋体" w:cs="Courier New"/>
                <w:bCs/>
                <w:sz w:val="21"/>
                <w:szCs w:val="21"/>
                <w:highlight w:val="none"/>
                <w:u w:val="single"/>
                <w:lang w:val="en-US" w:eastAsia="zh-CN" w:bidi="ar-SA"/>
              </w:rPr>
              <w:t xml:space="preserve"> </w:t>
            </w:r>
            <w:r>
              <w:rPr>
                <w:rFonts w:ascii="Times New Roman" w:hAnsi="Times New Roman" w:eastAsia="宋体" w:cs="Courier New"/>
                <w:bCs/>
                <w:sz w:val="21"/>
                <w:szCs w:val="21"/>
                <w:highlight w:val="none"/>
                <w:lang w:val="en-US" w:eastAsia="zh-CN" w:bidi="ar-SA"/>
              </w:rPr>
              <w:t>邮箱）通知</w:t>
            </w:r>
            <w:r>
              <w:rPr>
                <w:rFonts w:hint="eastAsia" w:ascii="Times New Roman" w:hAnsi="Times New Roman" w:eastAsia="宋体" w:cs="Microsoft New Tai Lue"/>
                <w:bCs/>
                <w:sz w:val="21"/>
                <w:szCs w:val="21"/>
                <w:highlight w:val="none"/>
                <w:lang w:val="en-US" w:eastAsia="zh-CN" w:bidi="ar-SA"/>
              </w:rPr>
              <w:t>采购人或采购代理机构</w:t>
            </w:r>
            <w:r>
              <w:rPr>
                <w:rFonts w:ascii="Times New Roman" w:hAnsi="Times New Roman" w:eastAsia="宋体" w:cs="Courier New"/>
                <w:bCs/>
                <w:sz w:val="21"/>
                <w:szCs w:val="21"/>
                <w:highlight w:val="none"/>
                <w:lang w:val="en-US" w:eastAsia="zh-CN" w:bidi="ar-SA"/>
              </w:rPr>
              <w:t>。</w:t>
            </w:r>
          </w:p>
        </w:tc>
      </w:tr>
      <w:tr w14:paraId="305B0F95">
        <w:trPr>
          <w:trHeight w:val="1980" w:hRule="atLeast"/>
          <w:jc w:val="center"/>
        </w:trPr>
        <w:tc>
          <w:tcPr>
            <w:tcW w:w="903" w:type="dxa"/>
            <w:noWrap w:val="0"/>
            <w:vAlign w:val="center"/>
          </w:tcPr>
          <w:p w14:paraId="72A149A7">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01133BB2">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37.1</w:t>
            </w:r>
          </w:p>
        </w:tc>
        <w:tc>
          <w:tcPr>
            <w:tcW w:w="2526" w:type="dxa"/>
            <w:noWrap w:val="0"/>
            <w:vAlign w:val="center"/>
          </w:tcPr>
          <w:p w14:paraId="69566516">
            <w:pPr>
              <w:keepNext w:val="0"/>
              <w:keepLines w:val="0"/>
              <w:pageBreakBefore w:val="0"/>
              <w:widowControl w:val="0"/>
              <w:spacing w:before="58" w:after="58" w:line="288" w:lineRule="auto"/>
              <w:ind w:left="42" w:right="42" w:firstLine="0"/>
              <w:jc w:val="left"/>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供应商</w:t>
            </w:r>
            <w:r>
              <w:rPr>
                <w:rFonts w:ascii="Times New Roman" w:hAnsi="Times New Roman" w:eastAsia="宋体" w:cs="Microsoft New Tai Lue"/>
                <w:sz w:val="21"/>
                <w:szCs w:val="21"/>
                <w:highlight w:val="none"/>
                <w:lang w:val="en-US" w:eastAsia="zh-CN" w:bidi="ar-SA"/>
              </w:rPr>
              <w:t>对采购文件提出</w:t>
            </w:r>
            <w:r>
              <w:rPr>
                <w:rFonts w:hint="eastAsia" w:ascii="Times New Roman" w:hAnsi="Times New Roman" w:eastAsia="宋体" w:cs="Microsoft New Tai Lue"/>
                <w:sz w:val="21"/>
                <w:szCs w:val="21"/>
                <w:highlight w:val="none"/>
                <w:lang w:val="en-US" w:eastAsia="zh-CN" w:bidi="ar-SA"/>
              </w:rPr>
              <w:t>的</w:t>
            </w:r>
            <w:r>
              <w:rPr>
                <w:rFonts w:ascii="Times New Roman" w:hAnsi="Times New Roman" w:eastAsia="宋体" w:cs="Microsoft New Tai Lue"/>
                <w:sz w:val="21"/>
                <w:szCs w:val="21"/>
                <w:highlight w:val="none"/>
                <w:lang w:val="en-US" w:eastAsia="zh-CN" w:bidi="ar-SA"/>
              </w:rPr>
              <w:t>质疑</w:t>
            </w:r>
          </w:p>
        </w:tc>
        <w:tc>
          <w:tcPr>
            <w:tcW w:w="4791" w:type="dxa"/>
            <w:noWrap w:val="0"/>
            <w:vAlign w:val="center"/>
          </w:tcPr>
          <w:p w14:paraId="7105B612">
            <w:pPr>
              <w:pStyle w:val="55"/>
              <w:keepNext w:val="0"/>
              <w:keepLines w:val="0"/>
              <w:pageBreakBefore w:val="0"/>
              <w:widowControl w:val="0"/>
              <w:spacing w:before="58" w:after="58" w:line="288" w:lineRule="auto"/>
              <w:ind w:left="42" w:right="42" w:firstLine="0"/>
              <w:jc w:val="both"/>
              <w:rPr>
                <w:rFonts w:hint="eastAsia" w:ascii="Times New Roman" w:hAnsi="Times New Roman" w:eastAsia="宋体" w:cs="Courier New"/>
                <w:sz w:val="21"/>
                <w:szCs w:val="21"/>
                <w:highlight w:val="none"/>
                <w:lang w:val="en-US" w:eastAsia="zh-CN" w:bidi="ar-SA"/>
              </w:rPr>
            </w:pPr>
            <w:r>
              <w:rPr>
                <w:rFonts w:hint="eastAsia" w:ascii="Times New Roman" w:hAnsi="Times New Roman" w:eastAsia="宋体" w:cs="Microsoft New Tai Lue"/>
                <w:bCs/>
                <w:sz w:val="21"/>
                <w:szCs w:val="21"/>
                <w:highlight w:val="none"/>
                <w:lang w:val="en-US" w:eastAsia="zh-CN" w:bidi="ar-SA"/>
              </w:rPr>
              <w:t>形式：</w:t>
            </w:r>
            <w:r>
              <w:rPr>
                <w:rFonts w:ascii="Times New Roman" w:hAnsi="Times New Roman" w:eastAsia="宋体"/>
                <w:highlight w:val="none"/>
              </w:rPr>
              <w:fldChar w:fldCharType="begin"/>
            </w:r>
            <w:r>
              <w:rPr>
                <w:rFonts w:ascii="Times New Roman" w:hAnsi="Times New Roman" w:eastAsia="宋体" w:cs="Courier New"/>
                <w:sz w:val="21"/>
                <w:szCs w:val="21"/>
                <w:highlight w:val="none"/>
                <w:lang w:val="en-US" w:eastAsia="zh-CN" w:bidi="ar-SA"/>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88"/>
                <w:rFonts w:hint="eastAsia" w:ascii="Times New Roman" w:hAnsi="Times New Roman" w:eastAsia="宋体" w:cs="Microsoft New Tai Lue"/>
                <w:bCs/>
                <w:color w:val="000000"/>
                <w:sz w:val="21"/>
                <w:szCs w:val="21"/>
                <w:highlight w:val="none"/>
                <w:u w:val="none"/>
                <w:lang w:val="en-US" w:eastAsia="zh-CN" w:bidi="ar-SA"/>
              </w:rPr>
              <w:t xml:space="preserve">以书面形式通知采购人或采购代理机构。如采用邮件形式（盖章扫描件及WPS兼容格式文件发至 </w:t>
            </w:r>
            <w:r>
              <w:rPr>
                <w:rFonts w:hint="default" w:ascii="宋体" w:hAnsi="宋体" w:eastAsia="宋体" w:cs="宋体"/>
                <w:bCs/>
                <w:color w:val="000000"/>
                <w:highlight w:val="none"/>
                <w:u w:val="single"/>
                <w:lang w:val="en-US" w:eastAsia="zh-CN"/>
              </w:rPr>
              <w:t>huy@jstcc.cn</w:t>
            </w:r>
            <w:r>
              <w:rPr>
                <w:rStyle w:val="88"/>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sz w:val="21"/>
                <w:szCs w:val="21"/>
                <w:highlight w:val="none"/>
                <w:lang w:val="en-US" w:eastAsia="zh-CN" w:bidi="ar-SA"/>
              </w:rPr>
              <w:t xml:space="preserve"> 邮箱）通知，采购人或采购代理机构将以邮件形式进行答复。</w:t>
            </w:r>
          </w:p>
        </w:tc>
      </w:tr>
      <w:tr w14:paraId="15013503">
        <w:trPr>
          <w:trHeight w:val="3236" w:hRule="atLeast"/>
          <w:jc w:val="center"/>
        </w:trPr>
        <w:tc>
          <w:tcPr>
            <w:tcW w:w="903" w:type="dxa"/>
            <w:noWrap w:val="0"/>
            <w:vAlign w:val="center"/>
          </w:tcPr>
          <w:p w14:paraId="46C81323">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noWrap w:val="0"/>
            <w:vAlign w:val="center"/>
          </w:tcPr>
          <w:p w14:paraId="5E2B5279">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38.1</w:t>
            </w:r>
          </w:p>
        </w:tc>
        <w:tc>
          <w:tcPr>
            <w:tcW w:w="2526" w:type="dxa"/>
            <w:noWrap w:val="0"/>
            <w:vAlign w:val="center"/>
          </w:tcPr>
          <w:p w14:paraId="7C8CD583">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招标代理服务费</w:t>
            </w:r>
          </w:p>
        </w:tc>
        <w:tc>
          <w:tcPr>
            <w:tcW w:w="4791" w:type="dxa"/>
            <w:noWrap w:val="0"/>
            <w:vAlign w:val="center"/>
          </w:tcPr>
          <w:p w14:paraId="0105A7D0">
            <w:pPr>
              <w:pStyle w:val="302"/>
              <w:keepNext w:val="0"/>
              <w:keepLines w:val="0"/>
              <w:pageBreakBefore w:val="0"/>
              <w:widowControl w:val="0"/>
              <w:spacing w:before="58" w:after="58" w:line="288" w:lineRule="auto"/>
              <w:ind w:left="42" w:right="42" w:firstLine="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1.支付主体</w:t>
            </w:r>
          </w:p>
          <w:p w14:paraId="030BC73B">
            <w:pPr>
              <w:pStyle w:val="302"/>
              <w:keepNext w:val="0"/>
              <w:keepLines w:val="0"/>
              <w:pageBreakBefore w:val="0"/>
              <w:widowControl w:val="0"/>
              <w:spacing w:before="58" w:after="58" w:line="288" w:lineRule="auto"/>
              <w:ind w:left="42" w:right="42" w:firstLine="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为优化采购资金使用效率，依据《政府采购代理机构管理暂行办法》（财库〔2018〕2号）文件规定，根据采购人与采购代理机构的委托代理协议，并经采购人决定，采购代理服务费由成交供应商支付。供应商报价应当包含采购代理服务费，该费用不单独计列，由供应商综合考虑并计入投标总价。</w:t>
            </w:r>
          </w:p>
          <w:p w14:paraId="6FA0EF3B">
            <w:pPr>
              <w:pStyle w:val="302"/>
              <w:keepNext w:val="0"/>
              <w:keepLines w:val="0"/>
              <w:pageBreakBefore w:val="0"/>
              <w:widowControl w:val="0"/>
              <w:spacing w:before="58" w:after="58" w:line="288" w:lineRule="auto"/>
              <w:ind w:left="42" w:right="42" w:firstLine="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2.收费标准和依据</w:t>
            </w:r>
          </w:p>
          <w:p w14:paraId="0BA85ADB">
            <w:pPr>
              <w:pStyle w:val="302"/>
              <w:keepNext w:val="0"/>
              <w:keepLines w:val="0"/>
              <w:pageBreakBefore w:val="0"/>
              <w:widowControl w:val="0"/>
              <w:spacing w:before="58" w:after="58" w:line="288" w:lineRule="auto"/>
              <w:ind w:left="42" w:right="42" w:firstLine="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采购代理服务费=采购代理委托协议合同费用-专家费用。其中：采购代理委托协议合同费用为：标段最高限价大于50万元的，按《招标代理服务收费管理暂行办法》（计价格〔2002〕1980号）定价标准的80%收取；不足2万元/标段的，按2万元/标段收取。</w:t>
            </w:r>
          </w:p>
          <w:p w14:paraId="3D6B4DB1">
            <w:pPr>
              <w:pStyle w:val="302"/>
              <w:keepNext w:val="0"/>
              <w:keepLines w:val="0"/>
              <w:pageBreakBefore w:val="0"/>
              <w:widowControl w:val="0"/>
              <w:spacing w:before="58" w:after="58" w:line="288" w:lineRule="auto"/>
              <w:ind w:left="42" w:right="42" w:firstLine="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专家按苏财购〔2016〕48号执行，一般按半天计取，其中“1+</w:t>
            </w:r>
            <w:r>
              <w:rPr>
                <w:rFonts w:hint="eastAsia" w:hAnsi="宋体" w:cs="宋体"/>
                <w:bCs/>
                <w:color w:val="auto"/>
                <w:sz w:val="21"/>
                <w:szCs w:val="21"/>
                <w:highlight w:val="none"/>
                <w:lang w:val="en-US" w:eastAsia="zh-CN" w:bidi="ar-SA"/>
              </w:rPr>
              <w:t>4</w:t>
            </w:r>
            <w:r>
              <w:rPr>
                <w:rFonts w:hint="eastAsia" w:ascii="宋体" w:hAnsi="宋体" w:eastAsia="宋体" w:cs="宋体"/>
                <w:bCs/>
                <w:color w:val="auto"/>
                <w:sz w:val="21"/>
                <w:szCs w:val="21"/>
                <w:highlight w:val="none"/>
                <w:lang w:val="en-US" w:eastAsia="zh-CN" w:bidi="ar-SA"/>
              </w:rPr>
              <w:t>”模式按</w:t>
            </w:r>
            <w:r>
              <w:rPr>
                <w:rFonts w:hint="eastAsia" w:hAnsi="宋体" w:cs="宋体"/>
                <w:bCs/>
                <w:color w:val="auto"/>
                <w:sz w:val="21"/>
                <w:szCs w:val="21"/>
                <w:highlight w:val="none"/>
                <w:lang w:val="en-US" w:eastAsia="zh-CN" w:bidi="ar-SA"/>
              </w:rPr>
              <w:t>2000</w:t>
            </w:r>
            <w:r>
              <w:rPr>
                <w:rFonts w:hint="eastAsia" w:ascii="宋体" w:hAnsi="宋体" w:eastAsia="宋体" w:cs="宋体"/>
                <w:bCs/>
                <w:color w:val="auto"/>
                <w:sz w:val="21"/>
                <w:szCs w:val="21"/>
                <w:highlight w:val="none"/>
                <w:lang w:val="en-US" w:eastAsia="zh-CN" w:bidi="ar-SA"/>
              </w:rPr>
              <w:t>元扣除，“0+</w:t>
            </w:r>
            <w:r>
              <w:rPr>
                <w:rFonts w:hint="eastAsia" w:hAnsi="宋体" w:cs="宋体"/>
                <w:bCs/>
                <w:color w:val="auto"/>
                <w:sz w:val="21"/>
                <w:szCs w:val="21"/>
                <w:highlight w:val="none"/>
                <w:lang w:val="en-US" w:eastAsia="zh-CN" w:bidi="ar-SA"/>
              </w:rPr>
              <w:t>5</w:t>
            </w:r>
            <w:r>
              <w:rPr>
                <w:rFonts w:hint="eastAsia" w:ascii="宋体" w:hAnsi="宋体" w:eastAsia="宋体" w:cs="宋体"/>
                <w:bCs/>
                <w:color w:val="auto"/>
                <w:sz w:val="21"/>
                <w:szCs w:val="21"/>
                <w:highlight w:val="none"/>
                <w:lang w:val="en-US" w:eastAsia="zh-CN" w:bidi="ar-SA"/>
              </w:rPr>
              <w:t>”模式按</w:t>
            </w:r>
            <w:r>
              <w:rPr>
                <w:rFonts w:hint="eastAsia" w:hAnsi="宋体" w:cs="宋体"/>
                <w:bCs/>
                <w:color w:val="auto"/>
                <w:sz w:val="21"/>
                <w:szCs w:val="21"/>
                <w:highlight w:val="none"/>
                <w:lang w:val="en-US" w:eastAsia="zh-CN" w:bidi="ar-SA"/>
              </w:rPr>
              <w:t>2500</w:t>
            </w:r>
            <w:r>
              <w:rPr>
                <w:rFonts w:hint="eastAsia" w:ascii="宋体" w:hAnsi="宋体" w:eastAsia="宋体" w:cs="宋体"/>
                <w:bCs/>
                <w:color w:val="auto"/>
                <w:sz w:val="21"/>
                <w:szCs w:val="21"/>
                <w:highlight w:val="none"/>
                <w:lang w:val="en-US" w:eastAsia="zh-CN" w:bidi="ar-SA"/>
              </w:rPr>
              <w:t>元扣除。</w:t>
            </w:r>
          </w:p>
          <w:p w14:paraId="3DBCB20F">
            <w:pPr>
              <w:pStyle w:val="302"/>
              <w:keepNext w:val="0"/>
              <w:keepLines w:val="0"/>
              <w:pageBreakBefore w:val="0"/>
              <w:widowControl w:val="0"/>
              <w:spacing w:before="58" w:after="58" w:line="288" w:lineRule="auto"/>
              <w:ind w:left="42" w:right="42" w:firstLine="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本项目采购代理服务费为人民币1</w:t>
            </w:r>
            <w:r>
              <w:rPr>
                <w:rFonts w:hint="eastAsia" w:hAnsi="宋体" w:cs="宋体"/>
                <w:bCs/>
                <w:color w:val="auto"/>
                <w:sz w:val="21"/>
                <w:szCs w:val="21"/>
                <w:highlight w:val="none"/>
                <w:lang w:val="en-US" w:eastAsia="zh-CN" w:bidi="ar-SA"/>
              </w:rPr>
              <w:t>8</w:t>
            </w:r>
            <w:r>
              <w:rPr>
                <w:rFonts w:hint="eastAsia" w:ascii="宋体" w:hAnsi="宋体" w:eastAsia="宋体" w:cs="宋体"/>
                <w:bCs/>
                <w:color w:val="auto"/>
                <w:sz w:val="21"/>
                <w:szCs w:val="21"/>
                <w:highlight w:val="none"/>
                <w:lang w:val="en-US" w:eastAsia="zh-CN" w:bidi="ar-SA"/>
              </w:rPr>
              <w:t>,000元（大写：壹万</w:t>
            </w:r>
            <w:r>
              <w:rPr>
                <w:rFonts w:hint="eastAsia" w:hAnsi="宋体" w:cs="宋体"/>
                <w:bCs/>
                <w:color w:val="auto"/>
                <w:sz w:val="21"/>
                <w:szCs w:val="21"/>
                <w:highlight w:val="none"/>
                <w:lang w:val="en-US" w:eastAsia="zh-CN" w:bidi="ar-SA"/>
              </w:rPr>
              <w:t>捌</w:t>
            </w:r>
            <w:r>
              <w:rPr>
                <w:rFonts w:hint="eastAsia" w:ascii="宋体" w:hAnsi="宋体" w:eastAsia="宋体" w:cs="宋体"/>
                <w:bCs/>
                <w:color w:val="auto"/>
                <w:sz w:val="21"/>
                <w:szCs w:val="21"/>
                <w:highlight w:val="none"/>
                <w:lang w:val="en-US" w:eastAsia="zh-CN" w:bidi="ar-SA"/>
              </w:rPr>
              <w:t>仟元整）</w:t>
            </w:r>
          </w:p>
          <w:p w14:paraId="27696DF0">
            <w:pPr>
              <w:pStyle w:val="302"/>
              <w:keepNext w:val="0"/>
              <w:keepLines w:val="0"/>
              <w:pageBreakBefore w:val="0"/>
              <w:widowControl w:val="0"/>
              <w:spacing w:before="58" w:after="58" w:line="288" w:lineRule="auto"/>
              <w:ind w:left="42" w:right="42" w:firstLine="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3.收取方式</w:t>
            </w:r>
          </w:p>
          <w:p w14:paraId="19A2B435">
            <w:pPr>
              <w:pStyle w:val="302"/>
              <w:keepNext w:val="0"/>
              <w:keepLines w:val="0"/>
              <w:pageBreakBefore w:val="0"/>
              <w:widowControl w:val="0"/>
              <w:spacing w:before="58" w:after="58" w:line="288" w:lineRule="auto"/>
              <w:ind w:left="42" w:right="42" w:firstLine="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成交供应商在领取中标通知书前，一次性向采购代理机构支付。</w:t>
            </w:r>
          </w:p>
          <w:p w14:paraId="4EB3C3B2">
            <w:pPr>
              <w:pStyle w:val="302"/>
              <w:keepNext w:val="0"/>
              <w:keepLines w:val="0"/>
              <w:pageBreakBefore w:val="0"/>
              <w:widowControl w:val="0"/>
              <w:spacing w:before="58" w:after="58" w:line="288" w:lineRule="auto"/>
              <w:ind w:left="42" w:right="42" w:firstLine="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请汇款至以下账户：</w:t>
            </w:r>
          </w:p>
          <w:p w14:paraId="235ED9E1">
            <w:pPr>
              <w:pStyle w:val="302"/>
              <w:keepNext w:val="0"/>
              <w:keepLines w:val="0"/>
              <w:pageBreakBefore w:val="0"/>
              <w:widowControl w:val="0"/>
              <w:spacing w:before="58" w:after="58" w:line="288" w:lineRule="auto"/>
              <w:ind w:left="42" w:right="42" w:firstLine="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户名：江苏省招标中心有限公司；</w:t>
            </w:r>
          </w:p>
          <w:p w14:paraId="37AA0A1C">
            <w:pPr>
              <w:pStyle w:val="302"/>
              <w:keepNext w:val="0"/>
              <w:keepLines w:val="0"/>
              <w:pageBreakBefore w:val="0"/>
              <w:widowControl w:val="0"/>
              <w:spacing w:before="58" w:after="58" w:line="288" w:lineRule="auto"/>
              <w:ind w:left="42" w:right="42" w:firstLine="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开户银行：中信银行南京江苏路支行；</w:t>
            </w:r>
          </w:p>
          <w:p w14:paraId="7FFF0F17">
            <w:pPr>
              <w:pStyle w:val="55"/>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bCs/>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账号：7321810182600023404</w:t>
            </w:r>
          </w:p>
        </w:tc>
      </w:tr>
      <w:tr w14:paraId="0E5BB0A5">
        <w:trPr>
          <w:trHeight w:val="600" w:hRule="atLeast"/>
          <w:jc w:val="center"/>
        </w:trPr>
        <w:tc>
          <w:tcPr>
            <w:tcW w:w="903" w:type="dxa"/>
            <w:vMerge w:val="restart"/>
            <w:noWrap w:val="0"/>
            <w:vAlign w:val="center"/>
          </w:tcPr>
          <w:p w14:paraId="6FAAC194">
            <w:pPr>
              <w:pStyle w:val="262"/>
              <w:keepNext w:val="0"/>
              <w:keepLines w:val="0"/>
              <w:pageBreakBefore w:val="0"/>
              <w:widowControl w:val="0"/>
              <w:numPr>
                <w:ilvl w:val="0"/>
                <w:numId w:val="3"/>
              </w:numPr>
              <w:spacing w:before="58" w:after="58" w:line="288" w:lineRule="auto"/>
              <w:ind w:left="425" w:right="42" w:hanging="425"/>
              <w:jc w:val="center"/>
              <w:rPr>
                <w:rFonts w:ascii="Times New Roman" w:hAnsi="Times New Roman" w:eastAsia="宋体" w:cs="Microsoft New Tai Lue"/>
                <w:sz w:val="21"/>
                <w:szCs w:val="21"/>
                <w:highlight w:val="none"/>
                <w:lang w:val="en-US" w:eastAsia="zh-CN" w:bidi="ar-SA"/>
              </w:rPr>
            </w:pPr>
          </w:p>
        </w:tc>
        <w:tc>
          <w:tcPr>
            <w:tcW w:w="1460" w:type="dxa"/>
            <w:vMerge w:val="restart"/>
            <w:noWrap w:val="0"/>
            <w:vAlign w:val="center"/>
          </w:tcPr>
          <w:p w14:paraId="01962D5D">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39.1</w:t>
            </w:r>
          </w:p>
        </w:tc>
        <w:tc>
          <w:tcPr>
            <w:tcW w:w="2526" w:type="dxa"/>
            <w:vMerge w:val="restart"/>
            <w:noWrap w:val="0"/>
            <w:vAlign w:val="center"/>
          </w:tcPr>
          <w:p w14:paraId="648B9BC7">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其他规定</w:t>
            </w:r>
          </w:p>
        </w:tc>
        <w:tc>
          <w:tcPr>
            <w:tcW w:w="4791" w:type="dxa"/>
            <w:noWrap w:val="0"/>
            <w:vAlign w:val="center"/>
          </w:tcPr>
          <w:p w14:paraId="3FB93EE1">
            <w:pPr>
              <w:pStyle w:val="55"/>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bCs/>
                <w:sz w:val="21"/>
                <w:szCs w:val="21"/>
                <w:highlight w:val="none"/>
                <w:lang w:val="en-US" w:eastAsia="zh-CN" w:bidi="ar-SA"/>
              </w:rPr>
            </w:pPr>
            <w:r>
              <w:rPr>
                <w:rFonts w:hint="eastAsia" w:ascii="宋体" w:hAnsi="宋体" w:eastAsia="宋体" w:cs="宋体"/>
                <w:color w:val="000000"/>
                <w:highlight w:val="none"/>
              </w:rPr>
              <w:t>采购项目属性：</w:t>
            </w:r>
            <w:r>
              <w:rPr>
                <w:rFonts w:hint="eastAsia" w:ascii="宋体" w:hAnsi="宋体" w:eastAsia="宋体" w:cs="宋体"/>
                <w:color w:val="000000"/>
                <w:highlight w:val="none"/>
                <w:lang w:val="en-US" w:eastAsia="zh-CN"/>
              </w:rPr>
              <w:t>工程</w:t>
            </w:r>
            <w:r>
              <w:rPr>
                <w:rFonts w:hint="eastAsia" w:ascii="宋体" w:hAnsi="宋体" w:eastAsia="宋体" w:cs="宋体"/>
                <w:color w:val="000000"/>
                <w:highlight w:val="none"/>
              </w:rPr>
              <w:t>类</w:t>
            </w:r>
          </w:p>
        </w:tc>
      </w:tr>
      <w:tr w14:paraId="17FD0F22">
        <w:trPr>
          <w:trHeight w:val="552" w:hRule="atLeast"/>
          <w:jc w:val="center"/>
        </w:trPr>
        <w:tc>
          <w:tcPr>
            <w:tcW w:w="903" w:type="dxa"/>
            <w:vMerge w:val="continue"/>
            <w:noWrap w:val="0"/>
            <w:vAlign w:val="center"/>
          </w:tcPr>
          <w:p w14:paraId="4F31C934">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p>
        </w:tc>
        <w:tc>
          <w:tcPr>
            <w:tcW w:w="1460" w:type="dxa"/>
            <w:vMerge w:val="continue"/>
            <w:noWrap w:val="0"/>
            <w:vAlign w:val="center"/>
          </w:tcPr>
          <w:p w14:paraId="204B96C3">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p>
        </w:tc>
        <w:tc>
          <w:tcPr>
            <w:tcW w:w="2526" w:type="dxa"/>
            <w:vMerge w:val="continue"/>
            <w:noWrap w:val="0"/>
            <w:vAlign w:val="center"/>
          </w:tcPr>
          <w:p w14:paraId="13CB66F2">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p>
        </w:tc>
        <w:tc>
          <w:tcPr>
            <w:tcW w:w="4791" w:type="dxa"/>
            <w:noWrap w:val="0"/>
            <w:vAlign w:val="center"/>
          </w:tcPr>
          <w:p w14:paraId="618CFD82">
            <w:pPr>
              <w:pStyle w:val="55"/>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bCs/>
                <w:sz w:val="21"/>
                <w:szCs w:val="21"/>
                <w:highlight w:val="none"/>
                <w:lang w:val="en-US" w:eastAsia="zh-CN" w:bidi="ar-SA"/>
              </w:rPr>
            </w:pPr>
            <w:r>
              <w:rPr>
                <w:rFonts w:hint="eastAsia" w:ascii="宋体" w:hAnsi="宋体" w:eastAsia="宋体" w:cs="宋体"/>
                <w:color w:val="000000"/>
                <w:highlight w:val="none"/>
              </w:rPr>
              <w:t>标的对应的中小企业划分标准所属行业：</w:t>
            </w:r>
            <w:r>
              <w:rPr>
                <w:rFonts w:hint="eastAsia" w:ascii="宋体" w:hAnsi="宋体" w:eastAsia="宋体" w:cs="宋体"/>
                <w:sz w:val="21"/>
                <w:szCs w:val="21"/>
                <w:highlight w:val="none"/>
                <w:lang w:val="en-US" w:eastAsia="zh-CN" w:bidi="ar-SA"/>
              </w:rPr>
              <w:t>建筑业</w:t>
            </w:r>
          </w:p>
        </w:tc>
      </w:tr>
      <w:tr w14:paraId="656604BA">
        <w:trPr>
          <w:trHeight w:val="656" w:hRule="atLeast"/>
          <w:jc w:val="center"/>
        </w:trPr>
        <w:tc>
          <w:tcPr>
            <w:tcW w:w="903" w:type="dxa"/>
            <w:vMerge w:val="continue"/>
            <w:noWrap w:val="0"/>
            <w:vAlign w:val="center"/>
          </w:tcPr>
          <w:p w14:paraId="01B8543D">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p>
        </w:tc>
        <w:tc>
          <w:tcPr>
            <w:tcW w:w="1460" w:type="dxa"/>
            <w:vMerge w:val="continue"/>
            <w:noWrap w:val="0"/>
            <w:vAlign w:val="center"/>
          </w:tcPr>
          <w:p w14:paraId="4B2D2425">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p>
        </w:tc>
        <w:tc>
          <w:tcPr>
            <w:tcW w:w="2526" w:type="dxa"/>
            <w:vMerge w:val="continue"/>
            <w:noWrap w:val="0"/>
            <w:vAlign w:val="center"/>
          </w:tcPr>
          <w:p w14:paraId="2412465E">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p>
        </w:tc>
        <w:tc>
          <w:tcPr>
            <w:tcW w:w="4791" w:type="dxa"/>
            <w:noWrap w:val="0"/>
            <w:vAlign w:val="center"/>
          </w:tcPr>
          <w:p w14:paraId="5EDAF79B">
            <w:pPr>
              <w:pStyle w:val="262"/>
              <w:spacing w:line="360" w:lineRule="auto"/>
              <w:jc w:val="both"/>
              <w:rPr>
                <w:rFonts w:hint="eastAsia" w:ascii="宋体" w:hAnsi="宋体" w:eastAsia="宋体" w:cs="宋体"/>
                <w:color w:val="000000"/>
                <w:highlight w:val="none"/>
              </w:rPr>
            </w:pPr>
            <w:r>
              <w:rPr>
                <w:rFonts w:hint="eastAsia" w:ascii="宋体" w:hAnsi="宋体" w:eastAsia="宋体" w:cs="宋体"/>
                <w:bCs/>
                <w:color w:val="000000"/>
                <w:highlight w:val="none"/>
              </w:rPr>
              <w:t>其他规定：</w:t>
            </w:r>
            <w:r>
              <w:rPr>
                <w:rFonts w:hint="eastAsia" w:ascii="宋体" w:hAnsi="宋体" w:eastAsia="宋体" w:cs="宋体"/>
                <w:color w:val="000000"/>
                <w:highlight w:val="none"/>
              </w:rPr>
              <w:t>依据《政府采购促进中小企业发展管理办法》规定享受扶持政策获得政府采购合同的，小微企业不得将合同分包给大中型企业，中型企业不得将合同分包给大型企业。</w:t>
            </w:r>
          </w:p>
          <w:p w14:paraId="7D73C8C8">
            <w:pPr>
              <w:pStyle w:val="262"/>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bCs/>
                <w:sz w:val="21"/>
                <w:szCs w:val="21"/>
                <w:highlight w:val="none"/>
                <w:lang w:val="en-US" w:eastAsia="zh-CN" w:bidi="ar-SA"/>
              </w:rPr>
            </w:pPr>
            <w:r>
              <w:rPr>
                <w:rFonts w:hint="eastAsia" w:ascii="宋体" w:hAnsi="宋体" w:eastAsia="宋体" w:cs="宋体"/>
                <w:highlight w:val="none"/>
                <w:lang w:val="en-US" w:eastAsia="zh-CN"/>
              </w:rPr>
              <w:t>报价文件要求：</w:t>
            </w:r>
            <w:r>
              <w:rPr>
                <w:rFonts w:hint="eastAsia" w:ascii="宋体" w:hAnsi="宋体" w:eastAsia="宋体" w:cs="宋体"/>
                <w:b/>
                <w:bCs/>
                <w:highlight w:val="none"/>
                <w:lang w:val="en-US" w:eastAsia="zh-CN"/>
              </w:rPr>
              <w:t>项目</w:t>
            </w:r>
            <w:r>
              <w:rPr>
                <w:rFonts w:hint="eastAsia" w:hAnsi="宋体" w:cs="宋体"/>
                <w:b/>
                <w:bCs/>
                <w:highlight w:val="none"/>
                <w:lang w:val="en-US" w:eastAsia="zh-CN"/>
              </w:rPr>
              <w:t>中标</w:t>
            </w:r>
            <w:r>
              <w:rPr>
                <w:rFonts w:hint="eastAsia" w:ascii="宋体" w:hAnsi="宋体" w:eastAsia="宋体" w:cs="宋体"/>
                <w:b/>
                <w:bCs/>
                <w:highlight w:val="none"/>
                <w:lang w:val="en-US" w:eastAsia="zh-CN"/>
              </w:rPr>
              <w:t>结果发布后，</w:t>
            </w:r>
            <w:r>
              <w:rPr>
                <w:rFonts w:hint="eastAsia" w:hAnsi="宋体" w:cs="宋体"/>
                <w:b/>
                <w:bCs/>
                <w:highlight w:val="none"/>
                <w:lang w:val="en-US" w:eastAsia="zh-CN"/>
              </w:rPr>
              <w:t>中标</w:t>
            </w:r>
            <w:r>
              <w:rPr>
                <w:rFonts w:hint="eastAsia" w:ascii="宋体" w:hAnsi="宋体" w:eastAsia="宋体" w:cs="宋体"/>
                <w:b/>
                <w:bCs/>
                <w:highlight w:val="none"/>
                <w:lang w:val="en-US" w:eastAsia="zh-CN"/>
              </w:rPr>
              <w:t>供应商应向采购人提供与</w:t>
            </w:r>
            <w:r>
              <w:rPr>
                <w:rFonts w:hint="eastAsia" w:hAnsi="宋体" w:cs="宋体"/>
                <w:b/>
                <w:bCs/>
                <w:highlight w:val="none"/>
                <w:lang w:val="en-US" w:eastAsia="zh-CN"/>
              </w:rPr>
              <w:t>投标</w:t>
            </w:r>
            <w:r>
              <w:rPr>
                <w:rFonts w:hint="eastAsia" w:ascii="宋体" w:hAnsi="宋体" w:eastAsia="宋体" w:cs="宋体"/>
                <w:b/>
                <w:bCs/>
                <w:highlight w:val="none"/>
                <w:lang w:val="en-US" w:eastAsia="zh-CN"/>
              </w:rPr>
              <w:t>文件报价一致的软件版报价，及excel版本报价（含分部分项工程项目清单综合单价分析表）。</w:t>
            </w:r>
          </w:p>
        </w:tc>
      </w:tr>
      <w:tr w14:paraId="3ECBE0CD">
        <w:trPr>
          <w:trHeight w:val="13863" w:hRule="atLeast"/>
          <w:jc w:val="center"/>
        </w:trPr>
        <w:tc>
          <w:tcPr>
            <w:tcW w:w="903" w:type="dxa"/>
            <w:vMerge w:val="continue"/>
            <w:noWrap w:val="0"/>
            <w:vAlign w:val="center"/>
          </w:tcPr>
          <w:p w14:paraId="74E93632">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p>
        </w:tc>
        <w:tc>
          <w:tcPr>
            <w:tcW w:w="1460" w:type="dxa"/>
            <w:vMerge w:val="continue"/>
            <w:noWrap w:val="0"/>
            <w:vAlign w:val="center"/>
          </w:tcPr>
          <w:p w14:paraId="25CCBBD5">
            <w:pPr>
              <w:pStyle w:val="262"/>
              <w:keepNext w:val="0"/>
              <w:keepLines w:val="0"/>
              <w:pageBreakBefore w:val="0"/>
              <w:widowControl w:val="0"/>
              <w:spacing w:before="58" w:after="58" w:line="288" w:lineRule="auto"/>
              <w:ind w:left="42" w:right="42" w:firstLine="0"/>
              <w:jc w:val="center"/>
              <w:rPr>
                <w:rFonts w:ascii="Times New Roman" w:hAnsi="Times New Roman" w:eastAsia="宋体" w:cs="Microsoft New Tai Lue"/>
                <w:sz w:val="21"/>
                <w:szCs w:val="21"/>
                <w:highlight w:val="none"/>
                <w:lang w:val="en-US" w:eastAsia="zh-CN" w:bidi="ar-SA"/>
              </w:rPr>
            </w:pPr>
          </w:p>
        </w:tc>
        <w:tc>
          <w:tcPr>
            <w:tcW w:w="2526" w:type="dxa"/>
            <w:vMerge w:val="continue"/>
            <w:noWrap w:val="0"/>
            <w:vAlign w:val="center"/>
          </w:tcPr>
          <w:p w14:paraId="2F1150E1">
            <w:pPr>
              <w:pStyle w:val="262"/>
              <w:keepNext w:val="0"/>
              <w:keepLines w:val="0"/>
              <w:pageBreakBefore w:val="0"/>
              <w:widowControl w:val="0"/>
              <w:spacing w:before="58" w:after="58" w:line="288" w:lineRule="auto"/>
              <w:ind w:left="42" w:right="42" w:firstLine="0"/>
              <w:jc w:val="left"/>
              <w:rPr>
                <w:rFonts w:hint="eastAsia" w:ascii="Times New Roman" w:hAnsi="Times New Roman" w:eastAsia="宋体" w:cs="Microsoft New Tai Lue"/>
                <w:sz w:val="21"/>
                <w:szCs w:val="21"/>
                <w:highlight w:val="none"/>
                <w:lang w:val="en-US" w:eastAsia="zh-CN" w:bidi="ar-SA"/>
              </w:rPr>
            </w:pPr>
          </w:p>
        </w:tc>
        <w:tc>
          <w:tcPr>
            <w:tcW w:w="4791" w:type="dxa"/>
            <w:noWrap w:val="0"/>
            <w:vAlign w:val="center"/>
          </w:tcPr>
          <w:p w14:paraId="68E2A2E8">
            <w:pPr>
              <w:numPr>
                <w:ilvl w:val="0"/>
                <w:numId w:val="0"/>
              </w:numPr>
              <w:spacing w:line="360" w:lineRule="auto"/>
              <w:jc w:val="both"/>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异常低价处理：</w:t>
            </w:r>
          </w:p>
          <w:p w14:paraId="7340F428">
            <w:pPr>
              <w:widowControl/>
              <w:spacing w:line="360" w:lineRule="auto"/>
              <w:jc w:val="both"/>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（一）采购评审中出现下列情形之一的，评审委员会应当启动异常低价投标（响应）审查程序：</w:t>
            </w:r>
          </w:p>
          <w:p w14:paraId="55FC8FAD">
            <w:pPr>
              <w:widowControl/>
              <w:spacing w:line="360" w:lineRule="auto"/>
              <w:jc w:val="both"/>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1.投标（响应）报价低于全部通过符合性审查供应商投标（响应）报价平均值50%的，即投标（响应）报价&lt;全部通过符合性审查供应商投标（响应）报价平均值×50%；</w:t>
            </w:r>
          </w:p>
          <w:p w14:paraId="3AB49FF7">
            <w:pPr>
              <w:widowControl/>
              <w:spacing w:line="360" w:lineRule="auto"/>
              <w:jc w:val="both"/>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2.投标（响应）报价低于通过符合性审查的次低报价供应商投标（响应）报价50%的，即投标（响应）报价&lt;通过符合性审查的次低报价供应商投标（响应）报价×50%；</w:t>
            </w:r>
          </w:p>
          <w:p w14:paraId="2BA7B1AC">
            <w:pPr>
              <w:widowControl/>
              <w:spacing w:line="360" w:lineRule="auto"/>
              <w:jc w:val="both"/>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3.投标（响应）报价低于采购项目最高限价45%的，即投标（响应）报价&lt;采购项目最高限价×45%（未设定最高限价的采购项目，以采购项目预算金额作为最高限价）；</w:t>
            </w:r>
          </w:p>
          <w:p w14:paraId="66C25EB0">
            <w:pPr>
              <w:widowControl/>
              <w:spacing w:line="360" w:lineRule="auto"/>
              <w:jc w:val="both"/>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4.评审委员会基于专业判断，认为供应商报价过低，有可能影响产品质量或者不能诚信履约的其他情形。</w:t>
            </w:r>
          </w:p>
          <w:p w14:paraId="4B36E334">
            <w:pPr>
              <w:widowControl/>
              <w:spacing w:line="360" w:lineRule="auto"/>
              <w:jc w:val="both"/>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5732FBE">
            <w:pPr>
              <w:pStyle w:val="262"/>
              <w:keepNext w:val="0"/>
              <w:keepLines w:val="0"/>
              <w:pageBreakBefore w:val="0"/>
              <w:widowControl w:val="0"/>
              <w:spacing w:before="58" w:after="58" w:line="288" w:lineRule="auto"/>
              <w:ind w:left="42" w:right="42" w:firstLine="0"/>
              <w:jc w:val="both"/>
              <w:rPr>
                <w:rFonts w:hint="eastAsia" w:ascii="Times New Roman" w:hAnsi="Times New Roman" w:eastAsia="宋体" w:cs="Microsoft New Tai Lue"/>
                <w:bCs/>
                <w:sz w:val="21"/>
                <w:szCs w:val="21"/>
                <w:highlight w:val="none"/>
                <w:lang w:val="en-US" w:eastAsia="zh-CN" w:bidi="ar-SA"/>
              </w:rPr>
            </w:pPr>
            <w:r>
              <w:rPr>
                <w:rFonts w:hint="eastAsia" w:ascii="宋体" w:hAnsi="宋体" w:eastAsia="宋体" w:cs="宋体"/>
                <w:bCs/>
                <w:color w:val="auto"/>
                <w:sz w:val="21"/>
                <w:szCs w:val="21"/>
                <w:highlight w:val="no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5C315302">
      <w:pPr>
        <w:rPr>
          <w:rFonts w:ascii="Times New Roman" w:hAnsi="Times New Roman" w:eastAsia="宋体" w:cs="Microsoft New Tai Lue"/>
          <w:highlight w:val="none"/>
        </w:rPr>
      </w:pPr>
      <w:bookmarkStart w:id="33" w:name="_Toc107246213"/>
      <w:bookmarkStart w:id="34" w:name="_Toc103848526"/>
      <w:bookmarkStart w:id="35" w:name="_Toc104560837"/>
      <w:bookmarkStart w:id="36" w:name="_Toc100905199"/>
      <w:r>
        <w:rPr>
          <w:rFonts w:ascii="Times New Roman" w:hAnsi="Times New Roman" w:eastAsia="宋体" w:cs="Microsoft New Tai Lue"/>
          <w:highlight w:val="none"/>
        </w:rPr>
        <w:br w:type="page" w:clear="all"/>
      </w:r>
    </w:p>
    <w:p w14:paraId="00B1F1BB">
      <w:pPr>
        <w:pStyle w:val="77"/>
        <w:ind w:left="535" w:hanging="321"/>
        <w:outlineLvl w:val="1"/>
        <w:rPr>
          <w:rFonts w:ascii="Times New Roman" w:hAnsi="Times New Roman" w:eastAsia="宋体" w:cs="Microsoft New Tai Lue"/>
          <w:highlight w:val="none"/>
        </w:rPr>
      </w:pPr>
      <w:bookmarkStart w:id="37" w:name="_Toc1254143351"/>
      <w:r>
        <w:rPr>
          <w:rFonts w:ascii="Times New Roman" w:hAnsi="Times New Roman" w:eastAsia="宋体" w:cs="Microsoft New Tai Lue"/>
          <w:highlight w:val="none"/>
        </w:rPr>
        <w:t>投标人须知</w:t>
      </w:r>
      <w:bookmarkEnd w:id="33"/>
      <w:bookmarkEnd w:id="34"/>
      <w:bookmarkEnd w:id="35"/>
      <w:bookmarkEnd w:id="36"/>
      <w:bookmarkEnd w:id="37"/>
    </w:p>
    <w:p w14:paraId="27CE2CC7">
      <w:pPr>
        <w:pStyle w:val="3"/>
        <w:spacing w:line="360" w:lineRule="auto"/>
        <w:ind w:left="211" w:right="210" w:hanging="211"/>
        <w:rPr>
          <w:rFonts w:ascii="Times New Roman" w:hAnsi="Times New Roman" w:eastAsia="宋体" w:cs="Microsoft New Tai Lue"/>
          <w:highlight w:val="none"/>
        </w:rPr>
      </w:pPr>
      <w:bookmarkStart w:id="38" w:name="_Toc80264706"/>
      <w:bookmarkStart w:id="39" w:name="_Toc835304952"/>
      <w:r>
        <w:rPr>
          <w:rFonts w:ascii="Times New Roman" w:hAnsi="Times New Roman" w:eastAsia="宋体" w:cs="Microsoft New Tai Lue"/>
          <w:highlight w:val="none"/>
        </w:rPr>
        <w:t>一．</w:t>
      </w:r>
      <w:bookmarkEnd w:id="38"/>
      <w:r>
        <w:rPr>
          <w:rFonts w:ascii="Times New Roman" w:hAnsi="Times New Roman" w:eastAsia="宋体" w:cs="Microsoft New Tai Lue"/>
          <w:highlight w:val="none"/>
        </w:rPr>
        <w:t>总则</w:t>
      </w:r>
      <w:bookmarkEnd w:id="39"/>
    </w:p>
    <w:p w14:paraId="063480EF">
      <w:pPr>
        <w:pStyle w:val="4"/>
        <w:spacing w:line="360" w:lineRule="auto"/>
        <w:ind w:left="211" w:right="210" w:hanging="211"/>
        <w:rPr>
          <w:rFonts w:ascii="Times New Roman" w:hAnsi="Times New Roman" w:eastAsia="宋体" w:cs="Microsoft New Tai Lue"/>
          <w:highlight w:val="none"/>
        </w:rPr>
      </w:pPr>
      <w:bookmarkStart w:id="40" w:name="_Toc96347862"/>
      <w:bookmarkStart w:id="41" w:name="_Toc100905201"/>
      <w:bookmarkStart w:id="42" w:name="_Toc107246215"/>
      <w:bookmarkStart w:id="43" w:name="_Toc869727825"/>
      <w:bookmarkStart w:id="44" w:name="_Toc103848528"/>
      <w:bookmarkStart w:id="45" w:name="_Toc104560839"/>
      <w:r>
        <w:rPr>
          <w:rFonts w:ascii="Times New Roman" w:hAnsi="Times New Roman" w:eastAsia="宋体" w:cs="Microsoft New Tai Lue"/>
          <w:highlight w:val="none"/>
        </w:rPr>
        <w:t>1.采购方式</w:t>
      </w:r>
      <w:bookmarkEnd w:id="40"/>
      <w:bookmarkEnd w:id="41"/>
      <w:bookmarkEnd w:id="42"/>
      <w:bookmarkEnd w:id="43"/>
      <w:bookmarkEnd w:id="44"/>
      <w:bookmarkEnd w:id="45"/>
    </w:p>
    <w:p w14:paraId="68F27C1C">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本次招标采取公开招标方式，本招标文件仅适用于</w:t>
      </w:r>
      <w:r>
        <w:rPr>
          <w:rFonts w:hint="eastAsia" w:ascii="Times New Roman" w:hAnsi="Times New Roman" w:eastAsia="宋体" w:cs="Microsoft New Tai Lue"/>
          <w:szCs w:val="21"/>
          <w:highlight w:val="none"/>
        </w:rPr>
        <w:t>招标公告</w:t>
      </w:r>
      <w:r>
        <w:rPr>
          <w:rFonts w:ascii="Times New Roman" w:hAnsi="Times New Roman" w:eastAsia="宋体" w:cs="Microsoft New Tai Lue"/>
          <w:szCs w:val="21"/>
          <w:highlight w:val="none"/>
        </w:rPr>
        <w:t>中所述项目。</w:t>
      </w:r>
    </w:p>
    <w:p w14:paraId="5219D243">
      <w:pPr>
        <w:pStyle w:val="4"/>
        <w:spacing w:line="360" w:lineRule="auto"/>
        <w:ind w:left="211" w:right="210" w:hanging="211"/>
        <w:rPr>
          <w:rFonts w:ascii="Times New Roman" w:hAnsi="Times New Roman" w:eastAsia="宋体" w:cs="Microsoft New Tai Lue"/>
          <w:highlight w:val="none"/>
        </w:rPr>
      </w:pPr>
      <w:bookmarkStart w:id="46" w:name="_Toc104560840"/>
      <w:bookmarkStart w:id="47" w:name="_Toc107246216"/>
      <w:bookmarkStart w:id="48" w:name="_Toc100905202"/>
      <w:bookmarkStart w:id="49" w:name="_Toc96347863"/>
      <w:bookmarkStart w:id="50" w:name="_Toc1741853293"/>
      <w:bookmarkStart w:id="51" w:name="_Toc103848529"/>
      <w:r>
        <w:rPr>
          <w:rFonts w:ascii="Times New Roman" w:hAnsi="Times New Roman" w:eastAsia="宋体" w:cs="Microsoft New Tai Lue"/>
          <w:highlight w:val="none"/>
        </w:rPr>
        <w:t>2.定义</w:t>
      </w:r>
      <w:bookmarkEnd w:id="46"/>
      <w:bookmarkEnd w:id="47"/>
      <w:bookmarkEnd w:id="48"/>
      <w:bookmarkEnd w:id="49"/>
      <w:bookmarkEnd w:id="50"/>
      <w:bookmarkEnd w:id="51"/>
    </w:p>
    <w:p w14:paraId="0DC53AE3">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2.1</w:t>
      </w:r>
      <w:r>
        <w:rPr>
          <w:rFonts w:hint="eastAsia" w:ascii="Times New Roman" w:hAnsi="Times New Roman" w:eastAsia="宋体" w:cs="Microsoft New Tai Lue"/>
          <w:bCs/>
          <w:szCs w:val="21"/>
          <w:highlight w:val="none"/>
        </w:rPr>
        <w:t>“</w:t>
      </w:r>
      <w:r>
        <w:rPr>
          <w:rFonts w:ascii="Times New Roman" w:hAnsi="Times New Roman" w:eastAsia="宋体" w:cs="Microsoft New Tai Lue"/>
          <w:bCs/>
          <w:szCs w:val="21"/>
          <w:highlight w:val="none"/>
        </w:rPr>
        <w:t>采购人</w:t>
      </w:r>
      <w:r>
        <w:rPr>
          <w:rFonts w:hint="eastAsia" w:ascii="Times New Roman" w:hAnsi="Times New Roman" w:eastAsia="宋体" w:cs="Microsoft New Tai Lue"/>
          <w:bCs/>
          <w:szCs w:val="21"/>
          <w:highlight w:val="none"/>
        </w:rPr>
        <w:t>”</w:t>
      </w:r>
      <w:r>
        <w:rPr>
          <w:rFonts w:ascii="Times New Roman" w:hAnsi="Times New Roman" w:eastAsia="宋体" w:cs="Microsoft New Tai Lue"/>
          <w:bCs/>
          <w:szCs w:val="21"/>
          <w:highlight w:val="none"/>
        </w:rPr>
        <w:t>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w:t>
      </w:r>
    </w:p>
    <w:p w14:paraId="5AA6221E">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2.2</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采购代理机构</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w:t>
      </w:r>
    </w:p>
    <w:p w14:paraId="48974099">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2.3</w:t>
      </w:r>
      <w:r>
        <w:rPr>
          <w:rFonts w:hint="eastAsia" w:ascii="Times New Roman" w:hAnsi="Times New Roman" w:eastAsia="宋体" w:cs="Microsoft New Tai Lue"/>
          <w:bCs/>
          <w:szCs w:val="21"/>
          <w:highlight w:val="none"/>
        </w:rPr>
        <w:t>“</w:t>
      </w:r>
      <w:r>
        <w:rPr>
          <w:rFonts w:ascii="Times New Roman" w:hAnsi="Times New Roman" w:eastAsia="宋体" w:cs="Microsoft New Tai Lue"/>
          <w:bCs/>
          <w:szCs w:val="21"/>
          <w:highlight w:val="none"/>
        </w:rPr>
        <w:t>采购方</w:t>
      </w:r>
      <w:r>
        <w:rPr>
          <w:rFonts w:hint="eastAsia" w:ascii="Times New Roman" w:hAnsi="Times New Roman" w:eastAsia="宋体" w:cs="Microsoft New Tai Lue"/>
          <w:bCs/>
          <w:szCs w:val="21"/>
          <w:highlight w:val="none"/>
        </w:rPr>
        <w:t>”</w:t>
      </w:r>
      <w:r>
        <w:rPr>
          <w:rFonts w:ascii="Times New Roman" w:hAnsi="Times New Roman" w:eastAsia="宋体" w:cs="Microsoft New Tai Lue"/>
          <w:bCs/>
          <w:szCs w:val="21"/>
          <w:highlight w:val="none"/>
        </w:rPr>
        <w:t>是指采购人和</w:t>
      </w:r>
      <w:r>
        <w:rPr>
          <w:rFonts w:ascii="Times New Roman" w:hAnsi="Times New Roman" w:eastAsia="宋体" w:cs="Microsoft New Tai Lue"/>
          <w:szCs w:val="21"/>
          <w:highlight w:val="none"/>
        </w:rPr>
        <w:t>采购代理机构的合称。</w:t>
      </w:r>
    </w:p>
    <w:p w14:paraId="79177A40">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color w:val="auto"/>
          <w:szCs w:val="21"/>
          <w:highlight w:val="none"/>
        </w:rPr>
        <w:t>2.4</w:t>
      </w:r>
      <w:r>
        <w:rPr>
          <w:rFonts w:hint="eastAsia" w:ascii="Times New Roman" w:hAnsi="Times New Roman" w:eastAsia="宋体" w:cs="Microsoft New Tai Lue"/>
          <w:bCs/>
          <w:color w:val="auto"/>
          <w:szCs w:val="21"/>
          <w:highlight w:val="none"/>
        </w:rPr>
        <w:t>“</w:t>
      </w:r>
      <w:r>
        <w:rPr>
          <w:rFonts w:ascii="Times New Roman" w:hAnsi="Times New Roman" w:eastAsia="宋体" w:cs="Microsoft New Tai Lue"/>
          <w:color w:val="auto"/>
          <w:szCs w:val="21"/>
          <w:highlight w:val="none"/>
        </w:rPr>
        <w:t>供应商</w:t>
      </w:r>
      <w:r>
        <w:rPr>
          <w:rFonts w:hint="eastAsia" w:ascii="Times New Roman" w:hAnsi="Times New Roman" w:eastAsia="宋体" w:cs="Microsoft New Tai Lue"/>
          <w:bCs/>
          <w:color w:val="auto"/>
          <w:szCs w:val="21"/>
          <w:highlight w:val="none"/>
        </w:rPr>
        <w:t>”</w:t>
      </w:r>
      <w:r>
        <w:rPr>
          <w:rFonts w:ascii="Times New Roman" w:hAnsi="Times New Roman" w:eastAsia="宋体" w:cs="Microsoft New Tai Lue"/>
          <w:color w:val="auto"/>
          <w:szCs w:val="21"/>
          <w:highlight w:val="none"/>
        </w:rPr>
        <w:t>是指向采购人提</w:t>
      </w:r>
      <w:r>
        <w:rPr>
          <w:rFonts w:ascii="Times New Roman" w:hAnsi="Times New Roman" w:eastAsia="宋体" w:cs="Microsoft New Tai Lue"/>
          <w:szCs w:val="21"/>
          <w:highlight w:val="none"/>
        </w:rPr>
        <w:t>供货物、工程或者服务的法人、其他组织或者自然人。</w:t>
      </w:r>
    </w:p>
    <w:p w14:paraId="09411F8D">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2.5</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中标供应商</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是指在投标过程中获得采购项目合同签订资格的供应商。中标供应商是由专家经过评审后推荐并经采购人确认的。本招标文件中中标供应商也称中标人。</w:t>
      </w:r>
    </w:p>
    <w:p w14:paraId="74EF81F1">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2.6</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评标委员会</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是依据</w:t>
      </w:r>
      <w:r>
        <w:rPr>
          <w:rFonts w:hint="eastAsia" w:ascii="Times New Roman" w:hAnsi="Times New Roman" w:eastAsia="宋体" w:cs="Microsoft New Tai Lue"/>
          <w:szCs w:val="21"/>
          <w:highlight w:val="none"/>
        </w:rPr>
        <w:t>政府采购</w:t>
      </w:r>
      <w:r>
        <w:rPr>
          <w:rFonts w:ascii="Times New Roman" w:hAnsi="Times New Roman" w:eastAsia="宋体" w:cs="Microsoft New Tai Lue"/>
          <w:szCs w:val="21"/>
          <w:highlight w:val="none"/>
        </w:rPr>
        <w:t>相关法律法规规定组建，依法履行评审采购活动职责的评审成员。</w:t>
      </w:r>
    </w:p>
    <w:p w14:paraId="75C6A35C">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2.7</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货物</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是指各种形态和种类的物品，包括原材料、燃料、设备、产品等。</w:t>
      </w:r>
    </w:p>
    <w:p w14:paraId="707E3BD5">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2.8</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工程</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是指建设工程，包括建筑物和构筑物的新建、改建、扩建、装修、拆除、修缮等。</w:t>
      </w:r>
    </w:p>
    <w:p w14:paraId="01DA84CE">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2.9</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服务</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是指除货物和工程以外的其他政府采购对象。</w:t>
      </w:r>
    </w:p>
    <w:p w14:paraId="647B7913">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2.10</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节能产品</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或者</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环保产品</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是指国务院有关部门发布的最新一期《节能产品政府采购品目清单》或者《环境标志产品政府采购品目清单》内的产品。</w:t>
      </w:r>
    </w:p>
    <w:p w14:paraId="4BF09C24">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2.11</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进口产品</w:t>
      </w:r>
      <w:r>
        <w:rPr>
          <w:rFonts w:hint="eastAsia" w:ascii="Times New Roman" w:hAnsi="Times New Roman" w:eastAsia="宋体" w:cs="Microsoft New Tai Lue"/>
          <w:bCs/>
          <w:szCs w:val="21"/>
          <w:highlight w:val="none"/>
        </w:rPr>
        <w:t>”</w:t>
      </w:r>
      <w:r>
        <w:rPr>
          <w:rFonts w:ascii="Times New Roman" w:hAnsi="Times New Roman" w:eastAsia="宋体" w:cs="Microsoft New Tai Lue"/>
          <w:szCs w:val="21"/>
          <w:highlight w:val="none"/>
        </w:rPr>
        <w:t>是指通过中国海关报关验放进入中国境内且产自关境外的产品。</w:t>
      </w:r>
    </w:p>
    <w:p w14:paraId="0C43296E">
      <w:pPr>
        <w:pStyle w:val="4"/>
        <w:spacing w:line="360" w:lineRule="auto"/>
        <w:ind w:left="211" w:right="210" w:hanging="211"/>
        <w:rPr>
          <w:rFonts w:ascii="Times New Roman" w:hAnsi="Times New Roman" w:eastAsia="宋体" w:cs="Microsoft New Tai Lue"/>
          <w:highlight w:val="none"/>
        </w:rPr>
      </w:pPr>
      <w:bookmarkStart w:id="52" w:name="_Toc831219547"/>
      <w:bookmarkStart w:id="53" w:name="_Toc96347864"/>
      <w:bookmarkStart w:id="54" w:name="_Toc107246217"/>
      <w:bookmarkStart w:id="55" w:name="_Toc103848530"/>
      <w:bookmarkStart w:id="56" w:name="_Toc100905203"/>
      <w:bookmarkStart w:id="57" w:name="_Toc104560841"/>
      <w:r>
        <w:rPr>
          <w:rFonts w:ascii="Times New Roman" w:hAnsi="Times New Roman" w:eastAsia="宋体" w:cs="Microsoft New Tai Lue"/>
          <w:highlight w:val="none"/>
        </w:rPr>
        <w:t>3.适用法律</w:t>
      </w:r>
      <w:bookmarkEnd w:id="52"/>
      <w:bookmarkEnd w:id="53"/>
      <w:bookmarkEnd w:id="54"/>
      <w:bookmarkEnd w:id="55"/>
      <w:bookmarkEnd w:id="56"/>
      <w:bookmarkEnd w:id="57"/>
    </w:p>
    <w:p w14:paraId="1F400F91">
      <w:pPr>
        <w:spacing w:before="120" w:line="360" w:lineRule="auto"/>
        <w:ind w:left="214" w:firstLine="420"/>
        <w:rPr>
          <w:rFonts w:ascii="Times New Roman" w:hAnsi="Times New Roman" w:eastAsia="宋体" w:cs="Microsoft New Tai Lue"/>
          <w:szCs w:val="21"/>
          <w:highlight w:val="none"/>
        </w:rPr>
      </w:pPr>
      <w:bookmarkStart w:id="58" w:name="_Toc100905204"/>
      <w:r>
        <w:rPr>
          <w:rFonts w:ascii="Times New Roman" w:hAnsi="Times New Roman" w:eastAsia="宋体" w:cs="Microsoft New Tai Lue"/>
          <w:szCs w:val="21"/>
          <w:highlight w:val="non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471DAE7">
      <w:pPr>
        <w:pStyle w:val="4"/>
        <w:spacing w:line="360" w:lineRule="auto"/>
        <w:ind w:left="211" w:right="210" w:hanging="211"/>
        <w:rPr>
          <w:rFonts w:ascii="Times New Roman" w:hAnsi="Times New Roman" w:eastAsia="宋体" w:cs="Microsoft New Tai Lue"/>
          <w:highlight w:val="none"/>
        </w:rPr>
      </w:pPr>
      <w:bookmarkStart w:id="59" w:name="_Toc103848531"/>
      <w:bookmarkStart w:id="60" w:name="_Toc104560842"/>
      <w:bookmarkStart w:id="61" w:name="_Toc107246218"/>
      <w:bookmarkStart w:id="62" w:name="_Toc925802694"/>
      <w:r>
        <w:rPr>
          <w:rFonts w:ascii="Times New Roman" w:hAnsi="Times New Roman" w:eastAsia="宋体" w:cs="Microsoft New Tai Lue"/>
          <w:highlight w:val="none"/>
        </w:rPr>
        <w:t>4.</w:t>
      </w:r>
      <w:bookmarkEnd w:id="59"/>
      <w:r>
        <w:rPr>
          <w:rFonts w:hint="eastAsia" w:ascii="Times New Roman" w:hAnsi="Times New Roman" w:eastAsia="宋体" w:cs="Microsoft New Tai Lue"/>
          <w:highlight w:val="none"/>
        </w:rPr>
        <w:t>政府采购政策（包括但不限于下列具体政策要求）</w:t>
      </w:r>
      <w:bookmarkEnd w:id="60"/>
      <w:bookmarkEnd w:id="61"/>
      <w:bookmarkEnd w:id="62"/>
    </w:p>
    <w:p w14:paraId="6A3A16BB">
      <w:pPr>
        <w:spacing w:before="120" w:line="360" w:lineRule="auto"/>
        <w:ind w:left="214" w:firstLine="420"/>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4.</w:t>
      </w:r>
      <w:r>
        <w:rPr>
          <w:rFonts w:ascii="Times New Roman" w:hAnsi="Times New Roman" w:eastAsia="宋体" w:cs="Microsoft New Tai Lue"/>
          <w:b/>
          <w:szCs w:val="21"/>
          <w:highlight w:val="none"/>
        </w:rPr>
        <w:t>1</w:t>
      </w:r>
      <w:r>
        <w:rPr>
          <w:rFonts w:hint="eastAsia" w:ascii="Times New Roman" w:hAnsi="Times New Roman" w:eastAsia="宋体" w:cs="Microsoft New Tai Lue"/>
          <w:b/>
          <w:szCs w:val="21"/>
          <w:highlight w:val="none"/>
        </w:rPr>
        <w:t>中小企业、监狱企业及残疾人福利性单位</w:t>
      </w:r>
    </w:p>
    <w:p w14:paraId="7EC7AE06">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4.1.1</w:t>
      </w:r>
      <w:r>
        <w:rPr>
          <w:rFonts w:hint="eastAsia" w:ascii="Times New Roman" w:hAnsi="Times New Roman" w:eastAsia="宋体" w:cs="Microsoft New Tai Lue"/>
          <w:szCs w:val="21"/>
          <w:highlight w:val="none"/>
        </w:rPr>
        <w:t>中小企业定义：</w:t>
      </w:r>
    </w:p>
    <w:p w14:paraId="48293E52">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4.1.1.1</w:t>
      </w:r>
      <w:r>
        <w:rPr>
          <w:rFonts w:hint="eastAsia" w:ascii="Times New Roman" w:hAnsi="Times New Roman" w:eastAsia="宋体" w:cs="Microsoft New Tai Lue"/>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CEFD515">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4.1.1.2</w:t>
      </w:r>
      <w:r>
        <w:rPr>
          <w:rFonts w:hint="eastAsia" w:ascii="Times New Roman" w:hAnsi="Times New Roman" w:eastAsia="宋体" w:cs="Microsoft New Tai Lue"/>
          <w:szCs w:val="21"/>
          <w:highlight w:val="none"/>
        </w:rPr>
        <w:t>供应商提供的货物、工程或者服务符合下列情形的，享受中小企业扶持政策：</w:t>
      </w:r>
    </w:p>
    <w:p w14:paraId="0617511C">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（1）在货物采购项目中，货物由中小企业制造，即货物由中小企业生产且使用该中小企业商号或者注册商标；</w:t>
      </w:r>
    </w:p>
    <w:p w14:paraId="44861706">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（2）在工程采购项目中，工程由中小企业承建，即工程施工单位为中小企业；</w:t>
      </w:r>
    </w:p>
    <w:p w14:paraId="6D0D4DFE">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（3）在服务采购项目中，服务由中小企业承接，即提供服务的人员为中小企业依照《中华人民共和国劳动合同法》订立劳动合同的从业人员。</w:t>
      </w:r>
    </w:p>
    <w:p w14:paraId="4954DE8E">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4.1.1.3</w:t>
      </w:r>
      <w:r>
        <w:rPr>
          <w:rFonts w:hint="eastAsia" w:ascii="Times New Roman" w:hAnsi="Times New Roman" w:eastAsia="宋体" w:cs="Microsoft New Tai Lue"/>
          <w:szCs w:val="21"/>
          <w:highlight w:val="none"/>
        </w:rPr>
        <w:t>在货物采购项目中，供应商提供的货物既有中小企业制造货物，也有大型企业制造货物的，不享受中小企业扶持政策。</w:t>
      </w:r>
    </w:p>
    <w:p w14:paraId="528B499E">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4.1.1.4</w:t>
      </w:r>
      <w:r>
        <w:rPr>
          <w:rFonts w:hint="eastAsia" w:ascii="Times New Roman" w:hAnsi="Times New Roman" w:eastAsia="宋体" w:cs="Microsoft New Tai Lue"/>
          <w:szCs w:val="21"/>
          <w:highlight w:val="none"/>
        </w:rPr>
        <w:t>以联合体形式参加政府采购活动，联合体各方均为中小企业的，联合体视同中小企业。其中，联合体各方均为小微企业的，联合体视同小微企业。</w:t>
      </w:r>
    </w:p>
    <w:p w14:paraId="38902DC2">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4.1.2</w:t>
      </w:r>
      <w:r>
        <w:rPr>
          <w:rFonts w:hint="eastAsia" w:ascii="Times New Roman" w:hAnsi="Times New Roman" w:eastAsia="宋体" w:cs="Microsoft New Tai Lue"/>
          <w:szCs w:val="21"/>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F64676">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4.1.3</w:t>
      </w:r>
      <w:r>
        <w:rPr>
          <w:rFonts w:hint="eastAsia" w:ascii="Times New Roman" w:hAnsi="Times New Roman" w:eastAsia="宋体" w:cs="Microsoft New Tai Lue"/>
          <w:szCs w:val="21"/>
          <w:highlight w:val="none"/>
        </w:rPr>
        <w:t>残疾人福利单位定义：享受政府采购支持政策的残疾人福利性单位应当同时满足以下条件：</w:t>
      </w:r>
    </w:p>
    <w:p w14:paraId="6056D1B8">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（1）安置的残疾人占本单位在职职工人数的比例不低于25%（含25%），并且安置的残疾人人数不少于10 人（含10 人）；</w:t>
      </w:r>
    </w:p>
    <w:p w14:paraId="37DD0B4B">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（2）依法与安置的每位残疾人签订了一年以上（含一年）的劳动合同或服务协议；</w:t>
      </w:r>
    </w:p>
    <w:p w14:paraId="04462C91">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（3）为安置的每位残疾人按月足额缴纳了基本养老保险、基本医疗保险、失业保险、工伤保险和生育保险等社会保险费；</w:t>
      </w:r>
    </w:p>
    <w:p w14:paraId="4E61EBF9">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（4）通过银行等金融机构向安置的每位残疾人，按月支付了不低于单位所在区县适用的经省级人民政府批准的月最低工资标准的工资；</w:t>
      </w:r>
    </w:p>
    <w:p w14:paraId="53E0793D">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（5）提供本单位制造的货物、承担的工程或者服务（以下简称产品），或者提供其他残疾人福利性单位制造的货物（不包括使用非残疾人福利性单位注册商标的货物）；</w:t>
      </w:r>
    </w:p>
    <w:p w14:paraId="3B1B1F2B">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1024D0">
      <w:pPr>
        <w:spacing w:before="120" w:line="360" w:lineRule="auto"/>
        <w:ind w:left="214" w:firstLine="420"/>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4.</w:t>
      </w:r>
      <w:r>
        <w:rPr>
          <w:rFonts w:ascii="Times New Roman" w:hAnsi="Times New Roman" w:eastAsia="宋体" w:cs="Microsoft New Tai Lue"/>
          <w:szCs w:val="21"/>
          <w:highlight w:val="none"/>
        </w:rPr>
        <w:t>1</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4</w:t>
      </w:r>
      <w:r>
        <w:rPr>
          <w:rFonts w:hint="eastAsia" w:ascii="Times New Roman" w:hAnsi="Times New Roman" w:eastAsia="宋体" w:cs="Microsoft New Tai Lue"/>
          <w:szCs w:val="21"/>
          <w:highlight w:val="none"/>
        </w:rPr>
        <w:t>小微企业价格评审优惠的政策调整：见第五章《评标方法与评标标准》（如涉及）。</w:t>
      </w:r>
    </w:p>
    <w:p w14:paraId="21189AE1">
      <w:pPr>
        <w:spacing w:before="120" w:line="360" w:lineRule="auto"/>
        <w:ind w:left="214" w:firstLine="420"/>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4.2</w:t>
      </w:r>
      <w:r>
        <w:rPr>
          <w:rFonts w:hint="eastAsia" w:ascii="Times New Roman" w:hAnsi="Times New Roman" w:eastAsia="宋体" w:cs="Microsoft New Tai Lue"/>
          <w:b/>
          <w:szCs w:val="21"/>
          <w:highlight w:val="none"/>
        </w:rPr>
        <w:t>政府采购节能产品、环境标志产品</w:t>
      </w:r>
    </w:p>
    <w:p w14:paraId="1DA71607">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4.2.1</w:t>
      </w:r>
      <w:r>
        <w:rPr>
          <w:rFonts w:hint="eastAsia" w:ascii="Times New Roman" w:hAnsi="Times New Roman" w:eastAsia="宋体" w:cs="Microsoft New Tai Lue"/>
          <w:szCs w:val="21"/>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7EAF4DD">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0A87E4D">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4.2.3</w:t>
      </w:r>
      <w:r>
        <w:rPr>
          <w:rFonts w:hint="eastAsia" w:ascii="Times New Roman" w:hAnsi="Times New Roman" w:eastAsia="宋体" w:cs="Microsoft New Tai Lue"/>
          <w:szCs w:val="21"/>
          <w:highlight w:val="none"/>
        </w:rPr>
        <w:t>如本项目采购产品属于实施政府强制采购品目清单范围的节能产品，则投标人所报产品必须获得国家确定的认证机构出具的、处于有效期之内的节能产品认证证书，否则投标无效；</w:t>
      </w:r>
    </w:p>
    <w:p w14:paraId="7AA84341">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4.2.4</w:t>
      </w:r>
      <w:r>
        <w:rPr>
          <w:rFonts w:hint="eastAsia" w:ascii="Times New Roman" w:hAnsi="Times New Roman" w:eastAsia="宋体" w:cs="Microsoft New Tai Lue"/>
          <w:szCs w:val="21"/>
          <w:highlight w:val="none"/>
        </w:rPr>
        <w:t>非政府强制采购的节能产品或环境标志产品，依据品目清单和认证证书实施政府优先采购。优先采购的具体规定见第五章《评标方法与评标标准》（如涉及）。</w:t>
      </w:r>
    </w:p>
    <w:p w14:paraId="560917F9">
      <w:pPr>
        <w:spacing w:before="120" w:line="360" w:lineRule="auto"/>
        <w:ind w:left="214" w:firstLine="420"/>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4.3</w:t>
      </w:r>
      <w:r>
        <w:rPr>
          <w:rFonts w:hint="eastAsia" w:ascii="Times New Roman" w:hAnsi="Times New Roman" w:eastAsia="宋体" w:cs="Microsoft New Tai Lue"/>
          <w:b/>
          <w:szCs w:val="21"/>
          <w:highlight w:val="none"/>
        </w:rPr>
        <w:t>信息安全产品</w:t>
      </w:r>
    </w:p>
    <w:p w14:paraId="4053CC58">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4.3.1</w:t>
      </w:r>
      <w:r>
        <w:rPr>
          <w:rFonts w:hint="eastAsia" w:ascii="Times New Roman" w:hAnsi="Times New Roman" w:eastAsia="宋体" w:cs="Microsoft New Tai Lue"/>
          <w:szCs w:val="21"/>
          <w:highlight w:val="none"/>
        </w:rPr>
        <w:t>依据《关于信息安全产品实施政府采购的通知》（财库〔2010〕48 号），所投产品属于《关于调整信息安全产品强制性认证实施要求的公告》（2009 年第33 号）范围的，应采用经国家认证的信息安全产品，否则投标无效。</w:t>
      </w:r>
    </w:p>
    <w:p w14:paraId="0CB36C2F">
      <w:pPr>
        <w:spacing w:before="120" w:line="360" w:lineRule="auto"/>
        <w:ind w:left="214" w:firstLine="420"/>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4.</w:t>
      </w:r>
      <w:r>
        <w:rPr>
          <w:rFonts w:ascii="Times New Roman" w:hAnsi="Times New Roman" w:eastAsia="宋体" w:cs="Microsoft New Tai Lue"/>
          <w:szCs w:val="21"/>
          <w:highlight w:val="none"/>
        </w:rPr>
        <w:t>4</w:t>
      </w:r>
      <w:r>
        <w:rPr>
          <w:rFonts w:hint="eastAsia" w:ascii="Times New Roman" w:hAnsi="Times New Roman" w:eastAsia="宋体" w:cs="Microsoft New Tai Lue"/>
          <w:szCs w:val="21"/>
          <w:highlight w:val="none"/>
        </w:rPr>
        <w:t>未</w:t>
      </w:r>
      <w:r>
        <w:rPr>
          <w:rFonts w:ascii="Times New Roman" w:hAnsi="Times New Roman" w:eastAsia="宋体" w:cs="Microsoft New Tai Lue"/>
          <w:szCs w:val="21"/>
          <w:highlight w:val="none"/>
        </w:rPr>
        <w:t>按要求提供相关材料的，不享受相关政策。</w:t>
      </w:r>
      <w:bookmarkEnd w:id="58"/>
    </w:p>
    <w:p w14:paraId="2B19C444">
      <w:pPr>
        <w:pStyle w:val="4"/>
        <w:spacing w:line="360" w:lineRule="auto"/>
        <w:ind w:left="211" w:right="210" w:hanging="211"/>
        <w:rPr>
          <w:rFonts w:ascii="Times New Roman" w:hAnsi="Times New Roman" w:eastAsia="宋体" w:cs="Microsoft New Tai Lue"/>
          <w:highlight w:val="none"/>
        </w:rPr>
      </w:pPr>
      <w:bookmarkStart w:id="63" w:name="_Toc107246219"/>
      <w:bookmarkStart w:id="64" w:name="_Toc103848532"/>
      <w:bookmarkStart w:id="65" w:name="_Toc100905205"/>
      <w:bookmarkStart w:id="66" w:name="_Toc1446855543"/>
      <w:bookmarkStart w:id="67" w:name="_Toc104560843"/>
      <w:bookmarkStart w:id="68" w:name="_Toc96347865"/>
      <w:r>
        <w:rPr>
          <w:rFonts w:ascii="Times New Roman" w:hAnsi="Times New Roman" w:eastAsia="宋体" w:cs="Microsoft New Tai Lue"/>
          <w:highlight w:val="none"/>
        </w:rPr>
        <w:t>5.相关费用</w:t>
      </w:r>
      <w:bookmarkEnd w:id="63"/>
      <w:bookmarkEnd w:id="64"/>
      <w:bookmarkEnd w:id="65"/>
      <w:bookmarkEnd w:id="66"/>
      <w:bookmarkEnd w:id="67"/>
      <w:bookmarkEnd w:id="68"/>
    </w:p>
    <w:p w14:paraId="6886176C">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5.1</w:t>
      </w:r>
      <w:bookmarkStart w:id="69" w:name="_Toc80264707"/>
      <w:r>
        <w:rPr>
          <w:rFonts w:ascii="Times New Roman" w:hAnsi="Times New Roman" w:eastAsia="宋体" w:cs="Microsoft New Tai Lue"/>
          <w:szCs w:val="21"/>
          <w:highlight w:val="none"/>
        </w:rPr>
        <w:t>参加投标</w:t>
      </w:r>
      <w:r>
        <w:rPr>
          <w:rFonts w:hint="eastAsia" w:ascii="Times New Roman" w:hAnsi="Times New Roman" w:eastAsia="宋体" w:cs="Microsoft New Tai Lue"/>
          <w:szCs w:val="21"/>
          <w:highlight w:val="none"/>
        </w:rPr>
        <w:t>活动的投标人</w:t>
      </w:r>
      <w:r>
        <w:rPr>
          <w:rFonts w:ascii="Times New Roman" w:hAnsi="Times New Roman" w:eastAsia="宋体" w:cs="Microsoft New Tai Lue"/>
          <w:szCs w:val="21"/>
          <w:highlight w:val="none"/>
        </w:rPr>
        <w:t>应自行承担所有与参加投标有关的费用，无论投标过程中的做法和结果如何，采购</w:t>
      </w:r>
      <w:r>
        <w:rPr>
          <w:rFonts w:hint="eastAsia" w:ascii="Times New Roman" w:hAnsi="Times New Roman" w:eastAsia="宋体" w:cs="Microsoft New Tai Lue"/>
          <w:szCs w:val="21"/>
          <w:highlight w:val="none"/>
        </w:rPr>
        <w:t>人</w:t>
      </w:r>
      <w:r>
        <w:rPr>
          <w:rFonts w:ascii="Times New Roman" w:hAnsi="Times New Roman" w:eastAsia="宋体" w:cs="Microsoft New Tai Lue"/>
          <w:szCs w:val="21"/>
          <w:highlight w:val="none"/>
        </w:rPr>
        <w:t>在任何情况下均无义务和责任承担这些费用。</w:t>
      </w:r>
    </w:p>
    <w:p w14:paraId="41605E43">
      <w:pPr>
        <w:pStyle w:val="4"/>
        <w:spacing w:line="360" w:lineRule="auto"/>
        <w:ind w:left="211" w:right="210" w:hanging="211"/>
        <w:rPr>
          <w:rFonts w:ascii="Times New Roman" w:hAnsi="Times New Roman" w:eastAsia="宋体" w:cs="Microsoft New Tai Lue"/>
          <w:highlight w:val="none"/>
        </w:rPr>
      </w:pPr>
      <w:bookmarkStart w:id="70" w:name="_Toc104560844"/>
      <w:bookmarkStart w:id="71" w:name="_Toc1343776220"/>
      <w:bookmarkStart w:id="72" w:name="_Toc107246220"/>
      <w:bookmarkStart w:id="73" w:name="_Toc100905206"/>
      <w:bookmarkStart w:id="74" w:name="_Toc96347866"/>
      <w:bookmarkStart w:id="75" w:name="_Toc103848533"/>
      <w:r>
        <w:rPr>
          <w:rFonts w:ascii="Times New Roman" w:hAnsi="Times New Roman" w:eastAsia="宋体" w:cs="Microsoft New Tai Lue"/>
          <w:highlight w:val="none"/>
        </w:rPr>
        <w:t>6.保密</w:t>
      </w:r>
      <w:bookmarkEnd w:id="70"/>
      <w:bookmarkEnd w:id="71"/>
      <w:bookmarkEnd w:id="72"/>
      <w:bookmarkEnd w:id="73"/>
      <w:bookmarkEnd w:id="74"/>
      <w:bookmarkEnd w:id="75"/>
    </w:p>
    <w:p w14:paraId="42FC400E">
      <w:pPr>
        <w:spacing w:before="120" w:line="360" w:lineRule="auto"/>
        <w:ind w:left="214" w:firstLine="420"/>
        <w:rPr>
          <w:rFonts w:ascii="Times New Roman" w:hAnsi="Times New Roman" w:eastAsia="宋体" w:cs="Microsoft New Tai Lue"/>
          <w:szCs w:val="21"/>
          <w:highlight w:val="none"/>
        </w:rPr>
      </w:pPr>
      <w:bookmarkStart w:id="76" w:name="_Toc96347867"/>
      <w:bookmarkStart w:id="77" w:name="_Toc100905207"/>
      <w:r>
        <w:rPr>
          <w:rFonts w:ascii="Times New Roman" w:hAnsi="Times New Roman" w:eastAsia="宋体" w:cs="Microsoft New Tai Lue"/>
          <w:szCs w:val="21"/>
          <w:highlight w:val="none"/>
        </w:rPr>
        <w:t>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供应商</w:t>
      </w:r>
      <w:r>
        <w:rPr>
          <w:rFonts w:ascii="Times New Roman" w:hAnsi="Times New Roman" w:eastAsia="宋体" w:cs="Microsoft New Tai Lue"/>
          <w:szCs w:val="21"/>
          <w:highlight w:val="none"/>
        </w:rPr>
        <w:t>被视为无条件对本招标文件的内容负有保密义务。</w:t>
      </w:r>
    </w:p>
    <w:p w14:paraId="101D926F">
      <w:pPr>
        <w:pStyle w:val="4"/>
        <w:spacing w:line="360" w:lineRule="auto"/>
        <w:ind w:left="211" w:right="210" w:hanging="211"/>
        <w:rPr>
          <w:rFonts w:ascii="Times New Roman" w:hAnsi="Times New Roman" w:eastAsia="宋体" w:cs="Microsoft New Tai Lue"/>
          <w:highlight w:val="none"/>
        </w:rPr>
      </w:pPr>
      <w:bookmarkStart w:id="78" w:name="_Toc103848534"/>
      <w:bookmarkStart w:id="79" w:name="_Toc107246221"/>
      <w:bookmarkStart w:id="80" w:name="_Toc104560845"/>
      <w:bookmarkStart w:id="81" w:name="_Toc1908897688"/>
      <w:r>
        <w:rPr>
          <w:rFonts w:ascii="Times New Roman" w:hAnsi="Times New Roman" w:eastAsia="宋体" w:cs="Microsoft New Tai Lue"/>
          <w:highlight w:val="none"/>
        </w:rPr>
        <w:t>7.语言文字、计量单位</w:t>
      </w:r>
      <w:bookmarkEnd w:id="76"/>
      <w:bookmarkEnd w:id="77"/>
      <w:bookmarkEnd w:id="78"/>
      <w:bookmarkEnd w:id="79"/>
      <w:bookmarkEnd w:id="80"/>
      <w:bookmarkEnd w:id="81"/>
    </w:p>
    <w:p w14:paraId="0748485A">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7.1所有文件使用的语言文字为中文。专用术语使用外文的，应附有中文注释。</w:t>
      </w:r>
    </w:p>
    <w:p w14:paraId="1D5946B0">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7.2所有文件中的计量单位，除招标文件有特殊要求外，应采用国家法定计量单位。</w:t>
      </w:r>
    </w:p>
    <w:p w14:paraId="05386621">
      <w:pPr>
        <w:pStyle w:val="4"/>
        <w:spacing w:line="360" w:lineRule="auto"/>
        <w:ind w:left="211" w:right="210" w:hanging="211"/>
        <w:rPr>
          <w:rFonts w:hint="eastAsia" w:ascii="Times New Roman" w:hAnsi="Times New Roman" w:eastAsia="宋体" w:cs="Microsoft New Tai Lue"/>
          <w:highlight w:val="none"/>
          <w:lang w:val="en-US" w:eastAsia="zh-CN"/>
        </w:rPr>
      </w:pPr>
      <w:bookmarkStart w:id="82" w:name="_Toc104560846"/>
      <w:bookmarkStart w:id="83" w:name="_Toc1585239683"/>
      <w:bookmarkStart w:id="84" w:name="_Toc103848535"/>
      <w:bookmarkStart w:id="85" w:name="_Toc96347868"/>
      <w:bookmarkStart w:id="86" w:name="_Toc107246222"/>
      <w:bookmarkStart w:id="87" w:name="_Toc100905208"/>
      <w:r>
        <w:rPr>
          <w:rFonts w:ascii="Times New Roman" w:hAnsi="Times New Roman" w:eastAsia="宋体" w:cs="Microsoft New Tai Lue"/>
          <w:highlight w:val="none"/>
        </w:rPr>
        <w:t>8.现场</w:t>
      </w:r>
      <w:bookmarkEnd w:id="82"/>
      <w:bookmarkEnd w:id="83"/>
      <w:bookmarkEnd w:id="84"/>
      <w:bookmarkEnd w:id="85"/>
      <w:bookmarkEnd w:id="86"/>
      <w:bookmarkEnd w:id="87"/>
      <w:r>
        <w:rPr>
          <w:rFonts w:hint="eastAsia" w:cs="Microsoft New Tai Lue"/>
          <w:highlight w:val="none"/>
          <w:lang w:val="en-US" w:eastAsia="zh-CN"/>
        </w:rPr>
        <w:t>踏勘</w:t>
      </w:r>
    </w:p>
    <w:p w14:paraId="1CFBC6B1">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szCs w:val="21"/>
          <w:highlight w:val="none"/>
        </w:rPr>
        <w:t>8.1</w:t>
      </w:r>
      <w:r>
        <w:rPr>
          <w:rFonts w:ascii="Times New Roman" w:hAnsi="Times New Roman" w:eastAsia="宋体" w:cs="Microsoft New Tai Lue"/>
          <w:b/>
          <w:szCs w:val="21"/>
          <w:highlight w:val="none"/>
        </w:rPr>
        <w:t>投标人须知前附表</w:t>
      </w:r>
      <w:r>
        <w:rPr>
          <w:rFonts w:ascii="Times New Roman" w:hAnsi="Times New Roman" w:eastAsia="宋体"/>
          <w:szCs w:val="21"/>
          <w:highlight w:val="none"/>
        </w:rPr>
        <w:t>规定</w:t>
      </w:r>
      <w:r>
        <w:rPr>
          <w:rFonts w:hint="eastAsia" w:ascii="Times New Roman" w:hAnsi="Times New Roman" w:eastAsia="宋体"/>
          <w:szCs w:val="21"/>
          <w:highlight w:val="none"/>
        </w:rPr>
        <w:t>现场考察</w:t>
      </w:r>
      <w:r>
        <w:rPr>
          <w:rFonts w:ascii="Times New Roman" w:hAnsi="Times New Roman" w:eastAsia="宋体"/>
          <w:szCs w:val="21"/>
          <w:highlight w:val="none"/>
        </w:rPr>
        <w:t>的，供应商须按照</w:t>
      </w:r>
      <w:r>
        <w:rPr>
          <w:rFonts w:ascii="Times New Roman" w:hAnsi="Times New Roman" w:eastAsia="宋体" w:cs="Microsoft New Tai Lue"/>
          <w:b/>
          <w:szCs w:val="21"/>
          <w:highlight w:val="none"/>
        </w:rPr>
        <w:t>投标人须知前附表</w:t>
      </w:r>
      <w:r>
        <w:rPr>
          <w:rFonts w:ascii="Times New Roman" w:hAnsi="Times New Roman" w:eastAsia="宋体"/>
          <w:szCs w:val="21"/>
          <w:highlight w:val="none"/>
        </w:rPr>
        <w:t>规定的时间、地点参加踏勘，以获得有关编制</w:t>
      </w:r>
      <w:r>
        <w:rPr>
          <w:rFonts w:hint="eastAsia" w:ascii="Times New Roman" w:hAnsi="Times New Roman" w:eastAsia="宋体"/>
          <w:szCs w:val="21"/>
          <w:highlight w:val="none"/>
        </w:rPr>
        <w:t>投标</w:t>
      </w:r>
      <w:r>
        <w:rPr>
          <w:rFonts w:ascii="Times New Roman" w:hAnsi="Times New Roman" w:eastAsia="宋体"/>
          <w:szCs w:val="21"/>
          <w:highlight w:val="none"/>
        </w:rPr>
        <w:t>文件和签署合同所涉及现场的资料。供应商承担</w:t>
      </w:r>
      <w:r>
        <w:rPr>
          <w:rFonts w:hint="eastAsia" w:ascii="Times New Roman" w:hAnsi="Times New Roman" w:eastAsia="宋体"/>
          <w:szCs w:val="21"/>
          <w:highlight w:val="none"/>
        </w:rPr>
        <w:t>现场考察</w:t>
      </w:r>
      <w:r>
        <w:rPr>
          <w:rFonts w:ascii="Times New Roman" w:hAnsi="Times New Roman" w:eastAsia="宋体"/>
          <w:szCs w:val="21"/>
          <w:highlight w:val="none"/>
        </w:rPr>
        <w:t>所发生的自身费用、责任和风险。</w:t>
      </w:r>
    </w:p>
    <w:p w14:paraId="15063545">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szCs w:val="21"/>
          <w:highlight w:val="none"/>
        </w:rPr>
        <w:t>8.2</w:t>
      </w:r>
      <w:r>
        <w:rPr>
          <w:rFonts w:ascii="Times New Roman" w:hAnsi="Times New Roman" w:eastAsia="宋体"/>
          <w:szCs w:val="21"/>
          <w:highlight w:val="none"/>
        </w:rPr>
        <w:t>供应商不按照</w:t>
      </w:r>
      <w:r>
        <w:rPr>
          <w:rFonts w:ascii="Times New Roman" w:hAnsi="Times New Roman" w:eastAsia="宋体"/>
          <w:bCs/>
          <w:szCs w:val="21"/>
          <w:highlight w:val="none"/>
        </w:rPr>
        <w:t>本须知的规定</w:t>
      </w:r>
      <w:r>
        <w:rPr>
          <w:rFonts w:ascii="Times New Roman" w:hAnsi="Times New Roman" w:eastAsia="宋体"/>
          <w:szCs w:val="21"/>
          <w:highlight w:val="none"/>
        </w:rPr>
        <w:t>参加项目</w:t>
      </w:r>
      <w:r>
        <w:rPr>
          <w:rFonts w:hint="eastAsia" w:ascii="Times New Roman" w:hAnsi="Times New Roman" w:eastAsia="宋体"/>
          <w:szCs w:val="21"/>
          <w:highlight w:val="none"/>
        </w:rPr>
        <w:t>现场考察</w:t>
      </w:r>
      <w:r>
        <w:rPr>
          <w:rFonts w:ascii="Times New Roman" w:hAnsi="Times New Roman" w:eastAsia="宋体"/>
          <w:szCs w:val="21"/>
          <w:highlight w:val="none"/>
        </w:rPr>
        <w:t>的，视同放弃现场</w:t>
      </w:r>
      <w:r>
        <w:rPr>
          <w:rFonts w:hint="eastAsia" w:ascii="Times New Roman" w:hAnsi="Times New Roman" w:eastAsia="宋体"/>
          <w:szCs w:val="21"/>
          <w:highlight w:val="none"/>
        </w:rPr>
        <w:t>考察</w:t>
      </w:r>
      <w:r>
        <w:rPr>
          <w:rFonts w:ascii="Times New Roman" w:hAnsi="Times New Roman" w:eastAsia="宋体"/>
          <w:szCs w:val="21"/>
          <w:highlight w:val="none"/>
        </w:rPr>
        <w:t>，采购</w:t>
      </w:r>
      <w:r>
        <w:rPr>
          <w:rFonts w:hint="eastAsia" w:ascii="Times New Roman" w:hAnsi="Times New Roman" w:eastAsia="宋体"/>
          <w:szCs w:val="21"/>
          <w:highlight w:val="none"/>
        </w:rPr>
        <w:t>方</w:t>
      </w:r>
      <w:r>
        <w:rPr>
          <w:rFonts w:ascii="Times New Roman" w:hAnsi="Times New Roman" w:eastAsia="宋体"/>
          <w:szCs w:val="21"/>
          <w:highlight w:val="none"/>
        </w:rPr>
        <w:t>将不再另行组织现场</w:t>
      </w:r>
      <w:r>
        <w:rPr>
          <w:rFonts w:hint="eastAsia" w:ascii="Times New Roman" w:hAnsi="Times New Roman" w:eastAsia="宋体"/>
          <w:szCs w:val="21"/>
          <w:highlight w:val="none"/>
        </w:rPr>
        <w:t>考察</w:t>
      </w:r>
      <w:r>
        <w:rPr>
          <w:rFonts w:ascii="Times New Roman" w:hAnsi="Times New Roman" w:eastAsia="宋体"/>
          <w:szCs w:val="21"/>
          <w:highlight w:val="none"/>
        </w:rPr>
        <w:t>。以此为由，影响后期</w:t>
      </w:r>
      <w:r>
        <w:rPr>
          <w:rFonts w:hint="eastAsia" w:ascii="Times New Roman" w:hAnsi="Times New Roman" w:eastAsia="宋体"/>
          <w:szCs w:val="21"/>
          <w:highlight w:val="none"/>
        </w:rPr>
        <w:t>投标</w:t>
      </w:r>
      <w:r>
        <w:rPr>
          <w:rFonts w:ascii="Times New Roman" w:hAnsi="Times New Roman" w:eastAsia="宋体"/>
          <w:szCs w:val="21"/>
          <w:highlight w:val="none"/>
        </w:rPr>
        <w:t>文件相关的</w:t>
      </w:r>
      <w:r>
        <w:rPr>
          <w:rFonts w:hint="eastAsia" w:ascii="Times New Roman" w:hAnsi="Times New Roman" w:eastAsia="宋体"/>
          <w:szCs w:val="21"/>
          <w:highlight w:val="none"/>
        </w:rPr>
        <w:t>投标</w:t>
      </w:r>
      <w:r>
        <w:rPr>
          <w:rFonts w:ascii="Times New Roman" w:hAnsi="Times New Roman" w:eastAsia="宋体"/>
          <w:szCs w:val="21"/>
          <w:highlight w:val="none"/>
        </w:rPr>
        <w:t>、签约、履约条件的，是供应商自身的风险，采购方对此不承担责任。</w:t>
      </w:r>
    </w:p>
    <w:p w14:paraId="1D5BBC59">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szCs w:val="21"/>
          <w:highlight w:val="none"/>
        </w:rPr>
        <w:t>8.3</w:t>
      </w:r>
      <w:r>
        <w:rPr>
          <w:rFonts w:ascii="Times New Roman" w:hAnsi="Times New Roman" w:eastAsia="宋体"/>
          <w:szCs w:val="21"/>
          <w:highlight w:val="none"/>
        </w:rPr>
        <w:t>除非有特殊要求，</w:t>
      </w:r>
      <w:r>
        <w:rPr>
          <w:rFonts w:hint="eastAsia" w:ascii="Times New Roman" w:hAnsi="Times New Roman" w:eastAsia="宋体"/>
          <w:szCs w:val="21"/>
          <w:highlight w:val="none"/>
        </w:rPr>
        <w:t>招标</w:t>
      </w:r>
      <w:r>
        <w:rPr>
          <w:rFonts w:ascii="Times New Roman" w:hAnsi="Times New Roman" w:eastAsia="宋体"/>
          <w:szCs w:val="21"/>
          <w:highlight w:val="none"/>
        </w:rPr>
        <w:t>文件不提供项目所在地的自然环境、气候条件、公用设施等情况，供应商被视为熟悉上述与履行合同有关的一切情况。</w:t>
      </w:r>
    </w:p>
    <w:p w14:paraId="006CF3EE">
      <w:pPr>
        <w:pStyle w:val="4"/>
        <w:spacing w:line="360" w:lineRule="auto"/>
        <w:ind w:left="211" w:right="210" w:hanging="211"/>
        <w:rPr>
          <w:rFonts w:ascii="Times New Roman" w:hAnsi="Times New Roman" w:eastAsia="宋体"/>
          <w:highlight w:val="none"/>
        </w:rPr>
      </w:pPr>
      <w:bookmarkStart w:id="88" w:name="_Toc107246223"/>
      <w:bookmarkStart w:id="89" w:name="_Toc1441227499"/>
      <w:bookmarkStart w:id="90" w:name="_Toc102117275"/>
      <w:r>
        <w:rPr>
          <w:rFonts w:ascii="Times New Roman" w:hAnsi="Times New Roman" w:eastAsia="宋体"/>
          <w:highlight w:val="none"/>
        </w:rPr>
        <w:t>9.</w:t>
      </w:r>
      <w:r>
        <w:rPr>
          <w:rFonts w:hint="eastAsia" w:ascii="Times New Roman" w:hAnsi="Times New Roman" w:eastAsia="宋体"/>
          <w:highlight w:val="none"/>
        </w:rPr>
        <w:t>开标前</w:t>
      </w:r>
      <w:r>
        <w:rPr>
          <w:rFonts w:ascii="Times New Roman" w:hAnsi="Times New Roman" w:eastAsia="宋体"/>
          <w:highlight w:val="none"/>
        </w:rPr>
        <w:t>答疑会</w:t>
      </w:r>
      <w:bookmarkEnd w:id="88"/>
      <w:bookmarkEnd w:id="89"/>
      <w:bookmarkEnd w:id="90"/>
    </w:p>
    <w:p w14:paraId="4549B043">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szCs w:val="21"/>
          <w:highlight w:val="none"/>
        </w:rPr>
        <w:t>9.1</w:t>
      </w:r>
      <w:r>
        <w:rPr>
          <w:rFonts w:ascii="Times New Roman" w:hAnsi="Times New Roman" w:eastAsia="宋体" w:cs="Microsoft New Tai Lue"/>
          <w:b/>
          <w:szCs w:val="21"/>
          <w:highlight w:val="none"/>
        </w:rPr>
        <w:t>投标人须知前附表</w:t>
      </w:r>
      <w:r>
        <w:rPr>
          <w:rFonts w:ascii="Times New Roman" w:hAnsi="Times New Roman" w:eastAsia="宋体"/>
          <w:szCs w:val="21"/>
          <w:highlight w:val="none"/>
        </w:rPr>
        <w:t>规定召开</w:t>
      </w:r>
      <w:r>
        <w:rPr>
          <w:rFonts w:hint="eastAsia" w:ascii="Times New Roman" w:hAnsi="Times New Roman" w:eastAsia="宋体"/>
          <w:szCs w:val="21"/>
          <w:highlight w:val="none"/>
        </w:rPr>
        <w:t>开标前答疑会</w:t>
      </w:r>
      <w:r>
        <w:rPr>
          <w:rFonts w:ascii="Times New Roman" w:hAnsi="Times New Roman" w:eastAsia="宋体"/>
          <w:szCs w:val="21"/>
          <w:highlight w:val="none"/>
        </w:rPr>
        <w:t>的，采购方按</w:t>
      </w:r>
      <w:r>
        <w:rPr>
          <w:rFonts w:ascii="Times New Roman" w:hAnsi="Times New Roman" w:eastAsia="宋体" w:cs="Microsoft New Tai Lue"/>
          <w:b/>
          <w:szCs w:val="21"/>
          <w:highlight w:val="none"/>
        </w:rPr>
        <w:t>投标人须知前附表</w:t>
      </w:r>
      <w:r>
        <w:rPr>
          <w:rFonts w:ascii="Times New Roman" w:hAnsi="Times New Roman" w:eastAsia="宋体"/>
          <w:szCs w:val="21"/>
          <w:highlight w:val="none"/>
        </w:rPr>
        <w:t>规定的时间和地点召开</w:t>
      </w:r>
      <w:r>
        <w:rPr>
          <w:rFonts w:hint="eastAsia" w:ascii="Times New Roman" w:hAnsi="Times New Roman" w:eastAsia="宋体"/>
          <w:szCs w:val="21"/>
          <w:highlight w:val="none"/>
        </w:rPr>
        <w:t>开标前答疑会</w:t>
      </w:r>
      <w:r>
        <w:rPr>
          <w:rFonts w:ascii="Times New Roman" w:hAnsi="Times New Roman" w:eastAsia="宋体"/>
          <w:szCs w:val="21"/>
          <w:highlight w:val="none"/>
        </w:rPr>
        <w:t>，澄清供应商提出的询问。</w:t>
      </w:r>
    </w:p>
    <w:p w14:paraId="3EB3DFA8">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szCs w:val="21"/>
          <w:highlight w:val="none"/>
        </w:rPr>
        <w:t>9.2</w:t>
      </w:r>
      <w:r>
        <w:rPr>
          <w:rFonts w:ascii="Times New Roman" w:hAnsi="Times New Roman" w:eastAsia="宋体"/>
          <w:szCs w:val="21"/>
          <w:highlight w:val="none"/>
        </w:rPr>
        <w:t>供应商应按</w:t>
      </w:r>
      <w:r>
        <w:rPr>
          <w:rFonts w:ascii="Times New Roman" w:hAnsi="Times New Roman" w:eastAsia="宋体" w:cs="Microsoft New Tai Lue"/>
          <w:b/>
          <w:szCs w:val="21"/>
          <w:highlight w:val="none"/>
        </w:rPr>
        <w:t>投标人须知前附表</w:t>
      </w:r>
      <w:r>
        <w:rPr>
          <w:rFonts w:ascii="Times New Roman" w:hAnsi="Times New Roman" w:eastAsia="宋体"/>
          <w:szCs w:val="21"/>
          <w:highlight w:val="none"/>
        </w:rPr>
        <w:t>规定的时间和形式将提出的询问送达采购方，以便采购方在会议期间澄清，逾期的询问将不被接受。</w:t>
      </w:r>
    </w:p>
    <w:p w14:paraId="01B21C4A">
      <w:pPr>
        <w:pStyle w:val="4"/>
        <w:spacing w:line="360" w:lineRule="auto"/>
        <w:ind w:left="211" w:right="210" w:hanging="211"/>
        <w:rPr>
          <w:rFonts w:ascii="Times New Roman" w:hAnsi="Times New Roman" w:eastAsia="宋体" w:cs="Microsoft New Tai Lue"/>
          <w:highlight w:val="none"/>
        </w:rPr>
      </w:pPr>
      <w:bookmarkStart w:id="91" w:name="_Toc107246224"/>
      <w:bookmarkStart w:id="92" w:name="_Toc104560847"/>
      <w:bookmarkStart w:id="93" w:name="_Toc103848536"/>
      <w:bookmarkStart w:id="94" w:name="_Toc1242521180"/>
      <w:bookmarkStart w:id="95" w:name="_Toc100905210"/>
      <w:bookmarkStart w:id="96" w:name="_Toc96347869"/>
      <w:r>
        <w:rPr>
          <w:rFonts w:ascii="Times New Roman" w:hAnsi="Times New Roman" w:eastAsia="宋体" w:cs="Microsoft New Tai Lue"/>
          <w:szCs w:val="21"/>
          <w:highlight w:val="none"/>
        </w:rPr>
        <w:t>10.联合体投标</w:t>
      </w:r>
      <w:bookmarkEnd w:id="91"/>
      <w:bookmarkEnd w:id="92"/>
      <w:bookmarkEnd w:id="93"/>
      <w:bookmarkEnd w:id="94"/>
      <w:bookmarkEnd w:id="95"/>
    </w:p>
    <w:p w14:paraId="01EA84CD">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10.1本项目是否接受联合体形式参与详见</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w:t>
      </w:r>
    </w:p>
    <w:p w14:paraId="061EFFC5">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10.2</w:t>
      </w:r>
      <w:r>
        <w:rPr>
          <w:rFonts w:hint="eastAsia" w:ascii="Times New Roman" w:hAnsi="Times New Roman" w:eastAsia="宋体" w:cs="Microsoft New Tai Lue"/>
          <w:szCs w:val="21"/>
          <w:highlight w:val="none"/>
        </w:rPr>
        <w:t>供应商</w:t>
      </w:r>
      <w:r>
        <w:rPr>
          <w:rFonts w:ascii="Times New Roman" w:hAnsi="Times New Roman" w:eastAsia="宋体" w:cs="Microsoft New Tai Lue"/>
          <w:szCs w:val="21"/>
          <w:highlight w:val="none"/>
        </w:rPr>
        <w:t>为联合体形式的，应遵守以下规定：</w:t>
      </w:r>
    </w:p>
    <w:p w14:paraId="05F24C7B">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（1）联合体各方必须签订联合体协议书，明确联合体牵头人和各方权利、义务及分工、合同工作量比例；</w:t>
      </w:r>
    </w:p>
    <w:p w14:paraId="6FE57835">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（2）联合体各方均应当符合</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政府采购法</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第二十二条第一款规定的条件；</w:t>
      </w:r>
    </w:p>
    <w:p w14:paraId="63094D4B">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（3）除另有规定外，联合体各方中至少有一方应当符合</w:t>
      </w:r>
      <w:r>
        <w:rPr>
          <w:rFonts w:hint="eastAsia" w:ascii="Times New Roman" w:hAnsi="Times New Roman" w:eastAsia="宋体" w:cs="Microsoft New Tai Lue"/>
          <w:szCs w:val="21"/>
          <w:highlight w:val="none"/>
        </w:rPr>
        <w:t>采购人规定的</w:t>
      </w:r>
      <w:r>
        <w:rPr>
          <w:rFonts w:ascii="Times New Roman" w:hAnsi="Times New Roman" w:eastAsia="宋体" w:cs="Microsoft New Tai Lue"/>
          <w:szCs w:val="21"/>
          <w:highlight w:val="none"/>
        </w:rPr>
        <w:t>特定资格条件；</w:t>
      </w:r>
    </w:p>
    <w:p w14:paraId="5A0D88AE">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w:t>
      </w:r>
    </w:p>
    <w:p w14:paraId="1E1E1316">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活动</w:t>
      </w:r>
      <w:r>
        <w:rPr>
          <w:rFonts w:ascii="Times New Roman" w:hAnsi="Times New Roman" w:eastAsia="宋体" w:cs="Microsoft New Tai Lue"/>
          <w:szCs w:val="21"/>
          <w:highlight w:val="none"/>
        </w:rPr>
        <w:t>。</w:t>
      </w:r>
    </w:p>
    <w:p w14:paraId="3715CC28">
      <w:pPr>
        <w:pStyle w:val="4"/>
        <w:spacing w:line="360" w:lineRule="auto"/>
        <w:ind w:left="211" w:right="210" w:hanging="211"/>
        <w:rPr>
          <w:rFonts w:ascii="Times New Roman" w:hAnsi="Times New Roman" w:eastAsia="宋体" w:cs="Microsoft New Tai Lue"/>
          <w:highlight w:val="none"/>
        </w:rPr>
      </w:pPr>
      <w:bookmarkStart w:id="97" w:name="_Toc100905213"/>
      <w:bookmarkStart w:id="98" w:name="_Toc104560848"/>
      <w:bookmarkStart w:id="99" w:name="_Toc103848537"/>
      <w:bookmarkStart w:id="100" w:name="_Toc107246225"/>
      <w:bookmarkStart w:id="101" w:name="_Toc922488832"/>
      <w:bookmarkStart w:id="102" w:name="_Toc100905211"/>
      <w:r>
        <w:rPr>
          <w:rFonts w:ascii="Times New Roman" w:hAnsi="Times New Roman" w:eastAsia="宋体" w:cs="Microsoft New Tai Lue"/>
          <w:highlight w:val="none"/>
        </w:rPr>
        <w:t>11.分包</w:t>
      </w:r>
      <w:bookmarkEnd w:id="97"/>
      <w:bookmarkEnd w:id="98"/>
      <w:bookmarkEnd w:id="99"/>
      <w:bookmarkEnd w:id="100"/>
      <w:bookmarkEnd w:id="101"/>
    </w:p>
    <w:p w14:paraId="16E7D55E">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11.1</w:t>
      </w:r>
      <w:r>
        <w:rPr>
          <w:rFonts w:hint="eastAsia" w:ascii="Times New Roman" w:hAnsi="Times New Roman" w:eastAsia="宋体" w:cs="Microsoft New Tai Lue"/>
          <w:szCs w:val="21"/>
          <w:highlight w:val="none"/>
        </w:rPr>
        <w:t>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投标人须知前附表</w:t>
      </w:r>
      <w:r>
        <w:rPr>
          <w:rFonts w:hint="eastAsia" w:ascii="Times New Roman" w:hAnsi="Times New Roman" w:eastAsia="宋体" w:cs="Microsoft New Tai Lue"/>
          <w:szCs w:val="21"/>
          <w:highlight w:val="none"/>
        </w:rPr>
        <w:t>。</w:t>
      </w:r>
    </w:p>
    <w:p w14:paraId="33C1DDFB">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11.2</w:t>
      </w:r>
      <w:r>
        <w:rPr>
          <w:rFonts w:hint="eastAsia" w:ascii="Times New Roman" w:hAnsi="Times New Roman" w:eastAsia="宋体" w:cs="Microsoft New Tai Lue"/>
          <w:szCs w:val="21"/>
          <w:highlight w:val="none"/>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49934F8">
      <w:pPr>
        <w:pStyle w:val="4"/>
        <w:spacing w:line="360" w:lineRule="auto"/>
        <w:ind w:left="211" w:right="210" w:hanging="211"/>
        <w:rPr>
          <w:rFonts w:ascii="Times New Roman" w:hAnsi="Times New Roman" w:eastAsia="宋体" w:cs="Microsoft New Tai Lue"/>
          <w:highlight w:val="none"/>
        </w:rPr>
      </w:pPr>
      <w:bookmarkStart w:id="103" w:name="_Toc104560849"/>
      <w:bookmarkStart w:id="104" w:name="_Toc107246226"/>
      <w:bookmarkStart w:id="105" w:name="_Toc1585351731"/>
      <w:r>
        <w:rPr>
          <w:rFonts w:hint="eastAsia" w:ascii="Times New Roman" w:hAnsi="Times New Roman" w:eastAsia="宋体" w:cs="Microsoft New Tai Lue"/>
          <w:highlight w:val="none"/>
        </w:rPr>
        <w:t>1</w:t>
      </w:r>
      <w:r>
        <w:rPr>
          <w:rFonts w:ascii="Times New Roman" w:hAnsi="Times New Roman" w:eastAsia="宋体" w:cs="Microsoft New Tai Lue"/>
          <w:highlight w:val="none"/>
        </w:rPr>
        <w:t>2</w:t>
      </w:r>
      <w:r>
        <w:rPr>
          <w:rFonts w:hint="eastAsia" w:ascii="Times New Roman" w:hAnsi="Times New Roman" w:eastAsia="宋体" w:cs="Microsoft New Tai Lue"/>
          <w:highlight w:val="none"/>
        </w:rPr>
        <w:t>.样品</w:t>
      </w:r>
      <w:bookmarkEnd w:id="103"/>
      <w:bookmarkEnd w:id="104"/>
      <w:bookmarkEnd w:id="105"/>
    </w:p>
    <w:p w14:paraId="6A042E24">
      <w:pPr>
        <w:spacing w:before="120" w:line="360" w:lineRule="auto"/>
        <w:ind w:left="214" w:firstLine="420"/>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1</w:t>
      </w:r>
      <w:r>
        <w:rPr>
          <w:rFonts w:ascii="Times New Roman" w:hAnsi="Times New Roman" w:eastAsia="宋体" w:cs="Microsoft New Tai Lue"/>
          <w:szCs w:val="21"/>
          <w:highlight w:val="none"/>
        </w:rPr>
        <w:t>2</w:t>
      </w:r>
      <w:r>
        <w:rPr>
          <w:rFonts w:hint="eastAsia" w:ascii="Times New Roman" w:hAnsi="Times New Roman" w:eastAsia="宋体" w:cs="Microsoft New Tai Lue"/>
          <w:szCs w:val="21"/>
          <w:highlight w:val="none"/>
        </w:rPr>
        <w:t>.1本项目是否要求投标人提供样品，以及样品制作的标准和要求、是否需要随样品提交相关检测报告、样品的提交要求等详见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w:t>
      </w:r>
    </w:p>
    <w:p w14:paraId="194FC94B">
      <w:pPr>
        <w:spacing w:before="120" w:line="360" w:lineRule="auto"/>
        <w:ind w:left="214" w:firstLine="420"/>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1</w:t>
      </w:r>
      <w:r>
        <w:rPr>
          <w:rFonts w:ascii="Times New Roman" w:hAnsi="Times New Roman" w:eastAsia="宋体" w:cs="Microsoft New Tai Lue"/>
          <w:szCs w:val="21"/>
          <w:highlight w:val="none"/>
        </w:rPr>
        <w:t>2</w:t>
      </w:r>
      <w:r>
        <w:rPr>
          <w:rFonts w:hint="eastAsia" w:ascii="Times New Roman" w:hAnsi="Times New Roman" w:eastAsia="宋体" w:cs="Microsoft New Tai Lue"/>
          <w:szCs w:val="21"/>
          <w:highlight w:val="none"/>
        </w:rPr>
        <w:t>.2样品的评审方法以及评审标准等内容见第五章《评标方法与评标标准》。</w:t>
      </w:r>
      <w:bookmarkEnd w:id="96"/>
      <w:bookmarkEnd w:id="102"/>
    </w:p>
    <w:p w14:paraId="2CD4F6C4">
      <w:pPr>
        <w:pStyle w:val="4"/>
        <w:spacing w:line="360" w:lineRule="auto"/>
        <w:ind w:left="211" w:right="210" w:hanging="211"/>
        <w:rPr>
          <w:rFonts w:ascii="Times New Roman" w:hAnsi="Times New Roman" w:eastAsia="宋体" w:cs="Microsoft New Tai Lue"/>
          <w:highlight w:val="none"/>
        </w:rPr>
      </w:pPr>
      <w:bookmarkStart w:id="106" w:name="_Toc107246227"/>
      <w:bookmarkStart w:id="107" w:name="_Toc100905214"/>
      <w:bookmarkStart w:id="108" w:name="_Toc1176934588"/>
      <w:bookmarkStart w:id="109" w:name="_Toc104560850"/>
      <w:bookmarkStart w:id="110" w:name="_Toc103848538"/>
      <w:r>
        <w:rPr>
          <w:rFonts w:ascii="Times New Roman" w:hAnsi="Times New Roman" w:eastAsia="宋体" w:cs="Microsoft New Tai Lue"/>
          <w:highlight w:val="none"/>
        </w:rPr>
        <w:t>13.采购进口产品</w:t>
      </w:r>
      <w:bookmarkEnd w:id="106"/>
      <w:bookmarkEnd w:id="107"/>
      <w:bookmarkEnd w:id="108"/>
      <w:bookmarkEnd w:id="109"/>
      <w:bookmarkEnd w:id="110"/>
    </w:p>
    <w:p w14:paraId="13001D97">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13.1本项目是否采购进口产品及相关要求见</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w:t>
      </w:r>
    </w:p>
    <w:p w14:paraId="0557F9AC">
      <w:pPr>
        <w:pStyle w:val="4"/>
        <w:spacing w:line="360" w:lineRule="auto"/>
        <w:ind w:left="211" w:right="210" w:hanging="211"/>
        <w:rPr>
          <w:rFonts w:ascii="Times New Roman" w:hAnsi="Times New Roman" w:eastAsia="宋体" w:cs="Microsoft New Tai Lue"/>
          <w:highlight w:val="none"/>
        </w:rPr>
      </w:pPr>
      <w:bookmarkStart w:id="111" w:name="_Toc267747999"/>
      <w:bookmarkStart w:id="112" w:name="_Toc104560851"/>
      <w:bookmarkStart w:id="113" w:name="_Toc107246228"/>
      <w:r>
        <w:rPr>
          <w:rFonts w:ascii="Times New Roman" w:hAnsi="Times New Roman" w:eastAsia="宋体" w:cs="Microsoft New Tai Lue"/>
          <w:highlight w:val="none"/>
        </w:rPr>
        <w:t>14</w:t>
      </w:r>
      <w:r>
        <w:rPr>
          <w:rFonts w:hint="eastAsia" w:ascii="Times New Roman" w:hAnsi="Times New Roman" w:eastAsia="宋体" w:cs="Microsoft New Tai Lue"/>
          <w:highlight w:val="none"/>
        </w:rPr>
        <w:t>.采购项目预算及最高限价</w:t>
      </w:r>
      <w:bookmarkEnd w:id="111"/>
      <w:bookmarkEnd w:id="112"/>
      <w:bookmarkEnd w:id="113"/>
    </w:p>
    <w:p w14:paraId="423570D2">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14</w:t>
      </w:r>
      <w:r>
        <w:rPr>
          <w:rFonts w:hint="eastAsia" w:ascii="Times New Roman" w:hAnsi="Times New Roman" w:eastAsia="宋体" w:cs="Microsoft New Tai Lue"/>
          <w:szCs w:val="21"/>
          <w:highlight w:val="none"/>
        </w:rPr>
        <w:t>.1本项目采购资金已列入政府采购预算，预算金额见</w:t>
      </w:r>
      <w:r>
        <w:rPr>
          <w:rFonts w:hint="eastAsia" w:ascii="Times New Roman" w:hAnsi="Times New Roman" w:eastAsia="宋体" w:cs="Microsoft New Tai Lue"/>
          <w:b/>
          <w:szCs w:val="21"/>
          <w:highlight w:val="none"/>
        </w:rPr>
        <w:t>投标人须知前附表</w:t>
      </w:r>
      <w:r>
        <w:rPr>
          <w:rFonts w:hint="eastAsia" w:ascii="Times New Roman" w:hAnsi="Times New Roman" w:eastAsia="宋体" w:cs="Microsoft New Tai Lue"/>
          <w:szCs w:val="21"/>
          <w:highlight w:val="none"/>
        </w:rPr>
        <w:t>。</w:t>
      </w:r>
    </w:p>
    <w:p w14:paraId="760CFF9C">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14</w:t>
      </w:r>
      <w:r>
        <w:rPr>
          <w:rFonts w:hint="eastAsia" w:ascii="Times New Roman" w:hAnsi="Times New Roman" w:eastAsia="宋体" w:cs="Microsoft New Tai Lue"/>
          <w:szCs w:val="21"/>
          <w:highlight w:val="none"/>
        </w:rPr>
        <w:t>.2本项目最高限价要求见</w:t>
      </w:r>
      <w:r>
        <w:rPr>
          <w:rFonts w:hint="eastAsia" w:ascii="Times New Roman" w:hAnsi="Times New Roman" w:eastAsia="宋体" w:cs="Microsoft New Tai Lue"/>
          <w:b/>
          <w:szCs w:val="21"/>
          <w:highlight w:val="none"/>
        </w:rPr>
        <w:t>投标人须知前附表</w:t>
      </w:r>
      <w:r>
        <w:rPr>
          <w:rFonts w:hint="eastAsia" w:ascii="Times New Roman" w:hAnsi="Times New Roman" w:eastAsia="宋体" w:cs="Microsoft New Tai Lue"/>
          <w:szCs w:val="21"/>
          <w:highlight w:val="none"/>
        </w:rPr>
        <w:t>。</w:t>
      </w:r>
    </w:p>
    <w:p w14:paraId="66B889E2">
      <w:pPr>
        <w:pStyle w:val="4"/>
        <w:spacing w:line="360" w:lineRule="auto"/>
        <w:ind w:left="211" w:right="210" w:hanging="211"/>
        <w:rPr>
          <w:rFonts w:ascii="Times New Roman" w:hAnsi="Times New Roman" w:eastAsia="宋体" w:cs="Microsoft New Tai Lue"/>
          <w:highlight w:val="none"/>
        </w:rPr>
      </w:pPr>
      <w:bookmarkStart w:id="114" w:name="_Toc107246229"/>
      <w:bookmarkStart w:id="115" w:name="_Toc104560852"/>
      <w:bookmarkStart w:id="116" w:name="_Toc1062378728"/>
      <w:r>
        <w:rPr>
          <w:rFonts w:ascii="Times New Roman" w:hAnsi="Times New Roman" w:eastAsia="宋体" w:cs="Microsoft New Tai Lue"/>
          <w:highlight w:val="none"/>
        </w:rPr>
        <w:t>15</w:t>
      </w:r>
      <w:r>
        <w:rPr>
          <w:rFonts w:hint="eastAsia" w:ascii="Times New Roman" w:hAnsi="Times New Roman" w:eastAsia="宋体" w:cs="Microsoft New Tai Lue"/>
          <w:highlight w:val="none"/>
        </w:rPr>
        <w:t>.</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资格</w:t>
      </w:r>
      <w:r>
        <w:rPr>
          <w:rFonts w:ascii="Times New Roman" w:hAnsi="Times New Roman" w:eastAsia="宋体" w:cs="Microsoft New Tai Lue"/>
          <w:highlight w:val="none"/>
        </w:rPr>
        <w:t>条件</w:t>
      </w:r>
      <w:bookmarkEnd w:id="114"/>
      <w:bookmarkEnd w:id="115"/>
      <w:bookmarkEnd w:id="116"/>
    </w:p>
    <w:p w14:paraId="59DF0204">
      <w:pPr>
        <w:spacing w:before="120" w:line="360" w:lineRule="auto"/>
        <w:ind w:left="214" w:firstLine="420"/>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1</w:t>
      </w:r>
      <w:r>
        <w:rPr>
          <w:rFonts w:ascii="Times New Roman" w:hAnsi="Times New Roman" w:eastAsia="宋体" w:cs="Microsoft New Tai Lue"/>
          <w:szCs w:val="21"/>
          <w:highlight w:val="none"/>
        </w:rPr>
        <w:t>5</w:t>
      </w:r>
      <w:r>
        <w:rPr>
          <w:rFonts w:hint="eastAsia" w:ascii="Times New Roman" w:hAnsi="Times New Roman" w:eastAsia="宋体" w:cs="Microsoft New Tai Lue"/>
          <w:szCs w:val="21"/>
          <w:highlight w:val="none"/>
        </w:rPr>
        <w:t>.1</w:t>
      </w:r>
      <w:r>
        <w:rPr>
          <w:rFonts w:hint="eastAsia" w:ascii="Times New Roman" w:hAnsi="Times New Roman" w:eastAsia="宋体" w:cs="Microsoft New Tai Lue"/>
          <w:bCs/>
          <w:szCs w:val="21"/>
          <w:highlight w:val="none"/>
        </w:rPr>
        <w:t>供应商</w:t>
      </w:r>
      <w:r>
        <w:rPr>
          <w:rFonts w:hint="eastAsia" w:ascii="Times New Roman" w:hAnsi="Times New Roman" w:eastAsia="宋体" w:cs="Microsoft New Tai Lue"/>
          <w:szCs w:val="21"/>
          <w:highlight w:val="none"/>
        </w:rPr>
        <w:t>资格</w:t>
      </w:r>
      <w:r>
        <w:rPr>
          <w:rFonts w:ascii="Times New Roman" w:hAnsi="Times New Roman" w:eastAsia="宋体" w:cs="Microsoft New Tai Lue"/>
          <w:szCs w:val="21"/>
          <w:highlight w:val="none"/>
        </w:rPr>
        <w:t>条件见</w:t>
      </w:r>
      <w:r>
        <w:rPr>
          <w:rFonts w:hint="eastAsia" w:ascii="Times New Roman" w:hAnsi="Times New Roman" w:eastAsia="宋体" w:cs="Microsoft New Tai Lue"/>
          <w:b/>
          <w:szCs w:val="21"/>
          <w:highlight w:val="none"/>
        </w:rPr>
        <w:t>投标人须知前附表</w:t>
      </w:r>
      <w:r>
        <w:rPr>
          <w:rFonts w:hint="eastAsia" w:ascii="Times New Roman" w:hAnsi="Times New Roman" w:eastAsia="宋体" w:cs="Microsoft New Tai Lue"/>
          <w:szCs w:val="21"/>
          <w:highlight w:val="none"/>
        </w:rPr>
        <w:t>。</w:t>
      </w:r>
    </w:p>
    <w:p w14:paraId="45BEDA87">
      <w:pPr>
        <w:pStyle w:val="3"/>
        <w:spacing w:line="360" w:lineRule="auto"/>
        <w:ind w:left="211" w:right="210" w:hanging="211"/>
        <w:rPr>
          <w:rFonts w:ascii="Times New Roman" w:hAnsi="Times New Roman" w:eastAsia="宋体" w:cs="Microsoft New Tai Lue"/>
          <w:highlight w:val="none"/>
        </w:rPr>
      </w:pPr>
      <w:bookmarkStart w:id="117" w:name="_Toc1220240338"/>
      <w:r>
        <w:rPr>
          <w:rFonts w:ascii="Times New Roman" w:hAnsi="Times New Roman" w:eastAsia="宋体" w:cs="Microsoft New Tai Lue"/>
          <w:highlight w:val="none"/>
        </w:rPr>
        <w:t>二．招标文件</w:t>
      </w:r>
      <w:bookmarkEnd w:id="69"/>
      <w:bookmarkEnd w:id="117"/>
    </w:p>
    <w:p w14:paraId="6DCB40C3">
      <w:pPr>
        <w:pStyle w:val="4"/>
        <w:spacing w:line="360" w:lineRule="auto"/>
        <w:ind w:left="211" w:right="210" w:hanging="211"/>
        <w:rPr>
          <w:rFonts w:ascii="Times New Roman" w:hAnsi="Times New Roman" w:eastAsia="宋体" w:cs="Microsoft New Tai Lue"/>
          <w:highlight w:val="none"/>
        </w:rPr>
      </w:pPr>
      <w:bookmarkStart w:id="118" w:name="_Toc96347871"/>
      <w:bookmarkStart w:id="119" w:name="_Toc107246231"/>
      <w:bookmarkStart w:id="120" w:name="_Toc103848540"/>
      <w:bookmarkStart w:id="121" w:name="_Toc100905217"/>
      <w:bookmarkStart w:id="122" w:name="_Toc104560854"/>
      <w:bookmarkStart w:id="123" w:name="_Toc110531916"/>
      <w:r>
        <w:rPr>
          <w:rFonts w:ascii="Times New Roman" w:hAnsi="Times New Roman" w:eastAsia="宋体" w:cs="Microsoft New Tai Lue"/>
          <w:highlight w:val="none"/>
        </w:rPr>
        <w:t>16.招标文件的构成</w:t>
      </w:r>
      <w:bookmarkEnd w:id="118"/>
      <w:bookmarkEnd w:id="119"/>
      <w:bookmarkEnd w:id="120"/>
      <w:bookmarkEnd w:id="121"/>
      <w:bookmarkEnd w:id="122"/>
      <w:bookmarkEnd w:id="123"/>
    </w:p>
    <w:p w14:paraId="58C9FF0F">
      <w:pPr>
        <w:pStyle w:val="262"/>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16.1招标文件各章节的内容如下：</w:t>
      </w:r>
    </w:p>
    <w:p w14:paraId="52547EB8">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第一章：</w:t>
      </w:r>
      <w:r>
        <w:rPr>
          <w:rFonts w:hint="eastAsia" w:ascii="Times New Roman" w:hAnsi="Times New Roman" w:eastAsia="宋体" w:cs="Microsoft New Tai Lue"/>
          <w:szCs w:val="21"/>
          <w:highlight w:val="none"/>
        </w:rPr>
        <w:t>招标公告</w:t>
      </w:r>
    </w:p>
    <w:p w14:paraId="65BE44A0">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第二章：投标人须知</w:t>
      </w:r>
    </w:p>
    <w:p w14:paraId="1CBFCC40">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第三章：政府采购合同条款及格式</w:t>
      </w:r>
    </w:p>
    <w:p w14:paraId="039B0D28">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第四章：采购需求</w:t>
      </w:r>
    </w:p>
    <w:p w14:paraId="62F66291">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第五章：评标方法与评标标准</w:t>
      </w:r>
    </w:p>
    <w:p w14:paraId="0F3798F9">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第六章：</w:t>
      </w:r>
      <w:bookmarkStart w:id="124" w:name="_Toc96347872"/>
      <w:r>
        <w:rPr>
          <w:rFonts w:hint="eastAsia" w:ascii="Times New Roman" w:hAnsi="Times New Roman" w:eastAsia="宋体" w:cs="Microsoft New Tai Lue"/>
          <w:szCs w:val="21"/>
          <w:highlight w:val="none"/>
        </w:rPr>
        <w:t>投标文件格式</w:t>
      </w:r>
    </w:p>
    <w:p w14:paraId="6E97D663">
      <w:pPr>
        <w:spacing w:before="120" w:line="360" w:lineRule="auto"/>
        <w:ind w:left="214" w:firstLine="420"/>
        <w:rPr>
          <w:rFonts w:ascii="Times New Roman" w:hAnsi="Times New Roman" w:eastAsia="宋体"/>
          <w:szCs w:val="21"/>
          <w:highlight w:val="none"/>
        </w:rPr>
      </w:pPr>
      <w:r>
        <w:rPr>
          <w:rFonts w:ascii="Times New Roman" w:hAnsi="Times New Roman" w:eastAsia="宋体"/>
          <w:szCs w:val="21"/>
          <w:highlight w:val="none"/>
        </w:rPr>
        <w:t>对</w:t>
      </w:r>
      <w:r>
        <w:rPr>
          <w:rFonts w:hint="eastAsia" w:ascii="Times New Roman" w:hAnsi="Times New Roman" w:eastAsia="宋体"/>
          <w:szCs w:val="21"/>
          <w:highlight w:val="none"/>
        </w:rPr>
        <w:t>招标</w:t>
      </w:r>
      <w:r>
        <w:rPr>
          <w:rFonts w:ascii="Times New Roman" w:hAnsi="Times New Roman" w:eastAsia="宋体"/>
          <w:szCs w:val="21"/>
          <w:highlight w:val="none"/>
        </w:rPr>
        <w:t>文件所作的澄清、修改，构成</w:t>
      </w:r>
      <w:r>
        <w:rPr>
          <w:rFonts w:hint="eastAsia" w:ascii="Times New Roman" w:hAnsi="Times New Roman" w:eastAsia="宋体"/>
          <w:szCs w:val="21"/>
          <w:highlight w:val="none"/>
        </w:rPr>
        <w:t>招标</w:t>
      </w:r>
      <w:r>
        <w:rPr>
          <w:rFonts w:ascii="Times New Roman" w:hAnsi="Times New Roman" w:eastAsia="宋体"/>
          <w:szCs w:val="21"/>
          <w:highlight w:val="none"/>
        </w:rPr>
        <w:t>文件的组成部分。</w:t>
      </w:r>
    </w:p>
    <w:p w14:paraId="610C3303">
      <w:pPr>
        <w:spacing w:before="120" w:line="360" w:lineRule="auto"/>
        <w:ind w:left="214" w:firstLine="420"/>
        <w:rPr>
          <w:rFonts w:ascii="Times New Roman" w:hAnsi="Times New Roman" w:eastAsia="宋体"/>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b/>
          <w:szCs w:val="21"/>
          <w:highlight w:val="none"/>
        </w:rPr>
        <w:t>招标文件中标注</w:t>
      </w:r>
      <w:r>
        <w:rPr>
          <w:rFonts w:hint="eastAsia" w:ascii="Times New Roman" w:hAnsi="Times New Roman" w:eastAsia="宋体" w:cs="Microsoft New Tai Lue"/>
          <w:bCs/>
          <w:szCs w:val="21"/>
          <w:highlight w:val="none"/>
        </w:rPr>
        <w:t>“</w:t>
      </w:r>
      <w:r>
        <w:rPr>
          <w:rFonts w:ascii="Times New Roman" w:hAnsi="Times New Roman" w:eastAsia="宋体" w:cs="Segoe UI Symbol"/>
          <w:b/>
          <w:szCs w:val="21"/>
          <w:highlight w:val="none"/>
        </w:rPr>
        <w:t>★</w:t>
      </w:r>
      <w:r>
        <w:rPr>
          <w:rFonts w:hint="eastAsia" w:ascii="Times New Roman" w:hAnsi="Times New Roman" w:eastAsia="宋体" w:cs="Microsoft New Tai Lue"/>
          <w:bCs/>
          <w:szCs w:val="21"/>
          <w:highlight w:val="none"/>
        </w:rPr>
        <w:t>”</w:t>
      </w:r>
      <w:r>
        <w:rPr>
          <w:rFonts w:ascii="Times New Roman" w:hAnsi="Times New Roman" w:eastAsia="宋体" w:cs="Microsoft New Tai Lue"/>
          <w:b/>
          <w:szCs w:val="21"/>
          <w:highlight w:val="none"/>
        </w:rPr>
        <w:t>符号的条款为实质性要求条款（即重要条款）。</w:t>
      </w:r>
    </w:p>
    <w:p w14:paraId="160AC6FF">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16.2</w:t>
      </w:r>
      <w:r>
        <w:rPr>
          <w:rFonts w:ascii="Times New Roman" w:hAnsi="Times New Roman" w:eastAsia="宋体"/>
          <w:szCs w:val="21"/>
          <w:highlight w:val="none"/>
        </w:rPr>
        <w:t>供应商应仔细阅读和检查</w:t>
      </w:r>
      <w:r>
        <w:rPr>
          <w:rFonts w:hint="eastAsia" w:ascii="Times New Roman" w:hAnsi="Times New Roman" w:eastAsia="宋体"/>
          <w:szCs w:val="21"/>
          <w:highlight w:val="none"/>
        </w:rPr>
        <w:t>招标</w:t>
      </w:r>
      <w:r>
        <w:rPr>
          <w:rFonts w:ascii="Times New Roman" w:hAnsi="Times New Roman" w:eastAsia="宋体"/>
          <w:szCs w:val="21"/>
          <w:highlight w:val="none"/>
        </w:rPr>
        <w:t>文件的全部内容。如发现</w:t>
      </w:r>
      <w:r>
        <w:rPr>
          <w:rFonts w:hint="eastAsia" w:ascii="Times New Roman" w:hAnsi="Times New Roman" w:eastAsia="宋体"/>
          <w:szCs w:val="21"/>
          <w:highlight w:val="none"/>
        </w:rPr>
        <w:t>招标</w:t>
      </w:r>
      <w:r>
        <w:rPr>
          <w:rFonts w:ascii="Times New Roman" w:hAnsi="Times New Roman" w:eastAsia="宋体"/>
          <w:szCs w:val="21"/>
          <w:highlight w:val="none"/>
        </w:rPr>
        <w:t>文件内容不全，应及时向采购方提出，以便补齐。</w:t>
      </w:r>
    </w:p>
    <w:p w14:paraId="681F1346">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16.3</w:t>
      </w:r>
      <w:r>
        <w:rPr>
          <w:rFonts w:ascii="Times New Roman" w:hAnsi="Times New Roman" w:eastAsia="宋体"/>
          <w:szCs w:val="21"/>
          <w:highlight w:val="none"/>
        </w:rPr>
        <w:t>供应商</w:t>
      </w:r>
      <w:r>
        <w:rPr>
          <w:rFonts w:ascii="Times New Roman" w:hAnsi="Times New Roman" w:eastAsia="宋体" w:cs="Microsoft New Tai Lue"/>
          <w:bCs/>
          <w:szCs w:val="21"/>
          <w:highlight w:val="none"/>
        </w:rPr>
        <w:t>按照招标文件要求编制投标文件。任何对招标文件的忽略或误解，不能作为投标文件存在缺陷或瑕疵的理由，其风险由</w:t>
      </w:r>
      <w:r>
        <w:rPr>
          <w:rFonts w:ascii="Times New Roman" w:hAnsi="Times New Roman" w:eastAsia="宋体"/>
          <w:szCs w:val="21"/>
          <w:highlight w:val="none"/>
        </w:rPr>
        <w:t>供应商</w:t>
      </w:r>
      <w:r>
        <w:rPr>
          <w:rFonts w:ascii="Times New Roman" w:hAnsi="Times New Roman" w:eastAsia="宋体" w:cs="Microsoft New Tai Lue"/>
          <w:bCs/>
          <w:szCs w:val="21"/>
          <w:highlight w:val="none"/>
        </w:rPr>
        <w:t>承担。</w:t>
      </w:r>
    </w:p>
    <w:p w14:paraId="7E7B5026">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16.4本项目</w:t>
      </w:r>
      <w:r>
        <w:rPr>
          <w:rFonts w:hint="eastAsia" w:ascii="Times New Roman" w:hAnsi="Times New Roman" w:eastAsia="宋体" w:cs="Microsoft New Tai Lue"/>
          <w:szCs w:val="21"/>
          <w:highlight w:val="none"/>
        </w:rPr>
        <w:t>招标</w:t>
      </w:r>
      <w:r>
        <w:rPr>
          <w:rFonts w:ascii="Times New Roman" w:hAnsi="Times New Roman" w:eastAsia="宋体" w:cs="Microsoft New Tai Lue"/>
          <w:szCs w:val="21"/>
          <w:highlight w:val="none"/>
        </w:rPr>
        <w:t>文件如包括多个</w:t>
      </w:r>
      <w:r>
        <w:rPr>
          <w:rFonts w:hint="eastAsia" w:ascii="Times New Roman" w:hAnsi="Times New Roman" w:eastAsia="宋体" w:cs="Microsoft New Tai Lue"/>
          <w:szCs w:val="21"/>
          <w:highlight w:val="none"/>
        </w:rPr>
        <w:t>分包</w:t>
      </w:r>
      <w:r>
        <w:rPr>
          <w:rFonts w:ascii="Times New Roman" w:hAnsi="Times New Roman" w:eastAsia="宋体" w:cs="Microsoft New Tai Lue"/>
          <w:szCs w:val="21"/>
          <w:highlight w:val="none"/>
        </w:rPr>
        <w:t>，则除非特别说明，</w:t>
      </w:r>
      <w:r>
        <w:rPr>
          <w:rFonts w:hint="eastAsia" w:ascii="Times New Roman" w:hAnsi="Times New Roman" w:eastAsia="宋体" w:cs="Microsoft New Tai Lue"/>
          <w:szCs w:val="21"/>
          <w:highlight w:val="none"/>
        </w:rPr>
        <w:t>招标</w:t>
      </w:r>
      <w:r>
        <w:rPr>
          <w:rFonts w:ascii="Times New Roman" w:hAnsi="Times New Roman" w:eastAsia="宋体" w:cs="Microsoft New Tai Lue"/>
          <w:szCs w:val="21"/>
          <w:highlight w:val="none"/>
        </w:rPr>
        <w:t>文件所列各项要求均为各</w:t>
      </w:r>
      <w:r>
        <w:rPr>
          <w:rFonts w:hint="eastAsia" w:ascii="Times New Roman" w:hAnsi="Times New Roman" w:eastAsia="宋体" w:cs="Microsoft New Tai Lue"/>
          <w:szCs w:val="21"/>
          <w:highlight w:val="none"/>
        </w:rPr>
        <w:t>分包</w:t>
      </w:r>
      <w:r>
        <w:rPr>
          <w:rFonts w:ascii="Times New Roman" w:hAnsi="Times New Roman" w:eastAsia="宋体" w:cs="Microsoft New Tai Lue"/>
          <w:szCs w:val="21"/>
          <w:highlight w:val="none"/>
        </w:rPr>
        <w:t>通用要求。</w:t>
      </w:r>
      <w:bookmarkEnd w:id="124"/>
    </w:p>
    <w:p w14:paraId="19B4D1AB">
      <w:pPr>
        <w:pStyle w:val="4"/>
        <w:spacing w:line="360" w:lineRule="auto"/>
        <w:ind w:left="211" w:right="210" w:hanging="211"/>
        <w:rPr>
          <w:rFonts w:ascii="Times New Roman" w:hAnsi="Times New Roman" w:eastAsia="宋体" w:cs="Microsoft New Tai Lue"/>
          <w:highlight w:val="none"/>
        </w:rPr>
      </w:pPr>
      <w:bookmarkStart w:id="125" w:name="_Toc136557557"/>
      <w:bookmarkStart w:id="126" w:name="_Toc96347873"/>
      <w:bookmarkStart w:id="127" w:name="_Toc103848541"/>
      <w:bookmarkStart w:id="128" w:name="_Toc104560855"/>
      <w:bookmarkStart w:id="129" w:name="_Toc107246232"/>
      <w:bookmarkStart w:id="130" w:name="_Toc100905218"/>
      <w:r>
        <w:rPr>
          <w:rFonts w:ascii="Times New Roman" w:hAnsi="Times New Roman" w:eastAsia="宋体" w:cs="Microsoft New Tai Lue"/>
          <w:highlight w:val="none"/>
        </w:rPr>
        <w:t>17.招标文件的澄清或者修改</w:t>
      </w:r>
      <w:bookmarkEnd w:id="125"/>
      <w:bookmarkEnd w:id="126"/>
      <w:bookmarkEnd w:id="127"/>
      <w:bookmarkEnd w:id="128"/>
      <w:bookmarkEnd w:id="129"/>
      <w:bookmarkEnd w:id="130"/>
    </w:p>
    <w:p w14:paraId="2E2FFAF3">
      <w:pPr>
        <w:spacing w:before="120" w:line="360" w:lineRule="auto"/>
        <w:ind w:left="214" w:firstLine="420"/>
        <w:rPr>
          <w:rFonts w:ascii="Times New Roman" w:hAnsi="Times New Roman" w:eastAsia="宋体" w:cs="Microsoft New Tai Lue"/>
          <w:szCs w:val="21"/>
          <w:highlight w:val="none"/>
        </w:rPr>
      </w:pPr>
      <w:bookmarkStart w:id="131" w:name="_Toc100905219"/>
      <w:r>
        <w:rPr>
          <w:rFonts w:ascii="Times New Roman" w:hAnsi="Times New Roman" w:eastAsia="宋体" w:cs="Microsoft New Tai Lue"/>
          <w:szCs w:val="21"/>
          <w:highlight w:val="none"/>
        </w:rPr>
        <w:t>17.1采购方可以对已发出的招标文件进行必要的澄清或者修改</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澄清或者修改应当在原公告发布媒体上发布澄清公告</w:t>
      </w:r>
      <w:r>
        <w:rPr>
          <w:rFonts w:hint="eastAsia" w:ascii="Times New Roman" w:hAnsi="Times New Roman" w:eastAsia="宋体" w:cs="Microsoft New Tai Lue"/>
          <w:szCs w:val="21"/>
          <w:highlight w:val="none"/>
        </w:rPr>
        <w:t>，</w:t>
      </w:r>
      <w:r>
        <w:rPr>
          <w:rFonts w:ascii="Times New Roman" w:hAnsi="Times New Roman" w:eastAsia="宋体"/>
          <w:szCs w:val="21"/>
          <w:highlight w:val="none"/>
        </w:rPr>
        <w:t>任何口头答复、通知无效</w:t>
      </w:r>
      <w:r>
        <w:rPr>
          <w:rFonts w:ascii="Times New Roman" w:hAnsi="Times New Roman" w:eastAsia="宋体" w:cs="Microsoft New Tai Lue"/>
          <w:szCs w:val="21"/>
          <w:highlight w:val="none"/>
        </w:rPr>
        <w:t>。澄清或者修改的内容为招标文件的组成部分</w:t>
      </w:r>
      <w:r>
        <w:rPr>
          <w:rFonts w:ascii="Times New Roman" w:hAnsi="Times New Roman" w:eastAsia="宋体"/>
          <w:szCs w:val="21"/>
          <w:highlight w:val="none"/>
        </w:rPr>
        <w:t>并具有法律效力，</w:t>
      </w:r>
      <w:r>
        <w:rPr>
          <w:rFonts w:hint="eastAsia" w:ascii="Times New Roman" w:hAnsi="Times New Roman" w:eastAsia="宋体"/>
          <w:szCs w:val="21"/>
          <w:highlight w:val="none"/>
        </w:rPr>
        <w:t>招标</w:t>
      </w:r>
      <w:r>
        <w:rPr>
          <w:rFonts w:ascii="Times New Roman" w:hAnsi="Times New Roman" w:eastAsia="宋体"/>
          <w:szCs w:val="21"/>
          <w:highlight w:val="none"/>
        </w:rPr>
        <w:t>文件、澄清或修改在同一内容表述上不一致的，以日期后者的为准。</w:t>
      </w:r>
    </w:p>
    <w:p w14:paraId="7DDE635A">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供应商</w:t>
      </w:r>
      <w:r>
        <w:rPr>
          <w:rFonts w:ascii="Times New Roman" w:hAnsi="Times New Roman" w:eastAsia="宋体" w:cs="Microsoft New Tai Lue"/>
          <w:szCs w:val="21"/>
          <w:highlight w:val="none"/>
        </w:rPr>
        <w:t>；不足15日的，采购方应当顺延提交投标文件的截止时间。</w:t>
      </w:r>
      <w:bookmarkEnd w:id="131"/>
    </w:p>
    <w:p w14:paraId="2FC27C38">
      <w:pPr>
        <w:pStyle w:val="3"/>
        <w:spacing w:line="360" w:lineRule="auto"/>
        <w:ind w:left="211" w:right="210" w:hanging="211"/>
        <w:rPr>
          <w:rFonts w:ascii="Times New Roman" w:hAnsi="Times New Roman" w:eastAsia="宋体" w:cs="Microsoft New Tai Lue"/>
          <w:highlight w:val="none"/>
        </w:rPr>
      </w:pPr>
      <w:bookmarkStart w:id="132" w:name="_Toc1610325503"/>
      <w:bookmarkStart w:id="133" w:name="_Toc91836558"/>
      <w:bookmarkStart w:id="134" w:name="_Toc104560856"/>
      <w:bookmarkStart w:id="135" w:name="_Toc80264708"/>
      <w:r>
        <w:rPr>
          <w:rFonts w:ascii="Times New Roman" w:hAnsi="Times New Roman" w:eastAsia="宋体" w:cs="Microsoft New Tai Lue"/>
          <w:highlight w:val="none"/>
        </w:rPr>
        <w:t>三．投标文件</w:t>
      </w:r>
      <w:bookmarkEnd w:id="132"/>
      <w:bookmarkEnd w:id="133"/>
      <w:bookmarkEnd w:id="134"/>
    </w:p>
    <w:p w14:paraId="52BFE2EB">
      <w:pPr>
        <w:pStyle w:val="4"/>
        <w:spacing w:line="360" w:lineRule="auto"/>
        <w:ind w:left="211" w:right="210" w:hanging="211"/>
        <w:rPr>
          <w:rFonts w:ascii="Times New Roman" w:hAnsi="Times New Roman" w:eastAsia="宋体" w:cs="Microsoft New Tai Lue"/>
          <w:highlight w:val="none"/>
        </w:rPr>
      </w:pPr>
      <w:bookmarkStart w:id="136" w:name="_Toc104560857"/>
      <w:bookmarkStart w:id="137" w:name="_Toc4325780"/>
      <w:bookmarkStart w:id="138" w:name="_Toc107246234"/>
      <w:bookmarkStart w:id="139" w:name="_Toc103848543"/>
      <w:bookmarkStart w:id="140" w:name="_Toc100905221"/>
      <w:bookmarkStart w:id="141" w:name="_Toc96347875"/>
      <w:r>
        <w:rPr>
          <w:rFonts w:ascii="Times New Roman" w:hAnsi="Times New Roman" w:eastAsia="宋体" w:cs="Microsoft New Tai Lue"/>
          <w:highlight w:val="none"/>
        </w:rPr>
        <w:t>18.投标文件的组成</w:t>
      </w:r>
      <w:bookmarkEnd w:id="136"/>
      <w:bookmarkEnd w:id="137"/>
      <w:bookmarkEnd w:id="138"/>
      <w:bookmarkEnd w:id="139"/>
    </w:p>
    <w:p w14:paraId="6190A710">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18.1投标文件由</w:t>
      </w:r>
      <w:r>
        <w:rPr>
          <w:rFonts w:hint="eastAsia" w:ascii="Times New Roman" w:hAnsi="Times New Roman" w:eastAsia="宋体" w:cs="Microsoft New Tai Lue"/>
          <w:szCs w:val="21"/>
          <w:highlight w:val="none"/>
        </w:rPr>
        <w:t>价格</w:t>
      </w:r>
      <w:r>
        <w:rPr>
          <w:rFonts w:ascii="Times New Roman" w:hAnsi="Times New Roman" w:eastAsia="宋体" w:cs="Microsoft New Tai Lue"/>
          <w:szCs w:val="21"/>
          <w:highlight w:val="none"/>
        </w:rPr>
        <w:t>及商务部分、技术部分以及其他部分组成</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格式见招标文件第六章《</w:t>
      </w:r>
      <w:r>
        <w:rPr>
          <w:rFonts w:hint="eastAsia" w:ascii="Times New Roman" w:hAnsi="Times New Roman" w:eastAsia="宋体" w:cs="Microsoft New Tai Lue"/>
          <w:szCs w:val="21"/>
          <w:highlight w:val="none"/>
        </w:rPr>
        <w:t>投标文件格式</w:t>
      </w:r>
      <w:r>
        <w:rPr>
          <w:rFonts w:ascii="Times New Roman" w:hAnsi="Times New Roman" w:eastAsia="宋体" w:cs="Microsoft New Tai Lue"/>
          <w:szCs w:val="21"/>
          <w:highlight w:val="none"/>
        </w:rPr>
        <w:t>》</w:t>
      </w:r>
      <w:r>
        <w:rPr>
          <w:rFonts w:hint="eastAsia" w:ascii="Times New Roman" w:hAnsi="Times New Roman" w:eastAsia="宋体" w:cs="Microsoft New Tai Lue"/>
          <w:szCs w:val="21"/>
          <w:highlight w:val="none"/>
        </w:rPr>
        <w:t>。</w:t>
      </w:r>
    </w:p>
    <w:p w14:paraId="5A8BFCC6">
      <w:pPr>
        <w:spacing w:before="120" w:line="360" w:lineRule="auto"/>
        <w:ind w:left="214" w:firstLine="420"/>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18.2</w:t>
      </w:r>
      <w:r>
        <w:rPr>
          <w:rFonts w:ascii="Times New Roman" w:hAnsi="Times New Roman" w:eastAsia="宋体" w:cs="Arial"/>
          <w:b/>
          <w:sz w:val="22"/>
          <w:szCs w:val="22"/>
          <w:highlight w:val="none"/>
        </w:rPr>
        <w:t>投标文件</w:t>
      </w:r>
      <w:r>
        <w:rPr>
          <w:rFonts w:hint="eastAsia" w:ascii="Times New Roman" w:hAnsi="Times New Roman" w:eastAsia="宋体" w:cs="Arial"/>
          <w:b/>
          <w:sz w:val="22"/>
          <w:szCs w:val="22"/>
          <w:highlight w:val="none"/>
        </w:rPr>
        <w:t>的价格</w:t>
      </w:r>
      <w:r>
        <w:rPr>
          <w:rFonts w:ascii="Times New Roman" w:hAnsi="Times New Roman" w:eastAsia="宋体" w:cs="Arial"/>
          <w:b/>
          <w:sz w:val="22"/>
          <w:szCs w:val="22"/>
          <w:highlight w:val="none"/>
        </w:rPr>
        <w:t>及商务部分</w:t>
      </w:r>
      <w:r>
        <w:rPr>
          <w:rFonts w:hint="eastAsia" w:ascii="Times New Roman" w:hAnsi="Times New Roman" w:eastAsia="宋体" w:cs="Arial"/>
          <w:b/>
          <w:sz w:val="22"/>
          <w:szCs w:val="22"/>
          <w:highlight w:val="none"/>
        </w:rPr>
        <w:t>，包括但不限于下列文件：</w:t>
      </w:r>
    </w:p>
    <w:p w14:paraId="4B13AFCF">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（1）投标函</w:t>
      </w:r>
      <w:r>
        <w:rPr>
          <w:rFonts w:ascii="Times New Roman" w:hAnsi="Times New Roman" w:eastAsia="宋体"/>
          <w:szCs w:val="21"/>
          <w:highlight w:val="none"/>
        </w:rPr>
        <w:t>，格式见附件。</w:t>
      </w:r>
    </w:p>
    <w:p w14:paraId="06914C02">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w:t>
      </w:r>
      <w:r>
        <w:rPr>
          <w:rFonts w:ascii="Times New Roman" w:hAnsi="Times New Roman" w:eastAsia="宋体"/>
          <w:szCs w:val="21"/>
          <w:highlight w:val="none"/>
        </w:rPr>
        <w:t>2</w:t>
      </w:r>
      <w:r>
        <w:rPr>
          <w:rFonts w:hint="eastAsia" w:ascii="Times New Roman" w:hAnsi="Times New Roman" w:eastAsia="宋体"/>
          <w:szCs w:val="21"/>
          <w:highlight w:val="none"/>
        </w:rPr>
        <w:t>）法定代表人（单位负责人）身份证明</w:t>
      </w:r>
      <w:r>
        <w:rPr>
          <w:rFonts w:ascii="Times New Roman" w:hAnsi="Times New Roman" w:eastAsia="宋体"/>
          <w:szCs w:val="21"/>
          <w:highlight w:val="none"/>
        </w:rPr>
        <w:t>，格式见附件。</w:t>
      </w:r>
    </w:p>
    <w:p w14:paraId="58EDD2BC">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（3</w:t>
      </w:r>
      <w:r>
        <w:rPr>
          <w:rFonts w:ascii="Times New Roman" w:hAnsi="Times New Roman" w:eastAsia="宋体"/>
          <w:szCs w:val="21"/>
          <w:highlight w:val="none"/>
        </w:rPr>
        <w:t>-1</w:t>
      </w:r>
      <w:r>
        <w:rPr>
          <w:rFonts w:hint="eastAsia" w:ascii="Times New Roman" w:hAnsi="Times New Roman" w:eastAsia="宋体"/>
          <w:szCs w:val="21"/>
          <w:highlight w:val="none"/>
        </w:rPr>
        <w:t>）法定代表人（单位负责人）授权委托书（适用于法人/非法人），格式见附件。</w:t>
      </w:r>
    </w:p>
    <w:p w14:paraId="5F672B52">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（3</w:t>
      </w:r>
      <w:r>
        <w:rPr>
          <w:rFonts w:ascii="Times New Roman" w:hAnsi="Times New Roman" w:eastAsia="宋体"/>
          <w:szCs w:val="21"/>
          <w:highlight w:val="none"/>
        </w:rPr>
        <w:t>-2</w:t>
      </w:r>
      <w:r>
        <w:rPr>
          <w:rFonts w:hint="eastAsia" w:ascii="Times New Roman" w:hAnsi="Times New Roman" w:eastAsia="宋体"/>
          <w:szCs w:val="21"/>
          <w:highlight w:val="none"/>
        </w:rPr>
        <w:t>）授权委托书（适用于自然人），格式见附件。</w:t>
      </w:r>
    </w:p>
    <w:p w14:paraId="5E5388F1">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（4）开标一览表，格式见附件。</w:t>
      </w:r>
    </w:p>
    <w:p w14:paraId="72FACC5C">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（5）分项报价表，格式见附件。</w:t>
      </w:r>
    </w:p>
    <w:p w14:paraId="5C2E5996">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（6）商务条款偏离表，格式见附件。</w:t>
      </w:r>
    </w:p>
    <w:p w14:paraId="7A9533FA">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（7）技术条款偏离表，格式见附件</w:t>
      </w:r>
    </w:p>
    <w:p w14:paraId="58447525">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（8）投标人具备投标资格的证明文件（</w:t>
      </w:r>
      <w:r>
        <w:rPr>
          <w:rFonts w:hint="eastAsia" w:ascii="Times New Roman" w:hAnsi="Times New Roman" w:eastAsia="宋体"/>
          <w:highlight w:val="none"/>
        </w:rPr>
        <w:t>按照公告要求提供</w:t>
      </w:r>
      <w:r>
        <w:rPr>
          <w:rFonts w:hint="eastAsia" w:ascii="Times New Roman" w:hAnsi="Times New Roman" w:eastAsia="宋体"/>
          <w:szCs w:val="21"/>
          <w:highlight w:val="none"/>
        </w:rPr>
        <w:t>）：</w:t>
      </w:r>
    </w:p>
    <w:p w14:paraId="26072588">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8</w:t>
      </w:r>
      <w:r>
        <w:rPr>
          <w:rFonts w:ascii="Times New Roman" w:hAnsi="Times New Roman" w:eastAsia="宋体"/>
          <w:szCs w:val="21"/>
          <w:highlight w:val="none"/>
        </w:rPr>
        <w:t>-1-1）</w:t>
      </w:r>
      <w:r>
        <w:rPr>
          <w:rFonts w:hint="eastAsia" w:ascii="Times New Roman" w:hAnsi="Times New Roman" w:eastAsia="宋体"/>
          <w:szCs w:val="21"/>
          <w:highlight w:val="none"/>
        </w:rPr>
        <w:t>营业执照复印件或自然人的身份证明复印件</w:t>
      </w:r>
      <w:r>
        <w:rPr>
          <w:rFonts w:ascii="Times New Roman" w:hAnsi="Times New Roman" w:eastAsia="宋体"/>
          <w:szCs w:val="21"/>
          <w:highlight w:val="none"/>
        </w:rPr>
        <w:t>（或具有同等法律效力的证照）。</w:t>
      </w:r>
    </w:p>
    <w:p w14:paraId="7534225D">
      <w:pPr>
        <w:spacing w:line="360" w:lineRule="auto"/>
        <w:ind w:left="214" w:firstLine="525"/>
        <w:jc w:val="left"/>
        <w:rPr>
          <w:rFonts w:ascii="Times New Roman" w:hAnsi="Times New Roman" w:eastAsia="宋体"/>
          <w:szCs w:val="21"/>
          <w:highlight w:val="none"/>
        </w:rPr>
      </w:pPr>
      <w:r>
        <w:rPr>
          <w:rFonts w:ascii="Times New Roman" w:hAnsi="Times New Roman" w:eastAsia="宋体"/>
          <w:szCs w:val="21"/>
          <w:highlight w:val="none"/>
        </w:rPr>
        <w:t>（a）</w:t>
      </w:r>
      <w:r>
        <w:rPr>
          <w:rFonts w:hint="eastAsia" w:ascii="Times New Roman" w:hAnsi="Times New Roman" w:eastAsia="宋体"/>
          <w:szCs w:val="21"/>
          <w:highlight w:val="none"/>
        </w:rPr>
        <w:t>投标人为企业（包括合伙企业）的，应提供有效的“营业执照”。</w:t>
      </w:r>
    </w:p>
    <w:p w14:paraId="770F2152">
      <w:pPr>
        <w:spacing w:line="360" w:lineRule="auto"/>
        <w:ind w:left="214" w:firstLine="525"/>
        <w:jc w:val="left"/>
        <w:rPr>
          <w:rFonts w:ascii="Times New Roman" w:hAnsi="Times New Roman" w:eastAsia="宋体"/>
          <w:szCs w:val="21"/>
          <w:highlight w:val="none"/>
        </w:rPr>
      </w:pPr>
      <w:r>
        <w:rPr>
          <w:rFonts w:ascii="Times New Roman" w:hAnsi="Times New Roman" w:eastAsia="宋体"/>
          <w:szCs w:val="21"/>
          <w:highlight w:val="none"/>
        </w:rPr>
        <w:t>（b）</w:t>
      </w:r>
      <w:r>
        <w:rPr>
          <w:rFonts w:hint="eastAsia" w:ascii="Times New Roman" w:hAnsi="Times New Roman" w:eastAsia="宋体"/>
          <w:szCs w:val="21"/>
          <w:highlight w:val="none"/>
        </w:rPr>
        <w:t>投标人为事业单位的，应提供有效的“事业单位法人证书”。</w:t>
      </w:r>
    </w:p>
    <w:p w14:paraId="5BC481FB">
      <w:pPr>
        <w:spacing w:line="360" w:lineRule="auto"/>
        <w:ind w:left="214" w:firstLine="525"/>
        <w:jc w:val="left"/>
        <w:rPr>
          <w:rFonts w:ascii="Times New Roman" w:hAnsi="Times New Roman" w:eastAsia="宋体"/>
          <w:szCs w:val="21"/>
          <w:highlight w:val="none"/>
        </w:rPr>
      </w:pPr>
      <w:r>
        <w:rPr>
          <w:rFonts w:hint="eastAsia" w:ascii="Times New Roman" w:hAnsi="Times New Roman" w:eastAsia="宋体"/>
          <w:szCs w:val="21"/>
          <w:highlight w:val="none"/>
        </w:rPr>
        <w:t>（c）投标人是非企业机构的，应提供有效的“执业许可证”、“登记证书”等证明文件。</w:t>
      </w:r>
    </w:p>
    <w:p w14:paraId="2A469AC4">
      <w:pPr>
        <w:spacing w:line="360" w:lineRule="auto"/>
        <w:ind w:left="214" w:firstLine="525"/>
        <w:jc w:val="left"/>
        <w:rPr>
          <w:rFonts w:ascii="Times New Roman" w:hAnsi="Times New Roman" w:eastAsia="宋体"/>
          <w:szCs w:val="21"/>
          <w:highlight w:val="none"/>
        </w:rPr>
      </w:pPr>
      <w:r>
        <w:rPr>
          <w:rFonts w:hint="eastAsia" w:ascii="Times New Roman" w:hAnsi="Times New Roman" w:eastAsia="宋体"/>
          <w:szCs w:val="21"/>
          <w:highlight w:val="none"/>
        </w:rPr>
        <w:t>（d）投标人是个体工商户的，应提供有效的“个体工商户营业执照”。</w:t>
      </w:r>
    </w:p>
    <w:p w14:paraId="1FB5DA5D">
      <w:pPr>
        <w:spacing w:line="360" w:lineRule="auto"/>
        <w:ind w:left="214" w:firstLine="525"/>
        <w:jc w:val="left"/>
        <w:rPr>
          <w:rFonts w:ascii="Times New Roman" w:hAnsi="Times New Roman" w:eastAsia="宋体"/>
          <w:szCs w:val="21"/>
          <w:highlight w:val="none"/>
        </w:rPr>
      </w:pPr>
      <w:r>
        <w:rPr>
          <w:rFonts w:hint="eastAsia" w:ascii="Times New Roman" w:hAnsi="Times New Roman" w:eastAsia="宋体"/>
          <w:szCs w:val="21"/>
          <w:highlight w:val="none"/>
        </w:rPr>
        <w:t>（e）投标人是自然人的，应提供有效的自然人身份证明。</w:t>
      </w:r>
    </w:p>
    <w:p w14:paraId="2D9D6E9A">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（8</w:t>
      </w:r>
      <w:r>
        <w:rPr>
          <w:rFonts w:ascii="Times New Roman" w:hAnsi="Times New Roman" w:eastAsia="宋体"/>
          <w:szCs w:val="21"/>
          <w:highlight w:val="none"/>
        </w:rPr>
        <w:t>-1-2</w:t>
      </w:r>
      <w:r>
        <w:rPr>
          <w:rFonts w:hint="eastAsia" w:ascii="Times New Roman" w:hAnsi="Times New Roman" w:eastAsia="宋体"/>
          <w:szCs w:val="21"/>
          <w:highlight w:val="none"/>
        </w:rPr>
        <w:t>）工商变更登记文件（如需），如发生了单位名称等变更的，需提供工商变更登记文件。</w:t>
      </w:r>
    </w:p>
    <w:p w14:paraId="12454FF2">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8</w:t>
      </w:r>
      <w:r>
        <w:rPr>
          <w:rFonts w:ascii="Times New Roman" w:hAnsi="Times New Roman" w:eastAsia="宋体"/>
          <w:szCs w:val="21"/>
          <w:highlight w:val="none"/>
        </w:rPr>
        <w:t>-2）财务报表。</w:t>
      </w:r>
    </w:p>
    <w:p w14:paraId="6CADF354">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8</w:t>
      </w:r>
      <w:r>
        <w:rPr>
          <w:rFonts w:ascii="Times New Roman" w:hAnsi="Times New Roman" w:eastAsia="宋体"/>
          <w:szCs w:val="21"/>
          <w:highlight w:val="none"/>
        </w:rPr>
        <w:t>-3）具有履行合同所必需的设备和专业技术能力的相关证明材料或承诺函，格式见附件。</w:t>
      </w:r>
    </w:p>
    <w:p w14:paraId="0CB880E0">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8</w:t>
      </w:r>
      <w:r>
        <w:rPr>
          <w:rFonts w:ascii="Times New Roman" w:hAnsi="Times New Roman" w:eastAsia="宋体"/>
          <w:szCs w:val="21"/>
          <w:highlight w:val="none"/>
        </w:rPr>
        <w:t>-4）依法缴纳税收的相关材料。</w:t>
      </w:r>
    </w:p>
    <w:p w14:paraId="16EC3854">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8</w:t>
      </w:r>
      <w:r>
        <w:rPr>
          <w:rFonts w:ascii="Times New Roman" w:hAnsi="Times New Roman" w:eastAsia="宋体"/>
          <w:szCs w:val="21"/>
          <w:highlight w:val="none"/>
        </w:rPr>
        <w:t>-5）依法缴纳社会保障资金的相关材料。</w:t>
      </w:r>
    </w:p>
    <w:p w14:paraId="427E6769">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8</w:t>
      </w:r>
      <w:r>
        <w:rPr>
          <w:rFonts w:ascii="Times New Roman" w:hAnsi="Times New Roman" w:eastAsia="宋体"/>
          <w:szCs w:val="21"/>
          <w:highlight w:val="none"/>
        </w:rPr>
        <w:t>-6）参加政府采购活动前三年内，在经营活动中没有重大违法记录，格式见附件。</w:t>
      </w:r>
    </w:p>
    <w:p w14:paraId="4F790B22">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（8-</w:t>
      </w:r>
      <w:r>
        <w:rPr>
          <w:rFonts w:ascii="Times New Roman" w:hAnsi="Times New Roman" w:eastAsia="宋体"/>
          <w:szCs w:val="21"/>
          <w:highlight w:val="none"/>
        </w:rPr>
        <w:t>7</w:t>
      </w:r>
      <w:r>
        <w:rPr>
          <w:rFonts w:hint="eastAsia" w:ascii="Times New Roman" w:hAnsi="Times New Roman" w:eastAsia="宋体"/>
          <w:szCs w:val="21"/>
          <w:highlight w:val="none"/>
        </w:rPr>
        <w:t>）无不良信用记录承诺函（投标人自行查询适用）</w:t>
      </w:r>
      <w:r>
        <w:rPr>
          <w:rFonts w:ascii="Times New Roman" w:hAnsi="Times New Roman" w:eastAsia="宋体"/>
          <w:szCs w:val="21"/>
          <w:highlight w:val="none"/>
        </w:rPr>
        <w:t>，格式见附件。</w:t>
      </w:r>
    </w:p>
    <w:p w14:paraId="5006C517">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（8-</w:t>
      </w:r>
      <w:r>
        <w:rPr>
          <w:rFonts w:ascii="Times New Roman" w:hAnsi="Times New Roman" w:eastAsia="宋体"/>
          <w:szCs w:val="21"/>
          <w:highlight w:val="none"/>
        </w:rPr>
        <w:t>8</w:t>
      </w:r>
      <w:r>
        <w:rPr>
          <w:rFonts w:hint="eastAsia" w:ascii="Times New Roman" w:hAnsi="Times New Roman" w:eastAsia="宋体"/>
          <w:szCs w:val="21"/>
          <w:highlight w:val="none"/>
        </w:rPr>
        <w:t>）招标文件要求的其它实质性资格资信证明文件</w:t>
      </w:r>
      <w:r>
        <w:rPr>
          <w:rFonts w:ascii="Times New Roman" w:hAnsi="Times New Roman" w:eastAsia="宋体"/>
          <w:szCs w:val="21"/>
          <w:highlight w:val="none"/>
        </w:rPr>
        <w:t>。</w:t>
      </w:r>
    </w:p>
    <w:p w14:paraId="45C7F4D9">
      <w:pPr>
        <w:spacing w:before="120" w:line="360" w:lineRule="auto"/>
        <w:ind w:left="214" w:firstLine="420"/>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18.3</w:t>
      </w:r>
      <w:r>
        <w:rPr>
          <w:rFonts w:ascii="Times New Roman" w:hAnsi="Times New Roman" w:eastAsia="宋体" w:cs="Arial"/>
          <w:b/>
          <w:sz w:val="22"/>
          <w:szCs w:val="22"/>
          <w:highlight w:val="none"/>
          <w:lang w:val="zh-CN"/>
        </w:rPr>
        <w:t>投标文件</w:t>
      </w:r>
      <w:r>
        <w:rPr>
          <w:rFonts w:hint="eastAsia" w:ascii="Times New Roman" w:hAnsi="Times New Roman" w:eastAsia="宋体" w:cs="Arial"/>
          <w:b/>
          <w:sz w:val="22"/>
          <w:szCs w:val="22"/>
          <w:highlight w:val="none"/>
          <w:lang w:val="zh-CN"/>
        </w:rPr>
        <w:t>的技术</w:t>
      </w:r>
      <w:r>
        <w:rPr>
          <w:rFonts w:ascii="Times New Roman" w:hAnsi="Times New Roman" w:eastAsia="宋体" w:cs="Arial"/>
          <w:b/>
          <w:sz w:val="22"/>
          <w:szCs w:val="22"/>
          <w:highlight w:val="none"/>
          <w:lang w:val="zh-CN"/>
        </w:rPr>
        <w:t>部分</w:t>
      </w:r>
      <w:r>
        <w:rPr>
          <w:rFonts w:hint="eastAsia" w:ascii="Times New Roman" w:hAnsi="Times New Roman" w:eastAsia="宋体" w:cs="Arial"/>
          <w:b/>
          <w:sz w:val="22"/>
          <w:szCs w:val="22"/>
          <w:highlight w:val="none"/>
          <w:lang w:val="zh-CN"/>
        </w:rPr>
        <w:t>，包括但不限于下列文件：</w:t>
      </w:r>
    </w:p>
    <w:p w14:paraId="72EE0D14">
      <w:pPr>
        <w:spacing w:line="360" w:lineRule="auto"/>
        <w:ind w:left="529"/>
        <w:jc w:val="left"/>
        <w:rPr>
          <w:rFonts w:ascii="Times New Roman" w:hAnsi="Times New Roman" w:eastAsia="宋体"/>
          <w:szCs w:val="21"/>
          <w:highlight w:val="none"/>
        </w:rPr>
      </w:pPr>
      <w:r>
        <w:rPr>
          <w:rFonts w:hint="eastAsia" w:ascii="Times New Roman" w:hAnsi="Times New Roman" w:eastAsia="宋体"/>
          <w:szCs w:val="21"/>
          <w:highlight w:val="none"/>
        </w:rPr>
        <w:t>（9）</w:t>
      </w:r>
      <w:r>
        <w:rPr>
          <w:rFonts w:hint="eastAsia"/>
          <w:szCs w:val="21"/>
          <w:highlight w:val="none"/>
          <w:lang w:val="en-US" w:eastAsia="zh-CN"/>
        </w:rPr>
        <w:t>实施</w:t>
      </w:r>
      <w:r>
        <w:rPr>
          <w:rFonts w:ascii="Times New Roman" w:hAnsi="Times New Roman" w:eastAsia="宋体"/>
          <w:szCs w:val="21"/>
          <w:highlight w:val="none"/>
        </w:rPr>
        <w:t>方案。</w:t>
      </w:r>
    </w:p>
    <w:p w14:paraId="41E2F62F">
      <w:pPr>
        <w:spacing w:line="360" w:lineRule="auto"/>
        <w:ind w:left="529"/>
        <w:jc w:val="left"/>
        <w:rPr>
          <w:rFonts w:ascii="Times New Roman" w:hAnsi="Times New Roman" w:eastAsia="宋体"/>
          <w:szCs w:val="21"/>
          <w:highlight w:val="none"/>
        </w:rPr>
      </w:pPr>
      <w:r>
        <w:rPr>
          <w:rFonts w:hint="eastAsia" w:ascii="Times New Roman" w:hAnsi="Times New Roman" w:eastAsia="宋体"/>
          <w:szCs w:val="21"/>
          <w:highlight w:val="none"/>
        </w:rPr>
        <w:t>（10）拟投入人员一览表</w:t>
      </w:r>
    </w:p>
    <w:p w14:paraId="6CC0EF06">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w:t>
      </w:r>
      <w:r>
        <w:rPr>
          <w:rFonts w:hint="eastAsia" w:ascii="Times New Roman" w:hAnsi="Times New Roman" w:eastAsia="宋体"/>
          <w:szCs w:val="21"/>
          <w:highlight w:val="none"/>
        </w:rPr>
        <w:t>11）业绩一览表</w:t>
      </w:r>
      <w:r>
        <w:rPr>
          <w:rFonts w:ascii="Times New Roman" w:hAnsi="Times New Roman" w:eastAsia="宋体"/>
          <w:szCs w:val="21"/>
          <w:highlight w:val="none"/>
        </w:rPr>
        <w:t>。</w:t>
      </w:r>
    </w:p>
    <w:p w14:paraId="3F3B9ACA">
      <w:pPr>
        <w:spacing w:before="120" w:line="360" w:lineRule="auto"/>
        <w:ind w:left="214" w:firstLine="420"/>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18.4投标文件</w:t>
      </w:r>
      <w:r>
        <w:rPr>
          <w:rFonts w:hint="eastAsia" w:ascii="Times New Roman" w:hAnsi="Times New Roman" w:eastAsia="宋体" w:cs="Microsoft New Tai Lue"/>
          <w:b/>
          <w:szCs w:val="21"/>
          <w:highlight w:val="none"/>
        </w:rPr>
        <w:t>的其他</w:t>
      </w:r>
      <w:r>
        <w:rPr>
          <w:rFonts w:ascii="Times New Roman" w:hAnsi="Times New Roman" w:eastAsia="宋体" w:cs="Microsoft New Tai Lue"/>
          <w:b/>
          <w:szCs w:val="21"/>
          <w:highlight w:val="none"/>
        </w:rPr>
        <w:t>部分</w:t>
      </w:r>
    </w:p>
    <w:p w14:paraId="46A2E14D">
      <w:pPr>
        <w:spacing w:before="120" w:line="360" w:lineRule="auto"/>
        <w:ind w:left="214" w:firstLine="420"/>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18.4.1投标文件的其他部分由投标人根据编制投标文件需要提供的其他相关文件组成。</w:t>
      </w:r>
    </w:p>
    <w:p w14:paraId="0F452247">
      <w:pPr>
        <w:pStyle w:val="4"/>
        <w:spacing w:line="360" w:lineRule="auto"/>
        <w:ind w:left="211" w:right="210" w:hanging="211"/>
        <w:rPr>
          <w:rFonts w:ascii="Times New Roman" w:hAnsi="Times New Roman" w:eastAsia="宋体" w:cs="Segoe UI Symbol"/>
          <w:szCs w:val="21"/>
          <w:highlight w:val="none"/>
        </w:rPr>
      </w:pPr>
      <w:bookmarkStart w:id="142" w:name="_Toc1836424109"/>
      <w:bookmarkStart w:id="143" w:name="_Toc107246235"/>
      <w:bookmarkStart w:id="144" w:name="_Toc104560858"/>
      <w:r>
        <w:rPr>
          <w:rFonts w:hint="eastAsia" w:ascii="Times New Roman" w:hAnsi="Times New Roman" w:eastAsia="宋体" w:cs="Microsoft New Tai Lue"/>
          <w:highlight w:val="none"/>
        </w:rPr>
        <w:t>1</w:t>
      </w:r>
      <w:r>
        <w:rPr>
          <w:rFonts w:ascii="Times New Roman" w:hAnsi="Times New Roman" w:eastAsia="宋体" w:cs="Microsoft New Tai Lue"/>
          <w:highlight w:val="none"/>
        </w:rPr>
        <w:t>9</w:t>
      </w:r>
      <w:r>
        <w:rPr>
          <w:rFonts w:hint="eastAsia" w:ascii="Times New Roman" w:hAnsi="Times New Roman" w:eastAsia="宋体" w:cs="Microsoft New Tai Lue"/>
          <w:highlight w:val="none"/>
        </w:rPr>
        <w:t>.投标文件编制的原则</w:t>
      </w:r>
      <w:bookmarkEnd w:id="142"/>
      <w:bookmarkEnd w:id="143"/>
      <w:bookmarkEnd w:id="144"/>
    </w:p>
    <w:p w14:paraId="2DC73058">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19.1</w:t>
      </w:r>
      <w:r>
        <w:rPr>
          <w:rFonts w:hint="eastAsia" w:ascii="Times New Roman" w:hAnsi="Times New Roman" w:eastAsia="宋体"/>
          <w:szCs w:val="21"/>
          <w:highlight w:val="none"/>
        </w:rPr>
        <w:t>投标人</w:t>
      </w:r>
      <w:r>
        <w:rPr>
          <w:rFonts w:ascii="Times New Roman" w:hAnsi="Times New Roman" w:eastAsia="宋体"/>
          <w:szCs w:val="21"/>
          <w:highlight w:val="none"/>
        </w:rPr>
        <w:t>应在认真阅读</w:t>
      </w:r>
      <w:r>
        <w:rPr>
          <w:rFonts w:hint="eastAsia" w:ascii="Times New Roman" w:hAnsi="Times New Roman" w:eastAsia="宋体"/>
          <w:szCs w:val="21"/>
          <w:highlight w:val="none"/>
        </w:rPr>
        <w:t>招标</w:t>
      </w:r>
      <w:r>
        <w:rPr>
          <w:rFonts w:ascii="Times New Roman" w:hAnsi="Times New Roman" w:eastAsia="宋体"/>
          <w:szCs w:val="21"/>
          <w:highlight w:val="none"/>
        </w:rPr>
        <w:t>文件所有内容的基础上，按照</w:t>
      </w:r>
      <w:r>
        <w:rPr>
          <w:rFonts w:hint="eastAsia" w:ascii="Times New Roman" w:hAnsi="Times New Roman" w:eastAsia="宋体"/>
          <w:szCs w:val="21"/>
          <w:highlight w:val="none"/>
        </w:rPr>
        <w:t>招标</w:t>
      </w:r>
      <w:r>
        <w:rPr>
          <w:rFonts w:ascii="Times New Roman" w:hAnsi="Times New Roman" w:eastAsia="宋体"/>
          <w:szCs w:val="21"/>
          <w:highlight w:val="none"/>
        </w:rPr>
        <w:t>文件的要求编制完整的</w:t>
      </w:r>
      <w:r>
        <w:rPr>
          <w:rFonts w:hint="eastAsia" w:ascii="Times New Roman" w:hAnsi="Times New Roman" w:eastAsia="宋体"/>
          <w:szCs w:val="21"/>
          <w:highlight w:val="none"/>
        </w:rPr>
        <w:t>投标</w:t>
      </w:r>
      <w:r>
        <w:rPr>
          <w:rFonts w:ascii="Times New Roman" w:hAnsi="Times New Roman" w:eastAsia="宋体"/>
          <w:szCs w:val="21"/>
          <w:highlight w:val="none"/>
        </w:rPr>
        <w:t>文件。</w:t>
      </w:r>
      <w:r>
        <w:rPr>
          <w:rFonts w:hint="eastAsia" w:ascii="Times New Roman" w:hAnsi="Times New Roman" w:eastAsia="宋体"/>
          <w:szCs w:val="21"/>
          <w:highlight w:val="none"/>
        </w:rPr>
        <w:t>招标</w:t>
      </w:r>
      <w:r>
        <w:rPr>
          <w:rFonts w:ascii="Times New Roman" w:hAnsi="Times New Roman" w:eastAsia="宋体"/>
          <w:szCs w:val="21"/>
          <w:highlight w:val="none"/>
        </w:rPr>
        <w:t>文件中对</w:t>
      </w:r>
      <w:r>
        <w:rPr>
          <w:rFonts w:hint="eastAsia" w:ascii="Times New Roman" w:hAnsi="Times New Roman" w:eastAsia="宋体"/>
          <w:szCs w:val="21"/>
          <w:highlight w:val="none"/>
        </w:rPr>
        <w:t>投标</w:t>
      </w:r>
      <w:r>
        <w:rPr>
          <w:rFonts w:ascii="Times New Roman" w:hAnsi="Times New Roman" w:eastAsia="宋体"/>
          <w:szCs w:val="21"/>
          <w:highlight w:val="none"/>
        </w:rPr>
        <w:t>文件格式有要求的，</w:t>
      </w:r>
      <w:r>
        <w:rPr>
          <w:rFonts w:hint="eastAsia" w:ascii="Times New Roman" w:hAnsi="Times New Roman" w:eastAsia="宋体"/>
          <w:szCs w:val="21"/>
          <w:highlight w:val="none"/>
        </w:rPr>
        <w:t>投标人</w:t>
      </w:r>
      <w:r>
        <w:rPr>
          <w:rFonts w:ascii="Times New Roman" w:hAnsi="Times New Roman" w:eastAsia="宋体"/>
          <w:szCs w:val="21"/>
          <w:highlight w:val="none"/>
        </w:rPr>
        <w:t>应按格式逐项填写内容。</w:t>
      </w:r>
    </w:p>
    <w:p w14:paraId="58A6C88B">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19.2</w:t>
      </w:r>
      <w:r>
        <w:rPr>
          <w:rFonts w:hint="eastAsia" w:ascii="Times New Roman" w:hAnsi="Times New Roman" w:eastAsia="宋体"/>
          <w:szCs w:val="21"/>
          <w:highlight w:val="none"/>
        </w:rPr>
        <w:t>投标人</w:t>
      </w:r>
      <w:r>
        <w:rPr>
          <w:rFonts w:ascii="Times New Roman" w:hAnsi="Times New Roman" w:eastAsia="宋体"/>
          <w:szCs w:val="21"/>
          <w:highlight w:val="none"/>
        </w:rPr>
        <w:t>必须保证</w:t>
      </w:r>
      <w:r>
        <w:rPr>
          <w:rFonts w:hint="eastAsia" w:ascii="Times New Roman" w:hAnsi="Times New Roman" w:eastAsia="宋体"/>
          <w:szCs w:val="21"/>
          <w:highlight w:val="none"/>
        </w:rPr>
        <w:t>投标</w:t>
      </w:r>
      <w:r>
        <w:rPr>
          <w:rFonts w:ascii="Times New Roman" w:hAnsi="Times New Roman" w:eastAsia="宋体"/>
          <w:szCs w:val="21"/>
          <w:highlight w:val="none"/>
        </w:rPr>
        <w:t>文件所提供的全部资料真实可靠。</w:t>
      </w:r>
    </w:p>
    <w:p w14:paraId="35B6D69F">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19.3</w:t>
      </w:r>
      <w:r>
        <w:rPr>
          <w:rFonts w:hint="eastAsia" w:ascii="Times New Roman" w:hAnsi="Times New Roman" w:eastAsia="宋体"/>
          <w:szCs w:val="21"/>
          <w:highlight w:val="none"/>
        </w:rPr>
        <w:t>投标</w:t>
      </w:r>
      <w:r>
        <w:rPr>
          <w:rFonts w:ascii="Times New Roman" w:hAnsi="Times New Roman" w:eastAsia="宋体"/>
          <w:szCs w:val="21"/>
          <w:highlight w:val="none"/>
        </w:rPr>
        <w:t>文件须对</w:t>
      </w:r>
      <w:r>
        <w:rPr>
          <w:rFonts w:hint="eastAsia" w:ascii="Times New Roman" w:hAnsi="Times New Roman" w:eastAsia="宋体"/>
          <w:szCs w:val="21"/>
          <w:highlight w:val="none"/>
        </w:rPr>
        <w:t>招标</w:t>
      </w:r>
      <w:r>
        <w:rPr>
          <w:rFonts w:ascii="Times New Roman" w:hAnsi="Times New Roman" w:eastAsia="宋体"/>
          <w:szCs w:val="21"/>
          <w:highlight w:val="none"/>
        </w:rPr>
        <w:t>文件中的内容做出实质性和完整的响应。</w:t>
      </w:r>
    </w:p>
    <w:p w14:paraId="38F101B1">
      <w:pPr>
        <w:pStyle w:val="4"/>
        <w:spacing w:line="360" w:lineRule="auto"/>
        <w:ind w:left="211" w:right="210" w:hanging="211"/>
        <w:rPr>
          <w:rFonts w:ascii="Times New Roman" w:hAnsi="Times New Roman" w:eastAsia="宋体" w:cs="Segoe UI Symbol"/>
          <w:szCs w:val="21"/>
          <w:highlight w:val="none"/>
        </w:rPr>
      </w:pPr>
      <w:bookmarkStart w:id="145" w:name="_Toc1145025279"/>
      <w:bookmarkStart w:id="146" w:name="_Toc107246236"/>
      <w:r>
        <w:rPr>
          <w:rFonts w:ascii="Times New Roman" w:hAnsi="Times New Roman" w:eastAsia="宋体" w:cs="Microsoft New Tai Lue"/>
          <w:highlight w:val="none"/>
        </w:rPr>
        <w:t>20</w:t>
      </w:r>
      <w:r>
        <w:rPr>
          <w:rFonts w:hint="eastAsia" w:ascii="Times New Roman" w:hAnsi="Times New Roman" w:eastAsia="宋体" w:cs="Microsoft New Tai Lue"/>
          <w:highlight w:val="none"/>
        </w:rPr>
        <w:t>.投标报价</w:t>
      </w:r>
      <w:bookmarkEnd w:id="145"/>
      <w:bookmarkEnd w:id="146"/>
    </w:p>
    <w:p w14:paraId="06BA1A15">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20.1</w:t>
      </w:r>
      <w:r>
        <w:rPr>
          <w:rFonts w:hint="eastAsia" w:ascii="Times New Roman" w:hAnsi="Times New Roman" w:eastAsia="宋体"/>
          <w:szCs w:val="21"/>
          <w:highlight w:val="none"/>
        </w:rPr>
        <w:t>所有投标均以人民币报价，</w:t>
      </w:r>
      <w:r>
        <w:rPr>
          <w:rFonts w:ascii="Times New Roman" w:hAnsi="Times New Roman" w:eastAsia="宋体"/>
          <w:szCs w:val="21"/>
          <w:highlight w:val="none"/>
        </w:rPr>
        <w:t>应包括国家规定的增值税税金。</w:t>
      </w:r>
    </w:p>
    <w:p w14:paraId="614D771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b/>
          <w:bCs/>
          <w:szCs w:val="21"/>
          <w:highlight w:val="none"/>
        </w:rPr>
        <w:t>20.2</w:t>
      </w:r>
      <w:r>
        <w:rPr>
          <w:rFonts w:ascii="Times New Roman" w:hAnsi="Times New Roman" w:eastAsia="宋体" w:cs="Microsoft New Tai Lue"/>
          <w:b/>
          <w:szCs w:val="21"/>
          <w:highlight w:val="none"/>
        </w:rPr>
        <w:t>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w:t>
      </w:r>
    </w:p>
    <w:p w14:paraId="3F4C9C8F">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20.3</w:t>
      </w:r>
      <w:r>
        <w:rPr>
          <w:rFonts w:hint="eastAsia" w:ascii="Times New Roman" w:hAnsi="Times New Roman" w:eastAsia="宋体"/>
          <w:szCs w:val="21"/>
          <w:highlight w:val="none"/>
        </w:rPr>
        <w:t>投标人</w:t>
      </w:r>
      <w:r>
        <w:rPr>
          <w:rFonts w:ascii="Times New Roman" w:hAnsi="Times New Roman" w:eastAsia="宋体"/>
          <w:szCs w:val="21"/>
          <w:highlight w:val="none"/>
        </w:rPr>
        <w:t>应按照本项目要求的内容，报出总价与分项明细报价。</w:t>
      </w:r>
      <w:r>
        <w:rPr>
          <w:rFonts w:hint="eastAsia" w:ascii="Times New Roman" w:hAnsi="Times New Roman" w:eastAsia="宋体"/>
          <w:szCs w:val="21"/>
          <w:highlight w:val="none"/>
        </w:rPr>
        <w:t>投标</w:t>
      </w:r>
      <w:r>
        <w:rPr>
          <w:rFonts w:ascii="Times New Roman" w:hAnsi="Times New Roman" w:eastAsia="宋体"/>
          <w:szCs w:val="21"/>
          <w:highlight w:val="none"/>
        </w:rPr>
        <w:t>报价应包括为完成本项目所发生的一切费用和税费，包括代垫费用（差旅费、住宿费、</w:t>
      </w:r>
      <w:r>
        <w:rPr>
          <w:rFonts w:hint="eastAsia" w:ascii="Times New Roman" w:hAnsi="Times New Roman" w:eastAsia="宋体"/>
          <w:szCs w:val="21"/>
          <w:highlight w:val="none"/>
        </w:rPr>
        <w:t>会务费、出版费、审查费、</w:t>
      </w:r>
      <w:r>
        <w:rPr>
          <w:rFonts w:ascii="Times New Roman" w:hAnsi="Times New Roman" w:eastAsia="宋体"/>
          <w:szCs w:val="21"/>
          <w:highlight w:val="none"/>
        </w:rPr>
        <w:t>通讯费</w:t>
      </w:r>
      <w:r>
        <w:rPr>
          <w:rFonts w:hint="eastAsia" w:ascii="Times New Roman" w:hAnsi="Times New Roman" w:eastAsia="宋体"/>
          <w:szCs w:val="21"/>
          <w:highlight w:val="none"/>
          <w:lang w:eastAsia="zh-CN"/>
        </w:rPr>
        <w:t>、</w:t>
      </w:r>
      <w:r>
        <w:rPr>
          <w:rFonts w:hint="eastAsia" w:ascii="Times New Roman" w:hAnsi="Times New Roman" w:eastAsia="宋体"/>
          <w:szCs w:val="21"/>
          <w:highlight w:val="none"/>
          <w:lang w:val="en-US" w:eastAsia="zh-CN"/>
        </w:rPr>
        <w:t>人员费</w:t>
      </w:r>
      <w:r>
        <w:rPr>
          <w:rFonts w:ascii="Times New Roman" w:hAnsi="Times New Roman" w:eastAsia="宋体"/>
          <w:szCs w:val="21"/>
          <w:highlight w:val="none"/>
        </w:rPr>
        <w:t>等）、增值税及其他附加税等杂项支出在内的一切费用和税费，</w:t>
      </w:r>
      <w:r>
        <w:rPr>
          <w:rFonts w:hint="eastAsia" w:ascii="Times New Roman" w:hAnsi="Times New Roman" w:eastAsia="宋体"/>
          <w:szCs w:val="21"/>
          <w:highlight w:val="none"/>
        </w:rPr>
        <w:t>除招标</w:t>
      </w:r>
      <w:r>
        <w:rPr>
          <w:rFonts w:ascii="Times New Roman" w:hAnsi="Times New Roman" w:eastAsia="宋体"/>
          <w:szCs w:val="21"/>
          <w:highlight w:val="none"/>
        </w:rPr>
        <w:t>文件规定外，采购人将不再支付报价以外的任何费用。</w:t>
      </w:r>
      <w:r>
        <w:rPr>
          <w:rFonts w:hint="eastAsia" w:ascii="Times New Roman" w:hAnsi="Times New Roman" w:eastAsia="宋体"/>
          <w:szCs w:val="21"/>
          <w:highlight w:val="none"/>
        </w:rPr>
        <w:t>如发生漏缺、少项，都被视为投标人的让利行为。投标人</w:t>
      </w:r>
      <w:r>
        <w:rPr>
          <w:rFonts w:ascii="Times New Roman" w:hAnsi="Times New Roman" w:eastAsia="宋体"/>
          <w:szCs w:val="21"/>
          <w:highlight w:val="none"/>
        </w:rPr>
        <w:t>估算错误的风险一律由</w:t>
      </w:r>
      <w:r>
        <w:rPr>
          <w:rFonts w:hint="eastAsia" w:ascii="Times New Roman" w:hAnsi="Times New Roman" w:eastAsia="宋体"/>
          <w:szCs w:val="21"/>
          <w:highlight w:val="none"/>
        </w:rPr>
        <w:t>投标人</w:t>
      </w:r>
      <w:r>
        <w:rPr>
          <w:rFonts w:ascii="Times New Roman" w:hAnsi="Times New Roman" w:eastAsia="宋体"/>
          <w:szCs w:val="21"/>
          <w:highlight w:val="none"/>
        </w:rPr>
        <w:t>自行承担</w:t>
      </w:r>
      <w:r>
        <w:rPr>
          <w:rFonts w:hint="eastAsia" w:ascii="Times New Roman" w:hAnsi="Times New Roman" w:eastAsia="宋体"/>
          <w:szCs w:val="21"/>
          <w:highlight w:val="none"/>
        </w:rPr>
        <w:t>。</w:t>
      </w:r>
    </w:p>
    <w:p w14:paraId="7B4C6AF1">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20.4</w:t>
      </w:r>
      <w:r>
        <w:rPr>
          <w:rFonts w:hint="eastAsia" w:ascii="Times New Roman" w:hAnsi="Times New Roman" w:eastAsia="宋体"/>
          <w:szCs w:val="21"/>
          <w:highlight w:val="none"/>
        </w:rPr>
        <w:t>投标人</w:t>
      </w:r>
      <w:r>
        <w:rPr>
          <w:rFonts w:ascii="Times New Roman" w:hAnsi="Times New Roman" w:eastAsia="宋体"/>
          <w:szCs w:val="21"/>
          <w:highlight w:val="none"/>
        </w:rPr>
        <w:t>要按</w:t>
      </w:r>
      <w:r>
        <w:rPr>
          <w:rFonts w:hint="eastAsia" w:ascii="Times New Roman" w:hAnsi="Times New Roman" w:eastAsia="宋体"/>
          <w:szCs w:val="21"/>
          <w:highlight w:val="none"/>
        </w:rPr>
        <w:t>开标</w:t>
      </w:r>
      <w:r>
        <w:rPr>
          <w:rFonts w:ascii="Times New Roman" w:hAnsi="Times New Roman" w:eastAsia="宋体"/>
          <w:szCs w:val="21"/>
          <w:highlight w:val="none"/>
        </w:rPr>
        <w:t>一览表、分项报价表的内容填写</w:t>
      </w:r>
      <w:r>
        <w:rPr>
          <w:rFonts w:hint="eastAsia" w:ascii="Times New Roman" w:hAnsi="Times New Roman" w:eastAsia="宋体"/>
          <w:szCs w:val="21"/>
          <w:highlight w:val="none"/>
        </w:rPr>
        <w:t>投标</w:t>
      </w:r>
      <w:r>
        <w:rPr>
          <w:rFonts w:ascii="Times New Roman" w:hAnsi="Times New Roman" w:eastAsia="宋体"/>
          <w:szCs w:val="21"/>
          <w:highlight w:val="none"/>
        </w:rPr>
        <w:t>报价及其它事项，并由法定代表人（单位负责人）或授权代表签署。分项报价表的总价应和</w:t>
      </w:r>
      <w:r>
        <w:rPr>
          <w:rFonts w:hint="eastAsia" w:ascii="Times New Roman" w:hAnsi="Times New Roman" w:eastAsia="宋体"/>
          <w:szCs w:val="21"/>
          <w:highlight w:val="none"/>
        </w:rPr>
        <w:t>开标</w:t>
      </w:r>
      <w:r>
        <w:rPr>
          <w:rFonts w:ascii="Times New Roman" w:hAnsi="Times New Roman" w:eastAsia="宋体"/>
          <w:szCs w:val="21"/>
          <w:highlight w:val="none"/>
        </w:rPr>
        <w:t>一览表的</w:t>
      </w:r>
      <w:r>
        <w:rPr>
          <w:rFonts w:hint="eastAsia" w:ascii="Times New Roman" w:hAnsi="Times New Roman" w:eastAsia="宋体"/>
          <w:szCs w:val="21"/>
          <w:highlight w:val="none"/>
        </w:rPr>
        <w:t>投标</w:t>
      </w:r>
      <w:r>
        <w:rPr>
          <w:rFonts w:ascii="Times New Roman" w:hAnsi="Times New Roman" w:eastAsia="宋体"/>
          <w:szCs w:val="21"/>
          <w:highlight w:val="none"/>
        </w:rPr>
        <w:t>总价相一致，包括</w:t>
      </w:r>
      <w:r>
        <w:rPr>
          <w:rFonts w:hint="eastAsia" w:ascii="Times New Roman" w:hAnsi="Times New Roman" w:eastAsia="宋体"/>
          <w:szCs w:val="21"/>
          <w:highlight w:val="none"/>
        </w:rPr>
        <w:t>投标人</w:t>
      </w:r>
      <w:r>
        <w:rPr>
          <w:rFonts w:ascii="Times New Roman" w:hAnsi="Times New Roman" w:eastAsia="宋体"/>
          <w:szCs w:val="21"/>
          <w:highlight w:val="none"/>
        </w:rPr>
        <w:t>为完成本项目所发生的一切费用相关的所有税费。如分项报价表的总价和</w:t>
      </w:r>
      <w:r>
        <w:rPr>
          <w:rFonts w:hint="eastAsia" w:ascii="Times New Roman" w:hAnsi="Times New Roman" w:eastAsia="宋体"/>
          <w:szCs w:val="21"/>
          <w:highlight w:val="none"/>
        </w:rPr>
        <w:t>开标</w:t>
      </w:r>
      <w:r>
        <w:rPr>
          <w:rFonts w:ascii="Times New Roman" w:hAnsi="Times New Roman" w:eastAsia="宋体"/>
          <w:szCs w:val="21"/>
          <w:highlight w:val="none"/>
        </w:rPr>
        <w:t>一览表的</w:t>
      </w:r>
      <w:r>
        <w:rPr>
          <w:rFonts w:hint="eastAsia" w:ascii="Times New Roman" w:hAnsi="Times New Roman" w:eastAsia="宋体"/>
          <w:szCs w:val="21"/>
          <w:highlight w:val="none"/>
        </w:rPr>
        <w:t>投标</w:t>
      </w:r>
      <w:r>
        <w:rPr>
          <w:rFonts w:ascii="Times New Roman" w:hAnsi="Times New Roman" w:eastAsia="宋体"/>
          <w:szCs w:val="21"/>
          <w:highlight w:val="none"/>
        </w:rPr>
        <w:t>总价不一致的，按照本须知规定的内容执行。</w:t>
      </w:r>
    </w:p>
    <w:p w14:paraId="472580C7">
      <w:pPr>
        <w:spacing w:before="120" w:line="360" w:lineRule="auto"/>
        <w:ind w:left="214" w:firstLine="420"/>
        <w:rPr>
          <w:rFonts w:ascii="Times New Roman" w:hAnsi="Times New Roman" w:eastAsia="宋体"/>
          <w:szCs w:val="21"/>
          <w:highlight w:val="none"/>
        </w:rPr>
      </w:pPr>
      <w:r>
        <w:rPr>
          <w:rFonts w:ascii="Times New Roman" w:hAnsi="Times New Roman" w:eastAsia="宋体" w:cs="Microsoft New Tai Lue"/>
          <w:bCs/>
          <w:szCs w:val="21"/>
          <w:highlight w:val="none"/>
        </w:rPr>
        <w:t>20.5</w:t>
      </w:r>
      <w:r>
        <w:rPr>
          <w:rFonts w:hint="eastAsia" w:ascii="Times New Roman" w:hAnsi="Times New Roman" w:eastAsia="宋体"/>
          <w:szCs w:val="21"/>
          <w:highlight w:val="none"/>
        </w:rPr>
        <w:t>投标</w:t>
      </w:r>
      <w:r>
        <w:rPr>
          <w:rFonts w:ascii="Times New Roman" w:hAnsi="Times New Roman" w:eastAsia="宋体"/>
          <w:szCs w:val="21"/>
          <w:highlight w:val="none"/>
        </w:rPr>
        <w:t>报价的其他要求见</w:t>
      </w:r>
      <w:r>
        <w:rPr>
          <w:rFonts w:hint="eastAsia" w:ascii="Times New Roman" w:hAnsi="Times New Roman" w:eastAsia="宋体"/>
          <w:b/>
          <w:szCs w:val="21"/>
          <w:highlight w:val="none"/>
        </w:rPr>
        <w:t>投标人</w:t>
      </w:r>
      <w:r>
        <w:rPr>
          <w:rFonts w:ascii="Times New Roman" w:hAnsi="Times New Roman" w:eastAsia="宋体"/>
          <w:b/>
          <w:szCs w:val="21"/>
          <w:highlight w:val="none"/>
        </w:rPr>
        <w:t>须知前附表</w:t>
      </w:r>
      <w:r>
        <w:rPr>
          <w:rFonts w:ascii="Times New Roman" w:hAnsi="Times New Roman" w:eastAsia="宋体"/>
          <w:szCs w:val="21"/>
          <w:highlight w:val="none"/>
        </w:rPr>
        <w:t>。</w:t>
      </w:r>
      <w:bookmarkEnd w:id="140"/>
      <w:bookmarkEnd w:id="141"/>
    </w:p>
    <w:p w14:paraId="20C2ABF0">
      <w:pPr>
        <w:pStyle w:val="4"/>
        <w:spacing w:line="360" w:lineRule="auto"/>
        <w:ind w:left="211" w:right="210" w:hanging="211"/>
        <w:rPr>
          <w:rFonts w:ascii="Times New Roman" w:hAnsi="Times New Roman" w:eastAsia="宋体" w:cs="Microsoft New Tai Lue"/>
          <w:highlight w:val="none"/>
        </w:rPr>
      </w:pPr>
      <w:bookmarkStart w:id="147" w:name="_Toc100905224"/>
      <w:bookmarkStart w:id="148" w:name="_Toc103848545"/>
      <w:bookmarkStart w:id="149" w:name="_Toc107246237"/>
      <w:bookmarkStart w:id="150" w:name="_Toc838903386"/>
      <w:bookmarkStart w:id="151" w:name="_Toc104560859"/>
      <w:bookmarkStart w:id="152" w:name="_Toc103848544"/>
      <w:bookmarkStart w:id="153" w:name="_Toc100905223"/>
      <w:bookmarkStart w:id="154" w:name="_Toc96347878"/>
      <w:r>
        <w:rPr>
          <w:rFonts w:ascii="Times New Roman" w:hAnsi="Times New Roman" w:eastAsia="宋体" w:cs="Microsoft New Tai Lue"/>
          <w:highlight w:val="none"/>
        </w:rPr>
        <w:t>21.投标有效期</w:t>
      </w:r>
      <w:bookmarkEnd w:id="147"/>
      <w:bookmarkEnd w:id="148"/>
      <w:bookmarkEnd w:id="149"/>
      <w:bookmarkEnd w:id="150"/>
      <w:bookmarkEnd w:id="151"/>
    </w:p>
    <w:p w14:paraId="2ED8BDA6">
      <w:pPr>
        <w:spacing w:before="120" w:line="360" w:lineRule="auto"/>
        <w:ind w:left="214" w:firstLine="420"/>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bCs/>
          <w:szCs w:val="21"/>
          <w:highlight w:val="none"/>
        </w:rPr>
        <w:t>21.1投标有效期见</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规定的投标截止之日起计算。</w:t>
      </w:r>
      <w:r>
        <w:rPr>
          <w:rFonts w:ascii="Times New Roman" w:hAnsi="Times New Roman" w:eastAsia="宋体" w:cs="Microsoft New Tai Lue"/>
          <w:b/>
          <w:bCs/>
          <w:szCs w:val="21"/>
          <w:highlight w:val="none"/>
        </w:rPr>
        <w:t>投标有效期不足的，在评标时将其视为无效投标。</w:t>
      </w:r>
    </w:p>
    <w:p w14:paraId="74982765">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7787A8E8">
      <w:pPr>
        <w:pStyle w:val="4"/>
        <w:spacing w:line="360" w:lineRule="auto"/>
        <w:ind w:left="211" w:right="210" w:hanging="211"/>
        <w:rPr>
          <w:rFonts w:ascii="Times New Roman" w:hAnsi="Times New Roman" w:eastAsia="宋体" w:cs="Microsoft New Tai Lue"/>
          <w:highlight w:val="none"/>
        </w:rPr>
      </w:pPr>
      <w:bookmarkStart w:id="155" w:name="_Toc104560860"/>
      <w:bookmarkStart w:id="156" w:name="_Toc107246238"/>
      <w:bookmarkStart w:id="157" w:name="_Toc1219065947"/>
      <w:r>
        <w:rPr>
          <w:rFonts w:ascii="Times New Roman" w:hAnsi="Times New Roman" w:eastAsia="宋体" w:cs="Microsoft New Tai Lue"/>
          <w:highlight w:val="none"/>
        </w:rPr>
        <w:t>22.投标保证金</w:t>
      </w:r>
      <w:bookmarkEnd w:id="152"/>
      <w:bookmarkEnd w:id="153"/>
      <w:bookmarkEnd w:id="154"/>
      <w:bookmarkEnd w:id="155"/>
      <w:bookmarkEnd w:id="156"/>
      <w:bookmarkEnd w:id="157"/>
    </w:p>
    <w:p w14:paraId="0B4DBA03">
      <w:pPr>
        <w:spacing w:before="120" w:line="360" w:lineRule="auto"/>
        <w:ind w:left="214" w:firstLine="420"/>
        <w:rPr>
          <w:rFonts w:ascii="Times New Roman" w:hAnsi="Times New Roman" w:eastAsia="宋体" w:cs="Microsoft New Tai Lue"/>
          <w:bCs/>
          <w:szCs w:val="21"/>
          <w:highlight w:val="none"/>
        </w:rPr>
      </w:pPr>
      <w:bookmarkStart w:id="158" w:name="_Toc420487862"/>
      <w:bookmarkStart w:id="159" w:name="_Toc68159552"/>
      <w:bookmarkStart w:id="160" w:name="_Toc96347879"/>
      <w:bookmarkStart w:id="161" w:name="_Toc519241651"/>
      <w:bookmarkStart w:id="162" w:name="_Toc420657357"/>
      <w:bookmarkStart w:id="163" w:name="_Toc466452044"/>
      <w:r>
        <w:rPr>
          <w:rFonts w:ascii="Times New Roman" w:hAnsi="Times New Roman" w:eastAsia="宋体" w:cs="Microsoft New Tai Lue"/>
          <w:bCs/>
          <w:szCs w:val="21"/>
          <w:highlight w:val="none"/>
        </w:rPr>
        <w:t>22.1本项目是否交纳投标保证金见</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w:t>
      </w:r>
    </w:p>
    <w:p w14:paraId="03BB3546">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bCs/>
          <w:szCs w:val="21"/>
          <w:highlight w:val="none"/>
        </w:rPr>
        <w:t>22.2</w:t>
      </w:r>
      <w:r>
        <w:rPr>
          <w:rFonts w:hint="eastAsia" w:ascii="Times New Roman" w:hAnsi="Times New Roman" w:eastAsia="宋体" w:cs="Microsoft New Tai Lue"/>
          <w:bCs/>
          <w:szCs w:val="21"/>
          <w:highlight w:val="none"/>
        </w:rPr>
        <w:t>投标人按照</w:t>
      </w:r>
      <w:r>
        <w:rPr>
          <w:rFonts w:ascii="Times New Roman" w:hAnsi="Times New Roman" w:eastAsia="宋体" w:cs="Microsoft New Tai Lue"/>
          <w:b/>
          <w:bCs/>
          <w:szCs w:val="21"/>
          <w:highlight w:val="none"/>
        </w:rPr>
        <w:t>投标人须知前附表</w:t>
      </w:r>
      <w:r>
        <w:rPr>
          <w:rFonts w:hint="eastAsia" w:ascii="Times New Roman" w:hAnsi="Times New Roman" w:eastAsia="宋体" w:cs="Microsoft New Tai Lue"/>
          <w:bCs/>
          <w:szCs w:val="21"/>
          <w:highlight w:val="none"/>
        </w:rPr>
        <w:t>要求的</w:t>
      </w:r>
      <w:r>
        <w:rPr>
          <w:rFonts w:ascii="Times New Roman" w:hAnsi="Times New Roman" w:eastAsia="宋体" w:cs="Microsoft New Tai Lue"/>
          <w:bCs/>
          <w:szCs w:val="21"/>
          <w:highlight w:val="none"/>
        </w:rPr>
        <w:t>形式，在</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规定的投标截止时间前，向采购方提交</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规定的投标保证金(数额采用四舍五入，计算至元)。投标保证金有效期应与</w:t>
      </w:r>
      <w:r>
        <w:rPr>
          <w:rFonts w:ascii="Times New Roman" w:hAnsi="Times New Roman" w:eastAsia="宋体" w:cs="Microsoft New Tai Lue"/>
          <w:b/>
          <w:bCs/>
          <w:szCs w:val="21"/>
          <w:highlight w:val="none"/>
        </w:rPr>
        <w:t>投标人须知前附表</w:t>
      </w:r>
      <w:r>
        <w:rPr>
          <w:rFonts w:ascii="Times New Roman" w:hAnsi="Times New Roman" w:eastAsia="宋体" w:cs="Microsoft New Tai Lue"/>
          <w:bCs/>
          <w:szCs w:val="21"/>
          <w:highlight w:val="none"/>
        </w:rPr>
        <w:t>规定的投标有效期一致。</w:t>
      </w:r>
      <w:r>
        <w:rPr>
          <w:rFonts w:hint="eastAsia" w:ascii="Times New Roman" w:hAnsi="Times New Roman" w:eastAsia="宋体" w:cs="Segoe UI Symbol"/>
          <w:b/>
          <w:szCs w:val="21"/>
          <w:highlight w:val="none"/>
        </w:rPr>
        <w:t>投标人未按规定缴纳投标保证金的或</w:t>
      </w:r>
      <w:r>
        <w:rPr>
          <w:rFonts w:hint="eastAsia" w:ascii="Times New Roman" w:hAnsi="Times New Roman" w:eastAsia="宋体" w:cs="Microsoft New Tai Lue"/>
          <w:b/>
          <w:bCs/>
          <w:szCs w:val="21"/>
          <w:highlight w:val="none"/>
        </w:rPr>
        <w:t>由于到账时间晚于投标截止时间的，或者票据错误、印鉴不清等原因导致不能到账的，其投标无效。</w:t>
      </w:r>
    </w:p>
    <w:p w14:paraId="6CD89FDF">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22.3联合体投标的，可以由联合体中的一方或者共同提交投标保证金。以一方名义提交投标保证金的，对联合体各方均具有约束力。</w:t>
      </w:r>
    </w:p>
    <w:p w14:paraId="6E76A25E">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22.4未中标的投标人的投标保证金，将在中标通知书发出后5个工作日内退还，但因投标人自身原因导致无法及时退还的除外。</w:t>
      </w:r>
    </w:p>
    <w:p w14:paraId="2B835B36">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22.5中标的投标人的投标保证金，将在政府采购合同签订后5个工作日内退还中标人。</w:t>
      </w:r>
    </w:p>
    <w:p w14:paraId="74851C5E">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22.6投标人有以下情形之一的，投标保证金可以不予退还：</w:t>
      </w:r>
      <w:bookmarkEnd w:id="158"/>
      <w:bookmarkEnd w:id="159"/>
      <w:bookmarkEnd w:id="160"/>
      <w:bookmarkEnd w:id="161"/>
      <w:bookmarkEnd w:id="162"/>
      <w:bookmarkEnd w:id="163"/>
    </w:p>
    <w:p w14:paraId="1235B049">
      <w:pPr>
        <w:spacing w:line="360" w:lineRule="auto"/>
        <w:ind w:left="214" w:firstLine="315"/>
        <w:jc w:val="left"/>
        <w:rPr>
          <w:rFonts w:ascii="Times New Roman" w:hAnsi="Times New Roman" w:eastAsia="宋体"/>
          <w:szCs w:val="21"/>
          <w:highlight w:val="none"/>
        </w:rPr>
      </w:pPr>
      <w:bookmarkStart w:id="164" w:name="_Toc103848546"/>
      <w:bookmarkStart w:id="165" w:name="_Toc96347880"/>
      <w:bookmarkStart w:id="166" w:name="_Toc104560861"/>
      <w:bookmarkStart w:id="167" w:name="_Toc100905225"/>
      <w:r>
        <w:rPr>
          <w:rFonts w:ascii="Times New Roman" w:hAnsi="Times New Roman" w:eastAsia="宋体"/>
          <w:szCs w:val="21"/>
          <w:highlight w:val="none"/>
        </w:rPr>
        <w:t>（1）</w:t>
      </w:r>
      <w:r>
        <w:rPr>
          <w:rFonts w:hint="eastAsia" w:ascii="Times New Roman" w:hAnsi="Times New Roman" w:eastAsia="宋体"/>
          <w:szCs w:val="21"/>
          <w:highlight w:val="none"/>
        </w:rPr>
        <w:t>投标人</w:t>
      </w:r>
      <w:r>
        <w:rPr>
          <w:rFonts w:ascii="Times New Roman" w:hAnsi="Times New Roman" w:eastAsia="宋体"/>
          <w:szCs w:val="21"/>
          <w:highlight w:val="none"/>
        </w:rPr>
        <w:t>在</w:t>
      </w:r>
      <w:r>
        <w:rPr>
          <w:rFonts w:hint="eastAsia" w:ascii="Times New Roman" w:hAnsi="Times New Roman" w:eastAsia="宋体"/>
          <w:szCs w:val="21"/>
          <w:highlight w:val="none"/>
        </w:rPr>
        <w:t>招标</w:t>
      </w:r>
      <w:r>
        <w:rPr>
          <w:rFonts w:ascii="Times New Roman" w:hAnsi="Times New Roman" w:eastAsia="宋体"/>
          <w:szCs w:val="21"/>
          <w:highlight w:val="none"/>
        </w:rPr>
        <w:t>文件规定的</w:t>
      </w:r>
      <w:r>
        <w:rPr>
          <w:rFonts w:hint="eastAsia" w:ascii="Times New Roman" w:hAnsi="Times New Roman" w:eastAsia="宋体"/>
          <w:szCs w:val="21"/>
          <w:highlight w:val="none"/>
        </w:rPr>
        <w:t>投标</w:t>
      </w:r>
      <w:r>
        <w:rPr>
          <w:rFonts w:ascii="Times New Roman" w:hAnsi="Times New Roman" w:eastAsia="宋体"/>
          <w:szCs w:val="21"/>
          <w:highlight w:val="none"/>
        </w:rPr>
        <w:t>有效期内撤销其</w:t>
      </w:r>
      <w:r>
        <w:rPr>
          <w:rFonts w:hint="eastAsia" w:ascii="Times New Roman" w:hAnsi="Times New Roman" w:eastAsia="宋体"/>
          <w:szCs w:val="21"/>
          <w:highlight w:val="none"/>
        </w:rPr>
        <w:t>投标</w:t>
      </w:r>
      <w:r>
        <w:rPr>
          <w:rFonts w:ascii="Times New Roman" w:hAnsi="Times New Roman" w:eastAsia="宋体"/>
          <w:szCs w:val="21"/>
          <w:highlight w:val="none"/>
        </w:rPr>
        <w:t>文件；</w:t>
      </w:r>
    </w:p>
    <w:p w14:paraId="446DB43D">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（2）</w:t>
      </w:r>
      <w:r>
        <w:rPr>
          <w:rFonts w:hint="eastAsia" w:ascii="Times New Roman" w:hAnsi="Times New Roman" w:eastAsia="宋体"/>
          <w:szCs w:val="21"/>
          <w:highlight w:val="none"/>
        </w:rPr>
        <w:t>投标人在投标文件中提供</w:t>
      </w:r>
      <w:r>
        <w:rPr>
          <w:rFonts w:ascii="Times New Roman" w:hAnsi="Times New Roman" w:eastAsia="宋体"/>
          <w:szCs w:val="21"/>
          <w:highlight w:val="none"/>
        </w:rPr>
        <w:t>虚假材料</w:t>
      </w:r>
      <w:r>
        <w:rPr>
          <w:rFonts w:hint="eastAsia" w:ascii="Times New Roman" w:hAnsi="Times New Roman" w:eastAsia="宋体"/>
          <w:szCs w:val="21"/>
          <w:highlight w:val="none"/>
        </w:rPr>
        <w:t>的</w:t>
      </w:r>
      <w:r>
        <w:rPr>
          <w:rFonts w:ascii="Times New Roman" w:hAnsi="Times New Roman" w:eastAsia="宋体"/>
          <w:szCs w:val="21"/>
          <w:highlight w:val="none"/>
        </w:rPr>
        <w:t>；</w:t>
      </w:r>
    </w:p>
    <w:p w14:paraId="45A3AEAB">
      <w:pPr>
        <w:spacing w:line="360" w:lineRule="auto"/>
        <w:ind w:left="214" w:firstLine="315"/>
        <w:jc w:val="left"/>
        <w:rPr>
          <w:rFonts w:ascii="Times New Roman" w:hAnsi="Times New Roman" w:eastAsia="宋体"/>
          <w:szCs w:val="21"/>
          <w:highlight w:val="none"/>
        </w:rPr>
      </w:pPr>
      <w:r>
        <w:rPr>
          <w:rFonts w:hint="eastAsia" w:ascii="Times New Roman" w:hAnsi="Times New Roman" w:eastAsia="宋体"/>
          <w:szCs w:val="21"/>
          <w:highlight w:val="none"/>
        </w:rPr>
        <w:t>（3）投标人在本次采购活动中存在</w:t>
      </w:r>
      <w:r>
        <w:rPr>
          <w:rFonts w:ascii="Times New Roman" w:hAnsi="Times New Roman" w:eastAsia="宋体"/>
          <w:szCs w:val="21"/>
          <w:highlight w:val="none"/>
        </w:rPr>
        <w:t>恶意串通</w:t>
      </w:r>
      <w:r>
        <w:rPr>
          <w:rFonts w:hint="eastAsia" w:ascii="Times New Roman" w:hAnsi="Times New Roman" w:eastAsia="宋体"/>
          <w:szCs w:val="21"/>
          <w:highlight w:val="none"/>
        </w:rPr>
        <w:t>行为的</w:t>
      </w:r>
      <w:r>
        <w:rPr>
          <w:rFonts w:ascii="Times New Roman" w:hAnsi="Times New Roman" w:eastAsia="宋体"/>
          <w:szCs w:val="21"/>
          <w:highlight w:val="none"/>
        </w:rPr>
        <w:t>；</w:t>
      </w:r>
    </w:p>
    <w:p w14:paraId="54D31018">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（4）</w:t>
      </w:r>
      <w:r>
        <w:rPr>
          <w:rFonts w:hint="eastAsia" w:ascii="Times New Roman" w:hAnsi="Times New Roman" w:eastAsia="宋体"/>
          <w:szCs w:val="21"/>
          <w:highlight w:val="none"/>
        </w:rPr>
        <w:t>中标人</w:t>
      </w:r>
      <w:r>
        <w:rPr>
          <w:rFonts w:ascii="Times New Roman" w:hAnsi="Times New Roman" w:eastAsia="宋体"/>
          <w:szCs w:val="21"/>
          <w:highlight w:val="none"/>
        </w:rPr>
        <w:t>未能按规定交纳采购代理服务费；</w:t>
      </w:r>
    </w:p>
    <w:p w14:paraId="13E9A22B">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（5）</w:t>
      </w:r>
      <w:r>
        <w:rPr>
          <w:rFonts w:hint="eastAsia" w:ascii="Times New Roman" w:hAnsi="Times New Roman" w:eastAsia="宋体"/>
          <w:szCs w:val="21"/>
          <w:highlight w:val="none"/>
        </w:rPr>
        <w:t>中标人</w:t>
      </w:r>
      <w:r>
        <w:rPr>
          <w:rFonts w:ascii="Times New Roman" w:hAnsi="Times New Roman" w:eastAsia="宋体"/>
          <w:szCs w:val="21"/>
          <w:highlight w:val="none"/>
        </w:rPr>
        <w:t>在收到</w:t>
      </w:r>
      <w:r>
        <w:rPr>
          <w:rFonts w:hint="eastAsia" w:ascii="Times New Roman" w:hAnsi="Times New Roman" w:eastAsia="宋体"/>
          <w:szCs w:val="21"/>
          <w:highlight w:val="none"/>
        </w:rPr>
        <w:t>中标</w:t>
      </w:r>
      <w:r>
        <w:rPr>
          <w:rFonts w:ascii="Times New Roman" w:hAnsi="Times New Roman" w:eastAsia="宋体"/>
          <w:szCs w:val="21"/>
          <w:highlight w:val="none"/>
        </w:rPr>
        <w:t>通知书后，无正当理由不与采购人订立合同，在签订合同时向采购人提出附加条件，或者不按照</w:t>
      </w:r>
      <w:r>
        <w:rPr>
          <w:rFonts w:hint="eastAsia" w:ascii="Times New Roman" w:hAnsi="Times New Roman" w:eastAsia="宋体"/>
          <w:szCs w:val="21"/>
          <w:highlight w:val="none"/>
        </w:rPr>
        <w:t>招标</w:t>
      </w:r>
      <w:r>
        <w:rPr>
          <w:rFonts w:ascii="Times New Roman" w:hAnsi="Times New Roman" w:eastAsia="宋体"/>
          <w:szCs w:val="21"/>
          <w:highlight w:val="none"/>
        </w:rPr>
        <w:t>文件要求提交履约保证金（如有）；</w:t>
      </w:r>
    </w:p>
    <w:p w14:paraId="03B3E7CD">
      <w:pPr>
        <w:spacing w:line="360" w:lineRule="auto"/>
        <w:ind w:left="214" w:firstLine="315"/>
        <w:jc w:val="left"/>
        <w:rPr>
          <w:rFonts w:ascii="Times New Roman" w:hAnsi="Times New Roman" w:eastAsia="宋体"/>
          <w:szCs w:val="21"/>
          <w:highlight w:val="none"/>
        </w:rPr>
      </w:pPr>
      <w:r>
        <w:rPr>
          <w:rFonts w:ascii="Times New Roman" w:hAnsi="Times New Roman" w:eastAsia="宋体"/>
          <w:szCs w:val="21"/>
          <w:highlight w:val="none"/>
        </w:rPr>
        <w:t>（6）</w:t>
      </w:r>
      <w:r>
        <w:rPr>
          <w:rFonts w:hint="eastAsia" w:ascii="Times New Roman" w:hAnsi="Times New Roman" w:eastAsia="宋体"/>
          <w:szCs w:val="21"/>
          <w:highlight w:val="none"/>
        </w:rPr>
        <w:t>招标</w:t>
      </w:r>
      <w:r>
        <w:rPr>
          <w:rFonts w:ascii="Times New Roman" w:hAnsi="Times New Roman" w:eastAsia="宋体"/>
          <w:szCs w:val="21"/>
          <w:highlight w:val="none"/>
        </w:rPr>
        <w:t>文件规定的其他可以不予退还</w:t>
      </w:r>
      <w:r>
        <w:rPr>
          <w:rFonts w:hint="eastAsia" w:ascii="Times New Roman" w:hAnsi="Times New Roman" w:eastAsia="宋体"/>
          <w:szCs w:val="21"/>
          <w:highlight w:val="none"/>
        </w:rPr>
        <w:t>投标</w:t>
      </w:r>
      <w:r>
        <w:rPr>
          <w:rFonts w:ascii="Times New Roman" w:hAnsi="Times New Roman" w:eastAsia="宋体"/>
          <w:szCs w:val="21"/>
          <w:highlight w:val="none"/>
        </w:rPr>
        <w:t>保证金的情形。</w:t>
      </w:r>
    </w:p>
    <w:p w14:paraId="25FC5EDB">
      <w:pPr>
        <w:pStyle w:val="4"/>
        <w:spacing w:line="360" w:lineRule="auto"/>
        <w:ind w:left="211" w:right="210" w:hanging="211"/>
        <w:rPr>
          <w:rFonts w:ascii="Times New Roman" w:hAnsi="Times New Roman" w:eastAsia="宋体" w:cs="Microsoft New Tai Lue"/>
          <w:highlight w:val="none"/>
        </w:rPr>
      </w:pPr>
      <w:bookmarkStart w:id="168" w:name="_Toc107246239"/>
      <w:bookmarkStart w:id="169" w:name="_Toc1847378849"/>
      <w:r>
        <w:rPr>
          <w:rFonts w:ascii="Times New Roman" w:hAnsi="Times New Roman" w:eastAsia="宋体" w:cs="Microsoft New Tai Lue"/>
          <w:highlight w:val="none"/>
        </w:rPr>
        <w:t>23.投标文件的</w:t>
      </w:r>
      <w:r>
        <w:rPr>
          <w:rFonts w:hint="eastAsia" w:ascii="Times New Roman" w:hAnsi="Times New Roman" w:eastAsia="宋体" w:cs="Microsoft New Tai Lue"/>
          <w:highlight w:val="none"/>
        </w:rPr>
        <w:t>制作和</w:t>
      </w:r>
      <w:r>
        <w:rPr>
          <w:rFonts w:ascii="Times New Roman" w:hAnsi="Times New Roman" w:eastAsia="宋体" w:cs="Microsoft New Tai Lue"/>
          <w:highlight w:val="none"/>
        </w:rPr>
        <w:t>签署</w:t>
      </w:r>
      <w:bookmarkEnd w:id="164"/>
      <w:bookmarkEnd w:id="165"/>
      <w:bookmarkEnd w:id="166"/>
      <w:bookmarkEnd w:id="167"/>
      <w:bookmarkEnd w:id="168"/>
      <w:bookmarkEnd w:id="169"/>
    </w:p>
    <w:p w14:paraId="7AADEEE4">
      <w:pPr>
        <w:spacing w:before="156" w:after="40" w:line="360" w:lineRule="auto"/>
        <w:ind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23.1</w:t>
      </w:r>
      <w:r>
        <w:rPr>
          <w:rFonts w:ascii="Times New Roman" w:hAnsi="Times New Roman" w:eastAsia="宋体" w:cs="Arial"/>
          <w:color w:val="000000"/>
          <w:szCs w:val="21"/>
          <w:highlight w:val="none"/>
        </w:rPr>
        <w:t>投标人应当按照《操作手册》规定，在招标公告规定的投标截止时间前制作并上传电子投标文件。</w:t>
      </w:r>
      <w:r>
        <w:rPr>
          <w:rFonts w:ascii="Times New Roman" w:hAnsi="Times New Roman" w:eastAsia="宋体" w:cs="Arial"/>
          <w:color w:val="000000"/>
          <w:szCs w:val="21"/>
          <w:highlight w:val="none"/>
          <w:lang w:val="zh-CN"/>
        </w:rPr>
        <w:t>招标代理机构拒绝接收提交</w:t>
      </w:r>
      <w:r>
        <w:rPr>
          <w:rFonts w:ascii="Times New Roman" w:hAnsi="Times New Roman" w:eastAsia="宋体" w:cs="Arial"/>
          <w:color w:val="000000"/>
          <w:szCs w:val="21"/>
          <w:highlight w:val="none"/>
        </w:rPr>
        <w:t>投标</w:t>
      </w:r>
      <w:r>
        <w:rPr>
          <w:rFonts w:ascii="Times New Roman" w:hAnsi="Times New Roman" w:eastAsia="宋体" w:cs="Arial"/>
          <w:color w:val="000000"/>
          <w:szCs w:val="21"/>
          <w:highlight w:val="none"/>
          <w:lang w:val="zh-CN"/>
        </w:rPr>
        <w:t>文件截止时间后上传的任何电子</w:t>
      </w:r>
      <w:r>
        <w:rPr>
          <w:rFonts w:ascii="Times New Roman" w:hAnsi="Times New Roman" w:eastAsia="宋体" w:cs="Arial"/>
          <w:color w:val="000000"/>
          <w:szCs w:val="21"/>
          <w:highlight w:val="none"/>
        </w:rPr>
        <w:t>投标</w:t>
      </w:r>
      <w:r>
        <w:rPr>
          <w:rFonts w:ascii="Times New Roman" w:hAnsi="Times New Roman" w:eastAsia="宋体" w:cs="Arial"/>
          <w:color w:val="000000"/>
          <w:szCs w:val="21"/>
          <w:highlight w:val="none"/>
          <w:lang w:val="zh-CN"/>
        </w:rPr>
        <w:t>文件。</w:t>
      </w:r>
    </w:p>
    <w:p w14:paraId="6E40F38A">
      <w:pPr>
        <w:spacing w:before="156" w:after="40" w:line="360" w:lineRule="auto"/>
        <w:ind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23.2</w:t>
      </w:r>
      <w:r>
        <w:rPr>
          <w:rFonts w:ascii="Times New Roman" w:hAnsi="Times New Roman" w:eastAsia="宋体" w:cs="Segoe UI Symbol"/>
          <w:b/>
          <w:szCs w:val="21"/>
          <w:highlight w:val="none"/>
        </w:rPr>
        <w:t>★</w:t>
      </w:r>
      <w:r>
        <w:rPr>
          <w:rFonts w:hint="eastAsia" w:ascii="Times New Roman" w:hAnsi="Times New Roman" w:eastAsia="宋体" w:cs="Microsoft New Tai Lue"/>
          <w:b/>
          <w:bCs/>
          <w:szCs w:val="21"/>
          <w:highlight w:val="none"/>
        </w:rPr>
        <w:t>投标文件</w:t>
      </w:r>
      <w:r>
        <w:rPr>
          <w:rFonts w:ascii="Times New Roman" w:hAnsi="Times New Roman" w:eastAsia="宋体" w:cs="Microsoft New Tai Lue"/>
          <w:b/>
          <w:bCs/>
          <w:szCs w:val="21"/>
          <w:highlight w:val="none"/>
        </w:rPr>
        <w:t>应加盖公章并由</w:t>
      </w:r>
      <w:r>
        <w:rPr>
          <w:rFonts w:hint="eastAsia" w:ascii="Times New Roman" w:hAnsi="Times New Roman" w:eastAsia="宋体" w:cs="Microsoft New Tai Lue"/>
          <w:b/>
          <w:bCs/>
          <w:szCs w:val="21"/>
          <w:highlight w:val="none"/>
        </w:rPr>
        <w:t>投标人</w:t>
      </w:r>
      <w:r>
        <w:rPr>
          <w:rFonts w:ascii="Times New Roman" w:hAnsi="Times New Roman" w:eastAsia="宋体" w:cs="Microsoft New Tai Lue"/>
          <w:b/>
          <w:bCs/>
          <w:szCs w:val="21"/>
          <w:highlight w:val="none"/>
        </w:rPr>
        <w:t>法定代表人</w:t>
      </w:r>
      <w:r>
        <w:rPr>
          <w:rFonts w:hint="eastAsia" w:ascii="Times New Roman" w:hAnsi="Times New Roman" w:eastAsia="宋体" w:cs="Microsoft New Tai Lue"/>
          <w:b/>
          <w:bCs/>
          <w:szCs w:val="21"/>
          <w:highlight w:val="none"/>
        </w:rPr>
        <w:t>（单位</w:t>
      </w:r>
      <w:r>
        <w:rPr>
          <w:rFonts w:ascii="Times New Roman" w:hAnsi="Times New Roman" w:eastAsia="宋体" w:cs="Microsoft New Tai Lue"/>
          <w:b/>
          <w:bCs/>
          <w:szCs w:val="21"/>
          <w:highlight w:val="none"/>
        </w:rPr>
        <w:t>负责人</w:t>
      </w:r>
      <w:r>
        <w:rPr>
          <w:rFonts w:hint="eastAsia" w:ascii="Times New Roman" w:hAnsi="Times New Roman" w:eastAsia="宋体" w:cs="Microsoft New Tai Lue"/>
          <w:b/>
          <w:bCs/>
          <w:szCs w:val="21"/>
          <w:highlight w:val="none"/>
        </w:rPr>
        <w:t>）</w:t>
      </w:r>
      <w:r>
        <w:rPr>
          <w:rFonts w:ascii="Times New Roman" w:hAnsi="Times New Roman" w:eastAsia="宋体" w:cs="Microsoft New Tai Lue"/>
          <w:b/>
          <w:bCs/>
          <w:szCs w:val="21"/>
          <w:highlight w:val="none"/>
        </w:rPr>
        <w:t>或其授权代表签字。授权代表须提供法定代表人以书面形式出具的</w:t>
      </w:r>
      <w:r>
        <w:rPr>
          <w:rFonts w:hint="eastAsia" w:ascii="Times New Roman" w:hAnsi="Times New Roman" w:eastAsia="宋体" w:cs="Microsoft New Tai Lue"/>
          <w:bCs/>
          <w:szCs w:val="21"/>
          <w:highlight w:val="none"/>
        </w:rPr>
        <w:t>“</w:t>
      </w:r>
      <w:r>
        <w:rPr>
          <w:rFonts w:ascii="Times New Roman" w:hAnsi="Times New Roman" w:eastAsia="宋体" w:cs="Microsoft New Tai Lue"/>
          <w:b/>
          <w:bCs/>
          <w:szCs w:val="21"/>
          <w:highlight w:val="none"/>
        </w:rPr>
        <w:t>法定代表人授权书”（由</w:t>
      </w:r>
      <w:r>
        <w:rPr>
          <w:rFonts w:hint="eastAsia" w:ascii="Times New Roman" w:hAnsi="Times New Roman" w:eastAsia="宋体" w:cs="Microsoft New Tai Lue"/>
          <w:b/>
          <w:bCs/>
          <w:szCs w:val="21"/>
          <w:highlight w:val="none"/>
        </w:rPr>
        <w:t>法定代表人</w:t>
      </w:r>
      <w:r>
        <w:rPr>
          <w:rFonts w:ascii="Times New Roman" w:hAnsi="Times New Roman" w:eastAsia="宋体" w:cs="Microsoft New Tai Lue"/>
          <w:b/>
          <w:bCs/>
          <w:szCs w:val="21"/>
          <w:highlight w:val="none"/>
        </w:rPr>
        <w:t>签章并加盖企业公章。）授权其负责本项目投标。</w:t>
      </w:r>
    </w:p>
    <w:p w14:paraId="7640B036">
      <w:pPr>
        <w:spacing w:before="156" w:after="40" w:line="360" w:lineRule="auto"/>
        <w:ind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23.3投标文件规定盖章的地方，应盖单位公章</w:t>
      </w:r>
      <w:r>
        <w:rPr>
          <w:rFonts w:hint="eastAsia" w:ascii="Times New Roman" w:hAnsi="Times New Roman" w:eastAsia="宋体" w:cs="Microsoft New Tai Lue"/>
          <w:bCs/>
          <w:szCs w:val="21"/>
          <w:highlight w:val="none"/>
        </w:rPr>
        <w:t>或电子公章</w:t>
      </w:r>
      <w:r>
        <w:rPr>
          <w:rFonts w:ascii="Times New Roman" w:hAnsi="Times New Roman" w:eastAsia="宋体" w:cs="Microsoft New Tai Lue"/>
          <w:bCs/>
          <w:szCs w:val="21"/>
          <w:highlight w:val="none"/>
        </w:rPr>
        <w:t>（文件中的单位盖章、印章、公章等处均仅指与</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名称全称相一致的标准公章</w:t>
      </w:r>
      <w:r>
        <w:rPr>
          <w:rFonts w:hint="eastAsia" w:ascii="Times New Roman" w:hAnsi="Times New Roman" w:eastAsia="宋体" w:cs="Microsoft New Tai Lue"/>
          <w:bCs/>
          <w:szCs w:val="21"/>
          <w:highlight w:val="none"/>
        </w:rPr>
        <w:t>，如投标人为自然人可不加盖公章，仅由本人签字）。</w:t>
      </w:r>
    </w:p>
    <w:p w14:paraId="446BD56A">
      <w:pPr>
        <w:spacing w:before="156" w:after="40" w:line="360" w:lineRule="auto"/>
        <w:ind w:firstLine="420"/>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2</w:t>
      </w:r>
      <w:r>
        <w:rPr>
          <w:rFonts w:ascii="Times New Roman" w:hAnsi="Times New Roman" w:eastAsia="宋体" w:cs="Microsoft New Tai Lue"/>
          <w:bCs/>
          <w:szCs w:val="21"/>
          <w:highlight w:val="none"/>
        </w:rPr>
        <w:t>3.4</w:t>
      </w:r>
      <w:r>
        <w:rPr>
          <w:rFonts w:ascii="Times New Roman" w:hAnsi="Times New Roman" w:eastAsia="宋体" w:cs="Segoe UI Symbol"/>
          <w:b/>
          <w:szCs w:val="21"/>
          <w:highlight w:val="none"/>
        </w:rPr>
        <w:t>★</w:t>
      </w:r>
      <w:r>
        <w:rPr>
          <w:rFonts w:ascii="Times New Roman" w:hAnsi="Times New Roman" w:eastAsia="宋体" w:cs="Microsoft New Tai Lue"/>
          <w:b/>
          <w:szCs w:val="21"/>
          <w:highlight w:val="none"/>
        </w:rPr>
        <w:t>如投标过程中投标人使用其他形式的印章（</w:t>
      </w:r>
      <w:r>
        <w:rPr>
          <w:rFonts w:hint="eastAsia" w:ascii="Times New Roman" w:hAnsi="Times New Roman" w:eastAsia="宋体" w:cs="Microsoft New Tai Lue"/>
          <w:b/>
          <w:szCs w:val="21"/>
          <w:highlight w:val="none"/>
        </w:rPr>
        <w:t>如</w:t>
      </w:r>
      <w:r>
        <w:rPr>
          <w:rFonts w:ascii="Times New Roman" w:hAnsi="Times New Roman" w:eastAsia="宋体" w:cs="Microsoft New Tai Lue"/>
          <w:b/>
          <w:szCs w:val="21"/>
          <w:highlight w:val="none"/>
        </w:rPr>
        <w:t>带有“专用章”等字样的印章），须提供</w:t>
      </w:r>
      <w:r>
        <w:rPr>
          <w:rFonts w:hint="eastAsia" w:ascii="Times New Roman" w:hAnsi="Times New Roman" w:eastAsia="宋体" w:cs="Microsoft New Tai Lue"/>
          <w:b/>
          <w:szCs w:val="21"/>
          <w:highlight w:val="none"/>
        </w:rPr>
        <w:t>“</w:t>
      </w:r>
      <w:r>
        <w:rPr>
          <w:rFonts w:ascii="Times New Roman" w:hAnsi="Times New Roman" w:eastAsia="宋体" w:cs="Microsoft New Tai Lue"/>
          <w:b/>
          <w:szCs w:val="21"/>
          <w:highlight w:val="none"/>
        </w:rPr>
        <w:t>公章授权书</w:t>
      </w:r>
      <w:r>
        <w:rPr>
          <w:rFonts w:hint="eastAsia" w:ascii="Times New Roman" w:hAnsi="Times New Roman" w:eastAsia="宋体" w:cs="Microsoft New Tai Lue"/>
          <w:b/>
          <w:szCs w:val="21"/>
          <w:highlight w:val="none"/>
        </w:rPr>
        <w:t>”</w:t>
      </w:r>
      <w:r>
        <w:rPr>
          <w:rFonts w:ascii="Times New Roman" w:hAnsi="Times New Roman" w:eastAsia="宋体"/>
          <w:b/>
          <w:highlight w:val="none"/>
        </w:rPr>
        <w:t>（</w:t>
      </w:r>
      <w:r>
        <w:rPr>
          <w:rFonts w:hint="eastAsia" w:ascii="Times New Roman" w:hAnsi="Times New Roman" w:eastAsia="宋体"/>
          <w:b/>
          <w:highlight w:val="none"/>
        </w:rPr>
        <w:t>格式</w:t>
      </w:r>
      <w:r>
        <w:rPr>
          <w:rFonts w:ascii="Times New Roman" w:hAnsi="Times New Roman" w:eastAsia="宋体"/>
          <w:b/>
          <w:highlight w:val="none"/>
        </w:rPr>
        <w:t>见</w:t>
      </w:r>
      <w:r>
        <w:rPr>
          <w:rFonts w:hint="eastAsia" w:ascii="Times New Roman" w:hAnsi="Times New Roman" w:eastAsia="宋体"/>
          <w:b/>
          <w:highlight w:val="none"/>
        </w:rPr>
        <w:t>后</w:t>
      </w:r>
      <w:r>
        <w:rPr>
          <w:rFonts w:ascii="Times New Roman" w:hAnsi="Times New Roman" w:eastAsia="宋体"/>
          <w:b/>
          <w:highlight w:val="none"/>
        </w:rPr>
        <w:t>）</w:t>
      </w:r>
      <w:r>
        <w:rPr>
          <w:rFonts w:ascii="Times New Roman" w:hAnsi="Times New Roman" w:eastAsia="宋体" w:cs="Microsoft New Tai Lue"/>
          <w:b/>
          <w:szCs w:val="21"/>
          <w:highlight w:val="none"/>
        </w:rPr>
        <w:t>，明确</w:t>
      </w:r>
      <w:r>
        <w:rPr>
          <w:rFonts w:hint="eastAsia" w:ascii="Times New Roman" w:hAnsi="Times New Roman" w:eastAsia="宋体" w:cs="Microsoft New Tai Lue"/>
          <w:b/>
          <w:szCs w:val="21"/>
          <w:highlight w:val="none"/>
        </w:rPr>
        <w:t>“</w:t>
      </w:r>
      <w:r>
        <w:rPr>
          <w:rFonts w:ascii="Times New Roman" w:hAnsi="Times New Roman" w:eastAsia="宋体" w:cs="Microsoft New Tai Lue"/>
          <w:b/>
          <w:szCs w:val="21"/>
          <w:highlight w:val="none"/>
        </w:rPr>
        <w:t>针对本次项目，</w:t>
      </w:r>
      <w:r>
        <w:rPr>
          <w:rFonts w:hint="eastAsia" w:ascii="Times New Roman" w:hAnsi="Times New Roman" w:eastAsia="宋体" w:cs="Microsoft New Tai Lue"/>
          <w:b/>
          <w:szCs w:val="21"/>
          <w:highlight w:val="none"/>
        </w:rPr>
        <w:t>我单位</w:t>
      </w:r>
      <w:r>
        <w:rPr>
          <w:rFonts w:ascii="Times New Roman" w:hAnsi="Times New Roman" w:eastAsia="宋体" w:cs="Microsoft New Tai Lue"/>
          <w:b/>
          <w:szCs w:val="21"/>
          <w:highlight w:val="none"/>
        </w:rPr>
        <w:t>专用章作为直接参与投标时相关文件的签章，其效力等同于公章</w:t>
      </w:r>
      <w:r>
        <w:rPr>
          <w:rFonts w:hint="eastAsia" w:ascii="Times New Roman" w:hAnsi="Times New Roman" w:eastAsia="宋体" w:cs="Microsoft New Tai Lue"/>
          <w:b/>
          <w:szCs w:val="21"/>
          <w:highlight w:val="none"/>
        </w:rPr>
        <w:t>”</w:t>
      </w:r>
      <w:r>
        <w:rPr>
          <w:rFonts w:ascii="Times New Roman" w:hAnsi="Times New Roman" w:eastAsia="宋体" w:cs="Microsoft New Tai Lue"/>
          <w:b/>
          <w:szCs w:val="21"/>
          <w:highlight w:val="none"/>
        </w:rPr>
        <w:t>，</w:t>
      </w:r>
      <w:r>
        <w:rPr>
          <w:rFonts w:hint="eastAsia" w:ascii="Times New Roman" w:hAnsi="Times New Roman" w:eastAsia="宋体" w:cs="Microsoft New Tai Lue"/>
          <w:b/>
          <w:szCs w:val="21"/>
          <w:highlight w:val="none"/>
        </w:rPr>
        <w:t>“公章授权书”</w:t>
      </w:r>
      <w:r>
        <w:rPr>
          <w:rFonts w:ascii="Times New Roman" w:hAnsi="Times New Roman" w:eastAsia="宋体" w:cs="Microsoft New Tai Lue"/>
          <w:b/>
          <w:szCs w:val="21"/>
          <w:highlight w:val="none"/>
        </w:rPr>
        <w:t>须同时加盖投标人公章及</w:t>
      </w:r>
      <w:r>
        <w:rPr>
          <w:rFonts w:hint="eastAsia" w:ascii="Times New Roman" w:hAnsi="Times New Roman" w:eastAsia="宋体" w:cs="Microsoft New Tai Lue"/>
          <w:b/>
          <w:szCs w:val="21"/>
          <w:highlight w:val="none"/>
        </w:rPr>
        <w:t>本次投标使用的</w:t>
      </w:r>
      <w:r>
        <w:rPr>
          <w:rFonts w:ascii="Times New Roman" w:hAnsi="Times New Roman" w:eastAsia="宋体" w:cs="Microsoft New Tai Lue"/>
          <w:b/>
          <w:szCs w:val="21"/>
          <w:highlight w:val="none"/>
        </w:rPr>
        <w:t>专用章</w:t>
      </w:r>
      <w:r>
        <w:rPr>
          <w:rFonts w:hint="eastAsia" w:ascii="Times New Roman" w:hAnsi="Times New Roman" w:eastAsia="宋体" w:cs="Microsoft New Tai Lue"/>
          <w:b/>
          <w:szCs w:val="21"/>
          <w:highlight w:val="none"/>
        </w:rPr>
        <w:t>，否则不予认可</w:t>
      </w:r>
      <w:r>
        <w:rPr>
          <w:rFonts w:ascii="Times New Roman" w:hAnsi="Times New Roman" w:eastAsia="宋体" w:cs="Microsoft New Tai Lue"/>
          <w:b/>
          <w:szCs w:val="21"/>
          <w:highlight w:val="none"/>
        </w:rPr>
        <w:t>。</w:t>
      </w:r>
    </w:p>
    <w:p w14:paraId="7A3E951C">
      <w:pPr>
        <w:spacing w:before="156" w:after="40" w:line="360" w:lineRule="auto"/>
        <w:ind w:firstLine="420"/>
        <w:rPr>
          <w:rFonts w:ascii="Times New Roman" w:hAnsi="Times New Roman" w:eastAsia="宋体"/>
          <w:szCs w:val="21"/>
          <w:highlight w:val="none"/>
        </w:rPr>
      </w:pPr>
      <w:r>
        <w:rPr>
          <w:rFonts w:ascii="Times New Roman" w:hAnsi="Times New Roman" w:eastAsia="宋体" w:cs="Microsoft New Tai Lue"/>
          <w:bCs/>
          <w:szCs w:val="21"/>
          <w:highlight w:val="none"/>
        </w:rPr>
        <w:t>23.5除</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对错处做必要修改外，投标文件不得行间插字、涂改或增删。如有修改错漏处，必须由法定代表人或其授权代表签字或盖章</w:t>
      </w:r>
      <w:r>
        <w:rPr>
          <w:rFonts w:hint="eastAsia" w:ascii="Times New Roman" w:hAnsi="Times New Roman" w:eastAsia="宋体" w:cs="Microsoft New Tai Lue"/>
          <w:bCs/>
          <w:szCs w:val="21"/>
          <w:highlight w:val="none"/>
        </w:rPr>
        <w:t>方有效</w:t>
      </w:r>
      <w:r>
        <w:rPr>
          <w:rFonts w:ascii="Times New Roman" w:hAnsi="Times New Roman" w:eastAsia="宋体" w:cs="Microsoft New Tai Lue"/>
          <w:bCs/>
          <w:szCs w:val="21"/>
          <w:highlight w:val="none"/>
        </w:rPr>
        <w:t>。</w:t>
      </w:r>
    </w:p>
    <w:p w14:paraId="7D87046F">
      <w:pPr>
        <w:spacing w:line="360" w:lineRule="auto"/>
        <w:ind w:left="214" w:firstLine="420"/>
        <w:jc w:val="left"/>
        <w:rPr>
          <w:rFonts w:ascii="Times New Roman" w:hAnsi="Times New Roman" w:eastAsia="宋体"/>
          <w:szCs w:val="21"/>
          <w:highlight w:val="none"/>
        </w:rPr>
      </w:pPr>
    </w:p>
    <w:p w14:paraId="67542BE8">
      <w:pPr>
        <w:pStyle w:val="3"/>
        <w:spacing w:line="360" w:lineRule="auto"/>
        <w:ind w:left="211" w:right="210" w:hanging="211"/>
        <w:rPr>
          <w:rFonts w:ascii="Times New Roman" w:hAnsi="Times New Roman" w:eastAsia="宋体" w:cs="Microsoft New Tai Lue"/>
          <w:highlight w:val="none"/>
        </w:rPr>
      </w:pPr>
      <w:bookmarkStart w:id="170" w:name="_Toc577746817"/>
      <w:r>
        <w:rPr>
          <w:rFonts w:ascii="Times New Roman" w:hAnsi="Times New Roman" w:eastAsia="宋体" w:cs="Microsoft New Tai Lue"/>
          <w:highlight w:val="none"/>
        </w:rPr>
        <w:t>四．投标文件的递交</w:t>
      </w:r>
      <w:bookmarkEnd w:id="170"/>
    </w:p>
    <w:p w14:paraId="0607C4F4">
      <w:pPr>
        <w:pStyle w:val="4"/>
        <w:spacing w:line="360" w:lineRule="auto"/>
        <w:ind w:left="211" w:right="210" w:hanging="211"/>
        <w:rPr>
          <w:rFonts w:ascii="Times New Roman" w:hAnsi="Times New Roman" w:eastAsia="宋体" w:cs="Microsoft New Tai Lue"/>
          <w:highlight w:val="none"/>
        </w:rPr>
      </w:pPr>
      <w:bookmarkStart w:id="171" w:name="_Toc100905226"/>
      <w:bookmarkStart w:id="172" w:name="_Toc107246241"/>
      <w:bookmarkStart w:id="173" w:name="_Toc104560863"/>
      <w:bookmarkStart w:id="174" w:name="_Toc103848548"/>
      <w:bookmarkStart w:id="175" w:name="_Toc96347881"/>
      <w:bookmarkStart w:id="176" w:name="_Toc1417185232"/>
      <w:r>
        <w:rPr>
          <w:rFonts w:ascii="Times New Roman" w:hAnsi="Times New Roman" w:eastAsia="宋体" w:cs="Microsoft New Tai Lue"/>
          <w:highlight w:val="none"/>
        </w:rPr>
        <w:t>24.投标文件的密封和标记</w:t>
      </w:r>
      <w:bookmarkEnd w:id="171"/>
      <w:bookmarkEnd w:id="172"/>
      <w:bookmarkEnd w:id="173"/>
      <w:bookmarkEnd w:id="174"/>
      <w:bookmarkEnd w:id="175"/>
      <w:bookmarkEnd w:id="176"/>
    </w:p>
    <w:p w14:paraId="24371697">
      <w:pPr>
        <w:spacing w:line="360" w:lineRule="auto"/>
        <w:ind w:firstLine="420"/>
        <w:rPr>
          <w:rFonts w:ascii="Times New Roman" w:hAnsi="Times New Roman" w:eastAsia="宋体" w:cs="Microsoft New Tai Lue"/>
          <w:bCs/>
          <w:szCs w:val="21"/>
          <w:highlight w:val="none"/>
        </w:rPr>
      </w:pPr>
      <w:bookmarkStart w:id="177" w:name="_Toc96347882"/>
      <w:bookmarkStart w:id="178" w:name="_Toc51928343"/>
      <w:bookmarkStart w:id="179" w:name="_Toc103848549"/>
      <w:bookmarkStart w:id="180" w:name="_Toc19963"/>
      <w:bookmarkStart w:id="181" w:name="_Toc11952"/>
      <w:bookmarkStart w:id="182" w:name="_Toc46939510"/>
      <w:bookmarkStart w:id="183" w:name="_Toc38931614"/>
      <w:bookmarkStart w:id="184" w:name="_Toc38933357"/>
      <w:bookmarkStart w:id="185" w:name="_Toc46960670"/>
      <w:bookmarkStart w:id="186" w:name="_Toc97561941"/>
      <w:bookmarkStart w:id="187" w:name="_Toc38931800"/>
      <w:bookmarkStart w:id="188" w:name="_Toc48151397"/>
      <w:bookmarkStart w:id="189" w:name="_Toc50528805"/>
      <w:bookmarkStart w:id="190" w:name="_Toc91399404"/>
      <w:bookmarkStart w:id="191" w:name="_Toc11464"/>
      <w:bookmarkStart w:id="192" w:name="_Toc46219699"/>
      <w:bookmarkStart w:id="193" w:name="_Toc89586904"/>
      <w:bookmarkStart w:id="194" w:name="_Toc4536"/>
      <w:bookmarkStart w:id="195" w:name="_Toc40202948"/>
      <w:bookmarkStart w:id="196" w:name="_Toc100905227"/>
      <w:bookmarkStart w:id="197" w:name="_Toc5042"/>
      <w:bookmarkStart w:id="198" w:name="_Toc469850063"/>
      <w:r>
        <w:rPr>
          <w:rFonts w:ascii="Times New Roman" w:hAnsi="Times New Roman" w:eastAsia="宋体" w:cs="Microsoft New Tai Lue"/>
          <w:bCs/>
          <w:szCs w:val="21"/>
          <w:highlight w:val="none"/>
        </w:rPr>
        <w:t>投标人应当按照《操作手册》规定，在招标公告规定的投标截止时间前制作并上传电子投标文件。</w:t>
      </w:r>
      <w:r>
        <w:rPr>
          <w:rFonts w:ascii="Times New Roman" w:hAnsi="Times New Roman" w:eastAsia="宋体" w:cs="Microsoft New Tai Lue"/>
          <w:bCs/>
          <w:szCs w:val="21"/>
          <w:highlight w:val="none"/>
          <w:lang w:val="zh-CN"/>
        </w:rPr>
        <w:t>招标代理机构拒绝接收提交</w:t>
      </w:r>
      <w:r>
        <w:rPr>
          <w:rFonts w:ascii="Times New Roman" w:hAnsi="Times New Roman" w:eastAsia="宋体" w:cs="Microsoft New Tai Lue"/>
          <w:bCs/>
          <w:szCs w:val="21"/>
          <w:highlight w:val="none"/>
        </w:rPr>
        <w:t>投标</w:t>
      </w:r>
      <w:r>
        <w:rPr>
          <w:rFonts w:ascii="Times New Roman" w:hAnsi="Times New Roman" w:eastAsia="宋体" w:cs="Microsoft New Tai Lue"/>
          <w:bCs/>
          <w:szCs w:val="21"/>
          <w:highlight w:val="none"/>
          <w:lang w:val="zh-CN"/>
        </w:rPr>
        <w:t>文件截止时间后上传的任何电子</w:t>
      </w:r>
      <w:r>
        <w:rPr>
          <w:rFonts w:ascii="Times New Roman" w:hAnsi="Times New Roman" w:eastAsia="宋体" w:cs="Microsoft New Tai Lue"/>
          <w:bCs/>
          <w:szCs w:val="21"/>
          <w:highlight w:val="none"/>
        </w:rPr>
        <w:t>投标</w:t>
      </w:r>
      <w:r>
        <w:rPr>
          <w:rFonts w:ascii="Times New Roman" w:hAnsi="Times New Roman" w:eastAsia="宋体" w:cs="Microsoft New Tai Lue"/>
          <w:bCs/>
          <w:szCs w:val="21"/>
          <w:highlight w:val="none"/>
          <w:lang w:val="zh-CN"/>
        </w:rPr>
        <w:t>文件。</w:t>
      </w:r>
    </w:p>
    <w:p w14:paraId="4CE5630C">
      <w:pPr>
        <w:pStyle w:val="4"/>
        <w:spacing w:line="360" w:lineRule="auto"/>
        <w:ind w:left="211" w:right="210" w:hanging="211"/>
        <w:rPr>
          <w:rFonts w:ascii="Times New Roman" w:hAnsi="Times New Roman" w:eastAsia="宋体" w:cs="Microsoft New Tai Lue"/>
          <w:highlight w:val="none"/>
        </w:rPr>
      </w:pPr>
      <w:bookmarkStart w:id="199" w:name="_Toc104560864"/>
      <w:bookmarkStart w:id="200" w:name="_Toc891065347"/>
      <w:bookmarkStart w:id="201" w:name="_Toc107246242"/>
      <w:r>
        <w:rPr>
          <w:rFonts w:ascii="Times New Roman" w:hAnsi="Times New Roman" w:eastAsia="宋体" w:cs="Microsoft New Tai Lue"/>
          <w:highlight w:val="none"/>
        </w:rPr>
        <w:t>25.</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rFonts w:hint="eastAsia" w:ascii="Times New Roman" w:hAnsi="Times New Roman" w:eastAsia="宋体" w:cs="Microsoft New Tai Lue"/>
          <w:highlight w:val="none"/>
        </w:rPr>
        <w:t>投标截止时间</w:t>
      </w:r>
      <w:bookmarkEnd w:id="200"/>
      <w:bookmarkEnd w:id="201"/>
    </w:p>
    <w:p w14:paraId="358712C6">
      <w:pPr>
        <w:spacing w:line="360" w:lineRule="auto"/>
        <w:ind w:firstLine="420"/>
        <w:rPr>
          <w:rFonts w:ascii="Times New Roman" w:hAnsi="Times New Roman" w:eastAsia="宋体" w:cs="Microsoft New Tai Lue"/>
          <w:bCs/>
          <w:szCs w:val="21"/>
          <w:highlight w:val="none"/>
          <w:lang w:val="zh-CN"/>
        </w:rPr>
      </w:pPr>
      <w:bookmarkStart w:id="202" w:name="_Toc96347883"/>
      <w:r>
        <w:rPr>
          <w:rFonts w:hint="eastAsia" w:ascii="Times New Roman" w:hAnsi="Times New Roman" w:eastAsia="宋体" w:cs="Microsoft New Tai Lue"/>
          <w:bCs/>
          <w:szCs w:val="21"/>
          <w:highlight w:val="none"/>
        </w:rPr>
        <w:t>25.1</w:t>
      </w:r>
      <w:r>
        <w:rPr>
          <w:rFonts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lang w:val="zh-CN"/>
        </w:rPr>
        <w:t>应当按照《操作手册》规定，在“苏采云”系统规定的时间内对</w:t>
      </w:r>
      <w:r>
        <w:rPr>
          <w:rFonts w:ascii="Times New Roman" w:hAnsi="Times New Roman" w:eastAsia="宋体" w:cs="Microsoft New Tai Lue"/>
          <w:bCs/>
          <w:szCs w:val="21"/>
          <w:highlight w:val="none"/>
        </w:rPr>
        <w:t>投标</w:t>
      </w:r>
      <w:r>
        <w:rPr>
          <w:rFonts w:ascii="Times New Roman" w:hAnsi="Times New Roman" w:eastAsia="宋体" w:cs="Microsoft New Tai Lue"/>
          <w:bCs/>
          <w:szCs w:val="21"/>
          <w:highlight w:val="none"/>
          <w:lang w:val="zh-CN"/>
        </w:rPr>
        <w:t>文件进行解密。</w:t>
      </w:r>
    </w:p>
    <w:p w14:paraId="26C0BAE0">
      <w:pPr>
        <w:spacing w:line="360" w:lineRule="auto"/>
        <w:ind w:firstLine="420"/>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25.2</w:t>
      </w:r>
      <w:r>
        <w:rPr>
          <w:rFonts w:ascii="Times New Roman" w:hAnsi="Times New Roman" w:eastAsia="宋体" w:cs="Microsoft New Tai Lue"/>
          <w:bCs/>
          <w:szCs w:val="21"/>
          <w:highlight w:val="none"/>
        </w:rPr>
        <w:t>投标人应充分考虑网络环境、网络带宽等因素可能对投标产生的影响，如因投标人自身原因造成的电子投标文件解密不成功的，做无效投标处理。</w:t>
      </w:r>
    </w:p>
    <w:p w14:paraId="718D902A">
      <w:pPr>
        <w:pStyle w:val="4"/>
        <w:spacing w:line="360" w:lineRule="auto"/>
        <w:ind w:left="211" w:right="210" w:hanging="211"/>
        <w:rPr>
          <w:rFonts w:ascii="Times New Roman" w:hAnsi="Times New Roman" w:eastAsia="宋体" w:cs="Microsoft New Tai Lue"/>
          <w:highlight w:val="none"/>
        </w:rPr>
      </w:pPr>
      <w:bookmarkStart w:id="203" w:name="_Toc107246243"/>
      <w:bookmarkStart w:id="204" w:name="_Toc100905228"/>
      <w:bookmarkStart w:id="205" w:name="_Toc1731816498"/>
      <w:bookmarkStart w:id="206" w:name="_Toc103848550"/>
      <w:bookmarkStart w:id="207" w:name="_Toc104560865"/>
      <w:r>
        <w:rPr>
          <w:rFonts w:ascii="Times New Roman" w:hAnsi="Times New Roman" w:eastAsia="宋体" w:cs="Microsoft New Tai Lue"/>
          <w:highlight w:val="none"/>
        </w:rPr>
        <w:t>26.投标文件的修改和撤回</w:t>
      </w:r>
      <w:bookmarkEnd w:id="135"/>
      <w:bookmarkEnd w:id="202"/>
      <w:bookmarkEnd w:id="203"/>
      <w:bookmarkEnd w:id="204"/>
      <w:bookmarkEnd w:id="205"/>
      <w:bookmarkEnd w:id="206"/>
      <w:bookmarkEnd w:id="207"/>
    </w:p>
    <w:p w14:paraId="64D1C89F">
      <w:pPr>
        <w:spacing w:before="120" w:line="360" w:lineRule="auto"/>
        <w:ind w:left="214" w:firstLine="420"/>
        <w:rPr>
          <w:rFonts w:ascii="Times New Roman" w:hAnsi="Times New Roman" w:eastAsia="宋体" w:cs="Microsoft New Tai Lue"/>
          <w:bCs/>
          <w:szCs w:val="21"/>
          <w:highlight w:val="none"/>
        </w:rPr>
      </w:pPr>
      <w:bookmarkStart w:id="208" w:name="_Toc80264714"/>
      <w:r>
        <w:rPr>
          <w:rFonts w:ascii="Times New Roman" w:hAnsi="Times New Roman" w:eastAsia="宋体" w:cs="Microsoft New Tai Lue"/>
          <w:bCs/>
          <w:szCs w:val="21"/>
          <w:highlight w:val="none"/>
        </w:rPr>
        <w:t>26.1</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采购方</w:t>
      </w:r>
      <w:r>
        <w:rPr>
          <w:rFonts w:ascii="Times New Roman" w:hAnsi="Times New Roman" w:eastAsia="宋体" w:cs="Microsoft New Tai Lue"/>
          <w:bCs/>
          <w:szCs w:val="21"/>
          <w:highlight w:val="none"/>
        </w:rPr>
        <w:t>。</w:t>
      </w:r>
    </w:p>
    <w:p w14:paraId="2BBB8523">
      <w:pPr>
        <w:spacing w:line="360" w:lineRule="auto"/>
        <w:ind w:left="214" w:firstLine="420"/>
        <w:jc w:val="left"/>
        <w:rPr>
          <w:rFonts w:ascii="Times New Roman" w:hAnsi="Times New Roman" w:eastAsia="宋体"/>
          <w:szCs w:val="21"/>
          <w:highlight w:val="none"/>
        </w:rPr>
      </w:pPr>
      <w:r>
        <w:rPr>
          <w:rFonts w:ascii="Times New Roman" w:hAnsi="Times New Roman" w:eastAsia="宋体" w:cs="Microsoft New Tai Lue"/>
          <w:bCs/>
          <w:szCs w:val="21"/>
          <w:highlight w:val="none"/>
        </w:rPr>
        <w:t>26.2</w:t>
      </w:r>
      <w:r>
        <w:rPr>
          <w:rFonts w:hint="eastAsia" w:ascii="Times New Roman" w:hAnsi="Times New Roman" w:eastAsia="宋体"/>
          <w:szCs w:val="21"/>
          <w:highlight w:val="none"/>
        </w:rPr>
        <w:t>投标人</w:t>
      </w:r>
      <w:r>
        <w:rPr>
          <w:rFonts w:ascii="Times New Roman" w:hAnsi="Times New Roman" w:eastAsia="宋体"/>
          <w:szCs w:val="21"/>
          <w:highlight w:val="none"/>
        </w:rPr>
        <w:t>对</w:t>
      </w:r>
      <w:r>
        <w:rPr>
          <w:rFonts w:hint="eastAsia" w:ascii="Times New Roman" w:hAnsi="Times New Roman" w:eastAsia="宋体"/>
          <w:szCs w:val="21"/>
          <w:highlight w:val="none"/>
        </w:rPr>
        <w:t>投标</w:t>
      </w:r>
      <w:r>
        <w:rPr>
          <w:rFonts w:ascii="Times New Roman" w:hAnsi="Times New Roman" w:eastAsia="宋体"/>
          <w:szCs w:val="21"/>
          <w:highlight w:val="none"/>
        </w:rPr>
        <w:t>文件的补充、修改的内容应当按照采购文件要求签署、盖章、</w:t>
      </w:r>
      <w:r>
        <w:rPr>
          <w:rFonts w:hint="eastAsia" w:ascii="Times New Roman" w:hAnsi="Times New Roman" w:eastAsia="宋体"/>
          <w:szCs w:val="21"/>
          <w:highlight w:val="none"/>
          <w:lang w:val="en-US" w:eastAsia="zh-CN"/>
        </w:rPr>
        <w:t>加密</w:t>
      </w:r>
      <w:r>
        <w:rPr>
          <w:rFonts w:ascii="Times New Roman" w:hAnsi="Times New Roman" w:eastAsia="宋体"/>
          <w:szCs w:val="21"/>
          <w:highlight w:val="none"/>
        </w:rPr>
        <w:t>后，作为</w:t>
      </w:r>
      <w:r>
        <w:rPr>
          <w:rFonts w:hint="eastAsia" w:ascii="Times New Roman" w:hAnsi="Times New Roman" w:eastAsia="宋体"/>
          <w:szCs w:val="21"/>
          <w:highlight w:val="none"/>
        </w:rPr>
        <w:t>投标</w:t>
      </w:r>
      <w:r>
        <w:rPr>
          <w:rFonts w:ascii="Times New Roman" w:hAnsi="Times New Roman" w:eastAsia="宋体"/>
          <w:szCs w:val="21"/>
          <w:highlight w:val="none"/>
        </w:rPr>
        <w:t>文件的组成部分。</w:t>
      </w:r>
    </w:p>
    <w:p w14:paraId="170343C1">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26.3 在投标截止时间之后，</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不得对其投标文件作任何修改。</w:t>
      </w:r>
    </w:p>
    <w:p w14:paraId="5D628FF4">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26.4 在投标截止时间至采购文件中规定的投标有效期满之间的这段时间内，</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不得撤回其投标。</w:t>
      </w:r>
    </w:p>
    <w:p w14:paraId="3F0609F1">
      <w:pPr>
        <w:pStyle w:val="4"/>
        <w:spacing w:line="360" w:lineRule="auto"/>
        <w:ind w:left="211" w:right="210" w:hanging="211"/>
        <w:rPr>
          <w:rFonts w:ascii="Times New Roman" w:hAnsi="Times New Roman" w:eastAsia="宋体" w:cs="Microsoft New Tai Lue"/>
          <w:highlight w:val="none"/>
        </w:rPr>
      </w:pPr>
      <w:bookmarkStart w:id="209" w:name="_Toc107246244"/>
      <w:bookmarkStart w:id="210" w:name="_Toc1794014095"/>
      <w:bookmarkStart w:id="211" w:name="_Toc104560866"/>
      <w:bookmarkStart w:id="212" w:name="_Toc103848551"/>
      <w:r>
        <w:rPr>
          <w:rFonts w:ascii="Times New Roman" w:hAnsi="Times New Roman" w:eastAsia="宋体" w:cs="Microsoft New Tai Lue"/>
          <w:highlight w:val="none"/>
        </w:rPr>
        <w:t>27.诚实信用</w:t>
      </w:r>
      <w:bookmarkEnd w:id="209"/>
      <w:bookmarkEnd w:id="210"/>
      <w:bookmarkEnd w:id="211"/>
      <w:bookmarkEnd w:id="212"/>
    </w:p>
    <w:p w14:paraId="7BE0E314">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27.1投标人应当遵循公平竞争的原则，不得恶意串通，不得妨碍其他投标人的竞争行为，不得损害采购人或者其他投标人的合法权益。</w:t>
      </w:r>
    </w:p>
    <w:p w14:paraId="318AD4D5">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27.2在评标过程中发现投标人有上述情形的，评标委员会应当认定其投标无效，并书面报告本级财政部门。</w:t>
      </w:r>
    </w:p>
    <w:p w14:paraId="02DAB913">
      <w:pPr>
        <w:pStyle w:val="3"/>
        <w:spacing w:line="360" w:lineRule="auto"/>
        <w:ind w:left="211" w:right="210" w:hanging="211"/>
        <w:rPr>
          <w:rFonts w:ascii="Times New Roman" w:hAnsi="Times New Roman" w:eastAsia="宋体" w:cs="Microsoft New Tai Lue"/>
          <w:highlight w:val="none"/>
        </w:rPr>
      </w:pPr>
      <w:bookmarkStart w:id="213" w:name="_Toc1324490785"/>
      <w:r>
        <w:rPr>
          <w:rFonts w:ascii="Times New Roman" w:hAnsi="Times New Roman" w:eastAsia="宋体" w:cs="Microsoft New Tai Lue"/>
          <w:highlight w:val="none"/>
        </w:rPr>
        <w:t>五．开标和评标</w:t>
      </w:r>
      <w:bookmarkEnd w:id="213"/>
      <w:bookmarkStart w:id="214" w:name="_Toc96347885"/>
    </w:p>
    <w:p w14:paraId="38BF6546">
      <w:pPr>
        <w:pStyle w:val="4"/>
        <w:spacing w:line="360" w:lineRule="auto"/>
        <w:ind w:left="211" w:right="210" w:hanging="211"/>
        <w:rPr>
          <w:rFonts w:ascii="Times New Roman" w:hAnsi="Times New Roman" w:eastAsia="宋体" w:cs="Microsoft New Tai Lue"/>
          <w:highlight w:val="none"/>
        </w:rPr>
      </w:pPr>
      <w:bookmarkStart w:id="215" w:name="_Toc104560868"/>
      <w:bookmarkStart w:id="216" w:name="_Toc100905230"/>
      <w:bookmarkStart w:id="217" w:name="_Toc2048622340"/>
      <w:bookmarkStart w:id="218" w:name="_Toc107246246"/>
      <w:bookmarkStart w:id="219" w:name="_Toc103848553"/>
      <w:r>
        <w:rPr>
          <w:rFonts w:ascii="Times New Roman" w:hAnsi="Times New Roman" w:eastAsia="宋体" w:cs="Microsoft New Tai Lue"/>
          <w:highlight w:val="none"/>
        </w:rPr>
        <w:t>28.开标</w:t>
      </w:r>
      <w:bookmarkEnd w:id="214"/>
      <w:bookmarkEnd w:id="215"/>
      <w:bookmarkEnd w:id="216"/>
      <w:bookmarkEnd w:id="217"/>
      <w:bookmarkEnd w:id="218"/>
      <w:bookmarkEnd w:id="219"/>
    </w:p>
    <w:p w14:paraId="2EAA1BE8">
      <w:pPr>
        <w:spacing w:line="360" w:lineRule="auto"/>
        <w:ind w:firstLine="420"/>
        <w:rPr>
          <w:rFonts w:ascii="Times New Roman" w:hAnsi="Times New Roman" w:eastAsia="宋体" w:cs="宋体"/>
          <w:bCs/>
          <w:szCs w:val="21"/>
          <w:highlight w:val="none"/>
        </w:rPr>
      </w:pPr>
      <w:bookmarkStart w:id="220" w:name="_Toc96347886"/>
      <w:r>
        <w:rPr>
          <w:rFonts w:hint="eastAsia" w:ascii="Times New Roman" w:hAnsi="Times New Roman" w:eastAsia="宋体" w:cs="宋体"/>
          <w:bCs/>
          <w:szCs w:val="21"/>
          <w:highlight w:val="none"/>
        </w:rPr>
        <w:t>28.1代理机构在招标公告中规定的时间和地点组织公开开标。投标人按照《操作手册》规定参加开标活动，并在“苏采云”系统规定的时间内对投标文件进行解密。“苏采云”系统公布各投标人名称和投标价格。</w:t>
      </w:r>
    </w:p>
    <w:p w14:paraId="0E360595">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28.2 投标人在开标过程中涉及到的投标文件解密、开标结果确认等工作，应按照《操作手册》规定执行。</w:t>
      </w:r>
    </w:p>
    <w:p w14:paraId="61709247">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28.3投标人不足3家的，不得开标。</w:t>
      </w:r>
    </w:p>
    <w:p w14:paraId="70B46108">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28.4投标人如果对开标过程和开标结果有疑义，应当根据《操作手册》规定提出，“苏采云”系统中《开标记录表》公布后5分钟内未提出的，视同认可开标结果。</w:t>
      </w:r>
    </w:p>
    <w:p w14:paraId="0597C0C2">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28.5公开招标数额标准以上的采购项目，投标截止后投标人不足3家或者通过资格审查或符合性审查的投标人不足3家的，除采购任务取消情形外，按照以下方式处理：</w:t>
      </w:r>
    </w:p>
    <w:p w14:paraId="1CC8E125">
      <w:pPr>
        <w:spacing w:line="360" w:lineRule="auto"/>
        <w:ind w:firstLine="420"/>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lang w:eastAsia="zh-CN"/>
        </w:rPr>
        <w:t>（</w:t>
      </w:r>
      <w:r>
        <w:rPr>
          <w:rFonts w:hint="eastAsia" w:ascii="Times New Roman" w:hAnsi="Times New Roman" w:eastAsia="宋体" w:cs="宋体"/>
          <w:bCs/>
          <w:szCs w:val="21"/>
          <w:highlight w:val="none"/>
          <w:lang w:val="en-US" w:eastAsia="zh-CN"/>
        </w:rPr>
        <w:t>1</w:t>
      </w:r>
      <w:r>
        <w:rPr>
          <w:rFonts w:hint="eastAsia" w:ascii="Times New Roman" w:hAnsi="Times New Roman" w:eastAsia="宋体" w:cs="宋体"/>
          <w:bCs/>
          <w:szCs w:val="21"/>
          <w:highlight w:val="none"/>
          <w:lang w:eastAsia="zh-CN"/>
        </w:rPr>
        <w:t>）</w:t>
      </w:r>
      <w:r>
        <w:rPr>
          <w:rFonts w:hint="eastAsia" w:ascii="Times New Roman" w:hAnsi="Times New Roman" w:eastAsia="宋体" w:cs="宋体"/>
          <w:bCs/>
          <w:szCs w:val="21"/>
          <w:highlight w:val="none"/>
        </w:rPr>
        <w:t>招标文件</w:t>
      </w:r>
      <w:r>
        <w:rPr>
          <w:rFonts w:hint="eastAsia" w:ascii="Times New Roman" w:hAnsi="Times New Roman" w:eastAsia="宋体" w:cs="宋体"/>
          <w:bCs/>
          <w:szCs w:val="21"/>
          <w:highlight w:val="none"/>
          <w:lang w:val="en-US" w:eastAsia="zh-CN"/>
        </w:rPr>
        <w:t>没有</w:t>
      </w:r>
      <w:r>
        <w:rPr>
          <w:rFonts w:hint="eastAsia" w:ascii="Times New Roman" w:hAnsi="Times New Roman" w:eastAsia="宋体" w:cs="宋体"/>
          <w:bCs/>
          <w:szCs w:val="21"/>
          <w:highlight w:val="none"/>
        </w:rPr>
        <w:t>不合理条款</w:t>
      </w:r>
      <w:r>
        <w:rPr>
          <w:rFonts w:hint="eastAsia" w:ascii="Times New Roman" w:hAnsi="Times New Roman" w:eastAsia="宋体" w:cs="宋体"/>
          <w:bCs/>
          <w:szCs w:val="21"/>
          <w:highlight w:val="none"/>
          <w:lang w:eastAsia="zh-CN"/>
        </w:rPr>
        <w:t>、</w:t>
      </w:r>
      <w:r>
        <w:rPr>
          <w:rFonts w:hint="eastAsia" w:ascii="Times New Roman" w:hAnsi="Times New Roman" w:eastAsia="宋体" w:cs="宋体"/>
          <w:bCs/>
          <w:szCs w:val="21"/>
          <w:highlight w:val="none"/>
        </w:rPr>
        <w:t>招标程序符合规定，采购人、采购代理机构依法重新招标；</w:t>
      </w:r>
    </w:p>
    <w:p w14:paraId="4CDE2FDA">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w:t>
      </w:r>
      <w:r>
        <w:rPr>
          <w:rFonts w:hint="eastAsia" w:ascii="Times New Roman" w:hAnsi="Times New Roman" w:eastAsia="宋体" w:cs="宋体"/>
          <w:bCs/>
          <w:szCs w:val="21"/>
          <w:highlight w:val="none"/>
          <w:lang w:val="en-US" w:eastAsia="zh-CN"/>
        </w:rPr>
        <w:t>2</w:t>
      </w:r>
      <w:r>
        <w:rPr>
          <w:rFonts w:hint="eastAsia" w:ascii="Times New Roman" w:hAnsi="Times New Roman" w:eastAsia="宋体" w:cs="宋体"/>
          <w:bCs/>
          <w:szCs w:val="21"/>
          <w:highlight w:val="none"/>
        </w:rPr>
        <w:t>）招标文件存在不合理条款或者招标程序不符合规定的，采购人、采购代理机构改正后依法重新招标；</w:t>
      </w:r>
    </w:p>
    <w:p w14:paraId="1EF5F531">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w:t>
      </w:r>
      <w:r>
        <w:rPr>
          <w:rFonts w:hint="eastAsia" w:ascii="Times New Roman" w:hAnsi="Times New Roman" w:eastAsia="宋体" w:cs="宋体"/>
          <w:bCs/>
          <w:szCs w:val="21"/>
          <w:highlight w:val="none"/>
          <w:lang w:val="en-US" w:eastAsia="zh-CN"/>
        </w:rPr>
        <w:t>3</w:t>
      </w:r>
      <w:r>
        <w:rPr>
          <w:rFonts w:hint="eastAsia" w:ascii="Times New Roman" w:hAnsi="Times New Roman" w:eastAsia="宋体" w:cs="宋体"/>
          <w:bCs/>
          <w:szCs w:val="21"/>
          <w:highlight w:val="none"/>
        </w:rPr>
        <w:t>）招标文件没有不合理条款、招标程序符合规定，需要采用其他采购方式采购的，采购人依法报财政部门批准，经批准后，可变更为其他采购方式采购。</w:t>
      </w:r>
    </w:p>
    <w:p w14:paraId="6359DBBD">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28.6投标人未参加开标的，视同认可开标结果。</w:t>
      </w:r>
      <w:bookmarkEnd w:id="220"/>
    </w:p>
    <w:p w14:paraId="406BBB79">
      <w:pPr>
        <w:pStyle w:val="4"/>
        <w:spacing w:line="360" w:lineRule="auto"/>
        <w:ind w:left="211" w:right="210" w:hanging="211"/>
        <w:rPr>
          <w:rFonts w:ascii="Times New Roman" w:hAnsi="Times New Roman" w:eastAsia="宋体" w:cs="Microsoft New Tai Lue"/>
          <w:highlight w:val="none"/>
        </w:rPr>
      </w:pPr>
      <w:bookmarkStart w:id="221" w:name="_Toc107246247"/>
      <w:bookmarkStart w:id="222" w:name="_Toc590356029"/>
      <w:bookmarkStart w:id="223" w:name="_Toc100905231"/>
      <w:r>
        <w:rPr>
          <w:rFonts w:ascii="Times New Roman" w:hAnsi="Times New Roman" w:eastAsia="宋体" w:cs="Microsoft New Tai Lue"/>
          <w:highlight w:val="none"/>
        </w:rPr>
        <w:t>29.</w:t>
      </w:r>
      <w:r>
        <w:rPr>
          <w:rFonts w:hint="eastAsia" w:ascii="Times New Roman" w:hAnsi="Times New Roman" w:eastAsia="宋体" w:cs="Microsoft New Tai Lue"/>
          <w:highlight w:val="none"/>
        </w:rPr>
        <w:t>资格性审查</w:t>
      </w:r>
      <w:bookmarkEnd w:id="221"/>
      <w:bookmarkEnd w:id="222"/>
    </w:p>
    <w:p w14:paraId="5DC803AC">
      <w:pPr>
        <w:spacing w:before="120" w:line="360" w:lineRule="auto"/>
        <w:ind w:left="214" w:firstLine="420"/>
        <w:rPr>
          <w:rFonts w:ascii="Times New Roman" w:hAnsi="Times New Roman" w:eastAsia="宋体" w:cs="Microsoft New Tai Lue"/>
          <w:bCs/>
          <w:szCs w:val="21"/>
          <w:highlight w:val="none"/>
        </w:rPr>
      </w:pPr>
      <w:bookmarkStart w:id="224" w:name="_Toc104560869"/>
      <w:bookmarkStart w:id="225" w:name="_Toc103848554"/>
      <w:r>
        <w:rPr>
          <w:rFonts w:ascii="Times New Roman" w:hAnsi="Times New Roman" w:eastAsia="宋体" w:cs="Microsoft New Tai Lue"/>
          <w:bCs/>
          <w:szCs w:val="21"/>
          <w:highlight w:val="none"/>
        </w:rPr>
        <w:t>29.1投标文件的资格性检查。公开招标采购项目开标结束后，</w:t>
      </w:r>
      <w:r>
        <w:rPr>
          <w:rFonts w:hint="eastAsia" w:ascii="Times New Roman" w:hAnsi="Times New Roman" w:eastAsia="宋体" w:cs="Microsoft New Tai Lue"/>
          <w:bCs/>
          <w:szCs w:val="21"/>
          <w:highlight w:val="none"/>
        </w:rPr>
        <w:t>采购人或采购代理机构</w:t>
      </w:r>
      <w:r>
        <w:rPr>
          <w:rFonts w:ascii="Times New Roman" w:hAnsi="Times New Roman" w:eastAsia="宋体" w:cs="Microsoft New Tai Lue"/>
          <w:bCs/>
          <w:szCs w:val="21"/>
          <w:highlight w:val="none"/>
        </w:rPr>
        <w:t>应依法对投标人的资格进行审查。</w:t>
      </w:r>
      <w:r>
        <w:rPr>
          <w:rFonts w:hint="eastAsia" w:ascii="Times New Roman" w:hAnsi="Times New Roman" w:eastAsia="宋体" w:cs="Microsoft New Tai Lue"/>
          <w:bCs/>
          <w:szCs w:val="21"/>
          <w:highlight w:val="none"/>
        </w:rPr>
        <w:t>资格审查合格的投标人不足3家的，不进行评标。</w:t>
      </w:r>
    </w:p>
    <w:p w14:paraId="47775F17">
      <w:pPr>
        <w:spacing w:before="120" w:line="360" w:lineRule="auto"/>
        <w:ind w:left="214" w:firstLine="420"/>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b/>
          <w:bCs/>
          <w:szCs w:val="21"/>
          <w:highlight w:val="none"/>
        </w:rPr>
        <w:t>29.2</w:t>
      </w:r>
      <w:r>
        <w:rPr>
          <w:rFonts w:ascii="Times New Roman" w:hAnsi="Times New Roman" w:eastAsia="宋体" w:cs="Microsoft New Tai Lue"/>
          <w:b/>
          <w:szCs w:val="21"/>
          <w:highlight w:val="none"/>
        </w:rPr>
        <w:t>投标人不具备招标文件规定的投标人资格条件的</w:t>
      </w:r>
      <w:r>
        <w:rPr>
          <w:rFonts w:ascii="Times New Roman" w:hAnsi="Times New Roman" w:eastAsia="宋体" w:cs="Microsoft New Tai Lue"/>
          <w:b/>
          <w:bCs/>
          <w:szCs w:val="21"/>
          <w:highlight w:val="none"/>
        </w:rPr>
        <w:t>，应在资格审查时按照无效投标处理</w:t>
      </w:r>
      <w:r>
        <w:rPr>
          <w:rFonts w:hint="eastAsia" w:ascii="Times New Roman" w:hAnsi="Times New Roman" w:eastAsia="宋体" w:cs="Microsoft New Tai Lue"/>
          <w:b/>
          <w:bCs/>
          <w:szCs w:val="21"/>
          <w:highlight w:val="none"/>
        </w:rPr>
        <w:t>。</w:t>
      </w:r>
    </w:p>
    <w:p w14:paraId="33BAC6BA">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29.3已经进行资格预审的，可以不再对</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资格进行审查，资格预审合格的</w:t>
      </w:r>
      <w:r>
        <w:rPr>
          <w:rFonts w:hint="eastAsia" w:ascii="Times New Roman" w:hAnsi="Times New Roman" w:eastAsia="宋体" w:cs="Microsoft New Tai Lue"/>
          <w:bCs/>
          <w:szCs w:val="21"/>
          <w:highlight w:val="none"/>
        </w:rPr>
        <w:t>投标人</w:t>
      </w:r>
      <w:r>
        <w:rPr>
          <w:rFonts w:ascii="Times New Roman" w:hAnsi="Times New Roman" w:eastAsia="宋体" w:cs="Microsoft New Tai Lue"/>
          <w:bCs/>
          <w:szCs w:val="21"/>
          <w:highlight w:val="none"/>
        </w:rPr>
        <w:t>在评</w:t>
      </w:r>
      <w:r>
        <w:rPr>
          <w:rFonts w:hint="eastAsia" w:ascii="Times New Roman" w:hAnsi="Times New Roman" w:eastAsia="宋体" w:cs="Microsoft New Tai Lue"/>
          <w:bCs/>
          <w:szCs w:val="21"/>
          <w:highlight w:val="none"/>
        </w:rPr>
        <w:t>标</w:t>
      </w:r>
      <w:r>
        <w:rPr>
          <w:rFonts w:ascii="Times New Roman" w:hAnsi="Times New Roman" w:eastAsia="宋体" w:cs="Microsoft New Tai Lue"/>
          <w:bCs/>
          <w:szCs w:val="21"/>
          <w:highlight w:val="none"/>
        </w:rPr>
        <w:t>阶段资格发生变化的，应当通知采购方。</w:t>
      </w:r>
    </w:p>
    <w:p w14:paraId="04638B89">
      <w:pPr>
        <w:pStyle w:val="4"/>
        <w:spacing w:line="360" w:lineRule="auto"/>
        <w:ind w:left="211" w:right="210" w:hanging="211"/>
        <w:rPr>
          <w:rFonts w:ascii="Times New Roman" w:hAnsi="Times New Roman" w:eastAsia="宋体" w:cs="Microsoft New Tai Lue"/>
          <w:highlight w:val="none"/>
        </w:rPr>
      </w:pPr>
      <w:bookmarkStart w:id="226" w:name="_Toc739330263"/>
      <w:bookmarkStart w:id="227" w:name="_Toc107246248"/>
      <w:r>
        <w:rPr>
          <w:rFonts w:ascii="Times New Roman" w:hAnsi="Times New Roman" w:eastAsia="宋体" w:cs="Microsoft New Tai Lue"/>
          <w:highlight w:val="none"/>
        </w:rPr>
        <w:t>30.评标</w:t>
      </w:r>
      <w:bookmarkEnd w:id="224"/>
      <w:bookmarkEnd w:id="225"/>
      <w:bookmarkEnd w:id="226"/>
      <w:bookmarkEnd w:id="227"/>
    </w:p>
    <w:p w14:paraId="1ACB3EDA">
      <w:pPr>
        <w:pStyle w:val="4"/>
        <w:spacing w:line="360" w:lineRule="auto"/>
        <w:ind w:left="211" w:right="210" w:hanging="211"/>
        <w:rPr>
          <w:rFonts w:ascii="Times New Roman" w:hAnsi="Times New Roman" w:eastAsia="宋体" w:cs="Microsoft New Tai Lue"/>
          <w:highlight w:val="none"/>
        </w:rPr>
      </w:pPr>
      <w:bookmarkStart w:id="228" w:name="_Toc103848555"/>
      <w:bookmarkStart w:id="229" w:name="_Toc107246249"/>
      <w:bookmarkStart w:id="230" w:name="_Toc104560870"/>
      <w:bookmarkStart w:id="231" w:name="_Toc583348699"/>
      <w:r>
        <w:rPr>
          <w:rFonts w:ascii="Times New Roman" w:hAnsi="Times New Roman" w:eastAsia="宋体" w:cs="Microsoft New Tai Lue"/>
          <w:highlight w:val="none"/>
        </w:rPr>
        <w:t>30.1评标委员会</w:t>
      </w:r>
      <w:bookmarkEnd w:id="228"/>
      <w:bookmarkEnd w:id="229"/>
      <w:bookmarkEnd w:id="230"/>
      <w:bookmarkEnd w:id="231"/>
    </w:p>
    <w:p w14:paraId="3344D469">
      <w:pPr>
        <w:spacing w:before="120" w:line="360" w:lineRule="auto"/>
        <w:ind w:left="214" w:firstLine="420"/>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30.1.1评标委员会</w:t>
      </w:r>
      <w:r>
        <w:rPr>
          <w:rFonts w:hint="eastAsia" w:ascii="Times New Roman" w:hAnsi="Times New Roman" w:eastAsia="宋体" w:cs="Microsoft New Tai Lue"/>
          <w:bCs/>
          <w:szCs w:val="21"/>
          <w:highlight w:val="none"/>
        </w:rPr>
        <w:t>成员组成</w:t>
      </w:r>
      <w:r>
        <w:rPr>
          <w:rFonts w:ascii="Times New Roman" w:hAnsi="Times New Roman" w:eastAsia="宋体" w:cs="Microsoft New Tai Lue"/>
          <w:bCs/>
          <w:szCs w:val="21"/>
          <w:highlight w:val="none"/>
        </w:rPr>
        <w:t>见</w:t>
      </w:r>
      <w:r>
        <w:rPr>
          <w:rFonts w:ascii="Times New Roman" w:hAnsi="Times New Roman" w:eastAsia="宋体" w:cs="Microsoft New Tai Lue"/>
          <w:b/>
          <w:bCs/>
          <w:szCs w:val="21"/>
          <w:highlight w:val="none"/>
        </w:rPr>
        <w:t>投标人须知前附表</w:t>
      </w:r>
      <w:r>
        <w:rPr>
          <w:rFonts w:hint="eastAsia" w:ascii="Times New Roman" w:hAnsi="Times New Roman" w:eastAsia="宋体" w:cs="Microsoft New Tai Lue"/>
          <w:bCs/>
          <w:szCs w:val="21"/>
          <w:highlight w:val="none"/>
        </w:rPr>
        <w:t>，负责具体评标事务，并独立履行职责。</w:t>
      </w:r>
    </w:p>
    <w:p w14:paraId="591D1795">
      <w:pPr>
        <w:pStyle w:val="4"/>
        <w:spacing w:line="360" w:lineRule="auto"/>
        <w:ind w:left="211" w:right="210" w:hanging="211"/>
        <w:rPr>
          <w:rFonts w:ascii="Times New Roman" w:hAnsi="Times New Roman" w:eastAsia="宋体" w:cs="Microsoft New Tai Lue"/>
          <w:highlight w:val="none"/>
        </w:rPr>
      </w:pPr>
      <w:bookmarkStart w:id="232" w:name="_Toc104560871"/>
      <w:bookmarkStart w:id="233" w:name="_Toc103848556"/>
      <w:bookmarkStart w:id="234" w:name="_Toc1078735538"/>
      <w:bookmarkStart w:id="235" w:name="_Toc107246250"/>
      <w:r>
        <w:rPr>
          <w:rFonts w:ascii="Times New Roman" w:hAnsi="Times New Roman" w:eastAsia="宋体" w:cs="Microsoft New Tai Lue"/>
          <w:highlight w:val="none"/>
        </w:rPr>
        <w:t>30.2</w:t>
      </w:r>
      <w:bookmarkEnd w:id="232"/>
      <w:bookmarkEnd w:id="233"/>
      <w:r>
        <w:rPr>
          <w:rFonts w:hint="eastAsia" w:ascii="Times New Roman" w:hAnsi="Times New Roman" w:eastAsia="宋体" w:cs="Microsoft New Tai Lue"/>
          <w:highlight w:val="none"/>
        </w:rPr>
        <w:t>符合性审查</w:t>
      </w:r>
      <w:bookmarkEnd w:id="234"/>
      <w:bookmarkEnd w:id="235"/>
      <w:r>
        <w:rPr>
          <w:rFonts w:ascii="Times New Roman" w:hAnsi="Times New Roman" w:eastAsia="宋体" w:cs="Microsoft New Tai Lue"/>
          <w:highlight w:val="none"/>
        </w:rPr>
        <w:t xml:space="preserve"> </w:t>
      </w:r>
    </w:p>
    <w:p w14:paraId="45778BDC">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204E9E99">
      <w:pPr>
        <w:spacing w:line="360" w:lineRule="auto"/>
        <w:ind w:firstLine="422"/>
        <w:rPr>
          <w:rFonts w:ascii="Times New Roman" w:hAnsi="Times New Roman" w:eastAsia="宋体" w:cs="宋体"/>
          <w:b/>
          <w:bCs/>
          <w:szCs w:val="21"/>
          <w:highlight w:val="none"/>
        </w:rPr>
      </w:pPr>
      <w:r>
        <w:rPr>
          <w:rFonts w:hint="eastAsia" w:ascii="Times New Roman" w:hAnsi="Times New Roman" w:eastAsia="宋体" w:cs="宋体"/>
          <w:b/>
          <w:szCs w:val="21"/>
          <w:highlight w:val="none"/>
        </w:rPr>
        <w:t>★</w:t>
      </w:r>
      <w:r>
        <w:rPr>
          <w:rFonts w:hint="eastAsia" w:ascii="Times New Roman" w:hAnsi="Times New Roman" w:eastAsia="宋体" w:cs="宋体"/>
          <w:b/>
          <w:bCs/>
          <w:szCs w:val="21"/>
          <w:highlight w:val="none"/>
        </w:rPr>
        <w:t>30.2.2如果投标文件没有响应招标文件实质性要求，评标委员会将予以拒绝，投标人不得通过修改或撤销不合要求的偏离或保留而使其投标成为实质性响应的投标。</w:t>
      </w:r>
    </w:p>
    <w:p w14:paraId="54CA1DED">
      <w:pPr>
        <w:spacing w:line="360" w:lineRule="auto"/>
        <w:ind w:firstLine="422"/>
        <w:rPr>
          <w:rFonts w:ascii="Times New Roman" w:hAnsi="Times New Roman" w:eastAsia="宋体" w:cs="宋体"/>
          <w:b/>
          <w:bCs/>
          <w:szCs w:val="21"/>
          <w:highlight w:val="none"/>
        </w:rPr>
      </w:pPr>
      <w:r>
        <w:rPr>
          <w:rFonts w:hint="eastAsia" w:ascii="Times New Roman" w:hAnsi="Times New Roman" w:eastAsia="宋体" w:cs="宋体"/>
          <w:b/>
          <w:szCs w:val="21"/>
          <w:highlight w:val="none"/>
        </w:rPr>
        <w:t>★</w:t>
      </w:r>
      <w:r>
        <w:rPr>
          <w:rFonts w:hint="eastAsia" w:ascii="Times New Roman" w:hAnsi="Times New Roman" w:eastAsia="宋体" w:cs="宋体"/>
          <w:b/>
          <w:bCs/>
          <w:szCs w:val="21"/>
          <w:highlight w:val="none"/>
        </w:rPr>
        <w:t>30.2.3投标文件有下列情况之一的，在符合性检查时按照无效投标处理：</w:t>
      </w:r>
    </w:p>
    <w:p w14:paraId="176456E7">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（1）投标人在“苏采云”系统规定的时间内未成功解密电子投标文件的；</w:t>
      </w:r>
    </w:p>
    <w:p w14:paraId="1EBCF5D5">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（2）投标人未按照招标文件要求上传电子投标文件的；</w:t>
      </w:r>
    </w:p>
    <w:p w14:paraId="1C022319">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（3）同一投标人提交两个（含两个）以上不同的投标报价的；</w:t>
      </w:r>
    </w:p>
    <w:p w14:paraId="75546A04">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（4）投标文件未按照招标文件要求签署或盖章的；</w:t>
      </w:r>
    </w:p>
    <w:p w14:paraId="3BDB1D0D">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（5）不具备招标文件中规定的资格要求的；</w:t>
      </w:r>
    </w:p>
    <w:p w14:paraId="02871376">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（6）报价超过招标文件中规定的预算金额或者最高限价的；</w:t>
      </w:r>
    </w:p>
    <w:p w14:paraId="320A1ED5">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（7）投标文件含有采购人不能接受的附加条件的；</w:t>
      </w:r>
    </w:p>
    <w:p w14:paraId="455DFF93">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（8）投标文件内容不全或不符合招标文件中规定的其他实质性要求的；</w:t>
      </w:r>
    </w:p>
    <w:p w14:paraId="54233DA8">
      <w:pPr>
        <w:spacing w:line="360" w:lineRule="auto"/>
        <w:ind w:firstLine="420"/>
        <w:rPr>
          <w:rFonts w:ascii="Times New Roman" w:hAnsi="Times New Roman" w:eastAsia="宋体" w:cs="宋体"/>
          <w:bCs/>
          <w:szCs w:val="21"/>
          <w:highlight w:val="none"/>
        </w:rPr>
      </w:pPr>
      <w:r>
        <w:rPr>
          <w:rFonts w:hint="eastAsia" w:ascii="Times New Roman" w:hAnsi="Times New Roman" w:eastAsia="宋体" w:cs="宋体"/>
          <w:bCs/>
          <w:szCs w:val="21"/>
          <w:highlight w:val="none"/>
        </w:rPr>
        <w:t>（9）现行法律、法规、规章和招标文件规定的其他无效情形。</w:t>
      </w:r>
      <w:bookmarkEnd w:id="223"/>
    </w:p>
    <w:p w14:paraId="0FC7DDAC">
      <w:pPr>
        <w:spacing w:before="120" w:line="360" w:lineRule="auto"/>
        <w:ind w:left="214" w:firstLine="480"/>
        <w:rPr>
          <w:rFonts w:hint="eastAsia" w:ascii="Times New Roman" w:hAnsi="Times New Roman" w:eastAsia="宋体" w:cs="仿宋"/>
          <w:b/>
          <w:bCs/>
          <w:sz w:val="24"/>
          <w:highlight w:val="none"/>
        </w:rPr>
      </w:pPr>
    </w:p>
    <w:p w14:paraId="29813755">
      <w:pPr>
        <w:pStyle w:val="4"/>
        <w:spacing w:line="360" w:lineRule="auto"/>
        <w:ind w:left="211" w:right="210" w:hanging="211"/>
        <w:rPr>
          <w:rFonts w:ascii="Times New Roman" w:hAnsi="Times New Roman" w:eastAsia="宋体" w:cs="Microsoft New Tai Lue"/>
          <w:highlight w:val="none"/>
        </w:rPr>
      </w:pPr>
      <w:bookmarkStart w:id="236" w:name="_Toc107246251"/>
      <w:bookmarkStart w:id="237" w:name="_Toc1251239192"/>
      <w:bookmarkStart w:id="238" w:name="_Toc103848557"/>
      <w:bookmarkStart w:id="239" w:name="_Toc104560872"/>
      <w:r>
        <w:rPr>
          <w:rFonts w:ascii="Times New Roman" w:hAnsi="Times New Roman" w:eastAsia="宋体" w:cs="Microsoft New Tai Lue"/>
          <w:highlight w:val="none"/>
        </w:rPr>
        <w:t>30.3投标文件澄清</w:t>
      </w:r>
      <w:bookmarkEnd w:id="236"/>
      <w:bookmarkEnd w:id="237"/>
      <w:bookmarkEnd w:id="238"/>
      <w:bookmarkEnd w:id="239"/>
    </w:p>
    <w:p w14:paraId="003D4450">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30.3.1对于投标文件中含义不明确、同类问题表述不一致或者有明显文字和计算错误的内容，评标委员会应当以书面形式要求投标人作出必要的澄清、说明或者补正。</w:t>
      </w:r>
    </w:p>
    <w:p w14:paraId="1FA61D09">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30.3.2投标人的澄清、说明或者补正应当采用书面形式，并加盖公章，或者由法定代表人或其授权的代表签字。投标人的澄清、说明或者补正不得超出投标文件的范围或者改变投标文件的实质性内容。</w:t>
      </w:r>
    </w:p>
    <w:p w14:paraId="09597590">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30.3.3评标委员会不接受投标人主动提出的澄清、说明。</w:t>
      </w:r>
    </w:p>
    <w:p w14:paraId="7D3EAB18">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30.3.4有效的书面澄清材料，是投标文件的补充材料，成为投标文件的组成部分。</w:t>
      </w:r>
    </w:p>
    <w:p w14:paraId="6D7E933C">
      <w:pPr>
        <w:pStyle w:val="4"/>
        <w:spacing w:line="360" w:lineRule="auto"/>
        <w:ind w:left="211" w:right="210" w:hanging="211"/>
        <w:rPr>
          <w:rFonts w:ascii="Times New Roman" w:hAnsi="Times New Roman" w:eastAsia="宋体" w:cs="Microsoft New Tai Lue"/>
          <w:highlight w:val="none"/>
        </w:rPr>
      </w:pPr>
      <w:bookmarkStart w:id="240" w:name="_Toc107246252"/>
      <w:bookmarkStart w:id="241" w:name="_Toc1417228520"/>
      <w:r>
        <w:rPr>
          <w:rFonts w:ascii="Times New Roman" w:hAnsi="Times New Roman" w:eastAsia="宋体" w:cs="Microsoft New Tai Lue"/>
          <w:highlight w:val="none"/>
        </w:rPr>
        <w:t>30.4</w:t>
      </w:r>
      <w:bookmarkEnd w:id="240"/>
      <w:r>
        <w:rPr>
          <w:rFonts w:hint="eastAsia" w:ascii="Times New Roman" w:hAnsi="Times New Roman" w:eastAsia="宋体" w:cs="Microsoft New Tai Lue"/>
          <w:highlight w:val="none"/>
        </w:rPr>
        <w:t>报价修正</w:t>
      </w:r>
      <w:bookmarkEnd w:id="241"/>
    </w:p>
    <w:p w14:paraId="639399AA">
      <w:pPr>
        <w:spacing w:line="360" w:lineRule="auto"/>
        <w:ind w:firstLine="420"/>
        <w:jc w:val="left"/>
        <w:rPr>
          <w:rFonts w:ascii="Times New Roman" w:hAnsi="Times New Roman" w:eastAsia="宋体" w:cs="宋体"/>
          <w:szCs w:val="21"/>
          <w:highlight w:val="none"/>
        </w:rPr>
      </w:pPr>
      <w:r>
        <w:rPr>
          <w:rFonts w:hint="eastAsia" w:ascii="Times New Roman" w:hAnsi="Times New Roman" w:eastAsia="宋体" w:cs="宋体"/>
          <w:szCs w:val="21"/>
          <w:highlight w:val="none"/>
        </w:rPr>
        <w:t>30.4.1投标文件报价出现前后不一致的，除招标文件另有规定外，按照下列规定修正：</w:t>
      </w:r>
    </w:p>
    <w:p w14:paraId="310F5471">
      <w:pPr>
        <w:spacing w:line="360" w:lineRule="auto"/>
        <w:ind w:firstLine="315"/>
        <w:jc w:val="left"/>
        <w:rPr>
          <w:rFonts w:ascii="Times New Roman" w:hAnsi="Times New Roman" w:eastAsia="宋体" w:cs="宋体"/>
          <w:szCs w:val="21"/>
          <w:highlight w:val="none"/>
        </w:rPr>
      </w:pPr>
      <w:r>
        <w:rPr>
          <w:rFonts w:hint="eastAsia" w:ascii="Times New Roman" w:hAnsi="Times New Roman" w:eastAsia="宋体" w:cs="宋体"/>
          <w:szCs w:val="21"/>
          <w:highlight w:val="none"/>
        </w:rPr>
        <w:t>（1）投标文件中开标一览表（报价表）内容与投标文件中相应内容不一致的，以开标一览表（报价表）为准；</w:t>
      </w:r>
    </w:p>
    <w:p w14:paraId="40B8BE2E">
      <w:pPr>
        <w:spacing w:line="360" w:lineRule="auto"/>
        <w:ind w:firstLine="315"/>
        <w:jc w:val="left"/>
        <w:rPr>
          <w:rFonts w:ascii="Times New Roman" w:hAnsi="Times New Roman" w:eastAsia="宋体" w:cs="宋体"/>
          <w:szCs w:val="21"/>
          <w:highlight w:val="none"/>
        </w:rPr>
      </w:pPr>
      <w:r>
        <w:rPr>
          <w:rFonts w:hint="eastAsia" w:ascii="Times New Roman" w:hAnsi="Times New Roman" w:eastAsia="宋体" w:cs="宋体"/>
          <w:szCs w:val="21"/>
          <w:highlight w:val="none"/>
        </w:rPr>
        <w:t>（2）大写金额和小写金额不一致的，以大写金额为准；</w:t>
      </w:r>
    </w:p>
    <w:p w14:paraId="77220198">
      <w:pPr>
        <w:spacing w:line="360" w:lineRule="auto"/>
        <w:ind w:firstLine="315"/>
        <w:jc w:val="left"/>
        <w:rPr>
          <w:rFonts w:ascii="Times New Roman" w:hAnsi="Times New Roman" w:eastAsia="宋体" w:cs="宋体"/>
          <w:szCs w:val="21"/>
          <w:highlight w:val="none"/>
        </w:rPr>
      </w:pPr>
      <w:r>
        <w:rPr>
          <w:rFonts w:hint="eastAsia" w:ascii="Times New Roman" w:hAnsi="Times New Roman" w:eastAsia="宋体" w:cs="宋体"/>
          <w:szCs w:val="21"/>
          <w:highlight w:val="none"/>
        </w:rPr>
        <w:t>（3）单价金额小数点或者百分比有明显错位的，以开标一览表的总价为准，并修改单价；</w:t>
      </w:r>
    </w:p>
    <w:p w14:paraId="7A2CA879">
      <w:pPr>
        <w:spacing w:line="360" w:lineRule="auto"/>
        <w:ind w:firstLine="315"/>
        <w:jc w:val="left"/>
        <w:rPr>
          <w:rFonts w:ascii="Times New Roman" w:hAnsi="Times New Roman" w:eastAsia="宋体" w:cs="宋体"/>
          <w:szCs w:val="21"/>
          <w:highlight w:val="none"/>
        </w:rPr>
      </w:pPr>
      <w:r>
        <w:rPr>
          <w:rFonts w:hint="eastAsia" w:ascii="Times New Roman" w:hAnsi="Times New Roman" w:eastAsia="宋体" w:cs="宋体"/>
          <w:szCs w:val="21"/>
          <w:highlight w:val="none"/>
        </w:rPr>
        <w:t>（4）总价金额与按单价汇总金额不一致的，以单价金额计算结果为准。</w:t>
      </w:r>
    </w:p>
    <w:p w14:paraId="56CC40D8">
      <w:pPr>
        <w:spacing w:line="360" w:lineRule="auto"/>
        <w:ind w:firstLine="420"/>
        <w:jc w:val="left"/>
        <w:rPr>
          <w:rFonts w:ascii="Times New Roman" w:hAnsi="Times New Roman" w:eastAsia="宋体" w:cs="宋体"/>
          <w:szCs w:val="21"/>
          <w:highlight w:val="none"/>
        </w:rPr>
      </w:pPr>
      <w:r>
        <w:rPr>
          <w:rFonts w:hint="eastAsia" w:ascii="Times New Roman" w:hAnsi="Times New Roman" w:eastAsia="宋体" w:cs="宋体"/>
          <w:szCs w:val="21"/>
          <w:highlight w:val="none"/>
        </w:rPr>
        <w:t>同时出现两种以上不一致的，按照前款规定的顺序修正。修正后的报价按照上述规定经投标人确认后产生约束力，投标人不确认的，其投标无效。</w:t>
      </w:r>
    </w:p>
    <w:p w14:paraId="1B91B693">
      <w:pPr>
        <w:pStyle w:val="4"/>
        <w:spacing w:line="360" w:lineRule="auto"/>
        <w:ind w:left="211" w:right="210" w:hanging="211"/>
        <w:rPr>
          <w:rFonts w:ascii="Times New Roman" w:hAnsi="Times New Roman" w:eastAsia="宋体" w:cs="Microsoft New Tai Lue"/>
          <w:highlight w:val="none"/>
        </w:rPr>
      </w:pPr>
      <w:bookmarkStart w:id="242" w:name="_Toc107246254"/>
      <w:bookmarkStart w:id="243" w:name="_Toc104560874"/>
      <w:bookmarkStart w:id="244" w:name="_Toc103848559"/>
      <w:bookmarkStart w:id="245" w:name="_Toc1748509192"/>
      <w:r>
        <w:rPr>
          <w:rFonts w:ascii="Times New Roman" w:hAnsi="Times New Roman" w:eastAsia="宋体" w:cs="Microsoft New Tai Lue"/>
          <w:highlight w:val="none"/>
        </w:rPr>
        <w:t>30.</w:t>
      </w:r>
      <w:r>
        <w:rPr>
          <w:rFonts w:hint="eastAsia" w:cs="Microsoft New Tai Lue"/>
          <w:highlight w:val="none"/>
          <w:lang w:val="en-US" w:eastAsia="zh-CN"/>
        </w:rPr>
        <w:t>5</w:t>
      </w:r>
      <w:r>
        <w:rPr>
          <w:rFonts w:ascii="Times New Roman" w:hAnsi="Times New Roman" w:eastAsia="宋体" w:cs="Microsoft New Tai Lue"/>
          <w:highlight w:val="none"/>
        </w:rPr>
        <w:t>比较与评价</w:t>
      </w:r>
      <w:bookmarkEnd w:id="242"/>
      <w:bookmarkEnd w:id="243"/>
      <w:bookmarkEnd w:id="244"/>
      <w:bookmarkEnd w:id="245"/>
    </w:p>
    <w:p w14:paraId="169EFD04">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w:t>
      </w:r>
      <w:r>
        <w:rPr>
          <w:rFonts w:hint="eastAsia" w:cs="Microsoft New Tai Lue"/>
          <w:szCs w:val="21"/>
          <w:highlight w:val="none"/>
          <w:lang w:val="en-US" w:eastAsia="zh-CN"/>
        </w:rPr>
        <w:t>5</w:t>
      </w:r>
      <w:r>
        <w:rPr>
          <w:rFonts w:ascii="Times New Roman" w:hAnsi="Times New Roman" w:eastAsia="宋体" w:cs="Microsoft New Tai Lue"/>
          <w:szCs w:val="21"/>
          <w:highlight w:val="none"/>
        </w:rPr>
        <w:t>.1评标委员会应当按照招标文件中</w:t>
      </w:r>
      <w:r>
        <w:rPr>
          <w:rFonts w:hint="eastAsia" w:ascii="Times New Roman" w:hAnsi="Times New Roman" w:eastAsia="宋体" w:cs="Microsoft New Tai Lue"/>
          <w:szCs w:val="21"/>
          <w:highlight w:val="none"/>
        </w:rPr>
        <w:t>第五章《</w:t>
      </w:r>
      <w:r>
        <w:rPr>
          <w:rFonts w:ascii="Times New Roman" w:hAnsi="Times New Roman" w:eastAsia="宋体" w:cs="Microsoft New Tai Lue"/>
          <w:szCs w:val="21"/>
          <w:highlight w:val="none"/>
        </w:rPr>
        <w:t>评标</w:t>
      </w:r>
      <w:r>
        <w:rPr>
          <w:rFonts w:hint="eastAsia" w:ascii="Times New Roman" w:hAnsi="Times New Roman" w:eastAsia="宋体" w:cs="Microsoft New Tai Lue"/>
          <w:szCs w:val="21"/>
          <w:highlight w:val="none"/>
        </w:rPr>
        <w:t>方法</w:t>
      </w:r>
      <w:r>
        <w:rPr>
          <w:rFonts w:ascii="Times New Roman" w:hAnsi="Times New Roman" w:eastAsia="宋体" w:cs="Microsoft New Tai Lue"/>
          <w:szCs w:val="21"/>
          <w:highlight w:val="none"/>
        </w:rPr>
        <w:t>和</w:t>
      </w:r>
      <w:r>
        <w:rPr>
          <w:rFonts w:hint="eastAsia" w:ascii="Times New Roman" w:hAnsi="Times New Roman" w:eastAsia="宋体" w:cs="Microsoft New Tai Lue"/>
          <w:szCs w:val="21"/>
          <w:highlight w:val="none"/>
        </w:rPr>
        <w:t>评标</w:t>
      </w:r>
      <w:r>
        <w:rPr>
          <w:rFonts w:ascii="Times New Roman" w:hAnsi="Times New Roman" w:eastAsia="宋体" w:cs="Microsoft New Tai Lue"/>
          <w:szCs w:val="21"/>
          <w:highlight w:val="none"/>
        </w:rPr>
        <w:t>标准</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，对符合性审查合格的投标文件进行比较与评价。</w:t>
      </w:r>
    </w:p>
    <w:p w14:paraId="2854C347">
      <w:pPr>
        <w:pStyle w:val="4"/>
        <w:spacing w:line="360" w:lineRule="auto"/>
        <w:ind w:left="211" w:right="210" w:hanging="211"/>
        <w:rPr>
          <w:rFonts w:ascii="Times New Roman" w:hAnsi="Times New Roman" w:eastAsia="宋体" w:cs="Microsoft New Tai Lue"/>
          <w:highlight w:val="none"/>
        </w:rPr>
      </w:pPr>
      <w:bookmarkStart w:id="246" w:name="_Toc107246255"/>
      <w:bookmarkStart w:id="247" w:name="_Toc1027764396"/>
      <w:r>
        <w:rPr>
          <w:rFonts w:ascii="Times New Roman" w:hAnsi="Times New Roman" w:eastAsia="宋体" w:cs="Microsoft New Tai Lue"/>
          <w:highlight w:val="none"/>
        </w:rPr>
        <w:t>30.</w:t>
      </w:r>
      <w:r>
        <w:rPr>
          <w:rFonts w:hint="eastAsia" w:cs="Microsoft New Tai Lue"/>
          <w:highlight w:val="none"/>
          <w:lang w:val="en-US" w:eastAsia="zh-CN"/>
        </w:rPr>
        <w:t>6</w:t>
      </w:r>
      <w:r>
        <w:rPr>
          <w:rFonts w:hint="eastAsia" w:ascii="Times New Roman" w:hAnsi="Times New Roman" w:eastAsia="宋体" w:cs="Microsoft New Tai Lue"/>
          <w:highlight w:val="none"/>
        </w:rPr>
        <w:t>编写评标报告</w:t>
      </w:r>
      <w:bookmarkEnd w:id="246"/>
      <w:bookmarkEnd w:id="247"/>
    </w:p>
    <w:p w14:paraId="4B9F8EA1">
      <w:pPr>
        <w:spacing w:line="360" w:lineRule="auto"/>
        <w:ind w:left="214" w:firstLine="420"/>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w:t>
      </w:r>
      <w:r>
        <w:rPr>
          <w:rFonts w:ascii="Times New Roman" w:hAnsi="Times New Roman" w:eastAsia="宋体" w:cs="Microsoft New Tai Lue"/>
          <w:szCs w:val="21"/>
          <w:highlight w:val="none"/>
        </w:rPr>
        <w:t>0.</w:t>
      </w:r>
      <w:r>
        <w:rPr>
          <w:rFonts w:hint="eastAsia" w:cs="Microsoft New Tai Lue"/>
          <w:szCs w:val="21"/>
          <w:highlight w:val="none"/>
          <w:lang w:val="en-US" w:eastAsia="zh-CN"/>
        </w:rPr>
        <w:t>6</w:t>
      </w:r>
      <w:r>
        <w:rPr>
          <w:rFonts w:ascii="Times New Roman" w:hAnsi="Times New Roman" w:eastAsia="宋体" w:cs="Microsoft New Tai Lue"/>
          <w:szCs w:val="21"/>
          <w:highlight w:val="none"/>
        </w:rPr>
        <w:t>.1评标委员会根据全体评标成员签字的原始评标记录和评标结果编写评标报告</w:t>
      </w:r>
      <w:r>
        <w:rPr>
          <w:rFonts w:hint="eastAsia" w:ascii="Times New Roman" w:hAnsi="Times New Roman" w:eastAsia="宋体" w:cs="Microsoft New Tai Lue"/>
          <w:szCs w:val="21"/>
          <w:highlight w:val="none"/>
        </w:rPr>
        <w:t>。</w:t>
      </w:r>
    </w:p>
    <w:p w14:paraId="79869FEF">
      <w:pPr>
        <w:pStyle w:val="4"/>
        <w:tabs>
          <w:tab w:val="left" w:pos="5882"/>
        </w:tabs>
        <w:spacing w:line="360" w:lineRule="auto"/>
        <w:ind w:left="211" w:right="210" w:hanging="211"/>
        <w:rPr>
          <w:rFonts w:ascii="Times New Roman" w:hAnsi="Times New Roman" w:eastAsia="宋体" w:cs="Microsoft New Tai Lue"/>
          <w:highlight w:val="none"/>
        </w:rPr>
      </w:pPr>
      <w:bookmarkStart w:id="248" w:name="_Toc103848561"/>
      <w:bookmarkStart w:id="249" w:name="_Toc104560876"/>
      <w:bookmarkStart w:id="250" w:name="_Toc107246256"/>
      <w:bookmarkStart w:id="251" w:name="_Toc1425230751"/>
      <w:r>
        <w:rPr>
          <w:rFonts w:ascii="Times New Roman" w:hAnsi="Times New Roman" w:eastAsia="宋体" w:cs="Microsoft New Tai Lue"/>
          <w:highlight w:val="none"/>
        </w:rPr>
        <w:t>30.</w:t>
      </w:r>
      <w:r>
        <w:rPr>
          <w:rFonts w:hint="eastAsia" w:cs="Microsoft New Tai Lue"/>
          <w:highlight w:val="none"/>
          <w:lang w:val="en-US" w:eastAsia="zh-CN"/>
        </w:rPr>
        <w:t>7</w:t>
      </w:r>
      <w:r>
        <w:rPr>
          <w:rFonts w:ascii="Times New Roman" w:hAnsi="Times New Roman" w:eastAsia="宋体" w:cs="Microsoft New Tai Lue"/>
          <w:highlight w:val="none"/>
        </w:rPr>
        <w:t>评标过程的保密</w:t>
      </w:r>
      <w:bookmarkEnd w:id="248"/>
      <w:bookmarkEnd w:id="249"/>
      <w:bookmarkEnd w:id="250"/>
      <w:bookmarkEnd w:id="251"/>
      <w:r>
        <w:rPr>
          <w:rFonts w:ascii="Times New Roman" w:hAnsi="Times New Roman" w:eastAsia="宋体" w:cs="Microsoft New Tai Lue"/>
          <w:highlight w:val="none"/>
        </w:rPr>
        <w:tab/>
      </w:r>
    </w:p>
    <w:p w14:paraId="7EF7615E">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w:t>
      </w:r>
      <w:r>
        <w:rPr>
          <w:rFonts w:hint="eastAsia" w:cs="Microsoft New Tai Lue"/>
          <w:szCs w:val="21"/>
          <w:highlight w:val="none"/>
          <w:lang w:val="en-US" w:eastAsia="zh-CN"/>
        </w:rPr>
        <w:t>7</w:t>
      </w:r>
      <w:r>
        <w:rPr>
          <w:rFonts w:ascii="Times New Roman" w:hAnsi="Times New Roman" w:eastAsia="宋体" w:cs="Microsoft New Tai Lue"/>
          <w:szCs w:val="21"/>
          <w:highlight w:val="none"/>
        </w:rPr>
        <w:t>.1</w:t>
      </w:r>
      <w:r>
        <w:rPr>
          <w:rFonts w:hint="eastAsia" w:ascii="Times New Roman" w:hAnsi="Times New Roman" w:eastAsia="宋体" w:cs="Microsoft New Tai Lue"/>
          <w:szCs w:val="21"/>
          <w:highlight w:val="none"/>
        </w:rPr>
        <w:t>评标委员会成员名单在评标结果公示前应当保密。</w:t>
      </w:r>
    </w:p>
    <w:p w14:paraId="5968E9C1">
      <w:pPr>
        <w:spacing w:line="360" w:lineRule="auto"/>
        <w:ind w:left="214" w:firstLine="315"/>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w:t>
      </w:r>
      <w:r>
        <w:rPr>
          <w:rFonts w:ascii="Times New Roman" w:hAnsi="Times New Roman" w:eastAsia="宋体" w:cs="Microsoft New Tai Lue"/>
          <w:szCs w:val="21"/>
          <w:highlight w:val="none"/>
        </w:rPr>
        <w:t>0.</w:t>
      </w:r>
      <w:r>
        <w:rPr>
          <w:rFonts w:hint="eastAsia" w:cs="Microsoft New Tai Lue"/>
          <w:szCs w:val="21"/>
          <w:highlight w:val="none"/>
          <w:lang w:val="en-US" w:eastAsia="zh-CN"/>
        </w:rPr>
        <w:t>7</w:t>
      </w:r>
      <w:r>
        <w:rPr>
          <w:rFonts w:ascii="Times New Roman" w:hAnsi="Times New Roman" w:eastAsia="宋体" w:cs="Microsoft New Tai Lue"/>
          <w:szCs w:val="21"/>
          <w:highlight w:val="none"/>
        </w:rPr>
        <w:t>.2</w:t>
      </w:r>
      <w:r>
        <w:rPr>
          <w:rFonts w:hint="eastAsia" w:ascii="Times New Roman" w:hAnsi="Times New Roman" w:eastAsia="宋体" w:cs="Microsoft New Tai Lue"/>
          <w:szCs w:val="21"/>
          <w:highlight w:val="none"/>
        </w:rPr>
        <w:t>采购方应当</w:t>
      </w:r>
      <w:r>
        <w:rPr>
          <w:rFonts w:ascii="Times New Roman" w:hAnsi="Times New Roman" w:eastAsia="宋体" w:cs="Microsoft New Tai Lue"/>
          <w:szCs w:val="21"/>
          <w:highlight w:val="none"/>
        </w:rPr>
        <w:t>采取必要</w:t>
      </w:r>
      <w:r>
        <w:rPr>
          <w:rFonts w:hint="eastAsia" w:ascii="Times New Roman" w:hAnsi="Times New Roman" w:eastAsia="宋体" w:cs="Microsoft New Tai Lue"/>
          <w:szCs w:val="21"/>
          <w:highlight w:val="none"/>
        </w:rPr>
        <w:t>的</w:t>
      </w:r>
      <w:r>
        <w:rPr>
          <w:rFonts w:ascii="Times New Roman" w:hAnsi="Times New Roman" w:eastAsia="宋体" w:cs="Microsoft New Tai Lue"/>
          <w:szCs w:val="21"/>
          <w:highlight w:val="none"/>
        </w:rPr>
        <w:t>措施，保证评标在严格保密的情况下进行。</w:t>
      </w:r>
    </w:p>
    <w:p w14:paraId="21F9F220">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30.</w:t>
      </w:r>
      <w:r>
        <w:rPr>
          <w:rFonts w:hint="eastAsia" w:cs="Microsoft New Tai Lue"/>
          <w:szCs w:val="21"/>
          <w:highlight w:val="none"/>
          <w:lang w:val="en-US" w:eastAsia="zh-CN"/>
        </w:rPr>
        <w:t>7</w:t>
      </w:r>
      <w:r>
        <w:rPr>
          <w:rFonts w:ascii="Times New Roman" w:hAnsi="Times New Roman" w:eastAsia="宋体" w:cs="Microsoft New Tai Lue"/>
          <w:szCs w:val="21"/>
          <w:highlight w:val="none"/>
        </w:rPr>
        <w:t>.3</w:t>
      </w:r>
      <w:r>
        <w:rPr>
          <w:rFonts w:hint="eastAsia" w:ascii="Times New Roman" w:hAnsi="Times New Roman" w:eastAsia="宋体" w:cs="Microsoft New Tai Lue"/>
          <w:szCs w:val="21"/>
          <w:highlight w:val="none"/>
        </w:rPr>
        <w:t>有关人员对评标情况以及在评标过程中获悉的国家秘密、商业秘密负有保密责任。</w:t>
      </w:r>
    </w:p>
    <w:p w14:paraId="1AD55D27">
      <w:pPr>
        <w:pStyle w:val="3"/>
        <w:spacing w:line="360" w:lineRule="auto"/>
        <w:ind w:left="211" w:right="210" w:hanging="211"/>
        <w:rPr>
          <w:rFonts w:ascii="Times New Roman" w:hAnsi="Times New Roman" w:eastAsia="宋体" w:cs="Microsoft New Tai Lue"/>
          <w:highlight w:val="none"/>
        </w:rPr>
      </w:pPr>
      <w:bookmarkStart w:id="252" w:name="_Toc820633419"/>
      <w:r>
        <w:rPr>
          <w:rFonts w:ascii="Times New Roman" w:hAnsi="Times New Roman" w:eastAsia="宋体" w:cs="Microsoft New Tai Lue"/>
          <w:highlight w:val="none"/>
        </w:rPr>
        <w:t>六．</w:t>
      </w:r>
      <w:r>
        <w:rPr>
          <w:rFonts w:hint="eastAsia" w:ascii="Times New Roman" w:hAnsi="Times New Roman" w:eastAsia="宋体" w:cs="Microsoft New Tai Lue"/>
          <w:highlight w:val="none"/>
        </w:rPr>
        <w:t>确定中标</w:t>
      </w:r>
      <w:bookmarkEnd w:id="252"/>
    </w:p>
    <w:p w14:paraId="02F512B5">
      <w:pPr>
        <w:pStyle w:val="4"/>
        <w:spacing w:line="360" w:lineRule="auto"/>
        <w:ind w:left="211" w:right="210" w:hanging="211"/>
        <w:rPr>
          <w:rFonts w:ascii="Times New Roman" w:hAnsi="Times New Roman" w:eastAsia="宋体" w:cs="Microsoft New Tai Lue"/>
          <w:highlight w:val="none"/>
        </w:rPr>
      </w:pPr>
      <w:bookmarkStart w:id="253" w:name="_Toc104560878"/>
      <w:bookmarkStart w:id="254" w:name="_Toc103848563"/>
      <w:bookmarkStart w:id="255" w:name="_Toc1245892099"/>
      <w:bookmarkStart w:id="256" w:name="_Toc107246258"/>
      <w:r>
        <w:rPr>
          <w:rFonts w:ascii="Times New Roman" w:hAnsi="Times New Roman" w:eastAsia="宋体" w:cs="Microsoft New Tai Lue"/>
          <w:highlight w:val="none"/>
        </w:rPr>
        <w:t>31.确定中标</w:t>
      </w:r>
      <w:bookmarkEnd w:id="253"/>
      <w:bookmarkEnd w:id="254"/>
      <w:r>
        <w:rPr>
          <w:rFonts w:hint="eastAsia" w:ascii="Times New Roman" w:hAnsi="Times New Roman" w:eastAsia="宋体" w:cs="Microsoft New Tai Lue"/>
          <w:highlight w:val="none"/>
        </w:rPr>
        <w:t>人</w:t>
      </w:r>
      <w:bookmarkEnd w:id="255"/>
      <w:bookmarkEnd w:id="256"/>
    </w:p>
    <w:p w14:paraId="7B6E350D">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31.1采用最低评标价法的，评标结果按投标报价由低到高顺序排列。投标报价相同的并列。投标文件满足招标文件全部实质性要求且投标报价最低的投标人为排名第一的中标候选人。</w:t>
      </w:r>
    </w:p>
    <w:p w14:paraId="67663E06">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31.2</w:t>
      </w:r>
      <w:r>
        <w:rPr>
          <w:rFonts w:hint="eastAsia" w:ascii="Times New Roman" w:hAnsi="Times New Roman" w:eastAsia="宋体" w:cs="Microsoft New Tai Lue"/>
          <w:szCs w:val="21"/>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6D73CCC">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31</w:t>
      </w:r>
      <w:r>
        <w:rPr>
          <w:rFonts w:hint="eastAsia" w:ascii="Times New Roman" w:hAnsi="Times New Roman" w:eastAsia="宋体" w:cs="Microsoft New Tai Lue"/>
          <w:szCs w:val="21"/>
          <w:highlight w:val="none"/>
        </w:rPr>
        <w:t>.3中标候选人并列的，由采购人或者采购人委托评标委员会按照</w:t>
      </w:r>
      <w:r>
        <w:rPr>
          <w:rFonts w:hint="eastAsia" w:ascii="Times New Roman" w:hAnsi="Times New Roman" w:eastAsia="宋体" w:cs="Microsoft New Tai Lue"/>
          <w:b/>
          <w:szCs w:val="21"/>
          <w:highlight w:val="none"/>
        </w:rPr>
        <w:t>投标人须知前附表</w:t>
      </w:r>
      <w:r>
        <w:rPr>
          <w:rFonts w:hint="eastAsia" w:ascii="Times New Roman" w:hAnsi="Times New Roman" w:eastAsia="宋体" w:cs="Microsoft New Tai Lue"/>
          <w:szCs w:val="21"/>
          <w:highlight w:val="none"/>
        </w:rPr>
        <w:t>规定的方式确定中标人。</w:t>
      </w:r>
    </w:p>
    <w:p w14:paraId="23B48023">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31.4评审结束后，中标</w:t>
      </w:r>
      <w:r>
        <w:rPr>
          <w:rFonts w:hint="eastAsia" w:ascii="Times New Roman" w:hAnsi="Times New Roman" w:eastAsia="宋体" w:cs="Microsoft New Tai Lue"/>
          <w:szCs w:val="21"/>
          <w:highlight w:val="none"/>
        </w:rPr>
        <w:t>人</w:t>
      </w:r>
      <w:r>
        <w:rPr>
          <w:rFonts w:ascii="Times New Roman" w:hAnsi="Times New Roman" w:eastAsia="宋体" w:cs="Microsoft New Tai Lue"/>
          <w:szCs w:val="21"/>
          <w:highlight w:val="none"/>
        </w:rPr>
        <w:t>名单将</w:t>
      </w:r>
      <w:r>
        <w:rPr>
          <w:rFonts w:hint="eastAsia" w:ascii="Times New Roman" w:hAnsi="Times New Roman" w:eastAsia="宋体" w:cs="Microsoft New Tai Lue"/>
          <w:szCs w:val="21"/>
          <w:highlight w:val="none"/>
        </w:rPr>
        <w:t>在相应</w:t>
      </w:r>
      <w:r>
        <w:rPr>
          <w:rFonts w:ascii="Times New Roman" w:hAnsi="Times New Roman" w:eastAsia="宋体" w:cs="Microsoft New Tai Lue"/>
          <w:szCs w:val="21"/>
          <w:highlight w:val="none"/>
        </w:rPr>
        <w:t>的媒体上公告中标结果，中标公告期为1个工作日</w:t>
      </w:r>
      <w:r>
        <w:rPr>
          <w:rFonts w:hint="eastAsia" w:ascii="Times New Roman" w:hAnsi="Times New Roman" w:eastAsia="宋体" w:cs="Microsoft New Tai Lue"/>
          <w:szCs w:val="21"/>
          <w:highlight w:val="none"/>
        </w:rPr>
        <w:t>，</w:t>
      </w:r>
      <w:r>
        <w:rPr>
          <w:rFonts w:ascii="Times New Roman" w:hAnsi="Times New Roman" w:eastAsia="宋体" w:cs="Microsoft New Tai Lue"/>
          <w:szCs w:val="21"/>
          <w:highlight w:val="none"/>
        </w:rPr>
        <w:t>公告媒体</w:t>
      </w:r>
      <w:r>
        <w:rPr>
          <w:rFonts w:hint="eastAsia" w:ascii="Times New Roman" w:hAnsi="Times New Roman" w:eastAsia="宋体" w:cs="Microsoft New Tai Lue"/>
          <w:szCs w:val="21"/>
          <w:highlight w:val="none"/>
        </w:rPr>
        <w:t>见</w:t>
      </w:r>
      <w:r>
        <w:rPr>
          <w:rFonts w:hint="eastAsia" w:ascii="Times New Roman" w:hAnsi="Times New Roman" w:eastAsia="宋体" w:cs="Microsoft New Tai Lue"/>
          <w:b/>
          <w:szCs w:val="21"/>
          <w:highlight w:val="none"/>
        </w:rPr>
        <w:t>投标人</w:t>
      </w:r>
      <w:r>
        <w:rPr>
          <w:rFonts w:ascii="Times New Roman" w:hAnsi="Times New Roman" w:eastAsia="宋体" w:cs="Microsoft New Tai Lue"/>
          <w:b/>
          <w:szCs w:val="21"/>
          <w:highlight w:val="none"/>
        </w:rPr>
        <w:t>须知</w:t>
      </w:r>
      <w:r>
        <w:rPr>
          <w:rFonts w:hint="eastAsia" w:ascii="Times New Roman" w:hAnsi="Times New Roman" w:eastAsia="宋体" w:cs="Microsoft New Tai Lue"/>
          <w:b/>
          <w:szCs w:val="21"/>
          <w:highlight w:val="none"/>
        </w:rPr>
        <w:t>前附表。</w:t>
      </w:r>
    </w:p>
    <w:p w14:paraId="670A5B1E">
      <w:pPr>
        <w:pStyle w:val="4"/>
        <w:spacing w:line="360" w:lineRule="auto"/>
        <w:ind w:left="211" w:right="210" w:hanging="211"/>
        <w:rPr>
          <w:rFonts w:ascii="Times New Roman" w:hAnsi="Times New Roman" w:eastAsia="宋体" w:cs="Microsoft New Tai Lue"/>
          <w:highlight w:val="none"/>
        </w:rPr>
      </w:pPr>
      <w:bookmarkStart w:id="257" w:name="_Toc107246259"/>
      <w:bookmarkStart w:id="258" w:name="_Toc103848564"/>
      <w:bookmarkStart w:id="259" w:name="_Toc1742949643"/>
      <w:bookmarkStart w:id="260" w:name="_Toc104560879"/>
      <w:r>
        <w:rPr>
          <w:rFonts w:ascii="Times New Roman" w:hAnsi="Times New Roman" w:eastAsia="宋体" w:cs="Microsoft New Tai Lue"/>
          <w:highlight w:val="none"/>
        </w:rPr>
        <w:t>32.中标通知书</w:t>
      </w:r>
      <w:bookmarkEnd w:id="257"/>
      <w:bookmarkEnd w:id="258"/>
      <w:bookmarkEnd w:id="259"/>
      <w:bookmarkEnd w:id="260"/>
    </w:p>
    <w:p w14:paraId="75AF26DF">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32.1采购代理机构将在中标公告发布的同时向中标</w:t>
      </w:r>
      <w:r>
        <w:rPr>
          <w:rFonts w:hint="eastAsia" w:ascii="Times New Roman" w:hAnsi="Times New Roman" w:eastAsia="宋体" w:cs="Microsoft New Tai Lue"/>
          <w:szCs w:val="21"/>
          <w:highlight w:val="none"/>
        </w:rPr>
        <w:t>人</w:t>
      </w:r>
      <w:r>
        <w:rPr>
          <w:rFonts w:ascii="Times New Roman" w:hAnsi="Times New Roman" w:eastAsia="宋体" w:cs="Microsoft New Tai Lue"/>
          <w:szCs w:val="21"/>
          <w:highlight w:val="none"/>
        </w:rPr>
        <w:t>发出中标通知书。</w:t>
      </w:r>
    </w:p>
    <w:p w14:paraId="05009DCD">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32.2中标通知书将是合同的组成部分。对采购人和中标</w:t>
      </w:r>
      <w:r>
        <w:rPr>
          <w:rFonts w:hint="eastAsia" w:ascii="Times New Roman" w:hAnsi="Times New Roman" w:eastAsia="宋体" w:cs="Microsoft New Tai Lue"/>
          <w:szCs w:val="21"/>
          <w:highlight w:val="none"/>
        </w:rPr>
        <w:t>人</w:t>
      </w:r>
      <w:r>
        <w:rPr>
          <w:rFonts w:ascii="Times New Roman" w:hAnsi="Times New Roman" w:eastAsia="宋体" w:cs="Microsoft New Tai Lue"/>
          <w:szCs w:val="21"/>
          <w:highlight w:val="none"/>
        </w:rPr>
        <w:t>均具有法律效力。</w:t>
      </w:r>
    </w:p>
    <w:p w14:paraId="52E3A216">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32.3</w:t>
      </w:r>
      <w:bookmarkStart w:id="261" w:name="_Toc103848560"/>
      <w:bookmarkStart w:id="262" w:name="_Toc104560875"/>
      <w:r>
        <w:rPr>
          <w:rFonts w:ascii="Times New Roman" w:hAnsi="Times New Roman" w:eastAsia="宋体" w:cs="Microsoft New Tai Lue"/>
          <w:szCs w:val="21"/>
          <w:highlight w:val="none"/>
        </w:rPr>
        <w:t>中标通知书发出后</w:t>
      </w:r>
      <w:r>
        <w:rPr>
          <w:rFonts w:hint="eastAsia" w:ascii="Times New Roman" w:hAnsi="Times New Roman" w:eastAsia="宋体" w:cs="Microsoft New Tai Lue"/>
          <w:szCs w:val="21"/>
          <w:highlight w:val="none"/>
        </w:rPr>
        <w:t>，中标人无正当理由不得放弃中标，否则将依法承担法律责任。</w:t>
      </w:r>
    </w:p>
    <w:p w14:paraId="6383B81C">
      <w:pPr>
        <w:pStyle w:val="4"/>
        <w:spacing w:line="360" w:lineRule="auto"/>
        <w:ind w:left="211" w:right="210" w:hanging="211"/>
        <w:rPr>
          <w:rFonts w:ascii="Times New Roman" w:hAnsi="Times New Roman" w:eastAsia="宋体" w:cs="Microsoft New Tai Lue"/>
          <w:highlight w:val="none"/>
        </w:rPr>
      </w:pPr>
      <w:bookmarkStart w:id="263" w:name="_Toc107246260"/>
      <w:bookmarkStart w:id="264" w:name="_Toc2077704821"/>
      <w:r>
        <w:rPr>
          <w:rFonts w:ascii="Times New Roman" w:hAnsi="Times New Roman" w:eastAsia="宋体" w:cs="Microsoft New Tai Lue"/>
          <w:highlight w:val="none"/>
        </w:rPr>
        <w:t>33.废标</w:t>
      </w:r>
      <w:bookmarkEnd w:id="261"/>
      <w:bookmarkEnd w:id="262"/>
      <w:bookmarkEnd w:id="263"/>
      <w:bookmarkEnd w:id="264"/>
    </w:p>
    <w:p w14:paraId="2668E287">
      <w:pPr>
        <w:spacing w:line="360" w:lineRule="auto"/>
        <w:ind w:left="214" w:firstLine="315"/>
        <w:jc w:val="left"/>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b/>
          <w:szCs w:val="21"/>
          <w:highlight w:val="none"/>
        </w:rPr>
        <w:t>33</w:t>
      </w:r>
      <w:r>
        <w:rPr>
          <w:rFonts w:hint="eastAsia" w:ascii="Times New Roman" w:hAnsi="Times New Roman" w:eastAsia="宋体" w:cs="Microsoft New Tai Lue"/>
          <w:b/>
          <w:szCs w:val="21"/>
          <w:highlight w:val="none"/>
        </w:rPr>
        <w:t>.1出现下列情形之一的，应予废标：</w:t>
      </w:r>
    </w:p>
    <w:p w14:paraId="7E10264A">
      <w:pPr>
        <w:spacing w:line="360" w:lineRule="auto"/>
        <w:ind w:left="214" w:firstLine="315"/>
        <w:jc w:val="lef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（1）符合专业条件的投标人或者对招标文件作实质响应的投标人不足三家的；</w:t>
      </w:r>
    </w:p>
    <w:p w14:paraId="31643DB2">
      <w:pPr>
        <w:spacing w:line="360" w:lineRule="auto"/>
        <w:ind w:left="214" w:firstLine="315"/>
        <w:jc w:val="lef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（2）出现影响采购公正的违法、违规行为的；</w:t>
      </w:r>
    </w:p>
    <w:p w14:paraId="012B9542">
      <w:pPr>
        <w:spacing w:line="360" w:lineRule="auto"/>
        <w:ind w:left="214" w:firstLine="315"/>
        <w:jc w:val="lef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（3）投标人的报价均超过了采购预算，采购人不能支付的；</w:t>
      </w:r>
    </w:p>
    <w:p w14:paraId="51E575DD">
      <w:pPr>
        <w:spacing w:line="360" w:lineRule="auto"/>
        <w:ind w:left="214" w:firstLine="315"/>
        <w:jc w:val="left"/>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（4）因重大变故，采购任务取消的。</w:t>
      </w:r>
    </w:p>
    <w:p w14:paraId="45EB9151">
      <w:pPr>
        <w:spacing w:line="360" w:lineRule="auto"/>
        <w:ind w:left="214" w:firstLine="315"/>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33.2</w:t>
      </w:r>
      <w:r>
        <w:rPr>
          <w:rFonts w:hint="eastAsia" w:ascii="Times New Roman" w:hAnsi="Times New Roman" w:eastAsia="宋体" w:cs="Microsoft New Tai Lue"/>
          <w:szCs w:val="21"/>
          <w:highlight w:val="none"/>
        </w:rPr>
        <w:t>废标后，采购人将废标理由通知所有投标人。</w:t>
      </w:r>
    </w:p>
    <w:p w14:paraId="75BA45DA">
      <w:pPr>
        <w:pStyle w:val="4"/>
        <w:spacing w:line="360" w:lineRule="auto"/>
        <w:ind w:left="211" w:right="210" w:hanging="211"/>
        <w:rPr>
          <w:rFonts w:ascii="Times New Roman" w:hAnsi="Times New Roman" w:eastAsia="宋体" w:cs="Microsoft New Tai Lue"/>
          <w:highlight w:val="none"/>
        </w:rPr>
      </w:pPr>
      <w:bookmarkStart w:id="265" w:name="_Toc104560880"/>
      <w:bookmarkStart w:id="266" w:name="_Toc107246261"/>
      <w:bookmarkStart w:id="267" w:name="_Toc103848565"/>
      <w:bookmarkStart w:id="268" w:name="_Toc1900826327"/>
      <w:bookmarkStart w:id="269" w:name="_Toc20823309"/>
      <w:bookmarkStart w:id="270" w:name="_Toc513029237"/>
      <w:bookmarkStart w:id="271" w:name="_Toc16938553"/>
      <w:r>
        <w:rPr>
          <w:rFonts w:ascii="Times New Roman" w:hAnsi="Times New Roman" w:eastAsia="宋体" w:cs="Microsoft New Tai Lue"/>
          <w:highlight w:val="none"/>
        </w:rPr>
        <w:t>34.签订合同</w:t>
      </w:r>
      <w:bookmarkEnd w:id="265"/>
      <w:bookmarkEnd w:id="266"/>
      <w:bookmarkEnd w:id="267"/>
      <w:bookmarkEnd w:id="268"/>
    </w:p>
    <w:p w14:paraId="259F9C30">
      <w:pPr>
        <w:spacing w:line="360" w:lineRule="auto"/>
        <w:ind w:left="214" w:firstLine="420"/>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w:t>
      </w:r>
      <w:r>
        <w:rPr>
          <w:rFonts w:ascii="Times New Roman" w:hAnsi="Times New Roman" w:eastAsia="宋体" w:cs="Microsoft New Tai Lue"/>
          <w:szCs w:val="21"/>
          <w:highlight w:val="none"/>
        </w:rPr>
        <w:t>4.1中标人、采购人应当自中标通知书发出之日起30日内，按照招标文件和中标人投标文件的规定签订书面合同。所签订的合同不得对招标文件确定的事项和中标人投标文件作实质性修改。</w:t>
      </w:r>
    </w:p>
    <w:p w14:paraId="39BDCE03">
      <w:pPr>
        <w:spacing w:line="360" w:lineRule="auto"/>
        <w:ind w:left="214" w:firstLine="420"/>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w:t>
      </w:r>
      <w:r>
        <w:rPr>
          <w:rFonts w:ascii="Times New Roman" w:hAnsi="Times New Roman" w:eastAsia="宋体" w:cs="Microsoft New Tai Lue"/>
          <w:szCs w:val="21"/>
          <w:highlight w:val="none"/>
        </w:rPr>
        <w:t>4.2中标人</w:t>
      </w:r>
      <w:r>
        <w:rPr>
          <w:rFonts w:hint="eastAsia" w:ascii="Times New Roman" w:hAnsi="Times New Roman" w:eastAsia="宋体" w:cs="Microsoft New Tai Lue"/>
          <w:szCs w:val="21"/>
          <w:highlight w:val="none"/>
        </w:rPr>
        <w:t>拒绝</w:t>
      </w:r>
      <w:r>
        <w:rPr>
          <w:rFonts w:ascii="Times New Roman" w:hAnsi="Times New Roman" w:eastAsia="宋体" w:cs="Microsoft New Tai Lue"/>
          <w:szCs w:val="21"/>
          <w:highlight w:val="none"/>
        </w:rPr>
        <w:t>与采购人签订合同的，采购人</w:t>
      </w:r>
      <w:r>
        <w:rPr>
          <w:rFonts w:hint="eastAsia" w:ascii="Times New Roman" w:hAnsi="Times New Roman" w:eastAsia="宋体" w:cs="Microsoft New Tai Lue"/>
          <w:szCs w:val="21"/>
          <w:highlight w:val="none"/>
        </w:rPr>
        <w:t>可以</w:t>
      </w:r>
      <w:r>
        <w:rPr>
          <w:rFonts w:ascii="Times New Roman" w:hAnsi="Times New Roman" w:eastAsia="宋体" w:cs="Microsoft New Tai Lue"/>
          <w:szCs w:val="21"/>
          <w:highlight w:val="none"/>
        </w:rPr>
        <w:t>按照评</w:t>
      </w:r>
      <w:r>
        <w:rPr>
          <w:rFonts w:hint="eastAsia" w:ascii="Times New Roman" w:hAnsi="Times New Roman" w:eastAsia="宋体" w:cs="Microsoft New Tai Lue"/>
          <w:szCs w:val="21"/>
          <w:highlight w:val="none"/>
        </w:rPr>
        <w:t>标</w:t>
      </w:r>
      <w:r>
        <w:rPr>
          <w:rFonts w:ascii="Times New Roman" w:hAnsi="Times New Roman" w:eastAsia="宋体" w:cs="Microsoft New Tai Lue"/>
          <w:szCs w:val="21"/>
          <w:highlight w:val="none"/>
        </w:rPr>
        <w:t>报告推荐的中标候选人名单排序，确定下一候选人为中标人，</w:t>
      </w:r>
      <w:r>
        <w:rPr>
          <w:rFonts w:hint="eastAsia" w:ascii="Times New Roman" w:hAnsi="Times New Roman" w:eastAsia="宋体" w:cs="Microsoft New Tai Lue"/>
          <w:szCs w:val="21"/>
          <w:highlight w:val="none"/>
        </w:rPr>
        <w:t>也可以</w:t>
      </w:r>
      <w:r>
        <w:rPr>
          <w:rFonts w:ascii="Times New Roman" w:hAnsi="Times New Roman" w:eastAsia="宋体" w:cs="Microsoft New Tai Lue"/>
          <w:szCs w:val="21"/>
          <w:highlight w:val="none"/>
        </w:rPr>
        <w:t>重新开展政府采购活动。</w:t>
      </w:r>
    </w:p>
    <w:p w14:paraId="6CD4FAAA">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34.3联合体中标的，联合体各方应当共同与采购人签订合同，就中标项目向采购人承担连带责任。</w:t>
      </w:r>
    </w:p>
    <w:p w14:paraId="1777BEE3">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34.4</w:t>
      </w:r>
      <w:r>
        <w:rPr>
          <w:rFonts w:hint="eastAsia" w:ascii="Times New Roman" w:hAnsi="Times New Roman" w:eastAsia="宋体" w:cs="Microsoft New Tai Lue"/>
          <w:szCs w:val="21"/>
          <w:highlight w:val="none"/>
        </w:rPr>
        <w:t>政府采购合同不能转包</w:t>
      </w:r>
      <w:r>
        <w:rPr>
          <w:rFonts w:ascii="Times New Roman" w:hAnsi="Times New Roman" w:eastAsia="宋体" w:cs="Microsoft New Tai Lue"/>
          <w:szCs w:val="21"/>
          <w:highlight w:val="none"/>
        </w:rPr>
        <w:t>。未经采购人同意，中标人也不得采用分包的形式履行合同，否则采购人有权终止合同。转包或分包造成采购人损失的，中标人应承担相应赔偿责任。</w:t>
      </w:r>
    </w:p>
    <w:p w14:paraId="39B0D7A8">
      <w:pPr>
        <w:pStyle w:val="4"/>
        <w:spacing w:line="360" w:lineRule="auto"/>
        <w:ind w:left="211" w:right="210" w:hanging="211"/>
        <w:rPr>
          <w:rFonts w:ascii="Times New Roman" w:hAnsi="Times New Roman" w:eastAsia="宋体" w:cs="Microsoft New Tai Lue"/>
          <w:szCs w:val="21"/>
          <w:highlight w:val="none"/>
        </w:rPr>
      </w:pPr>
      <w:bookmarkStart w:id="272" w:name="_Toc104560881"/>
      <w:bookmarkStart w:id="273" w:name="_Toc1221345117"/>
      <w:bookmarkStart w:id="274" w:name="_Toc107246262"/>
      <w:bookmarkStart w:id="275" w:name="_Toc103848567"/>
      <w:r>
        <w:rPr>
          <w:rFonts w:ascii="Times New Roman" w:hAnsi="Times New Roman" w:eastAsia="宋体" w:cs="Microsoft New Tai Lue"/>
          <w:szCs w:val="21"/>
          <w:highlight w:val="none"/>
        </w:rPr>
        <w:t>35.履约保证金</w:t>
      </w:r>
      <w:bookmarkEnd w:id="272"/>
      <w:bookmarkEnd w:id="273"/>
      <w:bookmarkEnd w:id="274"/>
      <w:bookmarkEnd w:id="275"/>
    </w:p>
    <w:p w14:paraId="14235DD0">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35.1本项目是否缴纳履约保证金见</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w:t>
      </w:r>
    </w:p>
    <w:p w14:paraId="2AD50274">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35.2</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规定交纳履约保证金的，中标人在签订采购合同前，向采购人提交履约保证金。联合体成交的，履约保证金以联合体各方或联合体中牵头人的名义提交。</w:t>
      </w:r>
    </w:p>
    <w:p w14:paraId="0804DE90">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w:t>
      </w:r>
      <w:r>
        <w:rPr>
          <w:rFonts w:ascii="Times New Roman" w:hAnsi="Times New Roman" w:eastAsia="宋体" w:cs="Microsoft New Tai Lue"/>
          <w:szCs w:val="21"/>
          <w:highlight w:val="none"/>
        </w:rPr>
        <w:t>35.3中标人没有按照</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的规定提交履约保证金的，视为放弃中标，其投标保证金不予退还。</w:t>
      </w:r>
      <w:bookmarkEnd w:id="269"/>
      <w:bookmarkEnd w:id="270"/>
      <w:bookmarkEnd w:id="271"/>
    </w:p>
    <w:p w14:paraId="17003928">
      <w:pPr>
        <w:pStyle w:val="3"/>
        <w:spacing w:line="360" w:lineRule="auto"/>
        <w:ind w:left="211" w:right="210" w:hanging="211"/>
        <w:rPr>
          <w:rFonts w:ascii="Times New Roman" w:hAnsi="Times New Roman" w:eastAsia="宋体" w:cs="Microsoft New Tai Lue"/>
          <w:highlight w:val="none"/>
        </w:rPr>
      </w:pPr>
      <w:bookmarkStart w:id="276" w:name="_Toc1498683393"/>
      <w:r>
        <w:rPr>
          <w:rFonts w:ascii="Times New Roman" w:hAnsi="Times New Roman" w:eastAsia="宋体" w:cs="Microsoft New Tai Lue"/>
          <w:highlight w:val="none"/>
        </w:rPr>
        <w:t>七．</w:t>
      </w:r>
      <w:bookmarkStart w:id="277" w:name="_Toc103848569"/>
      <w:r>
        <w:rPr>
          <w:rFonts w:hint="eastAsia" w:ascii="Times New Roman" w:hAnsi="Times New Roman" w:eastAsia="宋体" w:cs="Microsoft New Tai Lue"/>
          <w:highlight w:val="none"/>
        </w:rPr>
        <w:t>询问与质疑</w:t>
      </w:r>
      <w:bookmarkEnd w:id="276"/>
      <w:bookmarkEnd w:id="277"/>
    </w:p>
    <w:p w14:paraId="76F0C4FF">
      <w:pPr>
        <w:pStyle w:val="4"/>
        <w:spacing w:line="360" w:lineRule="auto"/>
        <w:ind w:left="211" w:right="210" w:hanging="211"/>
        <w:rPr>
          <w:rFonts w:ascii="Times New Roman" w:hAnsi="Times New Roman" w:eastAsia="宋体" w:cs="Microsoft New Tai Lue"/>
          <w:szCs w:val="21"/>
          <w:highlight w:val="none"/>
        </w:rPr>
      </w:pPr>
      <w:bookmarkStart w:id="278" w:name="_Toc104560883"/>
      <w:bookmarkStart w:id="279" w:name="_Toc107246264"/>
      <w:bookmarkStart w:id="280" w:name="_Toc536090488"/>
      <w:bookmarkStart w:id="281" w:name="_Toc102117305"/>
      <w:r>
        <w:rPr>
          <w:rFonts w:ascii="Times New Roman" w:hAnsi="Times New Roman" w:eastAsia="宋体" w:cs="Microsoft New Tai Lue"/>
          <w:szCs w:val="21"/>
          <w:highlight w:val="none"/>
        </w:rPr>
        <w:t>36.询问</w:t>
      </w:r>
      <w:bookmarkEnd w:id="278"/>
      <w:bookmarkEnd w:id="279"/>
      <w:bookmarkEnd w:id="280"/>
      <w:bookmarkEnd w:id="281"/>
    </w:p>
    <w:p w14:paraId="1C941F40">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36.1</w:t>
      </w:r>
      <w:r>
        <w:rPr>
          <w:rFonts w:hint="eastAsia" w:ascii="Times New Roman" w:hAnsi="Times New Roman" w:eastAsia="宋体" w:cs="Microsoft New Tai Lue"/>
          <w:szCs w:val="21"/>
          <w:highlight w:val="none"/>
        </w:rPr>
        <w:t>供应商</w:t>
      </w:r>
      <w:r>
        <w:rPr>
          <w:rFonts w:ascii="Times New Roman" w:hAnsi="Times New Roman" w:eastAsia="宋体" w:cs="Microsoft New Tai Lue"/>
          <w:szCs w:val="21"/>
          <w:highlight w:val="none"/>
        </w:rPr>
        <w:t>对政府采购活动事项有疑问的，可依法提出询问，并按</w:t>
      </w:r>
      <w:r>
        <w:rPr>
          <w:rFonts w:hint="eastAsia" w:ascii="Times New Roman" w:hAnsi="Times New Roman" w:eastAsia="宋体" w:cs="Microsoft New Tai Lue"/>
          <w:b/>
          <w:szCs w:val="21"/>
          <w:highlight w:val="none"/>
        </w:rPr>
        <w:t>投标人</w:t>
      </w:r>
      <w:r>
        <w:rPr>
          <w:rFonts w:ascii="Times New Roman" w:hAnsi="Times New Roman" w:eastAsia="宋体" w:cs="Microsoft New Tai Lue"/>
          <w:b/>
          <w:szCs w:val="21"/>
          <w:highlight w:val="none"/>
        </w:rPr>
        <w:t>须知前附表</w:t>
      </w:r>
      <w:r>
        <w:rPr>
          <w:rFonts w:ascii="Times New Roman" w:hAnsi="Times New Roman" w:eastAsia="宋体" w:cs="Microsoft New Tai Lue"/>
          <w:szCs w:val="21"/>
          <w:highlight w:val="none"/>
        </w:rPr>
        <w:t>载明的形式通知采购方。</w:t>
      </w:r>
    </w:p>
    <w:p w14:paraId="75A119DC">
      <w:pPr>
        <w:spacing w:line="360" w:lineRule="auto"/>
        <w:ind w:left="214" w:firstLine="420"/>
        <w:jc w:val="left"/>
        <w:rPr>
          <w:rFonts w:ascii="Times New Roman" w:hAnsi="Times New Roman" w:eastAsia="宋体"/>
          <w:szCs w:val="21"/>
          <w:highlight w:val="none"/>
        </w:rPr>
      </w:pPr>
      <w:r>
        <w:rPr>
          <w:rFonts w:ascii="Times New Roman" w:hAnsi="Times New Roman" w:eastAsia="宋体" w:cs="Microsoft New Tai Lue"/>
          <w:szCs w:val="21"/>
          <w:highlight w:val="none"/>
        </w:rPr>
        <w:t>36.2采购方对</w:t>
      </w:r>
      <w:r>
        <w:rPr>
          <w:rFonts w:hint="eastAsia" w:ascii="Times New Roman" w:hAnsi="Times New Roman" w:eastAsia="宋体" w:cs="Microsoft New Tai Lue"/>
          <w:szCs w:val="21"/>
          <w:highlight w:val="none"/>
        </w:rPr>
        <w:t>供应商</w:t>
      </w:r>
      <w:r>
        <w:rPr>
          <w:rFonts w:ascii="Times New Roman" w:hAnsi="Times New Roman" w:eastAsia="宋体" w:cs="Microsoft New Tai Lue"/>
          <w:szCs w:val="21"/>
          <w:highlight w:val="none"/>
        </w:rPr>
        <w:t>依法提出的询问，在3个工作日内作出答复，但答复的内容不得涉及商</w:t>
      </w:r>
      <w:r>
        <w:rPr>
          <w:rFonts w:ascii="Times New Roman" w:hAnsi="Times New Roman" w:eastAsia="宋体"/>
          <w:szCs w:val="21"/>
          <w:highlight w:val="none"/>
        </w:rPr>
        <w:t>业秘密。</w:t>
      </w:r>
    </w:p>
    <w:p w14:paraId="1FB5AA36">
      <w:pPr>
        <w:pStyle w:val="4"/>
        <w:spacing w:line="360" w:lineRule="auto"/>
        <w:ind w:left="211" w:right="210" w:hanging="211"/>
        <w:rPr>
          <w:rFonts w:ascii="Times New Roman" w:hAnsi="Times New Roman" w:eastAsia="宋体" w:cs="Microsoft New Tai Lue"/>
          <w:szCs w:val="21"/>
          <w:highlight w:val="none"/>
        </w:rPr>
      </w:pPr>
      <w:bookmarkStart w:id="282" w:name="_Toc104560884"/>
      <w:bookmarkStart w:id="283" w:name="_Toc107246265"/>
      <w:bookmarkStart w:id="284" w:name="_Toc102117306"/>
      <w:bookmarkStart w:id="285" w:name="_Toc1378932651"/>
      <w:r>
        <w:rPr>
          <w:rFonts w:ascii="Times New Roman" w:hAnsi="Times New Roman" w:eastAsia="宋体" w:cs="Microsoft New Tai Lue"/>
          <w:szCs w:val="21"/>
          <w:highlight w:val="none"/>
        </w:rPr>
        <w:t>37.质疑</w:t>
      </w:r>
      <w:bookmarkEnd w:id="282"/>
      <w:bookmarkEnd w:id="283"/>
      <w:bookmarkEnd w:id="284"/>
      <w:bookmarkEnd w:id="285"/>
    </w:p>
    <w:p w14:paraId="6E031E22">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37.1</w:t>
      </w:r>
      <w:r>
        <w:rPr>
          <w:rFonts w:hint="eastAsia" w:ascii="Times New Roman" w:hAnsi="Times New Roman" w:eastAsia="宋体" w:cs="Microsoft New Tai Lue"/>
          <w:szCs w:val="21"/>
          <w:highlight w:val="none"/>
        </w:rPr>
        <w:t>供应商</w:t>
      </w:r>
      <w:r>
        <w:rPr>
          <w:rFonts w:ascii="Times New Roman" w:hAnsi="Times New Roman" w:eastAsia="宋体" w:cs="Microsoft New Tai Lue"/>
          <w:szCs w:val="21"/>
          <w:highlight w:val="none"/>
        </w:rPr>
        <w:t>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投标人</w:t>
      </w:r>
      <w:r>
        <w:rPr>
          <w:rFonts w:ascii="Times New Roman" w:hAnsi="Times New Roman" w:eastAsia="宋体" w:cs="Microsoft New Tai Lue"/>
          <w:b/>
          <w:szCs w:val="21"/>
          <w:highlight w:val="none"/>
        </w:rPr>
        <w:t>须知前附表</w:t>
      </w:r>
      <w:r>
        <w:rPr>
          <w:rFonts w:ascii="Times New Roman" w:hAnsi="Times New Roman" w:eastAsia="宋体" w:cs="Microsoft New Tai Lue"/>
          <w:szCs w:val="21"/>
          <w:highlight w:val="none"/>
        </w:rPr>
        <w:t>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投标人</w:t>
      </w:r>
      <w:r>
        <w:rPr>
          <w:rFonts w:ascii="Times New Roman" w:hAnsi="Times New Roman" w:eastAsia="宋体" w:cs="Microsoft New Tai Lue"/>
          <w:szCs w:val="21"/>
          <w:highlight w:val="none"/>
        </w:rPr>
        <w:t>在法定质疑期内针对同一采购程序环节的质疑必须一次性提出。</w:t>
      </w:r>
    </w:p>
    <w:p w14:paraId="57A732BD">
      <w:pPr>
        <w:spacing w:line="360" w:lineRule="auto"/>
        <w:ind w:left="214" w:firstLine="420"/>
        <w:jc w:val="left"/>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3</w:t>
      </w:r>
      <w:r>
        <w:rPr>
          <w:rFonts w:ascii="Times New Roman" w:hAnsi="Times New Roman" w:eastAsia="宋体" w:cs="Microsoft New Tai Lue"/>
          <w:szCs w:val="21"/>
          <w:highlight w:val="none"/>
        </w:rPr>
        <w:t>7</w:t>
      </w:r>
      <w:r>
        <w:rPr>
          <w:rFonts w:hint="eastAsia" w:ascii="Times New Roman" w:hAnsi="Times New Roman" w:eastAsia="宋体" w:cs="Microsoft New Tai Lue"/>
          <w:szCs w:val="21"/>
          <w:highlight w:val="none"/>
        </w:rPr>
        <w:t>.2</w:t>
      </w:r>
      <w:r>
        <w:rPr>
          <w:rFonts w:ascii="Times New Roman" w:hAnsi="Times New Roman" w:eastAsia="宋体" w:cs="Microsoft New Tai Lue"/>
          <w:szCs w:val="21"/>
          <w:highlight w:val="none"/>
        </w:rPr>
        <w:t>以联合体形式参加</w:t>
      </w:r>
      <w:r>
        <w:rPr>
          <w:rFonts w:hint="eastAsia" w:ascii="Times New Roman" w:hAnsi="Times New Roman" w:eastAsia="宋体" w:cs="Microsoft New Tai Lue"/>
          <w:szCs w:val="21"/>
          <w:highlight w:val="none"/>
        </w:rPr>
        <w:t>投标</w:t>
      </w:r>
      <w:r>
        <w:rPr>
          <w:rFonts w:ascii="Times New Roman" w:hAnsi="Times New Roman" w:eastAsia="宋体" w:cs="Microsoft New Tai Lue"/>
          <w:szCs w:val="21"/>
          <w:highlight w:val="none"/>
        </w:rPr>
        <w:t>的，应当由组成联合体的所有供应商共同提出</w:t>
      </w:r>
      <w:r>
        <w:rPr>
          <w:rFonts w:hint="eastAsia" w:ascii="Times New Roman" w:hAnsi="Times New Roman" w:eastAsia="宋体" w:cs="Microsoft New Tai Lue"/>
          <w:szCs w:val="21"/>
          <w:highlight w:val="none"/>
        </w:rPr>
        <w:t>。</w:t>
      </w:r>
    </w:p>
    <w:p w14:paraId="7275F821">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37.</w:t>
      </w:r>
      <w:r>
        <w:rPr>
          <w:rFonts w:hint="eastAsia" w:ascii="Times New Roman" w:hAnsi="Times New Roman" w:eastAsia="宋体" w:cs="Microsoft New Tai Lue"/>
          <w:szCs w:val="21"/>
          <w:highlight w:val="none"/>
        </w:rPr>
        <w:t>3</w:t>
      </w:r>
      <w:r>
        <w:rPr>
          <w:rFonts w:ascii="Times New Roman" w:hAnsi="Times New Roman" w:eastAsia="宋体" w:cs="Microsoft New Tai Lue"/>
          <w:szCs w:val="21"/>
          <w:highlight w:val="none"/>
        </w:rPr>
        <w:t>质疑函</w:t>
      </w:r>
      <w:r>
        <w:rPr>
          <w:rFonts w:hint="eastAsia" w:ascii="Times New Roman" w:hAnsi="Times New Roman" w:eastAsia="宋体" w:cs="Microsoft New Tai Lue"/>
          <w:szCs w:val="21"/>
          <w:highlight w:val="none"/>
        </w:rPr>
        <w:t>应</w:t>
      </w:r>
      <w:r>
        <w:rPr>
          <w:rFonts w:ascii="Times New Roman" w:hAnsi="Times New Roman" w:eastAsia="宋体" w:cs="Microsoft New Tai Lue"/>
          <w:szCs w:val="21"/>
          <w:highlight w:val="none"/>
        </w:rPr>
        <w:t>使用财政部制定的范本文件。</w:t>
      </w:r>
    </w:p>
    <w:p w14:paraId="2612EF4A">
      <w:pPr>
        <w:pStyle w:val="3"/>
        <w:spacing w:line="360" w:lineRule="auto"/>
        <w:ind w:left="211" w:right="210" w:hanging="211"/>
        <w:rPr>
          <w:rFonts w:ascii="Times New Roman" w:hAnsi="Times New Roman" w:eastAsia="宋体" w:cs="Microsoft New Tai Lue"/>
          <w:highlight w:val="none"/>
        </w:rPr>
      </w:pPr>
      <w:bookmarkStart w:id="286" w:name="_Toc77546933"/>
      <w:r>
        <w:rPr>
          <w:rFonts w:ascii="Times New Roman" w:hAnsi="Times New Roman" w:eastAsia="宋体" w:cs="Microsoft New Tai Lue"/>
          <w:highlight w:val="none"/>
        </w:rPr>
        <w:t>八．其他</w:t>
      </w:r>
      <w:bookmarkEnd w:id="286"/>
    </w:p>
    <w:p w14:paraId="620769BC">
      <w:pPr>
        <w:pStyle w:val="4"/>
        <w:spacing w:line="360" w:lineRule="auto"/>
        <w:ind w:left="211" w:right="210" w:hanging="211"/>
        <w:rPr>
          <w:rFonts w:ascii="Times New Roman" w:hAnsi="Times New Roman" w:eastAsia="宋体" w:cs="Microsoft New Tai Lue"/>
          <w:szCs w:val="21"/>
          <w:highlight w:val="none"/>
        </w:rPr>
      </w:pPr>
      <w:bookmarkStart w:id="287" w:name="_Toc103848572"/>
      <w:bookmarkStart w:id="288" w:name="_Toc1956212849"/>
      <w:bookmarkStart w:id="289" w:name="_Toc107246267"/>
      <w:bookmarkStart w:id="290" w:name="_Toc104560886"/>
      <w:r>
        <w:rPr>
          <w:rFonts w:ascii="Times New Roman" w:hAnsi="Times New Roman" w:eastAsia="宋体" w:cs="Microsoft New Tai Lue"/>
          <w:szCs w:val="21"/>
          <w:highlight w:val="none"/>
        </w:rPr>
        <w:t>38.招标代理服务费</w:t>
      </w:r>
      <w:bookmarkEnd w:id="287"/>
      <w:bookmarkEnd w:id="288"/>
      <w:bookmarkEnd w:id="289"/>
      <w:bookmarkEnd w:id="290"/>
    </w:p>
    <w:p w14:paraId="5F0AE6D9">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38.1中标人是否交纳投招标代理服务费及相关要求见</w:t>
      </w:r>
      <w:r>
        <w:rPr>
          <w:rFonts w:ascii="Times New Roman" w:hAnsi="Times New Roman" w:eastAsia="宋体" w:cs="Microsoft New Tai Lue"/>
          <w:b/>
          <w:szCs w:val="21"/>
          <w:highlight w:val="none"/>
        </w:rPr>
        <w:t>投标人须知前附表</w:t>
      </w:r>
      <w:r>
        <w:rPr>
          <w:rFonts w:ascii="Times New Roman" w:hAnsi="Times New Roman" w:eastAsia="宋体" w:cs="Microsoft New Tai Lue"/>
          <w:szCs w:val="21"/>
          <w:highlight w:val="none"/>
        </w:rPr>
        <w:t>。</w:t>
      </w:r>
    </w:p>
    <w:p w14:paraId="3414B436">
      <w:pPr>
        <w:pStyle w:val="4"/>
        <w:spacing w:line="360" w:lineRule="auto"/>
        <w:ind w:left="211" w:right="210" w:hanging="211"/>
        <w:rPr>
          <w:rFonts w:ascii="Times New Roman" w:hAnsi="Times New Roman" w:eastAsia="宋体" w:cs="Microsoft New Tai Lue"/>
          <w:szCs w:val="21"/>
          <w:highlight w:val="none"/>
        </w:rPr>
      </w:pPr>
      <w:bookmarkStart w:id="291" w:name="_Toc94717573"/>
      <w:bookmarkStart w:id="292" w:name="_Toc107246268"/>
      <w:bookmarkStart w:id="293" w:name="_Toc104560887"/>
      <w:bookmarkStart w:id="294" w:name="_Toc103848573"/>
      <w:r>
        <w:rPr>
          <w:rFonts w:ascii="Times New Roman" w:hAnsi="Times New Roman" w:eastAsia="宋体" w:cs="Microsoft New Tai Lue"/>
          <w:szCs w:val="21"/>
          <w:highlight w:val="none"/>
        </w:rPr>
        <w:t>39.其他规定</w:t>
      </w:r>
      <w:bookmarkEnd w:id="291"/>
      <w:bookmarkEnd w:id="292"/>
      <w:bookmarkEnd w:id="293"/>
      <w:bookmarkEnd w:id="294"/>
    </w:p>
    <w:p w14:paraId="0FAA4643">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39.1投标文件的其他规定见</w:t>
      </w:r>
      <w:r>
        <w:rPr>
          <w:rFonts w:ascii="Times New Roman" w:hAnsi="Times New Roman" w:eastAsia="宋体" w:cs="Microsoft New Tai Lue"/>
          <w:b/>
          <w:szCs w:val="21"/>
          <w:highlight w:val="none"/>
        </w:rPr>
        <w:t>投标人须知前附</w:t>
      </w:r>
      <w:r>
        <w:rPr>
          <w:rFonts w:ascii="Times New Roman" w:hAnsi="Times New Roman" w:eastAsia="宋体" w:cs="Microsoft New Tai Lue"/>
          <w:szCs w:val="21"/>
          <w:highlight w:val="none"/>
        </w:rPr>
        <w:t>表。</w:t>
      </w:r>
    </w:p>
    <w:p w14:paraId="5D4BDF1F">
      <w:pPr>
        <w:pStyle w:val="4"/>
        <w:spacing w:line="360" w:lineRule="auto"/>
        <w:ind w:left="211" w:right="210" w:hanging="211"/>
        <w:rPr>
          <w:rFonts w:ascii="Times New Roman" w:hAnsi="Times New Roman" w:eastAsia="宋体" w:cs="Microsoft New Tai Lue"/>
          <w:szCs w:val="21"/>
          <w:highlight w:val="none"/>
        </w:rPr>
      </w:pPr>
      <w:bookmarkStart w:id="295" w:name="_Toc103848574"/>
      <w:bookmarkStart w:id="296" w:name="_Toc632866984"/>
      <w:bookmarkStart w:id="297" w:name="_Toc107246269"/>
      <w:bookmarkStart w:id="298" w:name="_Toc104560888"/>
      <w:r>
        <w:rPr>
          <w:rFonts w:ascii="Times New Roman" w:hAnsi="Times New Roman" w:eastAsia="宋体" w:cs="Microsoft New Tai Lue"/>
          <w:szCs w:val="21"/>
          <w:highlight w:val="none"/>
        </w:rPr>
        <w:t>40.文件解释权</w:t>
      </w:r>
      <w:bookmarkEnd w:id="295"/>
      <w:bookmarkEnd w:id="296"/>
      <w:bookmarkEnd w:id="297"/>
      <w:bookmarkEnd w:id="298"/>
    </w:p>
    <w:p w14:paraId="43BD865D">
      <w:pPr>
        <w:spacing w:line="360" w:lineRule="auto"/>
        <w:ind w:left="214" w:firstLine="42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40.1本招标文件的解释权归采购人（或采购代理机构）所有。</w:t>
      </w:r>
      <w:bookmarkEnd w:id="208"/>
      <w:bookmarkStart w:id="299" w:name="_Toc91836563"/>
    </w:p>
    <w:p w14:paraId="796B5E12">
      <w:pPr>
        <w:pStyle w:val="77"/>
        <w:outlineLvl w:val="9"/>
        <w:rPr>
          <w:rFonts w:ascii="Times New Roman" w:hAnsi="Times New Roman" w:eastAsia="宋体" w:cs="Microsoft New Tai Lue"/>
          <w:szCs w:val="21"/>
          <w:highlight w:val="none"/>
        </w:rPr>
      </w:pPr>
    </w:p>
    <w:p w14:paraId="16EE4898">
      <w:pPr>
        <w:pStyle w:val="77"/>
        <w:rPr>
          <w:rFonts w:hint="eastAsia" w:ascii="Times New Roman" w:hAnsi="Times New Roman" w:eastAsia="宋体" w:cs="Microsoft New Tai Lue"/>
          <w:sz w:val="32"/>
          <w:szCs w:val="32"/>
          <w:highlight w:val="none"/>
          <w:lang w:val="zh-CN" w:eastAsia="zh-CN"/>
        </w:rPr>
      </w:pPr>
      <w:r>
        <w:rPr>
          <w:rFonts w:ascii="Times New Roman" w:hAnsi="Times New Roman" w:eastAsia="宋体" w:cs="Microsoft New Tai Lue"/>
          <w:highlight w:val="none"/>
        </w:rPr>
        <w:br w:type="page" w:clear="all"/>
      </w:r>
      <w:bookmarkStart w:id="300" w:name="_Toc108896497"/>
      <w:bookmarkStart w:id="301" w:name="_Toc30370"/>
      <w:r>
        <w:rPr>
          <w:rFonts w:ascii="Times New Roman" w:hAnsi="Times New Roman" w:eastAsia="宋体" w:cs="Microsoft New Tai Lue"/>
          <w:highlight w:val="none"/>
        </w:rPr>
        <w:t xml:space="preserve">第三章 </w:t>
      </w:r>
      <w:bookmarkEnd w:id="299"/>
      <w:r>
        <w:rPr>
          <w:rFonts w:ascii="Times New Roman" w:hAnsi="Times New Roman" w:eastAsia="宋体" w:cs="Microsoft New Tai Lue"/>
          <w:highlight w:val="none"/>
          <w:lang w:val="zh-CN"/>
        </w:rPr>
        <w:t>合同</w:t>
      </w:r>
      <w:bookmarkEnd w:id="300"/>
      <w:r>
        <w:rPr>
          <w:rFonts w:hint="eastAsia" w:ascii="Times New Roman" w:hAnsi="Times New Roman" w:cs="Microsoft New Tai Lue"/>
          <w:highlight w:val="none"/>
          <w:lang w:val="en-US" w:eastAsia="zh-CN"/>
        </w:rPr>
        <w:t>协议书</w:t>
      </w:r>
      <w:bookmarkEnd w:id="301"/>
    </w:p>
    <w:p w14:paraId="1EF7BBA2">
      <w:pPr>
        <w:spacing w:line="480" w:lineRule="exact"/>
        <w:ind w:firstLine="560"/>
        <w:jc w:val="both"/>
        <w:rPr>
          <w:rFonts w:ascii="Times New Roman" w:hAnsi="Times New Roman" w:eastAsia="宋体" w:cs="仿宋"/>
          <w:b/>
          <w:sz w:val="28"/>
          <w:highlight w:val="none"/>
        </w:rPr>
      </w:pPr>
    </w:p>
    <w:p w14:paraId="2382FE42">
      <w:pPr>
        <w:spacing w:line="440" w:lineRule="exact"/>
        <w:rPr>
          <w:rStyle w:val="303"/>
          <w:rFonts w:hint="eastAsia" w:ascii="宋体" w:hAnsi="宋体" w:eastAsia="宋体" w:cs="宋体"/>
          <w:color w:val="auto"/>
          <w:szCs w:val="21"/>
          <w:highlight w:val="none"/>
        </w:rPr>
      </w:pPr>
    </w:p>
    <w:p w14:paraId="4E286883">
      <w:pPr>
        <w:spacing w:line="440" w:lineRule="exact"/>
        <w:jc w:val="center"/>
        <w:rPr>
          <w:rFonts w:hint="eastAsia" w:ascii="Times New Roman" w:hAnsi="Times New Roman" w:eastAsia="宋体" w:cs="Times New Roman"/>
          <w:b/>
          <w:kern w:val="0"/>
          <w:sz w:val="32"/>
          <w:szCs w:val="20"/>
          <w:highlight w:val="none"/>
          <w:lang w:val="zh-CN" w:eastAsia="zh-CN" w:bidi="ar-SA"/>
        </w:rPr>
      </w:pPr>
      <w:r>
        <w:rPr>
          <w:rFonts w:hint="eastAsia" w:ascii="Times New Roman" w:hAnsi="Times New Roman" w:eastAsia="宋体" w:cs="Times New Roman"/>
          <w:b/>
          <w:kern w:val="0"/>
          <w:sz w:val="32"/>
          <w:szCs w:val="20"/>
          <w:highlight w:val="none"/>
          <w:lang w:val="zh-CN" w:eastAsia="zh-CN" w:bidi="ar-SA"/>
        </w:rPr>
        <w:t>2026年高管中心机关三楼会议系统改造项目</w:t>
      </w:r>
    </w:p>
    <w:p w14:paraId="5E0AF9E2">
      <w:pPr>
        <w:spacing w:line="440" w:lineRule="exact"/>
        <w:rPr>
          <w:rStyle w:val="303"/>
          <w:rFonts w:hint="eastAsia" w:ascii="宋体" w:hAnsi="宋体" w:eastAsia="宋体" w:cs="宋体"/>
          <w:color w:val="auto"/>
          <w:szCs w:val="21"/>
          <w:highlight w:val="none"/>
        </w:rPr>
      </w:pPr>
    </w:p>
    <w:p w14:paraId="2D559048">
      <w:pPr>
        <w:spacing w:line="440" w:lineRule="exact"/>
        <w:rPr>
          <w:rStyle w:val="303"/>
          <w:rFonts w:hint="eastAsia" w:ascii="宋体" w:hAnsi="宋体" w:eastAsia="宋体" w:cs="宋体"/>
          <w:color w:val="auto"/>
          <w:szCs w:val="21"/>
          <w:highlight w:val="none"/>
        </w:rPr>
      </w:pPr>
    </w:p>
    <w:p w14:paraId="532934E2">
      <w:pPr>
        <w:spacing w:line="440" w:lineRule="exact"/>
        <w:rPr>
          <w:rStyle w:val="303"/>
          <w:rFonts w:hint="eastAsia" w:ascii="宋体" w:hAnsi="宋体" w:eastAsia="宋体" w:cs="宋体"/>
          <w:color w:val="auto"/>
          <w:szCs w:val="21"/>
          <w:highlight w:val="none"/>
        </w:rPr>
      </w:pPr>
    </w:p>
    <w:p w14:paraId="00FD4545">
      <w:pPr>
        <w:spacing w:line="440" w:lineRule="exact"/>
        <w:rPr>
          <w:rStyle w:val="303"/>
          <w:rFonts w:hint="eastAsia" w:ascii="宋体" w:hAnsi="宋体" w:eastAsia="宋体" w:cs="宋体"/>
          <w:color w:val="auto"/>
          <w:szCs w:val="21"/>
          <w:highlight w:val="none"/>
        </w:rPr>
      </w:pPr>
    </w:p>
    <w:p w14:paraId="00607AA7">
      <w:pPr>
        <w:spacing w:line="440" w:lineRule="exact"/>
        <w:rPr>
          <w:rStyle w:val="303"/>
          <w:rFonts w:hint="eastAsia" w:ascii="宋体" w:hAnsi="宋体" w:eastAsia="宋体" w:cs="宋体"/>
          <w:color w:val="auto"/>
          <w:szCs w:val="21"/>
          <w:highlight w:val="none"/>
        </w:rPr>
      </w:pPr>
    </w:p>
    <w:p w14:paraId="29E4C744">
      <w:pPr>
        <w:widowControl/>
        <w:kinsoku w:val="0"/>
        <w:autoSpaceDE w:val="0"/>
        <w:autoSpaceDN w:val="0"/>
        <w:adjustRightInd w:val="0"/>
        <w:snapToGrid w:val="0"/>
        <w:spacing w:line="360" w:lineRule="auto"/>
        <w:ind w:firstLine="3964" w:firstLineChars="1100"/>
        <w:jc w:val="both"/>
        <w:textAlignment w:val="baseline"/>
        <w:rPr>
          <w:rFonts w:hint="eastAsia" w:ascii="华文中宋" w:hAnsi="华文中宋" w:eastAsia="华文中宋" w:cs="华文中宋"/>
          <w:b/>
          <w:bCs/>
          <w:spacing w:val="5"/>
          <w:kern w:val="2"/>
          <w:sz w:val="35"/>
          <w:szCs w:val="35"/>
          <w:highlight w:val="none"/>
        </w:rPr>
      </w:pPr>
      <w:r>
        <w:rPr>
          <w:rFonts w:hint="eastAsia" w:ascii="华文中宋" w:hAnsi="华文中宋" w:eastAsia="华文中宋" w:cs="华文中宋"/>
          <w:b/>
          <w:bCs/>
          <w:spacing w:val="5"/>
          <w:kern w:val="2"/>
          <w:sz w:val="35"/>
          <w:szCs w:val="35"/>
          <w:highlight w:val="none"/>
        </w:rPr>
        <w:t>合同协议书</w:t>
      </w:r>
    </w:p>
    <w:p w14:paraId="69E49A55">
      <w:pPr>
        <w:spacing w:line="440" w:lineRule="exact"/>
        <w:rPr>
          <w:rStyle w:val="303"/>
          <w:rFonts w:hint="eastAsia" w:ascii="宋体" w:hAnsi="宋体" w:eastAsia="宋体" w:cs="宋体"/>
          <w:color w:val="auto"/>
          <w:szCs w:val="21"/>
          <w:highlight w:val="none"/>
        </w:rPr>
      </w:pPr>
    </w:p>
    <w:p w14:paraId="614E1C49">
      <w:pPr>
        <w:spacing w:line="440" w:lineRule="exact"/>
        <w:rPr>
          <w:rStyle w:val="303"/>
          <w:rFonts w:hint="eastAsia" w:ascii="宋体" w:hAnsi="宋体" w:eastAsia="宋体" w:cs="宋体"/>
          <w:color w:val="auto"/>
          <w:szCs w:val="21"/>
          <w:highlight w:val="none"/>
        </w:rPr>
      </w:pPr>
    </w:p>
    <w:p w14:paraId="06793E6C">
      <w:pPr>
        <w:spacing w:line="440" w:lineRule="exact"/>
        <w:rPr>
          <w:rStyle w:val="303"/>
          <w:rFonts w:hint="eastAsia" w:ascii="宋体" w:hAnsi="宋体" w:eastAsia="宋体" w:cs="宋体"/>
          <w:color w:val="auto"/>
          <w:szCs w:val="21"/>
          <w:highlight w:val="none"/>
        </w:rPr>
      </w:pPr>
    </w:p>
    <w:p w14:paraId="3F24BABC">
      <w:pPr>
        <w:spacing w:line="440" w:lineRule="exact"/>
        <w:rPr>
          <w:rStyle w:val="303"/>
          <w:rFonts w:hint="eastAsia" w:ascii="宋体" w:hAnsi="宋体" w:eastAsia="宋体" w:cs="宋体"/>
          <w:color w:val="auto"/>
          <w:szCs w:val="21"/>
          <w:highlight w:val="none"/>
        </w:rPr>
      </w:pPr>
    </w:p>
    <w:p w14:paraId="7BD1517E">
      <w:pPr>
        <w:spacing w:line="440" w:lineRule="exact"/>
        <w:rPr>
          <w:rStyle w:val="303"/>
          <w:rFonts w:hint="eastAsia" w:ascii="宋体" w:hAnsi="宋体" w:eastAsia="宋体" w:cs="宋体"/>
          <w:color w:val="auto"/>
          <w:szCs w:val="21"/>
          <w:highlight w:val="none"/>
        </w:rPr>
      </w:pPr>
    </w:p>
    <w:p w14:paraId="36A81F5E">
      <w:pPr>
        <w:spacing w:line="440" w:lineRule="exact"/>
        <w:rPr>
          <w:rStyle w:val="303"/>
          <w:rFonts w:hint="eastAsia" w:ascii="宋体" w:hAnsi="宋体" w:eastAsia="宋体" w:cs="宋体"/>
          <w:color w:val="auto"/>
          <w:szCs w:val="21"/>
          <w:highlight w:val="none"/>
        </w:rPr>
      </w:pPr>
    </w:p>
    <w:p w14:paraId="571A031C">
      <w:pPr>
        <w:spacing w:line="440" w:lineRule="exact"/>
        <w:rPr>
          <w:rStyle w:val="303"/>
          <w:rFonts w:hint="eastAsia" w:ascii="宋体" w:hAnsi="宋体" w:eastAsia="宋体" w:cs="宋体"/>
          <w:color w:val="auto"/>
          <w:szCs w:val="21"/>
          <w:highlight w:val="none"/>
        </w:rPr>
      </w:pPr>
    </w:p>
    <w:p w14:paraId="09D1CCDE">
      <w:pPr>
        <w:spacing w:line="440" w:lineRule="exact"/>
        <w:rPr>
          <w:rStyle w:val="303"/>
          <w:rFonts w:hint="eastAsia" w:ascii="宋体" w:hAnsi="宋体" w:eastAsia="宋体" w:cs="宋体"/>
          <w:color w:val="auto"/>
          <w:szCs w:val="21"/>
          <w:highlight w:val="none"/>
        </w:rPr>
      </w:pPr>
    </w:p>
    <w:p w14:paraId="00A80F29">
      <w:pPr>
        <w:spacing w:line="440" w:lineRule="exact"/>
        <w:rPr>
          <w:rStyle w:val="303"/>
          <w:rFonts w:hint="eastAsia" w:ascii="宋体" w:hAnsi="宋体" w:eastAsia="宋体" w:cs="宋体"/>
          <w:color w:val="auto"/>
          <w:szCs w:val="21"/>
          <w:highlight w:val="none"/>
        </w:rPr>
      </w:pPr>
    </w:p>
    <w:p w14:paraId="7D122CD4">
      <w:pPr>
        <w:spacing w:line="440" w:lineRule="exact"/>
        <w:rPr>
          <w:rStyle w:val="303"/>
          <w:rFonts w:hint="eastAsia" w:ascii="宋体" w:hAnsi="宋体" w:eastAsia="宋体" w:cs="宋体"/>
          <w:color w:val="auto"/>
          <w:szCs w:val="21"/>
          <w:highlight w:val="none"/>
        </w:rPr>
      </w:pPr>
    </w:p>
    <w:p w14:paraId="10B19942">
      <w:pPr>
        <w:spacing w:line="440" w:lineRule="exact"/>
        <w:rPr>
          <w:rStyle w:val="303"/>
          <w:rFonts w:hint="eastAsia" w:ascii="宋体" w:hAnsi="宋体" w:eastAsia="宋体" w:cs="宋体"/>
          <w:color w:val="auto"/>
          <w:szCs w:val="21"/>
          <w:highlight w:val="none"/>
        </w:rPr>
      </w:pPr>
    </w:p>
    <w:p w14:paraId="21DBDE9B">
      <w:pPr>
        <w:widowControl/>
        <w:kinsoku w:val="0"/>
        <w:autoSpaceDE w:val="0"/>
        <w:autoSpaceDN w:val="0"/>
        <w:adjustRightInd w:val="0"/>
        <w:snapToGrid w:val="0"/>
        <w:spacing w:line="360" w:lineRule="auto"/>
        <w:ind w:firstLine="2577" w:firstLineChars="1100"/>
        <w:jc w:val="both"/>
        <w:textAlignment w:val="baseline"/>
        <w:rPr>
          <w:rFonts w:hint="eastAsia" w:ascii="宋体" w:hAnsi="宋体" w:eastAsia="宋体" w:cs="宋体"/>
          <w:b/>
          <w:bCs/>
          <w:spacing w:val="-3"/>
          <w:kern w:val="2"/>
          <w:sz w:val="24"/>
          <w:highlight w:val="none"/>
        </w:rPr>
      </w:pPr>
      <w:r>
        <w:rPr>
          <w:rFonts w:hint="eastAsia" w:ascii="宋体" w:hAnsi="宋体" w:eastAsia="宋体" w:cs="宋体"/>
          <w:b/>
          <w:bCs/>
          <w:spacing w:val="-3"/>
          <w:kern w:val="2"/>
          <w:sz w:val="24"/>
          <w:highlight w:val="none"/>
        </w:rPr>
        <w:t>发包人：</w:t>
      </w:r>
      <w:r>
        <w:rPr>
          <w:rFonts w:hint="eastAsia" w:ascii="宋体" w:hAnsi="宋体" w:eastAsia="宋体" w:cs="宋体"/>
          <w:b/>
          <w:bCs/>
          <w:spacing w:val="-3"/>
          <w:kern w:val="2"/>
          <w:sz w:val="24"/>
          <w:highlight w:val="none"/>
          <w:u w:val="single"/>
        </w:rPr>
        <w:t>江苏省高速公路经营管理中心</w:t>
      </w:r>
    </w:p>
    <w:p w14:paraId="515B1B77">
      <w:pPr>
        <w:widowControl/>
        <w:kinsoku w:val="0"/>
        <w:autoSpaceDE w:val="0"/>
        <w:autoSpaceDN w:val="0"/>
        <w:adjustRightInd w:val="0"/>
        <w:snapToGrid w:val="0"/>
        <w:spacing w:line="360" w:lineRule="auto"/>
        <w:ind w:firstLine="2577" w:firstLineChars="1100"/>
        <w:jc w:val="both"/>
        <w:textAlignment w:val="baseline"/>
        <w:rPr>
          <w:rFonts w:hint="eastAsia" w:ascii="宋体" w:hAnsi="宋体" w:eastAsia="宋体" w:cs="宋体"/>
          <w:b/>
          <w:bCs/>
          <w:spacing w:val="-3"/>
          <w:kern w:val="2"/>
          <w:sz w:val="24"/>
          <w:highlight w:val="none"/>
        </w:rPr>
      </w:pPr>
      <w:r>
        <w:rPr>
          <w:rFonts w:hint="eastAsia" w:ascii="宋体" w:hAnsi="宋体" w:eastAsia="宋体" w:cs="宋体"/>
          <w:b/>
          <w:bCs/>
          <w:spacing w:val="-3"/>
          <w:kern w:val="2"/>
          <w:sz w:val="24"/>
          <w:highlight w:val="none"/>
        </w:rPr>
        <w:t>承包人：</w:t>
      </w:r>
      <w:r>
        <w:rPr>
          <w:rFonts w:hint="eastAsia" w:ascii="宋体" w:hAnsi="宋体" w:eastAsia="宋体" w:cs="宋体"/>
          <w:b/>
          <w:bCs/>
          <w:spacing w:val="-3"/>
          <w:kern w:val="2"/>
          <w:sz w:val="24"/>
          <w:highlight w:val="none"/>
          <w:u w:val="single"/>
          <w:lang w:val="en-US" w:eastAsia="zh-CN"/>
        </w:rPr>
        <w:t xml:space="preserve">                          </w:t>
      </w:r>
      <w:r>
        <w:rPr>
          <w:rFonts w:hint="eastAsia" w:ascii="宋体" w:hAnsi="宋体" w:eastAsia="宋体" w:cs="宋体"/>
          <w:b/>
          <w:bCs/>
          <w:spacing w:val="-3"/>
          <w:kern w:val="2"/>
          <w:sz w:val="24"/>
          <w:highlight w:val="none"/>
        </w:rPr>
        <w:t xml:space="preserve">                           </w:t>
      </w:r>
    </w:p>
    <w:p w14:paraId="6F4B7EFA">
      <w:pPr>
        <w:widowControl/>
        <w:kinsoku w:val="0"/>
        <w:autoSpaceDE w:val="0"/>
        <w:autoSpaceDN w:val="0"/>
        <w:adjustRightInd w:val="0"/>
        <w:snapToGrid w:val="0"/>
        <w:spacing w:line="360" w:lineRule="auto"/>
        <w:ind w:firstLine="4216" w:firstLineChars="1800"/>
        <w:jc w:val="left"/>
        <w:textAlignment w:val="baseline"/>
        <w:rPr>
          <w:rFonts w:hint="eastAsia" w:ascii="宋体" w:hAnsi="宋体" w:eastAsia="宋体" w:cs="宋体"/>
          <w:b/>
          <w:bCs/>
          <w:spacing w:val="-3"/>
          <w:kern w:val="2"/>
          <w:sz w:val="24"/>
          <w:highlight w:val="none"/>
        </w:rPr>
      </w:pPr>
      <w:r>
        <w:rPr>
          <w:rFonts w:hint="eastAsia" w:ascii="宋体" w:hAnsi="宋体" w:eastAsia="宋体" w:cs="宋体"/>
          <w:b/>
          <w:bCs/>
          <w:spacing w:val="-3"/>
          <w:kern w:val="2"/>
          <w:sz w:val="24"/>
          <w:highlight w:val="none"/>
        </w:rPr>
        <w:t>日期：</w:t>
      </w:r>
    </w:p>
    <w:p w14:paraId="125B813B">
      <w:pPr>
        <w:spacing w:line="440" w:lineRule="exact"/>
        <w:rPr>
          <w:rStyle w:val="303"/>
          <w:rFonts w:hint="eastAsia" w:ascii="宋体" w:hAnsi="宋体" w:eastAsia="宋体" w:cs="宋体"/>
          <w:color w:val="auto"/>
          <w:szCs w:val="21"/>
          <w:highlight w:val="none"/>
        </w:rPr>
      </w:pPr>
    </w:p>
    <w:p w14:paraId="0E1F6B15">
      <w:pPr>
        <w:spacing w:line="440" w:lineRule="exact"/>
        <w:rPr>
          <w:rStyle w:val="303"/>
          <w:rFonts w:hint="eastAsia" w:ascii="宋体" w:hAnsi="宋体" w:eastAsia="宋体" w:cs="宋体"/>
          <w:color w:val="auto"/>
          <w:szCs w:val="21"/>
          <w:highlight w:val="none"/>
        </w:rPr>
      </w:pPr>
    </w:p>
    <w:p w14:paraId="3CF1BDF9">
      <w:pPr>
        <w:spacing w:line="440" w:lineRule="exact"/>
        <w:rPr>
          <w:rStyle w:val="303"/>
          <w:rFonts w:hint="eastAsia" w:ascii="宋体" w:hAnsi="宋体" w:eastAsia="宋体" w:cs="宋体"/>
          <w:color w:val="auto"/>
          <w:szCs w:val="21"/>
          <w:highlight w:val="none"/>
        </w:rPr>
      </w:pPr>
    </w:p>
    <w:p w14:paraId="247BEA86">
      <w:pPr>
        <w:spacing w:line="440" w:lineRule="exact"/>
        <w:rPr>
          <w:rStyle w:val="303"/>
          <w:rFonts w:hint="eastAsia" w:ascii="宋体" w:hAnsi="宋体" w:eastAsia="宋体" w:cs="宋体"/>
          <w:color w:val="auto"/>
          <w:szCs w:val="21"/>
          <w:highlight w:val="none"/>
        </w:rPr>
      </w:pPr>
    </w:p>
    <w:p w14:paraId="2895D096">
      <w:pPr>
        <w:spacing w:line="440" w:lineRule="exact"/>
        <w:rPr>
          <w:rStyle w:val="303"/>
          <w:rFonts w:hint="eastAsia" w:ascii="宋体" w:hAnsi="宋体" w:eastAsia="宋体" w:cs="宋体"/>
          <w:color w:val="auto"/>
          <w:szCs w:val="21"/>
          <w:highlight w:val="none"/>
        </w:rPr>
      </w:pPr>
    </w:p>
    <w:p w14:paraId="77223F38">
      <w:pPr>
        <w:spacing w:line="440" w:lineRule="exact"/>
        <w:rPr>
          <w:rStyle w:val="303"/>
          <w:rFonts w:hint="eastAsia" w:ascii="宋体" w:hAnsi="宋体" w:eastAsia="宋体" w:cs="宋体"/>
          <w:color w:val="auto"/>
          <w:szCs w:val="21"/>
          <w:highlight w:val="none"/>
        </w:rPr>
      </w:pPr>
    </w:p>
    <w:p w14:paraId="63AB6818">
      <w:pPr>
        <w:spacing w:line="440" w:lineRule="exact"/>
        <w:rPr>
          <w:rStyle w:val="303"/>
          <w:rFonts w:hint="eastAsia" w:ascii="宋体" w:hAnsi="宋体" w:eastAsia="宋体" w:cs="宋体"/>
          <w:color w:val="auto"/>
          <w:szCs w:val="21"/>
          <w:highlight w:val="none"/>
        </w:rPr>
      </w:pPr>
    </w:p>
    <w:p w14:paraId="6DDEBE66">
      <w:pPr>
        <w:spacing w:line="440" w:lineRule="exact"/>
        <w:jc w:val="center"/>
        <w:rPr>
          <w:rStyle w:val="303"/>
          <w:rFonts w:hint="eastAsia" w:ascii="宋体" w:hAnsi="宋体" w:eastAsia="宋体" w:cs="宋体"/>
          <w:color w:val="auto"/>
          <w:sz w:val="28"/>
          <w:szCs w:val="28"/>
          <w:highlight w:val="none"/>
        </w:rPr>
      </w:pPr>
      <w:r>
        <w:rPr>
          <w:rStyle w:val="303"/>
          <w:rFonts w:hint="eastAsia" w:ascii="宋体" w:hAnsi="宋体" w:eastAsia="宋体" w:cs="宋体"/>
          <w:color w:val="auto"/>
          <w:sz w:val="28"/>
          <w:szCs w:val="28"/>
          <w:highlight w:val="none"/>
        </w:rPr>
        <w:t>合 同 协 议 书</w:t>
      </w:r>
    </w:p>
    <w:p w14:paraId="58C1F175">
      <w:pPr>
        <w:spacing w:line="440" w:lineRule="exact"/>
        <w:rPr>
          <w:rStyle w:val="303"/>
          <w:rFonts w:hint="eastAsia" w:ascii="宋体" w:hAnsi="宋体" w:eastAsia="宋体" w:cs="宋体"/>
          <w:color w:val="auto"/>
          <w:szCs w:val="21"/>
          <w:highlight w:val="none"/>
        </w:rPr>
      </w:pPr>
    </w:p>
    <w:p w14:paraId="0137875A">
      <w:pPr>
        <w:spacing w:line="440" w:lineRule="exact"/>
        <w:rPr>
          <w:rStyle w:val="303"/>
          <w:rFonts w:hint="eastAsia" w:ascii="宋体" w:hAnsi="宋体" w:eastAsia="宋体" w:cs="宋体"/>
          <w:color w:val="auto"/>
          <w:szCs w:val="21"/>
          <w:highlight w:val="none"/>
          <w:u w:val="single"/>
        </w:rPr>
      </w:pPr>
      <w:r>
        <w:rPr>
          <w:rStyle w:val="303"/>
          <w:rFonts w:hint="eastAsia" w:ascii="宋体" w:hAnsi="宋体" w:eastAsia="宋体" w:cs="宋体"/>
          <w:color w:val="auto"/>
          <w:szCs w:val="21"/>
          <w:highlight w:val="none"/>
        </w:rPr>
        <w:t>发包人：</w:t>
      </w:r>
      <w:r>
        <w:rPr>
          <w:rStyle w:val="303"/>
          <w:rFonts w:hint="eastAsia" w:ascii="宋体" w:hAnsi="宋体" w:eastAsia="宋体" w:cs="宋体"/>
          <w:color w:val="auto"/>
          <w:szCs w:val="21"/>
          <w:highlight w:val="none"/>
          <w:u w:val="single"/>
        </w:rPr>
        <w:t>江苏省高速公路经营管理中心</w:t>
      </w:r>
    </w:p>
    <w:p w14:paraId="41D37352">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w:t>
      </w:r>
      <w:r>
        <w:rPr>
          <w:rStyle w:val="303"/>
          <w:rFonts w:hint="eastAsia" w:ascii="宋体" w:hAnsi="宋体" w:cs="宋体"/>
          <w:color w:val="auto"/>
          <w:szCs w:val="21"/>
          <w:highlight w:val="none"/>
          <w:u w:val="single"/>
          <w:lang w:val="en-US" w:eastAsia="zh-CN"/>
        </w:rPr>
        <w:t xml:space="preserve">                         </w:t>
      </w:r>
      <w:r>
        <w:rPr>
          <w:rStyle w:val="303"/>
          <w:rFonts w:hint="eastAsia" w:ascii="宋体" w:hAnsi="宋体" w:eastAsia="宋体" w:cs="宋体"/>
          <w:color w:val="auto"/>
          <w:szCs w:val="21"/>
          <w:highlight w:val="none"/>
        </w:rPr>
        <w:t xml:space="preserve">                          </w:t>
      </w:r>
    </w:p>
    <w:p w14:paraId="3B9D09C5">
      <w:pPr>
        <w:spacing w:line="440" w:lineRule="exact"/>
        <w:rPr>
          <w:rStyle w:val="303"/>
          <w:rFonts w:hint="eastAsia" w:ascii="宋体" w:hAnsi="宋体" w:eastAsia="宋体" w:cs="宋体"/>
          <w:color w:val="auto"/>
          <w:szCs w:val="21"/>
          <w:highlight w:val="none"/>
        </w:rPr>
      </w:pPr>
    </w:p>
    <w:p w14:paraId="478E4A2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u w:val="single"/>
        </w:rPr>
        <w:t xml:space="preserve"> 江苏省高速公路经营管理中心</w:t>
      </w:r>
      <w:r>
        <w:rPr>
          <w:rStyle w:val="303"/>
          <w:rFonts w:hint="eastAsia" w:ascii="宋体" w:hAnsi="宋体" w:eastAsia="宋体" w:cs="宋体"/>
          <w:color w:val="auto"/>
          <w:szCs w:val="21"/>
          <w:highlight w:val="none"/>
        </w:rPr>
        <w:t xml:space="preserve">（发包人名称，以下简称“发包人 ”）为实施 </w:t>
      </w:r>
      <w:r>
        <w:rPr>
          <w:rStyle w:val="303"/>
          <w:rFonts w:hint="eastAsia" w:ascii="宋体" w:hAnsi="宋体" w:eastAsia="宋体" w:cs="宋体"/>
          <w:color w:val="auto"/>
          <w:szCs w:val="21"/>
          <w:highlight w:val="none"/>
          <w:u w:val="single"/>
        </w:rPr>
        <w:t>2026年高管中心机关三楼会议系统改造项目</w:t>
      </w:r>
      <w:r>
        <w:rPr>
          <w:rStyle w:val="303"/>
          <w:rFonts w:hint="eastAsia" w:ascii="宋体" w:hAnsi="宋体" w:eastAsia="宋体" w:cs="宋体"/>
          <w:color w:val="auto"/>
          <w:szCs w:val="21"/>
          <w:highlight w:val="none"/>
        </w:rPr>
        <w:t xml:space="preserve">（项目名称）,已接受 </w:t>
      </w:r>
      <w:r>
        <w:rPr>
          <w:rStyle w:val="303"/>
          <w:rFonts w:hint="eastAsia" w:ascii="宋体" w:hAnsi="宋体" w:eastAsia="宋体" w:cs="宋体"/>
          <w:color w:val="auto"/>
          <w:szCs w:val="21"/>
          <w:highlight w:val="none"/>
          <w:u w:val="single"/>
        </w:rPr>
        <w:t xml:space="preserve">                 </w:t>
      </w:r>
      <w:r>
        <w:rPr>
          <w:rStyle w:val="303"/>
          <w:rFonts w:hint="eastAsia" w:ascii="宋体" w:hAnsi="宋体" w:eastAsia="宋体" w:cs="宋体"/>
          <w:color w:val="auto"/>
          <w:szCs w:val="21"/>
          <w:highlight w:val="none"/>
        </w:rPr>
        <w:t>（承包人名称，以下简称“承包人”）对该项目</w:t>
      </w:r>
      <w:r>
        <w:rPr>
          <w:rStyle w:val="303"/>
          <w:rFonts w:hint="eastAsia" w:ascii="宋体" w:hAnsi="宋体" w:eastAsia="宋体" w:cs="宋体"/>
          <w:color w:val="auto"/>
          <w:szCs w:val="21"/>
          <w:highlight w:val="none"/>
          <w:u w:val="single"/>
        </w:rPr>
        <w:t xml:space="preserve">  /  </w:t>
      </w:r>
      <w:r>
        <w:rPr>
          <w:rStyle w:val="303"/>
          <w:rFonts w:hint="eastAsia" w:ascii="宋体" w:hAnsi="宋体" w:eastAsia="宋体" w:cs="宋体"/>
          <w:color w:val="auto"/>
          <w:szCs w:val="21"/>
          <w:highlight w:val="none"/>
        </w:rPr>
        <w:t>标段施工的投标。发包人和承包人共同达成如下协议。</w:t>
      </w:r>
    </w:p>
    <w:p w14:paraId="43E331A4">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一、工程概况</w:t>
      </w:r>
    </w:p>
    <w:p w14:paraId="4DFCE53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single"/>
        </w:rPr>
      </w:pPr>
      <w:r>
        <w:rPr>
          <w:rStyle w:val="303"/>
          <w:rFonts w:hint="eastAsia" w:ascii="宋体" w:hAnsi="宋体" w:eastAsia="宋体" w:cs="宋体"/>
          <w:color w:val="auto"/>
          <w:szCs w:val="21"/>
          <w:highlight w:val="none"/>
        </w:rPr>
        <w:t>本项目主要内容包含</w:t>
      </w:r>
      <w:r>
        <w:rPr>
          <w:rStyle w:val="303"/>
          <w:rFonts w:hint="eastAsia" w:ascii="宋体" w:hAnsi="宋体" w:eastAsia="宋体" w:cs="宋体"/>
          <w:color w:val="auto"/>
          <w:szCs w:val="21"/>
          <w:highlight w:val="none"/>
          <w:u w:val="single"/>
        </w:rPr>
        <w:t>高管中心机关三楼会议系统改造，具体工作内容详见施工图设计文件及工程量清单。</w:t>
      </w:r>
    </w:p>
    <w:p w14:paraId="5D761A79">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二、合同文件</w:t>
      </w:r>
    </w:p>
    <w:p w14:paraId="75B378C2">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（1）本协议书及各种合同附件（含评审期间和合同谈判过程中的澄清文件和补充资料）；</w:t>
      </w:r>
    </w:p>
    <w:p w14:paraId="17AF9700">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（2）成交通知书；</w:t>
      </w:r>
    </w:p>
    <w:p w14:paraId="2281C6F8">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（3）响应函；</w:t>
      </w:r>
    </w:p>
    <w:p w14:paraId="0412D944">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（4）项目专用合同条款；</w:t>
      </w:r>
    </w:p>
    <w:p w14:paraId="61FDD771">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（5）通用合同条款；</w:t>
      </w:r>
    </w:p>
    <w:p w14:paraId="1DB9C75F">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（6）工程量清单计量规则；</w:t>
      </w:r>
    </w:p>
    <w:p w14:paraId="1B285EDF">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（7）技术规范；</w:t>
      </w:r>
    </w:p>
    <w:p w14:paraId="4EC9A633">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（8）图纸；</w:t>
      </w:r>
    </w:p>
    <w:p w14:paraId="55CA28B4">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（9）已标价工程量清单；</w:t>
      </w:r>
    </w:p>
    <w:p w14:paraId="776A3EB2">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（10）承包人有关人员、设备投入的承诺及响应文件中的施工组织设计；</w:t>
      </w:r>
    </w:p>
    <w:p w14:paraId="26BCB84F">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（11）其他合同文件。</w:t>
      </w:r>
    </w:p>
    <w:p w14:paraId="59647510">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上述合同文件互相补充和解释。如果合同文件之间存在矛盾或不一致之处，以上述文件的排列顺序在先者为准。</w:t>
      </w:r>
    </w:p>
    <w:p w14:paraId="07BB1A5B">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三、合同价款及支付</w:t>
      </w:r>
    </w:p>
    <w:p w14:paraId="313E232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本项目采用固定单价承包，最终合同总价按发包人、监理人及承包人三方签认的完成的工程数量及本合同工程量清单单价确定。根据工程量清单所列的预计数量和单价或总额价计算的签约合同价（暂定总价）：人民币（大写）</w:t>
      </w:r>
      <w:r>
        <w:rPr>
          <w:rStyle w:val="303"/>
          <w:rFonts w:hint="eastAsia" w:ascii="宋体" w:hAnsi="宋体" w:eastAsia="宋体" w:cs="宋体"/>
          <w:color w:val="auto"/>
          <w:szCs w:val="21"/>
          <w:highlight w:val="none"/>
          <w:u w:val="single"/>
        </w:rPr>
        <w:t xml:space="preserve">          </w:t>
      </w:r>
      <w:r>
        <w:rPr>
          <w:rStyle w:val="303"/>
          <w:rFonts w:hint="eastAsia" w:ascii="宋体" w:hAnsi="宋体" w:eastAsia="宋体" w:cs="宋体"/>
          <w:color w:val="auto"/>
          <w:szCs w:val="21"/>
          <w:highlight w:val="none"/>
        </w:rPr>
        <w:t xml:space="preserve">元(¥ </w:t>
      </w:r>
      <w:r>
        <w:rPr>
          <w:rStyle w:val="303"/>
          <w:rFonts w:hint="eastAsia" w:ascii="宋体" w:hAnsi="宋体" w:eastAsia="宋体" w:cs="宋体"/>
          <w:color w:val="auto"/>
          <w:szCs w:val="21"/>
          <w:highlight w:val="none"/>
          <w:u w:val="single"/>
        </w:rPr>
        <w:t xml:space="preserve">             </w:t>
      </w:r>
      <w:r>
        <w:rPr>
          <w:rStyle w:val="303"/>
          <w:rFonts w:hint="eastAsia" w:ascii="宋体" w:hAnsi="宋体" w:eastAsia="宋体" w:cs="宋体"/>
          <w:color w:val="auto"/>
          <w:szCs w:val="21"/>
          <w:highlight w:val="none"/>
        </w:rPr>
        <w:t>) 。</w:t>
      </w:r>
    </w:p>
    <w:p w14:paraId="65CAF40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工程款结算方式：</w:t>
      </w:r>
    </w:p>
    <w:p w14:paraId="49647CC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（1）完成全部设备的安装以及系统调试工作，经交(竣)工验收合格后，结算审计完毕后，支付至合同结算审计价款的97%。</w:t>
      </w:r>
    </w:p>
    <w:p w14:paraId="33CB294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（2）保留金比例为合同结算总价的3%，两年缺陷责任期满，系统运行无质量问题后支付。</w:t>
      </w:r>
    </w:p>
    <w:p w14:paraId="553051B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每次付款时，发包人有权直接扣除按合同规定承包人应支付的违约金及赔偿金、补偿费等。发包人支付合同价款时，承包人须提出支付申请并提交相应符合发包人要求的增值税普通发票，否则发包人有权延迟付款，且不承担逾期付款责任。</w:t>
      </w:r>
    </w:p>
    <w:p w14:paraId="13D63B3B">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四、项目经理</w:t>
      </w:r>
    </w:p>
    <w:p w14:paraId="6223725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承包人项目经理：</w:t>
      </w:r>
      <w:r>
        <w:rPr>
          <w:rStyle w:val="303"/>
          <w:rFonts w:hint="eastAsia" w:ascii="宋体" w:hAnsi="宋体" w:eastAsia="宋体" w:cs="宋体"/>
          <w:color w:val="auto"/>
          <w:szCs w:val="21"/>
          <w:highlight w:val="none"/>
          <w:u w:val="single"/>
        </w:rPr>
        <w:t xml:space="preserve">       </w:t>
      </w:r>
      <w:r>
        <w:rPr>
          <w:rStyle w:val="303"/>
          <w:rFonts w:hint="eastAsia" w:ascii="宋体" w:hAnsi="宋体" w:eastAsia="宋体" w:cs="宋体"/>
          <w:color w:val="auto"/>
          <w:szCs w:val="21"/>
          <w:highlight w:val="none"/>
        </w:rPr>
        <w:t xml:space="preserve"> ，联系方式：</w:t>
      </w:r>
      <w:r>
        <w:rPr>
          <w:rStyle w:val="303"/>
          <w:rFonts w:hint="eastAsia" w:ascii="宋体" w:hAnsi="宋体" w:eastAsia="宋体" w:cs="宋体"/>
          <w:color w:val="auto"/>
          <w:szCs w:val="21"/>
          <w:highlight w:val="none"/>
          <w:u w:val="single"/>
        </w:rPr>
        <w:t xml:space="preserve">        </w:t>
      </w:r>
      <w:r>
        <w:rPr>
          <w:rStyle w:val="303"/>
          <w:rFonts w:hint="eastAsia" w:ascii="宋体" w:hAnsi="宋体" w:eastAsia="宋体" w:cs="宋体"/>
          <w:color w:val="auto"/>
          <w:szCs w:val="21"/>
          <w:highlight w:val="none"/>
        </w:rPr>
        <w:t xml:space="preserve"> 。</w:t>
      </w:r>
    </w:p>
    <w:p w14:paraId="68AEC65B">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五、工程质量</w:t>
      </w:r>
    </w:p>
    <w:p w14:paraId="47D0165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single"/>
        </w:rPr>
      </w:pPr>
      <w:r>
        <w:rPr>
          <w:rStyle w:val="303"/>
          <w:rFonts w:hint="eastAsia" w:ascii="宋体" w:hAnsi="宋体" w:eastAsia="宋体" w:cs="宋体"/>
          <w:color w:val="auto"/>
          <w:szCs w:val="21"/>
          <w:highlight w:val="none"/>
        </w:rPr>
        <w:t>工程质量符合</w:t>
      </w:r>
      <w:r>
        <w:rPr>
          <w:rStyle w:val="303"/>
          <w:rFonts w:hint="eastAsia" w:ascii="宋体" w:hAnsi="宋体" w:eastAsia="宋体" w:cs="宋体"/>
          <w:color w:val="auto"/>
          <w:szCs w:val="21"/>
          <w:highlight w:val="none"/>
          <w:u w:val="single"/>
        </w:rPr>
        <w:t>标段工程交工验收的质量评定：合格；竣工验收的质量评定：合格</w:t>
      </w:r>
      <w:r>
        <w:rPr>
          <w:rStyle w:val="303"/>
          <w:rFonts w:hint="eastAsia" w:ascii="宋体" w:hAnsi="宋体" w:eastAsia="宋体" w:cs="宋体"/>
          <w:color w:val="auto"/>
          <w:szCs w:val="21"/>
          <w:highlight w:val="none"/>
          <w:u w:val="none"/>
        </w:rPr>
        <w:t>标准</w:t>
      </w:r>
      <w:r>
        <w:rPr>
          <w:rStyle w:val="303"/>
          <w:rFonts w:hint="eastAsia" w:ascii="宋体" w:hAnsi="宋体" w:eastAsia="宋体" w:cs="宋体"/>
          <w:color w:val="auto"/>
          <w:szCs w:val="21"/>
          <w:highlight w:val="none"/>
        </w:rPr>
        <w:t>。工程安全目标：</w:t>
      </w:r>
      <w:r>
        <w:rPr>
          <w:rStyle w:val="303"/>
          <w:rFonts w:hint="eastAsia" w:ascii="宋体" w:hAnsi="宋体" w:eastAsia="宋体" w:cs="宋体"/>
          <w:color w:val="auto"/>
          <w:szCs w:val="21"/>
          <w:highlight w:val="none"/>
          <w:u w:val="single"/>
        </w:rPr>
        <w:t>无安全生产责任事故。</w:t>
      </w:r>
    </w:p>
    <w:p w14:paraId="58A181EE">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六、承包人承诺</w:t>
      </w:r>
    </w:p>
    <w:p w14:paraId="15936A0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承包人承诺按合同约定承担工程的实施、完成及缺陷修复。</w:t>
      </w:r>
    </w:p>
    <w:p w14:paraId="51C40AEF">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七、发包人承诺</w:t>
      </w:r>
    </w:p>
    <w:p w14:paraId="556BA42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发包人承诺按合同约定的条件、时间和方式向承包人支付合同价款。</w:t>
      </w:r>
    </w:p>
    <w:p w14:paraId="31F77ED3">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八、工程期限</w:t>
      </w:r>
    </w:p>
    <w:p w14:paraId="3FC6692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承包人应按照监理人指示开工，工期为</w:t>
      </w:r>
      <w:r>
        <w:rPr>
          <w:rStyle w:val="303"/>
          <w:rFonts w:hint="eastAsia" w:ascii="宋体" w:hAnsi="宋体" w:eastAsia="宋体" w:cs="宋体"/>
          <w:color w:val="auto"/>
          <w:szCs w:val="21"/>
          <w:highlight w:val="none"/>
          <w:u w:val="single"/>
        </w:rPr>
        <w:t>合同签订之日起60个自然日。</w:t>
      </w:r>
    </w:p>
    <w:p w14:paraId="24B78105">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九、合同生效与失效</w:t>
      </w:r>
    </w:p>
    <w:p w14:paraId="7847F90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none"/>
        </w:rPr>
      </w:pPr>
      <w:r>
        <w:rPr>
          <w:rStyle w:val="303"/>
          <w:rFonts w:hint="eastAsia" w:ascii="宋体" w:hAnsi="宋体" w:eastAsia="宋体" w:cs="宋体"/>
          <w:color w:val="auto"/>
          <w:szCs w:val="21"/>
          <w:highlight w:val="none"/>
          <w:u w:val="none"/>
        </w:rPr>
        <w:t>本协议书由双方法定代表人或其委托代理人签署并加盖单位公章或合同专用章后生效。全部工程完工后经交工验收合格、缺陷责任期满签发缺陷责任终止证书后失效。</w:t>
      </w:r>
    </w:p>
    <w:p w14:paraId="5C259B55">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十、合同份数</w:t>
      </w:r>
    </w:p>
    <w:p w14:paraId="62B1E08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none"/>
        </w:rPr>
      </w:pPr>
      <w:r>
        <w:rPr>
          <w:rStyle w:val="303"/>
          <w:rFonts w:hint="eastAsia" w:ascii="宋体" w:hAnsi="宋体" w:eastAsia="宋体" w:cs="宋体"/>
          <w:color w:val="auto"/>
          <w:szCs w:val="21"/>
          <w:highlight w:val="none"/>
          <w:u w:val="none"/>
        </w:rPr>
        <w:t>本合同一式</w:t>
      </w:r>
      <w:r>
        <w:rPr>
          <w:rStyle w:val="303"/>
          <w:rFonts w:hint="eastAsia" w:ascii="宋体" w:hAnsi="宋体" w:eastAsia="宋体" w:cs="宋体"/>
          <w:color w:val="auto"/>
          <w:szCs w:val="21"/>
          <w:highlight w:val="none"/>
          <w:u w:val="single"/>
        </w:rPr>
        <w:t>陆</w:t>
      </w:r>
      <w:r>
        <w:rPr>
          <w:rStyle w:val="303"/>
          <w:rFonts w:hint="eastAsia" w:ascii="宋体" w:hAnsi="宋体" w:eastAsia="宋体" w:cs="宋体"/>
          <w:color w:val="auto"/>
          <w:szCs w:val="21"/>
          <w:highlight w:val="none"/>
          <w:u w:val="none"/>
        </w:rPr>
        <w:t>份，甲方执</w:t>
      </w:r>
      <w:r>
        <w:rPr>
          <w:rStyle w:val="303"/>
          <w:rFonts w:hint="eastAsia" w:ascii="宋体" w:hAnsi="宋体" w:eastAsia="宋体" w:cs="宋体"/>
          <w:color w:val="auto"/>
          <w:szCs w:val="21"/>
          <w:highlight w:val="none"/>
          <w:u w:val="single"/>
        </w:rPr>
        <w:t>肆</w:t>
      </w:r>
      <w:r>
        <w:rPr>
          <w:rStyle w:val="303"/>
          <w:rFonts w:hint="eastAsia" w:ascii="宋体" w:hAnsi="宋体" w:eastAsia="宋体" w:cs="宋体"/>
          <w:color w:val="auto"/>
          <w:szCs w:val="21"/>
          <w:highlight w:val="none"/>
          <w:u w:val="none"/>
        </w:rPr>
        <w:t>份，乙方执</w:t>
      </w:r>
      <w:r>
        <w:rPr>
          <w:rStyle w:val="303"/>
          <w:rFonts w:hint="eastAsia" w:ascii="宋体" w:hAnsi="宋体" w:eastAsia="宋体" w:cs="宋体"/>
          <w:color w:val="auto"/>
          <w:szCs w:val="21"/>
          <w:highlight w:val="none"/>
          <w:u w:val="single"/>
        </w:rPr>
        <w:t>贰</w:t>
      </w:r>
      <w:r>
        <w:rPr>
          <w:rStyle w:val="303"/>
          <w:rFonts w:hint="eastAsia" w:ascii="宋体" w:hAnsi="宋体" w:eastAsia="宋体" w:cs="宋体"/>
          <w:color w:val="auto"/>
          <w:szCs w:val="21"/>
          <w:highlight w:val="none"/>
          <w:u w:val="none"/>
        </w:rPr>
        <w:t xml:space="preserve">份，具备同等效力。 </w:t>
      </w:r>
    </w:p>
    <w:p w14:paraId="3AEEBFC0">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十一、补充协议</w:t>
      </w:r>
    </w:p>
    <w:p w14:paraId="3659FF2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none"/>
        </w:rPr>
      </w:pPr>
      <w:r>
        <w:rPr>
          <w:rStyle w:val="303"/>
          <w:rFonts w:hint="eastAsia" w:ascii="宋体" w:hAnsi="宋体" w:eastAsia="宋体" w:cs="宋体"/>
          <w:color w:val="auto"/>
          <w:szCs w:val="21"/>
          <w:highlight w:val="none"/>
          <w:u w:val="none"/>
        </w:rPr>
        <w:t>合同未尽事宜，双方另行签订补充协议。补充协议是合同的组成部分。</w:t>
      </w:r>
    </w:p>
    <w:p w14:paraId="014B56C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none"/>
        </w:rPr>
      </w:pPr>
    </w:p>
    <w:p w14:paraId="4EF7636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none"/>
        </w:rPr>
      </w:pPr>
    </w:p>
    <w:p w14:paraId="7208946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none"/>
        </w:rPr>
      </w:pPr>
    </w:p>
    <w:p w14:paraId="6981E40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none"/>
        </w:rPr>
      </w:pPr>
    </w:p>
    <w:p w14:paraId="7D34156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none"/>
        </w:rPr>
      </w:pPr>
    </w:p>
    <w:p w14:paraId="535D340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none"/>
        </w:rPr>
      </w:pPr>
    </w:p>
    <w:p w14:paraId="3F5575B3">
      <w:pPr>
        <w:rPr>
          <w:rStyle w:val="303"/>
          <w:rFonts w:hint="eastAsia" w:ascii="宋体" w:hAnsi="宋体" w:eastAsia="宋体" w:cs="宋体"/>
          <w:color w:val="auto"/>
          <w:szCs w:val="21"/>
          <w:highlight w:val="none"/>
          <w:u w:val="none"/>
        </w:rPr>
      </w:pPr>
      <w:r>
        <w:rPr>
          <w:rStyle w:val="303"/>
          <w:rFonts w:hint="eastAsia" w:ascii="宋体" w:hAnsi="宋体" w:eastAsia="宋体" w:cs="宋体"/>
          <w:color w:val="auto"/>
          <w:szCs w:val="21"/>
          <w:highlight w:val="none"/>
          <w:u w:val="none"/>
        </w:rPr>
        <w:br w:type="page"/>
      </w:r>
    </w:p>
    <w:p w14:paraId="23FDE4E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none"/>
        </w:rPr>
      </w:pPr>
    </w:p>
    <w:p w14:paraId="432F6D17">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w:t>
      </w:r>
      <w:r>
        <w:rPr>
          <w:rStyle w:val="303"/>
          <w:rFonts w:hint="eastAsia" w:ascii="宋体" w:hAnsi="宋体" w:eastAsia="宋体" w:cs="宋体"/>
          <w:color w:val="auto"/>
          <w:szCs w:val="21"/>
          <w:highlight w:val="none"/>
          <w:u w:val="single"/>
        </w:rPr>
        <w:t>江苏省高速公路经营管理中心</w:t>
      </w:r>
      <w:r>
        <w:rPr>
          <w:rStyle w:val="303"/>
          <w:rFonts w:hint="eastAsia" w:ascii="宋体" w:hAnsi="宋体" w:eastAsia="宋体" w:cs="宋体"/>
          <w:color w:val="auto"/>
          <w:szCs w:val="21"/>
          <w:highlight w:val="none"/>
        </w:rPr>
        <w:t xml:space="preserve">（盖章）              </w:t>
      </w:r>
    </w:p>
    <w:p w14:paraId="17A21DDF">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地址：</w:t>
      </w:r>
      <w:r>
        <w:rPr>
          <w:rStyle w:val="303"/>
          <w:rFonts w:hint="eastAsia" w:ascii="宋体" w:hAnsi="宋体" w:eastAsia="宋体" w:cs="宋体"/>
          <w:color w:val="auto"/>
          <w:szCs w:val="21"/>
          <w:highlight w:val="none"/>
          <w:u w:val="single"/>
        </w:rPr>
        <w:t>江苏省南京市鼓楼区江苏路60-1号</w:t>
      </w:r>
    </w:p>
    <w:p w14:paraId="5B164D95">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法定代表人或其委托代理人：</w:t>
      </w:r>
    </w:p>
    <w:p w14:paraId="10BC188A">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__________________________（签字） </w:t>
      </w:r>
    </w:p>
    <w:p w14:paraId="49C6F6AA">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         年     月     日                   </w:t>
      </w:r>
    </w:p>
    <w:p w14:paraId="26625D5B">
      <w:pPr>
        <w:spacing w:line="440" w:lineRule="exact"/>
        <w:rPr>
          <w:rStyle w:val="303"/>
          <w:rFonts w:hint="eastAsia" w:ascii="宋体" w:hAnsi="宋体" w:eastAsia="宋体" w:cs="宋体"/>
          <w:color w:val="auto"/>
          <w:szCs w:val="21"/>
          <w:highlight w:val="none"/>
        </w:rPr>
      </w:pPr>
    </w:p>
    <w:p w14:paraId="712AAC9C">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w:t>
      </w:r>
      <w:r>
        <w:rPr>
          <w:rStyle w:val="303"/>
          <w:rFonts w:hint="eastAsia" w:ascii="宋体" w:hAnsi="宋体" w:eastAsia="宋体" w:cs="宋体"/>
          <w:color w:val="auto"/>
          <w:szCs w:val="21"/>
          <w:highlight w:val="none"/>
          <w:u w:val="single"/>
        </w:rPr>
        <w:t xml:space="preserve">                              </w:t>
      </w:r>
      <w:r>
        <w:rPr>
          <w:rStyle w:val="303"/>
          <w:rFonts w:hint="eastAsia" w:ascii="宋体" w:hAnsi="宋体" w:eastAsia="宋体" w:cs="宋体"/>
          <w:color w:val="auto"/>
          <w:szCs w:val="21"/>
          <w:highlight w:val="none"/>
        </w:rPr>
        <w:t>（盖章）</w:t>
      </w:r>
    </w:p>
    <w:p w14:paraId="2FA0FDC0">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地址：</w:t>
      </w:r>
      <w:r>
        <w:rPr>
          <w:rStyle w:val="303"/>
          <w:rFonts w:hint="eastAsia" w:ascii="宋体" w:hAnsi="宋体" w:eastAsia="宋体" w:cs="宋体"/>
          <w:color w:val="auto"/>
          <w:szCs w:val="21"/>
          <w:highlight w:val="none"/>
          <w:u w:val="single"/>
        </w:rPr>
        <w:t xml:space="preserve">                                </w:t>
      </w:r>
      <w:r>
        <w:rPr>
          <w:rStyle w:val="303"/>
          <w:rFonts w:hint="eastAsia" w:ascii="宋体" w:hAnsi="宋体" w:eastAsia="宋体" w:cs="宋体"/>
          <w:color w:val="auto"/>
          <w:szCs w:val="21"/>
          <w:highlight w:val="none"/>
        </w:rPr>
        <w:t xml:space="preserve">    </w:t>
      </w:r>
    </w:p>
    <w:p w14:paraId="373B283E">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银行账户及账号：</w:t>
      </w:r>
      <w:r>
        <w:rPr>
          <w:rStyle w:val="303"/>
          <w:rFonts w:hint="eastAsia" w:ascii="宋体" w:hAnsi="宋体" w:eastAsia="宋体" w:cs="宋体"/>
          <w:color w:val="auto"/>
          <w:szCs w:val="21"/>
          <w:highlight w:val="none"/>
          <w:u w:val="single"/>
        </w:rPr>
        <w:t xml:space="preserve">                        </w:t>
      </w:r>
      <w:r>
        <w:rPr>
          <w:rStyle w:val="303"/>
          <w:rFonts w:hint="eastAsia" w:ascii="宋体" w:hAnsi="宋体" w:eastAsia="宋体" w:cs="宋体"/>
          <w:color w:val="auto"/>
          <w:szCs w:val="21"/>
          <w:highlight w:val="none"/>
        </w:rPr>
        <w:t xml:space="preserve">         </w:t>
      </w:r>
    </w:p>
    <w:p w14:paraId="2A194C2C">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法定代表人或其委托代理人：</w:t>
      </w:r>
    </w:p>
    <w:p w14:paraId="7DA49E5E">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__________________________（签字） </w:t>
      </w:r>
    </w:p>
    <w:p w14:paraId="1C12EDDA">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         年     月     日 </w:t>
      </w:r>
    </w:p>
    <w:p w14:paraId="38622FBB">
      <w:pPr>
        <w:spacing w:line="440" w:lineRule="exact"/>
        <w:rPr>
          <w:rStyle w:val="303"/>
          <w:rFonts w:hint="eastAsia" w:ascii="宋体" w:hAnsi="宋体" w:eastAsia="宋体" w:cs="宋体"/>
          <w:color w:val="auto"/>
          <w:szCs w:val="21"/>
          <w:highlight w:val="none"/>
        </w:rPr>
      </w:pPr>
    </w:p>
    <w:p w14:paraId="5AC80FE4">
      <w:pPr>
        <w:spacing w:line="440" w:lineRule="exact"/>
        <w:rPr>
          <w:rStyle w:val="303"/>
          <w:rFonts w:hint="eastAsia" w:ascii="宋体" w:hAnsi="宋体" w:eastAsia="宋体" w:cs="宋体"/>
          <w:color w:val="auto"/>
          <w:szCs w:val="21"/>
          <w:highlight w:val="none"/>
        </w:rPr>
      </w:pPr>
    </w:p>
    <w:p w14:paraId="0AF7860F">
      <w:pPr>
        <w:spacing w:line="440" w:lineRule="exact"/>
        <w:rPr>
          <w:rStyle w:val="303"/>
          <w:rFonts w:hint="eastAsia" w:ascii="宋体" w:hAnsi="宋体" w:eastAsia="宋体" w:cs="宋体"/>
          <w:color w:val="auto"/>
          <w:szCs w:val="21"/>
          <w:highlight w:val="none"/>
        </w:rPr>
      </w:pPr>
    </w:p>
    <w:p w14:paraId="0B20A99D">
      <w:pPr>
        <w:spacing w:line="440" w:lineRule="exact"/>
        <w:rPr>
          <w:rStyle w:val="303"/>
          <w:rFonts w:hint="eastAsia" w:ascii="宋体" w:hAnsi="宋体" w:eastAsia="宋体" w:cs="宋体"/>
          <w:color w:val="auto"/>
          <w:szCs w:val="21"/>
          <w:highlight w:val="none"/>
        </w:rPr>
      </w:pPr>
    </w:p>
    <w:p w14:paraId="1BDE70E6">
      <w:pPr>
        <w:spacing w:line="440" w:lineRule="exact"/>
        <w:rPr>
          <w:rStyle w:val="303"/>
          <w:rFonts w:hint="eastAsia" w:ascii="宋体" w:hAnsi="宋体" w:eastAsia="宋体" w:cs="宋体"/>
          <w:color w:val="auto"/>
          <w:szCs w:val="21"/>
          <w:highlight w:val="none"/>
        </w:rPr>
      </w:pPr>
    </w:p>
    <w:p w14:paraId="119136B3">
      <w:pPr>
        <w:spacing w:line="440" w:lineRule="exact"/>
        <w:rPr>
          <w:rStyle w:val="303"/>
          <w:rFonts w:hint="eastAsia" w:ascii="宋体" w:hAnsi="宋体" w:eastAsia="宋体" w:cs="宋体"/>
          <w:color w:val="auto"/>
          <w:szCs w:val="21"/>
          <w:highlight w:val="none"/>
        </w:rPr>
      </w:pPr>
    </w:p>
    <w:p w14:paraId="701FCB1D">
      <w:pPr>
        <w:spacing w:line="440" w:lineRule="exact"/>
        <w:rPr>
          <w:rStyle w:val="303"/>
          <w:rFonts w:hint="eastAsia" w:ascii="宋体" w:hAnsi="宋体" w:eastAsia="宋体" w:cs="宋体"/>
          <w:color w:val="auto"/>
          <w:szCs w:val="21"/>
          <w:highlight w:val="none"/>
        </w:rPr>
      </w:pPr>
    </w:p>
    <w:p w14:paraId="3FC9BFA6">
      <w:pPr>
        <w:spacing w:line="440" w:lineRule="exact"/>
        <w:rPr>
          <w:rStyle w:val="303"/>
          <w:rFonts w:hint="eastAsia" w:ascii="宋体" w:hAnsi="宋体" w:eastAsia="宋体" w:cs="宋体"/>
          <w:color w:val="auto"/>
          <w:szCs w:val="21"/>
          <w:highlight w:val="none"/>
        </w:rPr>
      </w:pPr>
    </w:p>
    <w:p w14:paraId="22A5924C">
      <w:pPr>
        <w:spacing w:line="440" w:lineRule="exact"/>
        <w:rPr>
          <w:rStyle w:val="303"/>
          <w:rFonts w:hint="eastAsia" w:ascii="宋体" w:hAnsi="宋体" w:eastAsia="宋体" w:cs="宋体"/>
          <w:color w:val="auto"/>
          <w:szCs w:val="21"/>
          <w:highlight w:val="none"/>
        </w:rPr>
      </w:pPr>
    </w:p>
    <w:p w14:paraId="071DB3BC">
      <w:pPr>
        <w:spacing w:line="440" w:lineRule="exact"/>
        <w:rPr>
          <w:rStyle w:val="303"/>
          <w:rFonts w:hint="eastAsia" w:ascii="宋体" w:hAnsi="宋体" w:eastAsia="宋体" w:cs="宋体"/>
          <w:color w:val="auto"/>
          <w:szCs w:val="21"/>
          <w:highlight w:val="none"/>
        </w:rPr>
      </w:pPr>
    </w:p>
    <w:p w14:paraId="5F3DAEBB">
      <w:pPr>
        <w:spacing w:line="440" w:lineRule="exact"/>
        <w:rPr>
          <w:rStyle w:val="303"/>
          <w:rFonts w:hint="eastAsia" w:ascii="宋体" w:hAnsi="宋体" w:eastAsia="宋体" w:cs="宋体"/>
          <w:color w:val="auto"/>
          <w:szCs w:val="21"/>
          <w:highlight w:val="none"/>
        </w:rPr>
      </w:pPr>
    </w:p>
    <w:p w14:paraId="5C93DE18">
      <w:pPr>
        <w:spacing w:line="440" w:lineRule="exact"/>
        <w:rPr>
          <w:rStyle w:val="303"/>
          <w:rFonts w:hint="eastAsia" w:ascii="宋体" w:hAnsi="宋体" w:eastAsia="宋体" w:cs="宋体"/>
          <w:color w:val="auto"/>
          <w:szCs w:val="21"/>
          <w:highlight w:val="none"/>
        </w:rPr>
      </w:pPr>
    </w:p>
    <w:p w14:paraId="22CE344B">
      <w:pPr>
        <w:spacing w:line="440" w:lineRule="exact"/>
        <w:rPr>
          <w:rStyle w:val="303"/>
          <w:rFonts w:hint="eastAsia" w:ascii="宋体" w:hAnsi="宋体" w:eastAsia="宋体" w:cs="宋体"/>
          <w:color w:val="auto"/>
          <w:szCs w:val="21"/>
          <w:highlight w:val="none"/>
        </w:rPr>
      </w:pPr>
    </w:p>
    <w:p w14:paraId="0B450828">
      <w:pPr>
        <w:spacing w:line="440" w:lineRule="exact"/>
        <w:rPr>
          <w:rStyle w:val="303"/>
          <w:rFonts w:hint="eastAsia" w:ascii="宋体" w:hAnsi="宋体" w:eastAsia="宋体" w:cs="宋体"/>
          <w:color w:val="auto"/>
          <w:szCs w:val="21"/>
          <w:highlight w:val="none"/>
        </w:rPr>
      </w:pPr>
    </w:p>
    <w:p w14:paraId="7755F73A">
      <w:pPr>
        <w:spacing w:line="440" w:lineRule="exact"/>
        <w:rPr>
          <w:rStyle w:val="303"/>
          <w:rFonts w:hint="eastAsia" w:ascii="宋体" w:hAnsi="宋体" w:eastAsia="宋体" w:cs="宋体"/>
          <w:color w:val="auto"/>
          <w:szCs w:val="21"/>
          <w:highlight w:val="none"/>
        </w:rPr>
      </w:pPr>
    </w:p>
    <w:p w14:paraId="5AD1884B">
      <w:pPr>
        <w:spacing w:line="440" w:lineRule="exact"/>
        <w:rPr>
          <w:rStyle w:val="303"/>
          <w:rFonts w:hint="eastAsia" w:ascii="宋体" w:hAnsi="宋体" w:eastAsia="宋体" w:cs="宋体"/>
          <w:color w:val="auto"/>
          <w:szCs w:val="21"/>
          <w:highlight w:val="none"/>
        </w:rPr>
      </w:pPr>
    </w:p>
    <w:p w14:paraId="59DFF497">
      <w:pPr>
        <w:spacing w:line="440" w:lineRule="exact"/>
        <w:rPr>
          <w:rStyle w:val="303"/>
          <w:rFonts w:hint="eastAsia" w:ascii="宋体" w:hAnsi="宋体" w:eastAsia="宋体" w:cs="宋体"/>
          <w:color w:val="auto"/>
          <w:szCs w:val="21"/>
          <w:highlight w:val="none"/>
        </w:rPr>
      </w:pPr>
    </w:p>
    <w:p w14:paraId="631B04B7">
      <w:pPr>
        <w:spacing w:line="440" w:lineRule="exact"/>
        <w:rPr>
          <w:rStyle w:val="303"/>
          <w:rFonts w:hint="eastAsia" w:ascii="宋体" w:hAnsi="宋体" w:eastAsia="宋体" w:cs="宋体"/>
          <w:color w:val="auto"/>
          <w:szCs w:val="21"/>
          <w:highlight w:val="none"/>
        </w:rPr>
      </w:pPr>
    </w:p>
    <w:p w14:paraId="60C9E598">
      <w:pPr>
        <w:rPr>
          <w:rStyle w:val="303"/>
          <w:rFonts w:hint="eastAsia" w:ascii="宋体" w:hAnsi="宋体" w:eastAsia="宋体" w:cs="宋体"/>
          <w:color w:val="auto"/>
          <w:szCs w:val="21"/>
          <w:highlight w:val="none"/>
        </w:rPr>
      </w:pPr>
    </w:p>
    <w:p w14:paraId="0C1058BC">
      <w:pPr>
        <w:spacing w:line="440" w:lineRule="exact"/>
        <w:jc w:val="center"/>
        <w:rPr>
          <w:rStyle w:val="303"/>
          <w:rFonts w:hint="eastAsia" w:ascii="宋体" w:hAnsi="宋体" w:eastAsia="宋体" w:cs="宋体"/>
          <w:color w:val="auto"/>
          <w:sz w:val="28"/>
          <w:szCs w:val="28"/>
          <w:highlight w:val="none"/>
        </w:rPr>
      </w:pPr>
      <w:r>
        <w:rPr>
          <w:rStyle w:val="303"/>
          <w:rFonts w:hint="eastAsia" w:ascii="宋体" w:hAnsi="宋体" w:eastAsia="宋体" w:cs="宋体"/>
          <w:color w:val="auto"/>
          <w:sz w:val="28"/>
          <w:szCs w:val="28"/>
          <w:highlight w:val="none"/>
        </w:rPr>
        <w:t>通用合同条款</w:t>
      </w:r>
    </w:p>
    <w:p w14:paraId="378FB19C">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 一般约定</w:t>
      </w:r>
    </w:p>
    <w:p w14:paraId="0CA93BA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 词语定义</w:t>
      </w:r>
    </w:p>
    <w:p w14:paraId="65CB182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通用合同条款、专用合同条款中的下列词语应具有本款所赋予的含义。</w:t>
      </w:r>
    </w:p>
    <w:p w14:paraId="0CD78B6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1.1.1 合同</w:t>
      </w:r>
    </w:p>
    <w:p w14:paraId="35C751D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1.1.1.1 合同文件（或称合同）：指合同协议书、中标通知书、投标函及投标函附录、专用合同条款、通用合同条款、技术标准和要求、图纸、已标价工程量清单，以及其他合同文件。</w:t>
      </w:r>
    </w:p>
    <w:p w14:paraId="02CF9E8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1.1.1.2 合同协议书：指第1.5款所指的合同协议书。</w:t>
      </w:r>
    </w:p>
    <w:p w14:paraId="4D294DA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1.1.1.3 中标通知书：指发包人通知承包人中标的函件。</w:t>
      </w:r>
    </w:p>
    <w:p w14:paraId="0A04B79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1.1.1.4 投标函：指构成合同文件组成部分的由承包人填写并签署的投标函。</w:t>
      </w:r>
    </w:p>
    <w:p w14:paraId="6322314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1.1.1.5 投标函附录：指附在投标函后构成合同文件的投标函附录。</w:t>
      </w:r>
    </w:p>
    <w:p w14:paraId="7C8E823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1.1.1.6 技术标准和要求：指构成合同文件组成部分的名为技术标准和要求的文件，包括合同双方当事人约定对其所作的修改或补充。</w:t>
      </w:r>
    </w:p>
    <w:p w14:paraId="7D9EDCA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1.1.1.7图纸：指包含在合同中的工程图纸，以及由发包人按合同约定提供的任何补充和修改的图纸，包括配套的说明。</w:t>
      </w:r>
    </w:p>
    <w:p w14:paraId="6F04949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1.1.1.8 已标价工程量清单：指构成合同文件组成部分的由承包人按照规定的格式和要求填写并标明价格的工程量清单。</w:t>
      </w:r>
    </w:p>
    <w:p w14:paraId="52134E8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1.1.1.9 其他合同文件：指经合同双方当事人确认构成合同文件的其他文件。</w:t>
      </w:r>
    </w:p>
    <w:p w14:paraId="30DF00C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1.1.2 合同当事人和人员</w:t>
      </w:r>
    </w:p>
    <w:p w14:paraId="5BC7C0D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1.1.2.1 合同当事人:指发包人和（或）承包人。</w:t>
      </w:r>
    </w:p>
    <w:p w14:paraId="6FB3114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1.1.2.2 发包人：指专用合同条款中指明并与承包人在合同协议书中签字的当事人。</w:t>
      </w:r>
    </w:p>
    <w:p w14:paraId="4C930FD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1.1.2.3 承包人：指与发包人签订合同协议书的当事人。</w:t>
      </w:r>
    </w:p>
    <w:p w14:paraId="5BE4CA8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1.1.2.4 承包人项目经理：指承包人派驻施工场地的全权负责人。</w:t>
      </w:r>
    </w:p>
    <w:p w14:paraId="6649C74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1.1.2.5 分包人：指从承包人处分包合同中某一部分工程，并与其签订分包合同的分包人。</w:t>
      </w:r>
    </w:p>
    <w:p w14:paraId="156226F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1.1.2.6 监理人：指在专用合同条款中指明的，受发包人委托对合同履行实施管理的法人或其他组织。</w:t>
      </w:r>
    </w:p>
    <w:p w14:paraId="33FF225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1.1.2.7 总监理工程师（总监）：指由监理人委派常驻施工场地对合同履行实施管理的全权负责人。</w:t>
      </w:r>
    </w:p>
    <w:p w14:paraId="75CB6C8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1.1.3 工程和设备</w:t>
      </w:r>
    </w:p>
    <w:p w14:paraId="1A8EE4D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1.1.3.1 工程：指永久工程和（或）临时工程。</w:t>
      </w:r>
    </w:p>
    <w:p w14:paraId="5EBBBC6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1.1.3.2 永久工程：指按合同约定建造并移交给发包人的工程，包括工程设备。</w:t>
      </w:r>
    </w:p>
    <w:p w14:paraId="40BA0EA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1.1.3.3 临时工程：指为完成合同约定的永久工程所修建的各类临时性工程，不包括施工设备。</w:t>
      </w:r>
    </w:p>
    <w:p w14:paraId="2930230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1.1.3.4 单位工程：指专用合同条款中指明特定范围的永久工程。</w:t>
      </w:r>
    </w:p>
    <w:p w14:paraId="75D12E5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1.1.3.5 工程设备：指构成或计划构成永久工程一部分的机电设备、金属结构设备、仪器装置及其他类似的设备和装置。</w:t>
      </w:r>
    </w:p>
    <w:p w14:paraId="2BDFC88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1.1.3.6 施工设备：指为完成合同约定的各项工作所需的设备、器具和其他物品，不包括临时工程和材料。</w:t>
      </w:r>
    </w:p>
    <w:p w14:paraId="58E5E65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1.1.3.7 临时设施：指为完成合同约定的各项工作所服务的临时性生产和生活设施。</w:t>
      </w:r>
    </w:p>
    <w:p w14:paraId="1464BFE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1.1.3.8 承包人设备：指承包人自带的施工设备。</w:t>
      </w:r>
    </w:p>
    <w:p w14:paraId="4481BAC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1.1.3.9 施工场地（或称工地、现场）：指用于合同工程施工的场所，以及在合同中指定作为施工场地组成部分的其他场所，包括永久占地和临时占地。</w:t>
      </w:r>
    </w:p>
    <w:p w14:paraId="1969B93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1.1.3.10 永久占地：指专用合同条款中指明为实施合同工程需永久占用的土地。</w:t>
      </w:r>
    </w:p>
    <w:p w14:paraId="7108E7B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1.1.3.11 临时占地：指专用合同条款中指明为实施合同工程需临时占用的土地。</w:t>
      </w:r>
    </w:p>
    <w:p w14:paraId="711F1A4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1.1.4 日期</w:t>
      </w:r>
    </w:p>
    <w:p w14:paraId="672D57A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1.1.4.1 开工通知：指监理人按第11.1款通知承包人开工的函件。</w:t>
      </w:r>
    </w:p>
    <w:p w14:paraId="5D638D0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1.1.4.2 开工日期：指监理人按第11.1款发出的开工通知中写明的开工日期。</w:t>
      </w:r>
    </w:p>
    <w:p w14:paraId="769E732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1.1.4.3工期：指承包人在投标函中承诺的完成合同工程所需的期限，包括按第11.3款、第11.4款和第11.6款约定所作的变更。</w:t>
      </w:r>
    </w:p>
    <w:p w14:paraId="4BA8E96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1.1.4.4 竣工日期：指第1.1.4.3目约定工期届满时的日期。实际竣工日期以工程接收证书中写明的日期为准。</w:t>
      </w:r>
    </w:p>
    <w:p w14:paraId="0FF026F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1.1.4.5 缺陷责任期：指履行第19.2款约定的缺陷责任的期限，具体期限由专用合同条款约定，包括根据第19.3款约定所作的延长。</w:t>
      </w:r>
    </w:p>
    <w:p w14:paraId="2598344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1.1.4.6 基准日期：指投标截止时间前28天的日期。</w:t>
      </w:r>
    </w:p>
    <w:p w14:paraId="675EE16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1.1.4.7 天：除特别指明外，指日历天。合同中按天计算时间的，开始当天不计入，从次日开始计算。期限最后一天的截止时间为当天24:00。</w:t>
      </w:r>
    </w:p>
    <w:p w14:paraId="0B82524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1.1.5 合同价格和费用</w:t>
      </w:r>
    </w:p>
    <w:p w14:paraId="1E29278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1.1.5.1 签约合同价：指签定合同时合同协议书中写明的，包括了暂列金额、暂估价的合同总金额。</w:t>
      </w:r>
    </w:p>
    <w:p w14:paraId="1EF8F31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1.1.5.2 合同价格：指承包人按合同约定完成了包括缺陷责任期内的全部承包工作后，发包人应付给承包人的金额，包括在履行合同过程中按合同约定进行的变更和调整。</w:t>
      </w:r>
    </w:p>
    <w:p w14:paraId="20DD02A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1.1.5.3 费用：指为履行合同所发生的或将要发生的所有合理开支，包括管理费和应分摊的其他费用，但不包括利润。</w:t>
      </w:r>
    </w:p>
    <w:p w14:paraId="55E2CF6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1.1.5.4 暂列金额：指已标价工程量清单中所列的暂列金额，用于在签订协议书时尚未确定或不可预见变更的施工及其所需材料、工程设备、服务等的金额，包括以计日工方式支付的金额。</w:t>
      </w:r>
    </w:p>
    <w:p w14:paraId="1C73922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1.1.5.5暂估价：指发包人在工程量清单中给定的用于支付必然发生但暂时不能确定价格的材料、设备以及专业工程的金额。</w:t>
      </w:r>
    </w:p>
    <w:p w14:paraId="22EB3FA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1.1.5.6 计日工：指对零星工作采取的一种计价方式，按合同中的计日工子目及其单价计价付款。</w:t>
      </w:r>
    </w:p>
    <w:p w14:paraId="7362A9D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1.1.5.7 质量保证金（或称保留金）：指按第17.4.1项约定用于保证在缺陷责任期内履行缺陷修复义务的金额。</w:t>
      </w:r>
    </w:p>
    <w:p w14:paraId="233A16A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1.1.6 其他</w:t>
      </w:r>
    </w:p>
    <w:p w14:paraId="2A15336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1.1.6.1 书面形式：指合同文件、信函、电报、传真等可以有形地表现所载内容的形式。</w:t>
      </w:r>
    </w:p>
    <w:p w14:paraId="64B32A4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1.2 语言文字</w:t>
      </w:r>
    </w:p>
    <w:p w14:paraId="043CF70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除专用术语外，合同使用的语言文字为中文。必要时专用术语应附有中文注释。</w:t>
      </w:r>
    </w:p>
    <w:p w14:paraId="6FA8AF6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1.3 法律</w:t>
      </w:r>
    </w:p>
    <w:p w14:paraId="48343EE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适用于合同的法律包括中华人民共和国法律、行政法规、部门规章，以及工程所在地的地方法规、自治条例、单行条例和地方政府规章。</w:t>
      </w:r>
    </w:p>
    <w:p w14:paraId="5507879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1.4 合同文件的优先顺序</w:t>
      </w:r>
    </w:p>
    <w:p w14:paraId="32B545B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组成合同的各项文件应互相解释，互为说明。除专用合同条款另有约定外，解释合同文件的优先顺序如下：</w:t>
      </w:r>
    </w:p>
    <w:p w14:paraId="5EAC456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（1）合同协议书；</w:t>
      </w:r>
    </w:p>
    <w:p w14:paraId="58BE581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（2）中标通知书；</w:t>
      </w:r>
    </w:p>
    <w:p w14:paraId="0D8B6FB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（3）投标函及投标函附录；</w:t>
      </w:r>
    </w:p>
    <w:p w14:paraId="1D7FD3E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（4）专用合同条款；</w:t>
      </w:r>
    </w:p>
    <w:p w14:paraId="25781B1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（5）通用合同条款；</w:t>
      </w:r>
    </w:p>
    <w:p w14:paraId="40D96F4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（6）技术标准和要求；</w:t>
      </w:r>
    </w:p>
    <w:p w14:paraId="11C12B1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（7）图纸；</w:t>
      </w:r>
    </w:p>
    <w:p w14:paraId="3E6D73C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（8）已标价工程量清单；</w:t>
      </w:r>
    </w:p>
    <w:p w14:paraId="12D5A05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（9）其他合同文件。</w:t>
      </w:r>
    </w:p>
    <w:p w14:paraId="25E59A7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1.5 合同协议书</w:t>
      </w:r>
    </w:p>
    <w:p w14:paraId="1895853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承包人按中标通知书规定的时间与发包人签订合同协议书。除法律另有规定或合同另有约定外，发包人和承包人的法定代表人或其委托代理人在合同协议书上签字并盖单位章后，合同生效。</w:t>
      </w:r>
    </w:p>
    <w:p w14:paraId="303713D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1.6 图纸和承包人文件</w:t>
      </w:r>
    </w:p>
    <w:p w14:paraId="424490E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1.6.1图纸的提供</w:t>
      </w:r>
    </w:p>
    <w:p w14:paraId="545C6B5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除专用合同条款另有约定外，图纸应在合理的期限内按照合同约定的数量提供给承包人。由于发包人未按时提供图纸造成工期延误的，按第11.3款的约定办理。</w:t>
      </w:r>
    </w:p>
    <w:p w14:paraId="41B8357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1.6.2 承包人提供的文件</w:t>
      </w:r>
    </w:p>
    <w:p w14:paraId="1C9FC00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按专用合同条款约定由承包人提供的文件，包括部分工程的大样图、加工图等，承包人应按约定的数量和期限报送监理人。监理人应在专用合同条款约定的期限内批复。</w:t>
      </w:r>
    </w:p>
    <w:p w14:paraId="18D2871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1.6.3 图纸的修改</w:t>
      </w:r>
    </w:p>
    <w:p w14:paraId="241183F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14:paraId="4DADB70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1.6.4 图纸的错误</w:t>
      </w:r>
    </w:p>
    <w:p w14:paraId="438283C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承包人发现发包人提供的图纸存在明显错误或疏忽，应及时通知监理人。</w:t>
      </w:r>
    </w:p>
    <w:p w14:paraId="32A17A2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1.6.5 图纸和承包人文件的保管</w:t>
      </w:r>
    </w:p>
    <w:p w14:paraId="1A7CCF0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监理人和承包人均应在施工场地各保存一套完整的包含第1.6.1项、第1.6.2项、第1.6.3项约定内容的图纸和承包人文件。</w:t>
      </w:r>
    </w:p>
    <w:p w14:paraId="788E4B6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1.7 联络</w:t>
      </w:r>
    </w:p>
    <w:p w14:paraId="23ADA29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1.7.1 与合同有关的通知、批准、证明、证书、指示、要求、请求、同意、意见、确定和决定等，均应采用书面形式。</w:t>
      </w:r>
    </w:p>
    <w:p w14:paraId="0EF6A04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1.7.2 第1.7.1项中的通知、批准、证明、证书、指示、要求、请求、同意、意见、确定和决定等来往函件，均应在合同约定的期限内送达指定地点和接收人，并办理签收手续。</w:t>
      </w:r>
    </w:p>
    <w:p w14:paraId="0C708B3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1.8 转让</w:t>
      </w:r>
    </w:p>
    <w:p w14:paraId="30CBE7B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除合同另有约定外，未经对方当事人同意，一方当事人不得将合同权利全部或部分转让给第三人，也不得全部或部分转移合同义务。</w:t>
      </w:r>
    </w:p>
    <w:p w14:paraId="28FE4AD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1.9 严禁贿赂</w:t>
      </w:r>
    </w:p>
    <w:p w14:paraId="63B6FFE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合同双方当事人不得以贿赂或变相贿赂的方式，谋取不当利益或损害对方权益。因贿赂造成对方损失的，行为人应赔偿损失，并承担相应的法律责任。</w:t>
      </w:r>
    </w:p>
    <w:p w14:paraId="44E5D88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1.10 化石、文物</w:t>
      </w:r>
    </w:p>
    <w:p w14:paraId="5BC996F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6439796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1.10.2 承包人发现文物后不及时报告或隐瞒不报，致使文物丢失或损坏的，应赔偿损失，并承担相应的法律责任。</w:t>
      </w:r>
    </w:p>
    <w:p w14:paraId="3576EE1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1.11 专利技术</w:t>
      </w:r>
    </w:p>
    <w:p w14:paraId="0D38771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1.11.1 承包人在使用任何材料、承包人设备、工程设备或采用施工工艺时，因侵犯专利权或其他知识产权所引起的责任，由承包人承担，但由于遵照发包人提供的设计或技术标准和要求引起的除外。</w:t>
      </w:r>
    </w:p>
    <w:p w14:paraId="00B517E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1.11.2 承包人在投标文件中采用专利技术的，专利技术的使用费包含在投标报价内。</w:t>
      </w:r>
    </w:p>
    <w:p w14:paraId="4FBDD0C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1.11.3 承包人的技术秘密和声明需要保密的资料和信息，发包人和监理人不得为合同以外的目的泄露给他人。</w:t>
      </w:r>
    </w:p>
    <w:p w14:paraId="76B4257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1.12 图纸和文件的保密</w:t>
      </w:r>
    </w:p>
    <w:p w14:paraId="41E51C0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1.12.1 发包人提供的图纸和文件，未经发包人同意，承包人不得为合同以外的目的泄露给他人或公开发表与引用。</w:t>
      </w:r>
    </w:p>
    <w:p w14:paraId="1C869EE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1.12.2 承包人提供的文件，未经承包人同意，发包人和监理人不得为合同以外的目的泄露给他人或公开发表与引用。</w:t>
      </w:r>
    </w:p>
    <w:p w14:paraId="2D8FDE2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 发包人义务</w:t>
      </w:r>
    </w:p>
    <w:p w14:paraId="51FF954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2.1 遵守法律</w:t>
      </w:r>
    </w:p>
    <w:p w14:paraId="2EEBAD5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发包人在履行合同过程中应遵守法律，并保证承包人免于承担因发包人违反法律而引起的任何责任。</w:t>
      </w:r>
    </w:p>
    <w:p w14:paraId="21BE6DC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2.2 发出开工通知</w:t>
      </w:r>
    </w:p>
    <w:p w14:paraId="1D67005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发包人应委托监理人按第11.1款的约定向承包人发出开工通知。</w:t>
      </w:r>
    </w:p>
    <w:p w14:paraId="646D605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2.3 提供施工场地</w:t>
      </w:r>
    </w:p>
    <w:p w14:paraId="6146528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发包人应按专用合同条款约定向承包人提供施工场地，以及施工场地内地下管线和地下设施等有关资料，并保证资料的真实、准确、完整。</w:t>
      </w:r>
    </w:p>
    <w:p w14:paraId="7D914E9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2.4 协助承包人办理证件和批件</w:t>
      </w:r>
    </w:p>
    <w:p w14:paraId="0A4E250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发包人应协助承包人办理法律规定的有关施工证件和批件。</w:t>
      </w:r>
    </w:p>
    <w:p w14:paraId="422E624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2.5 组织设计交底</w:t>
      </w:r>
    </w:p>
    <w:p w14:paraId="4FA8E6B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发包人应根据合同进度计划，组织设计单位向承包人进行设计交底。</w:t>
      </w:r>
    </w:p>
    <w:p w14:paraId="22EDFB8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2.6 支付合同价款</w:t>
      </w:r>
    </w:p>
    <w:p w14:paraId="45DAAB9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发包人应按合同约定向承包人及时支付合同价款。</w:t>
      </w:r>
    </w:p>
    <w:p w14:paraId="1F68518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2.7 组织竣工验收</w:t>
      </w:r>
    </w:p>
    <w:p w14:paraId="74BCAE1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发包人应按合同约定及时组织竣工验收。</w:t>
      </w:r>
    </w:p>
    <w:p w14:paraId="553BF58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2.8 其他义务</w:t>
      </w:r>
    </w:p>
    <w:p w14:paraId="5B490BB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发包人应履行合同约定的其他义务。</w:t>
      </w:r>
    </w:p>
    <w:p w14:paraId="56EE3A6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3. 监理人</w:t>
      </w:r>
    </w:p>
    <w:p w14:paraId="255D288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3.1 监理人的职责和权力</w:t>
      </w:r>
    </w:p>
    <w:p w14:paraId="3FFEA22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3.1.1 监理人受发包人委托，享有合同约定的权力。监理人在行使某项权力前需要经发包人事先批准而通用合同条款没有指明的，应在专用合同条款中指明。</w:t>
      </w:r>
    </w:p>
    <w:p w14:paraId="5B8FE8E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3.1.2 监理人发出的任何指示应视为已得到发包人的批准，但监理人无权免除或变更合同约定的发包人和承包人的权利、义务和责任。</w:t>
      </w:r>
    </w:p>
    <w:p w14:paraId="22C6277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3.1.3 合同约定应由承包人承担的义务和责任，不因监理人对承包人提交文件的审查或批准，对工程、材料和设备的检查和检验，以及为实施监理作出的指示等职务行为而减轻或解除。</w:t>
      </w:r>
    </w:p>
    <w:p w14:paraId="71CEAE0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3.2 总监理工程师</w:t>
      </w:r>
    </w:p>
    <w:p w14:paraId="1B7B7A1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发包人应在发出开工通知前将总监理工程师的任命通知承包人。总监理工程师更换时，应在调离14天前通知承包人。总监理工程师短期离开施工场地的，应委派代表代行其职责，并通知承包人。</w:t>
      </w:r>
    </w:p>
    <w:p w14:paraId="1C71F8B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3.3 监理人员</w:t>
      </w:r>
    </w:p>
    <w:p w14:paraId="2BAA9F0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769050D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3.3.2 监理人员对承包人的任何工作、工程或其采用的材料和工程设备未在约定的或合理的期限内提出否定意见的，视为已获批准，但不影响监理人在以后拒绝该项工作、工程、材料或工程设备的权利。</w:t>
      </w:r>
    </w:p>
    <w:p w14:paraId="026A1F7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3.3.3 承包人对总监理工程师授权的监理人员发出的指示有疑问的，可向总监理工程师提出书面异议，总监理工程师应在48小时内对该指示予以确认、更改或撤销。</w:t>
      </w:r>
    </w:p>
    <w:p w14:paraId="7B8AAEB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3.3.4 除专用合同条款另有约定外，总监理工程师不应将第3.5款约定应由总监理工程师作出确定的权力授权或委托给其他监理人员。</w:t>
      </w:r>
    </w:p>
    <w:p w14:paraId="30313DB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3.4 监理人的指示</w:t>
      </w:r>
    </w:p>
    <w:p w14:paraId="4A49BDD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3.4.1 监理人应按第3.1款的约定向承包人发出指示，监理人的指示应盖有监理人授权的施工场地机构章，并由总监理工程师或总监理工程师按第3.3.1项约定授权的监理人员签字。</w:t>
      </w:r>
    </w:p>
    <w:p w14:paraId="227D679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3.4.2 承包人收到监理人按第3.4.1项作出的指示后应遵照执行。指示构成变更的，应按第15条处理。</w:t>
      </w:r>
    </w:p>
    <w:p w14:paraId="1BE4F63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1811A1A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3.4.4 除合同另有约定外，承包人只从总监理工程师或按第3.3.1项被授权的监理人员处取得指示。</w:t>
      </w:r>
    </w:p>
    <w:p w14:paraId="1F9410B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3.4.5 由于监理人未能按合同约定发出指示、指示延误或指示错误而导致承包人费用增加和（或）工期延误的，由发包人承担赔偿责任。 </w:t>
      </w:r>
    </w:p>
    <w:p w14:paraId="4D22D74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3.5 商定或确定</w:t>
      </w:r>
    </w:p>
    <w:p w14:paraId="759B78A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3.5.1合同约定总监理工程师应按照本款对任何事项进行商定或确定时，总监理工程师应与合同当事人协商，尽量达成一致。不能达成一致的，总监理工程师应认真研究后审慎确定。</w:t>
      </w:r>
    </w:p>
    <w:p w14:paraId="3EAF58F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3EC6ADA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 承包人</w:t>
      </w:r>
    </w:p>
    <w:p w14:paraId="142BD66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4.1 承包人的一般义务</w:t>
      </w:r>
    </w:p>
    <w:p w14:paraId="60DFCEB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4.1.1 遵守法律</w:t>
      </w:r>
    </w:p>
    <w:p w14:paraId="30FD3CE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承包人在履行合同过程中应遵守法律，并保证发包人免于承担因承包人违反法律而引起的任何责任。</w:t>
      </w:r>
    </w:p>
    <w:p w14:paraId="70CA35A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4.1.2 依法纳税</w:t>
      </w:r>
    </w:p>
    <w:p w14:paraId="1A9DAB4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承包人应按有关法律规定纳税，应缴纳的税金包括在合同价格内。</w:t>
      </w:r>
    </w:p>
    <w:p w14:paraId="001AFE6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4.1.3 完成各项承包工作</w:t>
      </w:r>
    </w:p>
    <w:p w14:paraId="54AA80F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按合同约定以及监理人根据第3.4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14:paraId="36AEA59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4.1.4 对施工作业和施工方法的完备性负责</w:t>
      </w:r>
    </w:p>
    <w:p w14:paraId="1DB2135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承包人应按合同约定的工作内容和施工进度要求，编制施工组织设计和施工措施计划，并对所有施工作业和施工方法的完备性和安全可靠性负责。</w:t>
      </w:r>
    </w:p>
    <w:p w14:paraId="772B6E2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4.1.5 保证工程施工和人员的安全</w:t>
      </w:r>
    </w:p>
    <w:p w14:paraId="6A20C2D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承包人应按第9.2款约定采取施工安全措施，确保工程及其人员、材料、设备和设施的安全，防止因工程施工造成的人身伤害和财产损失。</w:t>
      </w:r>
    </w:p>
    <w:p w14:paraId="1DDF192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4.1.6 负责施工场地及其周边环境与生态的保护工作</w:t>
      </w:r>
    </w:p>
    <w:p w14:paraId="71FFF55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承包人应按照第9.4款约定负责施工场地及其周边环境与生态的保护工作。</w:t>
      </w:r>
    </w:p>
    <w:p w14:paraId="7E62E89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4.1.7 避免施工对公众与他人的利益造成损害</w:t>
      </w:r>
    </w:p>
    <w:p w14:paraId="3C8381D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6317C57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4.1.8 为他人提供方便</w:t>
      </w:r>
    </w:p>
    <w:p w14:paraId="0B21AD8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承包人应按监理人的指示为他人在施工场地或附近实施与工程有关的其他各项工作提供可能的条件。除合同另有约定外，提供有关条件的内容和可能发生的费用，由监理人按第3.5款商定或确定。</w:t>
      </w:r>
    </w:p>
    <w:p w14:paraId="2AC7D76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4.1.9 工程的维护和照管</w:t>
      </w:r>
    </w:p>
    <w:p w14:paraId="2D61D42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工程接收证书颁发前，承包人应负责照管和维护工程。工程接收证书颁发时尚有部分未竣工工程的，承包人还应负责该未竣工工程的照管和维护工作，直至竣工后移交给发包人为止。</w:t>
      </w:r>
    </w:p>
    <w:p w14:paraId="6EA2C7C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4.1.10 其他义务</w:t>
      </w:r>
    </w:p>
    <w:p w14:paraId="1A5BD5D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承包人应履行合同约定的其他义务。</w:t>
      </w:r>
    </w:p>
    <w:p w14:paraId="1505F1F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4.2 履约担保</w:t>
      </w:r>
    </w:p>
    <w:p w14:paraId="19A0403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承包人应保证其履约担保在发包人颁发工程接收证书前一直有效。发包人应在工程接收证书颁发后28天内把履约担保退还给承包人。</w:t>
      </w:r>
    </w:p>
    <w:p w14:paraId="27B0633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4.3 分包</w:t>
      </w:r>
    </w:p>
    <w:p w14:paraId="2379602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4.3.1 承包人不得将其承包的全部工程转包给第三人，或将其承包的全部工程肢解后以分包的名义转包给第三人。</w:t>
      </w:r>
    </w:p>
    <w:p w14:paraId="3C31589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4.3.2 承包人不得将工程主体、关键性工作分包给第三人。除专用合同条款另有约定外，未经发包人同意，承包人不得将工程的其他部分或工作分包给第三人。</w:t>
      </w:r>
    </w:p>
    <w:p w14:paraId="54F3F70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4.3.3 分包人的资格能力应与其分包工程的标准和规模相适应。</w:t>
      </w:r>
    </w:p>
    <w:p w14:paraId="183B9B9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4.3.4 按投标函附录约定分包工程的，承包人应向发包人和监理人提交分包合同副本。</w:t>
      </w:r>
    </w:p>
    <w:p w14:paraId="0FB7C62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4.3.5 承包人应与分包人就分包工程向发包人承担连带责任。</w:t>
      </w:r>
    </w:p>
    <w:p w14:paraId="5A8619C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4.4 联合体</w:t>
      </w:r>
    </w:p>
    <w:p w14:paraId="5587171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4.4.1 联合体各方应共同与发包人签订合同协议书。联合体各方应为履行合同承担连带责任。</w:t>
      </w:r>
    </w:p>
    <w:p w14:paraId="5396CAC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4.4.2 联合体协议经发包人确认后作为合同附件。在履行合同过程中，未经发包人同意，不得修改联合体协议。</w:t>
      </w:r>
    </w:p>
    <w:p w14:paraId="1EF558C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4.4.3 联合体牵头人负责与发包人和监理人联系，并接受指示，负责组织联合体各成员全面履行合同。</w:t>
      </w:r>
    </w:p>
    <w:p w14:paraId="6DE0E95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4.5 承包人项目经理</w:t>
      </w:r>
    </w:p>
    <w:p w14:paraId="67C41D4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122F63B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12D4914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4.5.3承包人为履行合同发出的一切函件均应盖有承包人授权的施工场地管理机构章，并由承包人项目经理或其授权代表签字。</w:t>
      </w:r>
    </w:p>
    <w:p w14:paraId="640139F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4.5.4 承包人项目经理可以授权其下属人员履行其某项职责，但事先应将这些人员的姓名和授权范围通知监理人。</w:t>
      </w:r>
    </w:p>
    <w:p w14:paraId="1EAA903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4.6 承包人人员的管理</w:t>
      </w:r>
    </w:p>
    <w:p w14:paraId="36E7A95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5D34FBE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4.6.2 为完成合同约定的各项工作，承包人应向施工场地派遣或雇佣足够数量的下列人员：</w:t>
      </w:r>
    </w:p>
    <w:p w14:paraId="511AC45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（1）具有相应资格的专业技工和合格的普工；</w:t>
      </w:r>
    </w:p>
    <w:p w14:paraId="2D4F2CD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（2）具有相应施工经验的技术人员；</w:t>
      </w:r>
    </w:p>
    <w:p w14:paraId="525F838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（3）具有相应岗位资格的各级管理人员。</w:t>
      </w:r>
    </w:p>
    <w:p w14:paraId="4B52262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4.6.3 承包人安排在施工场地的主要管理人员和技术骨干应相对稳定。承包人更换主要管理人员和技术骨干时，应取得监理人的同意。</w:t>
      </w:r>
    </w:p>
    <w:p w14:paraId="456514D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4.6.4 特殊岗位的工作人员均应持有相应的资格证明，监理人有权随时检查。监理人认为有必要时，可进行现场考核。</w:t>
      </w:r>
    </w:p>
    <w:p w14:paraId="2846D74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4.7 撤换承包人项目经理和其他人员</w:t>
      </w:r>
    </w:p>
    <w:p w14:paraId="4F80E41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承包人应对其项目经理和其他人员进行有效管理。监理人要求撤换不能胜任本职工作、行为不端或玩忽职守的承包人项目经理和其他人员的，承包人应予以撤换。</w:t>
      </w:r>
    </w:p>
    <w:p w14:paraId="28CD5B7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4.8 保障承包人人员的合法权益</w:t>
      </w:r>
    </w:p>
    <w:p w14:paraId="77E661C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4.8.1 承包人应与其雇佣的人员签订劳动合同，并按时发放工资。</w:t>
      </w:r>
    </w:p>
    <w:p w14:paraId="1E68B35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4.8.2 承包人应按劳动法的规定安排工作时间，保证其雇佣人员享有休息和休假的权利。因工程施工的特殊需要占用休假日或延长工作时间的，应不超过法律规定的限度，并按法律规定给予补休或付酬。</w:t>
      </w:r>
    </w:p>
    <w:p w14:paraId="5419504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4.8.3 承包人应为其雇佣人员提供必要的食宿条件，以及符合环境保护和卫生要求的生活环境，在远离城镇的施工场地，还应配备必要的伤病防治和急救的医务人员与医疗设施。</w:t>
      </w:r>
    </w:p>
    <w:p w14:paraId="0000CAF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3C5E310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4.8.5 承包人应按有关法律规定和合同约定，为其雇佣人员办理保险。</w:t>
      </w:r>
    </w:p>
    <w:p w14:paraId="1DE92EE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4.8.6 承包人应负责处理其雇佣人员因工伤亡事故的善后事宜。</w:t>
      </w:r>
    </w:p>
    <w:p w14:paraId="6F1C76F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4.9 工程价款应专款专用</w:t>
      </w:r>
    </w:p>
    <w:p w14:paraId="1C8BBFE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发包人按合同约定支付给承包人的各项价款应专用于合同工程。</w:t>
      </w:r>
    </w:p>
    <w:p w14:paraId="542420A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b/>
          <w:bCs/>
          <w:color w:val="auto"/>
          <w:szCs w:val="21"/>
          <w:highlight w:val="none"/>
        </w:rPr>
        <w:t xml:space="preserve">4.10 承包人现场查勘       </w:t>
      </w:r>
      <w:r>
        <w:rPr>
          <w:rStyle w:val="303"/>
          <w:rFonts w:hint="eastAsia" w:ascii="宋体" w:hAnsi="宋体" w:eastAsia="宋体" w:cs="宋体"/>
          <w:color w:val="auto"/>
          <w:szCs w:val="21"/>
          <w:highlight w:val="none"/>
        </w:rPr>
        <w:t xml:space="preserve">                                                                                                    </w:t>
      </w:r>
    </w:p>
    <w:p w14:paraId="5C0C228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4.10.1 发包人应将其持有的现场地质勘探资料、水文气象资料提供给承包人，并对其准确性负责。但承包人应对其阅读上述有关资料后所作出的解释和推断负责。</w:t>
      </w:r>
    </w:p>
    <w:p w14:paraId="6602E78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3C8568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4.11 不利物质条件</w:t>
      </w:r>
    </w:p>
    <w:p w14:paraId="15C49B4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4.11.1 不利物质条件，除专用合同条款另有约定外，是指承包人在施工场地遇到的不可预见的自然物质条件、非自然的物质障碍和污染物，包括地下和水文条件，但不包括气候条件。</w:t>
      </w:r>
    </w:p>
    <w:p w14:paraId="2E72587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4.11.2 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219A226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5. 材料和工程设备</w:t>
      </w:r>
    </w:p>
    <w:p w14:paraId="3D2D3E8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5.1 承包人提供的材料和工程设备</w:t>
      </w:r>
    </w:p>
    <w:p w14:paraId="7FE7FC6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5.1.1 除专用合同条款另有约定外，承包人提供的材料和工程设备均由承包人负责采购、运输和保管。承包人应对其采购的材料和工程设备负责。</w:t>
      </w:r>
    </w:p>
    <w:p w14:paraId="123BABD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785853F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090FAE5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5.2 发包人提供的材料和工程设备</w:t>
      </w:r>
    </w:p>
    <w:p w14:paraId="5893A9E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5.2.1 发包人提供的材料和工程设备，应在专用合同条款中写明材料和工程设备的名称、规格、数量、价格、交货方式、交货地点和计划交货日期等。</w:t>
      </w:r>
    </w:p>
    <w:p w14:paraId="12A7DD5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5.2.2 承包人应根据合同进度计划的安排，向监理人报送要求发包人交货的日期计划。发包人应按照监理人与合同双方当事人商定的交货日期，向承包人提交材料和工程设备。</w:t>
      </w:r>
    </w:p>
    <w:p w14:paraId="32270AA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5.2.3 发包人应在材料和工程设备到货7天前通知承包人，承包人应会同监理人在约定的时间内，赴交货地点共同进行验收。除专用合同条款另有约定外，发包人提供的材料和工程设备验收后，由承包人负责接收、运输和保管。</w:t>
      </w:r>
    </w:p>
    <w:p w14:paraId="18A38F5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5.2.4 发包人要求向承包人提前交货的，承包人不得拒绝，但发包人应承担承包人由此增加的费用。 </w:t>
      </w:r>
    </w:p>
    <w:p w14:paraId="275B87B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5.2.5 承包人要求更改交货日期或地点的，应事先报请监理人批准。由于承包人要求更改交货时间或地点所增加的费用和（或）工期延误由承包人承担。 </w:t>
      </w:r>
    </w:p>
    <w:p w14:paraId="29E67ED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119F7D8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5.3 材料和工程设备专用于合同工程</w:t>
      </w:r>
    </w:p>
    <w:p w14:paraId="668E66A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5.3.1运入施工场地的材料、工程设备，包括备品备件、安装专用工器具与随机资料，必须专用于合同工程，未经监理人同意，承包人不得运出施工场地或挪作他用。</w:t>
      </w:r>
    </w:p>
    <w:p w14:paraId="77F5B5F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4DA47A9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5.4 禁止使用不合格的材料和工程设备</w:t>
      </w:r>
    </w:p>
    <w:p w14:paraId="7EE5046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5.4.1 监理人有权拒绝承包人提供的不合格材料或工程设备，并要求承包人立即进行更换。监理人应在更换后再次进行检查和检验，由此增加的费用和（或）工期延误由承包人承担。</w:t>
      </w:r>
    </w:p>
    <w:p w14:paraId="3E290A9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5.4.2 监理人发现承包人使用了不合格的材料和工程设备，应即时发出指示要求承包人立即改正，并禁止在工程中继续使用不合格的材料和工程设备。</w:t>
      </w:r>
    </w:p>
    <w:p w14:paraId="598B7AD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5.4.3 发包人提供的材料或工程设备不符合合同要求的，承包人有权拒绝，并可要求发包人更换，由此增加的费用和（或）工期延误由发包人承担。</w:t>
      </w:r>
    </w:p>
    <w:p w14:paraId="1A0BFB6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6. 施工设备和临时设施</w:t>
      </w:r>
    </w:p>
    <w:p w14:paraId="267AD8C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6.1 承包人提供的施工设备和临时设施</w:t>
      </w:r>
    </w:p>
    <w:p w14:paraId="2D430C1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6.1.1 承包人应按合同进度计划的要求，及时配置施工设备和修建临时设施。进入施工场地的承包人设备需经监理人核查后才能投入使用。承包人更换合同约定的承包人设备的，应报监理人批准。</w:t>
      </w:r>
    </w:p>
    <w:p w14:paraId="20A42AE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6.1.2除专用合同条款另有约定外，承包人应自行承担修建临时设施的费用，需要临时占地的，应由发包人办理申请手续并承担相应费用。</w:t>
      </w:r>
    </w:p>
    <w:p w14:paraId="43F88C1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6.2 发包人提供的施工设备和临时设施</w:t>
      </w:r>
    </w:p>
    <w:p w14:paraId="74992EC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发包人提供的施工设备或临时设施在专用合同条款中约定。</w:t>
      </w:r>
    </w:p>
    <w:p w14:paraId="2D7C492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6.3 要求承包人增加或更换施工设备</w:t>
      </w:r>
    </w:p>
    <w:p w14:paraId="6E6A595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承包人使用的施工设备不能满足合同进度计划和（或）质量要求时，监理人有权要求承包人增加或更换施工设备，承包人应及时增加或更换，由此增加的费用和（或）工期延误由承包人承担。</w:t>
      </w:r>
    </w:p>
    <w:p w14:paraId="0160B09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6.4 施工设备和临时设施专用于合同工程</w:t>
      </w:r>
    </w:p>
    <w:p w14:paraId="6E6345F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6.4.1除合同另有约定外，运入施工场地的所有施工设备以及在施工场地建设的临时设施应专用于合同工程。未经监理人同意，不得将上述施工设备和临时设施中的任何部分运出施工场地或挪作他用。</w:t>
      </w:r>
    </w:p>
    <w:p w14:paraId="3B36D9D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6.4.2 经监理人同意，承包人可根据合同进度计划撤走闲置的施工设备。</w:t>
      </w:r>
    </w:p>
    <w:p w14:paraId="69318F0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7. 交通运输</w:t>
      </w:r>
    </w:p>
    <w:p w14:paraId="22337AD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7.1 道路通行权和场外设施</w:t>
      </w:r>
    </w:p>
    <w:p w14:paraId="66D77BA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14:paraId="07353F9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7.2 场内施工道路</w:t>
      </w:r>
    </w:p>
    <w:p w14:paraId="7358F50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7.2.1 除专用合同条款另有约定外，承包人应负责修建、维修、养护和管理施工所需的临时道路和交通设施，包括维修、养护和管理发包人提供的道路和交通设施，并承担相应费用。</w:t>
      </w:r>
    </w:p>
    <w:p w14:paraId="655DFEA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7.2.2 除专用合同条款另有约定外，承包人修建的临时道路和交通设施应免费提供发包人和监理人使用。</w:t>
      </w:r>
    </w:p>
    <w:p w14:paraId="362C12C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7.3 场外交通</w:t>
      </w:r>
    </w:p>
    <w:p w14:paraId="0AEC698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7.3.1 承包人车辆外出行驶所需的场外公共道路的通行费、养路费和税款等由承包人承担。</w:t>
      </w:r>
    </w:p>
    <w:p w14:paraId="36421BE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7.3.2 承包人应遵守有关交通法规，严格按照道路和桥梁的限制荷重安全行驶，并服从交通管理部门的检查和监督。</w:t>
      </w:r>
    </w:p>
    <w:p w14:paraId="6EFDE22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7.4 超大件和超重件的运输</w:t>
      </w:r>
    </w:p>
    <w:p w14:paraId="2AD58D0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32DE220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7.5 道路和桥梁的损坏责任</w:t>
      </w:r>
    </w:p>
    <w:p w14:paraId="1984B15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因承包人运输造成施工场地内外公共道路和桥梁损坏的，由承包人承担修复损坏的全部费用和可能引起的赔偿。</w:t>
      </w:r>
    </w:p>
    <w:p w14:paraId="5EE2BEC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7.6 水路和航空运输</w:t>
      </w:r>
    </w:p>
    <w:p w14:paraId="2DFF226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本条上述各款的内容适用于水路运输和航空运输，其中“道路”一词的涵义包括河道、航线、船闸、机场、码头、堤防以及水路或航空运输中其他相似结构物；“车辆”一词的涵义包括船舶和飞机等。 </w:t>
      </w:r>
    </w:p>
    <w:p w14:paraId="22FFF4E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8. 测量放线</w:t>
      </w:r>
    </w:p>
    <w:p w14:paraId="5F18980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8.1 施工控制网</w:t>
      </w:r>
    </w:p>
    <w:p w14:paraId="59B92CC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14:paraId="7CE684A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8.1.2承包人应负责管理施工控制网点。施工控制网点丢失或损坏的，承包人应及时修复。承包人应承担施工控制网点的管理与修复费用，并在工程竣工后将施工控制网点移交发包人。</w:t>
      </w:r>
    </w:p>
    <w:p w14:paraId="77EFDEF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8.2 施工测量</w:t>
      </w:r>
    </w:p>
    <w:p w14:paraId="57A9DED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8.2.1承包人应负责施工过程中的全部施工测量放线工作，并配置合格的人员、仪器、设备和其他物品。</w:t>
      </w:r>
    </w:p>
    <w:p w14:paraId="2DBC01D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8.2.2监理人可以指示承包人进行抽样复测，当复测中发现错误或出现超过合同约定的误差时，承包人应按监理人指示进行修正或补测，并承担相应的复测费用。</w:t>
      </w:r>
    </w:p>
    <w:p w14:paraId="34A6513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8.3 基准资料错误的责任</w:t>
      </w:r>
    </w:p>
    <w:p w14:paraId="1145148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521F582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8.4 监理人使用施工控制网</w:t>
      </w:r>
    </w:p>
    <w:p w14:paraId="0099921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监理人需要使用施工控制网的，承包人应提供必要的协助，发包人不再为此支付费用。</w:t>
      </w:r>
    </w:p>
    <w:p w14:paraId="773ADFE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9. 施工安全、治安保卫和环境保护</w:t>
      </w:r>
    </w:p>
    <w:p w14:paraId="39FF7D9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9.1 发包人的施工安全责任</w:t>
      </w:r>
    </w:p>
    <w:p w14:paraId="386639B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9.1.1 发包人应按合同约定履行安全职责，授权监理人按合同约定的安全工作内容监督、检查承包人安全工作的实施，组织承包人和有关单位进行安全检查。</w:t>
      </w:r>
    </w:p>
    <w:p w14:paraId="7BFA8C0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9.1.2 发包人应对其现场机构雇佣的全部人员的工伤事故承担责任，但由于承包人原因造成发包人人员工伤的，应由承包人承担责任。</w:t>
      </w:r>
    </w:p>
    <w:p w14:paraId="6C8025E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9.1.3 发包人应负责赔偿以下各种情况造成的第三者人身伤亡和财产损失：</w:t>
      </w:r>
    </w:p>
    <w:p w14:paraId="08A9727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 工程或工程的任何部分对土地的占用所造成的第三者财产损失；</w:t>
      </w:r>
    </w:p>
    <w:p w14:paraId="783B025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 由于发包人原因在施工场地及其毗邻地带造成的第三者人身伤亡和财产损失。</w:t>
      </w:r>
    </w:p>
    <w:p w14:paraId="6D79ACC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9.2 承包人的施工安全责任</w:t>
      </w:r>
    </w:p>
    <w:p w14:paraId="05A07EE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9.2.1 承包人应按合同约定履行安全职责,执行监理人有关安全工作的指示,并在专用合同条款约定的期限内，按合同约定的安全工作内容，编制施工安全措施计划报送监理人审批。</w:t>
      </w:r>
    </w:p>
    <w:p w14:paraId="26FDB5D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9.2.2 承包人应加强施工作业安全管理，特别应加强易燃、易爆材料、火工器材、有毒与腐蚀性材料和其他危险品的管理，以及对爆破作业和地下工程施工等危险作业的管理。</w:t>
      </w:r>
    </w:p>
    <w:p w14:paraId="2BAA0D8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9.2.3 承包人应严格按照国家安全标准制定施工安全操作规程，配备必要的安全生产和劳动保护设施，加强对承包人人员的安全教育，并发放安全工作手册和劳动保护用具。</w:t>
      </w:r>
    </w:p>
    <w:p w14:paraId="51D48A9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9.2.4 承包人应按监理人的指示制定应对灾害的紧急预案，报送监理人审批。承包人还应按预案做好安全检查，配置必要的救助物资和器材，切实保护好有关人员的人身和财产安全。</w:t>
      </w:r>
    </w:p>
    <w:p w14:paraId="0E046D1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577B476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9.2.6 承包人应对其履行合同所雇佣的全部人员，包括分包人人员的工伤事故承担责任，但由于发包人原因造成承包人人员工伤事故的，应由发包人承担责任。</w:t>
      </w:r>
    </w:p>
    <w:p w14:paraId="457CD1C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9.2.7 由于承包人原因在施工场地内及其毗邻地带造成的第三者人员伤亡和财产损失，由承包人负责赔偿。</w:t>
      </w:r>
    </w:p>
    <w:p w14:paraId="5017E7B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9.3 治安保卫</w:t>
      </w:r>
    </w:p>
    <w:p w14:paraId="3F95ACB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9.3.1 除合同另有约定外，发包人应与当地公安部门协商，在现场建立治安管理机构或联防组织，统一管理施工场地的治安保卫事项，履行合同工程的治安保卫职责。</w:t>
      </w:r>
    </w:p>
    <w:p w14:paraId="449C4DE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9.3.2 发包人和承包人除应协助现场治安管理机构或联防组织维护施工场地的社会治安外，还应做好包括生活区在内的各自管辖区的治安保卫工作。</w:t>
      </w:r>
    </w:p>
    <w:p w14:paraId="5C75C62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288A07B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9.4 环境保护</w:t>
      </w:r>
    </w:p>
    <w:p w14:paraId="792F83A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9.4.1 承包人在施工过程中，应遵守有关环境保护的法律，履行合同约定的环境保护义务，并对违反法律和合同约定义务所造成的环境破坏、人身伤害和财产损失负责。</w:t>
      </w:r>
    </w:p>
    <w:p w14:paraId="3AB3B71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9.4.2 承包人应按合同约定的环保工作内容，编制施工环保措施计划，报送监理人审批。</w:t>
      </w:r>
    </w:p>
    <w:p w14:paraId="2AD2899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4FCC809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9.4.4 承包人应按合同约定采取有效措施，对施工开挖的边坡及时进行支护,维护排水设施，并进行水土保护，避免因施工造成的地质灾害。</w:t>
      </w:r>
    </w:p>
    <w:p w14:paraId="07D0013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9.4.5 承包人应按国家饮用水管理标准定期对饮用水源进行监测，防止施工活动污染饮用水源。</w:t>
      </w:r>
    </w:p>
    <w:p w14:paraId="397E248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9.4.6 承包人应按合同约定，加强对噪声、粉尘、废气、废水和废油的控制，努力降低噪声，控制粉尘和废气浓度，做好废水和废油的治理和排放。</w:t>
      </w:r>
    </w:p>
    <w:p w14:paraId="2D28D80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9.5 事故处理</w:t>
      </w:r>
    </w:p>
    <w:p w14:paraId="13F4C3A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0082391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10. 进度计划</w:t>
      </w:r>
    </w:p>
    <w:p w14:paraId="2026DB0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10.1 合同进度计划</w:t>
      </w:r>
    </w:p>
    <w:p w14:paraId="3923433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14:paraId="628E8C5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10.2 合同进度计划的修订</w:t>
      </w:r>
    </w:p>
    <w:p w14:paraId="456D8F4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不论何种原因造成工程的实际进度与第10.1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14:paraId="1B6A5E2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 开工和竣工</w:t>
      </w:r>
    </w:p>
    <w:p w14:paraId="65FBC96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11.1 开工</w:t>
      </w:r>
    </w:p>
    <w:p w14:paraId="3C5E7AB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11.1.1 监理人应在开工日期7天前向承包人发出开工通知。监理人在发出开工通知前应获得发包人同意。工期自监理人发出的开工通知中载明的开工日期起计算。承包人应在开工日期后尽快施工。</w:t>
      </w:r>
    </w:p>
    <w:p w14:paraId="4873B00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3CA6F97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11.2 竣工</w:t>
      </w:r>
    </w:p>
    <w:p w14:paraId="45080DD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承包人应在第1.1.4.3目约定的期限内完成合同工程。实际竣工日期在接收证书中写明。</w:t>
      </w:r>
    </w:p>
    <w:p w14:paraId="74FB08C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 发包人的工期延误</w:t>
      </w:r>
    </w:p>
    <w:p w14:paraId="3A11E87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在履行合同过程中，由于发包人的下列原因造成工期延误的，承包人有权要求发包人延长工期和（或）增加费用，并支付合理利润。需要修订合同进度计划的，按照第10.2款的约定办理。</w:t>
      </w:r>
    </w:p>
    <w:p w14:paraId="32EB67D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（1）增加合同工作内容；</w:t>
      </w:r>
    </w:p>
    <w:p w14:paraId="7A222B6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（2）改变合同中任何一项工作的质量要求或其他特性；</w:t>
      </w:r>
    </w:p>
    <w:p w14:paraId="3FE771A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（3）发包人迟延提供材料、工程设备或变更交货地点的；</w:t>
      </w:r>
    </w:p>
    <w:p w14:paraId="3EFF930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（4）因发包人原因导致的暂停施工；</w:t>
      </w:r>
    </w:p>
    <w:p w14:paraId="58C81BE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（5）提供图纸延误；</w:t>
      </w:r>
    </w:p>
    <w:p w14:paraId="3FC2D46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（6）未按合同约定及时支付预付款、进度款；</w:t>
      </w:r>
    </w:p>
    <w:p w14:paraId="09F2263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（7）发包人造成工期延误的其他原因。</w:t>
      </w:r>
    </w:p>
    <w:p w14:paraId="640E885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11.4 异常恶劣的气候条件</w:t>
      </w:r>
    </w:p>
    <w:p w14:paraId="0F6276F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由于出现专用合同条款规定的异常恶劣气候的条件导致工期延误的，承包人有权要求发包人延长工期。</w:t>
      </w:r>
    </w:p>
    <w:p w14:paraId="514117B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11.5 承包人的工期延误</w:t>
      </w:r>
    </w:p>
    <w:p w14:paraId="3CEF5D1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64E1D35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11.6 工期提前</w:t>
      </w:r>
    </w:p>
    <w:p w14:paraId="630EC74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 </w:t>
      </w:r>
    </w:p>
    <w:p w14:paraId="6996B23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12. 暂停施工</w:t>
      </w:r>
    </w:p>
    <w:p w14:paraId="3D4E173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12.1 承包人暂停施工的责任</w:t>
      </w:r>
    </w:p>
    <w:p w14:paraId="31F1A9B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因下列暂停施工增加的费用和（或）工期延误由承包人承担：</w:t>
      </w:r>
    </w:p>
    <w:p w14:paraId="2BAB333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（1）承包人违约引起的暂停施工；</w:t>
      </w:r>
    </w:p>
    <w:p w14:paraId="1EA9CB4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（2）由于承包人原因为工程合理施工和安全保障所必需的暂停施工；</w:t>
      </w:r>
    </w:p>
    <w:p w14:paraId="007889D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（3）承包人擅自暂停施工；</w:t>
      </w:r>
    </w:p>
    <w:p w14:paraId="20EBD29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（4）承包人其他原因引起的暂停施工；</w:t>
      </w:r>
    </w:p>
    <w:p w14:paraId="3D47952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（5）专用合同条款约定由承包人承担的其他暂停施工。</w:t>
      </w:r>
    </w:p>
    <w:p w14:paraId="004E86D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12.2 发包人暂停施工的责任</w:t>
      </w:r>
    </w:p>
    <w:p w14:paraId="45E68FE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由于发包人原因引起的暂停施工造成工期延误的，承包人有权要求发包人延长工期和（或）增加费用，并支付合理利润。</w:t>
      </w:r>
    </w:p>
    <w:p w14:paraId="487D476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12.3 监理人暂停施工指示</w:t>
      </w:r>
    </w:p>
    <w:p w14:paraId="6183D68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12.3.1 监理人认为有必要时，可向承包人作出暂停施工的指示，承包人应按监理人指示暂停施工。不论由于何种原因引起的暂停施工，暂停施工期间承包人应负责妥善保护工程并提供安全保障。</w:t>
      </w:r>
    </w:p>
    <w:p w14:paraId="1B352C9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5322A9C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12.4 暂停施工后的复工</w:t>
      </w:r>
    </w:p>
    <w:p w14:paraId="3FD65E8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6ED75AD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12.4.2 承包人无故拖延和拒绝复工的，由此增加的费用和工期延误由承包人承担；因发包人原因无法按时复工的，承包人有权要求发包人延长工期和（或）增加费用，并支付合理利润。</w:t>
      </w:r>
    </w:p>
    <w:p w14:paraId="59B6256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12.5 暂停施工持续56天以上</w:t>
      </w:r>
    </w:p>
    <w:p w14:paraId="26A0B81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73BB37C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12.5.2 由于承包人责任引起的暂停施工，如承包人在收到监理人暂停施工指示后56天内不认真采取有效的复工措施，造成工期延误，可视为承包人违约，应按第22.1款的规定办理。</w:t>
      </w:r>
    </w:p>
    <w:p w14:paraId="3630521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13. 工程质量</w:t>
      </w:r>
    </w:p>
    <w:p w14:paraId="5372769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13.1 工程质量要求</w:t>
      </w:r>
    </w:p>
    <w:p w14:paraId="3332A56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13.1.1 工程质量验收按合同约定验收标准执行。</w:t>
      </w:r>
    </w:p>
    <w:p w14:paraId="4F56F42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13.1.2 因承包人原因造成工程质量达不到合同约定验收标准的，监理人有权要求承包人返工直至符合合同要求为止，由此造成的费用增加和（或）工期延误由承包人承担。</w:t>
      </w:r>
    </w:p>
    <w:p w14:paraId="3DC6779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13.1.3 因发包人原因造成工程质量达不到合同约定验收标准的，发包人应承担由于承包人返工造成的费用增加和（或）工期延误，并支付承包人合理利润。</w:t>
      </w:r>
    </w:p>
    <w:p w14:paraId="1EB06C4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13.2 承包人的质量管理</w:t>
      </w:r>
    </w:p>
    <w:p w14:paraId="22417C1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14:paraId="3DC75A3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13.2.2 承包人应加强对施工人员的质量教育和技术培训，定期考核施工人员的劳动技能，严格执行规范和操作规程。</w:t>
      </w:r>
    </w:p>
    <w:p w14:paraId="7A4BAB2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13.3 承包人的质量检查</w:t>
      </w:r>
    </w:p>
    <w:p w14:paraId="47C60FD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承包人应按合同约定对材料、工程设备以及工程的所有部位及其施工工艺进行全过程的质量检查和检验，并作详细记录，编制工程质量报表，报送监理人审查。</w:t>
      </w:r>
    </w:p>
    <w:p w14:paraId="29D837A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13.4 监理人的质量检查</w:t>
      </w:r>
    </w:p>
    <w:p w14:paraId="2C8C750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749EC8C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13.5 工程隐蔽部位覆盖前的检查</w:t>
      </w:r>
    </w:p>
    <w:p w14:paraId="0A55049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13.5.1 通知监理人检查</w:t>
      </w:r>
    </w:p>
    <w:p w14:paraId="391A572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6FF2B26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13.5.2 监理人未到场检查</w:t>
      </w:r>
    </w:p>
    <w:p w14:paraId="6414A67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20AB8CE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13.5.3 监理人重新检查</w:t>
      </w:r>
    </w:p>
    <w:p w14:paraId="3568746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29AA158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13.5.4 承包人私自覆盖</w:t>
      </w:r>
    </w:p>
    <w:p w14:paraId="346C8E4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承包人未通知监理人到场检查，私自将工程隐蔽部位覆盖的，监理人有权指示承包人钻孔探测或揭开检查，由此增加的费用和（或）工期延误由承包人承担。</w:t>
      </w:r>
    </w:p>
    <w:p w14:paraId="3CDC49F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13.6 清除不合格工程</w:t>
      </w:r>
    </w:p>
    <w:p w14:paraId="0ADCBD4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6E9C467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13.6.2 由于发包人提供的材料或工程设备不合格造成的工程不合格，需要承包人采取措施补救的，发包人应承担由此增加的费用和（或）工期延误，并支付承包人合理利润。</w:t>
      </w:r>
    </w:p>
    <w:p w14:paraId="537064B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14. 试验和检验</w:t>
      </w:r>
    </w:p>
    <w:p w14:paraId="5A455DD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14.1 材料、工程设备和工程的试验和检验</w:t>
      </w:r>
    </w:p>
    <w:p w14:paraId="6FB4282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358E5E8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14.1.2 监理人未按合同约定派员参加试验和检验的，除监理人另有指示外，承包人可自行试验和检验，并应立即将试验和检验结果报送监理人，监理人应签字确认。</w:t>
      </w:r>
    </w:p>
    <w:p w14:paraId="2302F1C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7930E69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14.2 现场材料试验</w:t>
      </w:r>
    </w:p>
    <w:p w14:paraId="31C6879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14.2.1 承包人根据合同约定或监理人指示进行的现场材料试验，应由承包人提供试验场所、试验人员、试验设备器材以及其他必要的试验条件。</w:t>
      </w:r>
    </w:p>
    <w:p w14:paraId="6CAB618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14.2.2 监理人在必要时可以使用承包人的试验场所、试验设备器材以及其他试验条件，进行以工程质量检查为目的的复核性材料试验，承包人应予以协助。</w:t>
      </w:r>
    </w:p>
    <w:p w14:paraId="5EFC85A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14.3 现场工艺试验</w:t>
      </w:r>
    </w:p>
    <w:p w14:paraId="0046221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承包人应按合同约定或监理人指示进行现场工艺试验。对大型的现场工艺试验，监理人认为必要时，应由承包人根据监理人提出的工艺试验要求，编制工艺试验措施计划，报送监理人审批。</w:t>
      </w:r>
    </w:p>
    <w:p w14:paraId="327AE7A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15. 变更</w:t>
      </w:r>
    </w:p>
    <w:p w14:paraId="72952D4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15.1 变更的范围和内容</w:t>
      </w:r>
    </w:p>
    <w:p w14:paraId="7B41FA0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除专用合同条款另有约定外，在履行合同中发生以下情形之一，应按照本条规定进行变更。</w:t>
      </w:r>
    </w:p>
    <w:p w14:paraId="1AA0549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（1）取消合同中任何一项工作，但被取消的工作不能转由发包人或其他人实施；</w:t>
      </w:r>
    </w:p>
    <w:p w14:paraId="2D389EE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（2）改变合同中任何一项工作的质量或其他特性；</w:t>
      </w:r>
    </w:p>
    <w:p w14:paraId="0EE06F3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（3）改变合同工程的基线、标高、位置或尺寸；</w:t>
      </w:r>
    </w:p>
    <w:p w14:paraId="72DD5ED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（4）改变合同中任何一项工作的施工时间或改变已批准的施工工艺或顺序；</w:t>
      </w:r>
    </w:p>
    <w:p w14:paraId="6AD5AC8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（5）为完成工程需要追加的额外工作。</w:t>
      </w:r>
    </w:p>
    <w:p w14:paraId="605B7BC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15.2 变更权</w:t>
      </w:r>
    </w:p>
    <w:p w14:paraId="53D517B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在履行合同过程中，经发包人同意，监理人可按第15.3款约定的变更程序向承包人作出变更指示，承包人应遵照执行。没有监理人的变更指示，承包人不得擅自变更。</w:t>
      </w:r>
    </w:p>
    <w:p w14:paraId="511D85F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15.3 变更程序</w:t>
      </w:r>
    </w:p>
    <w:p w14:paraId="4478532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15.3.1 变更的提出</w:t>
      </w:r>
    </w:p>
    <w:p w14:paraId="66CE767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0EDB0A4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（2）在合同履行过程中，发生第15.1款约定情形的，监理人应按照第15.3.3项约定向承包人发出变更指示。</w:t>
      </w:r>
    </w:p>
    <w:p w14:paraId="182F21B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5341AF9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（4）若承包人收到监理人的变更意向书后认为难以实施此项变更，应立即通知监理人，说明原因并附详细依据。监理人与承包人和发包人协商后确定撤销、改变或不改变原变更意向书。</w:t>
      </w:r>
    </w:p>
    <w:p w14:paraId="5E2BB63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val="0"/>
          <w:bCs w:val="0"/>
          <w:color w:val="auto"/>
          <w:szCs w:val="21"/>
          <w:highlight w:val="none"/>
        </w:rPr>
      </w:pPr>
      <w:r>
        <w:rPr>
          <w:rStyle w:val="303"/>
          <w:rFonts w:hint="eastAsia" w:ascii="宋体" w:hAnsi="宋体" w:eastAsia="宋体" w:cs="宋体"/>
          <w:b w:val="0"/>
          <w:bCs w:val="0"/>
          <w:color w:val="auto"/>
          <w:szCs w:val="21"/>
          <w:highlight w:val="none"/>
        </w:rPr>
        <w:t>15.3.2 变更估价</w:t>
      </w:r>
    </w:p>
    <w:p w14:paraId="352454D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36C3B49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（2）变更工作影响工期的，承包人应提出调整工期的具体细节。监理人认为有必要时，可要求承包人提交要求提前或延长工期的施工进度计划及相应施工措施等详细资料。</w:t>
      </w:r>
    </w:p>
    <w:p w14:paraId="56CB04C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（3）除专用合同条款对期限另有约定外，监理人收到承包人变更报价书后的14天内，根据第15.4款约定的估价原则，按照第3.5款商定或确定变更价格。</w:t>
      </w:r>
    </w:p>
    <w:p w14:paraId="57D451C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15.3.3 变更指示</w:t>
      </w:r>
    </w:p>
    <w:p w14:paraId="19022B2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（1）变更指示只能由监理人发出。</w:t>
      </w:r>
    </w:p>
    <w:p w14:paraId="11C9C57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（2）变更指示应说明变更的目的、范围、变更内容以及变更的工程量及其进度和技术要求，并附有关图纸和文件。承包人收到变更指示后，应按变更指示进行变更工作。</w:t>
      </w:r>
    </w:p>
    <w:p w14:paraId="15439C6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15.4 变更的估价原则</w:t>
      </w:r>
    </w:p>
    <w:p w14:paraId="2851229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除专用合同条款另有约定外，因变更引起的价格调整按照本款约定处理。</w:t>
      </w:r>
    </w:p>
    <w:p w14:paraId="3698E56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15.4.1 已标价工程量清单中有适用于变更工作的子目的，采用该子目的单价。</w:t>
      </w:r>
    </w:p>
    <w:p w14:paraId="36EBE11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15.4.2 已标价工程量清单中无适用于变更工作的子目，但有类似子目的，可在合理范围内参照类似子目的单价，由监理人按第3.5款商定或确定变更工作的单价。</w:t>
      </w:r>
    </w:p>
    <w:p w14:paraId="523BE96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15.4.3 已标价工程量清单中无适用或类似子目的单价，可按照成本加利润的原则，由监理人按第3.5款商定或确定变更工作的单价。</w:t>
      </w:r>
    </w:p>
    <w:p w14:paraId="2DE6DDA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15.5 承包人的合理化建议</w:t>
      </w:r>
    </w:p>
    <w:p w14:paraId="1CB3F31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5515D1A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15.5.2 承包人提出的合理化建议降低了合同价格、缩短了工期或者提高了工程经济效益的，发包人可按国家有关规定在专用合同条款中约定给予奖励。</w:t>
      </w:r>
    </w:p>
    <w:p w14:paraId="242C96D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15.6 暂列金额</w:t>
      </w:r>
    </w:p>
    <w:p w14:paraId="0469CB1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暂列金额只能按照监理人的指示使用，并对合同价格进行相应调整。</w:t>
      </w:r>
    </w:p>
    <w:p w14:paraId="6ABF34A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15.7 计日工</w:t>
      </w:r>
    </w:p>
    <w:p w14:paraId="21A1ADF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15.7.1 发包人认为有必要时，由监理人通知承包人以计日工方式实施变更的零星工作。其价款按列入已标价工程量清单中的计日工计价子目及其单价进行计算。</w:t>
      </w:r>
    </w:p>
    <w:p w14:paraId="006BA6D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15.7.2 采用计日工计价的任何一项变更工作，应从暂列金额中支付，承包人应在该项变更的实施过程中，每天提交以下报表和有关凭证报送监理人审批：</w:t>
      </w:r>
    </w:p>
    <w:p w14:paraId="73FB6E3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（1）工作名称、内容和数量；</w:t>
      </w:r>
    </w:p>
    <w:p w14:paraId="36C59F1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（2）投入该工作所有人员的姓名、工种、级别和耗用工时；</w:t>
      </w:r>
    </w:p>
    <w:p w14:paraId="2CADF57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（3）投入该工作的材料类别和数量；</w:t>
      </w:r>
    </w:p>
    <w:p w14:paraId="366D05A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（4）投入该工作的施工设备型号、台数和耗用台时；</w:t>
      </w:r>
    </w:p>
    <w:p w14:paraId="4CEB2A8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（5）监理人要求提交的其他资料和凭证。</w:t>
      </w:r>
    </w:p>
    <w:p w14:paraId="549C61F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15.7.3 计日工由承包人汇总后，按第17.3.2项的约定列入进度付款申请单，由监理人复核并经发包人同意后列入进度付款。</w:t>
      </w:r>
    </w:p>
    <w:p w14:paraId="4EA67BF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15.8 暂估价</w:t>
      </w:r>
    </w:p>
    <w:p w14:paraId="218B2CC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    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14:paraId="76FAF7A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031BF55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1F4DF66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16. 价格调整</w:t>
      </w:r>
    </w:p>
    <w:p w14:paraId="3CE3C9B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16.1 物价波动引起的价格调整</w:t>
      </w:r>
    </w:p>
    <w:p w14:paraId="1D7747B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除专用合同条款另有约定外，因物价波动引起的价格调整按照本款约定处理。</w:t>
      </w:r>
    </w:p>
    <w:p w14:paraId="474A701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16.1.1 采用价格指数调整价格差额</w:t>
      </w:r>
    </w:p>
    <w:p w14:paraId="337B6D7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16.1.1.1 价格调整公式</w:t>
      </w:r>
    </w:p>
    <w:p w14:paraId="3BD4A22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因人工、材料和设备等价格波动影响合同价格时，根据投标函附录中的价格指数和权重表约定的数据，按以下公式计算差额并调整合同价格。</w:t>
      </w:r>
    </w:p>
    <w:p w14:paraId="3B7ED7D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p>
    <w:p w14:paraId="53798AF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  </w:t>
      </w:r>
      <w:r>
        <w:rPr>
          <w:rFonts w:ascii="Calibri" w:hAnsi="Calibri" w:eastAsia="宋体" w:cs="Times New Roman"/>
          <w:position w:val="-34"/>
          <w:highlight w:val="none"/>
        </w:rPr>
        <w:pict>
          <v:shape id="_x0000_s1026" o:spid="_x0000_s1026" o:spt="75" type="#_x0000_t75" style="position:absolute;left:0pt;margin-left:31.5pt;margin-top:-5.95pt;height:40.55pt;width:303.85pt;z-index:251660288;mso-width-relative:page;mso-height-relative:page;" o:ole="t" filled="f" o:preferrelative="t" stroked="f" coordsize="21600,21600">
            <v:path/>
            <v:fill on="f" focussize="0,0"/>
            <v:stroke on="f"/>
            <v:imagedata r:id="rId11" o:title=""/>
            <o:lock v:ext="edit" aspectratio="t"/>
          </v:shape>
          <o:OLEObject Type="Embed" ProgID="Equation.3" ShapeID="_x0000_s1026" DrawAspect="Content" ObjectID="_1468075725" r:id="rId10">
            <o:LockedField>false</o:LockedField>
          </o:OLEObject>
        </w:pict>
      </w:r>
    </w:p>
    <w:p w14:paraId="5ED0D677">
      <w:pPr>
        <w:spacing w:line="440" w:lineRule="exact"/>
        <w:rPr>
          <w:rStyle w:val="303"/>
          <w:rFonts w:hint="eastAsia" w:ascii="宋体" w:hAnsi="宋体" w:eastAsia="宋体" w:cs="宋体"/>
          <w:color w:val="auto"/>
          <w:szCs w:val="21"/>
          <w:highlight w:val="none"/>
        </w:rPr>
      </w:pPr>
    </w:p>
    <w:p w14:paraId="4508C14F">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式中： △P -- 需调整的价格差额；</w:t>
      </w:r>
    </w:p>
    <w:p w14:paraId="299816C3">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ab/>
      </w:r>
      <w:r>
        <w:rPr>
          <w:rStyle w:val="303"/>
          <w:rFonts w:hint="eastAsia" w:ascii="宋体" w:hAnsi="宋体" w:eastAsia="宋体" w:cs="宋体"/>
          <w:color w:val="auto"/>
          <w:szCs w:val="21"/>
          <w:highlight w:val="none"/>
        </w:rPr>
        <w:t>P0 --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5E0CF895">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ab/>
      </w:r>
      <w:r>
        <w:rPr>
          <w:rStyle w:val="303"/>
          <w:rFonts w:hint="eastAsia" w:ascii="宋体" w:hAnsi="宋体" w:eastAsia="宋体" w:cs="宋体"/>
          <w:color w:val="auto"/>
          <w:szCs w:val="21"/>
          <w:highlight w:val="none"/>
        </w:rPr>
        <w:t>A -- 定值权重(即不调部分的权重)；</w:t>
      </w:r>
    </w:p>
    <w:p w14:paraId="4B629AD5">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ab/>
      </w:r>
      <w:r>
        <w:rPr>
          <w:rStyle w:val="303"/>
          <w:rFonts w:hint="eastAsia" w:ascii="宋体" w:hAnsi="宋体" w:eastAsia="宋体" w:cs="宋体"/>
          <w:color w:val="auto"/>
          <w:szCs w:val="21"/>
          <w:highlight w:val="none"/>
        </w:rPr>
        <w:t>B1; B2 ;B3·····Bn -- 各可调因子的变值权重(即可调部分的权重)为各可调因子在投标函投标总报价中所占的比例；</w:t>
      </w:r>
    </w:p>
    <w:p w14:paraId="00E9B0CD">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ab/>
      </w:r>
      <w:r>
        <w:rPr>
          <w:rStyle w:val="303"/>
          <w:rFonts w:hint="eastAsia" w:ascii="宋体" w:hAnsi="宋体" w:eastAsia="宋体" w:cs="宋体"/>
          <w:color w:val="auto"/>
          <w:szCs w:val="21"/>
          <w:highlight w:val="none"/>
        </w:rPr>
        <w:t>Ft1 ;Ft2 ;Ft3·····Ftn -- 各可调因子的现行价格指数，指第17.3.3项、第17.5.2项和第17.6.2项约定的付款证书相关周期最后一天的前42天的各可调因子的价格指数；</w:t>
      </w:r>
    </w:p>
    <w:p w14:paraId="0F450D2F">
      <w:pPr>
        <w:spacing w:line="440" w:lineRule="exact"/>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ab/>
      </w:r>
      <w:r>
        <w:rPr>
          <w:rStyle w:val="303"/>
          <w:rFonts w:hint="eastAsia" w:ascii="宋体" w:hAnsi="宋体" w:eastAsia="宋体" w:cs="宋体"/>
          <w:color w:val="auto"/>
          <w:szCs w:val="21"/>
          <w:highlight w:val="none"/>
        </w:rPr>
        <w:t>Fo1; Fo2; Fo3·····Fon -- 各可调因子的基本价格指数，指基准日期的各可调因子的价格指数。</w:t>
      </w:r>
    </w:p>
    <w:p w14:paraId="4C66E47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6007FD1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16.1.1.2 暂时确定调整差额</w:t>
      </w:r>
    </w:p>
    <w:p w14:paraId="0F31A8C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在计算调整差额时得不到现行价格指数的，可暂用上一次价格指数计算，并在以后的付款中再按实际价格指数进行调整。</w:t>
      </w:r>
    </w:p>
    <w:p w14:paraId="64BD2EA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16.1.1.3 权重的调整</w:t>
      </w:r>
    </w:p>
    <w:p w14:paraId="0E299C5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按第15.1款约定的变更导致原定合同中的权重不合理时，由监理人与承包人和发包人协商后进行调整。</w:t>
      </w:r>
    </w:p>
    <w:p w14:paraId="170B691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16.1.1.4 承包人工期延误后的价格调整</w:t>
      </w:r>
    </w:p>
    <w:p w14:paraId="06DB040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06E6E25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16.1.2 采用造价信息调整价格差额</w:t>
      </w:r>
    </w:p>
    <w:p w14:paraId="0979365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7D70DA3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16.2 法律变化引起的价格调整</w:t>
      </w:r>
    </w:p>
    <w:p w14:paraId="5DFC837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2D40AC6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17. 计量与支付</w:t>
      </w:r>
    </w:p>
    <w:p w14:paraId="04A63E6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17.1 计量</w:t>
      </w:r>
    </w:p>
    <w:p w14:paraId="4BC1EDF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17.1.1 计量单位</w:t>
      </w:r>
    </w:p>
    <w:p w14:paraId="4B553A8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计量采用国家法定的计量单位。</w:t>
      </w:r>
    </w:p>
    <w:p w14:paraId="46FCBE1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17.1.2 计量方法</w:t>
      </w:r>
    </w:p>
    <w:p w14:paraId="5B165BA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工程量清单中的工程量计算规则应按有关国家标准、行业标准的规定，并在合同中约定执行。</w:t>
      </w:r>
    </w:p>
    <w:p w14:paraId="6027AF3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17.1.3 计量周期</w:t>
      </w:r>
    </w:p>
    <w:p w14:paraId="40729DF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除专用合同条款另有约定外，单价子目已完成工程量按月计量，总价子目的计量周期按批准的支付分解报告确定。</w:t>
      </w:r>
    </w:p>
    <w:p w14:paraId="13EE45F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17.1.4 单价子目的计量</w:t>
      </w:r>
    </w:p>
    <w:p w14:paraId="20E90FE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（1）已标价工程量清单中的单价子目工程量为估算工程量。结算工程量是承包人实际完成的，并按合同约定的计量方法进行计量的工程量。</w:t>
      </w:r>
    </w:p>
    <w:p w14:paraId="3F0C1ED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（2）承包人对已完成的工程进行计量，向监理人提交进度付款申请单、已完成工程量报表和有关计量资料。</w:t>
      </w:r>
    </w:p>
    <w:p w14:paraId="4CFFC18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2C55272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（4）监理人认为有必要时，可通知承包人共同进行联合测量、计量，承包人应遵照执行。</w:t>
      </w:r>
    </w:p>
    <w:p w14:paraId="6E20666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385EA15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（6）监理人应在收到承包人提交的工程量报表后的7天内进行复核，监理人未在约定时间内复核的，承包人提交的工程量报表中的工程量视为承包人实际完成的工程量，据此计算工程价款。</w:t>
      </w:r>
    </w:p>
    <w:p w14:paraId="28FC4DE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17.1.5 总价子目的计量</w:t>
      </w:r>
    </w:p>
    <w:p w14:paraId="5BF96EF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除专用合同条款另有约定外，总价子目的分解和计量按照下述约定进行。</w:t>
      </w:r>
    </w:p>
    <w:p w14:paraId="1D3034C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（1）总价子目的计量和支付应以总价为基础，不因第16.1款中的因素而进行调整。承包人实际完成的工程量，是进行工程目标管理和控制进度支付的依据。</w:t>
      </w:r>
    </w:p>
    <w:p w14:paraId="46A799F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14:paraId="261BA4E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（3）监理人对承包人提交的上述资料进行复核，以确定分阶段实际完成的工程量和工程形象目标。对其有异议的，可要求承包人按第8.2款约定进行共同复核和抽样复测。</w:t>
      </w:r>
    </w:p>
    <w:p w14:paraId="3CE5425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（4）除按照第15条约定的变更外，总价子目的工程量是承包人用于结算的最终工程量。 </w:t>
      </w:r>
    </w:p>
    <w:p w14:paraId="2B0C39C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17.2 预付款</w:t>
      </w:r>
    </w:p>
    <w:p w14:paraId="7FF51D8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val="0"/>
          <w:bCs w:val="0"/>
          <w:color w:val="auto"/>
          <w:szCs w:val="21"/>
          <w:highlight w:val="none"/>
        </w:rPr>
      </w:pPr>
      <w:r>
        <w:rPr>
          <w:rStyle w:val="303"/>
          <w:rFonts w:hint="eastAsia" w:ascii="宋体" w:hAnsi="宋体" w:eastAsia="宋体" w:cs="宋体"/>
          <w:b w:val="0"/>
          <w:bCs w:val="0"/>
          <w:color w:val="auto"/>
          <w:szCs w:val="21"/>
          <w:highlight w:val="none"/>
        </w:rPr>
        <w:t>17.2.1 预付款</w:t>
      </w:r>
    </w:p>
    <w:p w14:paraId="3773121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预付款用于承包人为合同工程施工购置材料、工程设备、施工设备、修建临时设施以及组织施工队伍进场等。预付款的额度和预付办法在专用合同条款中约定。预付款必须专用于合同工程。</w:t>
      </w:r>
    </w:p>
    <w:p w14:paraId="25815D0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17.2.2 预付款保函</w:t>
      </w:r>
    </w:p>
    <w:p w14:paraId="12DDB35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除专用合同条款另有约定外，承包人应在收到预付款的同时向发包人提交预付款保函，预付款保函的担保金额应与预付款金额相同。保函的担保金额可根据预付款扣回的金额相应递减。</w:t>
      </w:r>
    </w:p>
    <w:p w14:paraId="07D1A12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17.2.3 预付款的扣回与还清</w:t>
      </w:r>
    </w:p>
    <w:p w14:paraId="37817A3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预付款在进度付款中扣回，扣回办法在专用合同条款中约定。在颁发工程接收证书前，由于不可抗力或其他原因解除合同时，预付款尚未扣清的，尚未扣清的预付款余额应作为承包人的到期应付款。</w:t>
      </w:r>
    </w:p>
    <w:p w14:paraId="3DD2A52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17.3 工程进度付款</w:t>
      </w:r>
    </w:p>
    <w:p w14:paraId="79BA3DA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17.3.1 付款周期</w:t>
      </w:r>
    </w:p>
    <w:p w14:paraId="108C4CB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付款周期同计量周期。</w:t>
      </w:r>
    </w:p>
    <w:p w14:paraId="5C687E4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17.3.2 进度付款申请单</w:t>
      </w:r>
    </w:p>
    <w:p w14:paraId="1A68073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3116E1E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（1）截至本次付款周期末已实施工程的价款；</w:t>
      </w:r>
    </w:p>
    <w:p w14:paraId="5DAE7B2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（2）根据第15条应增加和扣减的变更金额；</w:t>
      </w:r>
    </w:p>
    <w:p w14:paraId="0D077EA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（3）根据第23条应增加和扣减的索赔金额；</w:t>
      </w:r>
    </w:p>
    <w:p w14:paraId="191BDFF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（4）根据第17.2款约定应支付的预付款和扣减的返还预付款；</w:t>
      </w:r>
    </w:p>
    <w:p w14:paraId="1602A46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（5）根据第17.4.1项约定应扣减的质量保证金；</w:t>
      </w:r>
    </w:p>
    <w:p w14:paraId="49E39C7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（6）根据合同应增加和扣减的其他金额。</w:t>
      </w:r>
    </w:p>
    <w:p w14:paraId="45EF17E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17.3.3 进度付款证书和支付时间</w:t>
      </w:r>
    </w:p>
    <w:p w14:paraId="3FB74AA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4FB8540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（2）发包人应在监理人收到进度付款申请单后的28天内，将进度应付款支付给承包人。发包人不按期支付的，按专用合同条款的约定支付逾期付款违约金。</w:t>
      </w:r>
    </w:p>
    <w:p w14:paraId="7138796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（3）监理人出具进度付款证书，不应视为监理人已同意、批准或接受了承包人完成的该部分工作。</w:t>
      </w:r>
    </w:p>
    <w:p w14:paraId="157CEA7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（4）进度付款涉及政府投资资金的，按照国库集中支付等国家相关规定和专用合同条款的约定办理。</w:t>
      </w:r>
    </w:p>
    <w:p w14:paraId="2995396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17.3.4 工程进度付款的修正</w:t>
      </w:r>
    </w:p>
    <w:p w14:paraId="212B826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在对以往历次已签发的进度付款证书进行汇总和复核中发现错、漏或重复的，监理人有权予以修正，承包人也有权提出修正申请。经双方复核同意的修正，应在本次进度付款中支付或扣除。</w:t>
      </w:r>
    </w:p>
    <w:p w14:paraId="47D8661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17.4 质量保证金</w:t>
      </w:r>
    </w:p>
    <w:p w14:paraId="56D67A9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17.4.1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14:paraId="5F27E74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17.4.2 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p>
    <w:p w14:paraId="39F71C6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 </w:t>
      </w:r>
    </w:p>
    <w:p w14:paraId="0074D04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17.5 竣工结算</w:t>
      </w:r>
    </w:p>
    <w:p w14:paraId="20A80FC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17.5.1 竣工付款申请单</w:t>
      </w:r>
    </w:p>
    <w:p w14:paraId="1D4D172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7270146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（2）监理人对竣工付款申请单有异议的，有权要求承包人进行修正和提供补充资料。经监理人和承包人协商后，由承包人向监理人提交修正后的竣工付款申请单。</w:t>
      </w:r>
    </w:p>
    <w:p w14:paraId="58D3CB7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17.5.2 竣工付款证书及支付时间</w:t>
      </w:r>
    </w:p>
    <w:p w14:paraId="51F92B4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4164777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（2）发包人应在监理人出具竣工付款证书后的14天内，将应支付款支付给承包人。发包人不按期支付的，按第17.3.3（2）目的约定，将逾期付款违约金支付给承包人。</w:t>
      </w:r>
    </w:p>
    <w:p w14:paraId="5385704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（3）承包人对发包人签认的竣工付款证书有异议的，发包人可出具竣工付款申请单中承包人已同意部分的临时付款证书。存在争议的部分，按第24条的约定办理。</w:t>
      </w:r>
    </w:p>
    <w:p w14:paraId="7911AA7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（4）竣工付款涉及政府投资资金的，按第17.3.3（４）目的约定办理。</w:t>
      </w:r>
    </w:p>
    <w:p w14:paraId="56A50BF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17.6 最终结清</w:t>
      </w:r>
    </w:p>
    <w:p w14:paraId="0F1FA2F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17.6.1 最终结清申请单</w:t>
      </w:r>
    </w:p>
    <w:p w14:paraId="14C4AE2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（1）缺陷责任期终止证书签发后，承包人可按专用合同条款约定的份数和期限向监理人提交最终结清申请单，并提供相关证明材料。</w:t>
      </w:r>
    </w:p>
    <w:p w14:paraId="3047268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（2）发包人对最终结清申请单内容有异议的，有权要求承包人进行修正和提供补充资料，由承包人向监理人提交修正后的最终结清申请单。</w:t>
      </w:r>
    </w:p>
    <w:p w14:paraId="5645F1E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17.6.2 最终结清证书和支付时间</w:t>
      </w:r>
    </w:p>
    <w:p w14:paraId="1BE85A2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293D9E2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（2）发包人应在监理人出具最终结清证书后的14天内，将应支付款支付给承包人。发包人不按期支付的，按第17.3.3（2）目的约定，将逾期付款违约金支付给承包人。</w:t>
      </w:r>
    </w:p>
    <w:p w14:paraId="0AB4F0C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（3）承包人对发包人签认的最终结清证书有异议的，按第24条的约定办理。</w:t>
      </w:r>
    </w:p>
    <w:p w14:paraId="1F3505A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（4）最终结清付款涉及政府投资资金的，按第17.3.3（４）目的约定办理。</w:t>
      </w:r>
    </w:p>
    <w:p w14:paraId="406FBE3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18. 竣工验收</w:t>
      </w:r>
    </w:p>
    <w:p w14:paraId="03C4D26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18.1 竣工验收的含义</w:t>
      </w:r>
    </w:p>
    <w:p w14:paraId="348F0ED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18.1.1 竣工验收指承包人完成了全部合同工作后，发包人按合同要求进行的验收。</w:t>
      </w:r>
    </w:p>
    <w:p w14:paraId="0B0D4C0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18.1.2 国家验收是政府有关部门根据法律、规范、规程和政策要求，针对发包人全面组织实施的整个工程正式交付投运前的验收。</w:t>
      </w:r>
    </w:p>
    <w:p w14:paraId="777DD57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2873BC9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18.2 竣工验收申请报告</w:t>
      </w:r>
    </w:p>
    <w:p w14:paraId="70B451D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当工程具备以下条件时，承包人即可向监理人报送竣工验收申请报告：</w:t>
      </w:r>
    </w:p>
    <w:p w14:paraId="275E3E6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（1）除监理人同意列入缺陷责任期内完成的尾工（甩项）工程和缺陷修补工作外，合同范围内的全部单位工程以及有关工作，包括合同要求的试验、试运行以及检验和验收均已完成，并符合合同要求；</w:t>
      </w:r>
    </w:p>
    <w:p w14:paraId="74DF796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（2）已按合同约定的内容和份数备齐了符合要求的竣工资料； </w:t>
      </w:r>
    </w:p>
    <w:p w14:paraId="34B4A0B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（3）已按监理人的要求编制了在缺陷责任期内完成的尾工（甩项）工程和缺陷修补工作清单以及相应施工计划；</w:t>
      </w:r>
    </w:p>
    <w:p w14:paraId="40FFBA1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（4）监理人要求在竣工验收前应完成的其他工作；</w:t>
      </w:r>
    </w:p>
    <w:p w14:paraId="7EE41B0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（5）监理人要求提交的竣工验收资料清单。</w:t>
      </w:r>
    </w:p>
    <w:p w14:paraId="0A918D4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18.3 验收</w:t>
      </w:r>
    </w:p>
    <w:p w14:paraId="1C70DAF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监理人收到承包人按第18.2款约定提交的竣工验收申请报告后，应审查申请报告的各项内容，并按以下不同情况进行处理。</w:t>
      </w:r>
    </w:p>
    <w:p w14:paraId="2D80FD6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18.3.1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p>
    <w:p w14:paraId="4A5E894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18.3.2 监理人审查后认为已具备竣工验收条件的，应在收到竣工验收申请报告后的28天内提请发包人进行工程验收。</w:t>
      </w:r>
    </w:p>
    <w:p w14:paraId="00FA19B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18.3.3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32EC52B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0B3372D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18.3.5 除专用合同条款另有约定外，经验收合格工程的实际竣工日期，以提交竣工验收申请报告的日期为准，并在工程接收证书中写明。</w:t>
      </w:r>
    </w:p>
    <w:p w14:paraId="4133FAB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18.3.6 发包人在收到承包人竣工验收申请报告56天后未进行验收的，视为验收合格，实际竣工日期以提交竣工验收申请报告的日期为准，但发包人由于不可抗力不能进行验收的除外。</w:t>
      </w:r>
    </w:p>
    <w:p w14:paraId="11B3E3F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18.4 单位工程验收</w:t>
      </w:r>
    </w:p>
    <w:p w14:paraId="00AA648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004D60E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18.4.2 发包人在全部工程竣工前，使用已接收的单位工程导致承包人费用增加的，发包人应承担由此增加的费用和（或）工期延误，并支付承包人合理利润。</w:t>
      </w:r>
    </w:p>
    <w:p w14:paraId="34096A9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18.5 施工期运行</w:t>
      </w:r>
    </w:p>
    <w:p w14:paraId="71AC2D5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18.5.1 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p>
    <w:p w14:paraId="38AB31B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18.5.2 在施工期运行中发现工程或工程设备损坏或存在缺陷的，由承包人按第19.2款约定进行修复。</w:t>
      </w:r>
    </w:p>
    <w:p w14:paraId="2CB6689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18.6 试运行</w:t>
      </w:r>
    </w:p>
    <w:p w14:paraId="3C6551F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18.6.1 除专用合同条款另有约定外，承包人应按专用合同条款约定进行工程及工程设备试运行，负责提供试运行所需的人员、器材和必要的条件，并承担全部试运行费用。</w:t>
      </w:r>
    </w:p>
    <w:p w14:paraId="2E16842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0327833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18.7 竣工清场</w:t>
      </w:r>
    </w:p>
    <w:p w14:paraId="2C46A31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18.7.1 除合同另有约定外，工程接收证书颁发后，承包人应按以下要求对施工场地进行清理，直至监理人检验合格为止。竣工清场费用由承包人承担。</w:t>
      </w:r>
    </w:p>
    <w:p w14:paraId="452B014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（1）施工场地内残留的垃圾已全部清除出场；</w:t>
      </w:r>
    </w:p>
    <w:p w14:paraId="1EDC20B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（2）临时工程已拆除，场地已按合同要求进行清理、平整或复原；</w:t>
      </w:r>
    </w:p>
    <w:p w14:paraId="78343EF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（3）按合同约定应撤离的承包人设备和剩余的材料，包括废弃的施工设备和材料，已按计划撤离施工场地；</w:t>
      </w:r>
    </w:p>
    <w:p w14:paraId="7B7985E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（4）工程建筑物周边及其附近道路、河道的施工堆积物，已按监理人指示全部清理；</w:t>
      </w:r>
    </w:p>
    <w:p w14:paraId="1CB74DE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（5）监理人指示的其他场地清理工作已全部完成。</w:t>
      </w:r>
    </w:p>
    <w:p w14:paraId="1096A23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18.7.2 承包人未按监理人的要求恢复临时占地，或者场地清理未达到合同约定的，发包人有权委托其他人恢复或清理，所发生的金额从拟支付给承包人的款项中扣除。</w:t>
      </w:r>
    </w:p>
    <w:p w14:paraId="7BD1B5B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18.8 施工队伍的撤离</w:t>
      </w:r>
    </w:p>
    <w:p w14:paraId="53732D1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6ACF00D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19. 缺陷责任与保修责任</w:t>
      </w:r>
    </w:p>
    <w:p w14:paraId="4121F8C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19.1 缺陷责任期的起算时间</w:t>
      </w:r>
    </w:p>
    <w:p w14:paraId="251F81B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缺陷责任期自实际竣工日期起计算。在全部工程竣工验收前，已经发包人提前验收的单位工程，其缺陷责任期的起算日期相应提前。</w:t>
      </w:r>
    </w:p>
    <w:p w14:paraId="2A9088D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19.2 缺陷责任</w:t>
      </w:r>
    </w:p>
    <w:p w14:paraId="29F1803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19.2.1 承包人应在缺陷责任期内对已交付使用的工程承担缺陷责任。</w:t>
      </w:r>
    </w:p>
    <w:p w14:paraId="2F275A8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5DA8AD7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5ABF704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19.2.4 承包人不能在合理时间内修复缺陷的，发包人可自行修复或委托其他人修复，所需费用和利润的承担，按第19.2.3项约定办理。</w:t>
      </w:r>
    </w:p>
    <w:p w14:paraId="7C0AC1C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19.3 缺陷责任期的延长</w:t>
      </w:r>
    </w:p>
    <w:p w14:paraId="347C8DD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由于承包人原因造成某项缺陷或损坏使某项工程或工程设备不能按原定目标使用而需要再次检查、检验和修复的，发包人有权要求承包人相应延长缺陷责任期，但缺陷责任期最长不超过2年。</w:t>
      </w:r>
    </w:p>
    <w:p w14:paraId="5C8C424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19.4 进一步试验和试运行</w:t>
      </w:r>
    </w:p>
    <w:p w14:paraId="59A1705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任何一项缺陷或损坏修复后，经检查证明其影响了工程或工程设备的使用性能，承包人应重新进行合同约定的试验和试运行，试验和试运行的全部费用应由责任方承担。</w:t>
      </w:r>
    </w:p>
    <w:p w14:paraId="062769E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19.5 承包人的进入权</w:t>
      </w:r>
    </w:p>
    <w:p w14:paraId="30165A9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缺陷责任期内承包人为缺陷修复工作需要，有权进入工程现场，但应遵守发包人的保安和保密规定。</w:t>
      </w:r>
    </w:p>
    <w:p w14:paraId="5FB5041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19.6 缺陷责任期终止证书</w:t>
      </w:r>
    </w:p>
    <w:p w14:paraId="4731A30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在第1.1.4.5目约定的缺陷责任期，包括根据第19.3款延长的期限终止后14天内，由监理人向承包人出具经发包人签认的缺陷责任期终止证书，并退还剩余的质量保证金。</w:t>
      </w:r>
    </w:p>
    <w:p w14:paraId="49A30B1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19.7 保修责任</w:t>
      </w:r>
    </w:p>
    <w:p w14:paraId="3199126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2A6B567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20. 保险</w:t>
      </w:r>
    </w:p>
    <w:p w14:paraId="0C75331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20.1 工程保险</w:t>
      </w:r>
    </w:p>
    <w:p w14:paraId="4D03F47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44274C7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20.2 人员工伤事故的保险</w:t>
      </w:r>
    </w:p>
    <w:p w14:paraId="33B7F2A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20.2.1 承包人员工伤事故的保险</w:t>
      </w:r>
    </w:p>
    <w:p w14:paraId="0767984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承包人应依照有关法律规定参加工伤保险，为其履行合同所雇佣的全部人员，缴纳工伤保险费，并要求其分包人也进行此项保险。</w:t>
      </w:r>
    </w:p>
    <w:p w14:paraId="5440477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20.2.2 发包人员工伤事故的保险</w:t>
      </w:r>
    </w:p>
    <w:p w14:paraId="2B9EF5D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发包人应依照有关法律规定参加工伤保险，为其现场机构雇佣的全部人员，缴纳工伤保险费，并要求其监理人也进行此项保险。</w:t>
      </w:r>
    </w:p>
    <w:p w14:paraId="5A0BAE4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20.3 人身意外伤害险</w:t>
      </w:r>
    </w:p>
    <w:p w14:paraId="4E8C9BE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20.3.1 发包人应在整个施工期间为其现场机构雇用的全部人员，投保人身意外伤害险，缴纳保险费，并要求其监理人也进行此项保险。</w:t>
      </w:r>
    </w:p>
    <w:p w14:paraId="563EDFA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20.3.2 承包人应在整个施工期间为其现场机构雇用的全部人员，投保人身意外伤害险，缴纳保险费，并要求其分包人也进行此项保险。</w:t>
      </w:r>
    </w:p>
    <w:p w14:paraId="55A95E1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20.4 第三者责任险</w:t>
      </w:r>
    </w:p>
    <w:p w14:paraId="22E92B2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5B239CB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20.4.2 在缺陷责任期终止证书颁发前，承包人应以承包人和发包人的共同名义，投保第20.4.1项约定的第三者责任险，其保险费率、保险金额等有关内容在专用合同条款中约定。</w:t>
      </w:r>
    </w:p>
    <w:p w14:paraId="213CC14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20.5 其他保险</w:t>
      </w:r>
    </w:p>
    <w:p w14:paraId="7A4BBAE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除专用合同条款另有约定外，承包人应为其施工设备、进场的材料和工程设备等办理保险。</w:t>
      </w:r>
    </w:p>
    <w:p w14:paraId="1555405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20.6 对各项保险的一般要求</w:t>
      </w:r>
    </w:p>
    <w:p w14:paraId="439B057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20.6.1 保险凭证</w:t>
      </w:r>
    </w:p>
    <w:p w14:paraId="03C6D22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承包人应在专用合同条款约定的期限内向发包人提交各项保险生效的证据和保险单副本，保险单必须与专用合同条款约定的条件保持一致。</w:t>
      </w:r>
    </w:p>
    <w:p w14:paraId="0975AD4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20.6.2 保险合同条款的变动</w:t>
      </w:r>
    </w:p>
    <w:p w14:paraId="0AB609F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承包人需要变动保险合同条款时，应事先征得发包人同意，并通知监理人。保险人作出变动的，承包人应在收到保险人通知后立即通知发包人和监理人。</w:t>
      </w:r>
    </w:p>
    <w:p w14:paraId="113F4DC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20.6.3 持续保险</w:t>
      </w:r>
    </w:p>
    <w:p w14:paraId="7959144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承包人应与保险人保持联系，使保险人能够随时了解工程实施中的变动，并确保按保险合同条款要求持续保险。</w:t>
      </w:r>
    </w:p>
    <w:p w14:paraId="3DEE4ED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20.6.4 保险金不足的补偿</w:t>
      </w:r>
    </w:p>
    <w:p w14:paraId="66F71C6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保险金不足以补偿损失的，应由承包人和（或）发包人按合同约定负责补偿。</w:t>
      </w:r>
    </w:p>
    <w:p w14:paraId="2895A8B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20.6.5 未按约定投保的补救</w:t>
      </w:r>
    </w:p>
    <w:p w14:paraId="4CC4A72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（1）由于负有投保义务的一方当事人未按合同约定办理保险，或未能使保险持续有效的，另一方当事人可代为办理，所需费用由对方当事人承担。</w:t>
      </w:r>
    </w:p>
    <w:p w14:paraId="1146BAD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（2）由于负有投保义务的一方当事人未按合同约定办理某项保险，导致受益人未能得到保险人的赔偿，原应从该项保险得到的保险金应由负有投保义务的一方当事人支付。</w:t>
      </w:r>
    </w:p>
    <w:p w14:paraId="3E4D059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20.6.6 报告义务</w:t>
      </w:r>
    </w:p>
    <w:p w14:paraId="7B4E1B9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当保险事故发生时，投保人应按照保险单规定的条件和期限及时向保险人报告。</w:t>
      </w:r>
    </w:p>
    <w:p w14:paraId="43BF1B1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21. 不可抗力</w:t>
      </w:r>
    </w:p>
    <w:p w14:paraId="01A83D0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21.1 不可抗力的确认</w:t>
      </w:r>
    </w:p>
    <w:p w14:paraId="44D781D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21.1.1 不可抗力是指承包人和发包人在订立合同时不可预见，在工程施工过程中不可避免发生并不能克服的自然灾害和社会性突发事件，如地震、海啸、瘟疫、水灾、骚乱、暴动、战争和专用合同条款约定的其他情形。</w:t>
      </w:r>
    </w:p>
    <w:p w14:paraId="2675564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4929874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21.2 不可抗力的通知</w:t>
      </w:r>
    </w:p>
    <w:p w14:paraId="1D83B74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21.2.1 合同一方当事人遇到不可抗力事件，使其履行合同义务受到阻碍时，应立即通知合同另一方当事人和监理人，书面说明不可抗力和受阻碍的详细情况，并提供必要的证明。</w:t>
      </w:r>
    </w:p>
    <w:p w14:paraId="377EB79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21.2.2 如不可抗力持续发生，合同一方当事人应及时向合同另一方当事人和监理人提交中间报告，说明不可抗力和履行合同受阻的情况，并于不可抗力事件结束后28天内提交最终报告及有关资料。</w:t>
      </w:r>
    </w:p>
    <w:p w14:paraId="66EF964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21.3 不可抗力后果及其处理</w:t>
      </w:r>
    </w:p>
    <w:p w14:paraId="318102A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21.3.1 不可抗力造成损害的责任</w:t>
      </w:r>
    </w:p>
    <w:p w14:paraId="22B1626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除专用合同条款另有约定外，不可抗力导致的人员伤亡、财产损失、费用增加和（或）工期延误等后果，由合同双方按以下原则承担：</w:t>
      </w:r>
    </w:p>
    <w:p w14:paraId="6509345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（1）永久工程，包括已运至施工场地的材料和工程设备的损害，以及因工程损害造成的第三者人员伤亡和财产损失由发包人承担；</w:t>
      </w:r>
    </w:p>
    <w:p w14:paraId="2AB1A36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（2）承包人设备的损坏由承包人承担；</w:t>
      </w:r>
    </w:p>
    <w:p w14:paraId="79CD3C4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（3）发包人和承包人各自承担其人员伤亡和其他财产损失及其相关费用；</w:t>
      </w:r>
    </w:p>
    <w:p w14:paraId="1CBA36E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（4）承包人的停工损失由承包人承担，但停工期间应监理人要求照管工程和清理、修复工程的金额由发包人承担；</w:t>
      </w:r>
    </w:p>
    <w:p w14:paraId="4D78B49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（5）不能按期竣工的，应合理延长工期，承包人不需支付逾期竣工违约金。发包人要求赶工的，承包人应采取赶工措施，赶工费用由发包人承担。</w:t>
      </w:r>
    </w:p>
    <w:p w14:paraId="5DBAF72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21.3.2 延迟履行期间发生的不可抗力</w:t>
      </w:r>
    </w:p>
    <w:p w14:paraId="3F3E072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合同一方当事人延迟履行，在延迟履行期间发生不可抗力的，不免除其责任。</w:t>
      </w:r>
    </w:p>
    <w:p w14:paraId="188F683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21.3.3 避免和减少不可抗力损失</w:t>
      </w:r>
    </w:p>
    <w:p w14:paraId="21349DC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不可抗力发生后，发包人和承包人均应采取措施尽量避免和减少损失的扩大，任何一方没有采取有效措施导致损失扩大的，应对扩大的损失承担责任。</w:t>
      </w:r>
    </w:p>
    <w:p w14:paraId="2BF75A1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21.3.4 因不可抗力解除合同</w:t>
      </w:r>
    </w:p>
    <w:p w14:paraId="13547A9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38A79BE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22. 违约</w:t>
      </w:r>
    </w:p>
    <w:p w14:paraId="3E463D8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22.1 承包人违约</w:t>
      </w:r>
    </w:p>
    <w:p w14:paraId="320EE49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22.1.1 承包人违约的情形</w:t>
      </w:r>
    </w:p>
    <w:p w14:paraId="717C968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在履行合同过程中发生的下列情况属承包人违约：</w:t>
      </w:r>
    </w:p>
    <w:p w14:paraId="6048299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（1）承包人违反第1.8款或第4.3款的约定，私自将合同的全部或部分权利转让给其他人，或私自将合同的全部或部分义务转移给其他人；</w:t>
      </w:r>
    </w:p>
    <w:p w14:paraId="4ED2617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（2）承包人违反第5.3款或第6.4款的约定，未经监理人批准，私自将已按合同约定进入施工场地的施工设备、临时设施或材料撤离施工场地；</w:t>
      </w:r>
    </w:p>
    <w:p w14:paraId="2689956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（3）承包人违反第5.4款的约定使用了不合格材料或工程设备，工程质量达不到标准要求，又拒绝清除不合格工程；</w:t>
      </w:r>
    </w:p>
    <w:p w14:paraId="2E34688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（4）承包人未能按合同进度计划及时完成合同约定的工作，已造成或预期造成工期延误；</w:t>
      </w:r>
    </w:p>
    <w:p w14:paraId="297E017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（5）承包人在缺陷责任期内，未能对工程接收证书所列的缺陷清单的内容或缺陷责任期内发生的缺陷进行修复，而又拒绝按监理人指示再进行修补；</w:t>
      </w:r>
    </w:p>
    <w:p w14:paraId="53DB52A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（6）承包人无法继续履行或明确表示不履行或实质上已停止履行合同；</w:t>
      </w:r>
    </w:p>
    <w:p w14:paraId="3B5D574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（7）承包人不按合同约定履行义务的其他情况。</w:t>
      </w:r>
    </w:p>
    <w:p w14:paraId="6453D19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22.1.2 对承包人违约的处理</w:t>
      </w:r>
    </w:p>
    <w:p w14:paraId="27FD2FF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（1）承包人发生第22.1.1（6）目约定的违约情况时，发包人可通知承包人立即解除合同，并按有关法律处理。</w:t>
      </w:r>
    </w:p>
    <w:p w14:paraId="5085546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（2）承包人发生除第22.1.1（6）目约定以外的其他违约情况时，监理人可向承包人发出整改通知，要求其在指定的期限内改正。承包人应承担其违约所引起的费用增加和（或）工期延误。</w:t>
      </w:r>
    </w:p>
    <w:p w14:paraId="2BE7619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（3）经检查证明承包人已采取了有效措施纠正违约行为，具备复工条件的，可由监理人签发复工通知复工。</w:t>
      </w:r>
    </w:p>
    <w:p w14:paraId="44B90AA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22.1.3 承包人违约解除合同</w:t>
      </w:r>
    </w:p>
    <w:p w14:paraId="06B14F1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BF0C95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22.1.4 合同解除后的估价、付款和结清</w:t>
      </w:r>
    </w:p>
    <w:p w14:paraId="0F7E607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（1）合同解除后，监理人按第3.5款商定或确定承包人实际完成工作的价值，以及承包人已提供的材料、施工设备、工程设备和临时工程等的价值。 </w:t>
      </w:r>
    </w:p>
    <w:p w14:paraId="7A6F5E1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（2）合同解除后，发包人应暂停对承包人的一切付款，查清各项付款和已扣款金额，包括承包人应支付的违约金。 </w:t>
      </w:r>
    </w:p>
    <w:p w14:paraId="54A98FC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（3）合同解除后，发包人应按第23.4款的约定向承包人索赔由于解除合同给发包人造成的损失。</w:t>
      </w:r>
    </w:p>
    <w:p w14:paraId="0DD00F2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（4）合同双方确认上述往来款项后，出具最终结清付款证书，结清全部合同款项。</w:t>
      </w:r>
    </w:p>
    <w:p w14:paraId="4D20402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（5）发包人和承包人未能就解除合同后的结清达成一致而形成争议的，按第24条的约定办理。</w:t>
      </w:r>
    </w:p>
    <w:p w14:paraId="35D19E6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22.1.5 协议利益的转让</w:t>
      </w:r>
    </w:p>
    <w:p w14:paraId="0B9FB39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因承包人违约解除合同的，发包人有权要求承包人将其为实施合同而签订的材料和设备的订货协议或任何服务协议利益转让给发包人，并在解除合同后的14天内，依法办理转让手续。 </w:t>
      </w:r>
    </w:p>
    <w:p w14:paraId="673914F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22.1.6 紧急情况下无能力或不愿进行抢救</w:t>
      </w:r>
    </w:p>
    <w:p w14:paraId="3EDB677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5B904FF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22.2 发包人违约</w:t>
      </w:r>
    </w:p>
    <w:p w14:paraId="1C41D75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22.2.1 发包人违约的情形</w:t>
      </w:r>
    </w:p>
    <w:p w14:paraId="29FA68B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在履行合同过程中发生的下列情形，属发包人违约：</w:t>
      </w:r>
    </w:p>
    <w:p w14:paraId="45B732E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（1）发包人未能按合同约定支付预付款或合同价款，或拖延、拒绝批准付款申请和支付凭证，导致付款延误的；</w:t>
      </w:r>
    </w:p>
    <w:p w14:paraId="4323CCF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（2）发包人原因造成停工的；</w:t>
      </w:r>
    </w:p>
    <w:p w14:paraId="5AE4238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（3）监理人无正当理由没有在约定期限内发出复工指示，导致承包人无法复工的；</w:t>
      </w:r>
    </w:p>
    <w:p w14:paraId="567AFDC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（4）发包人无法继续履行或明确表示不履行或实质上已停止履行合同的；</w:t>
      </w:r>
    </w:p>
    <w:p w14:paraId="4192A87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（5）发包人不履行合同约定其他义务的。</w:t>
      </w:r>
    </w:p>
    <w:p w14:paraId="59E9673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22.2.2 承包人有权暂停施工</w:t>
      </w:r>
    </w:p>
    <w:p w14:paraId="295C209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57B6E1E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22.2.3 发包人违约解除合同 </w:t>
      </w:r>
    </w:p>
    <w:p w14:paraId="7D8A9FD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（1）发生第22.2.1（4）目的违约情况时，承包人可书面通知发包人解除合同。   </w:t>
      </w:r>
    </w:p>
    <w:p w14:paraId="4D86370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（2）承包人按22.2.2项暂停施工28天后，发包人仍不纠正违约行为的，承包人可向发包人发出解除合同通知。但承包人的这一行动不免除发包人承担的违约责任，也不影响承包人根据合同约定享有的索赔权利。</w:t>
      </w:r>
    </w:p>
    <w:p w14:paraId="38A0659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22.2.4 解除合同后的付款</w:t>
      </w:r>
    </w:p>
    <w:p w14:paraId="0001A1E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因发包人违约解除合同的，发包人应在解除合同后28天内向承包人支付下列金额，承包人应在此期限内及时向发包人提交要求支付下列金额的有关资料和凭证：</w:t>
      </w:r>
    </w:p>
    <w:p w14:paraId="640B9A1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（1）合同解除日以前所完成工作的价款；</w:t>
      </w:r>
    </w:p>
    <w:p w14:paraId="5330DC4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（2）承包人为该工程施工订购并已付款的材料、工程设备和其他物品的金额。发包人付还后，该材料、工程设备和其他物品归发包人所有；</w:t>
      </w:r>
    </w:p>
    <w:p w14:paraId="29A750A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（3）承包人为完成工程所发生的，而发包人未支付的金额；</w:t>
      </w:r>
    </w:p>
    <w:p w14:paraId="36296DC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（4）承包人撤离施工场地以及遣散承包人人员的金额；</w:t>
      </w:r>
    </w:p>
    <w:p w14:paraId="76891AA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（5）由于解除合同应赔偿的承包人损失；</w:t>
      </w:r>
    </w:p>
    <w:p w14:paraId="42F906D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（6）按合同约定在合同解除日前应支付给承包人的其他金额。</w:t>
      </w:r>
    </w:p>
    <w:p w14:paraId="4EC6CB9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发包人应按本项约定支付上述金额并退还质量保证金和履约担保，但有权要求承包人支付应偿还给发包人的各项金额。</w:t>
      </w:r>
    </w:p>
    <w:p w14:paraId="7CA6BDB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22.2.5 解除合同后的承包人撤离</w:t>
      </w:r>
    </w:p>
    <w:p w14:paraId="2A8AD6D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3D9A61A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22.3 第三人造成的违约</w:t>
      </w:r>
    </w:p>
    <w:p w14:paraId="0B7D9B4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在履行合同过程中，一方当事人因第三人的原因造成违约的，应当向对方当事人承担违约责任。一方当事人和第三人之间的纠纷，依照法律规定或者按照约定解决。</w:t>
      </w:r>
    </w:p>
    <w:p w14:paraId="71027CD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23. 索赔</w:t>
      </w:r>
    </w:p>
    <w:p w14:paraId="1C6F15C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23.1 承包人索赔的提出</w:t>
      </w:r>
    </w:p>
    <w:p w14:paraId="687B345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根据合同约定，承包人认为有权得到追加付款和（或）延长工期的，应按以下程序向发包人提出索赔：</w:t>
      </w:r>
    </w:p>
    <w:p w14:paraId="04270DC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763EC49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（2）承包人应在发出索赔意向通知书后28天内，向监理人正式递交索赔通知书。索赔通知书应详细说明索赔理由以及要求追加的付款金额和（或）延长的工期，并附必要的记录和证明材料；</w:t>
      </w:r>
    </w:p>
    <w:p w14:paraId="338A848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（3）索赔事件具有连续影响的，承包人应按合理时间间隔继续递交延续索赔通知，说明连续影响的实际情况和记录，列出累计的追加付款金额和（或）工期延长天数；</w:t>
      </w:r>
    </w:p>
    <w:p w14:paraId="486C360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（4）在索赔事件影响结束后的28天内，承包人应向监理人递交最终索赔通知书，说明最终要求索赔的追加付款金额和延长的工期，并附必要的记录和证明材料。</w:t>
      </w:r>
    </w:p>
    <w:p w14:paraId="63E7145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23.2 承包人索赔处理程序</w:t>
      </w:r>
    </w:p>
    <w:p w14:paraId="6836E04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（1）监理人收到承包人提交的索赔通知书后，应及时审查索赔通知书的内容、查验承包人的记录和证明材料，必要时监理人可要求承包人提交全部原始记录副本。</w:t>
      </w:r>
    </w:p>
    <w:p w14:paraId="2B9AC64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（2）监理人应按第3.5款商定或确定追加的付款和（或）延长的工期，并在收到上述索赔通知书或有关索赔的进一步证明材料后的42天内，将索赔处理结果答复承包人。</w:t>
      </w:r>
    </w:p>
    <w:p w14:paraId="17F1BDE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（3）承包人接受索赔处理结果的，发包人应在作出索赔处理结果答复后28天内完成赔付。承包人不接受索赔处理结果的，按第24条的约定办理。</w:t>
      </w:r>
    </w:p>
    <w:p w14:paraId="511966D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23.3 承包人提出索赔的期限</w:t>
      </w:r>
    </w:p>
    <w:p w14:paraId="620DCAD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23.3.1 承包人按第17.5款的约定接受了竣工付款证书后，应被认为已无权再提出在合同工程接收证书颁发前所发生的任何索赔。</w:t>
      </w:r>
    </w:p>
    <w:p w14:paraId="6747454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23.3.2 承包人按第17.6款的约定提交的最终结清申请单中，只限于提出工程接收证书颁发后发生的索赔。提出索赔的期限自接受最终结清证书时终止。 </w:t>
      </w:r>
    </w:p>
    <w:p w14:paraId="1EB7922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23.4 发包人的索赔</w:t>
      </w:r>
    </w:p>
    <w:p w14:paraId="090D723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3E795EF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715E043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24. 争议的解决</w:t>
      </w:r>
    </w:p>
    <w:p w14:paraId="5C24347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24.1 争议的解决方式</w:t>
      </w:r>
    </w:p>
    <w:p w14:paraId="6E9F934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67AFB71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（1）向约定的仲裁委员会申请仲裁；</w:t>
      </w:r>
    </w:p>
    <w:p w14:paraId="47A4909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（2）向有管辖权的人民法院提起诉讼。</w:t>
      </w:r>
    </w:p>
    <w:p w14:paraId="6D7CFD8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24.2 友好解决</w:t>
      </w:r>
    </w:p>
    <w:p w14:paraId="72AA8E0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在提请争议评审、仲裁或者诉讼前，以及在争议评审、仲裁或诉讼过程中，发包人和承包人均可共同努力友好协商解决争议。</w:t>
      </w:r>
    </w:p>
    <w:p w14:paraId="7F2A50D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24.3 争议评审</w:t>
      </w:r>
    </w:p>
    <w:p w14:paraId="62D0173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24.3.1 采用争议评审的，发包人和承包人应在开工日后的28天内或在争议发生后，协商成立争议评审组。争议评审组由有合同管理和工程实践经验的专家组成。</w:t>
      </w:r>
    </w:p>
    <w:p w14:paraId="4E786CA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24.3.2 合同双方的争议，应首先由申请人向争议评审组提交一份详细的评审申请报告，并附必要的文件、图纸和证明材料，申请人还应将上述报告的副本同时提交给被申请人和监理人。</w:t>
      </w:r>
    </w:p>
    <w:p w14:paraId="053EA3D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24.3.3 被申请人在收到申请人评审申请报告副本后的28天内，向争议评审组提交一份答辩报告，并附证明材料。被申请人应将答辩报告的副本同时提交给申请人和监理人。</w:t>
      </w:r>
    </w:p>
    <w:p w14:paraId="7108167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24.3.4 除专用合同条款另有约定外，争议评审组在收到合同双方报告后的14天内，邀请双方代表和有关人员举行调查会，向双方调查争议细节；必要时争议评审组可要求双方进一步提供补充材料。</w:t>
      </w:r>
    </w:p>
    <w:p w14:paraId="2F0764F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14:paraId="32BF8FA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24.3.6 发包人和承包人接受评审意见的，由监理人根据评审意见拟定执行协议，经争议双方签字后作为合同的补充文件，并遵照执行。</w:t>
      </w:r>
    </w:p>
    <w:p w14:paraId="1723E73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034FE40D">
      <w:pPr>
        <w:spacing w:line="440" w:lineRule="exact"/>
        <w:rPr>
          <w:rStyle w:val="303"/>
          <w:rFonts w:hint="eastAsia" w:ascii="宋体" w:hAnsi="宋体" w:eastAsia="宋体" w:cs="宋体"/>
          <w:color w:val="auto"/>
          <w:szCs w:val="21"/>
          <w:highlight w:val="none"/>
        </w:rPr>
      </w:pPr>
    </w:p>
    <w:p w14:paraId="0ECE0FB6">
      <w:pPr>
        <w:spacing w:line="440" w:lineRule="exact"/>
        <w:rPr>
          <w:rStyle w:val="303"/>
          <w:rFonts w:hint="eastAsia" w:ascii="宋体" w:hAnsi="宋体" w:eastAsia="宋体" w:cs="宋体"/>
          <w:color w:val="auto"/>
          <w:szCs w:val="21"/>
          <w:highlight w:val="none"/>
        </w:rPr>
      </w:pPr>
    </w:p>
    <w:p w14:paraId="152EFFE4">
      <w:pPr>
        <w:spacing w:line="440" w:lineRule="exact"/>
        <w:rPr>
          <w:rStyle w:val="303"/>
          <w:rFonts w:hint="eastAsia" w:ascii="宋体" w:hAnsi="宋体" w:eastAsia="宋体" w:cs="宋体"/>
          <w:color w:val="auto"/>
          <w:szCs w:val="21"/>
          <w:highlight w:val="none"/>
        </w:rPr>
      </w:pPr>
    </w:p>
    <w:p w14:paraId="1E298A7A">
      <w:pPr>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br w:type="page"/>
      </w:r>
    </w:p>
    <w:p w14:paraId="1E754ED8">
      <w:pPr>
        <w:jc w:val="center"/>
        <w:rPr>
          <w:rStyle w:val="303"/>
          <w:rFonts w:hint="eastAsia" w:ascii="宋体" w:hAnsi="宋体" w:eastAsia="宋体" w:cs="宋体"/>
          <w:color w:val="auto"/>
          <w:sz w:val="28"/>
          <w:szCs w:val="28"/>
          <w:highlight w:val="none"/>
        </w:rPr>
      </w:pPr>
      <w:r>
        <w:rPr>
          <w:rStyle w:val="303"/>
          <w:rFonts w:hint="eastAsia" w:ascii="宋体" w:hAnsi="宋体" w:eastAsia="宋体" w:cs="宋体"/>
          <w:color w:val="auto"/>
          <w:sz w:val="28"/>
          <w:szCs w:val="28"/>
          <w:highlight w:val="none"/>
        </w:rPr>
        <w:t>项目专用合同条款数据表</w:t>
      </w:r>
    </w:p>
    <w:p w14:paraId="48439D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楷体" w:hAnsi="楷体" w:eastAsia="楷体" w:cs="楷体"/>
          <w:sz w:val="22"/>
          <w:szCs w:val="22"/>
          <w:highlight w:val="none"/>
        </w:rPr>
      </w:pPr>
      <w:r>
        <w:rPr>
          <w:rStyle w:val="303"/>
          <w:rFonts w:hint="eastAsia" w:ascii="宋体" w:hAnsi="宋体" w:eastAsia="宋体" w:cs="宋体"/>
          <w:b/>
          <w:bCs/>
          <w:color w:val="auto"/>
          <w:szCs w:val="21"/>
          <w:highlight w:val="none"/>
        </w:rPr>
        <w:t>说明：</w:t>
      </w:r>
      <w:r>
        <w:rPr>
          <w:rStyle w:val="303"/>
          <w:rFonts w:hint="eastAsia" w:ascii="宋体" w:hAnsi="宋体" w:eastAsia="宋体" w:cs="宋体"/>
          <w:color w:val="auto"/>
          <w:szCs w:val="21"/>
          <w:highlight w:val="none"/>
        </w:rPr>
        <w:t>本数据表是项目专用合同条款中适用于本项目的信息和数据的归纳与提示，是项目专用合同条款的组成部分。</w:t>
      </w:r>
    </w:p>
    <w:tbl>
      <w:tblPr>
        <w:tblStyle w:val="32"/>
        <w:tblpPr w:leftFromText="180" w:rightFromText="180" w:vertAnchor="text" w:horzAnchor="page" w:tblpX="1355" w:tblpY="104"/>
        <w:tblOverlap w:val="never"/>
        <w:tblW w:w="87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80"/>
        <w:gridCol w:w="1124"/>
        <w:gridCol w:w="7132"/>
      </w:tblGrid>
      <w:tr w14:paraId="537A61C3">
        <w:trPr>
          <w:trHeight w:val="369" w:hRule="atLeast"/>
        </w:trPr>
        <w:tc>
          <w:tcPr>
            <w:tcW w:w="0" w:type="auto"/>
          </w:tcPr>
          <w:p w14:paraId="558E8209">
            <w:pPr>
              <w:spacing w:before="125" w:line="216" w:lineRule="auto"/>
              <w:ind w:left="109"/>
              <w:rPr>
                <w:rFonts w:hint="eastAsia" w:ascii="宋体" w:hAnsi="宋体" w:eastAsia="宋体" w:cs="宋体"/>
                <w:sz w:val="21"/>
                <w:szCs w:val="21"/>
                <w:highlight w:val="none"/>
                <w:lang w:eastAsia="en-US"/>
              </w:rPr>
            </w:pPr>
            <w:r>
              <w:rPr>
                <w:rFonts w:hint="eastAsia" w:ascii="宋体" w:hAnsi="宋体" w:eastAsia="宋体" w:cs="宋体"/>
                <w:spacing w:val="6"/>
                <w:sz w:val="21"/>
                <w:szCs w:val="21"/>
                <w:highlight w:val="none"/>
                <w:lang w:eastAsia="en-US"/>
              </w:rPr>
              <w:t>序号</w:t>
            </w:r>
          </w:p>
        </w:tc>
        <w:tc>
          <w:tcPr>
            <w:tcW w:w="1124" w:type="dxa"/>
          </w:tcPr>
          <w:p w14:paraId="0CE594C9">
            <w:pPr>
              <w:spacing w:before="125" w:line="216" w:lineRule="auto"/>
              <w:ind w:left="245"/>
              <w:rPr>
                <w:rFonts w:hint="eastAsia" w:ascii="宋体" w:hAnsi="宋体" w:eastAsia="宋体" w:cs="宋体"/>
                <w:sz w:val="21"/>
                <w:szCs w:val="21"/>
                <w:highlight w:val="none"/>
                <w:lang w:eastAsia="en-US"/>
              </w:rPr>
            </w:pPr>
            <w:r>
              <w:rPr>
                <w:rFonts w:hint="eastAsia" w:ascii="宋体" w:hAnsi="宋体" w:eastAsia="宋体" w:cs="宋体"/>
                <w:spacing w:val="7"/>
                <w:sz w:val="21"/>
                <w:szCs w:val="21"/>
                <w:highlight w:val="none"/>
                <w:lang w:eastAsia="en-US"/>
              </w:rPr>
              <w:t>条目号</w:t>
            </w:r>
          </w:p>
        </w:tc>
        <w:tc>
          <w:tcPr>
            <w:tcW w:w="7132" w:type="dxa"/>
          </w:tcPr>
          <w:p w14:paraId="26C995E5">
            <w:pPr>
              <w:spacing w:before="125" w:line="216" w:lineRule="auto"/>
              <w:ind w:left="3129"/>
              <w:rPr>
                <w:rFonts w:hint="eastAsia" w:ascii="宋体" w:hAnsi="宋体" w:eastAsia="宋体" w:cs="宋体"/>
                <w:sz w:val="21"/>
                <w:szCs w:val="21"/>
                <w:highlight w:val="none"/>
                <w:lang w:eastAsia="en-US"/>
              </w:rPr>
            </w:pPr>
            <w:r>
              <w:rPr>
                <w:rFonts w:hint="eastAsia" w:ascii="宋体" w:hAnsi="宋体" w:eastAsia="宋体" w:cs="宋体"/>
                <w:spacing w:val="8"/>
                <w:sz w:val="21"/>
                <w:szCs w:val="21"/>
                <w:highlight w:val="none"/>
                <w:lang w:eastAsia="en-US"/>
              </w:rPr>
              <w:t>信息或数据</w:t>
            </w:r>
          </w:p>
        </w:tc>
      </w:tr>
      <w:tr w14:paraId="7E68B688">
        <w:trPr>
          <w:trHeight w:val="725" w:hRule="atLeast"/>
        </w:trPr>
        <w:tc>
          <w:tcPr>
            <w:tcW w:w="0" w:type="auto"/>
          </w:tcPr>
          <w:p w14:paraId="27866BFA">
            <w:pPr>
              <w:spacing w:line="291" w:lineRule="auto"/>
              <w:jc w:val="center"/>
              <w:rPr>
                <w:rFonts w:hint="eastAsia" w:ascii="宋体" w:hAnsi="宋体" w:eastAsia="宋体" w:cs="宋体"/>
                <w:sz w:val="21"/>
                <w:szCs w:val="21"/>
                <w:highlight w:val="none"/>
              </w:rPr>
            </w:pPr>
          </w:p>
          <w:p w14:paraId="4171F263">
            <w:pPr>
              <w:spacing w:before="58" w:line="195"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124" w:type="dxa"/>
          </w:tcPr>
          <w:p w14:paraId="03C4323C">
            <w:pPr>
              <w:spacing w:line="291" w:lineRule="auto"/>
              <w:jc w:val="center"/>
              <w:rPr>
                <w:rFonts w:hint="eastAsia" w:ascii="宋体" w:hAnsi="宋体" w:eastAsia="宋体" w:cs="宋体"/>
                <w:sz w:val="21"/>
                <w:szCs w:val="21"/>
                <w:highlight w:val="none"/>
              </w:rPr>
            </w:pPr>
          </w:p>
          <w:p w14:paraId="64714C54">
            <w:pPr>
              <w:spacing w:before="58" w:line="195"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"file:///D:\\WeChat%20Files\\lijian2105\\FileStorage\\File\\2025-06\\1.1.2.2"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1.1.2.2</w:t>
            </w:r>
            <w:r>
              <w:rPr>
                <w:rFonts w:hint="eastAsia" w:ascii="宋体" w:hAnsi="宋体" w:eastAsia="宋体" w:cs="宋体"/>
                <w:sz w:val="21"/>
                <w:szCs w:val="21"/>
                <w:highlight w:val="none"/>
              </w:rPr>
              <w:fldChar w:fldCharType="end"/>
            </w:r>
          </w:p>
        </w:tc>
        <w:tc>
          <w:tcPr>
            <w:tcW w:w="7132" w:type="dxa"/>
          </w:tcPr>
          <w:p w14:paraId="74876CC4">
            <w:pPr>
              <w:spacing w:before="120" w:line="228" w:lineRule="auto"/>
              <w:ind w:left="115"/>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发包人：江苏省高速公路经营管理中心</w:t>
            </w:r>
          </w:p>
          <w:p w14:paraId="209BA228">
            <w:pPr>
              <w:spacing w:before="113" w:line="216" w:lineRule="auto"/>
              <w:ind w:left="112"/>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地址：南京市鼓楼区江苏路</w:t>
            </w:r>
            <w:r>
              <w:rPr>
                <w:rFonts w:hint="eastAsia" w:ascii="宋体" w:hAnsi="宋体" w:eastAsia="宋体" w:cs="宋体"/>
                <w:spacing w:val="-30"/>
                <w:sz w:val="21"/>
                <w:szCs w:val="21"/>
                <w:highlight w:val="none"/>
              </w:rPr>
              <w:t xml:space="preserve"> </w:t>
            </w:r>
            <w:r>
              <w:rPr>
                <w:rFonts w:hint="eastAsia" w:ascii="宋体" w:hAnsi="宋体" w:eastAsia="宋体" w:cs="宋体"/>
                <w:spacing w:val="4"/>
                <w:sz w:val="21"/>
                <w:szCs w:val="21"/>
                <w:highlight w:val="none"/>
              </w:rPr>
              <w:t>60-</w:t>
            </w:r>
            <w:r>
              <w:rPr>
                <w:rFonts w:hint="eastAsia" w:ascii="宋体" w:hAnsi="宋体" w:eastAsia="宋体" w:cs="宋体"/>
                <w:spacing w:val="-28"/>
                <w:sz w:val="21"/>
                <w:szCs w:val="21"/>
                <w:highlight w:val="none"/>
              </w:rPr>
              <w:t xml:space="preserve"> </w:t>
            </w:r>
            <w:r>
              <w:rPr>
                <w:rFonts w:hint="eastAsia" w:ascii="宋体" w:hAnsi="宋体" w:eastAsia="宋体" w:cs="宋体"/>
                <w:spacing w:val="4"/>
                <w:sz w:val="21"/>
                <w:szCs w:val="21"/>
                <w:highlight w:val="none"/>
              </w:rPr>
              <w:t>1号</w:t>
            </w:r>
          </w:p>
        </w:tc>
      </w:tr>
      <w:tr w14:paraId="64724E1A">
        <w:trPr>
          <w:trHeight w:val="469" w:hRule="atLeast"/>
        </w:trPr>
        <w:tc>
          <w:tcPr>
            <w:tcW w:w="0" w:type="auto"/>
          </w:tcPr>
          <w:p w14:paraId="524975AE">
            <w:pPr>
              <w:spacing w:before="223" w:line="195"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124" w:type="dxa"/>
          </w:tcPr>
          <w:p w14:paraId="01D2BC0F">
            <w:pPr>
              <w:spacing w:before="223" w:line="195"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"file:///D:\\WeChat%20Files\\lijian2105\\FileStorage\\File\\2025-06\\1.1.2.6"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1.1.2.6</w:t>
            </w:r>
            <w:r>
              <w:rPr>
                <w:rFonts w:hint="eastAsia" w:ascii="宋体" w:hAnsi="宋体" w:eastAsia="宋体" w:cs="宋体"/>
                <w:sz w:val="21"/>
                <w:szCs w:val="21"/>
                <w:highlight w:val="none"/>
              </w:rPr>
              <w:fldChar w:fldCharType="end"/>
            </w:r>
          </w:p>
        </w:tc>
        <w:tc>
          <w:tcPr>
            <w:tcW w:w="7132" w:type="dxa"/>
          </w:tcPr>
          <w:p w14:paraId="5D80A3C3">
            <w:pPr>
              <w:spacing w:before="173" w:line="228" w:lineRule="auto"/>
              <w:ind w:left="113"/>
              <w:rPr>
                <w:rFonts w:hint="eastAsia" w:ascii="宋体" w:hAnsi="宋体" w:eastAsia="宋体" w:cs="宋体"/>
                <w:sz w:val="21"/>
                <w:szCs w:val="21"/>
                <w:highlight w:val="none"/>
                <w:lang w:eastAsia="en-US"/>
              </w:rPr>
            </w:pPr>
            <w:r>
              <w:rPr>
                <w:rFonts w:hint="eastAsia" w:ascii="宋体" w:hAnsi="宋体" w:eastAsia="宋体" w:cs="宋体"/>
                <w:spacing w:val="8"/>
                <w:sz w:val="21"/>
                <w:szCs w:val="21"/>
                <w:highlight w:val="none"/>
                <w:lang w:eastAsia="en-US"/>
              </w:rPr>
              <w:t>监理人：业主另定</w:t>
            </w:r>
          </w:p>
        </w:tc>
      </w:tr>
      <w:tr w14:paraId="5D47ED3D">
        <w:trPr>
          <w:trHeight w:val="561" w:hRule="atLeast"/>
        </w:trPr>
        <w:tc>
          <w:tcPr>
            <w:tcW w:w="0" w:type="auto"/>
          </w:tcPr>
          <w:p w14:paraId="5B0DF781">
            <w:pPr>
              <w:spacing w:before="270" w:line="195"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124" w:type="dxa"/>
          </w:tcPr>
          <w:p w14:paraId="3D1993A1">
            <w:pPr>
              <w:spacing w:before="270" w:line="195"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"file:///D:\\WeChat%20Files\\lijian2105\\FileStorage\\File\\2025-06\\1.1.4.5"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1.1.4.5</w:t>
            </w:r>
            <w:r>
              <w:rPr>
                <w:rFonts w:hint="eastAsia" w:ascii="宋体" w:hAnsi="宋体" w:eastAsia="宋体" w:cs="宋体"/>
                <w:sz w:val="21"/>
                <w:szCs w:val="21"/>
                <w:highlight w:val="none"/>
              </w:rPr>
              <w:fldChar w:fldCharType="end"/>
            </w:r>
          </w:p>
        </w:tc>
        <w:tc>
          <w:tcPr>
            <w:tcW w:w="7132" w:type="dxa"/>
          </w:tcPr>
          <w:p w14:paraId="1A10FE4A">
            <w:pPr>
              <w:spacing w:before="217" w:line="228" w:lineRule="auto"/>
              <w:ind w:left="112"/>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缺陷责任期：</w:t>
            </w:r>
            <w:r>
              <w:rPr>
                <w:rFonts w:hint="eastAsia" w:ascii="宋体" w:hAnsi="宋体" w:eastAsia="宋体" w:cs="宋体"/>
                <w:spacing w:val="-29"/>
                <w:sz w:val="21"/>
                <w:szCs w:val="21"/>
                <w:highlight w:val="none"/>
              </w:rPr>
              <w:t xml:space="preserve"> </w:t>
            </w:r>
            <w:r>
              <w:rPr>
                <w:rFonts w:hint="eastAsia" w:ascii="宋体" w:hAnsi="宋体" w:eastAsia="宋体" w:cs="宋体"/>
                <w:spacing w:val="5"/>
                <w:sz w:val="21"/>
                <w:szCs w:val="21"/>
                <w:highlight w:val="none"/>
              </w:rPr>
              <w:t>自工程实际交工且验收合格日期起计算</w:t>
            </w:r>
            <w:r>
              <w:rPr>
                <w:rFonts w:hint="eastAsia" w:ascii="宋体" w:hAnsi="宋体" w:eastAsia="宋体" w:cs="宋体"/>
                <w:spacing w:val="-40"/>
                <w:sz w:val="21"/>
                <w:szCs w:val="21"/>
                <w:highlight w:val="none"/>
              </w:rPr>
              <w:t xml:space="preserve"> </w:t>
            </w:r>
            <w:r>
              <w:rPr>
                <w:rFonts w:hint="eastAsia" w:ascii="宋体" w:hAnsi="宋体" w:eastAsia="宋体" w:cs="宋体"/>
                <w:spacing w:val="5"/>
                <w:sz w:val="21"/>
                <w:szCs w:val="21"/>
                <w:highlight w:val="none"/>
                <w:u w:val="single"/>
              </w:rPr>
              <w:t xml:space="preserve">2 </w:t>
            </w:r>
            <w:r>
              <w:rPr>
                <w:rFonts w:hint="eastAsia" w:ascii="宋体" w:hAnsi="宋体" w:eastAsia="宋体" w:cs="宋体"/>
                <w:spacing w:val="5"/>
                <w:sz w:val="21"/>
                <w:szCs w:val="21"/>
                <w:highlight w:val="none"/>
              </w:rPr>
              <w:t>年。</w:t>
            </w:r>
          </w:p>
        </w:tc>
      </w:tr>
      <w:tr w14:paraId="3FFD91CE">
        <w:trPr>
          <w:trHeight w:val="724" w:hRule="atLeast"/>
        </w:trPr>
        <w:tc>
          <w:tcPr>
            <w:tcW w:w="0" w:type="auto"/>
          </w:tcPr>
          <w:p w14:paraId="2BE191C3">
            <w:pPr>
              <w:spacing w:line="293" w:lineRule="auto"/>
              <w:jc w:val="center"/>
              <w:rPr>
                <w:rFonts w:hint="eastAsia" w:ascii="宋体" w:hAnsi="宋体" w:eastAsia="宋体" w:cs="宋体"/>
                <w:sz w:val="21"/>
                <w:szCs w:val="21"/>
                <w:highlight w:val="none"/>
              </w:rPr>
            </w:pPr>
          </w:p>
          <w:p w14:paraId="41C2D95E">
            <w:pPr>
              <w:spacing w:before="57" w:line="195" w:lineRule="auto"/>
              <w:jc w:val="center"/>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4</w:t>
            </w:r>
          </w:p>
        </w:tc>
        <w:tc>
          <w:tcPr>
            <w:tcW w:w="1124" w:type="dxa"/>
          </w:tcPr>
          <w:p w14:paraId="0BE61F72">
            <w:pPr>
              <w:spacing w:line="293" w:lineRule="auto"/>
              <w:jc w:val="center"/>
              <w:rPr>
                <w:rFonts w:hint="eastAsia" w:ascii="宋体" w:hAnsi="宋体" w:eastAsia="宋体" w:cs="宋体"/>
                <w:sz w:val="21"/>
                <w:szCs w:val="21"/>
                <w:highlight w:val="none"/>
              </w:rPr>
            </w:pPr>
          </w:p>
          <w:p w14:paraId="490B1015">
            <w:pPr>
              <w:spacing w:before="57" w:line="195" w:lineRule="auto"/>
              <w:jc w:val="center"/>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1.6.3</w:t>
            </w:r>
          </w:p>
        </w:tc>
        <w:tc>
          <w:tcPr>
            <w:tcW w:w="7132" w:type="dxa"/>
          </w:tcPr>
          <w:p w14:paraId="432D2CAB">
            <w:pPr>
              <w:spacing w:before="120" w:line="274" w:lineRule="auto"/>
              <w:ind w:left="115" w:right="109" w:firstLine="17"/>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图纸需要修改和补充的，应由监理人取得发</w:t>
            </w:r>
            <w:r>
              <w:rPr>
                <w:rFonts w:hint="eastAsia" w:ascii="宋体" w:hAnsi="宋体" w:eastAsia="宋体" w:cs="宋体"/>
                <w:spacing w:val="7"/>
                <w:sz w:val="21"/>
                <w:szCs w:val="21"/>
                <w:highlight w:val="none"/>
              </w:rPr>
              <w:t>包人同意后，在该工程或工程相应</w:t>
            </w:r>
            <w:r>
              <w:rPr>
                <w:rFonts w:hint="eastAsia" w:ascii="宋体" w:hAnsi="宋体" w:eastAsia="宋体" w:cs="宋体"/>
                <w:sz w:val="21"/>
                <w:szCs w:val="21"/>
                <w:highlight w:val="none"/>
              </w:rPr>
              <w:t xml:space="preserve"> </w:t>
            </w:r>
            <w:r>
              <w:rPr>
                <w:rFonts w:hint="eastAsia" w:ascii="宋体" w:hAnsi="宋体" w:eastAsia="宋体" w:cs="宋体"/>
                <w:spacing w:val="7"/>
                <w:sz w:val="21"/>
                <w:szCs w:val="21"/>
                <w:highlight w:val="none"/>
              </w:rPr>
              <w:t>部位施工前</w:t>
            </w:r>
            <w:r>
              <w:rPr>
                <w:rFonts w:hint="eastAsia" w:ascii="宋体" w:hAnsi="宋体" w:eastAsia="宋体" w:cs="宋体"/>
                <w:spacing w:val="-27"/>
                <w:sz w:val="21"/>
                <w:szCs w:val="21"/>
                <w:highlight w:val="none"/>
              </w:rPr>
              <w:t xml:space="preserve"> </w:t>
            </w:r>
            <w:r>
              <w:rPr>
                <w:rFonts w:hint="eastAsia" w:ascii="宋体" w:hAnsi="宋体" w:eastAsia="宋体" w:cs="宋体"/>
                <w:spacing w:val="7"/>
                <w:sz w:val="21"/>
                <w:szCs w:val="21"/>
                <w:highlight w:val="none"/>
                <w:u w:val="single"/>
              </w:rPr>
              <w:t>7</w:t>
            </w:r>
            <w:r>
              <w:rPr>
                <w:rFonts w:hint="eastAsia" w:ascii="宋体" w:hAnsi="宋体" w:eastAsia="宋体" w:cs="宋体"/>
                <w:spacing w:val="17"/>
                <w:sz w:val="21"/>
                <w:szCs w:val="21"/>
                <w:highlight w:val="none"/>
                <w:u w:val="single"/>
              </w:rPr>
              <w:t xml:space="preserve"> </w:t>
            </w:r>
            <w:r>
              <w:rPr>
                <w:rFonts w:hint="eastAsia" w:ascii="宋体" w:hAnsi="宋体" w:eastAsia="宋体" w:cs="宋体"/>
                <w:spacing w:val="7"/>
                <w:sz w:val="21"/>
                <w:szCs w:val="21"/>
                <w:highlight w:val="none"/>
              </w:rPr>
              <w:t>天签发图纸修改图给承包人</w:t>
            </w:r>
          </w:p>
        </w:tc>
      </w:tr>
      <w:tr w14:paraId="12B9081D">
        <w:trPr>
          <w:trHeight w:val="1293" w:hRule="atLeast"/>
        </w:trPr>
        <w:tc>
          <w:tcPr>
            <w:tcW w:w="0" w:type="auto"/>
          </w:tcPr>
          <w:p w14:paraId="1E94E693">
            <w:pPr>
              <w:spacing w:line="288" w:lineRule="auto"/>
              <w:jc w:val="center"/>
              <w:rPr>
                <w:rFonts w:hint="eastAsia" w:ascii="宋体" w:hAnsi="宋体" w:eastAsia="宋体" w:cs="宋体"/>
                <w:sz w:val="21"/>
                <w:szCs w:val="21"/>
                <w:highlight w:val="none"/>
              </w:rPr>
            </w:pPr>
          </w:p>
          <w:p w14:paraId="7FD6BA01">
            <w:pPr>
              <w:spacing w:line="289" w:lineRule="auto"/>
              <w:jc w:val="center"/>
              <w:rPr>
                <w:rFonts w:hint="eastAsia" w:ascii="宋体" w:hAnsi="宋体" w:eastAsia="宋体" w:cs="宋体"/>
                <w:sz w:val="21"/>
                <w:szCs w:val="21"/>
                <w:highlight w:val="none"/>
              </w:rPr>
            </w:pPr>
          </w:p>
          <w:p w14:paraId="1CDFB03F">
            <w:pPr>
              <w:spacing w:before="58" w:line="192"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124" w:type="dxa"/>
          </w:tcPr>
          <w:p w14:paraId="03E6C145">
            <w:pPr>
              <w:spacing w:line="287" w:lineRule="auto"/>
              <w:jc w:val="center"/>
              <w:rPr>
                <w:rFonts w:hint="eastAsia" w:ascii="宋体" w:hAnsi="宋体" w:eastAsia="宋体" w:cs="宋体"/>
                <w:sz w:val="21"/>
                <w:szCs w:val="21"/>
                <w:highlight w:val="none"/>
              </w:rPr>
            </w:pPr>
          </w:p>
          <w:p w14:paraId="6F096AFB">
            <w:pPr>
              <w:spacing w:line="288" w:lineRule="auto"/>
              <w:jc w:val="center"/>
              <w:rPr>
                <w:rFonts w:hint="eastAsia" w:ascii="宋体" w:hAnsi="宋体" w:eastAsia="宋体" w:cs="宋体"/>
                <w:sz w:val="21"/>
                <w:szCs w:val="21"/>
                <w:highlight w:val="none"/>
              </w:rPr>
            </w:pPr>
          </w:p>
          <w:p w14:paraId="4198CFC3">
            <w:pPr>
              <w:spacing w:before="57" w:line="195" w:lineRule="auto"/>
              <w:jc w:val="center"/>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3.</w:t>
            </w:r>
            <w:r>
              <w:rPr>
                <w:rFonts w:hint="eastAsia" w:ascii="宋体" w:hAnsi="宋体" w:eastAsia="宋体" w:cs="宋体"/>
                <w:spacing w:val="-24"/>
                <w:sz w:val="21"/>
                <w:szCs w:val="21"/>
                <w:highlight w:val="none"/>
              </w:rPr>
              <w:t xml:space="preserve"> </w:t>
            </w:r>
            <w:r>
              <w:rPr>
                <w:rFonts w:hint="eastAsia" w:ascii="宋体" w:hAnsi="宋体" w:eastAsia="宋体" w:cs="宋体"/>
                <w:spacing w:val="-4"/>
                <w:sz w:val="21"/>
                <w:szCs w:val="21"/>
                <w:highlight w:val="none"/>
              </w:rPr>
              <w:t>1.</w:t>
            </w:r>
            <w:r>
              <w:rPr>
                <w:rFonts w:hint="eastAsia" w:ascii="宋体" w:hAnsi="宋体" w:eastAsia="宋体" w:cs="宋体"/>
                <w:spacing w:val="-25"/>
                <w:sz w:val="21"/>
                <w:szCs w:val="21"/>
                <w:highlight w:val="none"/>
              </w:rPr>
              <w:t xml:space="preserve"> </w:t>
            </w:r>
            <w:r>
              <w:rPr>
                <w:rFonts w:hint="eastAsia" w:ascii="宋体" w:hAnsi="宋体" w:eastAsia="宋体" w:cs="宋体"/>
                <w:spacing w:val="-4"/>
                <w:sz w:val="21"/>
                <w:szCs w:val="21"/>
                <w:highlight w:val="none"/>
              </w:rPr>
              <w:t>1</w:t>
            </w:r>
          </w:p>
        </w:tc>
        <w:tc>
          <w:tcPr>
            <w:tcW w:w="7132" w:type="dxa"/>
          </w:tcPr>
          <w:p w14:paraId="3BA135A6">
            <w:pPr>
              <w:spacing w:before="179" w:line="228" w:lineRule="auto"/>
              <w:ind w:left="113"/>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监理人在行使下列权利前需要经发包人事先批准：</w:t>
            </w:r>
          </w:p>
          <w:p w14:paraId="46083ADC">
            <w:pPr>
              <w:spacing w:before="113" w:line="279" w:lineRule="auto"/>
              <w:ind w:left="115" w:right="107" w:firstLine="33"/>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(6)根据第</w:t>
            </w:r>
            <w:r>
              <w:rPr>
                <w:rFonts w:hint="eastAsia" w:ascii="宋体" w:hAnsi="宋体" w:eastAsia="宋体" w:cs="宋体"/>
                <w:spacing w:val="47"/>
                <w:sz w:val="21"/>
                <w:szCs w:val="21"/>
                <w:highlight w:val="none"/>
              </w:rPr>
              <w:t xml:space="preserve"> </w:t>
            </w:r>
            <w:r>
              <w:rPr>
                <w:rFonts w:hint="eastAsia" w:ascii="宋体" w:hAnsi="宋体" w:eastAsia="宋体" w:cs="宋体"/>
                <w:spacing w:val="8"/>
                <w:sz w:val="21"/>
                <w:szCs w:val="21"/>
                <w:highlight w:val="none"/>
              </w:rPr>
              <w:t>15.3 款发出的变更指示，其单项工程变更涉及的金额超过了该单</w:t>
            </w:r>
            <w:r>
              <w:rPr>
                <w:rFonts w:hint="eastAsia" w:ascii="宋体" w:hAnsi="宋体" w:eastAsia="宋体" w:cs="宋体"/>
                <w:spacing w:val="9"/>
                <w:sz w:val="21"/>
                <w:szCs w:val="21"/>
                <w:highlight w:val="none"/>
              </w:rPr>
              <w:t>项工程签约时合同价的</w:t>
            </w:r>
            <w:r>
              <w:rPr>
                <w:rFonts w:hint="eastAsia" w:ascii="宋体" w:hAnsi="宋体" w:eastAsia="宋体" w:cs="宋体"/>
                <w:spacing w:val="9"/>
                <w:sz w:val="21"/>
                <w:szCs w:val="21"/>
                <w:highlight w:val="none"/>
                <w:u w:val="single"/>
              </w:rPr>
              <w:t>\</w:t>
            </w:r>
            <w:r>
              <w:rPr>
                <w:rFonts w:hint="eastAsia" w:ascii="宋体" w:hAnsi="宋体" w:eastAsia="宋体" w:cs="宋体"/>
                <w:spacing w:val="9"/>
                <w:sz w:val="21"/>
                <w:szCs w:val="21"/>
                <w:highlight w:val="none"/>
              </w:rPr>
              <w:t>%或累计变更超过了签约</w:t>
            </w:r>
            <w:r>
              <w:rPr>
                <w:rFonts w:hint="eastAsia" w:ascii="宋体" w:hAnsi="宋体" w:eastAsia="宋体" w:cs="宋体"/>
                <w:spacing w:val="8"/>
                <w:sz w:val="21"/>
                <w:szCs w:val="21"/>
                <w:highlight w:val="none"/>
              </w:rPr>
              <w:t>合同价的</w:t>
            </w:r>
            <w:r>
              <w:rPr>
                <w:rFonts w:hint="eastAsia" w:ascii="宋体" w:hAnsi="宋体" w:eastAsia="宋体" w:cs="宋体"/>
                <w:spacing w:val="8"/>
                <w:sz w:val="21"/>
                <w:szCs w:val="21"/>
                <w:highlight w:val="none"/>
                <w:u w:val="single"/>
              </w:rPr>
              <w:t>/</w:t>
            </w:r>
            <w:r>
              <w:rPr>
                <w:rFonts w:hint="eastAsia" w:ascii="宋体" w:hAnsi="宋体" w:eastAsia="宋体" w:cs="宋体"/>
                <w:spacing w:val="8"/>
                <w:sz w:val="21"/>
                <w:szCs w:val="21"/>
                <w:highlight w:val="none"/>
              </w:rPr>
              <w:t>%</w:t>
            </w:r>
          </w:p>
        </w:tc>
      </w:tr>
      <w:tr w14:paraId="745205B3">
        <w:trPr>
          <w:trHeight w:val="685" w:hRule="atLeast"/>
        </w:trPr>
        <w:tc>
          <w:tcPr>
            <w:tcW w:w="0" w:type="auto"/>
          </w:tcPr>
          <w:p w14:paraId="1BBDBC70">
            <w:pPr>
              <w:spacing w:line="274" w:lineRule="auto"/>
              <w:jc w:val="center"/>
              <w:rPr>
                <w:rFonts w:hint="eastAsia" w:ascii="宋体" w:hAnsi="宋体" w:eastAsia="宋体" w:cs="宋体"/>
                <w:sz w:val="21"/>
                <w:szCs w:val="21"/>
                <w:highlight w:val="none"/>
              </w:rPr>
            </w:pPr>
          </w:p>
          <w:p w14:paraId="5E5453C0">
            <w:pPr>
              <w:spacing w:before="58" w:line="195"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124" w:type="dxa"/>
          </w:tcPr>
          <w:p w14:paraId="2CF9C1CE">
            <w:pPr>
              <w:spacing w:line="274" w:lineRule="auto"/>
              <w:jc w:val="center"/>
              <w:rPr>
                <w:rFonts w:hint="eastAsia" w:ascii="宋体" w:hAnsi="宋体" w:eastAsia="宋体" w:cs="宋体"/>
                <w:sz w:val="21"/>
                <w:szCs w:val="21"/>
                <w:highlight w:val="none"/>
              </w:rPr>
            </w:pPr>
          </w:p>
          <w:p w14:paraId="67FF49C7">
            <w:pPr>
              <w:spacing w:before="58" w:line="195" w:lineRule="auto"/>
              <w:jc w:val="center"/>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5.2.</w:t>
            </w:r>
            <w:r>
              <w:rPr>
                <w:rFonts w:hint="eastAsia" w:ascii="宋体" w:hAnsi="宋体" w:eastAsia="宋体" w:cs="宋体"/>
                <w:spacing w:val="-25"/>
                <w:sz w:val="21"/>
                <w:szCs w:val="21"/>
                <w:highlight w:val="none"/>
              </w:rPr>
              <w:t xml:space="preserve"> </w:t>
            </w:r>
            <w:r>
              <w:rPr>
                <w:rFonts w:hint="eastAsia" w:ascii="宋体" w:hAnsi="宋体" w:eastAsia="宋体" w:cs="宋体"/>
                <w:spacing w:val="1"/>
                <w:sz w:val="21"/>
                <w:szCs w:val="21"/>
                <w:highlight w:val="none"/>
              </w:rPr>
              <w:t>1</w:t>
            </w:r>
          </w:p>
        </w:tc>
        <w:tc>
          <w:tcPr>
            <w:tcW w:w="7132" w:type="dxa"/>
          </w:tcPr>
          <w:p w14:paraId="03FB9970">
            <w:pPr>
              <w:spacing w:before="101" w:line="227" w:lineRule="auto"/>
              <w:ind w:left="115"/>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发包人是否提供材料或工程设备：否</w:t>
            </w:r>
          </w:p>
          <w:p w14:paraId="16572711">
            <w:pPr>
              <w:spacing w:before="34" w:line="227" w:lineRule="auto"/>
              <w:ind w:left="115"/>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如发包人负责提供部分材料或工程设备，相关规定如下：</w:t>
            </w:r>
            <w:r>
              <w:rPr>
                <w:rFonts w:hint="eastAsia" w:ascii="宋体" w:hAnsi="宋体" w:eastAsia="宋体" w:cs="宋体"/>
                <w:spacing w:val="9"/>
                <w:sz w:val="21"/>
                <w:szCs w:val="21"/>
                <w:highlight w:val="none"/>
                <w:u w:val="single"/>
              </w:rPr>
              <w:t>/</w:t>
            </w:r>
          </w:p>
        </w:tc>
      </w:tr>
      <w:tr w14:paraId="321CA0BB">
        <w:trPr>
          <w:trHeight w:val="679" w:hRule="atLeast"/>
        </w:trPr>
        <w:tc>
          <w:tcPr>
            <w:tcW w:w="0" w:type="auto"/>
          </w:tcPr>
          <w:p w14:paraId="0380977E">
            <w:pPr>
              <w:spacing w:line="274" w:lineRule="auto"/>
              <w:jc w:val="center"/>
              <w:rPr>
                <w:rFonts w:hint="eastAsia" w:ascii="宋体" w:hAnsi="宋体" w:eastAsia="宋体" w:cs="宋体"/>
                <w:sz w:val="21"/>
                <w:szCs w:val="21"/>
                <w:highlight w:val="none"/>
              </w:rPr>
            </w:pPr>
          </w:p>
          <w:p w14:paraId="521BB638">
            <w:pPr>
              <w:spacing w:before="57" w:line="192"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1124" w:type="dxa"/>
          </w:tcPr>
          <w:p w14:paraId="06E5E0E6">
            <w:pPr>
              <w:spacing w:line="271" w:lineRule="auto"/>
              <w:jc w:val="center"/>
              <w:rPr>
                <w:rFonts w:hint="eastAsia" w:ascii="宋体" w:hAnsi="宋体" w:eastAsia="宋体" w:cs="宋体"/>
                <w:sz w:val="21"/>
                <w:szCs w:val="21"/>
                <w:highlight w:val="none"/>
              </w:rPr>
            </w:pPr>
          </w:p>
          <w:p w14:paraId="31141D89">
            <w:pPr>
              <w:spacing w:before="57" w:line="195" w:lineRule="auto"/>
              <w:jc w:val="center"/>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6.2</w:t>
            </w:r>
          </w:p>
        </w:tc>
        <w:tc>
          <w:tcPr>
            <w:tcW w:w="7132" w:type="dxa"/>
          </w:tcPr>
          <w:p w14:paraId="62B50EDA">
            <w:pPr>
              <w:spacing w:before="97" w:line="227" w:lineRule="auto"/>
              <w:ind w:left="115"/>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发包人是否提供施工设备和临时设施：否</w:t>
            </w:r>
          </w:p>
          <w:p w14:paraId="2834E70C">
            <w:pPr>
              <w:spacing w:before="34" w:line="227" w:lineRule="auto"/>
              <w:ind w:left="115"/>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如发包人负责提供部分施工设备和临时设施，相关规定如下：</w:t>
            </w:r>
            <w:r>
              <w:rPr>
                <w:rFonts w:hint="eastAsia" w:ascii="宋体" w:hAnsi="宋体" w:eastAsia="宋体" w:cs="宋体"/>
                <w:spacing w:val="9"/>
                <w:sz w:val="21"/>
                <w:szCs w:val="21"/>
                <w:highlight w:val="none"/>
                <w:u w:val="single"/>
              </w:rPr>
              <w:t>/</w:t>
            </w:r>
          </w:p>
        </w:tc>
      </w:tr>
      <w:tr w14:paraId="42062D9C">
        <w:trPr>
          <w:trHeight w:val="1111" w:hRule="atLeast"/>
        </w:trPr>
        <w:tc>
          <w:tcPr>
            <w:tcW w:w="0" w:type="auto"/>
          </w:tcPr>
          <w:p w14:paraId="3D8B0A3B">
            <w:pPr>
              <w:spacing w:line="243" w:lineRule="auto"/>
              <w:jc w:val="center"/>
              <w:rPr>
                <w:rFonts w:hint="eastAsia" w:ascii="宋体" w:hAnsi="宋体" w:eastAsia="宋体" w:cs="宋体"/>
                <w:sz w:val="21"/>
                <w:szCs w:val="21"/>
                <w:highlight w:val="none"/>
              </w:rPr>
            </w:pPr>
          </w:p>
          <w:p w14:paraId="45B62848">
            <w:pPr>
              <w:spacing w:line="243" w:lineRule="auto"/>
              <w:jc w:val="center"/>
              <w:rPr>
                <w:rFonts w:hint="eastAsia" w:ascii="宋体" w:hAnsi="宋体" w:eastAsia="宋体" w:cs="宋体"/>
                <w:sz w:val="21"/>
                <w:szCs w:val="21"/>
                <w:highlight w:val="none"/>
              </w:rPr>
            </w:pPr>
          </w:p>
          <w:p w14:paraId="0D33841C">
            <w:pPr>
              <w:spacing w:before="57" w:line="195"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1124" w:type="dxa"/>
          </w:tcPr>
          <w:p w14:paraId="7E60411F">
            <w:pPr>
              <w:spacing w:line="243" w:lineRule="auto"/>
              <w:jc w:val="center"/>
              <w:rPr>
                <w:rFonts w:hint="eastAsia" w:ascii="宋体" w:hAnsi="宋体" w:eastAsia="宋体" w:cs="宋体"/>
                <w:sz w:val="21"/>
                <w:szCs w:val="21"/>
                <w:highlight w:val="none"/>
              </w:rPr>
            </w:pPr>
          </w:p>
          <w:p w14:paraId="313A64A3">
            <w:pPr>
              <w:spacing w:line="243" w:lineRule="auto"/>
              <w:jc w:val="center"/>
              <w:rPr>
                <w:rFonts w:hint="eastAsia" w:ascii="宋体" w:hAnsi="宋体" w:eastAsia="宋体" w:cs="宋体"/>
                <w:sz w:val="21"/>
                <w:szCs w:val="21"/>
                <w:highlight w:val="none"/>
              </w:rPr>
            </w:pPr>
          </w:p>
          <w:p w14:paraId="629E7421">
            <w:pPr>
              <w:spacing w:before="57" w:line="195" w:lineRule="auto"/>
              <w:jc w:val="center"/>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8.</w:t>
            </w:r>
            <w:r>
              <w:rPr>
                <w:rFonts w:hint="eastAsia" w:ascii="宋体" w:hAnsi="宋体" w:eastAsia="宋体" w:cs="宋体"/>
                <w:spacing w:val="-23"/>
                <w:sz w:val="21"/>
                <w:szCs w:val="21"/>
                <w:highlight w:val="none"/>
              </w:rPr>
              <w:t xml:space="preserve"> </w:t>
            </w:r>
            <w:r>
              <w:rPr>
                <w:rFonts w:hint="eastAsia" w:ascii="宋体" w:hAnsi="宋体" w:eastAsia="宋体" w:cs="宋体"/>
                <w:spacing w:val="-5"/>
                <w:sz w:val="21"/>
                <w:szCs w:val="21"/>
                <w:highlight w:val="none"/>
              </w:rPr>
              <w:t>1.</w:t>
            </w:r>
            <w:r>
              <w:rPr>
                <w:rFonts w:hint="eastAsia" w:ascii="宋体" w:hAnsi="宋体" w:eastAsia="宋体" w:cs="宋体"/>
                <w:spacing w:val="-25"/>
                <w:sz w:val="21"/>
                <w:szCs w:val="21"/>
                <w:highlight w:val="none"/>
              </w:rPr>
              <w:t xml:space="preserve"> </w:t>
            </w:r>
            <w:r>
              <w:rPr>
                <w:rFonts w:hint="eastAsia" w:ascii="宋体" w:hAnsi="宋体" w:eastAsia="宋体" w:cs="宋体"/>
                <w:spacing w:val="-5"/>
                <w:sz w:val="21"/>
                <w:szCs w:val="21"/>
                <w:highlight w:val="none"/>
              </w:rPr>
              <w:t>1</w:t>
            </w:r>
          </w:p>
        </w:tc>
        <w:tc>
          <w:tcPr>
            <w:tcW w:w="7132" w:type="dxa"/>
          </w:tcPr>
          <w:p w14:paraId="6D80AB7A">
            <w:pPr>
              <w:spacing w:before="42"/>
              <w:ind w:left="115" w:right="138"/>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发包人提供测量基准点、基准线和水准点及其书面资料的期限：</w:t>
            </w:r>
            <w:r>
              <w:rPr>
                <w:rFonts w:hint="eastAsia" w:ascii="宋体" w:hAnsi="宋体" w:eastAsia="宋体" w:cs="宋体"/>
                <w:spacing w:val="7"/>
                <w:sz w:val="21"/>
                <w:szCs w:val="21"/>
                <w:highlight w:val="none"/>
                <w:u w:val="single"/>
              </w:rPr>
              <w:t>在签订合同后</w:t>
            </w:r>
            <w:r>
              <w:rPr>
                <w:rFonts w:hint="eastAsia" w:ascii="宋体" w:hAnsi="宋体" w:eastAsia="宋体" w:cs="宋体"/>
                <w:spacing w:val="8"/>
                <w:sz w:val="21"/>
                <w:szCs w:val="21"/>
                <w:highlight w:val="none"/>
              </w:rPr>
              <w:t xml:space="preserve"> </w:t>
            </w:r>
            <w:r>
              <w:rPr>
                <w:rFonts w:hint="eastAsia" w:ascii="宋体" w:hAnsi="宋体" w:eastAsia="宋体" w:cs="宋体"/>
                <w:spacing w:val="6"/>
                <w:sz w:val="21"/>
                <w:szCs w:val="21"/>
                <w:highlight w:val="none"/>
                <w:u w:val="single"/>
              </w:rPr>
              <w:t>一个月内</w:t>
            </w:r>
          </w:p>
          <w:p w14:paraId="313FAE24">
            <w:pPr>
              <w:spacing w:before="33" w:line="233" w:lineRule="auto"/>
              <w:ind w:left="112" w:right="138"/>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承包人将施工控制网资料报送监理人审批的期限：</w:t>
            </w:r>
            <w:r>
              <w:rPr>
                <w:rFonts w:hint="eastAsia" w:ascii="宋体" w:hAnsi="宋体" w:eastAsia="宋体" w:cs="宋体"/>
                <w:spacing w:val="7"/>
                <w:sz w:val="21"/>
                <w:szCs w:val="21"/>
                <w:highlight w:val="none"/>
                <w:u w:val="single"/>
              </w:rPr>
              <w:t>在收到发包人提供的上述资</w:t>
            </w:r>
            <w:r>
              <w:rPr>
                <w:rFonts w:hint="eastAsia" w:ascii="宋体" w:hAnsi="宋体" w:eastAsia="宋体" w:cs="宋体"/>
                <w:spacing w:val="8"/>
                <w:sz w:val="21"/>
                <w:szCs w:val="21"/>
                <w:highlight w:val="none"/>
                <w:u w:val="single"/>
              </w:rPr>
              <w:t>料一个月内</w:t>
            </w:r>
          </w:p>
        </w:tc>
      </w:tr>
      <w:tr w14:paraId="42A444F2">
        <w:trPr>
          <w:trHeight w:val="707" w:hRule="atLeast"/>
        </w:trPr>
        <w:tc>
          <w:tcPr>
            <w:tcW w:w="0" w:type="auto"/>
          </w:tcPr>
          <w:p w14:paraId="2CA05322">
            <w:pPr>
              <w:spacing w:line="285" w:lineRule="auto"/>
              <w:jc w:val="center"/>
              <w:rPr>
                <w:rFonts w:hint="eastAsia" w:ascii="宋体" w:hAnsi="宋体" w:eastAsia="宋体" w:cs="宋体"/>
                <w:sz w:val="21"/>
                <w:szCs w:val="21"/>
                <w:highlight w:val="none"/>
              </w:rPr>
            </w:pPr>
          </w:p>
          <w:p w14:paraId="34A06822">
            <w:pPr>
              <w:spacing w:before="58" w:line="195"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1124" w:type="dxa"/>
          </w:tcPr>
          <w:p w14:paraId="3BD9728F">
            <w:pPr>
              <w:spacing w:before="294"/>
              <w:jc w:val="center"/>
              <w:rPr>
                <w:rFonts w:hint="eastAsia" w:ascii="宋体" w:hAnsi="宋体" w:eastAsia="宋体" w:cs="宋体"/>
                <w:sz w:val="21"/>
                <w:szCs w:val="21"/>
                <w:highlight w:val="none"/>
                <w:lang w:eastAsia="en-US"/>
              </w:rPr>
            </w:pPr>
            <w:r>
              <w:rPr>
                <w:rFonts w:hint="eastAsia" w:ascii="宋体" w:hAnsi="宋体" w:eastAsia="宋体" w:cs="宋体"/>
                <w:spacing w:val="-1"/>
                <w:sz w:val="21"/>
                <w:szCs w:val="21"/>
                <w:highlight w:val="none"/>
                <w:lang w:eastAsia="en-US"/>
              </w:rPr>
              <w:t>11.5（3）</w:t>
            </w:r>
          </w:p>
        </w:tc>
        <w:tc>
          <w:tcPr>
            <w:tcW w:w="7132" w:type="dxa"/>
          </w:tcPr>
          <w:p w14:paraId="36FE21B1">
            <w:pPr>
              <w:spacing w:before="249" w:line="226" w:lineRule="auto"/>
              <w:ind w:left="110"/>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逾期交工违约金：每逾期一天，按合同价款的</w:t>
            </w:r>
            <w:r>
              <w:rPr>
                <w:rFonts w:hint="eastAsia" w:ascii="宋体" w:hAnsi="宋体" w:eastAsia="宋体" w:cs="宋体"/>
                <w:spacing w:val="-18"/>
                <w:sz w:val="21"/>
                <w:szCs w:val="21"/>
                <w:highlight w:val="none"/>
              </w:rPr>
              <w:t xml:space="preserve"> </w:t>
            </w:r>
            <w:r>
              <w:rPr>
                <w:rFonts w:hint="eastAsia" w:ascii="宋体" w:hAnsi="宋体" w:eastAsia="宋体" w:cs="宋体"/>
                <w:spacing w:val="8"/>
                <w:sz w:val="21"/>
                <w:szCs w:val="21"/>
                <w:highlight w:val="none"/>
              </w:rPr>
              <w:t>0.5%计算违约金</w:t>
            </w:r>
          </w:p>
        </w:tc>
      </w:tr>
      <w:tr w14:paraId="135E8C54">
        <w:trPr>
          <w:trHeight w:val="561" w:hRule="atLeast"/>
        </w:trPr>
        <w:tc>
          <w:tcPr>
            <w:tcW w:w="0" w:type="auto"/>
          </w:tcPr>
          <w:p w14:paraId="1891F828">
            <w:pPr>
              <w:spacing w:before="271" w:line="195" w:lineRule="auto"/>
              <w:jc w:val="center"/>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10</w:t>
            </w:r>
          </w:p>
        </w:tc>
        <w:tc>
          <w:tcPr>
            <w:tcW w:w="1124" w:type="dxa"/>
          </w:tcPr>
          <w:p w14:paraId="71AECBCA">
            <w:pPr>
              <w:spacing w:before="220"/>
              <w:jc w:val="center"/>
              <w:rPr>
                <w:rFonts w:hint="eastAsia" w:ascii="宋体" w:hAnsi="宋体" w:eastAsia="宋体" w:cs="宋体"/>
                <w:sz w:val="21"/>
                <w:szCs w:val="21"/>
                <w:highlight w:val="none"/>
                <w:lang w:eastAsia="en-US"/>
              </w:rPr>
            </w:pPr>
            <w:r>
              <w:rPr>
                <w:rFonts w:hint="eastAsia" w:ascii="宋体" w:hAnsi="宋体" w:eastAsia="宋体" w:cs="宋体"/>
                <w:spacing w:val="-1"/>
                <w:sz w:val="21"/>
                <w:szCs w:val="21"/>
                <w:highlight w:val="none"/>
                <w:lang w:eastAsia="en-US"/>
              </w:rPr>
              <w:t>11.5（3）</w:t>
            </w:r>
          </w:p>
        </w:tc>
        <w:tc>
          <w:tcPr>
            <w:tcW w:w="7132" w:type="dxa"/>
          </w:tcPr>
          <w:p w14:paraId="6A60A477">
            <w:pPr>
              <w:spacing w:before="175" w:line="226" w:lineRule="auto"/>
              <w:ind w:left="110"/>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逾期交工违约金限额：</w:t>
            </w:r>
            <w:r>
              <w:rPr>
                <w:rFonts w:hint="eastAsia" w:ascii="宋体" w:hAnsi="宋体" w:eastAsia="宋体" w:cs="宋体"/>
                <w:spacing w:val="8"/>
                <w:sz w:val="21"/>
                <w:szCs w:val="21"/>
                <w:highlight w:val="none"/>
                <w:u w:val="single" w:color="000000"/>
              </w:rPr>
              <w:t>10%</w:t>
            </w:r>
            <w:r>
              <w:rPr>
                <w:rFonts w:hint="eastAsia" w:ascii="宋体" w:hAnsi="宋体" w:eastAsia="宋体" w:cs="宋体"/>
                <w:spacing w:val="8"/>
                <w:sz w:val="21"/>
                <w:szCs w:val="21"/>
                <w:highlight w:val="none"/>
              </w:rPr>
              <w:t>签约合同价</w:t>
            </w:r>
          </w:p>
        </w:tc>
      </w:tr>
      <w:tr w14:paraId="50C81921">
        <w:trPr>
          <w:trHeight w:val="555" w:hRule="atLeast"/>
        </w:trPr>
        <w:tc>
          <w:tcPr>
            <w:tcW w:w="0" w:type="auto"/>
          </w:tcPr>
          <w:p w14:paraId="6619BD3D">
            <w:pPr>
              <w:spacing w:before="269" w:line="195" w:lineRule="auto"/>
              <w:jc w:val="center"/>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t>11</w:t>
            </w:r>
          </w:p>
        </w:tc>
        <w:tc>
          <w:tcPr>
            <w:tcW w:w="1124" w:type="dxa"/>
          </w:tcPr>
          <w:p w14:paraId="57B32A10">
            <w:pPr>
              <w:spacing w:before="269" w:line="195" w:lineRule="auto"/>
              <w:jc w:val="center"/>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11.6</w:t>
            </w:r>
          </w:p>
        </w:tc>
        <w:tc>
          <w:tcPr>
            <w:tcW w:w="7132" w:type="dxa"/>
          </w:tcPr>
          <w:p w14:paraId="64701691">
            <w:pPr>
              <w:spacing w:before="173" w:line="228" w:lineRule="auto"/>
              <w:ind w:left="113"/>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提前交工的奖金：</w:t>
            </w:r>
            <w:r>
              <w:rPr>
                <w:rFonts w:hint="eastAsia" w:ascii="宋体" w:hAnsi="宋体" w:eastAsia="宋体" w:cs="宋体"/>
                <w:spacing w:val="8"/>
                <w:sz w:val="21"/>
                <w:szCs w:val="21"/>
                <w:highlight w:val="none"/>
                <w:u w:val="single"/>
              </w:rPr>
              <w:t>/</w:t>
            </w:r>
            <w:r>
              <w:rPr>
                <w:rFonts w:hint="eastAsia" w:ascii="宋体" w:hAnsi="宋体" w:eastAsia="宋体" w:cs="宋体"/>
                <w:spacing w:val="8"/>
                <w:sz w:val="21"/>
                <w:szCs w:val="21"/>
                <w:highlight w:val="none"/>
              </w:rPr>
              <w:t>元/天</w:t>
            </w:r>
          </w:p>
        </w:tc>
      </w:tr>
      <w:tr w14:paraId="763736C6">
        <w:trPr>
          <w:trHeight w:val="577" w:hRule="atLeast"/>
        </w:trPr>
        <w:tc>
          <w:tcPr>
            <w:tcW w:w="0" w:type="auto"/>
          </w:tcPr>
          <w:p w14:paraId="1360506F">
            <w:pPr>
              <w:spacing w:before="280" w:line="195" w:lineRule="auto"/>
              <w:jc w:val="center"/>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12</w:t>
            </w:r>
          </w:p>
        </w:tc>
        <w:tc>
          <w:tcPr>
            <w:tcW w:w="1124" w:type="dxa"/>
          </w:tcPr>
          <w:p w14:paraId="4753F56F">
            <w:pPr>
              <w:spacing w:before="280" w:line="195" w:lineRule="auto"/>
              <w:jc w:val="center"/>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11.6</w:t>
            </w:r>
          </w:p>
        </w:tc>
        <w:tc>
          <w:tcPr>
            <w:tcW w:w="7132" w:type="dxa"/>
          </w:tcPr>
          <w:p w14:paraId="1A34A698">
            <w:pPr>
              <w:spacing w:before="184" w:line="226" w:lineRule="auto"/>
              <w:ind w:left="113"/>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提前交工的奖金限额：</w:t>
            </w:r>
            <w:r>
              <w:rPr>
                <w:rFonts w:hint="eastAsia" w:ascii="宋体" w:hAnsi="宋体" w:eastAsia="宋体" w:cs="宋体"/>
                <w:spacing w:val="8"/>
                <w:sz w:val="21"/>
                <w:szCs w:val="21"/>
                <w:highlight w:val="none"/>
                <w:u w:val="single"/>
              </w:rPr>
              <w:t>/</w:t>
            </w:r>
            <w:r>
              <w:rPr>
                <w:rFonts w:hint="eastAsia" w:ascii="宋体" w:hAnsi="宋体" w:eastAsia="宋体" w:cs="宋体"/>
                <w:spacing w:val="8"/>
                <w:sz w:val="21"/>
                <w:szCs w:val="21"/>
                <w:highlight w:val="none"/>
              </w:rPr>
              <w:t xml:space="preserve"> %签约合同价</w:t>
            </w:r>
          </w:p>
        </w:tc>
      </w:tr>
      <w:tr w14:paraId="6C04E4DE">
        <w:trPr>
          <w:trHeight w:val="577" w:hRule="atLeast"/>
        </w:trPr>
        <w:tc>
          <w:tcPr>
            <w:tcW w:w="0" w:type="auto"/>
          </w:tcPr>
          <w:p w14:paraId="7B93C5A4">
            <w:pPr>
              <w:spacing w:before="291" w:line="195" w:lineRule="auto"/>
              <w:jc w:val="center"/>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13</w:t>
            </w:r>
          </w:p>
        </w:tc>
        <w:tc>
          <w:tcPr>
            <w:tcW w:w="1124" w:type="dxa"/>
          </w:tcPr>
          <w:p w14:paraId="61F0FC1F">
            <w:pPr>
              <w:spacing w:before="291" w:line="195"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15.5.2</w:t>
            </w:r>
          </w:p>
        </w:tc>
        <w:tc>
          <w:tcPr>
            <w:tcW w:w="7132" w:type="dxa"/>
          </w:tcPr>
          <w:p w14:paraId="2DD600BA">
            <w:pPr>
              <w:spacing w:before="64" w:line="232" w:lineRule="auto"/>
              <w:ind w:left="113" w:right="138" w:hanging="1"/>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承包人提出的合理化建议降低了合同价格或者提高了工程经济效益的，发包人</w:t>
            </w:r>
            <w:r>
              <w:rPr>
                <w:rFonts w:hint="eastAsia" w:ascii="宋体" w:hAnsi="宋体" w:eastAsia="宋体" w:cs="宋体"/>
                <w:spacing w:val="11"/>
                <w:sz w:val="21"/>
                <w:szCs w:val="21"/>
                <w:highlight w:val="none"/>
              </w:rPr>
              <w:t xml:space="preserve"> </w:t>
            </w:r>
            <w:r>
              <w:rPr>
                <w:rFonts w:hint="eastAsia" w:ascii="宋体" w:hAnsi="宋体" w:eastAsia="宋体" w:cs="宋体"/>
                <w:spacing w:val="8"/>
                <w:sz w:val="21"/>
                <w:szCs w:val="21"/>
                <w:highlight w:val="none"/>
              </w:rPr>
              <w:t>按所节约成本的/%或增加收益的/%给予奖励</w:t>
            </w:r>
          </w:p>
        </w:tc>
      </w:tr>
      <w:tr w14:paraId="1BCCA6FC">
        <w:trPr>
          <w:trHeight w:val="572" w:hRule="atLeast"/>
        </w:trPr>
        <w:tc>
          <w:tcPr>
            <w:tcW w:w="0" w:type="auto"/>
          </w:tcPr>
          <w:p w14:paraId="13D4DE1A">
            <w:pPr>
              <w:spacing w:before="290" w:line="195" w:lineRule="auto"/>
              <w:jc w:val="center"/>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14</w:t>
            </w:r>
          </w:p>
        </w:tc>
        <w:tc>
          <w:tcPr>
            <w:tcW w:w="1124" w:type="dxa"/>
          </w:tcPr>
          <w:p w14:paraId="279839D4">
            <w:pPr>
              <w:spacing w:before="290" w:line="195" w:lineRule="auto"/>
              <w:jc w:val="center"/>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16.</w:t>
            </w:r>
            <w:r>
              <w:rPr>
                <w:rFonts w:hint="eastAsia" w:ascii="宋体" w:hAnsi="宋体" w:eastAsia="宋体" w:cs="宋体"/>
                <w:spacing w:val="-25"/>
                <w:sz w:val="21"/>
                <w:szCs w:val="21"/>
                <w:highlight w:val="none"/>
              </w:rPr>
              <w:t xml:space="preserve"> </w:t>
            </w:r>
            <w:r>
              <w:rPr>
                <w:rFonts w:hint="eastAsia" w:ascii="宋体" w:hAnsi="宋体" w:eastAsia="宋体" w:cs="宋体"/>
                <w:spacing w:val="-3"/>
                <w:sz w:val="21"/>
                <w:szCs w:val="21"/>
                <w:highlight w:val="none"/>
              </w:rPr>
              <w:t>1</w:t>
            </w:r>
          </w:p>
        </w:tc>
        <w:tc>
          <w:tcPr>
            <w:tcW w:w="7132" w:type="dxa"/>
          </w:tcPr>
          <w:p w14:paraId="6F8737E8">
            <w:pPr>
              <w:spacing w:before="237" w:line="226" w:lineRule="auto"/>
              <w:ind w:left="113"/>
              <w:rPr>
                <w:rFonts w:hint="eastAsia" w:ascii="宋体" w:hAnsi="宋体" w:eastAsia="宋体" w:cs="宋体"/>
                <w:sz w:val="21"/>
                <w:szCs w:val="21"/>
                <w:highlight w:val="none"/>
              </w:rPr>
            </w:pPr>
            <w:r>
              <w:rPr>
                <w:rFonts w:hint="eastAsia" w:ascii="宋体" w:hAnsi="宋体" w:eastAsia="宋体" w:cs="宋体"/>
                <w:sz w:val="21"/>
                <w:szCs w:val="21"/>
                <w:highlight w:val="none"/>
                <w:lang w:eastAsia="en-US"/>
              </w:rPr>
              <w:t>合同期内不调价</w:t>
            </w:r>
          </w:p>
        </w:tc>
      </w:tr>
      <w:tr w14:paraId="5CDED9D5">
        <w:trPr>
          <w:trHeight w:val="557" w:hRule="atLeast"/>
        </w:trPr>
        <w:tc>
          <w:tcPr>
            <w:tcW w:w="0" w:type="auto"/>
          </w:tcPr>
          <w:p w14:paraId="04B73C04">
            <w:pPr>
              <w:spacing w:before="272" w:line="195" w:lineRule="auto"/>
              <w:jc w:val="center"/>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15</w:t>
            </w:r>
          </w:p>
        </w:tc>
        <w:tc>
          <w:tcPr>
            <w:tcW w:w="1124" w:type="dxa"/>
          </w:tcPr>
          <w:p w14:paraId="16E1F37B">
            <w:pPr>
              <w:spacing w:before="219"/>
              <w:ind w:right="10"/>
              <w:jc w:val="center"/>
              <w:rPr>
                <w:rFonts w:hint="eastAsia" w:ascii="宋体" w:hAnsi="宋体" w:eastAsia="宋体" w:cs="宋体"/>
                <w:sz w:val="21"/>
                <w:szCs w:val="21"/>
                <w:highlight w:val="none"/>
                <w:lang w:eastAsia="en-US"/>
              </w:rPr>
            </w:pPr>
            <w:r>
              <w:rPr>
                <w:rFonts w:hint="eastAsia" w:ascii="宋体" w:hAnsi="宋体" w:eastAsia="宋体" w:cs="宋体"/>
                <w:spacing w:val="-7"/>
                <w:sz w:val="21"/>
                <w:szCs w:val="21"/>
                <w:highlight w:val="none"/>
                <w:lang w:eastAsia="en-US"/>
              </w:rPr>
              <w:t>17.2.</w:t>
            </w:r>
            <w:r>
              <w:rPr>
                <w:rFonts w:hint="eastAsia" w:ascii="宋体" w:hAnsi="宋体" w:eastAsia="宋体" w:cs="宋体"/>
                <w:spacing w:val="-22"/>
                <w:sz w:val="21"/>
                <w:szCs w:val="21"/>
                <w:highlight w:val="none"/>
                <w:lang w:eastAsia="en-US"/>
              </w:rPr>
              <w:t xml:space="preserve"> </w:t>
            </w:r>
            <w:r>
              <w:rPr>
                <w:rFonts w:hint="eastAsia" w:ascii="宋体" w:hAnsi="宋体" w:eastAsia="宋体" w:cs="宋体"/>
                <w:spacing w:val="-7"/>
                <w:sz w:val="21"/>
                <w:szCs w:val="21"/>
                <w:highlight w:val="none"/>
                <w:lang w:eastAsia="en-US"/>
              </w:rPr>
              <w:t>1（1）</w:t>
            </w:r>
          </w:p>
        </w:tc>
        <w:tc>
          <w:tcPr>
            <w:tcW w:w="7132" w:type="dxa"/>
          </w:tcPr>
          <w:p w14:paraId="4CE83654">
            <w:pPr>
              <w:spacing w:before="219" w:line="226" w:lineRule="auto"/>
              <w:ind w:left="113"/>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开工预付款金额：</w:t>
            </w:r>
            <w:r>
              <w:rPr>
                <w:rFonts w:hint="eastAsia" w:ascii="宋体" w:hAnsi="宋体" w:eastAsia="宋体" w:cs="宋体"/>
                <w:spacing w:val="8"/>
                <w:sz w:val="21"/>
                <w:szCs w:val="21"/>
                <w:highlight w:val="none"/>
                <w:u w:val="single"/>
              </w:rPr>
              <w:t>/</w:t>
            </w:r>
            <w:r>
              <w:rPr>
                <w:rFonts w:hint="eastAsia" w:ascii="宋体" w:hAnsi="宋体" w:eastAsia="宋体" w:cs="宋体"/>
                <w:spacing w:val="8"/>
                <w:sz w:val="21"/>
                <w:szCs w:val="21"/>
                <w:highlight w:val="none"/>
              </w:rPr>
              <w:t>%签约合同价</w:t>
            </w:r>
          </w:p>
        </w:tc>
      </w:tr>
      <w:tr w14:paraId="36C8C9E2">
        <w:trPr>
          <w:trHeight w:val="367" w:hRule="atLeast"/>
        </w:trPr>
        <w:tc>
          <w:tcPr>
            <w:tcW w:w="0" w:type="auto"/>
          </w:tcPr>
          <w:p w14:paraId="138CACDD">
            <w:pPr>
              <w:spacing w:before="175" w:line="189" w:lineRule="auto"/>
              <w:jc w:val="center"/>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16</w:t>
            </w:r>
          </w:p>
        </w:tc>
        <w:tc>
          <w:tcPr>
            <w:tcW w:w="1124" w:type="dxa"/>
          </w:tcPr>
          <w:p w14:paraId="6DD9E2F5">
            <w:pPr>
              <w:spacing w:before="122" w:line="216" w:lineRule="auto"/>
              <w:ind w:right="10"/>
              <w:jc w:val="center"/>
              <w:rPr>
                <w:rFonts w:hint="eastAsia" w:ascii="宋体" w:hAnsi="宋体" w:eastAsia="宋体" w:cs="宋体"/>
                <w:sz w:val="21"/>
                <w:szCs w:val="21"/>
                <w:highlight w:val="none"/>
                <w:lang w:eastAsia="en-US"/>
              </w:rPr>
            </w:pPr>
            <w:r>
              <w:rPr>
                <w:rFonts w:hint="eastAsia" w:ascii="宋体" w:hAnsi="宋体" w:eastAsia="宋体" w:cs="宋体"/>
                <w:spacing w:val="-7"/>
                <w:sz w:val="21"/>
                <w:szCs w:val="21"/>
                <w:highlight w:val="none"/>
                <w:lang w:eastAsia="en-US"/>
              </w:rPr>
              <w:t>17.2.</w:t>
            </w:r>
            <w:r>
              <w:rPr>
                <w:rFonts w:hint="eastAsia" w:ascii="宋体" w:hAnsi="宋体" w:eastAsia="宋体" w:cs="宋体"/>
                <w:spacing w:val="-22"/>
                <w:sz w:val="21"/>
                <w:szCs w:val="21"/>
                <w:highlight w:val="none"/>
                <w:lang w:eastAsia="en-US"/>
              </w:rPr>
              <w:t xml:space="preserve"> </w:t>
            </w:r>
            <w:r>
              <w:rPr>
                <w:rFonts w:hint="eastAsia" w:ascii="宋体" w:hAnsi="宋体" w:eastAsia="宋体" w:cs="宋体"/>
                <w:spacing w:val="-7"/>
                <w:sz w:val="21"/>
                <w:szCs w:val="21"/>
                <w:highlight w:val="none"/>
                <w:lang w:eastAsia="en-US"/>
              </w:rPr>
              <w:t>1（2）</w:t>
            </w:r>
          </w:p>
        </w:tc>
        <w:tc>
          <w:tcPr>
            <w:tcW w:w="7132" w:type="dxa"/>
          </w:tcPr>
          <w:p w14:paraId="11658BD6">
            <w:pPr>
              <w:spacing w:before="122" w:line="216" w:lineRule="auto"/>
              <w:ind w:left="112"/>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材料、设备预付款比例：/</w:t>
            </w:r>
          </w:p>
        </w:tc>
      </w:tr>
    </w:tbl>
    <w:p w14:paraId="234F4D55">
      <w:pPr>
        <w:spacing w:line="109" w:lineRule="exact"/>
        <w:rPr>
          <w:highlight w:val="none"/>
        </w:rPr>
      </w:pPr>
    </w:p>
    <w:p w14:paraId="035372B6">
      <w:pPr>
        <w:spacing w:after="120"/>
        <w:rPr>
          <w:highlight w:val="none"/>
        </w:rPr>
      </w:pPr>
    </w:p>
    <w:p w14:paraId="33645309">
      <w:pPr>
        <w:spacing w:after="120"/>
        <w:rPr>
          <w:highlight w:val="none"/>
        </w:rPr>
      </w:pPr>
    </w:p>
    <w:tbl>
      <w:tblPr>
        <w:tblStyle w:val="32"/>
        <w:tblW w:w="8736" w:type="dxa"/>
        <w:tblInd w:w="22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9"/>
        <w:gridCol w:w="1132"/>
        <w:gridCol w:w="7125"/>
      </w:tblGrid>
      <w:tr w14:paraId="0DBDB51F">
        <w:trPr>
          <w:trHeight w:val="418" w:hRule="atLeast"/>
        </w:trPr>
        <w:tc>
          <w:tcPr>
            <w:tcW w:w="479" w:type="dxa"/>
          </w:tcPr>
          <w:p w14:paraId="67FC34A6">
            <w:pPr>
              <w:spacing w:before="170" w:line="193" w:lineRule="auto"/>
              <w:jc w:val="center"/>
              <w:rPr>
                <w:rFonts w:hint="eastAsia" w:ascii="宋体" w:hAnsi="宋体" w:cs="宋体"/>
                <w:szCs w:val="21"/>
                <w:highlight w:val="none"/>
              </w:rPr>
            </w:pPr>
            <w:r>
              <w:rPr>
                <w:rFonts w:hint="eastAsia" w:ascii="宋体" w:hAnsi="宋体" w:cs="宋体"/>
                <w:spacing w:val="-8"/>
                <w:szCs w:val="21"/>
                <w:highlight w:val="none"/>
              </w:rPr>
              <w:t>17</w:t>
            </w:r>
          </w:p>
        </w:tc>
        <w:tc>
          <w:tcPr>
            <w:tcW w:w="1132" w:type="dxa"/>
          </w:tcPr>
          <w:p w14:paraId="517CA63C">
            <w:pPr>
              <w:spacing w:before="170" w:line="193" w:lineRule="auto"/>
              <w:jc w:val="center"/>
              <w:rPr>
                <w:rFonts w:hint="eastAsia" w:ascii="宋体" w:hAnsi="宋体" w:cs="宋体"/>
                <w:szCs w:val="21"/>
                <w:highlight w:val="none"/>
              </w:rPr>
            </w:pPr>
            <w:r>
              <w:rPr>
                <w:rFonts w:hint="eastAsia" w:ascii="宋体" w:hAnsi="宋体" w:cs="宋体"/>
                <w:szCs w:val="21"/>
                <w:highlight w:val="none"/>
              </w:rPr>
              <w:t>17.3.2</w:t>
            </w:r>
          </w:p>
        </w:tc>
        <w:tc>
          <w:tcPr>
            <w:tcW w:w="7125" w:type="dxa"/>
          </w:tcPr>
          <w:p w14:paraId="36023526">
            <w:pPr>
              <w:spacing w:before="119" w:line="217" w:lineRule="auto"/>
              <w:ind w:left="112"/>
              <w:rPr>
                <w:rFonts w:hint="eastAsia" w:ascii="宋体" w:hAnsi="宋体" w:cs="宋体"/>
                <w:szCs w:val="21"/>
                <w:highlight w:val="none"/>
              </w:rPr>
            </w:pPr>
            <w:r>
              <w:rPr>
                <w:rFonts w:hint="eastAsia" w:ascii="宋体" w:hAnsi="宋体" w:cs="宋体"/>
                <w:spacing w:val="5"/>
                <w:szCs w:val="21"/>
                <w:highlight w:val="none"/>
              </w:rPr>
              <w:t>承包人在每个付款周期末向监理人提交进度付款申请单的份数：</w:t>
            </w:r>
            <w:r>
              <w:rPr>
                <w:rFonts w:hint="eastAsia" w:ascii="宋体" w:hAnsi="宋体" w:cs="宋体"/>
                <w:spacing w:val="5"/>
                <w:szCs w:val="21"/>
                <w:highlight w:val="none"/>
                <w:u w:val="single"/>
              </w:rPr>
              <w:t xml:space="preserve">4 </w:t>
            </w:r>
            <w:r>
              <w:rPr>
                <w:rFonts w:hint="eastAsia" w:ascii="宋体" w:hAnsi="宋体" w:cs="宋体"/>
                <w:spacing w:val="5"/>
                <w:szCs w:val="21"/>
                <w:highlight w:val="none"/>
              </w:rPr>
              <w:t>份</w:t>
            </w:r>
          </w:p>
        </w:tc>
      </w:tr>
      <w:tr w14:paraId="73769A8A">
        <w:trPr>
          <w:trHeight w:val="508" w:hRule="atLeast"/>
        </w:trPr>
        <w:tc>
          <w:tcPr>
            <w:tcW w:w="479" w:type="dxa"/>
          </w:tcPr>
          <w:p w14:paraId="41DA1039">
            <w:pPr>
              <w:spacing w:before="224" w:line="195" w:lineRule="auto"/>
              <w:jc w:val="center"/>
              <w:rPr>
                <w:rFonts w:hint="eastAsia" w:ascii="宋体" w:hAnsi="宋体" w:cs="宋体"/>
                <w:szCs w:val="21"/>
                <w:highlight w:val="none"/>
              </w:rPr>
            </w:pPr>
            <w:r>
              <w:rPr>
                <w:rFonts w:hint="eastAsia" w:ascii="宋体" w:hAnsi="宋体" w:cs="宋体"/>
                <w:spacing w:val="-8"/>
                <w:szCs w:val="21"/>
                <w:highlight w:val="none"/>
              </w:rPr>
              <w:t>18</w:t>
            </w:r>
          </w:p>
        </w:tc>
        <w:tc>
          <w:tcPr>
            <w:tcW w:w="1132" w:type="dxa"/>
          </w:tcPr>
          <w:p w14:paraId="65AD29C1">
            <w:pPr>
              <w:spacing w:before="174"/>
              <w:ind w:right="10"/>
              <w:jc w:val="center"/>
              <w:rPr>
                <w:rFonts w:hint="eastAsia" w:ascii="宋体" w:hAnsi="宋体" w:cs="宋体"/>
                <w:szCs w:val="21"/>
                <w:highlight w:val="none"/>
                <w:lang w:eastAsia="en-US"/>
              </w:rPr>
            </w:pPr>
            <w:r>
              <w:rPr>
                <w:rFonts w:hint="eastAsia" w:ascii="宋体" w:hAnsi="宋体" w:cs="宋体"/>
                <w:spacing w:val="-4"/>
                <w:szCs w:val="21"/>
                <w:highlight w:val="none"/>
                <w:lang w:eastAsia="en-US"/>
              </w:rPr>
              <w:t>17.3.3（1）</w:t>
            </w:r>
          </w:p>
        </w:tc>
        <w:tc>
          <w:tcPr>
            <w:tcW w:w="7125" w:type="dxa"/>
          </w:tcPr>
          <w:p w14:paraId="3F27C328">
            <w:pPr>
              <w:spacing w:before="174" w:line="227" w:lineRule="auto"/>
              <w:ind w:left="110"/>
              <w:rPr>
                <w:rFonts w:hint="eastAsia" w:ascii="宋体" w:hAnsi="宋体" w:cs="宋体"/>
                <w:szCs w:val="21"/>
                <w:highlight w:val="none"/>
              </w:rPr>
            </w:pPr>
            <w:r>
              <w:rPr>
                <w:rFonts w:hint="eastAsia" w:ascii="宋体" w:hAnsi="宋体" w:cs="宋体"/>
                <w:spacing w:val="8"/>
                <w:szCs w:val="21"/>
                <w:highlight w:val="none"/>
              </w:rPr>
              <w:t>进度付款证书最低限额：</w:t>
            </w:r>
            <w:r>
              <w:rPr>
                <w:rFonts w:hint="eastAsia" w:ascii="宋体" w:hAnsi="宋体" w:cs="宋体"/>
                <w:spacing w:val="8"/>
                <w:szCs w:val="21"/>
                <w:highlight w:val="none"/>
                <w:u w:val="single"/>
              </w:rPr>
              <w:t>/</w:t>
            </w:r>
            <w:r>
              <w:rPr>
                <w:rFonts w:hint="eastAsia" w:ascii="宋体" w:hAnsi="宋体" w:cs="宋体"/>
                <w:spacing w:val="8"/>
                <w:szCs w:val="21"/>
                <w:highlight w:val="none"/>
              </w:rPr>
              <w:t>万元</w:t>
            </w:r>
          </w:p>
        </w:tc>
      </w:tr>
      <w:tr w14:paraId="08B9AD96">
        <w:trPr>
          <w:trHeight w:val="905" w:hRule="atLeast"/>
        </w:trPr>
        <w:tc>
          <w:tcPr>
            <w:tcW w:w="479" w:type="dxa"/>
          </w:tcPr>
          <w:p w14:paraId="28138523">
            <w:pPr>
              <w:spacing w:line="353" w:lineRule="auto"/>
              <w:jc w:val="center"/>
              <w:rPr>
                <w:rFonts w:hint="eastAsia" w:ascii="宋体" w:hAnsi="宋体" w:cs="宋体"/>
                <w:szCs w:val="21"/>
                <w:highlight w:val="none"/>
              </w:rPr>
            </w:pPr>
          </w:p>
          <w:p w14:paraId="0FE763DD">
            <w:pPr>
              <w:spacing w:before="58" w:line="195" w:lineRule="auto"/>
              <w:jc w:val="center"/>
              <w:rPr>
                <w:rFonts w:hint="eastAsia" w:ascii="宋体" w:hAnsi="宋体" w:cs="宋体"/>
                <w:szCs w:val="21"/>
                <w:highlight w:val="none"/>
              </w:rPr>
            </w:pPr>
            <w:r>
              <w:rPr>
                <w:rFonts w:hint="eastAsia" w:ascii="宋体" w:hAnsi="宋体" w:cs="宋体"/>
                <w:spacing w:val="-8"/>
                <w:szCs w:val="21"/>
                <w:highlight w:val="none"/>
              </w:rPr>
              <w:t>19</w:t>
            </w:r>
          </w:p>
        </w:tc>
        <w:tc>
          <w:tcPr>
            <w:tcW w:w="1132" w:type="dxa"/>
          </w:tcPr>
          <w:p w14:paraId="3AEEC816">
            <w:pPr>
              <w:spacing w:line="295" w:lineRule="auto"/>
              <w:jc w:val="center"/>
              <w:rPr>
                <w:rFonts w:hint="eastAsia" w:ascii="宋体" w:hAnsi="宋体" w:cs="宋体"/>
                <w:szCs w:val="21"/>
                <w:highlight w:val="none"/>
              </w:rPr>
            </w:pPr>
          </w:p>
          <w:p w14:paraId="757ED3AC">
            <w:pPr>
              <w:spacing w:before="65"/>
              <w:ind w:right="10"/>
              <w:jc w:val="center"/>
              <w:rPr>
                <w:rFonts w:hint="eastAsia" w:ascii="宋体" w:hAnsi="宋体" w:cs="宋体"/>
                <w:szCs w:val="21"/>
                <w:highlight w:val="none"/>
                <w:lang w:eastAsia="en-US"/>
              </w:rPr>
            </w:pPr>
            <w:r>
              <w:rPr>
                <w:rFonts w:hint="eastAsia" w:ascii="宋体" w:hAnsi="宋体" w:cs="宋体"/>
                <w:spacing w:val="-4"/>
                <w:szCs w:val="21"/>
                <w:highlight w:val="none"/>
                <w:lang w:eastAsia="en-US"/>
              </w:rPr>
              <w:t>17.3.3（2）</w:t>
            </w:r>
          </w:p>
        </w:tc>
        <w:tc>
          <w:tcPr>
            <w:tcW w:w="7125" w:type="dxa"/>
          </w:tcPr>
          <w:p w14:paraId="1D8B6BF7">
            <w:pPr>
              <w:spacing w:before="185"/>
              <w:ind w:left="114" w:right="74" w:hanging="4"/>
              <w:rPr>
                <w:rFonts w:hint="eastAsia" w:ascii="宋体" w:hAnsi="宋体" w:cs="宋体"/>
                <w:szCs w:val="21"/>
                <w:highlight w:val="none"/>
              </w:rPr>
            </w:pPr>
            <w:r>
              <w:rPr>
                <w:rFonts w:hint="eastAsia" w:ascii="宋体" w:hAnsi="宋体" w:cs="宋体"/>
                <w:spacing w:val="9"/>
                <w:szCs w:val="21"/>
                <w:highlight w:val="none"/>
              </w:rPr>
              <w:t>逾期付款违约金的利率：</w:t>
            </w:r>
            <w:r>
              <w:rPr>
                <w:rFonts w:hint="eastAsia" w:ascii="宋体" w:hAnsi="宋体" w:cs="宋体"/>
                <w:spacing w:val="9"/>
                <w:szCs w:val="21"/>
                <w:highlight w:val="none"/>
                <w:u w:val="single"/>
              </w:rPr>
              <w:t>按中国人民银行授权全国银行间同业拆借中心公布的一年期贷款市场报价利率（LPR）（不计复利）。</w:t>
            </w:r>
          </w:p>
        </w:tc>
      </w:tr>
      <w:tr w14:paraId="16D0F39D">
        <w:trPr>
          <w:trHeight w:val="1053" w:hRule="atLeast"/>
        </w:trPr>
        <w:tc>
          <w:tcPr>
            <w:tcW w:w="479" w:type="dxa"/>
          </w:tcPr>
          <w:p w14:paraId="56451893">
            <w:pPr>
              <w:spacing w:line="424" w:lineRule="auto"/>
              <w:jc w:val="center"/>
              <w:rPr>
                <w:rFonts w:hint="eastAsia" w:ascii="宋体" w:hAnsi="宋体" w:cs="宋体"/>
                <w:szCs w:val="21"/>
                <w:highlight w:val="none"/>
              </w:rPr>
            </w:pPr>
          </w:p>
          <w:p w14:paraId="33CCAB60">
            <w:pPr>
              <w:spacing w:before="57" w:line="195" w:lineRule="auto"/>
              <w:jc w:val="center"/>
              <w:rPr>
                <w:rFonts w:hint="eastAsia" w:ascii="宋体" w:hAnsi="宋体" w:cs="宋体"/>
                <w:szCs w:val="21"/>
                <w:highlight w:val="none"/>
              </w:rPr>
            </w:pPr>
            <w:r>
              <w:rPr>
                <w:rFonts w:hint="eastAsia" w:ascii="宋体" w:hAnsi="宋体" w:cs="宋体"/>
                <w:spacing w:val="2"/>
                <w:szCs w:val="21"/>
                <w:highlight w:val="none"/>
              </w:rPr>
              <w:t>20</w:t>
            </w:r>
          </w:p>
        </w:tc>
        <w:tc>
          <w:tcPr>
            <w:tcW w:w="1132" w:type="dxa"/>
          </w:tcPr>
          <w:p w14:paraId="4DD751E6">
            <w:pPr>
              <w:spacing w:line="424" w:lineRule="auto"/>
              <w:jc w:val="center"/>
              <w:rPr>
                <w:rFonts w:hint="eastAsia" w:ascii="宋体" w:hAnsi="宋体" w:cs="宋体"/>
                <w:szCs w:val="21"/>
                <w:highlight w:val="none"/>
              </w:rPr>
            </w:pPr>
          </w:p>
          <w:p w14:paraId="586DBE18">
            <w:pPr>
              <w:spacing w:before="57" w:line="195" w:lineRule="auto"/>
              <w:jc w:val="center"/>
              <w:rPr>
                <w:rFonts w:hint="eastAsia" w:ascii="宋体" w:hAnsi="宋体" w:cs="宋体"/>
                <w:szCs w:val="21"/>
                <w:highlight w:val="none"/>
              </w:rPr>
            </w:pPr>
            <w:r>
              <w:rPr>
                <w:rFonts w:hint="eastAsia" w:ascii="宋体" w:hAnsi="宋体" w:cs="宋体"/>
                <w:szCs w:val="21"/>
                <w:highlight w:val="none"/>
              </w:rPr>
              <w:t>17.4.1</w:t>
            </w:r>
          </w:p>
        </w:tc>
        <w:tc>
          <w:tcPr>
            <w:tcW w:w="7125" w:type="dxa"/>
          </w:tcPr>
          <w:p w14:paraId="05227AE2">
            <w:pPr>
              <w:spacing w:before="117" w:line="244" w:lineRule="auto"/>
              <w:ind w:left="112" w:right="133"/>
              <w:rPr>
                <w:rFonts w:hint="eastAsia" w:ascii="宋体" w:hAnsi="宋体" w:cs="宋体"/>
                <w:szCs w:val="21"/>
                <w:highlight w:val="none"/>
              </w:rPr>
            </w:pPr>
            <w:r>
              <w:rPr>
                <w:rFonts w:hint="eastAsia" w:ascii="宋体" w:hAnsi="宋体" w:cs="宋体"/>
                <w:spacing w:val="7"/>
                <w:szCs w:val="21"/>
                <w:highlight w:val="none"/>
              </w:rPr>
              <w:t>质量保证金金额：</w:t>
            </w:r>
            <w:r>
              <w:rPr>
                <w:rFonts w:hint="eastAsia" w:ascii="宋体" w:hAnsi="宋体" w:cs="宋体"/>
                <w:spacing w:val="7"/>
                <w:szCs w:val="21"/>
                <w:highlight w:val="none"/>
                <w:u w:val="single"/>
              </w:rPr>
              <w:t>3%</w:t>
            </w:r>
            <w:r>
              <w:rPr>
                <w:rFonts w:hint="eastAsia" w:ascii="宋体" w:hAnsi="宋体" w:cs="宋体"/>
                <w:spacing w:val="7"/>
                <w:szCs w:val="21"/>
                <w:highlight w:val="none"/>
              </w:rPr>
              <w:t>工程结算价款，若交工验</w:t>
            </w:r>
            <w:r>
              <w:rPr>
                <w:rFonts w:hint="eastAsia" w:ascii="宋体" w:hAnsi="宋体" w:cs="宋体"/>
                <w:spacing w:val="6"/>
                <w:szCs w:val="21"/>
                <w:highlight w:val="none"/>
              </w:rPr>
              <w:t>收时承包人具备被招标项目所在</w:t>
            </w:r>
            <w:r>
              <w:rPr>
                <w:rFonts w:hint="eastAsia" w:ascii="宋体" w:hAnsi="宋体" w:cs="宋体"/>
                <w:spacing w:val="13"/>
                <w:szCs w:val="21"/>
                <w:highlight w:val="none"/>
              </w:rPr>
              <w:t>地省级交通运输主管部门评定的最高信用等级，发包人给予</w:t>
            </w:r>
            <w:r>
              <w:rPr>
                <w:rFonts w:hint="eastAsia" w:ascii="宋体" w:hAnsi="宋体" w:cs="宋体"/>
                <w:spacing w:val="13"/>
                <w:szCs w:val="21"/>
                <w:highlight w:val="none"/>
                <w:u w:val="single"/>
              </w:rPr>
              <w:t>/</w:t>
            </w:r>
            <w:r>
              <w:rPr>
                <w:rFonts w:hint="eastAsia" w:ascii="宋体" w:hAnsi="宋体" w:cs="宋体"/>
                <w:spacing w:val="13"/>
                <w:szCs w:val="21"/>
                <w:highlight w:val="none"/>
              </w:rPr>
              <w:t>%合同价格质量</w:t>
            </w:r>
            <w:r>
              <w:rPr>
                <w:rFonts w:hint="eastAsia" w:ascii="宋体" w:hAnsi="宋体" w:cs="宋体"/>
                <w:spacing w:val="7"/>
                <w:szCs w:val="21"/>
                <w:highlight w:val="none"/>
              </w:rPr>
              <w:t>保证金的优惠。</w:t>
            </w:r>
          </w:p>
        </w:tc>
      </w:tr>
      <w:tr w14:paraId="7362AF7D">
        <w:trPr>
          <w:trHeight w:val="416" w:hRule="atLeast"/>
        </w:trPr>
        <w:tc>
          <w:tcPr>
            <w:tcW w:w="479" w:type="dxa"/>
          </w:tcPr>
          <w:p w14:paraId="691E9AC2">
            <w:pPr>
              <w:spacing w:before="173" w:line="189" w:lineRule="auto"/>
              <w:jc w:val="center"/>
              <w:rPr>
                <w:rFonts w:hint="eastAsia" w:ascii="宋体" w:hAnsi="宋体" w:cs="宋体"/>
                <w:szCs w:val="21"/>
                <w:highlight w:val="none"/>
              </w:rPr>
            </w:pPr>
            <w:r>
              <w:rPr>
                <w:rFonts w:hint="eastAsia" w:ascii="宋体" w:hAnsi="宋体" w:cs="宋体"/>
                <w:spacing w:val="2"/>
                <w:szCs w:val="21"/>
                <w:highlight w:val="none"/>
              </w:rPr>
              <w:t>21</w:t>
            </w:r>
          </w:p>
        </w:tc>
        <w:tc>
          <w:tcPr>
            <w:tcW w:w="1132" w:type="dxa"/>
          </w:tcPr>
          <w:p w14:paraId="562404AE">
            <w:pPr>
              <w:spacing w:before="123" w:line="214" w:lineRule="auto"/>
              <w:ind w:right="10"/>
              <w:jc w:val="center"/>
              <w:rPr>
                <w:rFonts w:hint="eastAsia" w:ascii="宋体" w:hAnsi="宋体" w:cs="宋体"/>
                <w:szCs w:val="21"/>
                <w:highlight w:val="none"/>
                <w:lang w:eastAsia="en-US"/>
              </w:rPr>
            </w:pPr>
            <w:r>
              <w:rPr>
                <w:rFonts w:hint="eastAsia" w:ascii="宋体" w:hAnsi="宋体" w:cs="宋体"/>
                <w:spacing w:val="-7"/>
                <w:szCs w:val="21"/>
                <w:highlight w:val="none"/>
                <w:lang w:eastAsia="en-US"/>
              </w:rPr>
              <w:t>17.5.</w:t>
            </w:r>
            <w:r>
              <w:rPr>
                <w:rFonts w:hint="eastAsia" w:ascii="宋体" w:hAnsi="宋体" w:cs="宋体"/>
                <w:spacing w:val="-22"/>
                <w:szCs w:val="21"/>
                <w:highlight w:val="none"/>
                <w:lang w:eastAsia="en-US"/>
              </w:rPr>
              <w:t xml:space="preserve"> </w:t>
            </w:r>
            <w:r>
              <w:rPr>
                <w:rFonts w:hint="eastAsia" w:ascii="宋体" w:hAnsi="宋体" w:cs="宋体"/>
                <w:spacing w:val="-7"/>
                <w:szCs w:val="21"/>
                <w:highlight w:val="none"/>
                <w:lang w:eastAsia="en-US"/>
              </w:rPr>
              <w:t>1（1）</w:t>
            </w:r>
          </w:p>
        </w:tc>
        <w:tc>
          <w:tcPr>
            <w:tcW w:w="7125" w:type="dxa"/>
          </w:tcPr>
          <w:p w14:paraId="3ED458E2">
            <w:pPr>
              <w:spacing w:before="77" w:line="227" w:lineRule="auto"/>
              <w:ind w:left="112"/>
              <w:rPr>
                <w:rFonts w:hint="eastAsia" w:ascii="宋体" w:hAnsi="宋体" w:cs="宋体"/>
                <w:szCs w:val="21"/>
                <w:highlight w:val="none"/>
              </w:rPr>
            </w:pPr>
            <w:r>
              <w:rPr>
                <w:rFonts w:hint="eastAsia" w:ascii="宋体" w:hAnsi="宋体" w:cs="宋体"/>
                <w:spacing w:val="9"/>
                <w:szCs w:val="21"/>
                <w:highlight w:val="none"/>
              </w:rPr>
              <w:t>承包人向监理人提交交工付款申请单(包括相关证明材料)的份数：</w:t>
            </w:r>
            <w:r>
              <w:rPr>
                <w:rFonts w:hint="eastAsia" w:ascii="宋体" w:hAnsi="宋体" w:cs="宋体"/>
                <w:spacing w:val="9"/>
                <w:szCs w:val="21"/>
                <w:highlight w:val="none"/>
                <w:u w:val="single"/>
              </w:rPr>
              <w:t>4</w:t>
            </w:r>
            <w:r>
              <w:rPr>
                <w:rFonts w:hint="eastAsia" w:ascii="宋体" w:hAnsi="宋体" w:cs="宋体"/>
                <w:spacing w:val="-41"/>
                <w:szCs w:val="21"/>
                <w:highlight w:val="none"/>
                <w:u w:val="single"/>
              </w:rPr>
              <w:t xml:space="preserve"> </w:t>
            </w:r>
            <w:r>
              <w:rPr>
                <w:rFonts w:hint="eastAsia" w:ascii="宋体" w:hAnsi="宋体" w:cs="宋体"/>
                <w:spacing w:val="9"/>
                <w:szCs w:val="21"/>
                <w:highlight w:val="none"/>
              </w:rPr>
              <w:t>份</w:t>
            </w:r>
          </w:p>
        </w:tc>
      </w:tr>
      <w:tr w14:paraId="6F8ADD3C">
        <w:trPr>
          <w:trHeight w:val="416" w:hRule="atLeast"/>
        </w:trPr>
        <w:tc>
          <w:tcPr>
            <w:tcW w:w="479" w:type="dxa"/>
          </w:tcPr>
          <w:p w14:paraId="2BF34300">
            <w:pPr>
              <w:spacing w:before="173" w:line="189" w:lineRule="auto"/>
              <w:jc w:val="center"/>
              <w:rPr>
                <w:rFonts w:hint="eastAsia" w:ascii="宋体" w:hAnsi="宋体" w:cs="宋体"/>
                <w:szCs w:val="21"/>
                <w:highlight w:val="none"/>
              </w:rPr>
            </w:pPr>
            <w:r>
              <w:rPr>
                <w:rFonts w:hint="eastAsia" w:ascii="宋体" w:hAnsi="宋体" w:cs="宋体"/>
                <w:spacing w:val="2"/>
                <w:szCs w:val="21"/>
                <w:highlight w:val="none"/>
              </w:rPr>
              <w:t>22</w:t>
            </w:r>
          </w:p>
        </w:tc>
        <w:tc>
          <w:tcPr>
            <w:tcW w:w="1132" w:type="dxa"/>
          </w:tcPr>
          <w:p w14:paraId="2E5E22C1">
            <w:pPr>
              <w:spacing w:before="123" w:line="214" w:lineRule="auto"/>
              <w:ind w:right="10"/>
              <w:jc w:val="center"/>
              <w:rPr>
                <w:rFonts w:hint="eastAsia" w:ascii="宋体" w:hAnsi="宋体" w:cs="宋体"/>
                <w:szCs w:val="21"/>
                <w:highlight w:val="none"/>
                <w:lang w:eastAsia="en-US"/>
              </w:rPr>
            </w:pPr>
            <w:r>
              <w:rPr>
                <w:rFonts w:hint="eastAsia" w:ascii="宋体" w:hAnsi="宋体" w:cs="宋体"/>
                <w:spacing w:val="-7"/>
                <w:szCs w:val="21"/>
                <w:highlight w:val="none"/>
                <w:lang w:eastAsia="en-US"/>
              </w:rPr>
              <w:t>17.6.</w:t>
            </w:r>
            <w:r>
              <w:rPr>
                <w:rFonts w:hint="eastAsia" w:ascii="宋体" w:hAnsi="宋体" w:cs="宋体"/>
                <w:spacing w:val="-22"/>
                <w:szCs w:val="21"/>
                <w:highlight w:val="none"/>
                <w:lang w:eastAsia="en-US"/>
              </w:rPr>
              <w:t xml:space="preserve"> </w:t>
            </w:r>
            <w:r>
              <w:rPr>
                <w:rFonts w:hint="eastAsia" w:ascii="宋体" w:hAnsi="宋体" w:cs="宋体"/>
                <w:spacing w:val="-7"/>
                <w:szCs w:val="21"/>
                <w:highlight w:val="none"/>
                <w:lang w:eastAsia="en-US"/>
              </w:rPr>
              <w:t>1（1）</w:t>
            </w:r>
          </w:p>
        </w:tc>
        <w:tc>
          <w:tcPr>
            <w:tcW w:w="7125" w:type="dxa"/>
          </w:tcPr>
          <w:p w14:paraId="6C681217">
            <w:pPr>
              <w:spacing w:before="77" w:line="227" w:lineRule="auto"/>
              <w:ind w:left="112"/>
              <w:rPr>
                <w:rFonts w:hint="eastAsia" w:ascii="宋体" w:hAnsi="宋体" w:cs="宋体"/>
                <w:szCs w:val="21"/>
                <w:highlight w:val="none"/>
              </w:rPr>
            </w:pPr>
            <w:r>
              <w:rPr>
                <w:rFonts w:hint="eastAsia" w:ascii="宋体" w:hAnsi="宋体" w:cs="宋体"/>
                <w:spacing w:val="9"/>
                <w:szCs w:val="21"/>
                <w:highlight w:val="none"/>
              </w:rPr>
              <w:t>承包人向监理人提交最终结清申请单(包括相关证明材料)的份数：</w:t>
            </w:r>
            <w:r>
              <w:rPr>
                <w:rFonts w:hint="eastAsia" w:ascii="宋体" w:hAnsi="宋体" w:cs="宋体"/>
                <w:spacing w:val="9"/>
                <w:szCs w:val="21"/>
                <w:highlight w:val="none"/>
                <w:u w:val="single"/>
              </w:rPr>
              <w:t>4</w:t>
            </w:r>
            <w:r>
              <w:rPr>
                <w:rFonts w:hint="eastAsia" w:ascii="宋体" w:hAnsi="宋体" w:cs="宋体"/>
                <w:spacing w:val="-41"/>
                <w:szCs w:val="21"/>
                <w:highlight w:val="none"/>
                <w:u w:val="single"/>
              </w:rPr>
              <w:t xml:space="preserve"> </w:t>
            </w:r>
            <w:r>
              <w:rPr>
                <w:rFonts w:hint="eastAsia" w:ascii="宋体" w:hAnsi="宋体" w:cs="宋体"/>
                <w:spacing w:val="9"/>
                <w:szCs w:val="21"/>
                <w:highlight w:val="none"/>
              </w:rPr>
              <w:t>份</w:t>
            </w:r>
          </w:p>
        </w:tc>
      </w:tr>
      <w:tr w14:paraId="7CBD1A4B">
        <w:trPr>
          <w:trHeight w:val="569" w:hRule="atLeast"/>
        </w:trPr>
        <w:tc>
          <w:tcPr>
            <w:tcW w:w="479" w:type="dxa"/>
          </w:tcPr>
          <w:p w14:paraId="3D5641C1">
            <w:pPr>
              <w:spacing w:before="256" w:line="195" w:lineRule="auto"/>
              <w:jc w:val="center"/>
              <w:rPr>
                <w:rFonts w:hint="eastAsia" w:ascii="宋体" w:hAnsi="宋体" w:cs="宋体"/>
                <w:szCs w:val="21"/>
                <w:highlight w:val="none"/>
              </w:rPr>
            </w:pPr>
            <w:r>
              <w:rPr>
                <w:rFonts w:hint="eastAsia" w:ascii="宋体" w:hAnsi="宋体" w:cs="宋体"/>
                <w:spacing w:val="2"/>
                <w:szCs w:val="21"/>
                <w:highlight w:val="none"/>
              </w:rPr>
              <w:t>23</w:t>
            </w:r>
          </w:p>
        </w:tc>
        <w:tc>
          <w:tcPr>
            <w:tcW w:w="1132" w:type="dxa"/>
          </w:tcPr>
          <w:p w14:paraId="312565CD">
            <w:pPr>
              <w:spacing w:before="204"/>
              <w:jc w:val="center"/>
              <w:rPr>
                <w:rFonts w:hint="eastAsia" w:ascii="宋体" w:hAnsi="宋体" w:cs="宋体"/>
                <w:szCs w:val="21"/>
                <w:highlight w:val="none"/>
                <w:lang w:eastAsia="en-US"/>
              </w:rPr>
            </w:pPr>
            <w:r>
              <w:rPr>
                <w:rFonts w:hint="eastAsia" w:ascii="宋体" w:hAnsi="宋体" w:cs="宋体"/>
                <w:szCs w:val="21"/>
                <w:highlight w:val="none"/>
                <w:lang w:eastAsia="en-US"/>
              </w:rPr>
              <w:t>18.2（2）</w:t>
            </w:r>
          </w:p>
        </w:tc>
        <w:tc>
          <w:tcPr>
            <w:tcW w:w="7125" w:type="dxa"/>
          </w:tcPr>
          <w:p w14:paraId="02BF3767">
            <w:pPr>
              <w:spacing w:before="160" w:line="228" w:lineRule="auto"/>
              <w:ind w:left="113"/>
              <w:rPr>
                <w:rFonts w:hint="eastAsia" w:ascii="宋体" w:hAnsi="宋体" w:cs="宋体"/>
                <w:szCs w:val="21"/>
                <w:highlight w:val="none"/>
                <w:lang w:eastAsia="en-US"/>
              </w:rPr>
            </w:pPr>
            <w:r>
              <w:rPr>
                <w:rFonts w:hint="eastAsia" w:ascii="宋体" w:hAnsi="宋体" w:cs="宋体"/>
                <w:spacing w:val="7"/>
                <w:szCs w:val="21"/>
                <w:highlight w:val="none"/>
                <w:lang w:eastAsia="en-US"/>
              </w:rPr>
              <w:t>竣工资料的份数：</w:t>
            </w:r>
            <w:r>
              <w:rPr>
                <w:rFonts w:hint="eastAsia" w:ascii="宋体" w:hAnsi="宋体" w:cs="宋体"/>
                <w:spacing w:val="7"/>
                <w:szCs w:val="21"/>
                <w:highlight w:val="none"/>
                <w:u w:val="single"/>
                <w:lang w:eastAsia="en-US"/>
              </w:rPr>
              <w:t>2</w:t>
            </w:r>
            <w:r>
              <w:rPr>
                <w:rFonts w:hint="eastAsia" w:ascii="宋体" w:hAnsi="宋体" w:cs="宋体"/>
                <w:spacing w:val="29"/>
                <w:szCs w:val="21"/>
                <w:highlight w:val="none"/>
                <w:u w:val="single"/>
                <w:lang w:eastAsia="en-US"/>
              </w:rPr>
              <w:t xml:space="preserve"> </w:t>
            </w:r>
            <w:r>
              <w:rPr>
                <w:rFonts w:hint="eastAsia" w:ascii="宋体" w:hAnsi="宋体" w:cs="宋体"/>
                <w:spacing w:val="7"/>
                <w:szCs w:val="21"/>
                <w:highlight w:val="none"/>
                <w:lang w:eastAsia="en-US"/>
              </w:rPr>
              <w:t>份</w:t>
            </w:r>
          </w:p>
        </w:tc>
      </w:tr>
      <w:tr w14:paraId="2372BE37">
        <w:trPr>
          <w:trHeight w:val="605" w:hRule="atLeast"/>
        </w:trPr>
        <w:tc>
          <w:tcPr>
            <w:tcW w:w="479" w:type="dxa"/>
          </w:tcPr>
          <w:p w14:paraId="7DA6B212">
            <w:pPr>
              <w:spacing w:before="273" w:line="195" w:lineRule="auto"/>
              <w:jc w:val="center"/>
              <w:rPr>
                <w:rFonts w:hint="eastAsia" w:ascii="宋体" w:hAnsi="宋体" w:cs="宋体"/>
                <w:szCs w:val="21"/>
                <w:highlight w:val="none"/>
              </w:rPr>
            </w:pPr>
            <w:r>
              <w:rPr>
                <w:rFonts w:hint="eastAsia" w:ascii="宋体" w:hAnsi="宋体" w:cs="宋体"/>
                <w:spacing w:val="2"/>
                <w:szCs w:val="21"/>
                <w:highlight w:val="none"/>
              </w:rPr>
              <w:t>24</w:t>
            </w:r>
          </w:p>
        </w:tc>
        <w:tc>
          <w:tcPr>
            <w:tcW w:w="1132" w:type="dxa"/>
          </w:tcPr>
          <w:p w14:paraId="7F0A52FF">
            <w:pPr>
              <w:spacing w:before="272" w:line="195" w:lineRule="auto"/>
              <w:jc w:val="center"/>
              <w:rPr>
                <w:rFonts w:hint="eastAsia" w:ascii="宋体" w:hAnsi="宋体" w:cs="宋体"/>
                <w:szCs w:val="21"/>
                <w:highlight w:val="none"/>
              </w:rPr>
            </w:pPr>
            <w:r>
              <w:rPr>
                <w:rFonts w:hint="eastAsia" w:ascii="宋体" w:hAnsi="宋体" w:cs="宋体"/>
                <w:szCs w:val="21"/>
                <w:highlight w:val="none"/>
              </w:rPr>
              <w:t>18.5.1</w:t>
            </w:r>
          </w:p>
        </w:tc>
        <w:tc>
          <w:tcPr>
            <w:tcW w:w="7125" w:type="dxa"/>
          </w:tcPr>
          <w:p w14:paraId="4A1F0795">
            <w:pPr>
              <w:spacing w:before="177" w:line="228" w:lineRule="auto"/>
              <w:ind w:left="114"/>
              <w:rPr>
                <w:rFonts w:hint="eastAsia" w:ascii="宋体" w:hAnsi="宋体" w:cs="宋体"/>
                <w:szCs w:val="21"/>
                <w:highlight w:val="none"/>
              </w:rPr>
            </w:pPr>
            <w:r>
              <w:rPr>
                <w:rFonts w:hint="eastAsia" w:ascii="宋体" w:hAnsi="宋体" w:cs="宋体"/>
                <w:spacing w:val="9"/>
                <w:szCs w:val="21"/>
                <w:highlight w:val="none"/>
              </w:rPr>
              <w:t>单位工程或工程设备是否需投入施工期运行：</w:t>
            </w:r>
            <w:r>
              <w:rPr>
                <w:rFonts w:hint="eastAsia" w:ascii="宋体" w:hAnsi="宋体" w:cs="宋体"/>
                <w:spacing w:val="9"/>
                <w:szCs w:val="21"/>
                <w:highlight w:val="none"/>
                <w:u w:val="single"/>
              </w:rPr>
              <w:t>否</w:t>
            </w:r>
          </w:p>
        </w:tc>
      </w:tr>
      <w:tr w14:paraId="6463FCFF">
        <w:trPr>
          <w:trHeight w:val="416" w:hRule="atLeast"/>
        </w:trPr>
        <w:tc>
          <w:tcPr>
            <w:tcW w:w="479" w:type="dxa"/>
          </w:tcPr>
          <w:p w14:paraId="03F80AB7">
            <w:pPr>
              <w:spacing w:before="173" w:line="189" w:lineRule="auto"/>
              <w:jc w:val="center"/>
              <w:rPr>
                <w:rFonts w:hint="eastAsia" w:ascii="宋体" w:hAnsi="宋体" w:cs="宋体"/>
                <w:szCs w:val="21"/>
                <w:highlight w:val="none"/>
              </w:rPr>
            </w:pPr>
            <w:r>
              <w:rPr>
                <w:rFonts w:hint="eastAsia" w:ascii="宋体" w:hAnsi="宋体" w:cs="宋体"/>
                <w:spacing w:val="2"/>
                <w:szCs w:val="21"/>
                <w:highlight w:val="none"/>
              </w:rPr>
              <w:t>25</w:t>
            </w:r>
          </w:p>
        </w:tc>
        <w:tc>
          <w:tcPr>
            <w:tcW w:w="1132" w:type="dxa"/>
          </w:tcPr>
          <w:p w14:paraId="5DBFD3F0">
            <w:pPr>
              <w:spacing w:before="173" w:line="189" w:lineRule="auto"/>
              <w:jc w:val="center"/>
              <w:rPr>
                <w:rFonts w:hint="eastAsia" w:ascii="宋体" w:hAnsi="宋体" w:cs="宋体"/>
                <w:szCs w:val="21"/>
                <w:highlight w:val="none"/>
              </w:rPr>
            </w:pPr>
            <w:r>
              <w:rPr>
                <w:rFonts w:hint="eastAsia" w:ascii="宋体" w:hAnsi="宋体" w:cs="宋体"/>
                <w:szCs w:val="21"/>
                <w:highlight w:val="none"/>
              </w:rPr>
              <w:t>18.6.1</w:t>
            </w:r>
          </w:p>
        </w:tc>
        <w:tc>
          <w:tcPr>
            <w:tcW w:w="7125" w:type="dxa"/>
          </w:tcPr>
          <w:p w14:paraId="233286A4">
            <w:pPr>
              <w:spacing w:before="82" w:line="227" w:lineRule="auto"/>
              <w:ind w:left="113"/>
              <w:rPr>
                <w:rFonts w:hint="eastAsia" w:ascii="宋体" w:hAnsi="宋体" w:cs="宋体"/>
                <w:szCs w:val="21"/>
                <w:highlight w:val="none"/>
              </w:rPr>
            </w:pPr>
            <w:r>
              <w:rPr>
                <w:rFonts w:hint="eastAsia" w:ascii="宋体" w:hAnsi="宋体" w:cs="宋体"/>
                <w:spacing w:val="9"/>
                <w:szCs w:val="21"/>
                <w:highlight w:val="none"/>
              </w:rPr>
              <w:t>本工程及工程设备是否进行试运行：</w:t>
            </w:r>
            <w:r>
              <w:rPr>
                <w:rFonts w:hint="eastAsia" w:ascii="宋体" w:hAnsi="宋体" w:cs="宋体"/>
                <w:spacing w:val="9"/>
                <w:szCs w:val="21"/>
                <w:highlight w:val="none"/>
                <w:u w:val="single"/>
              </w:rPr>
              <w:t>是</w:t>
            </w:r>
          </w:p>
        </w:tc>
      </w:tr>
      <w:tr w14:paraId="04E40E1E">
        <w:trPr>
          <w:trHeight w:val="416" w:hRule="atLeast"/>
        </w:trPr>
        <w:tc>
          <w:tcPr>
            <w:tcW w:w="479" w:type="dxa"/>
          </w:tcPr>
          <w:p w14:paraId="6AED9E0C">
            <w:pPr>
              <w:spacing w:before="172" w:line="190" w:lineRule="auto"/>
              <w:jc w:val="center"/>
              <w:rPr>
                <w:rFonts w:hint="eastAsia" w:ascii="宋体" w:hAnsi="宋体" w:cs="宋体"/>
                <w:szCs w:val="21"/>
                <w:highlight w:val="none"/>
              </w:rPr>
            </w:pPr>
            <w:r>
              <w:rPr>
                <w:rFonts w:hint="eastAsia" w:ascii="宋体" w:hAnsi="宋体" w:cs="宋体"/>
                <w:spacing w:val="2"/>
                <w:szCs w:val="21"/>
                <w:highlight w:val="none"/>
              </w:rPr>
              <w:t>26</w:t>
            </w:r>
          </w:p>
        </w:tc>
        <w:tc>
          <w:tcPr>
            <w:tcW w:w="1132" w:type="dxa"/>
          </w:tcPr>
          <w:p w14:paraId="38D52347">
            <w:pPr>
              <w:spacing w:before="123" w:line="214" w:lineRule="auto"/>
              <w:ind w:left="130"/>
              <w:jc w:val="center"/>
              <w:rPr>
                <w:rFonts w:hint="eastAsia" w:ascii="宋体" w:hAnsi="宋体" w:cs="宋体"/>
                <w:szCs w:val="21"/>
                <w:highlight w:val="none"/>
                <w:lang w:eastAsia="en-US"/>
              </w:rPr>
            </w:pPr>
            <w:r>
              <w:rPr>
                <w:rFonts w:hint="eastAsia" w:ascii="宋体" w:hAnsi="宋体" w:cs="宋体"/>
                <w:szCs w:val="21"/>
                <w:highlight w:val="none"/>
                <w:lang w:eastAsia="en-US"/>
              </w:rPr>
              <w:t>19.7（1）</w:t>
            </w:r>
          </w:p>
        </w:tc>
        <w:tc>
          <w:tcPr>
            <w:tcW w:w="7125" w:type="dxa"/>
          </w:tcPr>
          <w:p w14:paraId="63B72A71">
            <w:pPr>
              <w:spacing w:before="76" w:line="228" w:lineRule="auto"/>
              <w:ind w:left="113"/>
              <w:rPr>
                <w:rFonts w:hint="eastAsia" w:ascii="宋体" w:hAnsi="宋体" w:cs="宋体"/>
                <w:szCs w:val="21"/>
                <w:highlight w:val="none"/>
              </w:rPr>
            </w:pPr>
            <w:r>
              <w:rPr>
                <w:rFonts w:hint="eastAsia" w:ascii="宋体" w:hAnsi="宋体" w:cs="宋体"/>
                <w:spacing w:val="9"/>
                <w:szCs w:val="21"/>
                <w:highlight w:val="none"/>
              </w:rPr>
              <w:t>保修期：自实际交工且竣工验收合格起计算2年。</w:t>
            </w:r>
          </w:p>
        </w:tc>
      </w:tr>
      <w:tr w14:paraId="2A671BB5">
        <w:trPr>
          <w:trHeight w:val="624" w:hRule="atLeast"/>
        </w:trPr>
        <w:tc>
          <w:tcPr>
            <w:tcW w:w="479" w:type="dxa"/>
          </w:tcPr>
          <w:p w14:paraId="3BFE38F1">
            <w:pPr>
              <w:spacing w:before="275" w:line="195" w:lineRule="auto"/>
              <w:jc w:val="center"/>
              <w:rPr>
                <w:rFonts w:hint="eastAsia" w:ascii="宋体" w:hAnsi="宋体" w:cs="宋体"/>
                <w:szCs w:val="21"/>
                <w:highlight w:val="none"/>
              </w:rPr>
            </w:pPr>
            <w:r>
              <w:rPr>
                <w:rFonts w:hint="eastAsia" w:ascii="宋体" w:hAnsi="宋体" w:cs="宋体"/>
                <w:spacing w:val="2"/>
                <w:szCs w:val="21"/>
                <w:highlight w:val="none"/>
              </w:rPr>
              <w:t>27</w:t>
            </w:r>
          </w:p>
        </w:tc>
        <w:tc>
          <w:tcPr>
            <w:tcW w:w="1132" w:type="dxa"/>
          </w:tcPr>
          <w:p w14:paraId="22DB3731">
            <w:pPr>
              <w:spacing w:before="275" w:line="195" w:lineRule="auto"/>
              <w:jc w:val="center"/>
              <w:rPr>
                <w:rFonts w:hint="eastAsia" w:ascii="宋体" w:hAnsi="宋体" w:cs="宋体"/>
                <w:szCs w:val="21"/>
                <w:highlight w:val="none"/>
              </w:rPr>
            </w:pPr>
            <w:r>
              <w:rPr>
                <w:rFonts w:hint="eastAsia" w:ascii="宋体" w:hAnsi="宋体" w:cs="宋体"/>
                <w:spacing w:val="2"/>
                <w:szCs w:val="21"/>
                <w:highlight w:val="none"/>
              </w:rPr>
              <w:t>20.</w:t>
            </w:r>
            <w:r>
              <w:rPr>
                <w:rFonts w:hint="eastAsia" w:ascii="宋体" w:hAnsi="宋体" w:cs="宋体"/>
                <w:spacing w:val="-25"/>
                <w:szCs w:val="21"/>
                <w:highlight w:val="none"/>
              </w:rPr>
              <w:t xml:space="preserve"> </w:t>
            </w:r>
            <w:r>
              <w:rPr>
                <w:rFonts w:hint="eastAsia" w:ascii="宋体" w:hAnsi="宋体" w:cs="宋体"/>
                <w:spacing w:val="2"/>
                <w:szCs w:val="21"/>
                <w:highlight w:val="none"/>
              </w:rPr>
              <w:t>1</w:t>
            </w:r>
          </w:p>
        </w:tc>
        <w:tc>
          <w:tcPr>
            <w:tcW w:w="7125" w:type="dxa"/>
          </w:tcPr>
          <w:p w14:paraId="4EE10AC6">
            <w:pPr>
              <w:spacing w:before="33" w:line="238" w:lineRule="auto"/>
              <w:ind w:left="112" w:right="87" w:firstLine="2"/>
              <w:rPr>
                <w:rFonts w:hint="eastAsia" w:ascii="宋体" w:hAnsi="宋体" w:cs="宋体"/>
                <w:szCs w:val="21"/>
                <w:highlight w:val="none"/>
              </w:rPr>
            </w:pPr>
            <w:r>
              <w:rPr>
                <w:rFonts w:hint="eastAsia" w:ascii="宋体" w:hAnsi="宋体" w:cs="宋体"/>
                <w:spacing w:val="9"/>
                <w:position w:val="-1"/>
                <w:szCs w:val="21"/>
                <w:highlight w:val="none"/>
              </w:rPr>
              <w:t>建筑工程一切险的保险费率：</w:t>
            </w:r>
            <w:r>
              <w:rPr>
                <w:rFonts w:hint="eastAsia" w:ascii="宋体" w:hAnsi="宋体" w:cs="宋体"/>
                <w:spacing w:val="9"/>
                <w:szCs w:val="21"/>
                <w:highlight w:val="none"/>
              </w:rPr>
              <w:t>施工单位自行投保，费用包</w:t>
            </w:r>
            <w:r>
              <w:rPr>
                <w:rFonts w:hint="eastAsia" w:ascii="宋体" w:hAnsi="宋体" w:cs="宋体"/>
                <w:spacing w:val="8"/>
                <w:szCs w:val="21"/>
                <w:highlight w:val="none"/>
              </w:rPr>
              <w:t>含在报价中，不单独</w:t>
            </w:r>
            <w:r>
              <w:rPr>
                <w:rFonts w:hint="eastAsia" w:ascii="宋体" w:hAnsi="宋体" w:cs="宋体"/>
                <w:spacing w:val="3"/>
                <w:szCs w:val="21"/>
                <w:highlight w:val="none"/>
              </w:rPr>
              <w:t>计量。</w:t>
            </w:r>
          </w:p>
        </w:tc>
      </w:tr>
      <w:tr w14:paraId="052A513E">
        <w:trPr>
          <w:trHeight w:val="1176" w:hRule="atLeast"/>
        </w:trPr>
        <w:tc>
          <w:tcPr>
            <w:tcW w:w="479" w:type="dxa"/>
          </w:tcPr>
          <w:p w14:paraId="509EB70F">
            <w:pPr>
              <w:spacing w:line="340" w:lineRule="auto"/>
              <w:jc w:val="center"/>
              <w:rPr>
                <w:rFonts w:hint="eastAsia" w:ascii="宋体" w:hAnsi="宋体" w:cs="宋体"/>
                <w:szCs w:val="21"/>
                <w:highlight w:val="none"/>
              </w:rPr>
            </w:pPr>
          </w:p>
          <w:p w14:paraId="73E19F26">
            <w:pPr>
              <w:spacing w:before="58" w:line="195" w:lineRule="auto"/>
              <w:jc w:val="center"/>
              <w:rPr>
                <w:rFonts w:hint="eastAsia" w:ascii="宋体" w:hAnsi="宋体" w:cs="宋体"/>
                <w:szCs w:val="21"/>
                <w:highlight w:val="none"/>
              </w:rPr>
            </w:pPr>
            <w:r>
              <w:rPr>
                <w:rFonts w:hint="eastAsia" w:ascii="宋体" w:hAnsi="宋体" w:cs="宋体"/>
                <w:spacing w:val="2"/>
                <w:szCs w:val="21"/>
                <w:highlight w:val="none"/>
              </w:rPr>
              <w:t>28</w:t>
            </w:r>
          </w:p>
        </w:tc>
        <w:tc>
          <w:tcPr>
            <w:tcW w:w="1132" w:type="dxa"/>
          </w:tcPr>
          <w:p w14:paraId="31A379CE">
            <w:pPr>
              <w:spacing w:line="340" w:lineRule="auto"/>
              <w:jc w:val="center"/>
              <w:rPr>
                <w:rFonts w:hint="eastAsia" w:ascii="宋体" w:hAnsi="宋体" w:cs="宋体"/>
                <w:szCs w:val="21"/>
                <w:highlight w:val="none"/>
              </w:rPr>
            </w:pPr>
          </w:p>
          <w:p w14:paraId="67849732">
            <w:pPr>
              <w:spacing w:before="58" w:line="195" w:lineRule="auto"/>
              <w:jc w:val="center"/>
              <w:rPr>
                <w:rFonts w:hint="eastAsia" w:ascii="宋体" w:hAnsi="宋体" w:cs="宋体"/>
                <w:szCs w:val="21"/>
                <w:highlight w:val="none"/>
              </w:rPr>
            </w:pPr>
            <w:r>
              <w:rPr>
                <w:rFonts w:hint="eastAsia" w:ascii="宋体" w:hAnsi="宋体" w:cs="宋体"/>
                <w:spacing w:val="3"/>
                <w:szCs w:val="21"/>
                <w:highlight w:val="none"/>
              </w:rPr>
              <w:t>20.4.2</w:t>
            </w:r>
          </w:p>
        </w:tc>
        <w:tc>
          <w:tcPr>
            <w:tcW w:w="7125" w:type="dxa"/>
          </w:tcPr>
          <w:p w14:paraId="64A93E51">
            <w:pPr>
              <w:spacing w:before="35" w:line="228" w:lineRule="auto"/>
              <w:ind w:left="112"/>
              <w:rPr>
                <w:rFonts w:hint="eastAsia" w:ascii="宋体" w:hAnsi="宋体" w:cs="宋体"/>
                <w:szCs w:val="21"/>
                <w:highlight w:val="none"/>
              </w:rPr>
            </w:pPr>
            <w:r>
              <w:rPr>
                <w:rFonts w:hint="eastAsia" w:ascii="宋体" w:hAnsi="宋体" w:cs="宋体"/>
                <w:spacing w:val="9"/>
                <w:szCs w:val="21"/>
                <w:highlight w:val="none"/>
              </w:rPr>
              <w:t>第三者责任险的最低投保金额：</w:t>
            </w:r>
            <w:r>
              <w:rPr>
                <w:rFonts w:hint="eastAsia" w:ascii="宋体" w:hAnsi="宋体" w:cs="宋体"/>
                <w:spacing w:val="9"/>
                <w:szCs w:val="21"/>
                <w:highlight w:val="none"/>
                <w:u w:val="single"/>
              </w:rPr>
              <w:t xml:space="preserve">/    </w:t>
            </w:r>
            <w:r>
              <w:rPr>
                <w:rFonts w:hint="eastAsia" w:ascii="宋体" w:hAnsi="宋体" w:cs="宋体"/>
                <w:spacing w:val="8"/>
                <w:szCs w:val="21"/>
                <w:highlight w:val="none"/>
                <w:u w:val="single"/>
              </w:rPr>
              <w:t xml:space="preserve">   </w:t>
            </w:r>
            <w:r>
              <w:rPr>
                <w:rFonts w:hint="eastAsia" w:ascii="宋体" w:hAnsi="宋体" w:cs="宋体"/>
                <w:spacing w:val="-86"/>
                <w:szCs w:val="21"/>
                <w:highlight w:val="none"/>
              </w:rPr>
              <w:t xml:space="preserve"> </w:t>
            </w:r>
            <w:r>
              <w:rPr>
                <w:rFonts w:hint="eastAsia" w:ascii="宋体" w:hAnsi="宋体" w:cs="宋体"/>
                <w:spacing w:val="8"/>
                <w:szCs w:val="21"/>
                <w:highlight w:val="none"/>
              </w:rPr>
              <w:t>万元，事故次数不限(不计免赔额)</w:t>
            </w:r>
          </w:p>
          <w:p w14:paraId="4BC88B82">
            <w:pPr>
              <w:spacing w:before="24" w:line="228" w:lineRule="auto"/>
              <w:ind w:left="113"/>
              <w:rPr>
                <w:rFonts w:hint="eastAsia" w:ascii="宋体" w:hAnsi="宋体" w:cs="宋体"/>
                <w:szCs w:val="21"/>
                <w:highlight w:val="none"/>
              </w:rPr>
            </w:pPr>
            <w:r>
              <w:rPr>
                <w:rFonts w:hint="eastAsia" w:ascii="宋体" w:hAnsi="宋体" w:cs="宋体"/>
                <w:spacing w:val="6"/>
                <w:szCs w:val="21"/>
                <w:highlight w:val="none"/>
              </w:rPr>
              <w:t>保险费率：</w:t>
            </w:r>
            <w:r>
              <w:rPr>
                <w:rFonts w:hint="eastAsia" w:ascii="宋体" w:hAnsi="宋体" w:cs="宋体"/>
                <w:spacing w:val="6"/>
                <w:szCs w:val="21"/>
                <w:highlight w:val="none"/>
                <w:u w:val="single"/>
              </w:rPr>
              <w:t>/</w:t>
            </w:r>
            <w:r>
              <w:rPr>
                <w:rFonts w:hint="eastAsia" w:ascii="宋体" w:hAnsi="宋体" w:cs="宋体"/>
                <w:spacing w:val="7"/>
                <w:szCs w:val="21"/>
                <w:highlight w:val="none"/>
                <w:u w:val="single"/>
              </w:rPr>
              <w:t xml:space="preserve">      </w:t>
            </w:r>
            <w:r>
              <w:rPr>
                <w:rFonts w:hint="eastAsia" w:ascii="宋体" w:hAnsi="宋体" w:cs="宋体"/>
                <w:spacing w:val="-80"/>
                <w:szCs w:val="21"/>
                <w:highlight w:val="none"/>
              </w:rPr>
              <w:t xml:space="preserve"> </w:t>
            </w:r>
            <w:r>
              <w:rPr>
                <w:rFonts w:hint="eastAsia" w:ascii="宋体" w:hAnsi="宋体" w:cs="宋体"/>
                <w:spacing w:val="6"/>
                <w:szCs w:val="21"/>
                <w:highlight w:val="none"/>
              </w:rPr>
              <w:t>‰</w:t>
            </w:r>
          </w:p>
          <w:p w14:paraId="679CCB26">
            <w:pPr>
              <w:spacing w:before="24" w:line="215" w:lineRule="auto"/>
              <w:ind w:left="115"/>
              <w:rPr>
                <w:rFonts w:hint="eastAsia" w:ascii="宋体" w:hAnsi="宋体" w:cs="宋体"/>
                <w:szCs w:val="21"/>
                <w:highlight w:val="none"/>
              </w:rPr>
            </w:pPr>
            <w:r>
              <w:rPr>
                <w:rFonts w:hint="eastAsia" w:ascii="宋体" w:hAnsi="宋体" w:cs="宋体"/>
                <w:spacing w:val="9"/>
                <w:szCs w:val="21"/>
                <w:highlight w:val="none"/>
                <w:u w:val="single" w:color="000000"/>
              </w:rPr>
              <w:t>不适用，投标人须知中另有规定</w:t>
            </w:r>
            <w:r>
              <w:rPr>
                <w:rFonts w:hint="eastAsia" w:ascii="宋体" w:hAnsi="宋体" w:cs="宋体"/>
                <w:spacing w:val="9"/>
                <w:szCs w:val="21"/>
                <w:highlight w:val="none"/>
              </w:rPr>
              <w:t>。</w:t>
            </w:r>
          </w:p>
        </w:tc>
      </w:tr>
      <w:tr w14:paraId="424DAAE0">
        <w:trPr>
          <w:trHeight w:val="587" w:hRule="atLeast"/>
        </w:trPr>
        <w:tc>
          <w:tcPr>
            <w:tcW w:w="479" w:type="dxa"/>
          </w:tcPr>
          <w:p w14:paraId="437B623C">
            <w:pPr>
              <w:spacing w:before="260" w:line="195" w:lineRule="auto"/>
              <w:jc w:val="center"/>
              <w:rPr>
                <w:rFonts w:hint="eastAsia" w:ascii="宋体" w:hAnsi="宋体" w:cs="宋体"/>
                <w:szCs w:val="21"/>
                <w:highlight w:val="none"/>
              </w:rPr>
            </w:pPr>
            <w:r>
              <w:rPr>
                <w:rFonts w:hint="eastAsia" w:ascii="宋体" w:hAnsi="宋体" w:cs="宋体"/>
                <w:spacing w:val="2"/>
                <w:szCs w:val="21"/>
                <w:highlight w:val="none"/>
              </w:rPr>
              <w:t>29</w:t>
            </w:r>
          </w:p>
        </w:tc>
        <w:tc>
          <w:tcPr>
            <w:tcW w:w="1132" w:type="dxa"/>
          </w:tcPr>
          <w:p w14:paraId="6F745FCD">
            <w:pPr>
              <w:spacing w:before="260" w:line="195" w:lineRule="auto"/>
              <w:jc w:val="center"/>
              <w:rPr>
                <w:rFonts w:hint="eastAsia" w:ascii="宋体" w:hAnsi="宋体" w:cs="宋体"/>
                <w:szCs w:val="21"/>
                <w:highlight w:val="none"/>
              </w:rPr>
            </w:pPr>
            <w:r>
              <w:rPr>
                <w:rFonts w:hint="eastAsia" w:ascii="宋体" w:hAnsi="宋体" w:cs="宋体"/>
                <w:spacing w:val="2"/>
                <w:szCs w:val="21"/>
                <w:highlight w:val="none"/>
              </w:rPr>
              <w:t>24.</w:t>
            </w:r>
            <w:r>
              <w:rPr>
                <w:rFonts w:hint="eastAsia" w:ascii="宋体" w:hAnsi="宋体" w:cs="宋体"/>
                <w:spacing w:val="-25"/>
                <w:szCs w:val="21"/>
                <w:highlight w:val="none"/>
              </w:rPr>
              <w:t xml:space="preserve"> </w:t>
            </w:r>
            <w:r>
              <w:rPr>
                <w:rFonts w:hint="eastAsia" w:ascii="宋体" w:hAnsi="宋体" w:cs="宋体"/>
                <w:spacing w:val="2"/>
                <w:szCs w:val="21"/>
                <w:highlight w:val="none"/>
              </w:rPr>
              <w:t>1</w:t>
            </w:r>
          </w:p>
        </w:tc>
        <w:tc>
          <w:tcPr>
            <w:tcW w:w="7125" w:type="dxa"/>
          </w:tcPr>
          <w:p w14:paraId="5E8C2AAA">
            <w:pPr>
              <w:spacing w:before="209" w:line="228" w:lineRule="auto"/>
              <w:ind w:left="116"/>
              <w:rPr>
                <w:rFonts w:hint="eastAsia" w:ascii="宋体" w:hAnsi="宋体" w:cs="宋体"/>
                <w:szCs w:val="21"/>
                <w:highlight w:val="none"/>
              </w:rPr>
            </w:pPr>
            <w:r>
              <w:rPr>
                <w:rFonts w:hint="eastAsia" w:ascii="宋体" w:hAnsi="宋体" w:cs="宋体"/>
                <w:spacing w:val="9"/>
                <w:szCs w:val="21"/>
                <w:highlight w:val="none"/>
              </w:rPr>
              <w:t>争议的最终解决方式：诉讼，向发包人所在地人民法院起诉。</w:t>
            </w:r>
          </w:p>
        </w:tc>
      </w:tr>
    </w:tbl>
    <w:p w14:paraId="63620268">
      <w:pPr>
        <w:keepNext w:val="0"/>
        <w:keepLines w:val="0"/>
        <w:pageBreakBefore w:val="0"/>
        <w:widowControl w:val="0"/>
        <w:kinsoku/>
        <w:wordWrap/>
        <w:overflowPunct/>
        <w:topLinePunct w:val="0"/>
        <w:autoSpaceDE/>
        <w:autoSpaceDN/>
        <w:bidi w:val="0"/>
        <w:adjustRightInd/>
        <w:snapToGrid/>
        <w:spacing w:line="360" w:lineRule="auto"/>
        <w:textAlignment w:val="auto"/>
        <w:rPr>
          <w:rStyle w:val="303"/>
          <w:rFonts w:hint="eastAsia" w:ascii="宋体" w:hAnsi="宋体" w:eastAsia="宋体" w:cs="宋体"/>
          <w:color w:val="auto"/>
          <w:sz w:val="28"/>
          <w:szCs w:val="28"/>
          <w:highlight w:val="none"/>
        </w:rPr>
      </w:pPr>
      <w:r>
        <w:rPr>
          <w:rStyle w:val="303"/>
          <w:rFonts w:hint="eastAsia" w:ascii="宋体" w:hAnsi="宋体" w:eastAsia="宋体" w:cs="宋体"/>
          <w:color w:val="auto"/>
          <w:sz w:val="28"/>
          <w:szCs w:val="28"/>
          <w:highlight w:val="none"/>
        </w:rPr>
        <w:br w:type="page"/>
      </w:r>
    </w:p>
    <w:p w14:paraId="14E32274">
      <w:pPr>
        <w:spacing w:line="440" w:lineRule="exact"/>
        <w:jc w:val="center"/>
        <w:rPr>
          <w:rStyle w:val="303"/>
          <w:rFonts w:hint="eastAsia" w:ascii="宋体" w:hAnsi="宋体" w:eastAsia="宋体" w:cs="宋体"/>
          <w:color w:val="auto"/>
          <w:szCs w:val="21"/>
          <w:highlight w:val="none"/>
        </w:rPr>
      </w:pPr>
      <w:r>
        <w:rPr>
          <w:rStyle w:val="303"/>
          <w:rFonts w:hint="eastAsia" w:ascii="宋体" w:hAnsi="宋体" w:eastAsia="宋体" w:cs="宋体"/>
          <w:color w:val="auto"/>
          <w:sz w:val="28"/>
          <w:szCs w:val="28"/>
          <w:highlight w:val="none"/>
        </w:rPr>
        <w:t>项目专用合同条款</w:t>
      </w:r>
    </w:p>
    <w:p w14:paraId="004B1FA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1.一般约定</w:t>
      </w:r>
    </w:p>
    <w:p w14:paraId="46667E5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1.1  词语定义</w:t>
      </w:r>
    </w:p>
    <w:p w14:paraId="6EA4632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  合同</w:t>
      </w:r>
    </w:p>
    <w:p w14:paraId="2AB6C64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公路工程专用合同条款第 1.1.1.8 目细化为：</w:t>
      </w:r>
    </w:p>
    <w:p w14:paraId="3CD1AAF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1.1.1.8 已标价工程量清单：指构成合同文件组成部分的已标明价格且承包人已确认的最终的工程量清单，包括工程量清单说明、投标报价说明、其他说明及工程量清单各项表格。</w:t>
      </w:r>
    </w:p>
    <w:p w14:paraId="00D35BF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1.1.2合同当事人和人员</w:t>
      </w:r>
    </w:p>
    <w:p w14:paraId="3128812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公路工程专用合同条款补充 1.1.2.9、1.1.2.10、1.1.2.11 目：</w:t>
      </w:r>
    </w:p>
    <w:p w14:paraId="262B3AB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1.1.2.9供货商：指为工程提供一般设备、材料的经营单位。</w:t>
      </w:r>
    </w:p>
    <w:p w14:paraId="2338F4F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1.1.2.10制造商：指直接为工程制造设备、材料的生产单位。</w:t>
      </w:r>
    </w:p>
    <w:p w14:paraId="7DC4DA3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1.1.2.11代理商：指以代理单位的资格为工程供应所代理的设备、材料的经营单位。</w:t>
      </w:r>
    </w:p>
    <w:p w14:paraId="3DBFF09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  工程和设备</w:t>
      </w:r>
    </w:p>
    <w:p w14:paraId="5365D5D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 1.1.3.5 目细化为：</w:t>
      </w:r>
    </w:p>
    <w:p w14:paraId="199B5BC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1.1.3.5 工程设备：指构成或计划构成永久工程一部分的机电设备、金属结构设备、仪器装置及其他类似的设备和装置，以及成套软件。</w:t>
      </w:r>
    </w:p>
    <w:p w14:paraId="79FAE0C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公路工程专用合同条款补充 1.1.3.14、1.1.3.15 、1.1.3.16 、1.1.3.17 、1.1.3.18 目：</w:t>
      </w:r>
    </w:p>
    <w:p w14:paraId="40F0D17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1.1.3.14施工详图设计：指由承包人根据招投标文件、主要系统设备的技术特性和工程现场状况所做的对施工图的补充、细化和完善设计。</w:t>
      </w:r>
    </w:p>
    <w:p w14:paraId="79D4487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1.1.3.15调试：指按合同条款和合同其他有关规定，在施工期内，由承包人执行的、在准备合同工程的完工验收前对所安装设备、设施、子系统进行的调整、测试等工作。</w:t>
      </w:r>
    </w:p>
    <w:p w14:paraId="5F958AD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1.1.3.16设备完工：指工程设备全部安装到位，并经分系统、系统、完工检（试） 验合格的阶段。</w:t>
      </w:r>
    </w:p>
    <w:p w14:paraId="297AA1F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1.1.3.17交工测试：指在路段开通运行前，按照有关规定和规范要求进行的兼容性测试、适用性测试、技术基础检测、并网测试等。</w:t>
      </w:r>
    </w:p>
    <w:p w14:paraId="5189E25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1.1.3.18试运行：指工程在交工测试完成后，以检验系统功能、性能及可靠性为主要目的而进行的系统运行。</w:t>
      </w:r>
    </w:p>
    <w:p w14:paraId="44250A1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1.1.4  日期</w:t>
      </w:r>
    </w:p>
    <w:p w14:paraId="0837A5A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通用合同条款补充 1.1.4.8 目：</w:t>
      </w:r>
    </w:p>
    <w:p w14:paraId="6AE9ADB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1.1.4.8 试运行期：指从通过交工测试之日算起至通过试运行验收之日止。试运行期在项目专用合同条款数据表中明确。</w:t>
      </w:r>
    </w:p>
    <w:p w14:paraId="1FC2CDF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1.1.5  合同价格和费用</w:t>
      </w:r>
    </w:p>
    <w:p w14:paraId="5AB8758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通用合同条款补充 1.1.5.8 目：</w:t>
      </w:r>
    </w:p>
    <w:p w14:paraId="633238C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1.1.5.8 中期支付证书：指除最后支付证书之外的、由监理人签发的任何支付证书。</w:t>
      </w:r>
    </w:p>
    <w:p w14:paraId="3069939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 1.1.6.8 目细化为：</w:t>
      </w:r>
    </w:p>
    <w:p w14:paraId="046F8F2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1.1.6.8 劳务合作：指承包人与劳务企业签订劳务合作合同，由劳务企业提供劳务人员及机具，由承包人统一组织施工、统一控制工程质量、施工进度、材料采购、生产安全的施工行为。</w:t>
      </w:r>
    </w:p>
    <w:p w14:paraId="3D2EAFB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1.6图纸和承包人文件</w:t>
      </w:r>
    </w:p>
    <w:p w14:paraId="117C525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1.6.3  图纸的修改</w:t>
      </w:r>
    </w:p>
    <w:p w14:paraId="06B8D47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在通用合同条款 1.6.3 项原文后增加一个段落：</w:t>
      </w:r>
    </w:p>
    <w:p w14:paraId="4DD66ED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没有监理人的批准，承包人不得对施工图的任何部分进行修改，否则按 22.1 款承包人违约处理。</w:t>
      </w:r>
    </w:p>
    <w:p w14:paraId="565D939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通用合同条款补充 1.6.6 项：</w:t>
      </w:r>
    </w:p>
    <w:p w14:paraId="3EF9786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1.6.6  施工详图设计</w:t>
      </w:r>
    </w:p>
    <w:p w14:paraId="47D38E1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施工详图设计的主要目的是确保施工图设计内容与工程拟采用的设备和材料以及工程施工现场的实际情况更好地匹配符合，是对施工图设计的深化、完善、修正和补充，以便能充分、全面、有效地指导施工。施工详图设计工作由承包人负责完成，设计前须收集所有设备材料和现场情况的数据、参数、位置、尺寸、设备材料机械图等相关资料。</w:t>
      </w:r>
    </w:p>
    <w:p w14:paraId="7ACA4F1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施工详图设计完成以后，承包人应及时上报监理人审批、报发包人备案，并和施工图设计共同作为工程施工、监理、支付、验收的依据。</w:t>
      </w:r>
    </w:p>
    <w:p w14:paraId="786A453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 1.6.7  根据合同约定应由发包人提供的文件或资料，承包人应提前合理期限通知发包人，准确、完整地说明所需文件的范围、内容、用途及提供时限等具体要求。如所需文件涉及关键工序、工期节点、价款确定或竣工验收等重要事项，承包人必须采用书面形式通知发包人。</w:t>
      </w:r>
    </w:p>
    <w:p w14:paraId="25CE837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如因承包人未及时、准确提出需求，或需求说明不清晰、不完整导致发包人未能按时提供相应文件，由此造成的工期延误、费用增加等不利后果由承包人承担。</w:t>
      </w:r>
    </w:p>
    <w:p w14:paraId="6100F23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发包人提供相应文件后，承包人应及时进行核查，如发现文件存在错漏、不完整或不符合要求等情况，应在收到后3日内书面通知发包人，否则视为发包人提供的文件符合合同要求。</w:t>
      </w:r>
    </w:p>
    <w:p w14:paraId="6D849E6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1.7联络 </w:t>
      </w:r>
    </w:p>
    <w:p w14:paraId="3D11003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通用合同条款第 1.7.2 项约定为：</w:t>
      </w:r>
    </w:p>
    <w:p w14:paraId="71CF57C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1.7.2 第 1.7.1 项中的通知、批准、证明、证书、指示、要求、请求、同意、意见、确定和决定等来往函件，均应在函件发出 24 小时内送达指定地点和接收人， 并办理签收手续。</w:t>
      </w:r>
    </w:p>
    <w:p w14:paraId="4F5A1F7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2.发包人义务 </w:t>
      </w:r>
    </w:p>
    <w:p w14:paraId="3F66030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2.8  其他义务</w:t>
      </w:r>
    </w:p>
    <w:p w14:paraId="7D166D0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本款细化为：</w:t>
      </w:r>
    </w:p>
    <w:p w14:paraId="2623BD5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发包人不提供进出施工现场的水、陆交通通道，不提供水、电、通讯的接入点及施工船舶临时停泊水域及停靠码头，均由承包人自行落实解决，相关费用已包含在合同价格中，发包人不另行支付。</w:t>
      </w:r>
    </w:p>
    <w:p w14:paraId="4A3FFC4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4.承包人</w:t>
      </w:r>
    </w:p>
    <w:p w14:paraId="457849E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4.1承包人的一般义务</w:t>
      </w:r>
    </w:p>
    <w:p w14:paraId="047DBBB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4.1.8  为他人提供方便</w:t>
      </w:r>
    </w:p>
    <w:p w14:paraId="0EA231E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通用合同条款第 4.1.8 项补充：</w:t>
      </w:r>
    </w:p>
    <w:p w14:paraId="43293E1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承包人应按监理人的指示为他人（包括发包人、发包人委托的第三方等）在施工场地或附近实施与工程有关的其他各项工作提供可能的便利条件（如交通等）， 提供有关条件可能发生的费用，由承包人在相关费用中考虑。</w:t>
      </w:r>
    </w:p>
    <w:p w14:paraId="6959CE5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4.1.10  其他义务</w:t>
      </w:r>
    </w:p>
    <w:p w14:paraId="43834B7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 4.1.10（1）目约定为：</w:t>
      </w:r>
    </w:p>
    <w:p w14:paraId="58F2A2F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临时占地的租地费用</w:t>
      </w:r>
      <w:r>
        <w:rPr>
          <w:rStyle w:val="303"/>
          <w:rFonts w:hint="eastAsia" w:ascii="宋体" w:hAnsi="宋体" w:eastAsia="宋体" w:cs="宋体"/>
          <w:color w:val="auto"/>
          <w:szCs w:val="21"/>
          <w:highlight w:val="none"/>
          <w:u w:val="single"/>
        </w:rPr>
        <w:t xml:space="preserve"> / </w:t>
      </w:r>
      <w:r>
        <w:rPr>
          <w:rStyle w:val="303"/>
          <w:rFonts w:hint="eastAsia" w:ascii="宋体" w:hAnsi="宋体" w:eastAsia="宋体" w:cs="宋体"/>
          <w:color w:val="auto"/>
          <w:szCs w:val="21"/>
          <w:highlight w:val="none"/>
        </w:rPr>
        <w:t>。</w:t>
      </w:r>
    </w:p>
    <w:p w14:paraId="3A66365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 4.1.10（6）目细化、补充为第（6）-（13）目：</w:t>
      </w:r>
    </w:p>
    <w:p w14:paraId="239672B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几个承包人或与相邻标段或与相邻项目在同一区域内施工时，监理人有权协调工程的实施，并对工程衔接及工程界面范围划分作出指示，承包人应在监理人的统一协调下工作，承包人之间应当签订安全生产管理协议，明确各自的安全生产管理职责和应当采取的安全措施，并指定专职安全生产管理人员进行安全检查与协调，承包人因此增加的费用应认为已包括在合同价格之中，发包人不另行支付。</w:t>
      </w:r>
    </w:p>
    <w:p w14:paraId="64519B9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（7）通信、监控、收费系统在正式开通运行前，需按照相关要求进行交工测试， 只有通过交工测试的系统才能投入运行。</w:t>
      </w:r>
    </w:p>
    <w:p w14:paraId="6AADD33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8）在合同履行期间，承包人应按照本项目技术规范中的内容提供培训教材并做好培训工作，对发包人或运营管理单位的管理人员、技术人员、操作人员进行培训，以便对工程的实施进行有效的管理，同时保证工程验收移交后，相关人员能够胜任系统的全部运行、操作，线路维护，故障分析处理，设备维修和保养等工作。承包人因此增加的费用应认为已包括在合同价格之中，发包人不另行支付。</w:t>
      </w:r>
    </w:p>
    <w:p w14:paraId="3803141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（9）设备移交清单</w:t>
      </w:r>
    </w:p>
    <w:p w14:paraId="2F76828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工程设备完工后试运行期结束前，承包人应将工程设备（含合同规定的备品备件）移交给发包人，移交工作应有发包人和监理人参加，并根据承包人提供的工程设备移交清单、设备及随箱资料（含设备说明书、操作维修手册等）进行逐项清查核对，无误后签字确认。工程设备移交清单签认后，工程设备的管理责任即转移给发包人。承包人应从供货商(或供货商代理人)处得到有关技术支持的书面保证，书面保证要说明他们对其产品提供支持保证和免费咨询服务。</w:t>
      </w:r>
    </w:p>
    <w:p w14:paraId="46A8ECA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如果工程设备移交清单签认后，工程不能立即移交管理时，承包人仍应继续负责工程照管。监理人在与承包人和发包人协商后，应确定与此相关的工程照管费用补偿额并加到合同价格上，经发包人批准后通知承包人。</w:t>
      </w:r>
    </w:p>
    <w:p w14:paraId="1DF8937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（10）机电设备安装应有对现有成品进行保护的措施，如有污染或损坏需要进行修复，费用由承包人承担。</w:t>
      </w:r>
    </w:p>
    <w:p w14:paraId="3F9F10B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（11）项目施工（含安装、调试）所发生的施工用电及其费用均由承包人承担， 承包人因此增加的费用应认为已包括在中标合同价格之中，发包人不另行支付。</w:t>
      </w:r>
    </w:p>
    <w:p w14:paraId="0AD0107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12）施工作业顺序因主体土建单位场地交付有先后，承包人施工作业顺序应根据项目实际和发包人的要求进行，并根据实际交付的路段情况合理的安排施工组织计划，由此造成的一切费用均由承包人承担，且承包人不得以此为由向发包人提出索赔。</w:t>
      </w:r>
    </w:p>
    <w:p w14:paraId="5D59848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（13）承包人应履行的其他义务：</w:t>
      </w:r>
    </w:p>
    <w:p w14:paraId="45B86F1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1）承包人应当依法与所招用的农民工订立劳动合同并进行用工实名登记，具备 条件的行业应当通过相应的管理服务信息平台进行用工实名登记、管理.未与承包人订 立劳动合同并进行用工实名登记的人员，不得进入项目现场.承包人应当在项目部配备 劳资专管员，对劳动用工实施监督管理，掌握现场用工、考勤、工资支付等情况，审 核农民工工资支付表.承包人应当建立用工管理台账，并保存至完工且工资全部结清后 至少 3 年。</w:t>
      </w:r>
    </w:p>
    <w:p w14:paraId="706EDCE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2）承包人应在施工现场醒目位置设立维权信息告示牌，明示下列事项：</w:t>
      </w:r>
    </w:p>
    <w:p w14:paraId="68F34A9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a.发包人、承包人及所在项目部、分包人、工程建设主管部门、劳资专管员等基 本信息；</w:t>
      </w:r>
    </w:p>
    <w:p w14:paraId="7B69F8F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b.当地最低工资标准、工资支付日期等基本信息；</w:t>
      </w:r>
    </w:p>
    <w:p w14:paraId="1E95FF2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c.工程建设主管部门和劳动保障监察投诉举报电话、 劳动争议调解仲裁申请渠 道、法律援助申请渠道、公共法律服务热线等信息。 </w:t>
      </w:r>
    </w:p>
    <w:p w14:paraId="1EFE829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4.3  分包</w:t>
      </w:r>
    </w:p>
    <w:p w14:paraId="22C5FAE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本工程不允许专业分包。</w:t>
      </w:r>
    </w:p>
    <w:p w14:paraId="423A912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4.6承包人人员的管理</w:t>
      </w:r>
    </w:p>
    <w:p w14:paraId="50148C1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 4.6.3 项末补充：</w:t>
      </w:r>
    </w:p>
    <w:p w14:paraId="4D9BEEC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无论任何原因，未经监理工程师和发包人批准，承包人不得擅自更换投标时所承诺项目管理人员。即使取得发包人的批准，承包人应按以下规定向发包人交纳违约金：更换项目经理每人次</w:t>
      </w:r>
      <w:r>
        <w:rPr>
          <w:rStyle w:val="303"/>
          <w:rFonts w:hint="eastAsia" w:ascii="宋体" w:hAnsi="宋体" w:eastAsia="宋体" w:cs="宋体"/>
          <w:color w:val="auto"/>
          <w:szCs w:val="21"/>
          <w:highlight w:val="none"/>
          <w:u w:val="single"/>
        </w:rPr>
        <w:t xml:space="preserve"> 10 </w:t>
      </w:r>
      <w:r>
        <w:rPr>
          <w:rStyle w:val="303"/>
          <w:rFonts w:hint="eastAsia" w:ascii="宋体" w:hAnsi="宋体" w:eastAsia="宋体" w:cs="宋体"/>
          <w:color w:val="auto"/>
          <w:szCs w:val="21"/>
          <w:highlight w:val="none"/>
        </w:rPr>
        <w:t>万元人民币。</w:t>
      </w:r>
    </w:p>
    <w:p w14:paraId="7E020D9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若擅自更换，除限期整改外，按照上述标准两倍向发包人交纳违约金。</w:t>
      </w:r>
    </w:p>
    <w:p w14:paraId="1C502ED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 4.6 款补充第 4.6.6 项～第 4.6.7 项：</w:t>
      </w:r>
    </w:p>
    <w:p w14:paraId="75954A2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4.6.1项目经理及项目总工离开工地必须向监理人书面请假，并经发包人同意后才能离开；每月在工地天数应大于 22 天（特殊情况经监理人批准报发包人同意除外）。</w:t>
      </w:r>
    </w:p>
    <w:p w14:paraId="3902098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4.6.2除因管理原因发生重大质量安全事故不适合再任，或因生病住院、终止劳动合同关系（需提供相关部门或单位的证明材料）等无法继续履行合同责任和义务， 被责令停止执业、羁押或判刑外，承包人不得提出更换项目经理、项目总工。符合上述规定确需更换的，应征得发包人同意，并经有关行业行政主管部门备案，且更换后的人员不得低于原投标承诺人员所具有的资格和业绩条件。</w:t>
      </w:r>
    </w:p>
    <w:p w14:paraId="1A7D389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4.7撤换承包人项目经理和其他人员</w:t>
      </w:r>
    </w:p>
    <w:p w14:paraId="7EADA42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本款补充：</w:t>
      </w:r>
    </w:p>
    <w:p w14:paraId="67EDF0C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按投标文件所承诺的项目经理、总工程师、各专业工程师及时到岗到位，承包人如要求更换项目管理人员，其申报接替人员的水平和能力不得低于被替换人员。无论任何原因，未经监理工程师和发包人批准，承包人不得擅自更换投标时所承诺项目管理人员。即使取得发包人的批准，承包人应按以下规定向发包人交纳违约金：</w:t>
      </w:r>
    </w:p>
    <w:p w14:paraId="40D7BAE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更换项目经理每人次</w:t>
      </w:r>
      <w:r>
        <w:rPr>
          <w:rStyle w:val="303"/>
          <w:rFonts w:hint="eastAsia" w:ascii="宋体" w:hAnsi="宋体" w:eastAsia="宋体" w:cs="宋体"/>
          <w:color w:val="auto"/>
          <w:szCs w:val="21"/>
          <w:highlight w:val="none"/>
          <w:u w:val="single"/>
        </w:rPr>
        <w:t xml:space="preserve"> 10 </w:t>
      </w:r>
      <w:r>
        <w:rPr>
          <w:rStyle w:val="303"/>
          <w:rFonts w:hint="eastAsia" w:ascii="宋体" w:hAnsi="宋体" w:eastAsia="宋体" w:cs="宋体"/>
          <w:color w:val="auto"/>
          <w:szCs w:val="21"/>
          <w:highlight w:val="none"/>
        </w:rPr>
        <w:t>万元人民币。</w:t>
      </w:r>
    </w:p>
    <w:p w14:paraId="00A3119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若擅自更换，除限期整改外，按照上述标准两倍向发包人交纳违约金。 </w:t>
      </w:r>
    </w:p>
    <w:p w14:paraId="08F4F30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4.11</w:t>
      </w:r>
      <w:r>
        <w:rPr>
          <w:rStyle w:val="303"/>
          <w:rFonts w:hint="eastAsia" w:ascii="宋体" w:hAnsi="宋体" w:cs="宋体"/>
          <w:b/>
          <w:bCs/>
          <w:color w:val="auto"/>
          <w:szCs w:val="21"/>
          <w:highlight w:val="none"/>
          <w:lang w:val="en-US" w:eastAsia="zh-CN"/>
        </w:rPr>
        <w:t xml:space="preserve"> </w:t>
      </w:r>
      <w:r>
        <w:rPr>
          <w:rStyle w:val="303"/>
          <w:rFonts w:hint="eastAsia" w:ascii="宋体" w:hAnsi="宋体" w:eastAsia="宋体" w:cs="宋体"/>
          <w:b/>
          <w:bCs/>
          <w:color w:val="auto"/>
          <w:szCs w:val="21"/>
          <w:highlight w:val="none"/>
        </w:rPr>
        <w:t xml:space="preserve">不利物质条件 </w:t>
      </w:r>
    </w:p>
    <w:p w14:paraId="5622BCE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4.11.1 不利物质条件的范围：</w:t>
      </w:r>
      <w:r>
        <w:rPr>
          <w:rStyle w:val="303"/>
          <w:rFonts w:hint="eastAsia" w:ascii="宋体" w:hAnsi="宋体" w:eastAsia="宋体" w:cs="宋体"/>
          <w:color w:val="auto"/>
          <w:szCs w:val="21"/>
          <w:highlight w:val="none"/>
          <w:u w:val="single"/>
        </w:rPr>
        <w:t xml:space="preserve"> / </w:t>
      </w:r>
      <w:r>
        <w:rPr>
          <w:rStyle w:val="303"/>
          <w:rFonts w:hint="eastAsia" w:ascii="宋体" w:hAnsi="宋体" w:eastAsia="宋体" w:cs="宋体"/>
          <w:color w:val="auto"/>
          <w:szCs w:val="21"/>
          <w:highlight w:val="none"/>
        </w:rPr>
        <w:t>。</w:t>
      </w:r>
    </w:p>
    <w:p w14:paraId="504978D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5.材料和工程设备 </w:t>
      </w:r>
    </w:p>
    <w:p w14:paraId="1C4E021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b/>
          <w:bCs/>
          <w:color w:val="auto"/>
          <w:szCs w:val="21"/>
          <w:highlight w:val="none"/>
        </w:rPr>
        <w:t>5.1承包人提供的材料和设备</w:t>
      </w:r>
      <w:r>
        <w:rPr>
          <w:rStyle w:val="303"/>
          <w:rFonts w:hint="eastAsia" w:ascii="宋体" w:hAnsi="宋体" w:eastAsia="宋体" w:cs="宋体"/>
          <w:color w:val="auto"/>
          <w:szCs w:val="21"/>
          <w:highlight w:val="none"/>
        </w:rPr>
        <w:t xml:space="preserve"> </w:t>
      </w:r>
    </w:p>
    <w:p w14:paraId="161A99C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通用合同条款第 5.1.1 项补充： </w:t>
      </w:r>
    </w:p>
    <w:p w14:paraId="58E18FB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承包人在投标文件中承诺的主要设备（含施工机械、检验、试验和机电设备） 原则上应按现场施工需要到位；承包人不管何种原因需推迟设备到位时间或改变到位设备的数量、型号等，均须事先经发包人和监理人的同意并将变更情况书面报监理人备案，违反上述规定视承包人违约并按合同条款第 22.1  条处理。</w:t>
      </w:r>
    </w:p>
    <w:p w14:paraId="71D2C97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工程实施期间，因设计变更或其他原因引起的变化较大的设备，发包人有权根据实施需要将承包人自行采购调整为发包人招标或其他方式。</w:t>
      </w:r>
    </w:p>
    <w:p w14:paraId="7EE6E3B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通用合同条款第 5.1.2 项补充：</w:t>
      </w:r>
    </w:p>
    <w:p w14:paraId="797A2F5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承包人应严格按照招标文件技术指标进行选型，选定的材料和工程设备必须满足本合同工程要求。合同执行过程中如发现承包人所选设备性能指标不满足或低于招标文件要求的，除必须无条件更换设备外，并扣除该项设备总价的 5%作为罚金。凡被发包人禁止进入本合同工程的材料、设备（或材料供应商），承包人不得采购（或向其采购）用于本项目。</w:t>
      </w:r>
    </w:p>
    <w:p w14:paraId="777D28F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（2）工程主材和专业设备的采购</w:t>
      </w:r>
    </w:p>
    <w:p w14:paraId="7195E5E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工程主材（包括钢材、管道、电缆等）和专业设备（包括供电设备、通信设备、收费设备、监控设备、照明设备、软件等）的采购必须严格执行发包人的管理要求， 主要设备保修期为 5 年。对于用于本工程的部分设备和材料，发包人招标阶段根据设计意图已提供参考品牌范围（表），承包人应当采购相当于或高于所列品牌技术标准的材料设备。工程现场实施期间，按以下规定执行：</w:t>
      </w:r>
    </w:p>
    <w:p w14:paraId="31BB88D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a、若承包人在投标文件中已选用参考品牌范围（表）的产品，未经发包人批准， 不得擅自改变；若承包人需改用参考品牌范围（表）内的其他品牌产品，应报监理人和发包人审批，由此产生的价差，增加费用不予补偿，节省费用归发包人；若承包人未经发包人批准，擅自改变投标文件中已选用的产品，发包人有权按照参考品牌范围（表）自行采购供货，因此产生所有费用（含材料设备价差）由承包人承担， 并按照实际发生费用直接从工程支付款中扣除，由此延误的工期不予顺延。</w:t>
      </w:r>
    </w:p>
    <w:p w14:paraId="59CA677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b、若承包人在投标文件中已选用的产品不在参考品牌范围（表）内，应提供产品的样品及照片、出厂合格证、国家有资质机构的产品检测报告及近三年内工程应用实例（合同文件、验收报告）等质量证明资料，经设计单位确认满足设计意图， 并报监理人和发包人审批通过后才能进场；若未通过审批，该材料设备不得进场， 已进场应按监理人要求的时间运走，由发包人按照参考品牌范围（表）自行采购供货，因此产生所有费用（含材料设备价差）由承包人承担，并按照实际发生费用直接从工程支付款中扣除，由此延误的工期不予顺延。</w:t>
      </w:r>
    </w:p>
    <w:p w14:paraId="376492D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承包人在设备材料的采购时，需统筹考虑既有机电设备的兼容性、匹配性等性能，若有不兼容性、不匹配性等情形，发包人有权要求更换或拒绝使用设备。</w:t>
      </w:r>
    </w:p>
    <w:p w14:paraId="41C4779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发包人招标文件采用的主要材料和设备的技术指标是按照当前比较成熟的主流设备设计，发包人有权根据新技术发展应用情况，提出将部分设备优化调整为指标优、市场占有率高的设备。</w:t>
      </w:r>
    </w:p>
    <w:p w14:paraId="01B9DE7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（3）工程地材的采购</w:t>
      </w:r>
    </w:p>
    <w:p w14:paraId="2D0DFAD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对于工程施工所需地材（碎石、砂、石粉等），承包人可自行决定采购方式， 但在采购工作开展之前至少 28 天将主要地材的供应方案（包括采购地材的品种和数量、供应商的名单、选择该供应商的理由、质量证明文件、供货计划等）报监理人批准。永久工程用砂严禁使用海砂。</w:t>
      </w:r>
    </w:p>
    <w:p w14:paraId="3B1D041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（4）其他材料和工程设备的采购</w:t>
      </w:r>
    </w:p>
    <w:p w14:paraId="720880D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除以上（1）～（3）条规定之外的其他材料和工程设备，承包人应将选定的各项材料和工程设备的供应商及品种、规格、质量证明文件、数量和供货计划等报送监理人和发包人核备。</w:t>
      </w:r>
    </w:p>
    <w:p w14:paraId="48448D9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（5）监理人和发包人对承包人采购材料和工程设备的审批、核备、监督等并不免除承包人的责任。</w:t>
      </w:r>
    </w:p>
    <w:p w14:paraId="45C3254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如果承包人采购的材料或设备是进口的，则承包人应向监理人提供由中华人民共和国进出口商品检验检疫局出具的检验证书，证明该材料或设备的质量、规格及合同规定的其他指标与合同规定相符，否则发包人有权向承包人提出索赔。</w:t>
      </w:r>
    </w:p>
    <w:p w14:paraId="6CE228D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通用合同条款增加第 5.1.4 项：</w:t>
      </w:r>
    </w:p>
    <w:p w14:paraId="7F588F4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5.1.4 材料和工程设备的防护、标识和可追溯性</w:t>
      </w:r>
    </w:p>
    <w:p w14:paraId="3C87802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确保材料和设备的运输、储存和保管满足材料特性的要求，防止材料和设备发生损坏、混淆、变质和受到污染。各种原材料、半成品、设备的储存方式及所用的仓库、储罐、场地等应提前得到监理人的同意和确认。</w:t>
      </w:r>
    </w:p>
    <w:p w14:paraId="0D8F476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根据材料、设备特性对材料和设备的运输、储存和保管的方法予以规定和执行，并依据材料和设备的种类和特性进行标识，确保每批材料或设备保持良好状态并能追溯到采购日期、供应商和相关的质量证明文件。</w:t>
      </w:r>
    </w:p>
    <w:p w14:paraId="78ADEB6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承包人在施工现场应建立原材料、设备的进出场台帐、质量检验和质量跟踪台帐。其内容应包括进货日期、材料或设备名称、品种、规格、数量、生产单位、供货单位、质量证明书编号、复试检验报告编号、检验结果和所用的工程部位等。 </w:t>
      </w:r>
    </w:p>
    <w:p w14:paraId="1278446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5.2发包人提供的材料和工程设备 </w:t>
      </w:r>
    </w:p>
    <w:p w14:paraId="6363BB2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通用合同条款第 5.2.1 项约定为：不提供。</w:t>
      </w:r>
    </w:p>
    <w:p w14:paraId="358A484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5.4禁止使用不合格的材料和工程设备</w:t>
      </w:r>
    </w:p>
    <w:p w14:paraId="5CBCDBE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通用合同条款第 5.4.2 项末尾补充：</w:t>
      </w:r>
    </w:p>
    <w:p w14:paraId="2CF2DD6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承包人还应承担由此带来的一切损失。</w:t>
      </w:r>
    </w:p>
    <w:p w14:paraId="265F794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本条增加第 5.5 款如下：</w:t>
      </w:r>
    </w:p>
    <w:p w14:paraId="7F0E9C8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5.5代用设备材料的使用</w:t>
      </w:r>
    </w:p>
    <w:p w14:paraId="6B64866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承包人需要使用代用设备、材料时，应经监理人认可并由发包人同意后才能使用，由此增减的合同价款双方以书面形式议定。承包人需要使用代用设备、材料， 仅限于出现下列情况时：</w:t>
      </w:r>
    </w:p>
    <w:p w14:paraId="4863361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(1)市场上无供应或在一定时间内突然供应短缺；</w:t>
      </w:r>
    </w:p>
    <w:p w14:paraId="2947F38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(2)政府或有关管理机构的后继规章、规定禁止使用；</w:t>
      </w:r>
    </w:p>
    <w:p w14:paraId="7B9D7E1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(3)发包人或监理人要求使用其他替代品；或者承包人提出，发包人和监理人批准使用其他替代品；</w:t>
      </w:r>
    </w:p>
    <w:p w14:paraId="3E97677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(4)任何其他可能的原因使得使用其他替代品成为必要。</w:t>
      </w:r>
    </w:p>
    <w:p w14:paraId="4E79237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没有发包人的书面同意，承包人不得自行采购 5.2.1 款规定的设备、材料，否则监理人、发包人应拒收这些设备、材料，承包人应赔偿由此带来的一切损失。无论出现任何情况，承包人均不得售卖发包人供应的设备、材料，否则一经查实，发包人有权对承包人处以售卖设备、材料金额两倍的罚款。</w:t>
      </w:r>
    </w:p>
    <w:p w14:paraId="71DC173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如果使用代用设备、材料，承包人应至少在被代换品按批准的进度计划将被用于工程前 14  天以书面形式通知监理人并随此通知提交下列文件：</w:t>
      </w:r>
    </w:p>
    <w:p w14:paraId="035D374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(1)拟采用的替代品的名称、数量、规格、型号、品牌、性能、价格及其他必要的详细资料；</w:t>
      </w:r>
    </w:p>
    <w:p w14:paraId="23AE9A9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(2)替代品使用的工程部位；</w:t>
      </w:r>
    </w:p>
    <w:p w14:paraId="2D8AA65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(3)采用替代品的理由和原因申述；</w:t>
      </w:r>
    </w:p>
    <w:p w14:paraId="7E1723A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(4)替代品与合同中约定的产品之间产生的差异以及使用替代品后可能对工程产生任何方面的影响；</w:t>
      </w:r>
    </w:p>
    <w:p w14:paraId="6B67066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(5)价格上的差异；</w:t>
      </w:r>
    </w:p>
    <w:p w14:paraId="4028115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(6)监理人为作出适当的决定而随时要求承包人提供的任何其他文件。</w:t>
      </w:r>
    </w:p>
    <w:p w14:paraId="319539F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监理人在收到此类通知及上述文件后，应在 14 天内作出审查意见，并报发包人批准。发包人对使用替代品的批准以及承包人据此使用替代品不应解除承包人合同约定的任何责任和义务。</w:t>
      </w:r>
    </w:p>
    <w:p w14:paraId="1E0B3C6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投标选用的设备、材料因停产或升级换代，或选用的设备、材料不响应招标文件技术规范要求的，或选用的设备、材料不符合联网兼容性要求的，或不满足运营统一管理和使用需求的，需变更设备、材料品牌或规格型号的，变更引起的设备、材料单价按市场价调整，原则上不得超过原投标单价。</w:t>
      </w:r>
    </w:p>
    <w:p w14:paraId="1F6C0FE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任何情况下，使用替代品都应遵守本合同中其他对设备和材料的任何约定。 </w:t>
      </w:r>
    </w:p>
    <w:p w14:paraId="6A3AB1A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9.施工安全、治安保卫和环境保护 </w:t>
      </w:r>
    </w:p>
    <w:p w14:paraId="32719B0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9.2  承包人的施工安全责任</w:t>
      </w:r>
    </w:p>
    <w:p w14:paraId="4924413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公路工程专用合同条款第 9.2.5 项细化为：</w:t>
      </w:r>
    </w:p>
    <w:p w14:paraId="129DEB0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9.2.5 施工期间，承包人必须严格执行国家、地方政府有关施工安全管理方面的法律、法规及规章制度，严格执行《公路水运工程安全生产监督管理办法》和苏交规（2012）9 号文《江苏省公路水运工程安全生产费管理办法》，同时严格执行发包人制订的本项目安全生产管理方面的规章制度、安全检查程序及施工安全管理要求，以及监理人有关安全工作的指示，以保证达到合同规定的安全生产要求。承包人在项目实施前，应编制安全生产实施方案报发包人和交警、路政等相关单位审批。</w:t>
      </w:r>
    </w:p>
    <w:p w14:paraId="4A74F72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安全生产费用应为清单小计的2%。安全生产费用应用于施工安全防护用具及设施的采购和更新、安全施工措施的落实、安全生产条件的改善，不得挪作他用。如承包人在此基础上增加安全生产费用以满足项目施工需要， 则承包人应在本项目工程量清单其他相关子目的单价或总额价中予以考虑，发包人不再另行支付。安全生产费用在合同执行过程中不随工程量的变化和设计变更而调整。因采取合同未约定的特殊防护措施增加的费用，由监理人按第 3.5 款商定或确定。</w:t>
      </w:r>
    </w:p>
    <w:p w14:paraId="11EB0AC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安全生产费的支付采用计量支付与总额包干相结合的方式，发包人将根据《江苏省公路水运工程安全生产费管理办法》、省交通运输厅编制的《江苏省公路工程招标文件安全生产工程量清单》制定具体的安全生产费计量支付办法。安全生产费使用前经监理人、发包人及相关有权部门验收符合《公路水运安全生产监督管理办法》的规定，并根据实际发生额，经业主审核后，据实支付，最高限额为工程量清单中所报数额。承包人应制订安全经费总体计划，有详细的安全经费使用台账，按有关规定及时申请安全经费的计量和支付。</w:t>
      </w:r>
    </w:p>
    <w:p w14:paraId="5321E09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发包人有权要求承包人完善安全生产设施、措施和条件，对不主动投入的承包人，发包人有权直接为其追加安全生产投入，费用从承包人安全生产费中支出。如在项目开工前或施工过程中，发包人及上级主管单位对承包人的安全生产设施、设备进行检查，发现隐患而承包人未能在限期内完成整改的，发包人有权请第三方协助承包人代为整改，所需费用在计提的安全生产费中支付。若整改费用超过计提的安全生产费，发包人有权向承包人追讨整改费用与计提的安全生产费的差额部分。</w:t>
      </w:r>
    </w:p>
    <w:p w14:paraId="0947B8E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公路工程专用合同条款补充第 9.2.8 项第（1）目细化为：</w:t>
      </w:r>
    </w:p>
    <w:p w14:paraId="13DB554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承包人应按《公路水运工程安全生产监督管理办法》 、《公路水运工程施工安全标准化指南》的要求，设立安全生产管理机构，配备专职安全生产管理人员。按照年度施工产值配备专职安全生产管理人员，不足 5000  万元的至少配备一名；5000万元以上不足 2  亿元的按每 5000  万元不少于 1  名的比例配备；2  亿元以上的不少于 5 名，且按专业配备。发包人可根据项目的工期和进度，提出最低的专职安全生产管理人员数量要求。</w:t>
      </w:r>
    </w:p>
    <w:p w14:paraId="58856BA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公路工程专用合同条款第 9.4.7 项第（2）目补充以下内容：</w:t>
      </w:r>
    </w:p>
    <w:p w14:paraId="0351793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施工单位是工程扬尘污染防治主体责任单位，应严格执行项目所在地扬尘污染防治相关文件规定，具体规定包括但不限于下列文件：</w:t>
      </w:r>
    </w:p>
    <w:p w14:paraId="27682C7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single"/>
        </w:rPr>
      </w:pPr>
      <w:r>
        <w:rPr>
          <w:rStyle w:val="303"/>
          <w:rFonts w:hint="eastAsia" w:ascii="宋体" w:hAnsi="宋体" w:eastAsia="宋体" w:cs="宋体"/>
          <w:color w:val="auto"/>
          <w:szCs w:val="21"/>
          <w:highlight w:val="none"/>
          <w:u w:val="single"/>
        </w:rPr>
        <w:t xml:space="preserve">根据住建部《关于进一步加强施工工地和道路扬尘管控工作的通知》（建办质〔2019〕23号），承包人应严格按照国家有关法规要求，制定具体的施工扬尘污染防治实施方案，在施工工地设立扬尘污染防治措施、负责人、扬尘监督管理主管部门等信息公示牌，采取有效防尘降尘措施，减少施工作业过程扬尘污染，做好扬尘污染防治工作，并加强监测监控。合同中已明确要求的做法和措施的一切费用均应含入工程量清单相关子目中，不另行计量与支付。 </w:t>
      </w:r>
    </w:p>
    <w:p w14:paraId="323F2F0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10.进度计划</w:t>
      </w:r>
    </w:p>
    <w:p w14:paraId="731A1B0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10.1合同进度计划</w:t>
      </w:r>
    </w:p>
    <w:p w14:paraId="021A9CD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 10.1 款中施工方案内容约定为：</w:t>
      </w:r>
    </w:p>
    <w:p w14:paraId="0C5B9C1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承包人编制施工方案的内容应包括（但不限于）：</w:t>
      </w:r>
    </w:p>
    <w:p w14:paraId="12BD403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(1)总体施工组织布置及规划</w:t>
      </w:r>
    </w:p>
    <w:p w14:paraId="2B6591C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(2)主要工程项目的施工方案、方法与技术措施</w:t>
      </w:r>
    </w:p>
    <w:p w14:paraId="015558E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(3)工期保证体系及保证措施</w:t>
      </w:r>
    </w:p>
    <w:p w14:paraId="479290E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(4)工程质量管理体系及保证措施</w:t>
      </w:r>
    </w:p>
    <w:p w14:paraId="4D059F8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(5)安全生产管理体系及各项保证措施</w:t>
      </w:r>
    </w:p>
    <w:p w14:paraId="520113E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(6)环境保护、水土保持、文物保护、文明施工保证体系及保证措施</w:t>
      </w:r>
    </w:p>
    <w:p w14:paraId="214BBAA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(7)项目风险预测与防范措施，事故应急预案</w:t>
      </w:r>
    </w:p>
    <w:p w14:paraId="6DCAE7A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(8)培训计划、技术支持及售后服务承诺</w:t>
      </w:r>
    </w:p>
    <w:p w14:paraId="0056469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(9)其他应说明的事项以及相应的图表 </w:t>
      </w:r>
    </w:p>
    <w:p w14:paraId="68FE934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10.3  年度施工计划</w:t>
      </w:r>
    </w:p>
    <w:p w14:paraId="2E74C71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在本款末增加以下内容：</w:t>
      </w:r>
    </w:p>
    <w:p w14:paraId="2BF68EE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在年度施工计划的基础上，承包人应根据发包人及监理人的具体安排编制和落实其他季度、月度、旬、节点等阶段性施工计划。 </w:t>
      </w:r>
    </w:p>
    <w:p w14:paraId="064C9A3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11.开工和交工 </w:t>
      </w:r>
    </w:p>
    <w:p w14:paraId="6377329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11.4  异常恶劣的气候条件 </w:t>
      </w:r>
    </w:p>
    <w:p w14:paraId="4BF2AF3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 11.4 款约定为：</w:t>
      </w:r>
    </w:p>
    <w:p w14:paraId="1F61010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异常恶劣的气候条件是指六级以上地震、十级以上强风暴、龙卷风或五十年一遇以上洪水造成重大破坏等情况无法施工持续 30 天以上者。 </w:t>
      </w:r>
    </w:p>
    <w:p w14:paraId="37AA200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12.暂停施工 </w:t>
      </w:r>
    </w:p>
    <w:p w14:paraId="0A7B5DE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12.1承包人暂停施工的责任 </w:t>
      </w:r>
    </w:p>
    <w:p w14:paraId="46D603F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 12.1 款（6）项约定：</w:t>
      </w:r>
    </w:p>
    <w:p w14:paraId="0AEC6FE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single"/>
        </w:rPr>
      </w:pPr>
      <w:r>
        <w:rPr>
          <w:rStyle w:val="303"/>
          <w:rFonts w:hint="eastAsia" w:ascii="宋体" w:hAnsi="宋体" w:eastAsia="宋体" w:cs="宋体"/>
          <w:color w:val="auto"/>
          <w:szCs w:val="21"/>
          <w:highlight w:val="none"/>
        </w:rPr>
        <w:t>(6)  由承包人承担的其他暂停施工：</w:t>
      </w:r>
      <w:r>
        <w:rPr>
          <w:rStyle w:val="303"/>
          <w:rFonts w:hint="eastAsia" w:ascii="宋体" w:hAnsi="宋体" w:eastAsia="宋体" w:cs="宋体"/>
          <w:color w:val="auto"/>
          <w:szCs w:val="21"/>
          <w:highlight w:val="none"/>
          <w:u w:val="single"/>
        </w:rPr>
        <w:t xml:space="preserve"> /  </w:t>
      </w:r>
    </w:p>
    <w:p w14:paraId="0AB5178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13.工程质量 </w:t>
      </w:r>
    </w:p>
    <w:p w14:paraId="61CA2F6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13.1工程质量要求 </w:t>
      </w:r>
    </w:p>
    <w:p w14:paraId="1C5AEE0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公路工程专用合同条款第 13.1.2 项后增加以下内容：</w:t>
      </w:r>
    </w:p>
    <w:p w14:paraId="1F33C3C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在工程经过验收并计量之后的任何时候，因任何方式（包括政府质量监督部门、发包人或监理人组织的各类检查）发现的关键工程质量不合格、工序不规范造成质量隐患，承包人应负责自费返工。 </w:t>
      </w:r>
    </w:p>
    <w:p w14:paraId="30DB558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13.2承包人的质量管理</w:t>
      </w:r>
    </w:p>
    <w:p w14:paraId="4ED63F1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公路工程专用合同条款补充第 13.2.11 项：</w:t>
      </w:r>
    </w:p>
    <w:p w14:paraId="61CB9E0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13.2.11 承包人施工过程中存在偷工减料、以次充好（含产品品牌、型号弄虚作假），企图蒙骗发包人、监理人的，属于承包人违约，经发包人发现确认，将予以书面通报并按涉及金额的双倍扣留违约金。情节严重的，发包人有权单方面终止合同，另选承包人进行剩余工程的施工。</w:t>
      </w:r>
    </w:p>
    <w:p w14:paraId="38987D7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13.4监理人的质量检查 </w:t>
      </w:r>
    </w:p>
    <w:p w14:paraId="229BC99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 13.4 款补充 13.4.1、13.4.2 和 13.4.3 项:</w:t>
      </w:r>
    </w:p>
    <w:p w14:paraId="4836E7D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13.4.1分系统检（试）验：承包人进行分系统检（试）验前至少应提前 48 小时通知监理人，并提交检（试）验大纲，作好相关的一切检（试）验准备，分系统检（试）验应有监理人代表参加，检（试）验结束后承包人应编制检（试）验报告， 载明检（试）验状况、存在问题与最后结论，并报监理人认可。</w:t>
      </w:r>
    </w:p>
    <w:p w14:paraId="2356295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如果监理人或其正式委派的代表未能在约定的时间到场，也未另外发出指令， 承包人可以进行分系统检（试）验，并可以认为这一分系统检（试）验是在监理人在场的情况下完成的。承包人应立即向监理人提出分系统检（试）验报告。如果监理人没有到场参加分系统检（试）验，监理人应对上述报告的准确性给予认可。</w:t>
      </w:r>
    </w:p>
    <w:p w14:paraId="76276AD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上述分系统检（试）验并不能解除承包人对合同所承担的任何责任。</w:t>
      </w:r>
    </w:p>
    <w:p w14:paraId="66EFF15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13.4.2系统检（试）验：承包人进行系统检（试）验前至少应提前 72 小时通知监理人，并提交检（试）验大纲，确定系统检（试）验的总负责人，作好相关的一切检（试）验准备，系统检（试）验必须有监理人代表和（或）发包人代表参加， 检（试）验结束后承包人应编制检（试）验报告，载明检（试）验状况、存在问题与最后结论，并报监理人认可。</w:t>
      </w:r>
    </w:p>
    <w:p w14:paraId="2DC28CB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如果监理人或其正式委派的代表和（或）发包人代表未能在约定的时间到场， 也未另外发出指令，为确保系统的安全和可靠投运，承包人不能进行系统检（试） 验，应该另行协商确定时间。</w:t>
      </w:r>
    </w:p>
    <w:p w14:paraId="0677A64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上述系统检（试）验并不能解除承包人对合同所承担的任何责任。</w:t>
      </w:r>
    </w:p>
    <w:p w14:paraId="5A4BE55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13.4.3完工检（试）验：承包人提交设备完工申请后，应进行设备完工检（试） 验工作，设备完工检（试）验由监理人主持，发包人代表参加，设备完工检（试） 验是对工程能否投入试运行的全面考核，承包人应根据监理人的指令提供设备完工检（试）验大纲，并作好一切准备工作，监理人应至少提前 48 小时通知承包人和发包人。检（试）验结束后承包人应编制检（试）验报告，载明检（试）验状况、存在问题与最后结论，报监理人认可。</w:t>
      </w:r>
    </w:p>
    <w:p w14:paraId="3C25A21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上述设备完工检（试）验并不能解除承包人对合同所承担的任何责任。</w:t>
      </w:r>
    </w:p>
    <w:p w14:paraId="7A89AEE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通用合同条款本条补充第 13.7 款：</w:t>
      </w:r>
    </w:p>
    <w:p w14:paraId="53B5A05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13.7  质量抽检</w:t>
      </w:r>
    </w:p>
    <w:p w14:paraId="3CD0DE5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交通运输主管部门质量监督机构及发包人委托的第三方试验检测机构有权对承包人施工质量随时进行抽检，并通过监理人对工程质量实施否决，承包人应积极配合并免费提供试验用的试件。承包人为配合上述工作发生的材料、机械、人员及试验和检验等费用不另行支付。</w:t>
      </w:r>
    </w:p>
    <w:p w14:paraId="782C23F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14.试验和检验 </w:t>
      </w:r>
    </w:p>
    <w:p w14:paraId="6631D94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14.1材料、工程设备和工程的试验和检验 </w:t>
      </w:r>
    </w:p>
    <w:p w14:paraId="38F5C36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通用合同条款补充第 14.1.4、14.1.5 和 14.1.5 项：</w:t>
      </w:r>
    </w:p>
    <w:p w14:paraId="67A0270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14.1.4工厂测试与检验</w:t>
      </w:r>
    </w:p>
    <w:p w14:paraId="7BF719F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监理工程师和发包人视情可能将派员去承包人制造厂或设备供应商加工厂对设备进行检查和监造，承包人承担组织、协调工作。</w:t>
      </w:r>
    </w:p>
    <w:p w14:paraId="21944E3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14.1.5设备材料的到货检（试）验与拒收</w:t>
      </w:r>
    </w:p>
    <w:p w14:paraId="6B2604C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根据设备材料的供货计划，设备材料到货后，承包人必须及时编制开箱报验单， 写明设备材料的名称、规格型号、数量、包装、质量情况、随机备件附件资料等， 经自验合格后，请监理人进行设备材料的到货检（试）验，确认合格后，才能用于工程。</w:t>
      </w:r>
    </w:p>
    <w:p w14:paraId="554E47D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如果监理人根据本条的检查或检验的结果，确定设备或材料有缺陷或不符合合同要求，监理人可以拒收设备或材料，并就此立即通知承包人，说明监理人的拒收与理由。承包人应立即修复所述缺陷，或替换被拒收的设备或材料，使其符合合同的规定，并提交监理人复验。如果监理人要求在相同条件下进行或重做被拒收设备或材料的检验，则重复检验所发生的全部费用由承包人负责，由发包人从承包人相应款项中扣回，监理人应通知承包人，抄送发包人。</w:t>
      </w:r>
    </w:p>
    <w:p w14:paraId="4688887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14.1.6属于承包人的试验和检验需要外委其他试验和检验单位进行时，外委试验和检验单位除应具有国家技术监督局或专业机构的认证资格外，应事先报发包人审批。</w:t>
      </w:r>
    </w:p>
    <w:p w14:paraId="4F39626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14.4  试验和检验费用</w:t>
      </w:r>
    </w:p>
    <w:p w14:paraId="3CEB343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公路工程专用合同条款补充 14.4（4）目：</w:t>
      </w:r>
    </w:p>
    <w:p w14:paraId="46AB328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发包人有权对承包人施工质量随时进行抽检，并通过监理人对工程质量实施否决，承包人应积极配合并免费提供试验用的试件、仪器设备。承包人为配合上述工作发生的材料、机械、人工等费用不另行支付。</w:t>
      </w:r>
    </w:p>
    <w:p w14:paraId="209B4BA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15.变更</w:t>
      </w:r>
    </w:p>
    <w:p w14:paraId="3745572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15.3  变更程序 </w:t>
      </w:r>
    </w:p>
    <w:p w14:paraId="577F26B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公路工程专用合同条款第 15.3.4 项细化为：</w:t>
      </w:r>
    </w:p>
    <w:p w14:paraId="57DACC0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本项目所有工程内容的设计变更程序、方法均执行交通运输部《公路工程设计变更管理办法》、江苏省交通运输厅《江苏省公路水运建设工程设计变更管理办法》和发包人制订的《设计变更管理办法》等相关规定和要求。 </w:t>
      </w:r>
    </w:p>
    <w:p w14:paraId="18A54B7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16.价格调整</w:t>
      </w:r>
    </w:p>
    <w:p w14:paraId="4A9D54F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16.1物价波动引起的价格调整</w:t>
      </w:r>
    </w:p>
    <w:p w14:paraId="26D4B4B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本款约定为：</w:t>
      </w:r>
    </w:p>
    <w:p w14:paraId="3AE2609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在合同执行期间（包括工期拖延期间）由于人工、材料和设备价格的上涨而引起工程施工成本增加的风险由承包人自行承担，合同价格不会因此而调整。 </w:t>
      </w:r>
    </w:p>
    <w:p w14:paraId="5B75ECA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17.计量与支付 </w:t>
      </w:r>
    </w:p>
    <w:p w14:paraId="34BF5C4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17.1计量 </w:t>
      </w:r>
    </w:p>
    <w:p w14:paraId="238A454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17.1.4单价子目的计量</w:t>
      </w:r>
    </w:p>
    <w:p w14:paraId="0EDF181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本项补充：</w:t>
      </w:r>
    </w:p>
    <w:p w14:paraId="5976072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（8）已标价工程量清单中未列但属于设备配件、附属件、安装件、连接线缆、安装基础以及设计图、合同要求配置的附属设备、设施等，其费用已包含在设备报价中，发包人将不另行支付。</w:t>
      </w:r>
    </w:p>
    <w:p w14:paraId="04B9041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17.1.5总价子目的计量</w:t>
      </w:r>
    </w:p>
    <w:p w14:paraId="4D77FC6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公路工程专用合同条款第 17.1.5 项约定为：</w:t>
      </w:r>
    </w:p>
    <w:p w14:paraId="0BFE27F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本项目工程量清单中要求承包人以“总额”方式报价的子目，各子目的支付原则和支付进度按本合同文件工程量清单计量规则中的规定执行。</w:t>
      </w:r>
    </w:p>
    <w:p w14:paraId="49F1CA2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17.3  工程进度付款</w:t>
      </w:r>
    </w:p>
    <w:p w14:paraId="31BC404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17.3.3  进度付款证书和支付时间</w:t>
      </w:r>
    </w:p>
    <w:p w14:paraId="11A6AF6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本款补充：</w:t>
      </w:r>
    </w:p>
    <w:p w14:paraId="7C9DC1E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（1）完成全部设备的安装以及系统调试工作，经交(竣)工验收合格后，结算审计完毕后，支付至合同结算审计价款的97%。</w:t>
      </w:r>
    </w:p>
    <w:p w14:paraId="0D0FCB0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（2）保留金比例为合同结算总价的3%，两年缺陷责任期满，系统运行无质量问题后支付。</w:t>
      </w:r>
    </w:p>
    <w:p w14:paraId="42BE5CF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每次付款时，发包人有权直接扣除按合同规定承包人应支付的违约金及赔偿金、补偿费等。发包人支付合同价款时，承包人须提出支付申请并提交相应符合发包人要求的增值税普通发票，否则发包人有权延迟付款，且不承担逾期付款责任。 </w:t>
      </w:r>
    </w:p>
    <w:p w14:paraId="197C673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注：具体费用支付条款以签订的合同为准。 </w:t>
      </w:r>
    </w:p>
    <w:p w14:paraId="32A9C52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17.4  质量保证金</w:t>
      </w:r>
    </w:p>
    <w:p w14:paraId="0C83A00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第 17.4.1 项细化为：</w:t>
      </w:r>
    </w:p>
    <w:p w14:paraId="694AB12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扣留合同结算总价的3%作为质保金，两年缺陷责任期满，系统运行无质量问题后支付。</w:t>
      </w:r>
    </w:p>
    <w:p w14:paraId="7C5C8EE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缺陷责任期内，工程质量保证金属建设资金，应专款专用，不得视为承包人的工程结算价款，用于抵债或作为处理承包人经济纠纷的费用。</w:t>
      </w:r>
    </w:p>
    <w:p w14:paraId="252639C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本款补充第 17.3.6 项：</w:t>
      </w:r>
    </w:p>
    <w:p w14:paraId="2658E52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17.3.6 工程代付款</w:t>
      </w:r>
    </w:p>
    <w:p w14:paraId="1848A69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如承包人有需要，并在取得发包人同意后，可以委托发包人将其计量可支付的工程款代为支付给与其有合法合同关系的单位，但承包人需提供委托支付函、合同及相关资料。经发包人审核后，代为支付给相应单位。</w:t>
      </w:r>
    </w:p>
    <w:p w14:paraId="741DFD2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17.6  最终结清</w:t>
      </w:r>
    </w:p>
    <w:p w14:paraId="5D1A4E5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17.6.2  最终结清证书和支付时间</w:t>
      </w:r>
    </w:p>
    <w:p w14:paraId="5259634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通用合同条款本项(2)目细化为：</w:t>
      </w:r>
    </w:p>
    <w:p w14:paraId="494AAD3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（2）发包人应在项目决算完成并在监理人出具最终结清证书后的 14 天内，将应 支付款支付给承包人。发包人不按期支付的，按第 17.3.3（2） 目的约定，将逾期付 款违约金支付给承包人。</w:t>
      </w:r>
    </w:p>
    <w:p w14:paraId="1302045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18.交工验收</w:t>
      </w:r>
    </w:p>
    <w:p w14:paraId="121F668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18.6  试运行 </w:t>
      </w:r>
    </w:p>
    <w:p w14:paraId="56EFEBB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通用合同条款第 18.6.1 项细化为：</w:t>
      </w:r>
    </w:p>
    <w:p w14:paraId="0A4F1AD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工程在设备完工并经交工测试合格后，为考核设备和系统的运行技术性能、稳定性、可靠性，承包人应配合进行工程及工程设备试运行，并负责提供必要的人员、器材等条件，同时承担相关费用。在试运行期间，承包人应对系统和所有设备的缺陷负有全部责任。</w:t>
      </w:r>
    </w:p>
    <w:p w14:paraId="324FC31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19.缺陷责任与保险责任</w:t>
      </w:r>
    </w:p>
    <w:p w14:paraId="5A16FAB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19.2  缺陷责任 </w:t>
      </w:r>
    </w:p>
    <w:p w14:paraId="6976869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公路工程专用合同条款第 19.2.2 项后补充：</w:t>
      </w:r>
    </w:p>
    <w:p w14:paraId="7AFA377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承包人应在缺陷责任期内安排专人负责缺陷责任期的管理工作，并确保在接到发包人（或运行管理机构）要求处理有关缺陷事项的通知后 24 小时内到达现场，到达现场后随即采取有效措施解决工程遗留的缺陷或其它问题。 </w:t>
      </w:r>
    </w:p>
    <w:p w14:paraId="270F281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20.保险</w:t>
      </w:r>
    </w:p>
    <w:p w14:paraId="66009BE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20.6  对各项保险的一般要求</w:t>
      </w:r>
    </w:p>
    <w:p w14:paraId="231A19B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20.6.4  保险金不足的补偿</w:t>
      </w:r>
    </w:p>
    <w:p w14:paraId="78AF867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 20.6.4 项细化为：</w:t>
      </w:r>
    </w:p>
    <w:p w14:paraId="5C066FA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保险金的赔偿金额以有资质的公估单位确定的金额为准，免赔额和超过赔偿限额的部分由承包人承担。</w:t>
      </w:r>
    </w:p>
    <w:p w14:paraId="13529E8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本款增加 20.6.6 项：</w:t>
      </w:r>
    </w:p>
    <w:p w14:paraId="5587523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除非合同中另有规定，承包人应采取必要的保险措施，保障发包人免于承受下列各种损失和索赔，对此，发包人不承担任何责任及费用。</w:t>
      </w:r>
    </w:p>
    <w:p w14:paraId="0EB320E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⑴ 任何人员的死亡或受伤。</w:t>
      </w:r>
    </w:p>
    <w:p w14:paraId="431CC24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⑵ 因工程的施工和竣工以及进行修正缺陷可能产生的或引起的对(工程以外的) 任何财产的损失或损坏，以及与上述方面相关的全部索赔、诉讼、赔偿费、诉讼费、律师费等费用和开支等。</w:t>
      </w:r>
    </w:p>
    <w:p w14:paraId="1D8A967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21.不可抗力</w:t>
      </w:r>
    </w:p>
    <w:p w14:paraId="1B1358B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21.1不可抗力的确认</w:t>
      </w:r>
    </w:p>
    <w:p w14:paraId="7F29E0E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公路工程专用合同条款 21.1.1（6）目约定为：</w:t>
      </w:r>
    </w:p>
    <w:p w14:paraId="310C682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21.1.1 (6)不可抗力的其他情形：</w:t>
      </w:r>
      <w:r>
        <w:rPr>
          <w:rStyle w:val="303"/>
          <w:rFonts w:hint="eastAsia" w:ascii="宋体" w:hAnsi="宋体" w:eastAsia="宋体" w:cs="宋体"/>
          <w:color w:val="auto"/>
          <w:szCs w:val="21"/>
          <w:highlight w:val="none"/>
          <w:u w:val="single"/>
        </w:rPr>
        <w:t xml:space="preserve"> / 。</w:t>
      </w:r>
    </w:p>
    <w:p w14:paraId="3A3F635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22.1承包人违约 </w:t>
      </w:r>
    </w:p>
    <w:p w14:paraId="75213F2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22.1.1当承包人发生第 22.1.1 项约定的违约情况时，发包人有权向承包人课以违约金，具体约定为：</w:t>
      </w:r>
    </w:p>
    <w:p w14:paraId="7292265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（1）承包人发生第22.1.1(1)目约定的违约情况时，应向发包人支付合同总价款10%的违约金。此违约金不足以弥补发包人损失的，发包人有权就不足部分继续追偿；</w:t>
      </w:r>
    </w:p>
    <w:p w14:paraId="363FEF6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（2）承包人发生第22.1.1(2)目约定的违约情况时，应向发包人支付10000元/次的违约金。此违约金不足以弥补发包人损失的，发包人有权就不足部分继续追偿；</w:t>
      </w:r>
    </w:p>
    <w:p w14:paraId="2467417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（3）承包人发生第22.1.1(3)目约定的违约情况时，应向发包人支付涉及不合格工程部分价款的双倍作为违约金，并应自费拆除、清除所有不合格材料或工程设备，重新施工；</w:t>
      </w:r>
    </w:p>
    <w:p w14:paraId="2E8DAC7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（4）承包人发生第22.1.1(4)目约定的违约情况时，已造成或预期造成工期延误的，每逾期一天，按合同价款的0.5%向发包人违约金，逾期违约金总额不超过签约合同价的10%；</w:t>
      </w:r>
    </w:p>
    <w:p w14:paraId="3F76C56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（5）承包人发生第22.1.1(5)目约定的违约情况时，应向发包人支付10000元/次的违约金，且发包人有权自行或委托第三方进行修复，所发生的全部费用将从承包人的质量保证金或任何应付款项中扣除；</w:t>
      </w:r>
    </w:p>
    <w:p w14:paraId="29616EC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（6）承包人发生第22.1.1(6)目约定的违约情况时，构成根本违约。承包人应就此向发包人支付合同总价款20%的违约金。此违约金不足以弥补发包人损失的，发包人有权就不足部分继续追偿；</w:t>
      </w:r>
    </w:p>
    <w:p w14:paraId="61B6CCA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7）对于其他违约行为，承包人应就每次违约向发包人支付人民币1000元至200000元的违约金，具体金额由发包人根据违约行为的严重程度和造成的后果酌情确定，并通知承包人。承包人如有异议，应在收到通知后5日内提出书面异议并说明理由，否则视为无异议。</w:t>
      </w:r>
    </w:p>
    <w:p w14:paraId="31302D0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22.2发包人违约</w:t>
      </w:r>
    </w:p>
    <w:p w14:paraId="7E4C8FB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22.2.1发包人无正当理由不按时返还履约保证金、质量保证金或农民工工资保证金的，发包人应向承包人支付的违约金为：</w:t>
      </w:r>
      <w:r>
        <w:rPr>
          <w:rStyle w:val="303"/>
          <w:rFonts w:hint="eastAsia" w:ascii="宋体" w:hAnsi="宋体" w:eastAsia="宋体" w:cs="宋体"/>
          <w:color w:val="auto"/>
          <w:szCs w:val="21"/>
          <w:highlight w:val="none"/>
          <w:u w:val="single"/>
        </w:rPr>
        <w:t xml:space="preserve"> / 。</w:t>
      </w:r>
      <w:r>
        <w:rPr>
          <w:rStyle w:val="303"/>
          <w:rFonts w:hint="eastAsia" w:ascii="宋体" w:hAnsi="宋体" w:eastAsia="宋体" w:cs="宋体"/>
          <w:color w:val="auto"/>
          <w:szCs w:val="21"/>
          <w:highlight w:val="none"/>
        </w:rPr>
        <w:t xml:space="preserve"> </w:t>
      </w:r>
    </w:p>
    <w:p w14:paraId="5A2AA75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 xml:space="preserve">24.争议的解决 </w:t>
      </w:r>
    </w:p>
    <w:p w14:paraId="5C3E343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24.1 争议的解决方式</w:t>
      </w:r>
    </w:p>
    <w:p w14:paraId="0A9FB1E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本款约定：</w:t>
      </w:r>
    </w:p>
    <w:p w14:paraId="1471616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合同当事人友好协商解决不成、不愿提请争议评审或不接受争议评审组意见的， 发包人或承包人任何一方均有权利提交发包人所在地人民法院诉讼解决。</w:t>
      </w:r>
    </w:p>
    <w:p w14:paraId="25FF89A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补充第 25 条和第 26 条：</w:t>
      </w:r>
    </w:p>
    <w:p w14:paraId="17B807E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25.履约考核</w:t>
      </w:r>
    </w:p>
    <w:p w14:paraId="7A281E8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按照《江苏省公路水运建设市场信用信息管理办法》（苏交规[2019]2 号文）要求，本合同工程实行履约考核制度，具体履约考核办法为：</w:t>
      </w:r>
      <w:r>
        <w:rPr>
          <w:rStyle w:val="303"/>
          <w:rFonts w:hint="eastAsia" w:ascii="宋体" w:hAnsi="宋体" w:eastAsia="宋体" w:cs="宋体"/>
          <w:color w:val="auto"/>
          <w:szCs w:val="21"/>
          <w:highlight w:val="none"/>
          <w:u w:val="single"/>
        </w:rPr>
        <w:t>《江苏交通控股有限公司供应商管理办法》。</w:t>
      </w:r>
    </w:p>
    <w:p w14:paraId="0175050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26.其他管理规定</w:t>
      </w:r>
    </w:p>
    <w:p w14:paraId="51497A2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本合同工程严格执行国家、部、省、厅的关于工程建设管理的各项规定，这些规定包括但不限于下列文件：</w:t>
      </w:r>
    </w:p>
    <w:p w14:paraId="4382B6C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single"/>
        </w:rPr>
      </w:pPr>
      <w:r>
        <w:rPr>
          <w:rStyle w:val="303"/>
          <w:rFonts w:hint="eastAsia" w:ascii="宋体" w:hAnsi="宋体" w:eastAsia="宋体" w:cs="宋体"/>
          <w:color w:val="auto"/>
          <w:szCs w:val="21"/>
          <w:highlight w:val="none"/>
          <w:u w:val="single"/>
        </w:rPr>
        <w:t>（1）《省交通运输厅关于公路水运项目招标文件落实品质工程要求的指导意见》</w:t>
      </w:r>
    </w:p>
    <w:p w14:paraId="5DAC0FC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single"/>
        </w:rPr>
      </w:pPr>
      <w:r>
        <w:rPr>
          <w:rStyle w:val="303"/>
          <w:rFonts w:hint="eastAsia" w:ascii="宋体" w:hAnsi="宋体" w:eastAsia="宋体" w:cs="宋体"/>
          <w:color w:val="auto"/>
          <w:szCs w:val="21"/>
          <w:highlight w:val="none"/>
          <w:u w:val="single"/>
        </w:rPr>
        <w:t>（苏交建〔2018〕18号）</w:t>
      </w:r>
    </w:p>
    <w:p w14:paraId="3F330E6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single"/>
        </w:rPr>
      </w:pPr>
      <w:r>
        <w:rPr>
          <w:rStyle w:val="303"/>
          <w:rFonts w:hint="eastAsia" w:ascii="宋体" w:hAnsi="宋体" w:eastAsia="宋体" w:cs="宋体"/>
          <w:color w:val="auto"/>
          <w:szCs w:val="21"/>
          <w:highlight w:val="none"/>
          <w:u w:val="single"/>
        </w:rPr>
        <w:t>（2）《省交通运输厅关于招标文件贯彻落实扬尘污染防治有关法律法规规定的指导意见》（苏交建〔2018〕17号）</w:t>
      </w:r>
    </w:p>
    <w:p w14:paraId="7C1CDE5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single"/>
        </w:rPr>
      </w:pPr>
      <w:r>
        <w:rPr>
          <w:rStyle w:val="303"/>
          <w:rFonts w:hint="eastAsia" w:ascii="宋体" w:hAnsi="宋体" w:eastAsia="宋体" w:cs="宋体"/>
          <w:color w:val="auto"/>
          <w:szCs w:val="21"/>
          <w:highlight w:val="none"/>
          <w:u w:val="single"/>
        </w:rPr>
        <w:t>（3）《江苏省公路工程施工分包管理实施细则》（苏交规〔2015〕2 号）</w:t>
      </w:r>
    </w:p>
    <w:p w14:paraId="508700E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single"/>
        </w:rPr>
      </w:pPr>
      <w:r>
        <w:rPr>
          <w:rStyle w:val="303"/>
          <w:rFonts w:hint="eastAsia" w:ascii="宋体" w:hAnsi="宋体" w:eastAsia="宋体" w:cs="宋体"/>
          <w:color w:val="auto"/>
          <w:szCs w:val="21"/>
          <w:highlight w:val="none"/>
          <w:u w:val="single"/>
        </w:rPr>
        <w:t>（4）《江苏省公路水运工程安全生产费用管理办法》（苏交规〔2025〕1号）</w:t>
      </w:r>
    </w:p>
    <w:p w14:paraId="217314A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u w:val="single"/>
        </w:rPr>
      </w:pPr>
      <w:r>
        <w:rPr>
          <w:rStyle w:val="303"/>
          <w:rFonts w:hint="eastAsia" w:ascii="宋体" w:hAnsi="宋体" w:eastAsia="宋体" w:cs="宋体"/>
          <w:color w:val="auto"/>
          <w:szCs w:val="21"/>
          <w:highlight w:val="none"/>
          <w:u w:val="single"/>
        </w:rPr>
        <w:t>（5）《江苏省公路水运建设市场信用信息管理办法》（苏交规〔2024〕6号）</w:t>
      </w:r>
    </w:p>
    <w:p w14:paraId="3C59C0A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27.其他</w:t>
      </w:r>
    </w:p>
    <w:p w14:paraId="72D9B98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承包人要认真贯彻落实《劳动法》《建设领域农民工工资支付管理暂行办法》（劳社部发[2004]22号）及《关于切实解决建筑业企业拖欠农民工工资问题的通知》（劳社部发[2003]27号等国家及省市相关法律法规有关禁止拖欠民工工资的要求，完善民工工资支付的实施办法，承包人应对劳务分包单位工资支付进行监督，督促其依法支付民工工资，督促其将工资直接发放给民工本人，严禁发放给“包工头”。承包人应采取必要措施保证不拖欠民工工资。</w:t>
      </w:r>
    </w:p>
    <w:p w14:paraId="579FDBE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承包人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p>
    <w:p w14:paraId="4455461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（3）如果发生违反规定拖欠或克扣农民工工资行为，造成农民工上访，发包人将暂停承包人 1 年期间参加发包人招标项目的投标资格，同时交通行政主管部门将依照有关规定对其作出其它处罚决定。</w:t>
      </w:r>
    </w:p>
    <w:p w14:paraId="0C61DDF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发包人有权从应付给承包人的工程款中代为支付其拖欠的材料、设备货款及民工工资。对恶意拖欠和拒不按计划支付的，将报交通主管部门。</w:t>
      </w:r>
    </w:p>
    <w:p w14:paraId="026D8CA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承包人应按照“关于落实省人民政府《关于解决农民工医疗保险问题的意见》的意见（苏交招[2009]6号）”的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p>
    <w:p w14:paraId="68798F7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承包人应保证其基于本合同约定向发包人交付的产品及服务符合本合同约定的要求及国家规定的标准，并保证发包人使用其提供的产品及服务免受第三方提出的侵犯其专利权、商标权或者工业设计权等权利的起诉或纠纷。任何第三方提出的侵权指控，均与发包人无关，由承包人承担可能发生的一切法律责任或费用责任。</w:t>
      </w:r>
    </w:p>
    <w:p w14:paraId="66698D64">
      <w:pPr>
        <w:rPr>
          <w:rStyle w:val="303"/>
          <w:rFonts w:hint="eastAsia" w:ascii="宋体" w:hAnsi="宋体" w:eastAsia="宋体" w:cs="宋体"/>
          <w:b/>
          <w:bCs/>
          <w:color w:val="auto"/>
          <w:sz w:val="24"/>
          <w:szCs w:val="24"/>
          <w:highlight w:val="none"/>
        </w:rPr>
      </w:pPr>
      <w:r>
        <w:rPr>
          <w:rStyle w:val="303"/>
          <w:rFonts w:hint="eastAsia" w:ascii="宋体" w:hAnsi="宋体" w:eastAsia="宋体" w:cs="宋体"/>
          <w:b/>
          <w:bCs/>
          <w:color w:val="auto"/>
          <w:sz w:val="24"/>
          <w:szCs w:val="24"/>
          <w:highlight w:val="none"/>
        </w:rPr>
        <w:br w:type="page"/>
      </w:r>
    </w:p>
    <w:p w14:paraId="0CA2BF5B">
      <w:pPr>
        <w:spacing w:line="440" w:lineRule="exact"/>
        <w:rPr>
          <w:rStyle w:val="303"/>
          <w:rFonts w:hint="eastAsia" w:ascii="宋体" w:hAnsi="宋体" w:eastAsia="宋体" w:cs="宋体"/>
          <w:b/>
          <w:bCs/>
          <w:color w:val="auto"/>
          <w:sz w:val="24"/>
          <w:szCs w:val="24"/>
          <w:highlight w:val="none"/>
        </w:rPr>
      </w:pPr>
      <w:r>
        <w:rPr>
          <w:rStyle w:val="303"/>
          <w:rFonts w:hint="eastAsia" w:ascii="宋体" w:hAnsi="宋体" w:eastAsia="宋体" w:cs="宋体"/>
          <w:b/>
          <w:bCs/>
          <w:color w:val="auto"/>
          <w:sz w:val="24"/>
          <w:szCs w:val="24"/>
          <w:highlight w:val="none"/>
        </w:rPr>
        <w:t>附件一廉政合同</w:t>
      </w:r>
    </w:p>
    <w:p w14:paraId="66A75D97">
      <w:pPr>
        <w:spacing w:line="440" w:lineRule="exact"/>
        <w:jc w:val="center"/>
        <w:rPr>
          <w:rStyle w:val="303"/>
          <w:rFonts w:hint="eastAsia" w:ascii="宋体" w:hAnsi="宋体" w:eastAsia="宋体" w:cs="宋体"/>
          <w:b/>
          <w:bCs/>
          <w:color w:val="auto"/>
          <w:sz w:val="24"/>
          <w:szCs w:val="24"/>
          <w:highlight w:val="none"/>
        </w:rPr>
      </w:pPr>
      <w:r>
        <w:rPr>
          <w:rStyle w:val="303"/>
          <w:rFonts w:hint="eastAsia" w:ascii="宋体" w:hAnsi="宋体" w:eastAsia="宋体" w:cs="宋体"/>
          <w:b/>
          <w:bCs/>
          <w:color w:val="auto"/>
          <w:sz w:val="24"/>
          <w:szCs w:val="24"/>
          <w:highlight w:val="none"/>
        </w:rPr>
        <w:t>廉政合同</w:t>
      </w:r>
    </w:p>
    <w:p w14:paraId="49265DA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根据《关于在交通基础设施建设中加强廉政建设的若干意见》以及有关工程建设、廉政建设的规定，为做好工程建设中的党风廉政建设，保证工程建设高效优质，保证建设资金的安全和有效使用以及投资效益，</w:t>
      </w:r>
      <w:r>
        <w:rPr>
          <w:rStyle w:val="303"/>
          <w:rFonts w:hint="eastAsia" w:ascii="宋体" w:hAnsi="宋体" w:eastAsia="宋体" w:cs="宋体"/>
          <w:color w:val="auto"/>
          <w:szCs w:val="21"/>
          <w:highlight w:val="none"/>
          <w:u w:val="single"/>
        </w:rPr>
        <w:t>2026年高管中心机关三楼会议系统改造项目</w:t>
      </w:r>
      <w:r>
        <w:rPr>
          <w:rStyle w:val="303"/>
          <w:rFonts w:hint="eastAsia" w:ascii="宋体" w:hAnsi="宋体" w:eastAsia="宋体" w:cs="宋体"/>
          <w:color w:val="auto"/>
          <w:szCs w:val="21"/>
          <w:highlight w:val="none"/>
        </w:rPr>
        <w:t>（项目名称）的项目法人</w:t>
      </w:r>
      <w:r>
        <w:rPr>
          <w:rStyle w:val="303"/>
          <w:rFonts w:hint="eastAsia" w:ascii="宋体" w:hAnsi="宋体" w:eastAsia="宋体" w:cs="宋体"/>
          <w:color w:val="auto"/>
          <w:szCs w:val="21"/>
          <w:highlight w:val="none"/>
          <w:u w:val="single"/>
        </w:rPr>
        <w:t>江苏省高速公路经营管理中心</w:t>
      </w:r>
      <w:r>
        <w:rPr>
          <w:rStyle w:val="303"/>
          <w:rFonts w:hint="eastAsia" w:ascii="宋体" w:hAnsi="宋体" w:eastAsia="宋体" w:cs="宋体"/>
          <w:color w:val="auto"/>
          <w:szCs w:val="21"/>
          <w:highlight w:val="none"/>
        </w:rPr>
        <w:t>（项目法人名称，以下简称“发包人”）与该项目</w:t>
      </w:r>
      <w:r>
        <w:rPr>
          <w:rStyle w:val="303"/>
          <w:rFonts w:hint="eastAsia" w:ascii="宋体" w:hAnsi="宋体" w:eastAsia="宋体" w:cs="宋体"/>
          <w:color w:val="auto"/>
          <w:szCs w:val="21"/>
          <w:highlight w:val="none"/>
          <w:u w:val="single"/>
        </w:rPr>
        <w:t xml:space="preserve"> / </w:t>
      </w:r>
      <w:r>
        <w:rPr>
          <w:rStyle w:val="303"/>
          <w:rFonts w:hint="eastAsia" w:ascii="宋体" w:hAnsi="宋体" w:eastAsia="宋体" w:cs="宋体"/>
          <w:color w:val="auto"/>
          <w:szCs w:val="21"/>
          <w:highlight w:val="none"/>
        </w:rPr>
        <w:t>标段的施工单位</w:t>
      </w:r>
      <w:r>
        <w:rPr>
          <w:rStyle w:val="303"/>
          <w:rFonts w:hint="eastAsia" w:ascii="宋体" w:hAnsi="宋体" w:eastAsia="宋体" w:cs="宋体"/>
          <w:color w:val="auto"/>
          <w:szCs w:val="21"/>
          <w:highlight w:val="none"/>
          <w:u w:val="single"/>
        </w:rPr>
        <w:t xml:space="preserve">          （</w:t>
      </w:r>
      <w:r>
        <w:rPr>
          <w:rStyle w:val="303"/>
          <w:rFonts w:hint="eastAsia" w:ascii="宋体" w:hAnsi="宋体" w:eastAsia="宋体" w:cs="宋体"/>
          <w:color w:val="auto"/>
          <w:szCs w:val="21"/>
          <w:highlight w:val="none"/>
        </w:rPr>
        <w:t>施工单位名称，以下简称“承包人”），特订立如下合同。</w:t>
      </w:r>
    </w:p>
    <w:p w14:paraId="407689C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1.发包人和承包人双方的权利和义务</w:t>
      </w:r>
    </w:p>
    <w:p w14:paraId="3AACD2A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（1）严格遵守党的政策规定和国家有关法律法规及交通运输部的有关规定。</w:t>
      </w:r>
    </w:p>
    <w:p w14:paraId="2B3B01F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（2）严格执行</w:t>
      </w:r>
      <w:r>
        <w:rPr>
          <w:rStyle w:val="303"/>
          <w:rFonts w:hint="eastAsia" w:ascii="宋体" w:hAnsi="宋体" w:eastAsia="宋体" w:cs="宋体"/>
          <w:color w:val="auto"/>
          <w:szCs w:val="21"/>
          <w:highlight w:val="none"/>
          <w:u w:val="single"/>
        </w:rPr>
        <w:t xml:space="preserve"> 2026年高管中心机关三楼会议系统改造项目</w:t>
      </w:r>
      <w:r>
        <w:rPr>
          <w:rStyle w:val="303"/>
          <w:rFonts w:hint="eastAsia" w:ascii="宋体" w:hAnsi="宋体" w:eastAsia="宋体" w:cs="宋体"/>
          <w:color w:val="auto"/>
          <w:szCs w:val="21"/>
          <w:highlight w:val="none"/>
        </w:rPr>
        <w:t>（项目名称）</w:t>
      </w:r>
      <w:r>
        <w:rPr>
          <w:rStyle w:val="303"/>
          <w:rFonts w:hint="eastAsia" w:ascii="宋体" w:hAnsi="宋体" w:cs="宋体"/>
          <w:color w:val="auto"/>
          <w:szCs w:val="21"/>
          <w:highlight w:val="none"/>
          <w:u w:val="single"/>
          <w:lang w:val="en-US" w:eastAsia="zh-CN"/>
        </w:rPr>
        <w:t xml:space="preserve">  /  </w:t>
      </w:r>
      <w:r>
        <w:rPr>
          <w:rStyle w:val="303"/>
          <w:rFonts w:hint="eastAsia" w:ascii="宋体" w:hAnsi="宋体" w:eastAsia="宋体" w:cs="宋体"/>
          <w:color w:val="auto"/>
          <w:szCs w:val="21"/>
          <w:highlight w:val="none"/>
        </w:rPr>
        <w:t>标段施工合同文件，自觉按合同办事。</w:t>
      </w:r>
    </w:p>
    <w:p w14:paraId="01A47FC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（3）双方的业务活动坚持公开、公正、诚信、透明的原则（法律认定的商业秘密和合同文件另有规定除外），不得损害国家和集体利益，不得违反工程建设管理规章制度。</w:t>
      </w:r>
    </w:p>
    <w:p w14:paraId="08F906F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（4）建立健全廉政制度，开展廉政教育，设立廉政告示牌，公布举报电话， 监督并认真查处违法违纪行为。</w:t>
      </w:r>
    </w:p>
    <w:p w14:paraId="25EB494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（5）发现对方在业务活动中有违反廉政规定的行为，有及时提醒对方纠正的权利和义务。</w:t>
      </w:r>
    </w:p>
    <w:p w14:paraId="324247F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（6）发现对方严重违反本合同义务条款的行为，有向其上级有关部门举报、建议给予处理并要求告知处理结果的权利。</w:t>
      </w:r>
    </w:p>
    <w:p w14:paraId="0C6A2E5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2.发包人的义务</w:t>
      </w:r>
    </w:p>
    <w:p w14:paraId="5098FA3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（1）发包人及其工作人员不得索要或接受承包人的礼金、有价证券和贵重物品，不得让承包人报销任何应由发包人或发包人工作人员个人支付的费用等。</w:t>
      </w:r>
    </w:p>
    <w:p w14:paraId="5A4832D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（2）发包人工作人员不得参加承包人安排的超标准宴请和娱乐活动；不得接受承包人提供的通信工具、交通工具和高档办公用品等。</w:t>
      </w:r>
    </w:p>
    <w:p w14:paraId="6AE0B64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（3）发包人及其工作人员不得要求或者接受承包人为其住房装修、婚丧嫁娶活动、配偶子女的工作安排以及出国出境、旅游等提供方便等。</w:t>
      </w:r>
    </w:p>
    <w:p w14:paraId="5C40CD5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（4）发包人工作人员及其配偶、子女不得从事与发包人工程有关的材料设备供应、工程分包、劳务等经济活动等。</w:t>
      </w:r>
    </w:p>
    <w:p w14:paraId="7946AB8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（5）发包人及其工作人员不得以任何理由向承包人推荐分包单位或推销材料，不得要求承包人购买合同规定外的材料和设备。</w:t>
      </w:r>
    </w:p>
    <w:p w14:paraId="6AE670A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（6）发包人工作人员要秉公办事，不准营私舞弊，不准利用职权从事各种个人有偿中介活动和安排个人施工队伍。</w:t>
      </w:r>
    </w:p>
    <w:p w14:paraId="30B913F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3.承包人的义务</w:t>
      </w:r>
    </w:p>
    <w:p w14:paraId="335F2ED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（1）承包人不得以任何理由向发包人及其工作人员行贿或馈赠礼金、有价证券、贵重礼品。</w:t>
      </w:r>
    </w:p>
    <w:p w14:paraId="020109A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（2）承包人不得以任何名义为发包人及其工作人员报销应由发包人单位或个人支付的任何费用。</w:t>
      </w:r>
    </w:p>
    <w:p w14:paraId="6D0B4CE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（3）承包人不得以任何理由安排发包人工作人员参加超标准宴请及娱乐活动。</w:t>
      </w:r>
    </w:p>
    <w:p w14:paraId="1217BEA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（4）承包人不得为发包人单位和个人购置或提供通信工具、交通工具和高档办公用品等。</w:t>
      </w:r>
    </w:p>
    <w:p w14:paraId="22E34CA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4.违约责任</w:t>
      </w:r>
    </w:p>
    <w:p w14:paraId="53F48DC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（1）发包人及其工作人员违反本合同第 1、2 条，按管理权限，依据有关规定给予党纪、政纪或组织处理；涉嫌犯罪的，移交司法机关追究刑事责任；给承包人单位造成经济损失的，应予以赔偿。</w:t>
      </w:r>
    </w:p>
    <w:p w14:paraId="0ACD279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（2）承包人及其工作人员违反本合同第 1、3 条，按管理权限，依据有关规定给予党纪、政纪或组织处理；给发包人单位造成经济损失的，应予以赔偿；情节严重的，发包人建议交通运输主管部门给予承包人一至三年内不得进入其主管的公路建设市场的处罚。</w:t>
      </w:r>
    </w:p>
    <w:p w14:paraId="718F14C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4F34CB7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 xml:space="preserve">6.本合同作为 </w:t>
      </w:r>
      <w:r>
        <w:rPr>
          <w:rStyle w:val="303"/>
          <w:rFonts w:hint="eastAsia" w:ascii="宋体" w:hAnsi="宋体" w:eastAsia="宋体" w:cs="宋体"/>
          <w:color w:val="auto"/>
          <w:szCs w:val="21"/>
          <w:highlight w:val="none"/>
          <w:u w:val="single"/>
        </w:rPr>
        <w:t>2026年高管中心机关三楼会议系统改造项目</w:t>
      </w:r>
      <w:r>
        <w:rPr>
          <w:rStyle w:val="303"/>
          <w:rFonts w:hint="eastAsia" w:ascii="宋体" w:hAnsi="宋体" w:eastAsia="宋体" w:cs="宋体"/>
          <w:color w:val="auto"/>
          <w:szCs w:val="21"/>
          <w:highlight w:val="none"/>
        </w:rPr>
        <w:t>（项目名称）</w:t>
      </w:r>
      <w:r>
        <w:rPr>
          <w:rStyle w:val="303"/>
          <w:rFonts w:hint="eastAsia" w:ascii="宋体" w:hAnsi="宋体" w:eastAsia="宋体" w:cs="宋体"/>
          <w:color w:val="auto"/>
          <w:szCs w:val="21"/>
          <w:highlight w:val="none"/>
          <w:u w:val="single"/>
        </w:rPr>
        <w:t xml:space="preserve">  /   </w:t>
      </w:r>
      <w:r>
        <w:rPr>
          <w:rStyle w:val="303"/>
          <w:rFonts w:hint="eastAsia" w:ascii="宋体" w:hAnsi="宋体" w:eastAsia="宋体" w:cs="宋体"/>
          <w:color w:val="auto"/>
          <w:szCs w:val="21"/>
          <w:highlight w:val="none"/>
        </w:rPr>
        <w:t>标段施工合同的附件，与工程施工合同具有同等的法律效力，经合同双方签署后立即生效。</w:t>
      </w:r>
    </w:p>
    <w:p w14:paraId="3F47F5B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p>
    <w:p w14:paraId="5F6359A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p>
    <w:p w14:paraId="00921BFE">
      <w:pPr>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br w:type="page"/>
      </w:r>
    </w:p>
    <w:p w14:paraId="3A3E4C2E">
      <w:pPr>
        <w:spacing w:line="440" w:lineRule="exact"/>
        <w:rPr>
          <w:rStyle w:val="303"/>
          <w:rFonts w:hint="eastAsia" w:ascii="宋体" w:hAnsi="宋体" w:eastAsia="宋体" w:cs="宋体"/>
          <w:b/>
          <w:bCs/>
          <w:color w:val="auto"/>
          <w:sz w:val="24"/>
          <w:szCs w:val="24"/>
          <w:highlight w:val="none"/>
        </w:rPr>
      </w:pPr>
      <w:r>
        <w:rPr>
          <w:rStyle w:val="303"/>
          <w:rFonts w:hint="eastAsia" w:ascii="宋体" w:hAnsi="宋体" w:eastAsia="宋体" w:cs="宋体"/>
          <w:b/>
          <w:bCs/>
          <w:color w:val="auto"/>
          <w:sz w:val="24"/>
          <w:szCs w:val="24"/>
          <w:highlight w:val="none"/>
        </w:rPr>
        <w:t>附件二安全生产合同</w:t>
      </w:r>
    </w:p>
    <w:p w14:paraId="0F0D9FF4">
      <w:pPr>
        <w:spacing w:line="440" w:lineRule="exact"/>
        <w:jc w:val="center"/>
        <w:rPr>
          <w:rStyle w:val="303"/>
          <w:rFonts w:hint="eastAsia" w:ascii="宋体" w:hAnsi="宋体" w:eastAsia="宋体" w:cs="宋体"/>
          <w:b/>
          <w:bCs/>
          <w:color w:val="auto"/>
          <w:sz w:val="24"/>
          <w:szCs w:val="24"/>
          <w:highlight w:val="none"/>
        </w:rPr>
      </w:pPr>
      <w:r>
        <w:rPr>
          <w:rStyle w:val="303"/>
          <w:rFonts w:hint="eastAsia" w:ascii="宋体" w:hAnsi="宋体" w:eastAsia="宋体" w:cs="宋体"/>
          <w:b/>
          <w:bCs/>
          <w:color w:val="auto"/>
          <w:sz w:val="24"/>
          <w:szCs w:val="24"/>
          <w:highlight w:val="none"/>
        </w:rPr>
        <w:t>安全生产合同</w:t>
      </w:r>
    </w:p>
    <w:p w14:paraId="3E9E181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为在</w:t>
      </w:r>
      <w:r>
        <w:rPr>
          <w:rStyle w:val="303"/>
          <w:rFonts w:hint="eastAsia" w:ascii="宋体" w:hAnsi="宋体" w:eastAsia="宋体" w:cs="宋体"/>
          <w:color w:val="auto"/>
          <w:szCs w:val="21"/>
          <w:highlight w:val="none"/>
          <w:u w:val="single"/>
        </w:rPr>
        <w:t>2026年高管中心机关三楼会议系统改造项目</w:t>
      </w:r>
      <w:r>
        <w:rPr>
          <w:rStyle w:val="303"/>
          <w:rFonts w:hint="eastAsia" w:ascii="宋体" w:hAnsi="宋体" w:eastAsia="宋体" w:cs="宋体"/>
          <w:color w:val="auto"/>
          <w:szCs w:val="21"/>
          <w:highlight w:val="none"/>
        </w:rPr>
        <w:t>（项目名称）</w:t>
      </w:r>
      <w:r>
        <w:rPr>
          <w:rStyle w:val="303"/>
          <w:rFonts w:hint="eastAsia" w:ascii="宋体" w:hAnsi="宋体" w:eastAsia="宋体" w:cs="宋体"/>
          <w:color w:val="auto"/>
          <w:szCs w:val="21"/>
          <w:highlight w:val="none"/>
          <w:u w:val="single"/>
        </w:rPr>
        <w:t xml:space="preserve">  /  </w:t>
      </w:r>
      <w:r>
        <w:rPr>
          <w:rStyle w:val="303"/>
          <w:rFonts w:hint="eastAsia" w:ascii="宋体" w:hAnsi="宋体" w:eastAsia="宋体" w:cs="宋体"/>
          <w:color w:val="auto"/>
          <w:szCs w:val="21"/>
          <w:highlight w:val="none"/>
        </w:rPr>
        <w:t xml:space="preserve"> 标段施工合同 的实施过程中创造安全、高效的施工环境，切实搞好本项目的安全管理工作，本项目 发包人</w:t>
      </w:r>
      <w:r>
        <w:rPr>
          <w:rStyle w:val="303"/>
          <w:rFonts w:hint="eastAsia" w:ascii="宋体" w:hAnsi="宋体" w:eastAsia="宋体" w:cs="宋体"/>
          <w:color w:val="auto"/>
          <w:szCs w:val="21"/>
          <w:highlight w:val="none"/>
          <w:u w:val="single"/>
        </w:rPr>
        <w:t>江苏省高速公路经营管理中心</w:t>
      </w:r>
      <w:r>
        <w:rPr>
          <w:rStyle w:val="303"/>
          <w:rFonts w:hint="eastAsia" w:ascii="宋体" w:hAnsi="宋体" w:eastAsia="宋体" w:cs="宋体"/>
          <w:color w:val="auto"/>
          <w:szCs w:val="21"/>
          <w:highlight w:val="none"/>
        </w:rPr>
        <w:t xml:space="preserve">（发包人名称，以下简称“发包人 ”）与承包人 </w:t>
      </w:r>
      <w:r>
        <w:rPr>
          <w:rStyle w:val="303"/>
          <w:rFonts w:hint="eastAsia" w:ascii="宋体" w:hAnsi="宋体" w:eastAsia="宋体" w:cs="宋体"/>
          <w:color w:val="auto"/>
          <w:szCs w:val="21"/>
          <w:highlight w:val="none"/>
          <w:u w:val="single"/>
        </w:rPr>
        <w:t xml:space="preserve">            </w:t>
      </w:r>
      <w:r>
        <w:rPr>
          <w:rStyle w:val="303"/>
          <w:rFonts w:hint="eastAsia" w:ascii="宋体" w:hAnsi="宋体" w:eastAsia="宋体" w:cs="宋体"/>
          <w:color w:val="auto"/>
          <w:szCs w:val="21"/>
          <w:highlight w:val="none"/>
        </w:rPr>
        <w:t>（承包人名称，以下简称“承包人 ”）特此签订安全生产合同。</w:t>
      </w:r>
    </w:p>
    <w:p w14:paraId="00831B2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1.发包人职责</w:t>
      </w:r>
    </w:p>
    <w:p w14:paraId="1A759F2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（1）严格遵守国家有关安全生产的法律法规，认真执行工程承包合同中的有关安全要求。</w:t>
      </w:r>
    </w:p>
    <w:p w14:paraId="516A548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（2）按照“安全第一、预防为主、综合治理 ”和坚持“管生产必须管安全 ”的原则进行安全生产管理，做到生产与安全工作同时计划、布置、检查、总结和评比。</w:t>
      </w:r>
    </w:p>
    <w:p w14:paraId="0FBA476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（3）重要的安全设施必须坚持与主体工程“三同时 ”的原则，即：同时设计、审批，同时施工，同时验收，投入使用。</w:t>
      </w:r>
    </w:p>
    <w:p w14:paraId="4249768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（4）定期召开安全生产调度会，及时传达中央及地方有关安全生产的精神。</w:t>
      </w:r>
    </w:p>
    <w:p w14:paraId="24343D6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（5）组织对承包人施工现场进行安全生产检查，监督承包人及时处理发现的各种安全隐患。</w:t>
      </w:r>
    </w:p>
    <w:p w14:paraId="6087AF5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2.承包人职责</w:t>
      </w:r>
    </w:p>
    <w:p w14:paraId="6D6FB89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14:paraId="783CD35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（2）坚持“安全第一、预防为主、综合治理 ”和“管生产必须管安全 ”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5D75C63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6467EE2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（4）承包人在任何时候都应采取各种合理的预防措施，防止其员工发生任何违法、违禁、暴力或妨碍治安的行为。</w:t>
      </w:r>
    </w:p>
    <w:p w14:paraId="1C8EF6E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03E549C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0B0F72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（7）操作人员上岗，必须按规定穿戴防护用品。施工负责人和安全检查员应随时检查劳动防护用品的穿戴情况，不按规定穿戴防护用品的人员不得上岗。</w:t>
      </w:r>
    </w:p>
    <w:p w14:paraId="59799A8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（8）所有施工机具设备和高空作业的设备均应定期检查，并有安全员的签字记录，保证其经常处于完好状态；不合格的机具、设备和劳动保护用品严禁使用。</w:t>
      </w:r>
    </w:p>
    <w:p w14:paraId="6D24196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（9）施工中采用新技术、新工艺、新设备、新材料时，必须制定相应的安全技术措施，施工现场必须具有相关的安全标志牌。</w:t>
      </w:r>
    </w:p>
    <w:p w14:paraId="1A69191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 四不放过 ”的原则，严肃处理相关责任人。</w:t>
      </w:r>
    </w:p>
    <w:p w14:paraId="2FB0589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（11）安全生产费用按照《公路水运工程安全生产监督管理办法》的相关规定使用和管理。</w:t>
      </w:r>
    </w:p>
    <w:p w14:paraId="3CEA511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b/>
          <w:bCs/>
          <w:color w:val="auto"/>
          <w:szCs w:val="21"/>
          <w:highlight w:val="none"/>
        </w:rPr>
      </w:pPr>
      <w:r>
        <w:rPr>
          <w:rStyle w:val="303"/>
          <w:rFonts w:hint="eastAsia" w:ascii="宋体" w:hAnsi="宋体" w:eastAsia="宋体" w:cs="宋体"/>
          <w:b/>
          <w:bCs/>
          <w:color w:val="auto"/>
          <w:szCs w:val="21"/>
          <w:highlight w:val="none"/>
        </w:rPr>
        <w:t>3.违约责任</w:t>
      </w:r>
    </w:p>
    <w:p w14:paraId="6CDDC36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如因发包人或承包人违约造成安全事故，将依法追究责任。</w:t>
      </w:r>
    </w:p>
    <w:p w14:paraId="7F1EA2D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Style w:val="303"/>
          <w:rFonts w:hint="eastAsia" w:ascii="宋体" w:hAnsi="宋体" w:eastAsia="宋体" w:cs="宋体"/>
          <w:color w:val="auto"/>
          <w:szCs w:val="21"/>
          <w:highlight w:val="none"/>
        </w:rPr>
      </w:pPr>
      <w:r>
        <w:rPr>
          <w:rStyle w:val="303"/>
          <w:rFonts w:hint="eastAsia" w:ascii="宋体" w:hAnsi="宋体" w:eastAsia="宋体" w:cs="宋体"/>
          <w:color w:val="auto"/>
          <w:szCs w:val="21"/>
          <w:highlight w:val="none"/>
        </w:rPr>
        <w:t>4.本合同作为</w:t>
      </w:r>
      <w:r>
        <w:rPr>
          <w:rStyle w:val="303"/>
          <w:rFonts w:hint="eastAsia" w:ascii="宋体" w:hAnsi="宋体" w:eastAsia="宋体" w:cs="宋体"/>
          <w:color w:val="auto"/>
          <w:szCs w:val="21"/>
          <w:highlight w:val="none"/>
          <w:u w:val="single"/>
        </w:rPr>
        <w:t>2026年高管中心机关三楼会议系统改造项目</w:t>
      </w:r>
      <w:r>
        <w:rPr>
          <w:rStyle w:val="303"/>
          <w:rFonts w:hint="eastAsia" w:ascii="宋体" w:hAnsi="宋体" w:eastAsia="宋体" w:cs="宋体"/>
          <w:color w:val="auto"/>
          <w:szCs w:val="21"/>
          <w:highlight w:val="none"/>
        </w:rPr>
        <w:t>（项目名称）标段施工合同的附件，与工程施工合同具有同等的法律效力，经合同双方签署后立即生效。</w:t>
      </w:r>
    </w:p>
    <w:p w14:paraId="31ECCBB6">
      <w:pPr>
        <w:pStyle w:val="14"/>
        <w:rPr>
          <w:rStyle w:val="303"/>
          <w:rFonts w:hint="eastAsia" w:ascii="宋体" w:hAnsi="宋体" w:eastAsia="宋体" w:cs="宋体"/>
          <w:color w:val="auto"/>
          <w:szCs w:val="21"/>
          <w:highlight w:val="none"/>
        </w:rPr>
      </w:pPr>
    </w:p>
    <w:p w14:paraId="1D76818F">
      <w:pPr>
        <w:rPr>
          <w:rStyle w:val="303"/>
          <w:rFonts w:hint="eastAsia" w:ascii="宋体" w:hAnsi="宋体" w:eastAsia="宋体" w:cs="宋体"/>
          <w:color w:val="auto"/>
          <w:szCs w:val="21"/>
          <w:highlight w:val="none"/>
        </w:rPr>
      </w:pPr>
    </w:p>
    <w:p w14:paraId="49502745">
      <w:pPr>
        <w:spacing w:line="360" w:lineRule="auto"/>
        <w:ind w:firstLine="420"/>
        <w:rPr>
          <w:rFonts w:hint="eastAsia" w:ascii="Times New Roman" w:hAnsi="Times New Roman" w:eastAsia="宋体" w:cs="Microsoft New Tai Lue"/>
          <w:highlight w:val="none"/>
          <w:lang w:val="en-US" w:eastAsia="zh-CN"/>
        </w:rPr>
      </w:pPr>
      <w:r>
        <w:rPr>
          <w:rFonts w:hint="eastAsia" w:ascii="Times New Roman" w:hAnsi="Times New Roman" w:eastAsia="宋体" w:cs="Microsoft New Tai Lue"/>
          <w:highlight w:val="none"/>
          <w:lang w:val="en-US" w:eastAsia="zh-CN"/>
        </w:rPr>
        <w:br w:type="page" w:clear="all"/>
      </w:r>
    </w:p>
    <w:p w14:paraId="5177A350">
      <w:pPr>
        <w:pStyle w:val="77"/>
        <w:numPr>
          <w:ilvl w:val="0"/>
          <w:numId w:val="4"/>
        </w:numPr>
        <w:ind w:left="535" w:hanging="321"/>
        <w:rPr>
          <w:rFonts w:ascii="Times New Roman" w:hAnsi="Times New Roman" w:eastAsia="宋体" w:cs="Microsoft New Tai Lue"/>
          <w:highlight w:val="none"/>
        </w:rPr>
      </w:pPr>
      <w:bookmarkStart w:id="302" w:name="_Toc91836564"/>
      <w:r>
        <w:rPr>
          <w:rFonts w:hint="eastAsia" w:ascii="Times New Roman" w:hAnsi="Times New Roman" w:eastAsia="宋体" w:cs="Microsoft New Tai Lue"/>
          <w:highlight w:val="none"/>
        </w:rPr>
        <w:t xml:space="preserve"> </w:t>
      </w:r>
      <w:bookmarkStart w:id="303" w:name="_Toc1568387567"/>
      <w:bookmarkStart w:id="304" w:name="_Toc5307"/>
      <w:r>
        <w:rPr>
          <w:rFonts w:ascii="Times New Roman" w:hAnsi="Times New Roman" w:eastAsia="宋体" w:cs="Microsoft New Tai Lue"/>
          <w:highlight w:val="none"/>
        </w:rPr>
        <w:t>采购需求</w:t>
      </w:r>
      <w:bookmarkEnd w:id="302"/>
      <w:bookmarkEnd w:id="303"/>
      <w:bookmarkEnd w:id="304"/>
    </w:p>
    <w:p w14:paraId="078336C1">
      <w:pPr>
        <w:pStyle w:val="13"/>
        <w:spacing w:after="0" w:line="360" w:lineRule="auto"/>
        <w:ind w:firstLine="410"/>
        <w:jc w:val="left"/>
        <w:rPr>
          <w:rFonts w:hint="eastAsia" w:ascii="宋体" w:hAnsi="宋体" w:eastAsia="宋体" w:cs="宋体"/>
          <w:b/>
          <w:bCs/>
          <w:color w:val="auto"/>
          <w:spacing w:val="-3"/>
          <w:szCs w:val="21"/>
          <w:highlight w:val="none"/>
          <w:lang w:eastAsia="zh-CN"/>
        </w:rPr>
      </w:pPr>
      <w:bookmarkStart w:id="305" w:name="_Toc1675555291"/>
      <w:r>
        <w:rPr>
          <w:rFonts w:hint="eastAsia" w:ascii="宋体" w:hAnsi="宋体" w:eastAsia="宋体" w:cs="宋体"/>
          <w:b/>
          <w:bCs/>
          <w:color w:val="auto"/>
          <w:spacing w:val="-3"/>
          <w:szCs w:val="21"/>
          <w:highlight w:val="none"/>
        </w:rPr>
        <w:t>一、项目名称：</w:t>
      </w:r>
      <w:r>
        <w:rPr>
          <w:rFonts w:hint="eastAsia" w:ascii="宋体" w:hAnsi="宋体" w:eastAsia="宋体" w:cs="宋体"/>
          <w:bCs/>
          <w:color w:val="auto"/>
          <w:szCs w:val="21"/>
          <w:highlight w:val="none"/>
          <w:lang w:eastAsia="zh-CN"/>
        </w:rPr>
        <w:t>2026年高管中心机关三楼会议系统改造项目</w:t>
      </w:r>
    </w:p>
    <w:p w14:paraId="671C79D9">
      <w:pPr>
        <w:spacing w:line="360" w:lineRule="auto"/>
        <w:ind w:firstLine="406"/>
        <w:jc w:val="left"/>
        <w:rPr>
          <w:rFonts w:hint="eastAsia" w:ascii="宋体" w:hAnsi="宋体" w:eastAsia="宋体" w:cs="宋体"/>
          <w:color w:val="auto"/>
          <w:spacing w:val="-4"/>
          <w:szCs w:val="21"/>
          <w:highlight w:val="none"/>
        </w:rPr>
      </w:pPr>
      <w:r>
        <w:rPr>
          <w:rFonts w:hint="eastAsia" w:ascii="宋体" w:hAnsi="宋体" w:eastAsia="宋体" w:cs="宋体"/>
          <w:b/>
          <w:bCs/>
          <w:color w:val="auto"/>
          <w:spacing w:val="-4"/>
          <w:szCs w:val="21"/>
          <w:highlight w:val="none"/>
        </w:rPr>
        <w:t>二、项目概况</w:t>
      </w:r>
      <w:r>
        <w:rPr>
          <w:rFonts w:hint="eastAsia" w:ascii="宋体" w:hAnsi="宋体" w:eastAsia="宋体" w:cs="宋体"/>
          <w:color w:val="auto"/>
          <w:spacing w:val="-4"/>
          <w:szCs w:val="21"/>
          <w:highlight w:val="none"/>
        </w:rPr>
        <w:t>：高管中心机关三楼327、311会议室投入使用已超20年，会议设施设备普遍老化、部分已被淘汰，维修价值极低，无法保障高清视频会议等现代会议场景需求。为全面提升信息化会议保障能力，结合中心机关三楼整体维修改造工程，本次拟开展2026年高管中心机关三楼会议系统改造项目。</w:t>
      </w:r>
    </w:p>
    <w:p w14:paraId="176BD37D">
      <w:pPr>
        <w:pStyle w:val="13"/>
        <w:spacing w:after="0" w:line="360" w:lineRule="auto"/>
        <w:ind w:firstLine="410"/>
        <w:jc w:val="left"/>
        <w:rPr>
          <w:rFonts w:hint="eastAsia" w:ascii="宋体" w:hAnsi="宋体" w:eastAsia="宋体" w:cs="宋体"/>
          <w:color w:val="auto"/>
          <w:szCs w:val="21"/>
          <w:highlight w:val="none"/>
        </w:rPr>
      </w:pPr>
      <w:r>
        <w:rPr>
          <w:rFonts w:hint="eastAsia" w:ascii="宋体" w:hAnsi="宋体" w:eastAsia="宋体" w:cs="宋体"/>
          <w:b/>
          <w:bCs/>
          <w:color w:val="auto"/>
          <w:spacing w:val="-4"/>
          <w:szCs w:val="21"/>
          <w:highlight w:val="none"/>
        </w:rPr>
        <w:t>三、采购内容：</w:t>
      </w:r>
      <w:r>
        <w:rPr>
          <w:rFonts w:hint="eastAsia" w:ascii="宋体" w:hAnsi="宋体" w:eastAsia="宋体" w:cs="宋体"/>
          <w:bCs/>
          <w:color w:val="auto"/>
          <w:sz w:val="21"/>
          <w:szCs w:val="21"/>
          <w:highlight w:val="none"/>
          <w:lang w:val="en-US" w:eastAsia="zh-CN" w:bidi="ar-SA"/>
        </w:rPr>
        <w:t>2026年高管中心机关三楼会议系统改造项目，</w:t>
      </w:r>
      <w:r>
        <w:rPr>
          <w:rFonts w:hint="eastAsia" w:ascii="宋体" w:hAnsi="宋体" w:eastAsia="宋体" w:cs="宋体"/>
          <w:bCs/>
          <w:color w:val="auto"/>
          <w:szCs w:val="21"/>
          <w:highlight w:val="none"/>
        </w:rPr>
        <w:t>具体详见工程量清单。</w:t>
      </w:r>
    </w:p>
    <w:p w14:paraId="7718AE4D">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四、付款方式：</w:t>
      </w:r>
    </w:p>
    <w:p w14:paraId="50584AB8">
      <w:pPr>
        <w:pStyle w:val="31"/>
        <w:ind w:firstLine="400"/>
        <w:rPr>
          <w:rFonts w:hint="default" w:ascii="宋体" w:hAnsi="宋体" w:eastAsia="宋体" w:cs="宋体"/>
          <w:color w:val="auto"/>
          <w:spacing w:val="-4"/>
          <w:sz w:val="21"/>
          <w:szCs w:val="21"/>
          <w:highlight w:val="none"/>
          <w:lang w:val="en-US" w:eastAsia="zh-CN" w:bidi="ar-SA"/>
        </w:rPr>
      </w:pPr>
      <w:r>
        <w:rPr>
          <w:rFonts w:hint="eastAsia" w:cs="宋体"/>
          <w:color w:val="auto"/>
          <w:spacing w:val="-4"/>
          <w:sz w:val="21"/>
          <w:szCs w:val="21"/>
          <w:highlight w:val="none"/>
          <w:lang w:val="en-US" w:eastAsia="zh-CN" w:bidi="ar-SA"/>
        </w:rPr>
        <w:t>详见采购合同。</w:t>
      </w:r>
    </w:p>
    <w:p w14:paraId="7040E5AA">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五、工期及地点：</w:t>
      </w:r>
    </w:p>
    <w:p w14:paraId="5F1BCFC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工期：</w:t>
      </w:r>
      <w:r>
        <w:rPr>
          <w:rFonts w:hint="eastAsia" w:ascii="宋体" w:hAnsi="宋体" w:eastAsia="宋体" w:cs="宋体"/>
          <w:color w:val="auto"/>
          <w:szCs w:val="21"/>
          <w:highlight w:val="none"/>
          <w:lang w:val="en-US" w:eastAsia="zh-CN"/>
        </w:rPr>
        <w:t>自合同签订起60日</w:t>
      </w:r>
    </w:p>
    <w:p w14:paraId="3A7FE5C3">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建设地点：</w:t>
      </w:r>
      <w:r>
        <w:rPr>
          <w:rFonts w:hint="eastAsia" w:ascii="宋体" w:hAnsi="宋体" w:eastAsia="宋体" w:cs="宋体"/>
          <w:color w:val="auto"/>
          <w:szCs w:val="21"/>
          <w:highlight w:val="none"/>
          <w:lang w:val="en-US" w:eastAsia="zh-CN"/>
        </w:rPr>
        <w:t>南京市江苏路60-1号</w:t>
      </w:r>
    </w:p>
    <w:p w14:paraId="7F05FC7D">
      <w:pPr>
        <w:numPr>
          <w:ilvl w:val="0"/>
          <w:numId w:val="5"/>
        </w:num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工程量清单见附件。</w:t>
      </w:r>
    </w:p>
    <w:p w14:paraId="37B93933">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七、质量要求：</w:t>
      </w:r>
      <w:r>
        <w:rPr>
          <w:rFonts w:hint="eastAsia" w:ascii="宋体" w:hAnsi="宋体" w:eastAsia="宋体" w:cs="宋体"/>
          <w:color w:val="auto"/>
          <w:szCs w:val="21"/>
          <w:highlight w:val="none"/>
          <w:lang w:val="en-US" w:eastAsia="zh-CN"/>
        </w:rPr>
        <w:t>合格。</w:t>
      </w:r>
    </w:p>
    <w:p w14:paraId="14B1ADEA">
      <w:pPr>
        <w:spacing w:line="360" w:lineRule="auto"/>
        <w:ind w:firstLine="422"/>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rPr>
        <w:t>八</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bidi="ar"/>
        </w:rPr>
        <w:t>工程质量保修要求：</w:t>
      </w:r>
    </w:p>
    <w:p w14:paraId="07656B5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本工程质量保修期从工程经过发包人或发包人上级项目管理部门或工程质量管理部门验收合格交付使用之日起算，截</w:t>
      </w:r>
      <w:r>
        <w:rPr>
          <w:rFonts w:hint="eastAsia" w:ascii="宋体" w:hAnsi="宋体" w:eastAsia="宋体" w:cs="宋体"/>
          <w:color w:val="auto"/>
          <w:highlight w:val="none"/>
          <w:lang w:val="en-US" w:eastAsia="zh-CN"/>
        </w:rPr>
        <w:t>止</w:t>
      </w:r>
      <w:r>
        <w:rPr>
          <w:rFonts w:hint="eastAsia" w:ascii="宋体" w:hAnsi="宋体" w:eastAsia="宋体" w:cs="宋体"/>
          <w:color w:val="auto"/>
          <w:highlight w:val="none"/>
        </w:rPr>
        <w:t>时间以投标书为准并不得低于法定期限。</w:t>
      </w:r>
    </w:p>
    <w:p w14:paraId="36C2EB29">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highlight w:val="none"/>
        </w:rPr>
        <w:t>本项目的缺陷责任期为2年，从工程通过竣工验收之日起计算。</w:t>
      </w:r>
    </w:p>
    <w:p w14:paraId="4AB24E73">
      <w:pPr>
        <w:spacing w:line="360" w:lineRule="auto"/>
        <w:ind w:firstLine="420"/>
        <w:jc w:val="left"/>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val="zh-CN" w:bidi="ar"/>
        </w:rPr>
        <w:t>缺陷责任期</w:t>
      </w:r>
      <w:r>
        <w:rPr>
          <w:rFonts w:hint="eastAsia" w:ascii="宋体" w:hAnsi="宋体" w:eastAsia="宋体" w:cs="宋体"/>
          <w:bCs/>
          <w:color w:val="auto"/>
          <w:szCs w:val="21"/>
          <w:highlight w:val="none"/>
          <w:lang w:val="zh-CN" w:eastAsia="zh-TW" w:bidi="ar"/>
        </w:rPr>
        <w:t>内若因供应商施工责任引起质量缺陷，供应商应该在双方约定期限内派人到场保修，并承担保修责任及保修费用。</w:t>
      </w:r>
    </w:p>
    <w:p w14:paraId="5B1FCF71">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bidi="ar"/>
        </w:rPr>
        <w:t>九</w:t>
      </w:r>
      <w:r>
        <w:rPr>
          <w:rFonts w:hint="eastAsia" w:ascii="宋体" w:hAnsi="宋体" w:eastAsia="宋体" w:cs="宋体"/>
          <w:b/>
          <w:bCs/>
          <w:color w:val="auto"/>
          <w:szCs w:val="21"/>
          <w:highlight w:val="none"/>
          <w:lang w:bidi="ar"/>
        </w:rPr>
        <w:t>、验收要求：</w:t>
      </w:r>
      <w:r>
        <w:rPr>
          <w:rFonts w:hint="eastAsia" w:ascii="宋体" w:hAnsi="宋体" w:eastAsia="宋体" w:cs="宋体"/>
          <w:bCs/>
          <w:color w:val="auto"/>
          <w:szCs w:val="21"/>
          <w:highlight w:val="none"/>
          <w:lang w:bidi="ar"/>
        </w:rPr>
        <w:t>符合《建设工程质量管理条例》</w:t>
      </w:r>
    </w:p>
    <w:p w14:paraId="4E0AA1BB">
      <w:pPr>
        <w:spacing w:line="360" w:lineRule="auto"/>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bidi="ar"/>
        </w:rPr>
        <w:t>十</w:t>
      </w:r>
      <w:r>
        <w:rPr>
          <w:rFonts w:hint="eastAsia" w:ascii="宋体" w:hAnsi="宋体" w:eastAsia="宋体" w:cs="宋体"/>
          <w:b/>
          <w:bCs/>
          <w:color w:val="auto"/>
          <w:szCs w:val="21"/>
          <w:highlight w:val="none"/>
          <w:lang w:bidi="ar"/>
        </w:rPr>
        <w:t>、</w:t>
      </w:r>
      <w:r>
        <w:rPr>
          <w:rFonts w:hint="eastAsia" w:ascii="宋体" w:hAnsi="宋体" w:eastAsia="宋体" w:cs="宋体"/>
          <w:b/>
          <w:bCs/>
          <w:color w:val="auto"/>
          <w:szCs w:val="21"/>
          <w:highlight w:val="none"/>
        </w:rPr>
        <w:t>施工要求：</w:t>
      </w:r>
    </w:p>
    <w:p w14:paraId="0208302C">
      <w:pPr>
        <w:spacing w:line="360" w:lineRule="auto"/>
        <w:ind w:firstLine="422"/>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eastAsia="zh-TW" w:bidi="ar"/>
        </w:rPr>
        <w:t>1</w:t>
      </w:r>
      <w:r>
        <w:rPr>
          <w:rFonts w:hint="eastAsia" w:ascii="宋体" w:hAnsi="宋体" w:eastAsia="宋体" w:cs="宋体"/>
          <w:b/>
          <w:color w:val="auto"/>
          <w:szCs w:val="21"/>
          <w:highlight w:val="none"/>
          <w:lang w:bidi="ar"/>
        </w:rPr>
        <w:t>、本项目</w:t>
      </w:r>
      <w:r>
        <w:rPr>
          <w:rFonts w:hint="eastAsia" w:ascii="宋体" w:hAnsi="宋体" w:eastAsia="宋体" w:cs="宋体"/>
          <w:b/>
          <w:color w:val="auto"/>
          <w:szCs w:val="21"/>
          <w:highlight w:val="none"/>
          <w:lang w:eastAsia="zh-TW" w:bidi="ar"/>
        </w:rPr>
        <w:t>供应商</w:t>
      </w:r>
      <w:r>
        <w:rPr>
          <w:rFonts w:hint="eastAsia" w:ascii="宋体" w:hAnsi="宋体" w:eastAsia="宋体" w:cs="宋体"/>
          <w:b/>
          <w:color w:val="auto"/>
          <w:szCs w:val="21"/>
          <w:highlight w:val="none"/>
          <w:lang w:bidi="ar"/>
        </w:rPr>
        <w:t>施工中应</w:t>
      </w:r>
      <w:r>
        <w:rPr>
          <w:rFonts w:hint="eastAsia" w:ascii="宋体" w:hAnsi="宋体" w:eastAsia="宋体" w:cs="宋体"/>
          <w:b/>
          <w:color w:val="auto"/>
          <w:szCs w:val="21"/>
          <w:highlight w:val="none"/>
          <w:lang w:eastAsia="zh-TW" w:bidi="ar"/>
        </w:rPr>
        <w:t>做到文明施工，做好施工现场及</w:t>
      </w:r>
      <w:r>
        <w:rPr>
          <w:rFonts w:hint="eastAsia" w:ascii="宋体" w:hAnsi="宋体" w:eastAsia="宋体" w:cs="宋体"/>
          <w:b/>
          <w:color w:val="auto"/>
          <w:szCs w:val="21"/>
          <w:highlight w:val="none"/>
          <w:lang w:val="en-US" w:eastAsia="zh-CN" w:bidi="ar"/>
        </w:rPr>
        <w:t>场地</w:t>
      </w:r>
      <w:r>
        <w:rPr>
          <w:rFonts w:hint="eastAsia" w:ascii="宋体" w:hAnsi="宋体" w:eastAsia="宋体" w:cs="宋体"/>
          <w:b/>
          <w:color w:val="auto"/>
          <w:szCs w:val="21"/>
          <w:highlight w:val="none"/>
          <w:lang w:eastAsia="zh-TW" w:bidi="ar"/>
        </w:rPr>
        <w:t>整洁，施工垃圾及时清运，</w:t>
      </w:r>
      <w:r>
        <w:rPr>
          <w:rFonts w:hint="eastAsia" w:ascii="宋体" w:hAnsi="宋体" w:eastAsia="宋体" w:cs="宋体"/>
          <w:b/>
          <w:color w:val="auto"/>
          <w:szCs w:val="21"/>
          <w:highlight w:val="none"/>
          <w:lang w:bidi="ar"/>
        </w:rPr>
        <w:t>工完场清，</w:t>
      </w:r>
      <w:r>
        <w:rPr>
          <w:rFonts w:hint="eastAsia" w:ascii="宋体" w:hAnsi="宋体" w:eastAsia="宋体" w:cs="宋体"/>
          <w:b/>
          <w:color w:val="auto"/>
          <w:szCs w:val="21"/>
          <w:highlight w:val="none"/>
          <w:lang w:eastAsia="zh-TW" w:bidi="ar"/>
        </w:rPr>
        <w:t>清运手续、费用由施工方自行解决。</w:t>
      </w:r>
    </w:p>
    <w:p w14:paraId="57DE092F">
      <w:pPr>
        <w:spacing w:line="360" w:lineRule="auto"/>
        <w:ind w:firstLine="420"/>
        <w:rPr>
          <w:rFonts w:hint="eastAsia" w:ascii="宋体" w:hAnsi="宋体" w:eastAsia="宋体" w:cs="宋体"/>
          <w:bCs/>
          <w:color w:val="auto"/>
          <w:szCs w:val="21"/>
          <w:highlight w:val="none"/>
          <w:lang w:eastAsia="zh-TW" w:bidi="ar"/>
        </w:rPr>
      </w:pPr>
      <w:r>
        <w:rPr>
          <w:rFonts w:hint="eastAsia" w:ascii="宋体" w:hAnsi="宋体" w:eastAsia="宋体" w:cs="宋体"/>
          <w:bCs/>
          <w:color w:val="auto"/>
          <w:szCs w:val="21"/>
          <w:highlight w:val="none"/>
          <w:lang w:eastAsia="zh-TW" w:bidi="ar"/>
        </w:rPr>
        <w:t>2</w:t>
      </w:r>
      <w:r>
        <w:rPr>
          <w:rFonts w:hint="eastAsia" w:ascii="宋体" w:hAnsi="宋体" w:eastAsia="宋体" w:cs="宋体"/>
          <w:bCs/>
          <w:color w:val="auto"/>
          <w:szCs w:val="21"/>
          <w:highlight w:val="none"/>
          <w:lang w:bidi="ar"/>
        </w:rPr>
        <w:t>、</w:t>
      </w:r>
      <w:r>
        <w:rPr>
          <w:rFonts w:hint="eastAsia" w:ascii="宋体" w:hAnsi="宋体" w:eastAsia="宋体" w:cs="宋体"/>
          <w:bCs/>
          <w:color w:val="auto"/>
          <w:szCs w:val="21"/>
          <w:highlight w:val="none"/>
          <w:lang w:eastAsia="zh-TW" w:bidi="ar"/>
        </w:rPr>
        <w:t>所提供的施工材料必须符合国家质量检测、环境、安全等有关标准。</w:t>
      </w:r>
    </w:p>
    <w:p w14:paraId="1E9A2973">
      <w:pPr>
        <w:spacing w:line="360" w:lineRule="auto"/>
        <w:ind w:firstLine="420"/>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3、</w:t>
      </w:r>
      <w:r>
        <w:rPr>
          <w:rFonts w:hint="eastAsia" w:ascii="宋体" w:hAnsi="宋体" w:eastAsia="宋体" w:cs="宋体"/>
          <w:bCs/>
          <w:color w:val="auto"/>
          <w:szCs w:val="21"/>
          <w:highlight w:val="none"/>
          <w:lang w:eastAsia="zh-TW" w:bidi="ar"/>
        </w:rPr>
        <w:t>推广绿色建材产品应用</w:t>
      </w:r>
      <w:r>
        <w:rPr>
          <w:rFonts w:hint="eastAsia" w:ascii="宋体" w:hAnsi="宋体" w:eastAsia="宋体" w:cs="宋体"/>
          <w:bCs/>
          <w:color w:val="auto"/>
          <w:szCs w:val="21"/>
          <w:highlight w:val="none"/>
          <w:lang w:bidi="ar"/>
        </w:rPr>
        <w:t>。</w:t>
      </w:r>
      <w:r>
        <w:rPr>
          <w:rFonts w:hint="eastAsia" w:ascii="宋体" w:hAnsi="宋体" w:eastAsia="宋体" w:cs="宋体"/>
          <w:color w:val="auto"/>
          <w:szCs w:val="21"/>
          <w:highlight w:val="none"/>
        </w:rPr>
        <w:t>本项目有关绿色采购要求执行苏财购【2023】65号文。供应商所提供的各类设备设施材料必须为环保、节能、安全产品。必须符合国家标准，有质量环保检验合格证明和有中文标识的产品名称、规格、型号、生产厂厂名、厂址等，不得用国家明令淘汰的材料和设备。材料、设备进场前需经采购人和监理验收合格后方可入场，如不符合质量要求和规格差异，应禁止使用。若已使用，对工程造成的损失由供应商负责。</w:t>
      </w:r>
    </w:p>
    <w:p w14:paraId="1EF48819">
      <w:pPr>
        <w:spacing w:line="360" w:lineRule="auto"/>
        <w:ind w:firstLine="420"/>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bidi="ar"/>
        </w:rPr>
        <w:t>4、</w:t>
      </w:r>
      <w:r>
        <w:rPr>
          <w:rFonts w:hint="eastAsia" w:ascii="宋体" w:hAnsi="宋体" w:eastAsia="宋体" w:cs="宋体"/>
          <w:bCs/>
          <w:color w:val="auto"/>
          <w:szCs w:val="21"/>
          <w:highlight w:val="none"/>
          <w:lang w:eastAsia="zh-TW" w:bidi="ar"/>
        </w:rPr>
        <w:t>供应商必须严格遵守安全规程，加强安全纪律，持证上岗，施工时必须佩戴安全帽，高空作业时须系安全带，保证安全用电，做好防火工作等。</w:t>
      </w:r>
    </w:p>
    <w:p w14:paraId="5075C864">
      <w:pPr>
        <w:spacing w:line="360" w:lineRule="auto"/>
        <w:ind w:firstLine="420"/>
        <w:rPr>
          <w:rFonts w:hint="eastAsia" w:ascii="宋体" w:hAnsi="宋体" w:eastAsia="宋体" w:cs="宋体"/>
          <w:bCs/>
          <w:color w:val="auto"/>
          <w:szCs w:val="21"/>
          <w:highlight w:val="none"/>
          <w:lang w:val="zh-CN" w:eastAsia="zh-TW"/>
        </w:rPr>
      </w:pPr>
      <w:r>
        <w:rPr>
          <w:rFonts w:hint="eastAsia" w:ascii="宋体" w:hAnsi="宋体" w:eastAsia="宋体" w:cs="宋体"/>
          <w:bCs/>
          <w:color w:val="auto"/>
          <w:szCs w:val="21"/>
          <w:highlight w:val="none"/>
          <w:lang w:val="en-US" w:eastAsia="zh-CN" w:bidi="ar"/>
        </w:rPr>
        <w:t>5</w:t>
      </w:r>
      <w:r>
        <w:rPr>
          <w:rFonts w:hint="eastAsia" w:ascii="宋体" w:hAnsi="宋体" w:eastAsia="宋体" w:cs="宋体"/>
          <w:bCs/>
          <w:color w:val="auto"/>
          <w:szCs w:val="21"/>
          <w:highlight w:val="none"/>
          <w:lang w:bidi="ar"/>
        </w:rPr>
        <w:t>、</w:t>
      </w:r>
      <w:r>
        <w:rPr>
          <w:rFonts w:hint="eastAsia" w:ascii="宋体" w:hAnsi="宋体" w:eastAsia="宋体" w:cs="宋体"/>
          <w:bCs/>
          <w:color w:val="auto"/>
          <w:szCs w:val="21"/>
          <w:highlight w:val="none"/>
          <w:lang w:val="zh-CN" w:eastAsia="zh-TW" w:bidi="ar"/>
        </w:rPr>
        <w:t>工程量清单报价应包含完成本工程内容所需的全部费用，包括且不限于分部分项工程费、措施项目费、其</w:t>
      </w:r>
      <w:r>
        <w:rPr>
          <w:rFonts w:hint="eastAsia" w:ascii="宋体" w:hAnsi="宋体" w:eastAsia="宋体" w:cs="宋体"/>
          <w:bCs/>
          <w:color w:val="auto"/>
          <w:szCs w:val="21"/>
          <w:highlight w:val="none"/>
          <w:lang w:val="en-US" w:eastAsia="zh-CN" w:bidi="ar"/>
        </w:rPr>
        <w:t>他</w:t>
      </w:r>
      <w:r>
        <w:rPr>
          <w:rFonts w:hint="eastAsia" w:ascii="宋体" w:hAnsi="宋体" w:eastAsia="宋体" w:cs="宋体"/>
          <w:bCs/>
          <w:color w:val="auto"/>
          <w:szCs w:val="21"/>
          <w:highlight w:val="none"/>
          <w:lang w:val="zh-CN" w:eastAsia="zh-TW" w:bidi="ar"/>
        </w:rPr>
        <w:t>项目费和税金、考虑风险因素而调整的费用、完成磋商文件中的要求而发生的费用等。</w:t>
      </w:r>
    </w:p>
    <w:p w14:paraId="268F995D">
      <w:pPr>
        <w:spacing w:line="360" w:lineRule="auto"/>
        <w:ind w:firstLine="42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en-US" w:eastAsia="zh-CN" w:bidi="ar"/>
        </w:rPr>
        <w:t>6</w:t>
      </w:r>
      <w:r>
        <w:rPr>
          <w:rFonts w:hint="eastAsia" w:ascii="宋体" w:hAnsi="宋体" w:eastAsia="宋体" w:cs="宋体"/>
          <w:bCs/>
          <w:color w:val="auto"/>
          <w:szCs w:val="21"/>
          <w:highlight w:val="none"/>
          <w:lang w:val="zh-CN" w:eastAsia="zh-TW" w:bidi="ar"/>
        </w:rPr>
        <w:t>、临时用水、用电，请供应商自行考虑并计入综合报价内。</w:t>
      </w:r>
      <w:r>
        <w:rPr>
          <w:rFonts w:hint="eastAsia" w:ascii="宋体" w:hAnsi="宋体" w:eastAsia="宋体" w:cs="宋体"/>
          <w:color w:val="auto"/>
          <w:szCs w:val="21"/>
          <w:highlight w:val="none"/>
        </w:rPr>
        <w:t>根据用量按实缴纳，由采购人代缴的将从工程款中予以扣回。</w:t>
      </w:r>
    </w:p>
    <w:p w14:paraId="56A0B3BD">
      <w:pPr>
        <w:spacing w:line="360" w:lineRule="auto"/>
        <w:ind w:firstLine="420"/>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val="en-US" w:eastAsia="zh-CN" w:bidi="ar"/>
        </w:rPr>
        <w:t>7</w:t>
      </w:r>
      <w:r>
        <w:rPr>
          <w:rFonts w:hint="eastAsia" w:ascii="宋体" w:hAnsi="宋体" w:eastAsia="宋体" w:cs="宋体"/>
          <w:bCs/>
          <w:color w:val="auto"/>
          <w:szCs w:val="21"/>
          <w:highlight w:val="none"/>
          <w:lang w:val="zh-CN" w:eastAsia="zh-TW" w:bidi="ar"/>
        </w:rPr>
        <w:t>、对于江苏省、南京市相关部门对工程施工要求所发的文件规定，请供应商在报价中充分考虑，结算时不得增加与此有关的费用。</w:t>
      </w:r>
    </w:p>
    <w:p w14:paraId="1B2366F3">
      <w:pPr>
        <w:spacing w:line="360" w:lineRule="auto"/>
        <w:ind w:firstLine="420"/>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val="en-US" w:eastAsia="zh-CN" w:bidi="ar"/>
        </w:rPr>
        <w:t>8</w:t>
      </w:r>
      <w:r>
        <w:rPr>
          <w:rFonts w:hint="eastAsia" w:ascii="宋体" w:hAnsi="宋体" w:eastAsia="宋体" w:cs="宋体"/>
          <w:bCs/>
          <w:color w:val="auto"/>
          <w:szCs w:val="21"/>
          <w:highlight w:val="none"/>
          <w:lang w:bidi="ar"/>
        </w:rPr>
        <w:t>、</w:t>
      </w:r>
      <w:r>
        <w:rPr>
          <w:rFonts w:hint="eastAsia" w:ascii="宋体" w:hAnsi="宋体" w:eastAsia="宋体" w:cs="宋体"/>
          <w:bCs/>
          <w:color w:val="auto"/>
          <w:szCs w:val="21"/>
          <w:highlight w:val="none"/>
          <w:lang w:eastAsia="zh-TW" w:bidi="ar"/>
        </w:rPr>
        <w:t>供应商必须按采购人要求实施该项目，随时接受采购人对工程的监督和检查，对不符合规范的施工项目无条件组织返工或整改，所产生的返工或整改的一切费用（含设备、材料、人工、搬运及保管费等），由供应商自行承担。若未按采购人要求整改，采购人有权立即解除合同，且一切损失均由供应商承担。</w:t>
      </w:r>
    </w:p>
    <w:p w14:paraId="68B75EF9">
      <w:pPr>
        <w:spacing w:line="360" w:lineRule="auto"/>
        <w:ind w:firstLine="420"/>
        <w:rPr>
          <w:rFonts w:hint="eastAsia" w:ascii="宋体" w:hAnsi="宋体" w:eastAsia="宋体" w:cs="宋体"/>
          <w:bCs/>
          <w:color w:val="auto"/>
          <w:szCs w:val="21"/>
          <w:highlight w:val="none"/>
          <w:lang w:eastAsia="zh-TW" w:bidi="ar"/>
        </w:rPr>
      </w:pPr>
      <w:r>
        <w:rPr>
          <w:rFonts w:hint="eastAsia" w:ascii="宋体" w:hAnsi="宋体" w:eastAsia="宋体" w:cs="宋体"/>
          <w:bCs/>
          <w:color w:val="auto"/>
          <w:szCs w:val="21"/>
          <w:highlight w:val="none"/>
          <w:lang w:val="en-US" w:eastAsia="zh-CN" w:bidi="ar"/>
        </w:rPr>
        <w:t>9</w:t>
      </w:r>
      <w:r>
        <w:rPr>
          <w:rFonts w:hint="eastAsia" w:ascii="宋体" w:hAnsi="宋体" w:eastAsia="宋体" w:cs="宋体"/>
          <w:bCs/>
          <w:color w:val="auto"/>
          <w:szCs w:val="21"/>
          <w:highlight w:val="none"/>
          <w:lang w:bidi="ar"/>
        </w:rPr>
        <w:t>、</w:t>
      </w:r>
      <w:r>
        <w:rPr>
          <w:rFonts w:hint="eastAsia" w:ascii="宋体" w:hAnsi="宋体" w:eastAsia="宋体" w:cs="宋体"/>
          <w:bCs/>
          <w:color w:val="auto"/>
          <w:szCs w:val="21"/>
          <w:highlight w:val="none"/>
          <w:lang w:eastAsia="zh-TW" w:bidi="ar"/>
        </w:rPr>
        <w:t>工程完工后，在5天内成交供应商做好场地所有清理工作。在合同约定的完工时间通过验收并办理相关手续，并向采购人交齐所有合格的竣工资料，如因成交供应商原因影响竣工验收或导致不能通过验收，则应赔偿采购人损失。</w:t>
      </w:r>
    </w:p>
    <w:p w14:paraId="5C44C1E7">
      <w:pPr>
        <w:widowControl/>
        <w:spacing w:line="360" w:lineRule="auto"/>
        <w:ind w:firstLine="420"/>
        <w:jc w:val="left"/>
        <w:rPr>
          <w:rFonts w:hint="eastAsia" w:ascii="宋体" w:hAnsi="宋体" w:eastAsia="宋体" w:cs="宋体"/>
          <w:bCs/>
          <w:color w:val="auto"/>
          <w:szCs w:val="21"/>
          <w:highlight w:val="none"/>
          <w:lang w:val="zh-CN" w:eastAsia="zh-TW" w:bidi="ar"/>
        </w:rPr>
      </w:pPr>
      <w:r>
        <w:rPr>
          <w:rFonts w:hint="eastAsia" w:ascii="宋体" w:hAnsi="宋体" w:eastAsia="宋体" w:cs="宋体"/>
          <w:color w:val="auto"/>
          <w:szCs w:val="21"/>
          <w:highlight w:val="none"/>
          <w:lang w:val="en-US" w:eastAsia="zh-CN" w:bidi="ar"/>
        </w:rPr>
        <w:t>10</w:t>
      </w:r>
      <w:r>
        <w:rPr>
          <w:rFonts w:hint="eastAsia" w:ascii="宋体" w:hAnsi="宋体" w:eastAsia="宋体" w:cs="宋体"/>
          <w:bCs/>
          <w:color w:val="auto"/>
          <w:szCs w:val="21"/>
          <w:highlight w:val="none"/>
          <w:lang w:val="zh-CN" w:eastAsia="zh-TW" w:bidi="ar"/>
        </w:rPr>
        <w:t>、供应商成交后如有拒签合同、违法转包分包，不按照承诺的型号、规格供货，不按照承诺的施工方案或质量施工，擅自改变工程量要求采购人增加款项等违法行为，采购人除依据合同追究违约责任外，还会向同级财政部门报告。</w:t>
      </w:r>
    </w:p>
    <w:p w14:paraId="386678DE">
      <w:pPr>
        <w:numPr>
          <w:ilvl w:val="0"/>
          <w:numId w:val="0"/>
        </w:numPr>
        <w:spacing w:line="360" w:lineRule="auto"/>
        <w:ind w:firstLine="420" w:firstLineChars="200"/>
        <w:rPr>
          <w:rFonts w:hint="default" w:ascii="宋体" w:hAnsi="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十一、技术响应参数评分项</w:t>
      </w:r>
    </w:p>
    <w:tbl>
      <w:tblPr>
        <w:tblStyle w:val="33"/>
        <w:tblW w:w="9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1641"/>
        <w:gridCol w:w="6183"/>
        <w:gridCol w:w="948"/>
      </w:tblGrid>
      <w:tr w14:paraId="69C7D7B6">
        <w:tc>
          <w:tcPr>
            <w:tcW w:w="640" w:type="dxa"/>
            <w:vAlign w:val="center"/>
          </w:tcPr>
          <w:p w14:paraId="5CF8489F">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序号</w:t>
            </w:r>
          </w:p>
        </w:tc>
        <w:tc>
          <w:tcPr>
            <w:tcW w:w="1641" w:type="dxa"/>
            <w:vAlign w:val="center"/>
          </w:tcPr>
          <w:p w14:paraId="59B690AC">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名称</w:t>
            </w:r>
          </w:p>
        </w:tc>
        <w:tc>
          <w:tcPr>
            <w:tcW w:w="6183" w:type="dxa"/>
            <w:vAlign w:val="center"/>
          </w:tcPr>
          <w:p w14:paraId="7BDE7AA0">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default" w:ascii="宋体" w:hAnsi="宋体" w:cs="宋体"/>
                <w:b/>
                <w:bCs/>
                <w:color w:val="auto"/>
                <w:szCs w:val="21"/>
                <w:highlight w:val="none"/>
                <w:vertAlign w:val="baseline"/>
                <w:lang w:val="en-US" w:eastAsia="zh-CN"/>
              </w:rPr>
              <w:t>技术响应参数评分项</w:t>
            </w:r>
          </w:p>
        </w:tc>
        <w:tc>
          <w:tcPr>
            <w:tcW w:w="948" w:type="dxa"/>
            <w:vAlign w:val="center"/>
          </w:tcPr>
          <w:p w14:paraId="45695798">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备注</w:t>
            </w:r>
          </w:p>
        </w:tc>
      </w:tr>
      <w:tr w14:paraId="14AE36A2">
        <w:tc>
          <w:tcPr>
            <w:tcW w:w="640" w:type="dxa"/>
            <w:vAlign w:val="center"/>
          </w:tcPr>
          <w:p w14:paraId="15D605D4">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1</w:t>
            </w:r>
          </w:p>
        </w:tc>
        <w:tc>
          <w:tcPr>
            <w:tcW w:w="1641" w:type="dxa"/>
          </w:tcPr>
          <w:p w14:paraId="5BFA9A16">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327会议室</w:t>
            </w:r>
            <w:r>
              <w:rPr>
                <w:rFonts w:hint="default" w:ascii="宋体" w:hAnsi="宋体" w:cs="宋体"/>
                <w:b w:val="0"/>
                <w:bCs w:val="0"/>
                <w:color w:val="auto"/>
                <w:szCs w:val="21"/>
                <w:highlight w:val="none"/>
                <w:vertAlign w:val="baseline"/>
                <w:lang w:val="en-US" w:eastAsia="zh-CN"/>
              </w:rPr>
              <w:t>会议服务器</w:t>
            </w:r>
          </w:p>
        </w:tc>
        <w:tc>
          <w:tcPr>
            <w:tcW w:w="6183" w:type="dxa"/>
          </w:tcPr>
          <w:p w14:paraId="69B022F3">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r>
              <w:rPr>
                <w:rFonts w:hint="default" w:ascii="宋体" w:hAnsi="宋体" w:cs="宋体"/>
                <w:b w:val="0"/>
                <w:bCs w:val="0"/>
                <w:color w:val="auto"/>
                <w:szCs w:val="21"/>
                <w:highlight w:val="none"/>
                <w:vertAlign w:val="baseline"/>
                <w:lang w:val="en-US" w:eastAsia="zh-CN"/>
              </w:rPr>
              <w:t>为保证全系统的任意一台设备故障或线路故障也不会影响系统工作，主机需支持环形连接、支持双链路连接。</w:t>
            </w:r>
          </w:p>
        </w:tc>
        <w:tc>
          <w:tcPr>
            <w:tcW w:w="948" w:type="dxa"/>
          </w:tcPr>
          <w:p w14:paraId="22CAC6FF">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r>
      <w:tr w14:paraId="5D103C5C">
        <w:tc>
          <w:tcPr>
            <w:tcW w:w="640" w:type="dxa"/>
            <w:vAlign w:val="center"/>
          </w:tcPr>
          <w:p w14:paraId="45DBDC3C">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2</w:t>
            </w:r>
          </w:p>
        </w:tc>
        <w:tc>
          <w:tcPr>
            <w:tcW w:w="1641" w:type="dxa"/>
            <w:vMerge w:val="restart"/>
            <w:vAlign w:val="center"/>
          </w:tcPr>
          <w:p w14:paraId="2B911927">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327会议室</w:t>
            </w:r>
            <w:r>
              <w:rPr>
                <w:rFonts w:hint="default" w:ascii="宋体" w:hAnsi="宋体" w:cs="宋体"/>
                <w:b w:val="0"/>
                <w:bCs w:val="0"/>
                <w:color w:val="auto"/>
                <w:szCs w:val="21"/>
                <w:highlight w:val="none"/>
                <w:vertAlign w:val="baseline"/>
                <w:lang w:val="en-US" w:eastAsia="zh-CN"/>
              </w:rPr>
              <w:t>基础讨论主席终端</w:t>
            </w:r>
          </w:p>
        </w:tc>
        <w:tc>
          <w:tcPr>
            <w:tcW w:w="6183" w:type="dxa"/>
          </w:tcPr>
          <w:p w14:paraId="3044DEC9">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r>
              <w:rPr>
                <w:rFonts w:hint="default" w:ascii="宋体" w:hAnsi="宋体" w:cs="宋体"/>
                <w:b w:val="0"/>
                <w:bCs w:val="0"/>
                <w:color w:val="auto"/>
                <w:szCs w:val="21"/>
                <w:highlight w:val="none"/>
                <w:vertAlign w:val="baseline"/>
                <w:lang w:val="en-US" w:eastAsia="zh-CN"/>
              </w:rPr>
              <w:t>为保证话筒拾音效果，需采用固定式柱形短杆麦克风，金属材质，最大可调俯仰角度55°。麦克风采用直径14mm大振膜电容咪芯，内置防风棉和腔体拾音结构。</w:t>
            </w:r>
          </w:p>
        </w:tc>
        <w:tc>
          <w:tcPr>
            <w:tcW w:w="948" w:type="dxa"/>
          </w:tcPr>
          <w:p w14:paraId="742E5A65">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r>
      <w:tr w14:paraId="6C4456C9">
        <w:tc>
          <w:tcPr>
            <w:tcW w:w="640" w:type="dxa"/>
            <w:vAlign w:val="center"/>
          </w:tcPr>
          <w:p w14:paraId="59C0F2C1">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3</w:t>
            </w:r>
          </w:p>
        </w:tc>
        <w:tc>
          <w:tcPr>
            <w:tcW w:w="1641" w:type="dxa"/>
            <w:vMerge w:val="continue"/>
          </w:tcPr>
          <w:p w14:paraId="24622E40">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c>
          <w:tcPr>
            <w:tcW w:w="6183" w:type="dxa"/>
          </w:tcPr>
          <w:p w14:paraId="17474324">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r>
              <w:rPr>
                <w:rFonts w:hint="default" w:ascii="宋体" w:hAnsi="宋体" w:cs="宋体"/>
                <w:b w:val="0"/>
                <w:bCs w:val="0"/>
                <w:color w:val="auto"/>
                <w:szCs w:val="21"/>
                <w:highlight w:val="none"/>
                <w:vertAlign w:val="baseline"/>
                <w:lang w:val="en-US" w:eastAsia="zh-CN"/>
              </w:rPr>
              <w:t>终端采用WiFi无线通信技术，符合IEEE 802.11n网络标准，支持2.4GHz/5.2GHz/5.8GHz三频通信。采用128位AES加密技术，支持WEP/WPA/WPA2无线安全技术，确保会议的私密性，避免窃听和恶意干扰。</w:t>
            </w:r>
          </w:p>
        </w:tc>
        <w:tc>
          <w:tcPr>
            <w:tcW w:w="948" w:type="dxa"/>
          </w:tcPr>
          <w:p w14:paraId="43977E7C">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r>
      <w:tr w14:paraId="53BB7769">
        <w:tc>
          <w:tcPr>
            <w:tcW w:w="640" w:type="dxa"/>
            <w:vAlign w:val="center"/>
          </w:tcPr>
          <w:p w14:paraId="5C33610A">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4</w:t>
            </w:r>
          </w:p>
        </w:tc>
        <w:tc>
          <w:tcPr>
            <w:tcW w:w="1641" w:type="dxa"/>
            <w:vMerge w:val="restart"/>
            <w:vAlign w:val="center"/>
          </w:tcPr>
          <w:p w14:paraId="275316C9">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327会议室</w:t>
            </w:r>
            <w:r>
              <w:rPr>
                <w:rFonts w:hint="default" w:ascii="宋体" w:hAnsi="宋体" w:cs="宋体"/>
                <w:b w:val="0"/>
                <w:bCs w:val="0"/>
                <w:color w:val="auto"/>
                <w:szCs w:val="21"/>
                <w:highlight w:val="none"/>
                <w:vertAlign w:val="baseline"/>
                <w:lang w:val="en-US" w:eastAsia="zh-CN"/>
              </w:rPr>
              <w:t>基础讨论代表终端</w:t>
            </w:r>
          </w:p>
        </w:tc>
        <w:tc>
          <w:tcPr>
            <w:tcW w:w="6183" w:type="dxa"/>
          </w:tcPr>
          <w:p w14:paraId="05620EBC">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r>
              <w:rPr>
                <w:rFonts w:hint="default" w:ascii="宋体" w:hAnsi="宋体" w:cs="宋体"/>
                <w:b w:val="0"/>
                <w:bCs w:val="0"/>
                <w:color w:val="auto"/>
                <w:szCs w:val="21"/>
                <w:highlight w:val="none"/>
                <w:vertAlign w:val="baseline"/>
                <w:lang w:val="en-US" w:eastAsia="zh-CN"/>
              </w:rPr>
              <w:t>为保证话筒拾音效果，需采用固定式柱形短杆麦克风，金属材质，最大可调俯仰角度55°。麦克风采用直径14mm大振膜电容咪芯，内置防风棉和腔体拾音结构。</w:t>
            </w:r>
          </w:p>
        </w:tc>
        <w:tc>
          <w:tcPr>
            <w:tcW w:w="948" w:type="dxa"/>
          </w:tcPr>
          <w:p w14:paraId="56F7E50C">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r>
      <w:tr w14:paraId="540C4753">
        <w:tc>
          <w:tcPr>
            <w:tcW w:w="640" w:type="dxa"/>
            <w:vAlign w:val="center"/>
          </w:tcPr>
          <w:p w14:paraId="4A49C16A">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5</w:t>
            </w:r>
          </w:p>
        </w:tc>
        <w:tc>
          <w:tcPr>
            <w:tcW w:w="1641" w:type="dxa"/>
            <w:vMerge w:val="continue"/>
          </w:tcPr>
          <w:p w14:paraId="120D8891">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c>
          <w:tcPr>
            <w:tcW w:w="6183" w:type="dxa"/>
          </w:tcPr>
          <w:p w14:paraId="3A578A3F">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r>
              <w:rPr>
                <w:rFonts w:hint="default" w:ascii="宋体" w:hAnsi="宋体" w:cs="宋体"/>
                <w:b w:val="0"/>
                <w:bCs w:val="0"/>
                <w:color w:val="auto"/>
                <w:szCs w:val="21"/>
                <w:highlight w:val="none"/>
                <w:vertAlign w:val="baseline"/>
                <w:lang w:val="en-US" w:eastAsia="zh-CN"/>
              </w:rPr>
              <w:t>终端采用WiFi无线通信技术，符合IEEE 802.11n网络标准，支持2.4GHz/5.2GHz/5.8GHz三频通信。采用128位AES加密技术，支持WEP/WPA/WPA2无线安全技术，确保会议的私密性，避免窃听和恶意干扰。</w:t>
            </w:r>
          </w:p>
        </w:tc>
        <w:tc>
          <w:tcPr>
            <w:tcW w:w="948" w:type="dxa"/>
          </w:tcPr>
          <w:p w14:paraId="7AB0903A">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r>
      <w:tr w14:paraId="32F6BA79">
        <w:tc>
          <w:tcPr>
            <w:tcW w:w="640" w:type="dxa"/>
            <w:vAlign w:val="center"/>
          </w:tcPr>
          <w:p w14:paraId="5ED015E3">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6</w:t>
            </w:r>
          </w:p>
        </w:tc>
        <w:tc>
          <w:tcPr>
            <w:tcW w:w="1641" w:type="dxa"/>
            <w:vMerge w:val="restart"/>
            <w:vAlign w:val="center"/>
          </w:tcPr>
          <w:p w14:paraId="54E101C4">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327会议室</w:t>
            </w:r>
            <w:r>
              <w:rPr>
                <w:rFonts w:hint="default" w:ascii="宋体" w:hAnsi="宋体" w:cs="宋体"/>
                <w:b w:val="0"/>
                <w:bCs w:val="0"/>
                <w:color w:val="auto"/>
                <w:szCs w:val="21"/>
                <w:highlight w:val="none"/>
                <w:vertAlign w:val="baseline"/>
                <w:lang w:val="en-US" w:eastAsia="zh-CN"/>
              </w:rPr>
              <w:t>LED全彩显示屏</w:t>
            </w:r>
          </w:p>
        </w:tc>
        <w:tc>
          <w:tcPr>
            <w:tcW w:w="6183" w:type="dxa"/>
          </w:tcPr>
          <w:p w14:paraId="5DEC4BC4">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r>
              <w:rPr>
                <w:rFonts w:hint="default" w:ascii="宋体" w:hAnsi="宋体" w:cs="宋体"/>
                <w:b w:val="0"/>
                <w:bCs w:val="0"/>
                <w:color w:val="auto"/>
                <w:szCs w:val="21"/>
                <w:highlight w:val="none"/>
                <w:vertAlign w:val="baseline"/>
                <w:lang w:val="en-US" w:eastAsia="zh-CN"/>
              </w:rPr>
              <w:t>物理实像素点间距≤0.94mm；物理实像素点密度：≥1137777点/㎡；物理实像素箱体分辨率≥640×360dots；像素组成：1R1G1B。发光晶片单边尺寸≤90μm；采用COB倒装封装方式，无引线。</w:t>
            </w:r>
          </w:p>
        </w:tc>
        <w:tc>
          <w:tcPr>
            <w:tcW w:w="948" w:type="dxa"/>
          </w:tcPr>
          <w:p w14:paraId="4D2E7316">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r>
      <w:tr w14:paraId="3D6F767C">
        <w:tc>
          <w:tcPr>
            <w:tcW w:w="640" w:type="dxa"/>
            <w:vAlign w:val="center"/>
          </w:tcPr>
          <w:p w14:paraId="15D808CD">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7</w:t>
            </w:r>
          </w:p>
        </w:tc>
        <w:tc>
          <w:tcPr>
            <w:tcW w:w="1641" w:type="dxa"/>
            <w:vMerge w:val="continue"/>
          </w:tcPr>
          <w:p w14:paraId="4E19113F">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c>
          <w:tcPr>
            <w:tcW w:w="6183" w:type="dxa"/>
          </w:tcPr>
          <w:p w14:paraId="346415B9">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r>
              <w:rPr>
                <w:rFonts w:hint="default" w:ascii="宋体" w:hAnsi="宋体" w:cs="宋体"/>
                <w:b w:val="0"/>
                <w:bCs w:val="0"/>
                <w:color w:val="auto"/>
                <w:szCs w:val="21"/>
                <w:highlight w:val="none"/>
                <w:vertAlign w:val="baseline"/>
                <w:lang w:val="en-US" w:eastAsia="zh-CN"/>
              </w:rPr>
              <w:t>显示屏亮度：≥600cd/m²；视角水平≥176°/垂直≥176°；对比度≥30000:1；灰度等级≥16bit；平整度/箱体间隙：≤0.05mm。</w:t>
            </w:r>
          </w:p>
        </w:tc>
        <w:tc>
          <w:tcPr>
            <w:tcW w:w="948" w:type="dxa"/>
          </w:tcPr>
          <w:p w14:paraId="0381039D">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r>
      <w:tr w14:paraId="71C0DACC">
        <w:tc>
          <w:tcPr>
            <w:tcW w:w="640" w:type="dxa"/>
            <w:vAlign w:val="center"/>
          </w:tcPr>
          <w:p w14:paraId="50108D8F">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8</w:t>
            </w:r>
          </w:p>
        </w:tc>
        <w:tc>
          <w:tcPr>
            <w:tcW w:w="1641" w:type="dxa"/>
            <w:vMerge w:val="continue"/>
          </w:tcPr>
          <w:p w14:paraId="4E2F9083">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c>
          <w:tcPr>
            <w:tcW w:w="6183" w:type="dxa"/>
          </w:tcPr>
          <w:p w14:paraId="4254EE6F">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r>
              <w:rPr>
                <w:rFonts w:hint="default" w:ascii="宋体" w:hAnsi="宋体" w:cs="宋体"/>
                <w:b w:val="0"/>
                <w:bCs w:val="0"/>
                <w:color w:val="auto"/>
                <w:szCs w:val="21"/>
                <w:highlight w:val="none"/>
                <w:vertAlign w:val="baseline"/>
                <w:lang w:val="en-US" w:eastAsia="zh-CN"/>
              </w:rPr>
              <w:t>LED显示屏经济节能，要求峰值功耗：≤330W/m²，平均功耗：≤110W/m²。</w:t>
            </w:r>
          </w:p>
        </w:tc>
        <w:tc>
          <w:tcPr>
            <w:tcW w:w="948" w:type="dxa"/>
          </w:tcPr>
          <w:p w14:paraId="547B8A05">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r>
      <w:tr w14:paraId="642D0041">
        <w:tc>
          <w:tcPr>
            <w:tcW w:w="640" w:type="dxa"/>
            <w:vAlign w:val="center"/>
          </w:tcPr>
          <w:p w14:paraId="0A55C2F7">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9</w:t>
            </w:r>
          </w:p>
        </w:tc>
        <w:tc>
          <w:tcPr>
            <w:tcW w:w="1641" w:type="dxa"/>
            <w:vMerge w:val="continue"/>
          </w:tcPr>
          <w:p w14:paraId="3C3E07AA">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c>
          <w:tcPr>
            <w:tcW w:w="6183" w:type="dxa"/>
          </w:tcPr>
          <w:p w14:paraId="154DC599">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r>
              <w:rPr>
                <w:rFonts w:hint="default" w:ascii="宋体" w:hAnsi="宋体" w:cs="宋体"/>
                <w:b w:val="0"/>
                <w:bCs w:val="0"/>
                <w:color w:val="auto"/>
                <w:szCs w:val="21"/>
                <w:highlight w:val="none"/>
                <w:vertAlign w:val="baseline"/>
                <w:lang w:val="en-US" w:eastAsia="zh-CN"/>
              </w:rPr>
              <w:t>LED显示屏具有高对比度及良好的亮度均匀性，要求具备相应关键技术，该技术同时可减少像素间的光串扰问题；</w:t>
            </w:r>
          </w:p>
        </w:tc>
        <w:tc>
          <w:tcPr>
            <w:tcW w:w="948" w:type="dxa"/>
          </w:tcPr>
          <w:p w14:paraId="7513E341">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r>
      <w:tr w14:paraId="6253ED23">
        <w:tc>
          <w:tcPr>
            <w:tcW w:w="640" w:type="dxa"/>
            <w:vAlign w:val="center"/>
          </w:tcPr>
          <w:p w14:paraId="103BC17B">
            <w:pPr>
              <w:numPr>
                <w:ilvl w:val="0"/>
                <w:numId w:val="0"/>
              </w:numPr>
              <w:spacing w:after="0" w:line="360" w:lineRule="auto"/>
              <w:jc w:val="center"/>
              <w:rPr>
                <w:rFonts w:hint="default" w:ascii="宋体" w:hAnsi="宋体" w:cs="宋体"/>
                <w:b w:val="0"/>
                <w:bCs w:val="0"/>
                <w:color w:val="auto"/>
                <w:szCs w:val="21"/>
                <w:highlight w:val="none"/>
                <w:vertAlign w:val="baseline"/>
                <w:lang w:val="en-US" w:eastAsia="zh-CN"/>
              </w:rPr>
            </w:pPr>
            <w:r>
              <w:rPr>
                <w:rFonts w:hint="eastAsia" w:ascii="宋体" w:hAnsi="宋体" w:cs="宋体"/>
                <w:b w:val="0"/>
                <w:bCs w:val="0"/>
                <w:color w:val="auto"/>
                <w:szCs w:val="21"/>
                <w:highlight w:val="none"/>
                <w:vertAlign w:val="baseline"/>
                <w:lang w:val="en-US" w:eastAsia="zh-CN"/>
              </w:rPr>
              <w:t>10</w:t>
            </w:r>
          </w:p>
        </w:tc>
        <w:tc>
          <w:tcPr>
            <w:tcW w:w="1641" w:type="dxa"/>
            <w:vMerge w:val="continue"/>
          </w:tcPr>
          <w:p w14:paraId="5C8FA97E">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c>
          <w:tcPr>
            <w:tcW w:w="6183" w:type="dxa"/>
          </w:tcPr>
          <w:p w14:paraId="20E236C9">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r>
              <w:rPr>
                <w:rFonts w:hint="default" w:ascii="宋体" w:hAnsi="宋体" w:cs="宋体"/>
                <w:b w:val="0"/>
                <w:bCs w:val="0"/>
                <w:color w:val="auto"/>
                <w:szCs w:val="21"/>
                <w:highlight w:val="none"/>
                <w:vertAlign w:val="baseline"/>
                <w:lang w:val="en-US" w:eastAsia="zh-CN"/>
              </w:rPr>
              <w:t>LED显示屏具有多层镀膜工艺以提升产品的防护性能及产品显示效果；</w:t>
            </w:r>
          </w:p>
        </w:tc>
        <w:tc>
          <w:tcPr>
            <w:tcW w:w="948" w:type="dxa"/>
          </w:tcPr>
          <w:p w14:paraId="01EF1EB7">
            <w:pPr>
              <w:numPr>
                <w:ilvl w:val="0"/>
                <w:numId w:val="0"/>
              </w:numPr>
              <w:spacing w:after="0" w:line="360" w:lineRule="auto"/>
              <w:rPr>
                <w:rFonts w:hint="default" w:ascii="宋体" w:hAnsi="宋体" w:cs="宋体"/>
                <w:b w:val="0"/>
                <w:bCs w:val="0"/>
                <w:color w:val="auto"/>
                <w:szCs w:val="21"/>
                <w:highlight w:val="none"/>
                <w:vertAlign w:val="baseline"/>
                <w:lang w:val="en-US" w:eastAsia="zh-CN"/>
              </w:rPr>
            </w:pPr>
          </w:p>
        </w:tc>
      </w:tr>
    </w:tbl>
    <w:p w14:paraId="18986099">
      <w:pPr>
        <w:numPr>
          <w:ilvl w:val="0"/>
          <w:numId w:val="0"/>
        </w:numPr>
        <w:spacing w:line="360" w:lineRule="auto"/>
        <w:rPr>
          <w:rFonts w:hint="eastAsia" w:ascii="宋体" w:hAnsi="宋体" w:eastAsia="宋体" w:cs="宋体"/>
          <w:b/>
          <w:bCs/>
          <w:color w:val="auto"/>
          <w:szCs w:val="21"/>
          <w:highlight w:val="none"/>
          <w:lang w:val="en-US" w:eastAsia="zh-CN"/>
        </w:rPr>
      </w:pPr>
    </w:p>
    <w:p w14:paraId="298527EA">
      <w:pPr>
        <w:numPr>
          <w:ilvl w:val="0"/>
          <w:numId w:val="0"/>
        </w:numPr>
        <w:spacing w:line="360" w:lineRule="auto"/>
        <w:ind w:firstLine="420"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十</w:t>
      </w:r>
      <w:r>
        <w:rPr>
          <w:rFonts w:hint="eastAsia" w:ascii="宋体" w:hAnsi="宋体" w:cs="宋体"/>
          <w:b/>
          <w:bCs/>
          <w:color w:val="auto"/>
          <w:szCs w:val="21"/>
          <w:highlight w:val="none"/>
          <w:lang w:val="en-US" w:eastAsia="zh-CN"/>
        </w:rPr>
        <w:t>二</w:t>
      </w:r>
      <w:r>
        <w:rPr>
          <w:rFonts w:hint="eastAsia" w:ascii="宋体" w:hAnsi="宋体" w:eastAsia="宋体" w:cs="宋体"/>
          <w:b/>
          <w:bCs/>
          <w:color w:val="auto"/>
          <w:szCs w:val="21"/>
          <w:highlight w:val="none"/>
          <w:lang w:val="en-US" w:eastAsia="zh-CN"/>
        </w:rPr>
        <w:t>、附件：工程量清单、图纸</w:t>
      </w:r>
    </w:p>
    <w:p w14:paraId="644ADBAC">
      <w:pPr>
        <w:rPr>
          <w:rFonts w:hint="eastAsia" w:ascii="Times New Roman" w:hAnsi="Times New Roman" w:eastAsia="宋体" w:cs="Microsoft New Tai Lue"/>
          <w:highlight w:val="none"/>
          <w:lang w:val="en-US" w:eastAsia="zh-CN"/>
        </w:rPr>
      </w:pPr>
      <w:r>
        <w:rPr>
          <w:rFonts w:hint="eastAsia" w:ascii="Times New Roman" w:hAnsi="Times New Roman" w:eastAsia="宋体" w:cs="Microsoft New Tai Lue"/>
          <w:highlight w:val="none"/>
          <w:lang w:val="en-US" w:eastAsia="zh-CN"/>
        </w:rPr>
        <w:br w:type="page"/>
      </w:r>
    </w:p>
    <w:p w14:paraId="303C3514">
      <w:pPr>
        <w:pStyle w:val="77"/>
        <w:rPr>
          <w:rFonts w:hint="eastAsia" w:ascii="Times New Roman" w:hAnsi="Times New Roman" w:eastAsia="宋体" w:cs="Microsoft New Tai Lue"/>
          <w:highlight w:val="none"/>
          <w:lang w:val="zh-CN"/>
        </w:rPr>
      </w:pPr>
      <w:bookmarkStart w:id="306" w:name="_Toc31030"/>
      <w:r>
        <w:rPr>
          <w:rFonts w:hint="eastAsia" w:ascii="Times New Roman" w:hAnsi="Times New Roman" w:eastAsia="宋体" w:cs="Microsoft New Tai Lue"/>
          <w:highlight w:val="none"/>
          <w:lang w:val="en-US" w:eastAsia="zh-CN"/>
        </w:rPr>
        <w:t xml:space="preserve">第五章 </w:t>
      </w:r>
      <w:r>
        <w:rPr>
          <w:rFonts w:hint="eastAsia" w:ascii="Times New Roman" w:hAnsi="Times New Roman" w:eastAsia="宋体" w:cs="Microsoft New Tai Lue"/>
          <w:highlight w:val="none"/>
          <w:lang w:val="zh-CN"/>
        </w:rPr>
        <w:t>评标方法与评标标准</w:t>
      </w:r>
      <w:bookmarkEnd w:id="305"/>
      <w:bookmarkEnd w:id="306"/>
    </w:p>
    <w:p w14:paraId="41ADDC5D">
      <w:pPr>
        <w:rPr>
          <w:rFonts w:ascii="Times New Roman" w:hAnsi="Times New Roman" w:eastAsia="宋体"/>
          <w:highlight w:val="none"/>
        </w:rPr>
      </w:pPr>
    </w:p>
    <w:p w14:paraId="4BBC06DE">
      <w:pPr>
        <w:spacing w:line="360" w:lineRule="auto"/>
        <w:ind w:firstLine="422"/>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p>
    <w:p w14:paraId="53F9B8E2">
      <w:pPr>
        <w:spacing w:line="360" w:lineRule="auto"/>
        <w:ind w:firstLine="420"/>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本项目采用综合评分法，评分统计方法采用百分制（满分100分），将全部评委评分直接进行算术平均，小数点后最多保留2位。按评审后得分由高到低顺序</w:t>
      </w:r>
      <w:r>
        <w:rPr>
          <w:rFonts w:hint="eastAsia" w:ascii="宋体" w:hAnsi="宋体" w:eastAsia="宋体" w:cs="宋体"/>
          <w:bCs/>
          <w:color w:val="000000"/>
          <w:szCs w:val="21"/>
          <w:highlight w:val="none"/>
          <w:lang w:bidi="ar"/>
        </w:rPr>
        <w:t>推荐3名以上</w:t>
      </w:r>
      <w:r>
        <w:rPr>
          <w:rFonts w:hint="eastAsia" w:ascii="宋体" w:hAnsi="宋体" w:cs="宋体"/>
          <w:bCs/>
          <w:color w:val="000000"/>
          <w:szCs w:val="21"/>
          <w:highlight w:val="none"/>
          <w:lang w:val="en-US" w:eastAsia="zh-CN" w:bidi="ar"/>
        </w:rPr>
        <w:t>中标候选人</w:t>
      </w:r>
      <w:r>
        <w:rPr>
          <w:rFonts w:hint="eastAsia" w:ascii="宋体" w:hAnsi="宋体" w:eastAsia="宋体" w:cs="宋体"/>
          <w:bCs/>
          <w:color w:val="000000"/>
          <w:szCs w:val="21"/>
          <w:highlight w:val="none"/>
          <w:lang w:bidi="ar"/>
        </w:rPr>
        <w:t>，并编写评</w:t>
      </w:r>
      <w:r>
        <w:rPr>
          <w:rFonts w:hint="eastAsia" w:ascii="宋体" w:hAnsi="宋体" w:cs="宋体"/>
          <w:bCs/>
          <w:color w:val="000000"/>
          <w:szCs w:val="21"/>
          <w:highlight w:val="none"/>
          <w:lang w:val="en-US" w:eastAsia="zh-CN" w:bidi="ar"/>
        </w:rPr>
        <w:t>标</w:t>
      </w:r>
      <w:r>
        <w:rPr>
          <w:rFonts w:hint="eastAsia" w:ascii="宋体" w:hAnsi="宋体" w:eastAsia="宋体" w:cs="宋体"/>
          <w:bCs/>
          <w:color w:val="000000"/>
          <w:szCs w:val="21"/>
          <w:highlight w:val="none"/>
          <w:lang w:bidi="ar"/>
        </w:rPr>
        <w:t>报告。</w:t>
      </w:r>
      <w:r>
        <w:rPr>
          <w:rFonts w:hint="eastAsia" w:ascii="宋体" w:hAnsi="宋体" w:cs="宋体"/>
          <w:bCs/>
          <w:color w:val="000000"/>
          <w:szCs w:val="21"/>
          <w:highlight w:val="none"/>
          <w:lang w:val="en-US" w:eastAsia="zh-CN" w:bidi="ar"/>
        </w:rPr>
        <w:t>评审</w:t>
      </w:r>
      <w:r>
        <w:rPr>
          <w:rFonts w:hint="eastAsia" w:ascii="Times New Roman" w:hAnsi="Times New Roman" w:eastAsia="宋体"/>
          <w:sz w:val="21"/>
          <w:szCs w:val="21"/>
          <w:highlight w:val="none"/>
        </w:rPr>
        <w:t>得分相同的，按投标报价由低到高顺序</w:t>
      </w:r>
      <w:r>
        <w:rPr>
          <w:rFonts w:hint="eastAsia"/>
          <w:sz w:val="21"/>
          <w:szCs w:val="21"/>
          <w:highlight w:val="none"/>
          <w:lang w:val="en-US" w:eastAsia="zh-CN"/>
        </w:rPr>
        <w:t>推荐</w:t>
      </w:r>
      <w:r>
        <w:rPr>
          <w:rFonts w:hint="eastAsia" w:ascii="Times New Roman" w:hAnsi="Times New Roman" w:eastAsia="宋体"/>
          <w:sz w:val="21"/>
          <w:szCs w:val="21"/>
          <w:highlight w:val="none"/>
        </w:rPr>
        <w:t>，得分且投标报价相同的，按技术响应评分优劣顺序</w:t>
      </w:r>
      <w:r>
        <w:rPr>
          <w:rFonts w:hint="eastAsia"/>
          <w:sz w:val="21"/>
          <w:szCs w:val="21"/>
          <w:highlight w:val="none"/>
          <w:lang w:val="en-US" w:eastAsia="zh-CN"/>
        </w:rPr>
        <w:t>推荐</w:t>
      </w:r>
      <w:r>
        <w:rPr>
          <w:rFonts w:hint="eastAsia" w:ascii="Times New Roman" w:hAnsi="Times New Roman" w:eastAsia="宋体"/>
          <w:sz w:val="21"/>
          <w:szCs w:val="21"/>
          <w:highlight w:val="none"/>
        </w:rPr>
        <w:t>。</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1"/>
        <w:gridCol w:w="1305"/>
        <w:gridCol w:w="1376"/>
        <w:gridCol w:w="5702"/>
      </w:tblGrid>
      <w:tr w14:paraId="1B5E828E">
        <w:trPr>
          <w:trHeight w:val="397" w:hRule="atLeast"/>
          <w:jc w:val="center"/>
        </w:trPr>
        <w:tc>
          <w:tcPr>
            <w:tcW w:w="0" w:type="auto"/>
            <w:noWrap w:val="0"/>
            <w:vAlign w:val="center"/>
          </w:tcPr>
          <w:p w14:paraId="7E1E6043">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条款号</w:t>
            </w:r>
          </w:p>
        </w:tc>
        <w:tc>
          <w:tcPr>
            <w:tcW w:w="1305" w:type="dxa"/>
            <w:noWrap w:val="0"/>
            <w:vAlign w:val="center"/>
          </w:tcPr>
          <w:p w14:paraId="54EC9F1A">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条款内容</w:t>
            </w:r>
          </w:p>
        </w:tc>
        <w:tc>
          <w:tcPr>
            <w:tcW w:w="7078" w:type="dxa"/>
            <w:gridSpan w:val="2"/>
            <w:noWrap w:val="0"/>
            <w:vAlign w:val="center"/>
          </w:tcPr>
          <w:p w14:paraId="51972ACD">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编列内容</w:t>
            </w:r>
          </w:p>
        </w:tc>
      </w:tr>
      <w:tr w14:paraId="3DE6FF6A">
        <w:trPr>
          <w:trHeight w:val="90" w:hRule="atLeast"/>
          <w:jc w:val="center"/>
        </w:trPr>
        <w:tc>
          <w:tcPr>
            <w:tcW w:w="0" w:type="auto"/>
            <w:noWrap w:val="0"/>
            <w:vAlign w:val="center"/>
          </w:tcPr>
          <w:p w14:paraId="48EBF79D">
            <w:pPr>
              <w:keepNext w:val="0"/>
              <w:keepLines w:val="0"/>
              <w:pageBreakBefore w:val="0"/>
              <w:kinsoku/>
              <w:wordWrap/>
              <w:overflowPunct/>
              <w:topLinePunct w:val="0"/>
              <w:autoSpaceDE/>
              <w:autoSpaceDN/>
              <w:bidi w:val="0"/>
              <w:adjustRightInd w:val="0"/>
              <w:snapToGrid w:val="0"/>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rPr>
            </w:pPr>
            <w:r>
              <w:rPr>
                <w:rFonts w:hint="eastAsia" w:ascii="宋体" w:hAnsi="宋体" w:eastAsia="宋体" w:cs="宋体"/>
                <w:color w:val="auto"/>
                <w:sz w:val="21"/>
                <w:szCs w:val="21"/>
                <w:highlight w:val="none"/>
              </w:rPr>
              <w:t>1</w:t>
            </w:r>
          </w:p>
        </w:tc>
        <w:tc>
          <w:tcPr>
            <w:tcW w:w="1305" w:type="dxa"/>
            <w:noWrap w:val="0"/>
            <w:vAlign w:val="center"/>
          </w:tcPr>
          <w:p w14:paraId="13E799A8">
            <w:pPr>
              <w:pStyle w:val="294"/>
              <w:keepNext w:val="0"/>
              <w:keepLines w:val="0"/>
              <w:pageBreakBefore w:val="0"/>
              <w:kinsoku/>
              <w:wordWrap/>
              <w:overflowPunct/>
              <w:topLinePunct w:val="0"/>
              <w:autoSpaceDE/>
              <w:autoSpaceDN/>
              <w:bidi w:val="0"/>
              <w:spacing w:before="63" w:beforeLines="20" w:after="63" w:afterLines="20" w:line="288" w:lineRule="auto"/>
              <w:ind w:left="42" w:leftChars="20" w:right="42" w:rightChars="2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w:t>
            </w:r>
          </w:p>
          <w:p w14:paraId="5C987E24">
            <w:pPr>
              <w:pStyle w:val="294"/>
              <w:keepNext w:val="0"/>
              <w:keepLines w:val="0"/>
              <w:pageBreakBefore w:val="0"/>
              <w:kinsoku/>
              <w:wordWrap/>
              <w:overflowPunct/>
              <w:topLinePunct w:val="0"/>
              <w:autoSpaceDE/>
              <w:autoSpaceDN/>
              <w:bidi w:val="0"/>
              <w:spacing w:before="63" w:beforeLines="20" w:after="63" w:afterLines="20" w:line="288" w:lineRule="auto"/>
              <w:ind w:left="42" w:leftChars="20" w:right="42" w:rightChars="20"/>
              <w:textAlignment w:val="auto"/>
              <w:rPr>
                <w:rFonts w:hint="eastAsia" w:ascii="宋体" w:hAnsi="宋体" w:eastAsia="宋体" w:cs="宋体"/>
                <w:kern w:val="0"/>
                <w:sz w:val="21"/>
                <w:szCs w:val="21"/>
                <w:highlight w:val="none"/>
              </w:rPr>
            </w:pPr>
            <w:r>
              <w:rPr>
                <w:rFonts w:hint="eastAsia" w:ascii="宋体" w:hAnsi="宋体" w:eastAsia="宋体" w:cs="宋体"/>
                <w:color w:val="auto"/>
                <w:sz w:val="21"/>
                <w:szCs w:val="21"/>
                <w:highlight w:val="none"/>
              </w:rPr>
              <w:t>（总分100分）</w:t>
            </w:r>
          </w:p>
        </w:tc>
        <w:tc>
          <w:tcPr>
            <w:tcW w:w="7078" w:type="dxa"/>
            <w:gridSpan w:val="2"/>
            <w:noWrap w:val="0"/>
            <w:vAlign w:val="center"/>
          </w:tcPr>
          <w:p w14:paraId="0C35D231">
            <w:pPr>
              <w:pStyle w:val="294"/>
              <w:keepNext w:val="0"/>
              <w:keepLines w:val="0"/>
              <w:pageBreakBefore w:val="0"/>
              <w:kinsoku/>
              <w:wordWrap/>
              <w:overflowPunct/>
              <w:topLinePunct w:val="0"/>
              <w:autoSpaceDE/>
              <w:autoSpaceDN/>
              <w:bidi w:val="0"/>
              <w:spacing w:before="63" w:beforeLines="20" w:after="63" w:afterLines="20" w:line="288" w:lineRule="auto"/>
              <w:ind w:left="42" w:leftChars="20" w:right="42" w:rightChars="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分</w:t>
            </w:r>
          </w:p>
          <w:p w14:paraId="24BA9D63">
            <w:pPr>
              <w:pStyle w:val="294"/>
              <w:keepNext w:val="0"/>
              <w:keepLines w:val="0"/>
              <w:pageBreakBefore w:val="0"/>
              <w:kinsoku/>
              <w:wordWrap/>
              <w:overflowPunct/>
              <w:topLinePunct w:val="0"/>
              <w:autoSpaceDE/>
              <w:autoSpaceDN/>
              <w:bidi w:val="0"/>
              <w:spacing w:before="63" w:beforeLines="20" w:after="63" w:afterLines="20" w:line="288" w:lineRule="auto"/>
              <w:ind w:left="42" w:leftChars="20" w:right="42" w:rightChars="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技术部分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40</w:t>
            </w:r>
            <w:r>
              <w:rPr>
                <w:rFonts w:hint="eastAsia" w:ascii="宋体" w:hAnsi="宋体" w:eastAsia="宋体" w:cs="宋体"/>
                <w:color w:val="auto"/>
                <w:sz w:val="21"/>
                <w:szCs w:val="21"/>
                <w:highlight w:val="none"/>
              </w:rPr>
              <w:t>分</w:t>
            </w:r>
          </w:p>
          <w:p w14:paraId="6B945C95">
            <w:pPr>
              <w:pStyle w:val="294"/>
              <w:keepNext w:val="0"/>
              <w:keepLines w:val="0"/>
              <w:pageBreakBefore w:val="0"/>
              <w:kinsoku/>
              <w:wordWrap/>
              <w:overflowPunct/>
              <w:topLinePunct w:val="0"/>
              <w:autoSpaceDE/>
              <w:autoSpaceDN/>
              <w:bidi w:val="0"/>
              <w:spacing w:before="63" w:beforeLines="20" w:after="63" w:afterLines="20" w:line="288" w:lineRule="auto"/>
              <w:ind w:left="42" w:leftChars="20" w:right="42" w:rightChars="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商务部分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分</w:t>
            </w:r>
          </w:p>
        </w:tc>
      </w:tr>
      <w:tr w14:paraId="5613117B">
        <w:trPr>
          <w:trHeight w:val="397" w:hRule="atLeast"/>
          <w:jc w:val="center"/>
        </w:trPr>
        <w:tc>
          <w:tcPr>
            <w:tcW w:w="0" w:type="auto"/>
            <w:noWrap w:val="0"/>
            <w:vAlign w:val="center"/>
          </w:tcPr>
          <w:p w14:paraId="3FCEDDB3">
            <w:pPr>
              <w:keepNext w:val="0"/>
              <w:keepLines w:val="0"/>
              <w:pageBreakBefore w:val="0"/>
              <w:widowControl/>
              <w:kinsoku/>
              <w:wordWrap/>
              <w:overflowPunct/>
              <w:topLinePunct w:val="0"/>
              <w:autoSpaceDE/>
              <w:autoSpaceDN/>
              <w:bidi w:val="0"/>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eastAsia="zh-CN"/>
              </w:rPr>
            </w:pPr>
            <w:r>
              <w:rPr>
                <w:rFonts w:hint="eastAsia" w:ascii="宋体" w:hAnsi="宋体" w:eastAsia="宋体" w:cs="宋体"/>
                <w:color w:val="auto"/>
                <w:sz w:val="21"/>
                <w:szCs w:val="21"/>
                <w:highlight w:val="none"/>
              </w:rPr>
              <w:t>2.1</w:t>
            </w:r>
          </w:p>
        </w:tc>
        <w:tc>
          <w:tcPr>
            <w:tcW w:w="1305" w:type="dxa"/>
            <w:noWrap w:val="0"/>
            <w:vAlign w:val="center"/>
          </w:tcPr>
          <w:p w14:paraId="30B95CC9">
            <w:pPr>
              <w:pStyle w:val="294"/>
              <w:keepNext w:val="0"/>
              <w:keepLines w:val="0"/>
              <w:pageBreakBefore w:val="0"/>
              <w:kinsoku/>
              <w:wordWrap/>
              <w:overflowPunct/>
              <w:topLinePunct w:val="0"/>
              <w:autoSpaceDE/>
              <w:autoSpaceDN/>
              <w:bidi w:val="0"/>
              <w:spacing w:before="63" w:beforeLines="20" w:after="63" w:afterLines="20" w:line="288" w:lineRule="auto"/>
              <w:ind w:left="42" w:leftChars="20" w:right="42" w:rightChars="2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p w14:paraId="09E1E082">
            <w:pPr>
              <w:pStyle w:val="294"/>
              <w:keepNext w:val="0"/>
              <w:keepLines w:val="0"/>
              <w:pageBreakBefore w:val="0"/>
              <w:kinsoku/>
              <w:wordWrap/>
              <w:overflowPunct/>
              <w:topLinePunct w:val="0"/>
              <w:autoSpaceDE/>
              <w:autoSpaceDN/>
              <w:bidi w:val="0"/>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tc>
        <w:tc>
          <w:tcPr>
            <w:tcW w:w="7078" w:type="dxa"/>
            <w:gridSpan w:val="2"/>
            <w:noWrap w:val="0"/>
            <w:vAlign w:val="center"/>
          </w:tcPr>
          <w:p w14:paraId="39969624">
            <w:pPr>
              <w:pStyle w:val="294"/>
              <w:keepNext w:val="0"/>
              <w:keepLines w:val="0"/>
              <w:pageBreakBefore w:val="0"/>
              <w:kinsoku/>
              <w:wordWrap/>
              <w:overflowPunct/>
              <w:topLinePunct w:val="0"/>
              <w:autoSpaceDE/>
              <w:autoSpaceDN/>
              <w:bidi w:val="0"/>
              <w:spacing w:before="63" w:beforeLines="20" w:after="63" w:afterLines="20" w:line="288" w:lineRule="auto"/>
              <w:ind w:left="42" w:leftChars="20" w:right="42" w:rightChars="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1）评标价：所有通过资格审查及符合性审查后的投标报价（小微企业应扣除</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%的价格参与评审）。</w:t>
            </w:r>
          </w:p>
          <w:p w14:paraId="6F9C06C3">
            <w:pPr>
              <w:pStyle w:val="294"/>
              <w:keepNext w:val="0"/>
              <w:keepLines w:val="0"/>
              <w:pageBreakBefore w:val="0"/>
              <w:kinsoku/>
              <w:wordWrap/>
              <w:overflowPunct/>
              <w:topLinePunct w:val="0"/>
              <w:autoSpaceDE/>
              <w:autoSpaceDN/>
              <w:bidi w:val="0"/>
              <w:spacing w:before="63" w:beforeLines="20" w:after="63" w:afterLines="20" w:line="288" w:lineRule="auto"/>
              <w:ind w:left="42" w:leftChars="20" w:right="42" w:rightChars="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2）评标基准价：所有评标价的最低报价为评标基准价。</w:t>
            </w:r>
          </w:p>
          <w:p w14:paraId="3BF02D34">
            <w:pPr>
              <w:pStyle w:val="294"/>
              <w:keepNext w:val="0"/>
              <w:keepLines w:val="0"/>
              <w:pageBreakBefore w:val="0"/>
              <w:kinsoku/>
              <w:wordWrap/>
              <w:overflowPunct/>
              <w:topLinePunct w:val="0"/>
              <w:autoSpaceDE/>
              <w:autoSpaceDN/>
              <w:bidi w:val="0"/>
              <w:spacing w:before="63" w:beforeLines="20" w:after="63" w:afterLines="20" w:line="288" w:lineRule="auto"/>
              <w:ind w:left="42" w:leftChars="20" w:right="42" w:rightChars="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3）投标报价得分＝（评标基准价/投标报价）×</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w:t>
            </w:r>
          </w:p>
          <w:p w14:paraId="5172F2F3">
            <w:pPr>
              <w:pStyle w:val="294"/>
              <w:keepNext w:val="0"/>
              <w:keepLines w:val="0"/>
              <w:pageBreakBefore w:val="0"/>
              <w:kinsoku/>
              <w:wordWrap/>
              <w:overflowPunct/>
              <w:topLinePunct w:val="0"/>
              <w:autoSpaceDE/>
              <w:autoSpaceDN/>
              <w:bidi w:val="0"/>
              <w:spacing w:before="63" w:beforeLines="20" w:after="63" w:afterLines="20" w:line="288" w:lineRule="auto"/>
              <w:ind w:left="42" w:leftChars="20" w:right="42" w:rightChars="20"/>
              <w:textAlignment w:val="auto"/>
              <w:rPr>
                <w:rFonts w:hint="eastAsia" w:ascii="宋体" w:hAnsi="宋体" w:eastAsia="宋体" w:cs="宋体"/>
                <w:kern w:val="0"/>
                <w:sz w:val="21"/>
                <w:szCs w:val="21"/>
                <w:highlight w:val="none"/>
              </w:rPr>
            </w:pPr>
            <w:r>
              <w:rPr>
                <w:rFonts w:hint="eastAsia" w:ascii="宋体" w:hAnsi="宋体" w:eastAsia="宋体" w:cs="宋体"/>
                <w:b/>
                <w:bCs/>
                <w:color w:val="auto"/>
                <w:sz w:val="21"/>
                <w:szCs w:val="21"/>
                <w:highlight w:val="none"/>
              </w:rPr>
              <w:t>（注：保留小数点后两位，小数点后第三位“四舍五入”；对小型和微型企业的价格给予</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%的扣除，用扣除后的价格参与评审。）</w:t>
            </w:r>
          </w:p>
        </w:tc>
      </w:tr>
      <w:tr w14:paraId="261FA133">
        <w:trPr>
          <w:trHeight w:val="397" w:hRule="atLeast"/>
          <w:jc w:val="center"/>
        </w:trPr>
        <w:tc>
          <w:tcPr>
            <w:tcW w:w="1868" w:type="dxa"/>
            <w:gridSpan w:val="2"/>
            <w:noWrap w:val="0"/>
            <w:vAlign w:val="center"/>
          </w:tcPr>
          <w:p w14:paraId="10988FF1">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条款号</w:t>
            </w:r>
          </w:p>
        </w:tc>
        <w:tc>
          <w:tcPr>
            <w:tcW w:w="1376" w:type="dxa"/>
            <w:noWrap w:val="0"/>
            <w:vAlign w:val="center"/>
          </w:tcPr>
          <w:p w14:paraId="101B0E74">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评分因素与权重分值</w:t>
            </w:r>
          </w:p>
        </w:tc>
        <w:tc>
          <w:tcPr>
            <w:tcW w:w="5702" w:type="dxa"/>
            <w:noWrap w:val="0"/>
            <w:vAlign w:val="center"/>
          </w:tcPr>
          <w:p w14:paraId="0D9FD8CF">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评分标准</w:t>
            </w:r>
          </w:p>
        </w:tc>
      </w:tr>
      <w:tr w14:paraId="289B6304">
        <w:trPr>
          <w:trHeight w:val="1786" w:hRule="atLeast"/>
          <w:jc w:val="center"/>
        </w:trPr>
        <w:tc>
          <w:tcPr>
            <w:tcW w:w="0" w:type="auto"/>
            <w:vMerge w:val="restart"/>
            <w:noWrap w:val="0"/>
            <w:vAlign w:val="center"/>
          </w:tcPr>
          <w:p w14:paraId="533ACA44">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auto"/>
                <w:sz w:val="21"/>
                <w:szCs w:val="21"/>
                <w:highlight w:val="none"/>
              </w:rPr>
              <w:t>2.2</w:t>
            </w:r>
          </w:p>
        </w:tc>
        <w:tc>
          <w:tcPr>
            <w:tcW w:w="1305" w:type="dxa"/>
            <w:vMerge w:val="restart"/>
            <w:noWrap w:val="0"/>
            <w:vAlign w:val="center"/>
          </w:tcPr>
          <w:p w14:paraId="06BB6173">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eastAsia="zh-CN"/>
              </w:rPr>
              <w:t>技术部分</w:t>
            </w:r>
          </w:p>
          <w:p w14:paraId="78719C7D">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40</w:t>
            </w:r>
            <w:r>
              <w:rPr>
                <w:rFonts w:hint="eastAsia" w:ascii="宋体" w:hAnsi="宋体" w:eastAsia="宋体" w:cs="宋体"/>
                <w:kern w:val="0"/>
                <w:sz w:val="21"/>
                <w:szCs w:val="21"/>
                <w:highlight w:val="none"/>
                <w:lang w:eastAsia="zh-CN"/>
              </w:rPr>
              <w:t>分）</w:t>
            </w:r>
          </w:p>
        </w:tc>
        <w:tc>
          <w:tcPr>
            <w:tcW w:w="1376" w:type="dxa"/>
            <w:noWrap w:val="0"/>
            <w:vAlign w:val="center"/>
          </w:tcPr>
          <w:p w14:paraId="1084C6D8">
            <w:pPr>
              <w:jc w:val="center"/>
              <w:rPr>
                <w:rFonts w:hint="eastAsia" w:ascii="宋体" w:hAnsi="宋体" w:eastAsia="宋体" w:cs="宋体"/>
                <w:color w:val="000000"/>
                <w:szCs w:val="21"/>
                <w:highlight w:val="none"/>
              </w:rPr>
            </w:pPr>
            <w:r>
              <w:rPr>
                <w:rFonts w:hint="eastAsia" w:ascii="宋体" w:hAnsi="宋体" w:eastAsia="宋体" w:cs="宋体"/>
                <w:kern w:val="0"/>
                <w:szCs w:val="21"/>
                <w:highlight w:val="none"/>
              </w:rPr>
              <w:t>项目</w:t>
            </w:r>
            <w:r>
              <w:rPr>
                <w:rFonts w:hint="eastAsia" w:ascii="宋体" w:hAnsi="宋体" w:eastAsia="宋体" w:cs="宋体"/>
                <w:color w:val="000000"/>
                <w:szCs w:val="21"/>
                <w:highlight w:val="none"/>
              </w:rPr>
              <w:t>实施</w:t>
            </w:r>
          </w:p>
          <w:p w14:paraId="07A9B1ED">
            <w:pP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方案</w:t>
            </w:r>
          </w:p>
          <w:p w14:paraId="679533DB">
            <w:pPr>
              <w:jc w:val="center"/>
              <w:rPr>
                <w:rFonts w:hint="eastAsia" w:ascii="宋体" w:hAnsi="宋体" w:eastAsia="宋体" w:cs="宋体"/>
                <w:kern w:val="0"/>
                <w:sz w:val="21"/>
                <w:szCs w:val="21"/>
                <w:highlight w:val="none"/>
              </w:rPr>
            </w:pP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4分</w:t>
            </w:r>
            <w:r>
              <w:rPr>
                <w:rFonts w:hint="eastAsia" w:ascii="宋体" w:hAnsi="宋体" w:eastAsia="宋体" w:cs="宋体"/>
                <w:color w:val="000000"/>
                <w:szCs w:val="21"/>
                <w:highlight w:val="none"/>
                <w:lang w:eastAsia="zh-CN"/>
              </w:rPr>
              <w:t>）</w:t>
            </w:r>
          </w:p>
        </w:tc>
        <w:tc>
          <w:tcPr>
            <w:tcW w:w="5702" w:type="dxa"/>
            <w:noWrap w:val="0"/>
            <w:vAlign w:val="center"/>
          </w:tcPr>
          <w:p w14:paraId="3E7ACE13">
            <w:pPr>
              <w:pStyle w:val="266"/>
              <w:keepNext w:val="0"/>
              <w:keepLines w:val="0"/>
              <w:pageBreakBefore w:val="0"/>
              <w:widowControl w:val="0"/>
              <w:spacing w:before="0" w:line="360" w:lineRule="auto"/>
              <w:ind w:left="0" w:right="0" w:firstLine="0"/>
              <w:jc w:val="left"/>
              <w:rPr>
                <w:rFonts w:hint="eastAsia" w:ascii="宋体" w:hAnsi="宋体" w:eastAsia="宋体" w:cs="宋体"/>
                <w:spacing w:val="-3"/>
                <w:sz w:val="21"/>
                <w:szCs w:val="21"/>
                <w:highlight w:val="none"/>
              </w:rPr>
            </w:pPr>
            <w:r>
              <w:rPr>
                <w:rFonts w:hint="eastAsia" w:ascii="宋体" w:hAnsi="宋体" w:eastAsia="宋体" w:cs="宋体"/>
                <w:spacing w:val="2"/>
                <w:sz w:val="21"/>
                <w:szCs w:val="21"/>
                <w:highlight w:val="none"/>
              </w:rPr>
              <w:t>根据供应商提供的基于对本项目的理解</w:t>
            </w:r>
            <w:r>
              <w:rPr>
                <w:rFonts w:hint="eastAsia" w:ascii="宋体" w:hAnsi="宋体" w:eastAsia="宋体" w:cs="宋体"/>
                <w:spacing w:val="-4"/>
                <w:sz w:val="21"/>
                <w:szCs w:val="21"/>
                <w:highlight w:val="none"/>
              </w:rPr>
              <w:t>，制定</w:t>
            </w:r>
            <w:r>
              <w:rPr>
                <w:rFonts w:hint="eastAsia" w:ascii="宋体" w:hAnsi="宋体" w:eastAsia="宋体" w:cs="宋体"/>
                <w:spacing w:val="-4"/>
                <w:sz w:val="21"/>
                <w:szCs w:val="21"/>
                <w:highlight w:val="none"/>
                <w:lang w:val="en-US" w:eastAsia="zh-CN"/>
              </w:rPr>
              <w:t>有针对性的</w:t>
            </w:r>
            <w:r>
              <w:rPr>
                <w:rFonts w:hint="eastAsia" w:ascii="宋体" w:hAnsi="宋体" w:eastAsia="宋体" w:cs="宋体"/>
                <w:spacing w:val="-4"/>
                <w:sz w:val="21"/>
                <w:szCs w:val="21"/>
                <w:highlight w:val="none"/>
              </w:rPr>
              <w:t>项目实施</w:t>
            </w:r>
            <w:r>
              <w:rPr>
                <w:rFonts w:hint="eastAsia" w:ascii="宋体" w:hAnsi="宋体" w:eastAsia="宋体" w:cs="宋体"/>
                <w:spacing w:val="-4"/>
                <w:sz w:val="21"/>
                <w:szCs w:val="21"/>
                <w:highlight w:val="none"/>
                <w:lang w:val="en-US" w:eastAsia="zh-CN"/>
              </w:rPr>
              <w:t>方案进行综合评分</w:t>
            </w:r>
            <w:r>
              <w:rPr>
                <w:rFonts w:hint="eastAsia" w:ascii="宋体" w:hAnsi="宋体" w:eastAsia="宋体" w:cs="宋体"/>
                <w:spacing w:val="-4"/>
                <w:sz w:val="21"/>
                <w:szCs w:val="21"/>
                <w:highlight w:val="none"/>
                <w:lang w:eastAsia="zh-CN"/>
              </w:rPr>
              <w:t>。</w:t>
            </w:r>
            <w:r>
              <w:rPr>
                <w:rFonts w:hint="eastAsia" w:ascii="宋体" w:hAnsi="宋体" w:eastAsia="宋体" w:cs="宋体"/>
                <w:spacing w:val="-4"/>
                <w:sz w:val="21"/>
                <w:szCs w:val="21"/>
                <w:highlight w:val="none"/>
                <w:lang w:val="en-US" w:eastAsia="zh-CN"/>
              </w:rPr>
              <w:t>项目实施方案至少包含以下内容</w:t>
            </w:r>
            <w:r>
              <w:rPr>
                <w:rFonts w:hint="eastAsia" w:ascii="宋体" w:hAnsi="宋体" w:eastAsia="宋体" w:cs="宋体"/>
                <w:spacing w:val="-3"/>
                <w:sz w:val="21"/>
                <w:szCs w:val="21"/>
                <w:highlight w:val="none"/>
              </w:rPr>
              <w:t>：</w:t>
            </w:r>
          </w:p>
          <w:p w14:paraId="5B458CA1">
            <w:pPr>
              <w:pStyle w:val="266"/>
              <w:keepNext w:val="0"/>
              <w:keepLines w:val="0"/>
              <w:pageBreakBefore w:val="0"/>
              <w:widowControl w:val="0"/>
              <w:numPr>
                <w:ilvl w:val="0"/>
                <w:numId w:val="0"/>
              </w:numPr>
              <w:spacing w:before="0" w:line="360" w:lineRule="auto"/>
              <w:ind w:left="0" w:right="0" w:firstLine="0"/>
              <w:jc w:val="left"/>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bidi="ar-SA"/>
              </w:rPr>
              <w:t>（1）</w:t>
            </w:r>
            <w:r>
              <w:rPr>
                <w:rFonts w:hint="eastAsia" w:ascii="宋体" w:hAnsi="宋体" w:eastAsia="宋体" w:cs="宋体"/>
                <w:spacing w:val="-3"/>
                <w:sz w:val="21"/>
                <w:szCs w:val="21"/>
                <w:highlight w:val="none"/>
                <w:lang w:val="en-US" w:eastAsia="zh-CN"/>
              </w:rPr>
              <w:t>项目概况；</w:t>
            </w:r>
          </w:p>
          <w:p w14:paraId="6363CD33">
            <w:pPr>
              <w:pStyle w:val="266"/>
              <w:keepNext w:val="0"/>
              <w:keepLines w:val="0"/>
              <w:pageBreakBefore w:val="0"/>
              <w:widowControl w:val="0"/>
              <w:numPr>
                <w:ilvl w:val="0"/>
                <w:numId w:val="0"/>
              </w:numPr>
              <w:spacing w:before="0" w:line="360" w:lineRule="auto"/>
              <w:ind w:left="0" w:right="0" w:firstLine="0"/>
              <w:jc w:val="left"/>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bidi="ar-SA"/>
              </w:rPr>
              <w:t>（2）</w:t>
            </w:r>
            <w:r>
              <w:rPr>
                <w:rFonts w:hint="eastAsia" w:ascii="宋体" w:hAnsi="宋体" w:eastAsia="宋体" w:cs="宋体"/>
                <w:spacing w:val="-3"/>
                <w:sz w:val="21"/>
                <w:szCs w:val="21"/>
                <w:highlight w:val="none"/>
                <w:lang w:val="en-US" w:eastAsia="zh-CN"/>
              </w:rPr>
              <w:t>项目总体目标；</w:t>
            </w:r>
          </w:p>
          <w:p w14:paraId="41994338">
            <w:pPr>
              <w:pStyle w:val="266"/>
              <w:keepNext w:val="0"/>
              <w:keepLines w:val="0"/>
              <w:pageBreakBefore w:val="0"/>
              <w:widowControl w:val="0"/>
              <w:numPr>
                <w:ilvl w:val="0"/>
                <w:numId w:val="0"/>
              </w:numPr>
              <w:spacing w:before="0" w:line="360" w:lineRule="auto"/>
              <w:ind w:left="0" w:right="0" w:firstLine="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（3）</w:t>
            </w:r>
            <w:r>
              <w:rPr>
                <w:rFonts w:hint="eastAsia" w:ascii="宋体" w:hAnsi="宋体" w:eastAsia="宋体" w:cs="宋体"/>
                <w:spacing w:val="-3"/>
                <w:sz w:val="21"/>
                <w:szCs w:val="21"/>
                <w:highlight w:val="none"/>
                <w:lang w:val="en-US" w:eastAsia="zh-CN"/>
              </w:rPr>
              <w:t>组织机构架设；</w:t>
            </w:r>
          </w:p>
          <w:p w14:paraId="502F498D">
            <w:pPr>
              <w:pStyle w:val="266"/>
              <w:keepNext w:val="0"/>
              <w:keepLines w:val="0"/>
              <w:pageBreakBefore w:val="0"/>
              <w:widowControl w:val="0"/>
              <w:numPr>
                <w:ilvl w:val="0"/>
                <w:numId w:val="0"/>
              </w:numPr>
              <w:spacing w:before="0" w:line="360" w:lineRule="auto"/>
              <w:ind w:left="0" w:right="0" w:firstLine="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（4）</w:t>
            </w:r>
            <w:r>
              <w:rPr>
                <w:rFonts w:hint="eastAsia" w:ascii="宋体" w:hAnsi="宋体" w:eastAsia="宋体" w:cs="宋体"/>
                <w:spacing w:val="-3"/>
                <w:sz w:val="21"/>
                <w:szCs w:val="21"/>
                <w:highlight w:val="none"/>
                <w:lang w:val="en-US" w:eastAsia="zh-CN"/>
              </w:rPr>
              <w:t>项目总体工作流程。</w:t>
            </w:r>
          </w:p>
          <w:p w14:paraId="1D6464D3">
            <w:pPr>
              <w:pStyle w:val="266"/>
              <w:spacing w:line="360" w:lineRule="auto"/>
              <w:ind w:left="0" w:right="0" w:firstLine="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以上每项内容逐条阐述。</w:t>
            </w:r>
          </w:p>
          <w:p w14:paraId="02C2A2F5">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项目实施</w:t>
            </w:r>
            <w:r>
              <w:rPr>
                <w:rFonts w:hint="eastAsia" w:ascii="宋体" w:hAnsi="宋体" w:eastAsia="宋体" w:cs="宋体"/>
                <w:color w:val="000000"/>
                <w:sz w:val="21"/>
                <w:szCs w:val="21"/>
                <w:highlight w:val="none"/>
                <w:lang w:val="en-US"/>
              </w:rPr>
              <w:t>方案内容</w:t>
            </w:r>
            <w:r>
              <w:rPr>
                <w:rFonts w:hint="eastAsia" w:ascii="宋体" w:hAnsi="宋体" w:eastAsia="宋体" w:cs="宋体"/>
                <w:color w:val="000000"/>
                <w:sz w:val="21"/>
                <w:szCs w:val="21"/>
                <w:highlight w:val="none"/>
                <w:lang w:val="en-US" w:eastAsia="zh-CN"/>
              </w:rPr>
              <w:t>完整详细</w:t>
            </w:r>
            <w:r>
              <w:rPr>
                <w:rFonts w:hint="eastAsia" w:ascii="宋体" w:hAnsi="宋体" w:eastAsia="宋体" w:cs="宋体"/>
                <w:color w:val="000000"/>
                <w:sz w:val="21"/>
                <w:szCs w:val="21"/>
                <w:highlight w:val="none"/>
                <w:lang w:val="en-US" w:bidi="ar-SA"/>
              </w:rPr>
              <w:t>，且</w:t>
            </w:r>
            <w:r>
              <w:rPr>
                <w:rFonts w:hint="eastAsia" w:ascii="宋体" w:hAnsi="宋体" w:eastAsia="宋体" w:cs="宋体"/>
                <w:color w:val="000000"/>
                <w:sz w:val="21"/>
                <w:szCs w:val="21"/>
                <w:highlight w:val="none"/>
                <w:lang w:val="en-US"/>
              </w:rPr>
              <w:t>专门针对本项目</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rPr>
              <w:t>视为符合；</w:t>
            </w:r>
          </w:p>
          <w:p w14:paraId="5CE1074F">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项目实施</w:t>
            </w:r>
            <w:r>
              <w:rPr>
                <w:rFonts w:hint="eastAsia" w:ascii="宋体" w:hAnsi="宋体" w:eastAsia="宋体" w:cs="宋体"/>
                <w:color w:val="000000"/>
                <w:sz w:val="21"/>
                <w:szCs w:val="21"/>
                <w:highlight w:val="none"/>
                <w:lang w:val="en-US"/>
              </w:rPr>
              <w:t>方案内容属于通用类，</w:t>
            </w:r>
            <w:r>
              <w:rPr>
                <w:rFonts w:hint="eastAsia" w:ascii="宋体" w:hAnsi="宋体" w:eastAsia="宋体" w:cs="宋体"/>
                <w:color w:val="000000"/>
                <w:sz w:val="21"/>
                <w:szCs w:val="21"/>
                <w:highlight w:val="none"/>
                <w:lang w:val="en-US" w:eastAsia="zh-CN"/>
              </w:rPr>
              <w:t>部分</w:t>
            </w:r>
            <w:r>
              <w:rPr>
                <w:rFonts w:hint="eastAsia" w:ascii="宋体" w:hAnsi="宋体" w:eastAsia="宋体" w:cs="宋体"/>
                <w:color w:val="000000"/>
                <w:sz w:val="21"/>
                <w:szCs w:val="21"/>
                <w:highlight w:val="none"/>
                <w:lang w:val="en-US"/>
              </w:rPr>
              <w:t>针对本项目，</w:t>
            </w:r>
            <w:r>
              <w:rPr>
                <w:rFonts w:hint="eastAsia" w:ascii="宋体" w:hAnsi="宋体" w:eastAsia="宋体" w:cs="宋体"/>
                <w:color w:val="000000"/>
                <w:sz w:val="21"/>
                <w:szCs w:val="21"/>
                <w:highlight w:val="none"/>
                <w:lang w:val="en-US" w:eastAsia="zh-CN"/>
              </w:rPr>
              <w:t>视为</w:t>
            </w:r>
            <w:r>
              <w:rPr>
                <w:rFonts w:hint="eastAsia" w:ascii="宋体" w:hAnsi="宋体" w:eastAsia="宋体" w:cs="宋体"/>
                <w:color w:val="000000"/>
                <w:sz w:val="21"/>
                <w:szCs w:val="21"/>
                <w:highlight w:val="none"/>
                <w:lang w:val="en-US"/>
              </w:rPr>
              <w:t>部分符合；</w:t>
            </w:r>
          </w:p>
          <w:p w14:paraId="0821D29A">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项目实施</w:t>
            </w:r>
            <w:r>
              <w:rPr>
                <w:rFonts w:hint="eastAsia" w:ascii="宋体" w:hAnsi="宋体" w:eastAsia="宋体" w:cs="宋体"/>
                <w:color w:val="000000"/>
                <w:sz w:val="21"/>
                <w:szCs w:val="21"/>
                <w:highlight w:val="none"/>
                <w:lang w:val="en-US"/>
              </w:rPr>
              <w:t>方案内容</w:t>
            </w:r>
            <w:r>
              <w:rPr>
                <w:rFonts w:hint="eastAsia" w:ascii="宋体" w:hAnsi="宋体" w:eastAsia="宋体" w:cs="宋体"/>
                <w:color w:val="000000"/>
                <w:sz w:val="21"/>
                <w:szCs w:val="21"/>
                <w:highlight w:val="none"/>
                <w:lang w:val="en-US" w:eastAsia="zh-CN"/>
              </w:rPr>
              <w:t>非</w:t>
            </w:r>
            <w:r>
              <w:rPr>
                <w:rFonts w:hint="eastAsia" w:ascii="宋体" w:hAnsi="宋体" w:eastAsia="宋体" w:cs="宋体"/>
                <w:color w:val="000000"/>
                <w:sz w:val="21"/>
                <w:szCs w:val="21"/>
                <w:highlight w:val="none"/>
                <w:lang w:val="en-US"/>
              </w:rPr>
              <w:t>针对本项目</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rPr>
              <w:t>视为不符合。</w:t>
            </w:r>
          </w:p>
          <w:p w14:paraId="75EB0F4F">
            <w:pPr>
              <w:spacing w:line="360" w:lineRule="auto"/>
              <w:rPr>
                <w:rFonts w:hint="eastAsia" w:ascii="宋体" w:hAnsi="宋体" w:eastAsia="宋体" w:cs="宋体"/>
                <w:highlight w:val="none"/>
                <w:lang w:val="en-US" w:eastAsia="zh-CN"/>
              </w:rPr>
            </w:pPr>
            <w:r>
              <w:rPr>
                <w:rFonts w:hint="eastAsia" w:ascii="宋体" w:hAnsi="宋体" w:eastAsia="宋体" w:cs="宋体"/>
                <w:color w:val="000000"/>
                <w:sz w:val="21"/>
                <w:szCs w:val="21"/>
                <w:highlight w:val="none"/>
                <w:lang w:val="en-US"/>
              </w:rPr>
              <w:t>上述每项内容符合得</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rPr>
              <w:t>分；部分符合得</w:t>
            </w:r>
            <w:r>
              <w:rPr>
                <w:rFonts w:hint="eastAsia" w:ascii="宋体" w:hAnsi="宋体" w:eastAsia="宋体" w:cs="宋体"/>
                <w:color w:val="000000"/>
                <w:sz w:val="21"/>
                <w:szCs w:val="21"/>
                <w:highlight w:val="none"/>
                <w:lang w:val="en-US" w:eastAsia="zh-CN"/>
              </w:rPr>
              <w:t>0.5</w:t>
            </w:r>
            <w:r>
              <w:rPr>
                <w:rFonts w:hint="eastAsia" w:ascii="宋体" w:hAnsi="宋体" w:eastAsia="宋体" w:cs="宋体"/>
                <w:color w:val="000000"/>
                <w:sz w:val="21"/>
                <w:szCs w:val="21"/>
                <w:highlight w:val="none"/>
                <w:lang w:val="en-US"/>
              </w:rPr>
              <w:t>分；不符合</w:t>
            </w:r>
            <w:r>
              <w:rPr>
                <w:rFonts w:hint="eastAsia" w:ascii="宋体" w:hAnsi="宋体" w:eastAsia="宋体" w:cs="宋体"/>
                <w:color w:val="000000"/>
                <w:sz w:val="21"/>
                <w:szCs w:val="21"/>
                <w:highlight w:val="none"/>
                <w:lang w:val="en-US" w:eastAsia="zh-CN"/>
              </w:rPr>
              <w:t>或未提供</w:t>
            </w:r>
            <w:r>
              <w:rPr>
                <w:rFonts w:hint="eastAsia" w:ascii="宋体" w:hAnsi="宋体" w:eastAsia="宋体" w:cs="宋体"/>
                <w:color w:val="000000"/>
                <w:sz w:val="21"/>
                <w:szCs w:val="21"/>
                <w:highlight w:val="none"/>
                <w:lang w:val="en-US"/>
              </w:rPr>
              <w:t>不得分。</w:t>
            </w:r>
          </w:p>
        </w:tc>
      </w:tr>
      <w:tr w14:paraId="736D7154">
        <w:trPr>
          <w:trHeight w:val="5196" w:hRule="atLeast"/>
          <w:jc w:val="center"/>
        </w:trPr>
        <w:tc>
          <w:tcPr>
            <w:tcW w:w="0" w:type="auto"/>
            <w:vMerge w:val="continue"/>
            <w:noWrap w:val="0"/>
            <w:vAlign w:val="center"/>
          </w:tcPr>
          <w:p w14:paraId="1206C5A4">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color w:val="auto"/>
                <w:sz w:val="21"/>
                <w:szCs w:val="21"/>
                <w:highlight w:val="none"/>
              </w:rPr>
            </w:pPr>
          </w:p>
        </w:tc>
        <w:tc>
          <w:tcPr>
            <w:tcW w:w="1305" w:type="dxa"/>
            <w:vMerge w:val="continue"/>
            <w:noWrap w:val="0"/>
            <w:vAlign w:val="center"/>
          </w:tcPr>
          <w:p w14:paraId="3E69FA45">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eastAsia="zh-CN"/>
              </w:rPr>
            </w:pPr>
          </w:p>
        </w:tc>
        <w:tc>
          <w:tcPr>
            <w:tcW w:w="1376" w:type="dxa"/>
            <w:noWrap w:val="0"/>
            <w:vAlign w:val="center"/>
          </w:tcPr>
          <w:p w14:paraId="6600301D">
            <w:pPr>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进度计划</w:t>
            </w:r>
          </w:p>
          <w:p w14:paraId="6E3580A6">
            <w:pPr>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方案</w:t>
            </w:r>
          </w:p>
          <w:p w14:paraId="2E893247">
            <w:pPr>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4分</w:t>
            </w:r>
            <w:r>
              <w:rPr>
                <w:rFonts w:hint="eastAsia" w:ascii="宋体" w:hAnsi="宋体" w:eastAsia="宋体" w:cs="宋体"/>
                <w:kern w:val="0"/>
                <w:szCs w:val="21"/>
                <w:highlight w:val="none"/>
                <w:lang w:eastAsia="zh-CN"/>
              </w:rPr>
              <w:t>）</w:t>
            </w:r>
          </w:p>
          <w:p w14:paraId="0F28BA1B">
            <w:pPr>
              <w:jc w:val="center"/>
              <w:rPr>
                <w:rFonts w:hint="eastAsia" w:ascii="宋体" w:hAnsi="宋体" w:eastAsia="宋体" w:cs="宋体"/>
                <w:kern w:val="0"/>
                <w:szCs w:val="21"/>
                <w:highlight w:val="none"/>
                <w:lang w:eastAsia="zh-CN"/>
              </w:rPr>
            </w:pPr>
          </w:p>
        </w:tc>
        <w:tc>
          <w:tcPr>
            <w:tcW w:w="5702" w:type="dxa"/>
            <w:noWrap w:val="0"/>
            <w:vAlign w:val="center"/>
          </w:tcPr>
          <w:p w14:paraId="092936D9">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根据供应商提供的基于对本项目的理解，制定有针对性的进度计划方案进行综合评分。进度计划方案至少包含以下内容：</w:t>
            </w:r>
          </w:p>
          <w:p w14:paraId="27BBFB52">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（1）进度计划编制依据与总体工期安排；</w:t>
            </w:r>
          </w:p>
          <w:p w14:paraId="013F5755">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（2）分阶段工作任务及关键节点（里程碑）时间安排；</w:t>
            </w:r>
          </w:p>
          <w:p w14:paraId="40DBCBAC">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（3）关键路径分析及进度控制重点、难点与应对措施；</w:t>
            </w:r>
          </w:p>
          <w:p w14:paraId="4507D7E0">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（4）进度保障措施与动态纠偏机制。</w:t>
            </w:r>
          </w:p>
          <w:p w14:paraId="309E89CD">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以上每项内容逐条阐述。</w:t>
            </w:r>
          </w:p>
          <w:p w14:paraId="55FC9F6A">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进度计划方案内容完整详细，且专门针对本项目，视为符合；进度计划方案内容属于通用类，部分针对本项目，视为部分符合；进度计划方案内容非针对本项目，视为不符合。</w:t>
            </w:r>
          </w:p>
          <w:p w14:paraId="5C79DD23">
            <w:pPr>
              <w:pStyle w:val="266"/>
              <w:spacing w:line="360" w:lineRule="auto"/>
              <w:ind w:left="0" w:right="0" w:firstLine="0"/>
              <w:jc w:val="left"/>
              <w:rPr>
                <w:rFonts w:hint="eastAsia" w:ascii="宋体" w:hAnsi="宋体" w:eastAsia="宋体" w:cs="宋体"/>
                <w:bCs/>
                <w:szCs w:val="21"/>
                <w:highlight w:val="none"/>
              </w:rPr>
            </w:pPr>
            <w:r>
              <w:rPr>
                <w:rFonts w:hint="eastAsia" w:ascii="宋体" w:hAnsi="宋体" w:eastAsia="宋体" w:cs="宋体"/>
                <w:color w:val="000000"/>
                <w:sz w:val="21"/>
                <w:szCs w:val="21"/>
                <w:highlight w:val="none"/>
                <w:lang w:val="en-US"/>
              </w:rPr>
              <w:t>上述每项内容符合得</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rPr>
              <w:t>分；部分符合得</w:t>
            </w:r>
            <w:r>
              <w:rPr>
                <w:rFonts w:hint="eastAsia" w:ascii="宋体" w:hAnsi="宋体" w:eastAsia="宋体" w:cs="宋体"/>
                <w:color w:val="000000"/>
                <w:sz w:val="21"/>
                <w:szCs w:val="21"/>
                <w:highlight w:val="none"/>
                <w:lang w:val="en-US" w:eastAsia="zh-CN"/>
              </w:rPr>
              <w:t>0.5</w:t>
            </w:r>
            <w:r>
              <w:rPr>
                <w:rFonts w:hint="eastAsia" w:ascii="宋体" w:hAnsi="宋体" w:eastAsia="宋体" w:cs="宋体"/>
                <w:color w:val="000000"/>
                <w:sz w:val="21"/>
                <w:szCs w:val="21"/>
                <w:highlight w:val="none"/>
                <w:lang w:val="en-US"/>
              </w:rPr>
              <w:t>分；不符合</w:t>
            </w:r>
            <w:r>
              <w:rPr>
                <w:rFonts w:hint="eastAsia" w:ascii="宋体" w:hAnsi="宋体" w:eastAsia="宋体" w:cs="宋体"/>
                <w:color w:val="000000"/>
                <w:sz w:val="21"/>
                <w:szCs w:val="21"/>
                <w:highlight w:val="none"/>
                <w:lang w:val="en-US" w:eastAsia="zh-CN"/>
              </w:rPr>
              <w:t>或未提供</w:t>
            </w:r>
            <w:r>
              <w:rPr>
                <w:rFonts w:hint="eastAsia" w:ascii="宋体" w:hAnsi="宋体" w:eastAsia="宋体" w:cs="宋体"/>
                <w:color w:val="000000"/>
                <w:sz w:val="21"/>
                <w:szCs w:val="21"/>
                <w:highlight w:val="none"/>
                <w:lang w:val="en-US"/>
              </w:rPr>
              <w:t>不得分。</w:t>
            </w:r>
          </w:p>
        </w:tc>
      </w:tr>
      <w:tr w14:paraId="3585934F">
        <w:trPr>
          <w:trHeight w:val="1159" w:hRule="atLeast"/>
          <w:jc w:val="center"/>
        </w:trPr>
        <w:tc>
          <w:tcPr>
            <w:tcW w:w="0" w:type="auto"/>
            <w:vMerge w:val="continue"/>
            <w:noWrap w:val="0"/>
            <w:vAlign w:val="center"/>
          </w:tcPr>
          <w:p w14:paraId="390EB9A7">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color w:val="auto"/>
                <w:sz w:val="21"/>
                <w:szCs w:val="21"/>
                <w:highlight w:val="none"/>
              </w:rPr>
            </w:pPr>
          </w:p>
        </w:tc>
        <w:tc>
          <w:tcPr>
            <w:tcW w:w="1305" w:type="dxa"/>
            <w:vMerge w:val="continue"/>
            <w:noWrap w:val="0"/>
            <w:vAlign w:val="center"/>
          </w:tcPr>
          <w:p w14:paraId="571E07E7">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eastAsia="zh-CN"/>
              </w:rPr>
            </w:pPr>
          </w:p>
        </w:tc>
        <w:tc>
          <w:tcPr>
            <w:tcW w:w="1376" w:type="dxa"/>
            <w:noWrap w:val="0"/>
            <w:vAlign w:val="center"/>
          </w:tcPr>
          <w:p w14:paraId="6CD26E41">
            <w:pPr>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rPr>
              <w:t>工程质量措施</w:t>
            </w:r>
            <w:r>
              <w:rPr>
                <w:rFonts w:hint="eastAsia" w:ascii="宋体" w:hAnsi="宋体" w:eastAsia="宋体" w:cs="宋体"/>
                <w:kern w:val="0"/>
                <w:szCs w:val="21"/>
                <w:highlight w:val="none"/>
                <w:lang w:val="en-US" w:eastAsia="zh-CN"/>
              </w:rPr>
              <w:t>方案</w:t>
            </w:r>
          </w:p>
          <w:p w14:paraId="20AC4141">
            <w:pPr>
              <w:jc w:val="center"/>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4分</w:t>
            </w:r>
            <w:r>
              <w:rPr>
                <w:rFonts w:hint="eastAsia" w:ascii="宋体" w:hAnsi="宋体" w:eastAsia="宋体" w:cs="宋体"/>
                <w:kern w:val="0"/>
                <w:szCs w:val="21"/>
                <w:highlight w:val="none"/>
                <w:lang w:eastAsia="zh-CN"/>
              </w:rPr>
              <w:t>）</w:t>
            </w:r>
          </w:p>
        </w:tc>
        <w:tc>
          <w:tcPr>
            <w:tcW w:w="5702" w:type="dxa"/>
            <w:noWrap w:val="0"/>
            <w:vAlign w:val="center"/>
          </w:tcPr>
          <w:p w14:paraId="604A66AF">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根据供应商提供的基于对本项目的理解，制定有针对性的工程质量措施方案进行综合评分。工程质量措施方案至少包含以下内容：</w:t>
            </w:r>
          </w:p>
          <w:p w14:paraId="7E694A71">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（1）质量目标与质量管理体系（含质量管理组织机构、岗位职责及质量责任分工）；</w:t>
            </w:r>
          </w:p>
          <w:p w14:paraId="0850B555">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（2）各实施阶段（工序）质量保证措施；</w:t>
            </w:r>
          </w:p>
          <w:p w14:paraId="72B218FC">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（3）质量重点、难点环节的识别与针对性控制措施；</w:t>
            </w:r>
          </w:p>
          <w:p w14:paraId="279CE9CD">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（4）质量检验与验收标准、不合格项处置及质量整改闭环机制。</w:t>
            </w:r>
          </w:p>
          <w:p w14:paraId="32697549">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以上每项内容逐条阐述。</w:t>
            </w:r>
          </w:p>
          <w:p w14:paraId="35CE638A">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工程质量措施方案内容完整详细，且专门针对本项目，视为符合；工程质量措施方案内容属于通用类，部分针对本项目，视为部分符合；工程质量措施方案内容非针对本项目，视为不符合。</w:t>
            </w:r>
          </w:p>
          <w:p w14:paraId="60E2809A">
            <w:pPr>
              <w:pStyle w:val="266"/>
              <w:spacing w:line="360" w:lineRule="auto"/>
              <w:ind w:left="0" w:right="0" w:firstLine="0"/>
              <w:jc w:val="left"/>
              <w:rPr>
                <w:rFonts w:hint="eastAsia" w:ascii="宋体" w:hAnsi="宋体" w:eastAsia="宋体" w:cs="宋体"/>
                <w:bCs/>
                <w:szCs w:val="21"/>
                <w:highlight w:val="none"/>
              </w:rPr>
            </w:pPr>
            <w:r>
              <w:rPr>
                <w:rFonts w:hint="eastAsia" w:ascii="宋体" w:hAnsi="宋体" w:eastAsia="宋体" w:cs="宋体"/>
                <w:color w:val="000000"/>
                <w:sz w:val="21"/>
                <w:szCs w:val="21"/>
                <w:highlight w:val="none"/>
                <w:lang w:val="en-US"/>
              </w:rPr>
              <w:t>上述每项内容符合得</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rPr>
              <w:t>分；部分符合得</w:t>
            </w:r>
            <w:r>
              <w:rPr>
                <w:rFonts w:hint="eastAsia" w:ascii="宋体" w:hAnsi="宋体" w:eastAsia="宋体" w:cs="宋体"/>
                <w:color w:val="000000"/>
                <w:sz w:val="21"/>
                <w:szCs w:val="21"/>
                <w:highlight w:val="none"/>
                <w:lang w:val="en-US" w:eastAsia="zh-CN"/>
              </w:rPr>
              <w:t>0.5</w:t>
            </w:r>
            <w:r>
              <w:rPr>
                <w:rFonts w:hint="eastAsia" w:ascii="宋体" w:hAnsi="宋体" w:eastAsia="宋体" w:cs="宋体"/>
                <w:color w:val="000000"/>
                <w:sz w:val="21"/>
                <w:szCs w:val="21"/>
                <w:highlight w:val="none"/>
                <w:lang w:val="en-US"/>
              </w:rPr>
              <w:t>分；不符合</w:t>
            </w:r>
            <w:r>
              <w:rPr>
                <w:rFonts w:hint="eastAsia" w:ascii="宋体" w:hAnsi="宋体" w:eastAsia="宋体" w:cs="宋体"/>
                <w:color w:val="000000"/>
                <w:sz w:val="21"/>
                <w:szCs w:val="21"/>
                <w:highlight w:val="none"/>
                <w:lang w:val="en-US" w:eastAsia="zh-CN"/>
              </w:rPr>
              <w:t>或未提供</w:t>
            </w:r>
            <w:r>
              <w:rPr>
                <w:rFonts w:hint="eastAsia" w:ascii="宋体" w:hAnsi="宋体" w:eastAsia="宋体" w:cs="宋体"/>
                <w:color w:val="000000"/>
                <w:sz w:val="21"/>
                <w:szCs w:val="21"/>
                <w:highlight w:val="none"/>
                <w:lang w:val="en-US"/>
              </w:rPr>
              <w:t>不得分。</w:t>
            </w:r>
          </w:p>
        </w:tc>
      </w:tr>
      <w:tr w14:paraId="7EC71C11">
        <w:trPr>
          <w:trHeight w:val="1786" w:hRule="atLeast"/>
          <w:jc w:val="center"/>
        </w:trPr>
        <w:tc>
          <w:tcPr>
            <w:tcW w:w="0" w:type="auto"/>
            <w:vMerge w:val="continue"/>
            <w:noWrap w:val="0"/>
            <w:vAlign w:val="center"/>
          </w:tcPr>
          <w:p w14:paraId="4B264295">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color w:val="auto"/>
                <w:sz w:val="21"/>
                <w:szCs w:val="21"/>
                <w:highlight w:val="none"/>
              </w:rPr>
            </w:pPr>
          </w:p>
        </w:tc>
        <w:tc>
          <w:tcPr>
            <w:tcW w:w="1305" w:type="dxa"/>
            <w:vMerge w:val="continue"/>
            <w:noWrap w:val="0"/>
            <w:vAlign w:val="center"/>
          </w:tcPr>
          <w:p w14:paraId="4F08268F">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eastAsia="zh-CN"/>
              </w:rPr>
            </w:pPr>
          </w:p>
        </w:tc>
        <w:tc>
          <w:tcPr>
            <w:tcW w:w="1376" w:type="dxa"/>
            <w:noWrap w:val="0"/>
            <w:vAlign w:val="center"/>
          </w:tcPr>
          <w:p w14:paraId="268685D5">
            <w:pPr>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rPr>
              <w:t>安全生产管理措施</w:t>
            </w:r>
            <w:r>
              <w:rPr>
                <w:rFonts w:hint="eastAsia" w:ascii="宋体" w:hAnsi="宋体" w:eastAsia="宋体" w:cs="宋体"/>
                <w:kern w:val="0"/>
                <w:szCs w:val="21"/>
                <w:highlight w:val="none"/>
                <w:lang w:val="en-US" w:eastAsia="zh-CN"/>
              </w:rPr>
              <w:t>方案</w:t>
            </w:r>
          </w:p>
          <w:p w14:paraId="4121134B">
            <w:pPr>
              <w:jc w:val="center"/>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4分</w:t>
            </w:r>
            <w:r>
              <w:rPr>
                <w:rFonts w:hint="eastAsia" w:ascii="宋体" w:hAnsi="宋体" w:eastAsia="宋体" w:cs="宋体"/>
                <w:kern w:val="0"/>
                <w:szCs w:val="21"/>
                <w:highlight w:val="none"/>
                <w:lang w:eastAsia="zh-CN"/>
              </w:rPr>
              <w:t>）</w:t>
            </w:r>
          </w:p>
        </w:tc>
        <w:tc>
          <w:tcPr>
            <w:tcW w:w="5702" w:type="dxa"/>
            <w:noWrap w:val="0"/>
            <w:vAlign w:val="center"/>
          </w:tcPr>
          <w:p w14:paraId="7D745D22">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根据供应商提供的基于对本项目的理解，制定有针对性的安全生产管理措施方案进行综合评分。安全生产管理措施方案至少包含以下内容：</w:t>
            </w:r>
          </w:p>
          <w:p w14:paraId="3135A262">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（1）安全生产目标与安全生产管理体系（含安全管理组织机构、专职安全管理人员配备及安全生产责任制）；</w:t>
            </w:r>
          </w:p>
          <w:p w14:paraId="5BB17D36">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（2）危险源辨识与安全风险分级管控措施；</w:t>
            </w:r>
          </w:p>
          <w:p w14:paraId="5FF72EF4">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（3）重点环节、关键作业的安全技术措施；</w:t>
            </w:r>
          </w:p>
          <w:p w14:paraId="64EDA382">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（4）安全教育培训、应急预案与演练、隐患排查治理闭环机制。</w:t>
            </w:r>
          </w:p>
          <w:p w14:paraId="3BD19F87">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以上每项内容逐条阐述。</w:t>
            </w:r>
          </w:p>
          <w:p w14:paraId="5FEADB09">
            <w:pPr>
              <w:pStyle w:val="266"/>
              <w:spacing w:line="360" w:lineRule="auto"/>
              <w:ind w:left="0" w:right="0" w:firstLine="0"/>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安全生产管理措施方案内容完整详细，且专门针对本项目，视为符合；安全生产管理措施方案内容属于通用类，部分针对本项目，视为部分符合；安全生产管理措施方案内容非针对本项目，视为不符合。</w:t>
            </w:r>
          </w:p>
          <w:p w14:paraId="6C88C7F3">
            <w:pPr>
              <w:pStyle w:val="266"/>
              <w:spacing w:line="360" w:lineRule="auto"/>
              <w:ind w:left="0" w:right="0" w:firstLine="0"/>
              <w:jc w:val="left"/>
              <w:rPr>
                <w:rFonts w:hint="eastAsia" w:ascii="宋体" w:hAnsi="宋体" w:eastAsia="宋体" w:cs="宋体"/>
                <w:bCs/>
                <w:szCs w:val="21"/>
                <w:highlight w:val="none"/>
              </w:rPr>
            </w:pPr>
            <w:r>
              <w:rPr>
                <w:rFonts w:hint="eastAsia" w:ascii="宋体" w:hAnsi="宋体" w:eastAsia="宋体" w:cs="宋体"/>
                <w:color w:val="000000"/>
                <w:sz w:val="21"/>
                <w:szCs w:val="21"/>
                <w:highlight w:val="none"/>
                <w:lang w:val="en-US"/>
              </w:rPr>
              <w:t>上述每项内容符合得</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rPr>
              <w:t>分；部分符合得</w:t>
            </w:r>
            <w:r>
              <w:rPr>
                <w:rFonts w:hint="eastAsia" w:ascii="宋体" w:hAnsi="宋体" w:eastAsia="宋体" w:cs="宋体"/>
                <w:color w:val="000000"/>
                <w:sz w:val="21"/>
                <w:szCs w:val="21"/>
                <w:highlight w:val="none"/>
                <w:lang w:val="en-US" w:eastAsia="zh-CN"/>
              </w:rPr>
              <w:t>0.5</w:t>
            </w:r>
            <w:r>
              <w:rPr>
                <w:rFonts w:hint="eastAsia" w:ascii="宋体" w:hAnsi="宋体" w:eastAsia="宋体" w:cs="宋体"/>
                <w:color w:val="000000"/>
                <w:sz w:val="21"/>
                <w:szCs w:val="21"/>
                <w:highlight w:val="none"/>
                <w:lang w:val="en-US"/>
              </w:rPr>
              <w:t>分；不符合</w:t>
            </w:r>
            <w:r>
              <w:rPr>
                <w:rFonts w:hint="eastAsia" w:ascii="宋体" w:hAnsi="宋体" w:eastAsia="宋体" w:cs="宋体"/>
                <w:color w:val="000000"/>
                <w:sz w:val="21"/>
                <w:szCs w:val="21"/>
                <w:highlight w:val="none"/>
                <w:lang w:val="en-US" w:eastAsia="zh-CN"/>
              </w:rPr>
              <w:t>或未提供</w:t>
            </w:r>
            <w:r>
              <w:rPr>
                <w:rFonts w:hint="eastAsia" w:ascii="宋体" w:hAnsi="宋体" w:eastAsia="宋体" w:cs="宋体"/>
                <w:color w:val="000000"/>
                <w:sz w:val="21"/>
                <w:szCs w:val="21"/>
                <w:highlight w:val="none"/>
                <w:lang w:val="en-US"/>
              </w:rPr>
              <w:t>不得分。</w:t>
            </w:r>
          </w:p>
        </w:tc>
      </w:tr>
      <w:tr w14:paraId="1AB94745">
        <w:trPr>
          <w:trHeight w:val="90" w:hRule="atLeast"/>
          <w:jc w:val="center"/>
        </w:trPr>
        <w:tc>
          <w:tcPr>
            <w:tcW w:w="0" w:type="auto"/>
            <w:vMerge w:val="continue"/>
            <w:noWrap w:val="0"/>
            <w:vAlign w:val="center"/>
          </w:tcPr>
          <w:p w14:paraId="45B96C9F">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color w:val="auto"/>
                <w:sz w:val="21"/>
                <w:szCs w:val="21"/>
                <w:highlight w:val="none"/>
              </w:rPr>
            </w:pPr>
          </w:p>
        </w:tc>
        <w:tc>
          <w:tcPr>
            <w:tcW w:w="1305" w:type="dxa"/>
            <w:vMerge w:val="continue"/>
            <w:noWrap w:val="0"/>
            <w:vAlign w:val="center"/>
          </w:tcPr>
          <w:p w14:paraId="4424F176">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eastAsia="zh-CN"/>
              </w:rPr>
            </w:pPr>
          </w:p>
        </w:tc>
        <w:tc>
          <w:tcPr>
            <w:tcW w:w="1376" w:type="dxa"/>
            <w:noWrap w:val="0"/>
            <w:vAlign w:val="center"/>
          </w:tcPr>
          <w:p w14:paraId="2C952E63">
            <w:pPr>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现场保护</w:t>
            </w:r>
          </w:p>
          <w:p w14:paraId="4CE185C1">
            <w:pPr>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方案</w:t>
            </w:r>
          </w:p>
          <w:p w14:paraId="7E00E556">
            <w:pPr>
              <w:jc w:val="center"/>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4分</w:t>
            </w:r>
            <w:r>
              <w:rPr>
                <w:rFonts w:hint="eastAsia" w:ascii="宋体" w:hAnsi="宋体" w:eastAsia="宋体" w:cs="宋体"/>
                <w:kern w:val="0"/>
                <w:szCs w:val="21"/>
                <w:highlight w:val="none"/>
                <w:lang w:eastAsia="zh-CN"/>
              </w:rPr>
              <w:t>）</w:t>
            </w:r>
          </w:p>
        </w:tc>
        <w:tc>
          <w:tcPr>
            <w:tcW w:w="5702" w:type="dxa"/>
            <w:noWrap w:val="0"/>
            <w:vAlign w:val="center"/>
          </w:tcPr>
          <w:p w14:paraId="5539B777">
            <w:pPr>
              <w:pStyle w:val="266"/>
              <w:spacing w:line="360" w:lineRule="auto"/>
              <w:ind w:left="0" w:right="0" w:firstLine="0"/>
              <w:jc w:val="left"/>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根据供应商提供的基于对本项目的理解，制定有针对性的现场保护方案进行综合评分。现场保护方案至少包含以下内容：</w:t>
            </w:r>
          </w:p>
          <w:p w14:paraId="6DE7ADF4">
            <w:pPr>
              <w:pStyle w:val="266"/>
              <w:spacing w:line="360" w:lineRule="auto"/>
              <w:ind w:left="0" w:right="0" w:firstLine="0"/>
              <w:jc w:val="left"/>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（1）现场保护对象与保护范围；</w:t>
            </w:r>
          </w:p>
          <w:p w14:paraId="1832E8C0">
            <w:pPr>
              <w:pStyle w:val="266"/>
              <w:spacing w:line="360" w:lineRule="auto"/>
              <w:ind w:left="0" w:right="0" w:firstLine="0"/>
              <w:jc w:val="left"/>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（2）现场保护组织机构、职责分工及保护管理制度；</w:t>
            </w:r>
          </w:p>
          <w:p w14:paraId="396837A5">
            <w:pPr>
              <w:pStyle w:val="266"/>
              <w:spacing w:line="360" w:lineRule="auto"/>
              <w:ind w:left="0" w:right="0" w:firstLine="0"/>
              <w:jc w:val="left"/>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（3）各类保护对象的具体保护措施及技术手段；</w:t>
            </w:r>
          </w:p>
          <w:p w14:paraId="2493828D">
            <w:pPr>
              <w:pStyle w:val="266"/>
              <w:spacing w:line="360" w:lineRule="auto"/>
              <w:ind w:left="0" w:right="0" w:firstLine="0"/>
              <w:jc w:val="left"/>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（4）现场日常巡查与监督检查机制、损坏恢复与赔偿处置流程。</w:t>
            </w:r>
          </w:p>
          <w:p w14:paraId="69A24FC5">
            <w:pPr>
              <w:pStyle w:val="266"/>
              <w:spacing w:line="360" w:lineRule="auto"/>
              <w:ind w:left="0" w:right="0" w:firstLine="0"/>
              <w:jc w:val="left"/>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以上每项内容逐条阐述。</w:t>
            </w:r>
          </w:p>
          <w:p w14:paraId="551D08D4">
            <w:pPr>
              <w:pStyle w:val="266"/>
              <w:spacing w:line="360" w:lineRule="auto"/>
              <w:ind w:left="0" w:right="0" w:firstLine="0"/>
              <w:jc w:val="left"/>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现场保护方案内容完整详细，且专门针对本项目，视为符合；现场保护方案内容属于通用类，部分针对本项目，视为部分符合；现场保护方案内容非针对本项目，视为不符合。</w:t>
            </w:r>
          </w:p>
          <w:p w14:paraId="1DDB5BA0">
            <w:pPr>
              <w:pStyle w:val="266"/>
              <w:spacing w:line="360" w:lineRule="auto"/>
              <w:ind w:left="0" w:right="0" w:firstLine="0"/>
              <w:jc w:val="left"/>
              <w:rPr>
                <w:rFonts w:hint="eastAsia" w:ascii="宋体" w:hAnsi="宋体" w:eastAsia="宋体" w:cs="宋体"/>
                <w:bCs/>
                <w:szCs w:val="21"/>
                <w:highlight w:val="none"/>
              </w:rPr>
            </w:pPr>
            <w:r>
              <w:rPr>
                <w:rFonts w:hint="eastAsia" w:ascii="宋体" w:hAnsi="宋体" w:eastAsia="宋体" w:cs="宋体"/>
                <w:color w:val="000000"/>
                <w:sz w:val="21"/>
                <w:szCs w:val="21"/>
                <w:highlight w:val="none"/>
                <w:lang w:val="en-US"/>
              </w:rPr>
              <w:t>上述每项内容</w:t>
            </w:r>
            <w:r>
              <w:rPr>
                <w:rFonts w:hint="eastAsia" w:ascii="宋体" w:hAnsi="宋体" w:eastAsia="宋体" w:cs="宋体"/>
                <w:color w:val="000000"/>
                <w:sz w:val="21"/>
                <w:szCs w:val="21"/>
                <w:highlight w:val="none"/>
                <w:lang w:val="en-US" w:eastAsia="en-US"/>
              </w:rPr>
              <w:t>符合得</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eastAsia="en-US"/>
              </w:rPr>
              <w:t>分；部分符合得</w:t>
            </w:r>
            <w:r>
              <w:rPr>
                <w:rFonts w:hint="eastAsia" w:ascii="宋体" w:hAnsi="宋体" w:eastAsia="宋体" w:cs="宋体"/>
                <w:color w:val="000000"/>
                <w:sz w:val="21"/>
                <w:szCs w:val="21"/>
                <w:highlight w:val="none"/>
                <w:lang w:val="en-US" w:eastAsia="zh-CN"/>
              </w:rPr>
              <w:t>0.5</w:t>
            </w:r>
            <w:r>
              <w:rPr>
                <w:rFonts w:hint="eastAsia" w:ascii="宋体" w:hAnsi="宋体" w:eastAsia="宋体" w:cs="宋体"/>
                <w:color w:val="000000"/>
                <w:sz w:val="21"/>
                <w:szCs w:val="21"/>
                <w:highlight w:val="none"/>
                <w:lang w:val="en-US" w:eastAsia="en-US"/>
              </w:rPr>
              <w:t>分；</w:t>
            </w:r>
            <w:r>
              <w:rPr>
                <w:rFonts w:hint="eastAsia" w:ascii="宋体" w:hAnsi="宋体" w:eastAsia="宋体" w:cs="宋体"/>
                <w:color w:val="000000"/>
                <w:sz w:val="21"/>
                <w:szCs w:val="21"/>
                <w:highlight w:val="none"/>
                <w:lang w:val="en-US"/>
              </w:rPr>
              <w:t>不符合</w:t>
            </w:r>
            <w:r>
              <w:rPr>
                <w:rFonts w:hint="eastAsia" w:ascii="宋体" w:hAnsi="宋体" w:eastAsia="宋体" w:cs="宋体"/>
                <w:color w:val="000000"/>
                <w:sz w:val="21"/>
                <w:szCs w:val="21"/>
                <w:highlight w:val="none"/>
                <w:lang w:val="en-US" w:eastAsia="zh-CN"/>
              </w:rPr>
              <w:t>或未提供</w:t>
            </w:r>
            <w:r>
              <w:rPr>
                <w:rFonts w:hint="eastAsia" w:ascii="宋体" w:hAnsi="宋体" w:eastAsia="宋体" w:cs="宋体"/>
                <w:color w:val="000000"/>
                <w:sz w:val="21"/>
                <w:szCs w:val="21"/>
                <w:highlight w:val="none"/>
                <w:lang w:val="en-US"/>
              </w:rPr>
              <w:t>不得分。</w:t>
            </w:r>
            <w:bookmarkStart w:id="413" w:name="_GoBack"/>
            <w:bookmarkEnd w:id="413"/>
          </w:p>
        </w:tc>
      </w:tr>
      <w:tr w14:paraId="729AC919">
        <w:trPr>
          <w:trHeight w:val="477" w:hRule="atLeast"/>
          <w:jc w:val="center"/>
        </w:trPr>
        <w:tc>
          <w:tcPr>
            <w:tcW w:w="0" w:type="auto"/>
            <w:vMerge w:val="continue"/>
            <w:noWrap w:val="0"/>
            <w:vAlign w:val="center"/>
          </w:tcPr>
          <w:p w14:paraId="4F4AB02F">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color w:val="auto"/>
                <w:sz w:val="21"/>
                <w:szCs w:val="21"/>
                <w:highlight w:val="none"/>
              </w:rPr>
            </w:pPr>
          </w:p>
        </w:tc>
        <w:tc>
          <w:tcPr>
            <w:tcW w:w="1305" w:type="dxa"/>
            <w:vMerge w:val="continue"/>
            <w:noWrap w:val="0"/>
            <w:vAlign w:val="center"/>
          </w:tcPr>
          <w:p w14:paraId="459D6117">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eastAsia="zh-CN"/>
              </w:rPr>
            </w:pPr>
          </w:p>
        </w:tc>
        <w:tc>
          <w:tcPr>
            <w:tcW w:w="1376" w:type="dxa"/>
            <w:noWrap w:val="0"/>
            <w:vAlign w:val="center"/>
          </w:tcPr>
          <w:p w14:paraId="1CBB48C7">
            <w:pPr>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技术响应</w:t>
            </w:r>
          </w:p>
          <w:p w14:paraId="02D468BD">
            <w:pPr>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（20分）</w:t>
            </w:r>
          </w:p>
        </w:tc>
        <w:tc>
          <w:tcPr>
            <w:tcW w:w="5702" w:type="dxa"/>
            <w:noWrap w:val="0"/>
            <w:vAlign w:val="center"/>
          </w:tcPr>
          <w:p w14:paraId="3B01B4AE">
            <w:pPr>
              <w:pStyle w:val="266"/>
              <w:spacing w:line="360" w:lineRule="auto"/>
              <w:ind w:left="0" w:right="0" w:firstLine="0"/>
              <w:jc w:val="left"/>
              <w:rPr>
                <w:rFonts w:hint="default" w:ascii="宋体" w:hAnsi="宋体" w:eastAsia="宋体" w:cs="宋体"/>
                <w:color w:val="000000"/>
                <w:kern w:val="2"/>
                <w:sz w:val="21"/>
                <w:szCs w:val="21"/>
                <w:highlight w:val="none"/>
                <w:lang w:val="en-US" w:eastAsia="en-US" w:bidi="ar-SA"/>
              </w:rPr>
            </w:pPr>
            <w:r>
              <w:rPr>
                <w:rFonts w:hint="eastAsia" w:ascii="宋体" w:hAnsi="宋体" w:eastAsia="宋体" w:cs="宋体"/>
                <w:color w:val="000000"/>
                <w:sz w:val="21"/>
                <w:szCs w:val="21"/>
                <w:highlight w:val="none"/>
                <w:lang w:val="en-US" w:eastAsia="en-US"/>
              </w:rPr>
              <w:t>满足</w:t>
            </w:r>
            <w:r>
              <w:rPr>
                <w:rFonts w:hint="eastAsia" w:cs="宋体"/>
                <w:color w:val="000000"/>
                <w:sz w:val="21"/>
                <w:szCs w:val="21"/>
                <w:highlight w:val="none"/>
                <w:lang w:val="en-US" w:eastAsia="zh-CN"/>
              </w:rPr>
              <w:t>或优于</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lang w:val="en-US" w:eastAsia="en-US"/>
              </w:rPr>
              <w:t>文件“</w:t>
            </w:r>
            <w:r>
              <w:rPr>
                <w:rFonts w:hint="eastAsia" w:ascii="宋体" w:hAnsi="宋体" w:eastAsia="宋体" w:cs="宋体"/>
                <w:color w:val="000000"/>
                <w:sz w:val="21"/>
                <w:szCs w:val="21"/>
                <w:highlight w:val="none"/>
                <w:lang w:val="en-US" w:eastAsia="zh-CN"/>
              </w:rPr>
              <w:t>采购需求</w:t>
            </w:r>
            <w:r>
              <w:rPr>
                <w:rFonts w:hint="eastAsia" w:ascii="宋体" w:hAnsi="宋体" w:eastAsia="宋体" w:cs="宋体"/>
                <w:color w:val="000000"/>
                <w:sz w:val="21"/>
                <w:szCs w:val="21"/>
                <w:highlight w:val="none"/>
                <w:lang w:val="en-US" w:eastAsia="en-US"/>
              </w:rPr>
              <w:t>”</w:t>
            </w:r>
            <w:r>
              <w:rPr>
                <w:rFonts w:hint="eastAsia" w:ascii="宋体" w:hAnsi="宋体" w:eastAsia="宋体" w:cs="宋体"/>
                <w:color w:val="000000"/>
                <w:sz w:val="21"/>
                <w:szCs w:val="21"/>
                <w:highlight w:val="none"/>
                <w:lang w:val="en-US" w:eastAsia="zh-CN"/>
              </w:rPr>
              <w:t>技术响应参数评分项</w:t>
            </w:r>
            <w:r>
              <w:rPr>
                <w:rFonts w:hint="eastAsia" w:ascii="宋体" w:hAnsi="宋体" w:eastAsia="宋体" w:cs="宋体"/>
                <w:color w:val="000000"/>
                <w:sz w:val="21"/>
                <w:szCs w:val="21"/>
                <w:highlight w:val="none"/>
                <w:lang w:val="en-US" w:eastAsia="en-US"/>
              </w:rPr>
              <w:t>的，得</w:t>
            </w:r>
            <w:r>
              <w:rPr>
                <w:rFonts w:hint="eastAsia" w:ascii="宋体" w:hAnsi="宋体" w:eastAsia="宋体" w:cs="宋体"/>
                <w:color w:val="000000"/>
                <w:sz w:val="21"/>
                <w:szCs w:val="21"/>
                <w:highlight w:val="none"/>
                <w:lang w:val="en-US" w:eastAsia="zh-CN"/>
              </w:rPr>
              <w:t>20</w:t>
            </w:r>
            <w:r>
              <w:rPr>
                <w:rFonts w:hint="eastAsia" w:ascii="宋体" w:hAnsi="宋体" w:eastAsia="宋体" w:cs="宋体"/>
                <w:color w:val="000000"/>
                <w:sz w:val="21"/>
                <w:szCs w:val="21"/>
                <w:highlight w:val="none"/>
                <w:lang w:val="en-US" w:eastAsia="en-US"/>
              </w:rPr>
              <w:t>分。有一项负偏离的，每项扣</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val="en-US" w:eastAsia="en-US"/>
              </w:rPr>
              <w:t>分，扣完为止。</w:t>
            </w:r>
            <w:r>
              <w:rPr>
                <w:rFonts w:hint="eastAsia" w:ascii="宋体" w:hAnsi="宋体" w:eastAsia="宋体" w:cs="宋体"/>
                <w:color w:val="000000"/>
                <w:sz w:val="21"/>
                <w:szCs w:val="21"/>
                <w:highlight w:val="none"/>
                <w:lang w:val="en-US" w:eastAsia="zh-CN"/>
              </w:rPr>
              <w:t>须</w:t>
            </w:r>
            <w:r>
              <w:rPr>
                <w:rFonts w:hint="eastAsia" w:ascii="宋体" w:hAnsi="宋体" w:eastAsia="宋体" w:cs="宋体"/>
                <w:color w:val="000000"/>
                <w:sz w:val="21"/>
                <w:szCs w:val="21"/>
                <w:highlight w:val="none"/>
                <w:rtl w:val="0"/>
                <w:lang w:val="en-US" w:eastAsia="zh-CN" w:bidi="ar-SA"/>
              </w:rPr>
              <w:t>在响应文件《</w:t>
            </w:r>
            <w:r>
              <w:rPr>
                <w:rFonts w:hint="default" w:ascii="宋体" w:hAnsi="宋体" w:eastAsia="宋体" w:cs="宋体"/>
                <w:color w:val="000000"/>
                <w:sz w:val="21"/>
                <w:szCs w:val="21"/>
                <w:highlight w:val="none"/>
                <w:rtl w:val="0"/>
                <w:lang w:val="en-US" w:eastAsia="zh-CN" w:bidi="ar-SA"/>
              </w:rPr>
              <w:t>技术条款偏离表</w:t>
            </w:r>
            <w:r>
              <w:rPr>
                <w:rFonts w:hint="eastAsia" w:ascii="宋体" w:hAnsi="宋体" w:eastAsia="宋体" w:cs="宋体"/>
                <w:color w:val="000000"/>
                <w:sz w:val="21"/>
                <w:szCs w:val="21"/>
                <w:highlight w:val="none"/>
                <w:rtl w:val="0"/>
                <w:lang w:val="en-US" w:eastAsia="zh-CN" w:bidi="ar-SA"/>
              </w:rPr>
              <w:t>》中逐条列出响应及偏离情况。</w:t>
            </w:r>
          </w:p>
        </w:tc>
      </w:tr>
      <w:tr w14:paraId="2356FA2B">
        <w:trPr>
          <w:trHeight w:val="418" w:hRule="atLeast"/>
          <w:jc w:val="center"/>
        </w:trPr>
        <w:tc>
          <w:tcPr>
            <w:tcW w:w="0" w:type="auto"/>
            <w:vMerge w:val="restart"/>
            <w:noWrap w:val="0"/>
            <w:vAlign w:val="center"/>
          </w:tcPr>
          <w:p w14:paraId="32245C19">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2.3</w:t>
            </w:r>
          </w:p>
        </w:tc>
        <w:tc>
          <w:tcPr>
            <w:tcW w:w="1305" w:type="dxa"/>
            <w:vMerge w:val="restart"/>
            <w:noWrap w:val="0"/>
            <w:vAlign w:val="center"/>
          </w:tcPr>
          <w:p w14:paraId="7AF20ECE">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eastAsia="zh-CN"/>
              </w:rPr>
              <w:t>商务部分</w:t>
            </w:r>
          </w:p>
          <w:p w14:paraId="32E0870E">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30分</w:t>
            </w:r>
            <w:r>
              <w:rPr>
                <w:rFonts w:hint="eastAsia" w:ascii="宋体" w:hAnsi="宋体" w:eastAsia="宋体" w:cs="宋体"/>
                <w:kern w:val="0"/>
                <w:sz w:val="21"/>
                <w:szCs w:val="21"/>
                <w:highlight w:val="none"/>
                <w:lang w:eastAsia="zh-CN"/>
              </w:rPr>
              <w:t>）</w:t>
            </w:r>
          </w:p>
        </w:tc>
        <w:tc>
          <w:tcPr>
            <w:tcW w:w="1376" w:type="dxa"/>
            <w:noWrap w:val="0"/>
            <w:vAlign w:val="center"/>
          </w:tcPr>
          <w:p w14:paraId="15FC8B29">
            <w:pPr>
              <w:widowControl/>
              <w:spacing w:line="300" w:lineRule="exact"/>
              <w:jc w:val="center"/>
              <w:rPr>
                <w:rFonts w:hint="eastAsia" w:ascii="宋体" w:hAnsi="宋体" w:eastAsia="宋体" w:cs="宋体"/>
                <w:szCs w:val="21"/>
                <w:highlight w:val="none"/>
              </w:rPr>
            </w:pPr>
            <w:r>
              <w:rPr>
                <w:rFonts w:hint="eastAsia" w:ascii="宋体" w:hAnsi="宋体" w:eastAsia="宋体" w:cs="宋体"/>
                <w:szCs w:val="21"/>
                <w:highlight w:val="none"/>
              </w:rPr>
              <w:t>企业业绩</w:t>
            </w:r>
          </w:p>
          <w:p w14:paraId="48728F8B">
            <w:pPr>
              <w:widowControl/>
              <w:spacing w:line="300" w:lineRule="exact"/>
              <w:jc w:val="center"/>
              <w:rPr>
                <w:rFonts w:hint="eastAsia" w:ascii="宋体" w:hAnsi="宋体" w:eastAsia="宋体" w:cs="宋体"/>
                <w:kern w:val="0"/>
                <w:sz w:val="21"/>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9</w:t>
            </w:r>
            <w:r>
              <w:rPr>
                <w:rFonts w:hint="eastAsia" w:ascii="宋体" w:hAnsi="宋体" w:eastAsia="宋体" w:cs="宋体"/>
                <w:szCs w:val="21"/>
                <w:highlight w:val="none"/>
              </w:rPr>
              <w:t>分）</w:t>
            </w:r>
          </w:p>
        </w:tc>
        <w:tc>
          <w:tcPr>
            <w:tcW w:w="5702" w:type="dxa"/>
            <w:noWrap w:val="0"/>
            <w:vAlign w:val="center"/>
          </w:tcPr>
          <w:p w14:paraId="473206D9">
            <w:pPr>
              <w:keepNext w:val="0"/>
              <w:keepLines w:val="0"/>
              <w:pageBreakBefore w:val="0"/>
              <w:widowControl w:val="0"/>
              <w:kinsoku/>
              <w:wordWrap/>
              <w:overflowPunct/>
              <w:topLinePunct w:val="0"/>
              <w:autoSpaceDE/>
              <w:autoSpaceDN/>
              <w:bidi w:val="0"/>
              <w:snapToGrid/>
              <w:spacing w:line="300" w:lineRule="auto"/>
              <w:textAlignment w:val="auto"/>
              <w:rPr>
                <w:rFonts w:hint="eastAsia" w:ascii="宋体" w:hAnsi="宋体" w:eastAsia="宋体" w:cs="宋体"/>
                <w:highlight w:val="none"/>
              </w:rPr>
            </w:pPr>
            <w:r>
              <w:rPr>
                <w:rFonts w:hint="eastAsia" w:ascii="宋体" w:hAnsi="宋体" w:eastAsia="宋体" w:cs="宋体"/>
                <w:highlight w:val="none"/>
                <w:lang w:val="en-US" w:eastAsia="zh-CN"/>
              </w:rPr>
              <w:t>供应商自</w:t>
            </w:r>
            <w:r>
              <w:rPr>
                <w:rFonts w:hint="eastAsia" w:ascii="宋体" w:hAnsi="宋体" w:eastAsia="宋体" w:cs="宋体"/>
                <w:highlight w:val="none"/>
              </w:rPr>
              <w:t>2023年1月1日以来</w:t>
            </w:r>
            <w:r>
              <w:rPr>
                <w:rFonts w:hint="eastAsia" w:ascii="宋体" w:hAnsi="宋体" w:eastAsia="宋体" w:cs="宋体"/>
                <w:highlight w:val="none"/>
                <w:lang w:eastAsia="zh-CN"/>
              </w:rPr>
              <w:t>（</w:t>
            </w:r>
            <w:r>
              <w:rPr>
                <w:rFonts w:hint="eastAsia" w:ascii="宋体" w:hAnsi="宋体" w:eastAsia="宋体" w:cs="宋体"/>
                <w:highlight w:val="none"/>
                <w:lang w:val="en-US" w:eastAsia="zh-CN"/>
              </w:rPr>
              <w:t>以合同签订时间为准</w:t>
            </w:r>
            <w:r>
              <w:rPr>
                <w:rFonts w:hint="eastAsia" w:ascii="宋体" w:hAnsi="宋体" w:eastAsia="宋体" w:cs="宋体"/>
                <w:highlight w:val="none"/>
                <w:lang w:eastAsia="zh-CN"/>
              </w:rPr>
              <w:t>）</w:t>
            </w:r>
            <w:r>
              <w:rPr>
                <w:rFonts w:hint="eastAsia" w:ascii="宋体" w:hAnsi="宋体" w:eastAsia="宋体" w:cs="宋体"/>
                <w:highlight w:val="none"/>
              </w:rPr>
              <w:t>承担过</w:t>
            </w:r>
            <w:r>
              <w:rPr>
                <w:rFonts w:hint="eastAsia" w:ascii="宋体" w:hAnsi="宋体" w:eastAsia="宋体" w:cs="宋体"/>
                <w:highlight w:val="none"/>
                <w:lang w:val="en-US" w:eastAsia="zh-CN"/>
              </w:rPr>
              <w:t xml:space="preserve">类似项目业绩， </w:t>
            </w:r>
            <w:r>
              <w:rPr>
                <w:rFonts w:hint="eastAsia" w:ascii="宋体" w:hAnsi="宋体" w:eastAsia="宋体" w:cs="宋体"/>
                <w:highlight w:val="none"/>
              </w:rPr>
              <w:t>每</w:t>
            </w:r>
            <w:r>
              <w:rPr>
                <w:rFonts w:hint="eastAsia" w:ascii="宋体" w:hAnsi="宋体" w:eastAsia="宋体" w:cs="宋体"/>
                <w:highlight w:val="none"/>
                <w:lang w:val="en-US" w:eastAsia="zh-CN"/>
              </w:rPr>
              <w:t>提供</w:t>
            </w:r>
            <w:r>
              <w:rPr>
                <w:rFonts w:hint="eastAsia" w:ascii="宋体" w:hAnsi="宋体" w:eastAsia="宋体" w:cs="宋体"/>
                <w:highlight w:val="none"/>
              </w:rPr>
              <w:t>1个</w:t>
            </w:r>
            <w:r>
              <w:rPr>
                <w:rFonts w:hint="eastAsia" w:ascii="宋体" w:hAnsi="宋体" w:eastAsia="宋体" w:cs="宋体"/>
                <w:highlight w:val="none"/>
                <w:lang w:val="en-US" w:eastAsia="zh-CN"/>
              </w:rPr>
              <w:t>得3分</w:t>
            </w:r>
            <w:r>
              <w:rPr>
                <w:rFonts w:hint="eastAsia" w:ascii="宋体" w:hAnsi="宋体" w:eastAsia="宋体" w:cs="宋体"/>
                <w:highlight w:val="none"/>
                <w:lang w:eastAsia="zh-CN"/>
              </w:rPr>
              <w:t>，</w:t>
            </w:r>
            <w:r>
              <w:rPr>
                <w:rFonts w:hint="eastAsia" w:ascii="宋体" w:hAnsi="宋体" w:eastAsia="宋体" w:cs="宋体"/>
                <w:highlight w:val="none"/>
              </w:rPr>
              <w:t>满分</w:t>
            </w:r>
            <w:r>
              <w:rPr>
                <w:rFonts w:hint="eastAsia" w:ascii="宋体" w:hAnsi="宋体" w:eastAsia="宋体" w:cs="宋体"/>
                <w:highlight w:val="none"/>
                <w:lang w:val="en-US" w:eastAsia="zh-CN"/>
              </w:rPr>
              <w:t>9</w:t>
            </w:r>
            <w:r>
              <w:rPr>
                <w:rFonts w:hint="eastAsia" w:ascii="宋体" w:hAnsi="宋体" w:eastAsia="宋体" w:cs="宋体"/>
                <w:highlight w:val="none"/>
              </w:rPr>
              <w:t>分。</w:t>
            </w:r>
          </w:p>
          <w:p w14:paraId="1F22BBDF">
            <w:pPr>
              <w:keepNext w:val="0"/>
              <w:keepLines w:val="0"/>
              <w:pageBreakBefore w:val="0"/>
              <w:widowControl w:val="0"/>
              <w:numPr>
                <w:ilvl w:val="0"/>
                <w:numId w:val="0"/>
              </w:numPr>
              <w:kinsoku/>
              <w:wordWrap/>
              <w:overflowPunct/>
              <w:topLinePunct w:val="0"/>
              <w:autoSpaceDE/>
              <w:autoSpaceDN/>
              <w:bidi w:val="0"/>
              <w:adjustRightInd w:val="0"/>
              <w:snapToGrid/>
              <w:spacing w:line="300" w:lineRule="auto"/>
              <w:ind w:left="0" w:leftChars="0"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注：须提供项目合同复印件及相关证明材料复印件（如合同不能体现相关内容的，须补充提供业主证明文件并加盖业主单位公章），资料提供不全或无法证明的不得分。</w:t>
            </w:r>
          </w:p>
        </w:tc>
      </w:tr>
      <w:tr w14:paraId="05CDB4F6">
        <w:trPr>
          <w:trHeight w:val="4301" w:hRule="atLeast"/>
          <w:jc w:val="center"/>
        </w:trPr>
        <w:tc>
          <w:tcPr>
            <w:tcW w:w="0" w:type="auto"/>
            <w:vMerge w:val="continue"/>
            <w:noWrap w:val="0"/>
            <w:vAlign w:val="center"/>
          </w:tcPr>
          <w:p w14:paraId="6FDC0AC8">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val="en-US" w:eastAsia="zh-CN"/>
              </w:rPr>
            </w:pPr>
          </w:p>
        </w:tc>
        <w:tc>
          <w:tcPr>
            <w:tcW w:w="1305" w:type="dxa"/>
            <w:vMerge w:val="continue"/>
            <w:noWrap w:val="0"/>
            <w:vAlign w:val="center"/>
          </w:tcPr>
          <w:p w14:paraId="11869ABD">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eastAsia="zh-CN"/>
              </w:rPr>
            </w:pPr>
          </w:p>
        </w:tc>
        <w:tc>
          <w:tcPr>
            <w:tcW w:w="1376" w:type="dxa"/>
            <w:shd w:val="clear" w:color="auto" w:fill="auto"/>
            <w:noWrap w:val="0"/>
            <w:vAlign w:val="center"/>
          </w:tcPr>
          <w:p w14:paraId="4432381C">
            <w:pPr>
              <w:spacing w:line="360" w:lineRule="auto"/>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项目</w:t>
            </w:r>
            <w:r>
              <w:rPr>
                <w:rFonts w:hint="eastAsia" w:ascii="宋体" w:hAnsi="宋体" w:eastAsia="宋体" w:cs="宋体"/>
                <w:szCs w:val="21"/>
                <w:highlight w:val="none"/>
                <w:lang w:val="en-US" w:eastAsia="zh-CN"/>
              </w:rPr>
              <w:t>负责人</w:t>
            </w:r>
          </w:p>
          <w:p w14:paraId="24E6FCF7">
            <w:pPr>
              <w:spacing w:line="360" w:lineRule="auto"/>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15分</w:t>
            </w:r>
            <w:r>
              <w:rPr>
                <w:rFonts w:hint="eastAsia" w:ascii="宋体" w:hAnsi="宋体" w:eastAsia="宋体" w:cs="宋体"/>
                <w:szCs w:val="21"/>
                <w:highlight w:val="none"/>
                <w:lang w:eastAsia="zh-CN"/>
              </w:rPr>
              <w:t>）</w:t>
            </w:r>
          </w:p>
          <w:p w14:paraId="75C257A3">
            <w:pPr>
              <w:spacing w:line="360" w:lineRule="auto"/>
              <w:jc w:val="center"/>
              <w:rPr>
                <w:rFonts w:hint="eastAsia" w:ascii="宋体" w:hAnsi="宋体" w:eastAsia="宋体" w:cs="宋体"/>
                <w:b/>
                <w:kern w:val="2"/>
                <w:sz w:val="21"/>
                <w:szCs w:val="21"/>
                <w:highlight w:val="none"/>
                <w:lang w:val="en-US" w:eastAsia="zh-CN" w:bidi="ar-SA"/>
              </w:rPr>
            </w:pPr>
          </w:p>
        </w:tc>
        <w:tc>
          <w:tcPr>
            <w:tcW w:w="5702" w:type="dxa"/>
            <w:shd w:val="clear" w:color="auto" w:fill="auto"/>
            <w:noWrap w:val="0"/>
            <w:vAlign w:val="center"/>
          </w:tcPr>
          <w:p w14:paraId="02B726DA">
            <w:pPr>
              <w:keepNext w:val="0"/>
              <w:keepLines w:val="0"/>
              <w:pageBreakBefore w:val="0"/>
              <w:widowControl w:val="0"/>
              <w:kinsoku/>
              <w:wordWrap/>
              <w:overflowPunct/>
              <w:topLinePunct w:val="0"/>
              <w:autoSpaceDE/>
              <w:autoSpaceDN/>
              <w:bidi w:val="0"/>
              <w:snapToGrid/>
              <w:spacing w:line="300" w:lineRule="auto"/>
              <w:textAlignment w:val="auto"/>
              <w:rPr>
                <w:rFonts w:hint="eastAsia" w:ascii="宋体" w:hAnsi="宋体" w:eastAsia="宋体" w:cs="宋体"/>
                <w:highlight w:val="none"/>
              </w:rPr>
            </w:pPr>
            <w:r>
              <w:rPr>
                <w:rFonts w:hint="eastAsia" w:ascii="宋体" w:hAnsi="宋体" w:eastAsia="宋体" w:cs="宋体"/>
                <w:szCs w:val="21"/>
                <w:highlight w:val="none"/>
                <w:lang w:val="en-US" w:eastAsia="zh-CN"/>
              </w:rPr>
              <w:t>1、项目负责人</w:t>
            </w:r>
            <w:r>
              <w:rPr>
                <w:rFonts w:hint="eastAsia" w:ascii="宋体" w:hAnsi="宋体" w:eastAsia="宋体" w:cs="宋体"/>
                <w:highlight w:val="none"/>
                <w:lang w:val="en-US" w:eastAsia="zh-CN"/>
              </w:rPr>
              <w:t>自</w:t>
            </w:r>
            <w:r>
              <w:rPr>
                <w:rFonts w:hint="eastAsia" w:ascii="宋体" w:hAnsi="宋体" w:eastAsia="宋体" w:cs="宋体"/>
                <w:highlight w:val="none"/>
              </w:rPr>
              <w:t>2023年1月1日以来</w:t>
            </w:r>
            <w:r>
              <w:rPr>
                <w:rFonts w:hint="eastAsia" w:ascii="宋体" w:hAnsi="宋体" w:eastAsia="宋体" w:cs="宋体"/>
                <w:highlight w:val="none"/>
                <w:lang w:eastAsia="zh-CN"/>
              </w:rPr>
              <w:t>（</w:t>
            </w:r>
            <w:r>
              <w:rPr>
                <w:rFonts w:hint="eastAsia" w:ascii="宋体" w:hAnsi="宋体" w:eastAsia="宋体" w:cs="宋体"/>
                <w:highlight w:val="none"/>
                <w:lang w:val="en-US" w:eastAsia="zh-CN"/>
              </w:rPr>
              <w:t>以合同签订时间为准</w:t>
            </w:r>
            <w:r>
              <w:rPr>
                <w:rFonts w:hint="eastAsia" w:ascii="宋体" w:hAnsi="宋体" w:eastAsia="宋体" w:cs="宋体"/>
                <w:highlight w:val="none"/>
                <w:lang w:eastAsia="zh-CN"/>
              </w:rPr>
              <w:t>）</w:t>
            </w:r>
            <w:r>
              <w:rPr>
                <w:rFonts w:hint="eastAsia" w:ascii="宋体" w:hAnsi="宋体" w:eastAsia="宋体" w:cs="宋体"/>
                <w:highlight w:val="none"/>
              </w:rPr>
              <w:t>承担过</w:t>
            </w:r>
            <w:r>
              <w:rPr>
                <w:rFonts w:hint="eastAsia" w:ascii="宋体" w:hAnsi="宋体" w:eastAsia="宋体" w:cs="宋体"/>
                <w:highlight w:val="none"/>
                <w:lang w:val="en-US" w:eastAsia="zh-CN"/>
              </w:rPr>
              <w:t xml:space="preserve">类似项目业绩， </w:t>
            </w:r>
            <w:r>
              <w:rPr>
                <w:rFonts w:hint="eastAsia" w:ascii="宋体" w:hAnsi="宋体" w:eastAsia="宋体" w:cs="宋体"/>
                <w:highlight w:val="none"/>
              </w:rPr>
              <w:t>每</w:t>
            </w:r>
            <w:r>
              <w:rPr>
                <w:rFonts w:hint="eastAsia" w:ascii="宋体" w:hAnsi="宋体" w:eastAsia="宋体" w:cs="宋体"/>
                <w:highlight w:val="none"/>
                <w:lang w:val="en-US" w:eastAsia="zh-CN"/>
              </w:rPr>
              <w:t>提供</w:t>
            </w:r>
            <w:r>
              <w:rPr>
                <w:rFonts w:hint="eastAsia" w:ascii="宋体" w:hAnsi="宋体" w:eastAsia="宋体" w:cs="宋体"/>
                <w:highlight w:val="none"/>
              </w:rPr>
              <w:t>1个</w:t>
            </w:r>
            <w:r>
              <w:rPr>
                <w:rFonts w:hint="eastAsia" w:ascii="宋体" w:hAnsi="宋体" w:eastAsia="宋体" w:cs="宋体"/>
                <w:highlight w:val="none"/>
                <w:lang w:val="en-US" w:eastAsia="zh-CN"/>
              </w:rPr>
              <w:t>得5分</w:t>
            </w:r>
            <w:r>
              <w:rPr>
                <w:rFonts w:hint="eastAsia" w:ascii="宋体" w:hAnsi="宋体" w:eastAsia="宋体" w:cs="宋体"/>
                <w:highlight w:val="none"/>
                <w:lang w:eastAsia="zh-CN"/>
              </w:rPr>
              <w:t>，</w:t>
            </w:r>
            <w:r>
              <w:rPr>
                <w:rFonts w:hint="eastAsia" w:ascii="宋体" w:hAnsi="宋体" w:eastAsia="宋体" w:cs="宋体"/>
                <w:highlight w:val="none"/>
              </w:rPr>
              <w:t>满分</w:t>
            </w:r>
            <w:r>
              <w:rPr>
                <w:rFonts w:hint="eastAsia" w:ascii="宋体" w:hAnsi="宋体" w:eastAsia="宋体" w:cs="宋体"/>
                <w:highlight w:val="none"/>
                <w:lang w:val="en-US" w:eastAsia="zh-CN"/>
              </w:rPr>
              <w:t>10</w:t>
            </w:r>
            <w:r>
              <w:rPr>
                <w:rFonts w:hint="eastAsia" w:ascii="宋体" w:hAnsi="宋体" w:eastAsia="宋体" w:cs="宋体"/>
                <w:highlight w:val="none"/>
              </w:rPr>
              <w:t>分。</w:t>
            </w:r>
          </w:p>
          <w:p w14:paraId="6AB34188">
            <w:p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2、项目负责人</w:t>
            </w:r>
            <w:r>
              <w:rPr>
                <w:rFonts w:hint="eastAsia" w:ascii="宋体" w:hAnsi="宋体" w:eastAsia="宋体" w:cs="宋体"/>
                <w:highlight w:val="none"/>
                <w:lang w:val="en-US" w:eastAsia="zh-CN"/>
              </w:rPr>
              <w:t>具有中级职称得3分，具有副高级及以上职称得5分，满分5分。</w:t>
            </w:r>
          </w:p>
          <w:p w14:paraId="4B3150C5">
            <w:pPr>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注：（1）</w:t>
            </w:r>
            <w:r>
              <w:rPr>
                <w:rFonts w:hint="eastAsia" w:ascii="宋体" w:hAnsi="宋体" w:eastAsia="宋体" w:cs="宋体"/>
                <w:b/>
                <w:bCs/>
                <w:sz w:val="21"/>
                <w:szCs w:val="21"/>
                <w:highlight w:val="none"/>
                <w:lang w:val="en-US" w:eastAsia="zh-CN"/>
              </w:rPr>
              <w:t>提供项目合同复印件及相关证明材料复印件（如合同不能体现相关内容的，须补充提供业主证明文件并加盖业主单位公章），资料提供不全或无法证明的不得分。</w:t>
            </w:r>
          </w:p>
          <w:p w14:paraId="363C0717">
            <w:pPr>
              <w:spacing w:line="360" w:lineRule="auto"/>
              <w:rPr>
                <w:rFonts w:hint="eastAsia" w:ascii="宋体" w:hAnsi="宋体" w:eastAsia="宋体" w:cs="宋体"/>
                <w:kern w:val="2"/>
                <w:sz w:val="21"/>
                <w:szCs w:val="21"/>
                <w:highlight w:val="none"/>
                <w:lang w:val="en-US" w:eastAsia="zh-CN" w:bidi="ar-SA"/>
              </w:rPr>
            </w:pPr>
            <w:r>
              <w:rPr>
                <w:rFonts w:hint="eastAsia" w:ascii="宋体" w:hAnsi="宋体" w:eastAsia="宋体" w:cs="宋体"/>
                <w:b/>
                <w:bCs/>
                <w:szCs w:val="21"/>
                <w:highlight w:val="none"/>
                <w:lang w:val="en-US" w:eastAsia="zh-CN"/>
              </w:rPr>
              <w:t>（2）</w:t>
            </w:r>
            <w:r>
              <w:rPr>
                <w:rFonts w:hint="eastAsia" w:ascii="宋体" w:hAnsi="宋体" w:eastAsia="宋体" w:cs="宋体"/>
                <w:b/>
                <w:bCs/>
                <w:szCs w:val="21"/>
                <w:highlight w:val="none"/>
              </w:rPr>
              <w:t>提供</w:t>
            </w:r>
            <w:r>
              <w:rPr>
                <w:rFonts w:hint="eastAsia" w:ascii="宋体" w:hAnsi="宋体" w:eastAsia="宋体" w:cs="宋体"/>
                <w:b/>
                <w:bCs/>
                <w:szCs w:val="21"/>
                <w:highlight w:val="none"/>
                <w:lang w:val="en-US" w:eastAsia="zh-CN"/>
              </w:rPr>
              <w:t>项目负责人职称</w:t>
            </w:r>
            <w:r>
              <w:rPr>
                <w:rFonts w:hint="eastAsia" w:ascii="宋体" w:hAnsi="宋体" w:eastAsia="宋体" w:cs="宋体"/>
                <w:b/>
                <w:bCs/>
                <w:szCs w:val="21"/>
                <w:highlight w:val="none"/>
              </w:rPr>
              <w:t>证书</w:t>
            </w:r>
            <w:r>
              <w:rPr>
                <w:rFonts w:hint="eastAsia" w:ascii="宋体" w:hAnsi="宋体" w:eastAsia="宋体" w:cs="宋体"/>
                <w:b/>
                <w:bCs/>
                <w:szCs w:val="21"/>
                <w:highlight w:val="none"/>
                <w:lang w:val="en-US" w:eastAsia="zh-CN"/>
              </w:rPr>
              <w:t>复印件</w:t>
            </w:r>
            <w:r>
              <w:rPr>
                <w:rFonts w:hint="eastAsia" w:ascii="宋体" w:hAnsi="宋体" w:eastAsia="宋体" w:cs="宋体"/>
                <w:b/>
                <w:bCs/>
                <w:szCs w:val="21"/>
                <w:highlight w:val="none"/>
              </w:rPr>
              <w:t>、</w:t>
            </w:r>
            <w:r>
              <w:rPr>
                <w:rFonts w:hint="eastAsia" w:ascii="宋体" w:hAnsi="宋体" w:eastAsia="宋体" w:cs="宋体"/>
                <w:b/>
                <w:bCs/>
                <w:highlight w:val="none"/>
                <w:lang w:eastAsia="zh-CN"/>
              </w:rPr>
              <w:t>截止投标当月前投标人近六个月任意连续3个月为其缴纳社保的缴费证明并加盖缴费证明专用章，资料提供不全或无法证明的不得分。</w:t>
            </w:r>
          </w:p>
        </w:tc>
      </w:tr>
      <w:tr w14:paraId="0595B08A">
        <w:trPr>
          <w:trHeight w:val="2404" w:hRule="atLeast"/>
          <w:jc w:val="center"/>
        </w:trPr>
        <w:tc>
          <w:tcPr>
            <w:tcW w:w="0" w:type="auto"/>
            <w:vMerge w:val="continue"/>
            <w:noWrap w:val="0"/>
            <w:vAlign w:val="center"/>
          </w:tcPr>
          <w:p w14:paraId="08BDCC66">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val="en-US" w:eastAsia="zh-CN"/>
              </w:rPr>
            </w:pPr>
          </w:p>
        </w:tc>
        <w:tc>
          <w:tcPr>
            <w:tcW w:w="1305" w:type="dxa"/>
            <w:vMerge w:val="continue"/>
            <w:noWrap w:val="0"/>
            <w:vAlign w:val="center"/>
          </w:tcPr>
          <w:p w14:paraId="0AFE54BD">
            <w:pPr>
              <w:keepNext w:val="0"/>
              <w:keepLines w:val="0"/>
              <w:pageBreakBefore w:val="0"/>
              <w:widowControl/>
              <w:kinsoku/>
              <w:wordWrap/>
              <w:overflowPunct/>
              <w:topLinePunct w:val="0"/>
              <w:autoSpaceDE/>
              <w:autoSpaceDN/>
              <w:bidi w:val="0"/>
              <w:adjustRightInd/>
              <w:snapToGrid/>
              <w:spacing w:before="63" w:beforeLines="20" w:after="63" w:afterLines="20" w:line="288" w:lineRule="auto"/>
              <w:ind w:left="42" w:leftChars="20" w:right="42" w:rightChars="20"/>
              <w:jc w:val="center"/>
              <w:textAlignment w:val="auto"/>
              <w:rPr>
                <w:rFonts w:hint="eastAsia" w:ascii="宋体" w:hAnsi="宋体" w:eastAsia="宋体" w:cs="宋体"/>
                <w:kern w:val="0"/>
                <w:sz w:val="21"/>
                <w:szCs w:val="21"/>
                <w:highlight w:val="none"/>
                <w:lang w:eastAsia="zh-CN"/>
              </w:rPr>
            </w:pPr>
          </w:p>
        </w:tc>
        <w:tc>
          <w:tcPr>
            <w:tcW w:w="1376" w:type="dxa"/>
            <w:shd w:val="clear" w:color="auto" w:fill="auto"/>
            <w:noWrap w:val="0"/>
            <w:vAlign w:val="center"/>
          </w:tcPr>
          <w:p w14:paraId="03CAC23A">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项目组成员</w:t>
            </w:r>
          </w:p>
          <w:p w14:paraId="4B7251C1">
            <w:pPr>
              <w:spacing w:line="360" w:lineRule="auto"/>
              <w:jc w:val="center"/>
              <w:rPr>
                <w:rFonts w:hint="eastAsia" w:ascii="宋体" w:hAnsi="宋体" w:eastAsia="宋体" w:cs="宋体"/>
                <w:b/>
                <w:kern w:val="2"/>
                <w:sz w:val="21"/>
                <w:szCs w:val="21"/>
                <w:highlight w:val="none"/>
                <w:lang w:val="en-US" w:eastAsia="zh-CN" w:bidi="ar-SA"/>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6分</w:t>
            </w:r>
            <w:r>
              <w:rPr>
                <w:rFonts w:hint="eastAsia" w:ascii="宋体" w:hAnsi="宋体" w:eastAsia="宋体" w:cs="宋体"/>
                <w:szCs w:val="21"/>
                <w:highlight w:val="none"/>
                <w:lang w:eastAsia="zh-CN"/>
              </w:rPr>
              <w:t>）</w:t>
            </w:r>
          </w:p>
        </w:tc>
        <w:tc>
          <w:tcPr>
            <w:tcW w:w="5702" w:type="dxa"/>
            <w:shd w:val="clear" w:color="auto" w:fill="auto"/>
            <w:noWrap w:val="0"/>
            <w:vAlign w:val="center"/>
          </w:tcPr>
          <w:p w14:paraId="70D05808">
            <w:p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拟派项目团队成员每有1人具备中级及以上职称得2分，本项满分6分。</w:t>
            </w:r>
          </w:p>
          <w:p w14:paraId="3B29E68F">
            <w:pPr>
              <w:numPr>
                <w:ilvl w:val="0"/>
                <w:numId w:val="0"/>
              </w:numPr>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注：提供技术职称证书复印件、</w:t>
            </w:r>
            <w:r>
              <w:rPr>
                <w:rFonts w:hint="eastAsia" w:ascii="宋体" w:hAnsi="宋体" w:eastAsia="宋体" w:cs="宋体"/>
                <w:b/>
                <w:bCs/>
                <w:highlight w:val="none"/>
                <w:lang w:eastAsia="zh-CN"/>
              </w:rPr>
              <w:t>截止投标当月前投标人近六个月任意连续3个月为其缴纳社保的缴费证明并加盖缴费证明专用章，资料提供不全或无法证明的不得分。</w:t>
            </w:r>
          </w:p>
        </w:tc>
      </w:tr>
    </w:tbl>
    <w:p w14:paraId="5D1FB5E8">
      <w:pPr>
        <w:spacing w:line="360" w:lineRule="auto"/>
        <w:ind w:firstLine="420"/>
        <w:rPr>
          <w:rFonts w:hint="eastAsia" w:ascii="Times New Roman" w:hAnsi="Times New Roman" w:eastAsia="宋体"/>
          <w:sz w:val="21"/>
          <w:szCs w:val="21"/>
          <w:highlight w:val="none"/>
        </w:rPr>
      </w:pPr>
    </w:p>
    <w:p w14:paraId="347B52DB">
      <w:pPr>
        <w:tabs>
          <w:tab w:val="left" w:pos="1080"/>
          <w:tab w:val="left" w:pos="1589"/>
        </w:tabs>
        <w:spacing w:line="360" w:lineRule="auto"/>
        <w:ind w:firstLine="420"/>
        <w:rPr>
          <w:rFonts w:hint="eastAsia" w:ascii="宋体" w:hAnsi="宋体" w:eastAsia="宋体" w:cs="宋体"/>
          <w:color w:val="000000"/>
          <w:szCs w:val="21"/>
          <w:highlight w:val="none"/>
        </w:rPr>
      </w:pPr>
      <w:bookmarkStart w:id="307" w:name="_Toc91836565"/>
      <w:r>
        <w:rPr>
          <w:rFonts w:hint="eastAsia" w:ascii="宋体" w:hAnsi="宋体" w:eastAsia="宋体" w:cs="宋体"/>
          <w:color w:val="000000"/>
          <w:szCs w:val="21"/>
          <w:highlight w:val="none"/>
        </w:rPr>
        <w:t>说明：</w:t>
      </w:r>
    </w:p>
    <w:p w14:paraId="676D3336">
      <w:pPr>
        <w:tabs>
          <w:tab w:val="left" w:pos="1080"/>
          <w:tab w:val="left" w:pos="1589"/>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1.所有认证、证明和业绩均以有效清晰的证明文件的复印件为依据。</w:t>
      </w:r>
    </w:p>
    <w:p w14:paraId="73F882A7">
      <w:pPr>
        <w:tabs>
          <w:tab w:val="left" w:pos="1080"/>
          <w:tab w:val="left" w:pos="1589"/>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2.小微企业价格扣除</w:t>
      </w:r>
    </w:p>
    <w:p w14:paraId="0AD65A3C">
      <w:pPr>
        <w:tabs>
          <w:tab w:val="left" w:pos="1080"/>
          <w:tab w:val="left" w:pos="1589"/>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2.1对于专门面向中小企业或小型、微型企业的项目，只面向中小企业或小型、微型企业采购。对于非专门面向中小企业的项目，对小型和微型企业的价格给予</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%的扣除，用扣除后的价格参与评审。</w:t>
      </w:r>
    </w:p>
    <w:p w14:paraId="65E42421">
      <w:pPr>
        <w:tabs>
          <w:tab w:val="left" w:pos="1080"/>
          <w:tab w:val="left" w:pos="1589"/>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%的价格扣除。联合体各方均为小型、微型企业的，联合体视同为小型、微型企业给予</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%价格扣除，用扣除后的价格参与评审。组成联合体的大中型企业和其他自然人、法人或者其他组织，与小型、微型企业之间不得存在投资关系。</w:t>
      </w:r>
    </w:p>
    <w:p w14:paraId="159C84F6">
      <w:pPr>
        <w:tabs>
          <w:tab w:val="left" w:pos="1080"/>
          <w:tab w:val="left" w:pos="1589"/>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3.监狱和戒毒企业的价格扣除</w:t>
      </w:r>
    </w:p>
    <w:p w14:paraId="6043D72F">
      <w:pPr>
        <w:tabs>
          <w:tab w:val="left" w:pos="1080"/>
          <w:tab w:val="left" w:pos="1589"/>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3.1 本项目对监狱和戒毒企业，给予</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%的价格扣除，用扣除后的价格参与评审。</w:t>
      </w:r>
    </w:p>
    <w:p w14:paraId="1F685BB6">
      <w:pPr>
        <w:tabs>
          <w:tab w:val="left" w:pos="1080"/>
          <w:tab w:val="left" w:pos="1589"/>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3.2 监狱企业需提供由省级以上监狱管理局、戒毒管理局（含新疆生产建设兵团）出具的属于监狱企业的证明文件。</w:t>
      </w:r>
    </w:p>
    <w:p w14:paraId="128A3247">
      <w:pPr>
        <w:tabs>
          <w:tab w:val="left" w:pos="1080"/>
          <w:tab w:val="left" w:pos="1589"/>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3.3 监狱企业标准请参照《关于政府采购支持监狱企业发展有关问题的通知》（财库〔2014〕68号）。</w:t>
      </w:r>
    </w:p>
    <w:p w14:paraId="49C8F14F">
      <w:pPr>
        <w:tabs>
          <w:tab w:val="left" w:pos="1080"/>
          <w:tab w:val="left" w:pos="1589"/>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4.残疾人福利性单位的价格扣除</w:t>
      </w:r>
    </w:p>
    <w:p w14:paraId="52E1F522">
      <w:pPr>
        <w:tabs>
          <w:tab w:val="left" w:pos="1080"/>
          <w:tab w:val="left" w:pos="1589"/>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4.1 本项目对残疾人福利性单位，给予</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%的价格扣除，用扣除后的价格参与评审。</w:t>
      </w:r>
    </w:p>
    <w:p w14:paraId="1EB61971">
      <w:pPr>
        <w:tabs>
          <w:tab w:val="left" w:pos="1080"/>
          <w:tab w:val="left" w:pos="1589"/>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4.2 残疾人福利性单位需提供《残疾人福利性单位声明函》。</w:t>
      </w:r>
    </w:p>
    <w:p w14:paraId="4F84902B">
      <w:pPr>
        <w:tabs>
          <w:tab w:val="left" w:pos="1080"/>
          <w:tab w:val="left" w:pos="1589"/>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4.3 残疾人福利性单位标准请参照《关于促进残疾人就业政府采购政策的通知》（财库〔2017〕141号）。</w:t>
      </w:r>
    </w:p>
    <w:p w14:paraId="61EC2190">
      <w:pPr>
        <w:tabs>
          <w:tab w:val="left" w:pos="1080"/>
          <w:tab w:val="left" w:pos="1589"/>
        </w:tabs>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5.监狱企业、残疾人福利性单位属于小型、微型企业的，不重复享受政策。</w:t>
      </w:r>
    </w:p>
    <w:p w14:paraId="5E889798">
      <w:pPr>
        <w:pStyle w:val="77"/>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308" w:name="_Toc28832"/>
      <w:bookmarkStart w:id="309" w:name="_Toc1104712726"/>
      <w:r>
        <w:rPr>
          <w:rFonts w:ascii="Times New Roman" w:hAnsi="Times New Roman" w:eastAsia="宋体" w:cs="Microsoft New Tai Lue"/>
          <w:highlight w:val="none"/>
        </w:rPr>
        <w:t>第</w:t>
      </w:r>
      <w:r>
        <w:rPr>
          <w:rFonts w:hint="eastAsia" w:ascii="Times New Roman" w:hAnsi="Times New Roman" w:eastAsia="宋体" w:cs="Microsoft New Tai Lue"/>
          <w:highlight w:val="none"/>
        </w:rPr>
        <w:t>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投标文件格式</w:t>
      </w:r>
      <w:bookmarkEnd w:id="307"/>
      <w:bookmarkEnd w:id="308"/>
      <w:bookmarkEnd w:id="309"/>
    </w:p>
    <w:p w14:paraId="6CBA3E63">
      <w:pPr>
        <w:widowControl/>
        <w:spacing w:line="360" w:lineRule="auto"/>
        <w:ind w:left="214" w:firstLine="420"/>
        <w:jc w:val="left"/>
        <w:rPr>
          <w:rFonts w:ascii="Times New Roman" w:hAnsi="Times New Roman" w:eastAsia="宋体" w:cs="Microsoft New Tai Lue"/>
          <w:highlight w:val="none"/>
        </w:rPr>
      </w:pPr>
    </w:p>
    <w:p w14:paraId="1A1E57D9">
      <w:pPr>
        <w:pStyle w:val="264"/>
        <w:shd w:val="clear" w:color="auto" w:fill="FFFFFF"/>
        <w:spacing w:line="265" w:lineRule="atLeast"/>
        <w:ind w:left="214" w:firstLine="0"/>
        <w:rPr>
          <w:rFonts w:ascii="Times New Roman" w:hAnsi="Times New Roman" w:eastAsia="宋体" w:cs="Microsoft New Tai Lue"/>
          <w:b/>
          <w:sz w:val="24"/>
          <w:highlight w:val="none"/>
        </w:rPr>
      </w:pPr>
    </w:p>
    <w:p w14:paraId="39A68B06">
      <w:pPr>
        <w:spacing w:before="100" w:after="100" w:line="360" w:lineRule="auto"/>
        <w:ind w:left="454" w:hanging="240"/>
        <w:jc w:val="left"/>
        <w:rPr>
          <w:rFonts w:ascii="Times New Roman" w:hAnsi="Times New Roman" w:eastAsia="宋体" w:cs="Microsoft New Tai Lue"/>
          <w:sz w:val="24"/>
          <w:highlight w:val="none"/>
        </w:rPr>
      </w:pPr>
      <w:bookmarkStart w:id="310"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附件</w:t>
      </w:r>
    </w:p>
    <w:p w14:paraId="52A24E52">
      <w:pPr>
        <w:spacing w:line="400" w:lineRule="atLeast"/>
        <w:ind w:left="656" w:hanging="442"/>
        <w:jc w:val="center"/>
        <w:rPr>
          <w:rFonts w:ascii="Times New Roman" w:hAnsi="Times New Roman" w:eastAsia="宋体" w:cs="Microsoft New Tai Lue"/>
          <w:b/>
          <w:sz w:val="44"/>
          <w:szCs w:val="44"/>
          <w:highlight w:val="none"/>
        </w:rPr>
      </w:pPr>
    </w:p>
    <w:p w14:paraId="5D6556CB">
      <w:pPr>
        <w:spacing w:line="400" w:lineRule="atLeast"/>
        <w:ind w:left="656" w:hanging="442"/>
        <w:jc w:val="center"/>
        <w:rPr>
          <w:rFonts w:ascii="Times New Roman" w:hAnsi="Times New Roman" w:eastAsia="宋体" w:cs="Microsoft New Tai Lue"/>
          <w:b/>
          <w:sz w:val="44"/>
          <w:szCs w:val="44"/>
          <w:highlight w:val="none"/>
        </w:rPr>
      </w:pPr>
    </w:p>
    <w:p w14:paraId="6067A27B">
      <w:pPr>
        <w:spacing w:line="400" w:lineRule="atLeast"/>
        <w:ind w:left="656" w:hanging="442"/>
        <w:jc w:val="center"/>
        <w:rPr>
          <w:rFonts w:ascii="Times New Roman" w:hAnsi="Times New Roman" w:eastAsia="宋体" w:cs="Microsoft New Tai Lue"/>
          <w:b/>
          <w:sz w:val="44"/>
          <w:szCs w:val="44"/>
          <w:highlight w:val="none"/>
        </w:rPr>
      </w:pPr>
    </w:p>
    <w:p w14:paraId="15A4C986">
      <w:pPr>
        <w:spacing w:line="400" w:lineRule="atLeast"/>
        <w:ind w:left="656" w:hanging="442"/>
        <w:jc w:val="center"/>
        <w:rPr>
          <w:rFonts w:hint="eastAsia" w:ascii="Times New Roman" w:hAnsi="Times New Roman" w:eastAsia="宋体" w:cs="Microsoft New Tai Lue"/>
          <w:b/>
          <w:sz w:val="44"/>
          <w:szCs w:val="44"/>
          <w:highlight w:val="none"/>
        </w:rPr>
      </w:pPr>
      <w:r>
        <w:rPr>
          <w:rFonts w:hint="eastAsia" w:cs="Microsoft New Tai Lue"/>
          <w:b/>
          <w:sz w:val="44"/>
          <w:szCs w:val="44"/>
          <w:highlight w:val="none"/>
          <w:lang w:eastAsia="zh-CN"/>
        </w:rPr>
        <w:t>2026年高管中心机关三楼会议系统改造项目</w:t>
      </w:r>
    </w:p>
    <w:p w14:paraId="3F2CC3B6">
      <w:pPr>
        <w:pStyle w:val="55"/>
        <w:ind w:left="1057" w:hanging="843"/>
        <w:jc w:val="center"/>
        <w:rPr>
          <w:rFonts w:ascii="Times New Roman" w:hAnsi="Times New Roman" w:eastAsia="宋体" w:cs="Microsoft New Tai Lue"/>
          <w:b/>
          <w:sz w:val="84"/>
          <w:szCs w:val="84"/>
          <w:highlight w:val="none"/>
        </w:rPr>
      </w:pPr>
      <w:bookmarkStart w:id="311" w:name="_Toc100905255"/>
    </w:p>
    <w:p w14:paraId="5E939F49">
      <w:pPr>
        <w:pStyle w:val="55"/>
        <w:ind w:left="1057" w:hanging="843"/>
        <w:jc w:val="center"/>
        <w:rPr>
          <w:rFonts w:ascii="Times New Roman" w:hAnsi="Times New Roman" w:eastAsia="宋体" w:cs="Microsoft New Tai Lue"/>
          <w:b/>
          <w:sz w:val="84"/>
          <w:szCs w:val="84"/>
          <w:highlight w:val="none"/>
        </w:rPr>
      </w:pPr>
    </w:p>
    <w:p w14:paraId="1599559D">
      <w:pPr>
        <w:pStyle w:val="55"/>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投 标 文 件</w:t>
      </w:r>
      <w:bookmarkEnd w:id="311"/>
    </w:p>
    <w:p w14:paraId="4E374808">
      <w:pPr>
        <w:spacing w:line="360" w:lineRule="auto"/>
        <w:ind w:left="656" w:right="640" w:hanging="442"/>
        <w:jc w:val="center"/>
        <w:rPr>
          <w:rFonts w:ascii="Times New Roman" w:hAnsi="Times New Roman" w:eastAsia="宋体" w:cs="Microsoft New Tai Lue"/>
          <w:b/>
          <w:sz w:val="44"/>
          <w:szCs w:val="44"/>
          <w:highlight w:val="none"/>
        </w:rPr>
      </w:pPr>
    </w:p>
    <w:p w14:paraId="4C7586EF">
      <w:pPr>
        <w:spacing w:line="360" w:lineRule="auto"/>
        <w:ind w:left="656" w:right="640" w:hanging="442"/>
        <w:jc w:val="center"/>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项目编号：</w:t>
      </w:r>
    </w:p>
    <w:p w14:paraId="0D29E5D4">
      <w:pPr>
        <w:pStyle w:val="55"/>
        <w:ind w:left="494" w:hanging="280"/>
        <w:rPr>
          <w:rFonts w:ascii="Times New Roman" w:hAnsi="Times New Roman" w:eastAsia="宋体" w:cs="Microsoft New Tai Lue"/>
          <w:sz w:val="28"/>
          <w:szCs w:val="28"/>
          <w:highlight w:val="none"/>
        </w:rPr>
      </w:pPr>
    </w:p>
    <w:p w14:paraId="434A7C2E">
      <w:pPr>
        <w:pStyle w:val="55"/>
        <w:ind w:left="494" w:hanging="280"/>
        <w:rPr>
          <w:rFonts w:ascii="Times New Roman" w:hAnsi="Times New Roman" w:eastAsia="宋体" w:cs="Microsoft New Tai Lue"/>
          <w:sz w:val="28"/>
          <w:szCs w:val="28"/>
          <w:highlight w:val="none"/>
        </w:rPr>
      </w:pPr>
      <w:r>
        <w:rPr>
          <w:rFonts w:hint="eastAsia" w:ascii="Times New Roman" w:hAnsi="Times New Roman" w:eastAsia="宋体" w:cs="Microsoft New Tai Lue"/>
          <w:sz w:val="28"/>
          <w:szCs w:val="28"/>
          <w:highlight w:val="none"/>
        </w:rPr>
        <w:t xml:space="preserve">                      </w:t>
      </w:r>
    </w:p>
    <w:p w14:paraId="5208419C">
      <w:pPr>
        <w:pStyle w:val="55"/>
        <w:ind w:left="494" w:hanging="280"/>
        <w:rPr>
          <w:rFonts w:ascii="Times New Roman" w:hAnsi="Times New Roman" w:eastAsia="宋体" w:cs="Microsoft New Tai Lue"/>
          <w:sz w:val="28"/>
          <w:szCs w:val="28"/>
          <w:highlight w:val="none"/>
        </w:rPr>
      </w:pPr>
    </w:p>
    <w:p w14:paraId="665E4D27">
      <w:pPr>
        <w:pStyle w:val="55"/>
        <w:ind w:left="494" w:hanging="280"/>
        <w:rPr>
          <w:rFonts w:ascii="Times New Roman" w:hAnsi="Times New Roman" w:eastAsia="宋体" w:cs="Microsoft New Tai Lue"/>
          <w:sz w:val="28"/>
          <w:szCs w:val="28"/>
          <w:highlight w:val="none"/>
        </w:rPr>
      </w:pPr>
    </w:p>
    <w:p w14:paraId="3BCB5E47">
      <w:pPr>
        <w:pStyle w:val="55"/>
        <w:ind w:left="494" w:hanging="280"/>
        <w:rPr>
          <w:rFonts w:ascii="Times New Roman" w:hAnsi="Times New Roman" w:eastAsia="宋体" w:cs="Microsoft New Tai Lue"/>
          <w:sz w:val="28"/>
          <w:szCs w:val="28"/>
          <w:highlight w:val="none"/>
        </w:rPr>
      </w:pPr>
    </w:p>
    <w:p w14:paraId="3FA25046">
      <w:pPr>
        <w:pStyle w:val="55"/>
        <w:ind w:left="494" w:hanging="280"/>
        <w:rPr>
          <w:rFonts w:ascii="Times New Roman" w:hAnsi="Times New Roman" w:eastAsia="宋体" w:cs="Microsoft New Tai Lue"/>
          <w:sz w:val="28"/>
          <w:szCs w:val="28"/>
          <w:highlight w:val="none"/>
        </w:rPr>
      </w:pPr>
    </w:p>
    <w:p w14:paraId="3581683B">
      <w:pPr>
        <w:pStyle w:val="55"/>
        <w:ind w:left="494" w:hanging="280"/>
        <w:rPr>
          <w:rFonts w:ascii="Times New Roman" w:hAnsi="Times New Roman" w:eastAsia="宋体" w:cs="Microsoft New Tai Lue"/>
          <w:sz w:val="28"/>
          <w:szCs w:val="28"/>
          <w:highlight w:val="none"/>
        </w:rPr>
      </w:pPr>
    </w:p>
    <w:p w14:paraId="668B3B59">
      <w:pPr>
        <w:pStyle w:val="55"/>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投标人名称：</w:t>
      </w:r>
      <w:r>
        <w:rPr>
          <w:rFonts w:ascii="Times New Roman" w:hAnsi="Times New Roman" w:eastAsia="宋体" w:cs="Microsoft New Tai Lue"/>
          <w:b/>
          <w:sz w:val="32"/>
          <w:szCs w:val="32"/>
          <w:highlight w:val="none"/>
        </w:rPr>
        <w:t>_____________________</w:t>
      </w:r>
    </w:p>
    <w:p w14:paraId="0575199E">
      <w:pPr>
        <w:pStyle w:val="55"/>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地址：_____________________</w:t>
      </w:r>
      <w:r>
        <w:rPr>
          <w:rFonts w:ascii="Times New Roman" w:hAnsi="Times New Roman" w:eastAsia="宋体" w:cs="Microsoft New Tai Lue"/>
          <w:b/>
          <w:sz w:val="32"/>
          <w:szCs w:val="32"/>
          <w:highlight w:val="none"/>
          <w:u w:val="single"/>
        </w:rPr>
        <w:t xml:space="preserve">   </w:t>
      </w:r>
    </w:p>
    <w:p w14:paraId="254BE446">
      <w:pPr>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二O   年  月  日</w:t>
      </w:r>
    </w:p>
    <w:p w14:paraId="7110EE91">
      <w:pPr>
        <w:spacing w:line="360" w:lineRule="auto"/>
        <w:rPr>
          <w:rFonts w:hint="eastAsia" w:ascii="Times New Roman" w:hAnsi="Times New Roman" w:eastAsia="宋体" w:cs="Microsoft New Tai Lue"/>
          <w:b w:val="0"/>
          <w:sz w:val="24"/>
          <w:highlight w:val="none"/>
        </w:rPr>
      </w:pPr>
      <w:r>
        <w:rPr>
          <w:rFonts w:ascii="Times New Roman" w:hAnsi="Times New Roman" w:eastAsia="宋体" w:cs="Microsoft New Tai Lue"/>
          <w:b/>
          <w:highlight w:val="none"/>
        </w:rPr>
        <w:br w:type="page" w:clear="all"/>
      </w:r>
      <w:bookmarkEnd w:id="310"/>
      <w:bookmarkStart w:id="312" w:name="_Toc104560893"/>
      <w:bookmarkStart w:id="313" w:name="_Toc107246275"/>
    </w:p>
    <w:p w14:paraId="53D921D6">
      <w:pPr>
        <w:pStyle w:val="77"/>
        <w:keepNext w:val="0"/>
        <w:keepLines w:val="0"/>
        <w:pageBreakBefore w:val="0"/>
        <w:widowControl w:val="0"/>
        <w:spacing w:before="313" w:after="157" w:line="240" w:lineRule="auto"/>
        <w:ind w:left="238" w:hanging="238"/>
        <w:outlineLvl w:val="1"/>
        <w:rPr>
          <w:rFonts w:hint="eastAsia" w:ascii="Times New Roman" w:hAnsi="Times New Roman" w:eastAsia="宋体" w:cs="Microsoft New Tai Lue"/>
          <w:b/>
          <w:bCs w:val="0"/>
          <w:sz w:val="24"/>
          <w:highlight w:val="none"/>
        </w:rPr>
      </w:pPr>
      <w:bookmarkStart w:id="314" w:name="_Toc1910657567"/>
      <w:r>
        <w:rPr>
          <w:rFonts w:hint="eastAsia" w:ascii="Times New Roman" w:hAnsi="Times New Roman" w:eastAsia="宋体" w:cs="Microsoft New Tai Lue"/>
          <w:b/>
          <w:bCs w:val="0"/>
          <w:sz w:val="24"/>
          <w:highlight w:val="none"/>
        </w:rPr>
        <w:t>一、投标基本文件</w:t>
      </w:r>
      <w:bookmarkEnd w:id="314"/>
    </w:p>
    <w:p w14:paraId="71D47A0B">
      <w:pPr>
        <w:pStyle w:val="77"/>
        <w:ind w:left="455" w:hanging="241"/>
        <w:outlineLvl w:val="2"/>
        <w:rPr>
          <w:rFonts w:hint="eastAsia" w:ascii="Times New Roman" w:hAnsi="Times New Roman" w:eastAsia="宋体" w:cs="Microsoft New Tai Lue"/>
          <w:bCs w:val="0"/>
          <w:sz w:val="24"/>
          <w:szCs w:val="24"/>
          <w:highlight w:val="none"/>
          <w:lang w:eastAsia="zh-CN"/>
        </w:rPr>
      </w:pPr>
      <w:bookmarkStart w:id="315" w:name="_Toc1098754978"/>
      <w:r>
        <w:rPr>
          <w:rFonts w:hint="eastAsia" w:ascii="Times New Roman" w:hAnsi="Times New Roman" w:eastAsia="宋体" w:cs="Microsoft New Tai Lue"/>
          <w:bCs w:val="0"/>
          <w:sz w:val="24"/>
          <w:szCs w:val="24"/>
          <w:highlight w:val="none"/>
          <w:lang w:eastAsia="zh-CN"/>
        </w:rPr>
        <w:t>（1）投标函</w:t>
      </w:r>
      <w:bookmarkEnd w:id="312"/>
      <w:bookmarkEnd w:id="313"/>
      <w:bookmarkEnd w:id="315"/>
    </w:p>
    <w:p w14:paraId="377748F2">
      <w:pPr>
        <w:spacing w:before="156" w:line="360" w:lineRule="exact"/>
        <w:ind w:left="214" w:firstLine="420"/>
        <w:rPr>
          <w:rFonts w:ascii="Times New Roman" w:hAnsi="Times New Roman" w:eastAsia="宋体"/>
          <w:szCs w:val="21"/>
          <w:highlight w:val="none"/>
        </w:rPr>
      </w:pPr>
      <w:bookmarkStart w:id="316" w:name="_Toc103848580"/>
      <w:bookmarkStart w:id="317" w:name="_Toc96347902"/>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（采购</w:t>
      </w:r>
      <w:r>
        <w:rPr>
          <w:rFonts w:ascii="Times New Roman" w:hAnsi="Times New Roman" w:eastAsia="宋体"/>
          <w:szCs w:val="21"/>
          <w:highlight w:val="none"/>
        </w:rPr>
        <w:t>人）：</w:t>
      </w:r>
    </w:p>
    <w:p w14:paraId="31977819">
      <w:pPr>
        <w:spacing w:before="156"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为全权代表，参加贵方组织的</w:t>
      </w:r>
      <w:r>
        <w:rPr>
          <w:rFonts w:ascii="Times New Roman" w:hAnsi="Times New Roman" w:eastAsia="宋体"/>
          <w:szCs w:val="21"/>
          <w:highlight w:val="none"/>
          <w:u w:val="single"/>
        </w:rPr>
        <w:t xml:space="preserve">         （项目名称、项目编号）   </w:t>
      </w:r>
      <w:r>
        <w:rPr>
          <w:rFonts w:hint="eastAsia" w:ascii="Times New Roman" w:hAnsi="Times New Roman" w:eastAsia="宋体"/>
          <w:szCs w:val="21"/>
          <w:highlight w:val="none"/>
        </w:rPr>
        <w:t>投标</w:t>
      </w:r>
      <w:r>
        <w:rPr>
          <w:rFonts w:ascii="Times New Roman" w:hAnsi="Times New Roman" w:eastAsia="宋体"/>
          <w:szCs w:val="21"/>
          <w:highlight w:val="none"/>
        </w:rPr>
        <w:t>的有关活动，并对此项目进行</w:t>
      </w:r>
      <w:r>
        <w:rPr>
          <w:rFonts w:hint="eastAsia" w:ascii="Times New Roman" w:hAnsi="Times New Roman" w:eastAsia="宋体"/>
          <w:szCs w:val="21"/>
          <w:highlight w:val="none"/>
        </w:rPr>
        <w:t>投标</w:t>
      </w:r>
      <w:r>
        <w:rPr>
          <w:rFonts w:ascii="Times New Roman" w:hAnsi="Times New Roman" w:eastAsia="宋体"/>
          <w:szCs w:val="21"/>
          <w:highlight w:val="none"/>
        </w:rPr>
        <w:t>。</w:t>
      </w:r>
    </w:p>
    <w:p w14:paraId="102F668E">
      <w:pPr>
        <w:spacing w:before="156"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rPr>
        <w:t>为此：</w:t>
      </w:r>
    </w:p>
    <w:p w14:paraId="61B9A4E8">
      <w:pPr>
        <w:pStyle w:val="73"/>
        <w:spacing w:after="0" w:line="360" w:lineRule="exact"/>
        <w:ind w:left="214" w:firstLine="420"/>
        <w:jc w:val="left"/>
        <w:rPr>
          <w:rFonts w:ascii="Times New Roman" w:hAnsi="Times New Roman" w:eastAsia="宋体"/>
          <w:highlight w:val="none"/>
        </w:rPr>
      </w:pPr>
      <w:r>
        <w:rPr>
          <w:rFonts w:ascii="Times New Roman" w:hAnsi="Times New Roman" w:eastAsia="宋体"/>
          <w:highlight w:val="none"/>
        </w:rPr>
        <w:t>1、提供</w:t>
      </w:r>
      <w:r>
        <w:rPr>
          <w:rFonts w:hint="eastAsia" w:ascii="Times New Roman" w:hAnsi="Times New Roman" w:eastAsia="宋体"/>
          <w:highlight w:val="none"/>
        </w:rPr>
        <w:t>投标人</w:t>
      </w:r>
      <w:r>
        <w:rPr>
          <w:rFonts w:ascii="Times New Roman" w:hAnsi="Times New Roman" w:eastAsia="宋体"/>
          <w:highlight w:val="none"/>
        </w:rPr>
        <w:t>须知规定的全部</w:t>
      </w:r>
      <w:r>
        <w:rPr>
          <w:rFonts w:hint="eastAsia" w:ascii="Times New Roman" w:hAnsi="Times New Roman" w:eastAsia="宋体"/>
          <w:highlight w:val="none"/>
        </w:rPr>
        <w:t>投标</w:t>
      </w:r>
      <w:r>
        <w:rPr>
          <w:rFonts w:ascii="Times New Roman" w:hAnsi="Times New Roman" w:eastAsia="宋体"/>
          <w:highlight w:val="none"/>
        </w:rPr>
        <w:t>文件。</w:t>
      </w:r>
    </w:p>
    <w:p w14:paraId="2D062795">
      <w:pPr>
        <w:pStyle w:val="73"/>
        <w:spacing w:after="0" w:line="360" w:lineRule="exact"/>
        <w:ind w:left="214" w:firstLine="420"/>
        <w:jc w:val="left"/>
        <w:rPr>
          <w:rFonts w:ascii="Times New Roman" w:hAnsi="Times New Roman" w:eastAsia="宋体"/>
          <w:highlight w:val="none"/>
        </w:rPr>
      </w:pPr>
      <w:r>
        <w:rPr>
          <w:rFonts w:ascii="Times New Roman" w:hAnsi="Times New Roman" w:eastAsia="宋体"/>
          <w:highlight w:val="none"/>
        </w:rPr>
        <w:t>2、</w:t>
      </w:r>
      <w:r>
        <w:rPr>
          <w:rFonts w:hint="eastAsia" w:ascii="Times New Roman" w:hAnsi="Times New Roman" w:eastAsia="宋体"/>
          <w:highlight w:val="none"/>
        </w:rPr>
        <w:t>开标</w:t>
      </w:r>
      <w:r>
        <w:rPr>
          <w:rFonts w:ascii="Times New Roman" w:hAnsi="Times New Roman" w:eastAsia="宋体"/>
          <w:highlight w:val="none"/>
        </w:rPr>
        <w:t>一览表。</w:t>
      </w:r>
    </w:p>
    <w:p w14:paraId="6B755E94">
      <w:pPr>
        <w:pStyle w:val="73"/>
        <w:spacing w:after="0" w:line="360" w:lineRule="exact"/>
        <w:ind w:left="214" w:firstLine="420"/>
        <w:jc w:val="left"/>
        <w:rPr>
          <w:rFonts w:ascii="Times New Roman" w:hAnsi="Times New Roman" w:eastAsia="宋体"/>
          <w:highlight w:val="none"/>
        </w:rPr>
      </w:pPr>
      <w:r>
        <w:rPr>
          <w:rFonts w:ascii="Times New Roman" w:hAnsi="Times New Roman" w:eastAsia="宋体"/>
          <w:highlight w:val="none"/>
        </w:rPr>
        <w:t>3、我方将按采购文件的规定履行全部责任和义务。</w:t>
      </w:r>
    </w:p>
    <w:p w14:paraId="50A3E0A5">
      <w:pPr>
        <w:pStyle w:val="73"/>
        <w:spacing w:after="0" w:line="360" w:lineRule="exact"/>
        <w:ind w:left="214" w:firstLine="420"/>
        <w:jc w:val="left"/>
        <w:rPr>
          <w:rFonts w:ascii="Times New Roman" w:hAnsi="Times New Roman" w:eastAsia="宋体"/>
          <w:szCs w:val="21"/>
          <w:highlight w:val="none"/>
        </w:rPr>
      </w:pPr>
      <w:r>
        <w:rPr>
          <w:rFonts w:ascii="Times New Roman" w:hAnsi="Times New Roman" w:eastAsia="宋体"/>
          <w:highlight w:val="none"/>
        </w:rPr>
        <w:t>4、我方已详细审查全部采购文件，我们完全理解并同意</w:t>
      </w:r>
      <w:r>
        <w:rPr>
          <w:rFonts w:ascii="Times New Roman" w:hAnsi="Times New Roman" w:eastAsia="宋体"/>
          <w:szCs w:val="21"/>
          <w:highlight w:val="none"/>
        </w:rPr>
        <w:t>放弃对采购文件提出质疑或争议的权利。</w:t>
      </w:r>
    </w:p>
    <w:p w14:paraId="769AB2C1">
      <w:pPr>
        <w:pStyle w:val="73"/>
        <w:spacing w:after="0" w:line="360" w:lineRule="exact"/>
        <w:ind w:left="214" w:firstLine="420"/>
        <w:jc w:val="left"/>
        <w:rPr>
          <w:rFonts w:ascii="Times New Roman" w:hAnsi="Times New Roman" w:eastAsia="宋体"/>
          <w:highlight w:val="none"/>
        </w:rPr>
      </w:pPr>
      <w:r>
        <w:rPr>
          <w:rFonts w:ascii="Times New Roman" w:hAnsi="Times New Roman" w:eastAsia="宋体"/>
          <w:szCs w:val="21"/>
          <w:highlight w:val="none"/>
        </w:rPr>
        <w:t>5、本</w:t>
      </w:r>
      <w:r>
        <w:rPr>
          <w:rFonts w:hint="eastAsia" w:ascii="Times New Roman" w:hAnsi="Times New Roman" w:eastAsia="宋体"/>
          <w:szCs w:val="21"/>
          <w:highlight w:val="none"/>
        </w:rPr>
        <w:t>投标</w:t>
      </w:r>
      <w:r>
        <w:rPr>
          <w:rFonts w:ascii="Times New Roman" w:hAnsi="Times New Roman" w:eastAsia="宋体"/>
          <w:szCs w:val="21"/>
          <w:highlight w:val="none"/>
        </w:rPr>
        <w:t>有效期为自</w:t>
      </w:r>
      <w:r>
        <w:rPr>
          <w:rFonts w:hint="eastAsia" w:ascii="Times New Roman" w:hAnsi="Times New Roman" w:eastAsia="宋体"/>
          <w:szCs w:val="21"/>
          <w:highlight w:val="none"/>
        </w:rPr>
        <w:t>投标</w:t>
      </w:r>
      <w:r>
        <w:rPr>
          <w:rFonts w:ascii="Times New Roman" w:hAnsi="Times New Roman" w:eastAsia="宋体"/>
          <w:szCs w:val="21"/>
          <w:highlight w:val="none"/>
        </w:rPr>
        <w:t>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90</w:t>
      </w:r>
      <w:r>
        <w:rPr>
          <w:rFonts w:ascii="Times New Roman" w:hAnsi="Times New Roman" w:eastAsia="宋体"/>
          <w:szCs w:val="21"/>
          <w:highlight w:val="none"/>
          <w:u w:val="single"/>
        </w:rPr>
        <w:t xml:space="preserve"> </w:t>
      </w:r>
      <w:r>
        <w:rPr>
          <w:rFonts w:ascii="Times New Roman" w:hAnsi="Times New Roman" w:eastAsia="宋体"/>
          <w:szCs w:val="21"/>
          <w:highlight w:val="none"/>
        </w:rPr>
        <w:t>个日历日。</w:t>
      </w:r>
    </w:p>
    <w:p w14:paraId="24C79863">
      <w:pPr>
        <w:pStyle w:val="73"/>
        <w:spacing w:after="0"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rPr>
        <w:t>6、如果在规定的提交</w:t>
      </w:r>
      <w:r>
        <w:rPr>
          <w:rFonts w:hint="eastAsia" w:ascii="Times New Roman" w:hAnsi="Times New Roman" w:eastAsia="宋体"/>
          <w:szCs w:val="21"/>
          <w:highlight w:val="none"/>
        </w:rPr>
        <w:t>投标</w:t>
      </w:r>
      <w:r>
        <w:rPr>
          <w:rFonts w:ascii="Times New Roman" w:hAnsi="Times New Roman" w:eastAsia="宋体"/>
          <w:szCs w:val="21"/>
          <w:highlight w:val="none"/>
        </w:rPr>
        <w:t>文件截止时间后，我方在</w:t>
      </w:r>
      <w:r>
        <w:rPr>
          <w:rFonts w:hint="eastAsia" w:ascii="Times New Roman" w:hAnsi="Times New Roman" w:eastAsia="宋体"/>
          <w:szCs w:val="21"/>
          <w:highlight w:val="none"/>
        </w:rPr>
        <w:t>投标</w:t>
      </w:r>
      <w:r>
        <w:rPr>
          <w:rFonts w:ascii="Times New Roman" w:hAnsi="Times New Roman" w:eastAsia="宋体"/>
          <w:szCs w:val="21"/>
          <w:highlight w:val="none"/>
        </w:rPr>
        <w:t>有效期内撤销</w:t>
      </w:r>
      <w:r>
        <w:rPr>
          <w:rFonts w:hint="eastAsia" w:ascii="Times New Roman" w:hAnsi="Times New Roman" w:eastAsia="宋体"/>
          <w:szCs w:val="21"/>
          <w:highlight w:val="none"/>
        </w:rPr>
        <w:t>投标</w:t>
      </w:r>
      <w:r>
        <w:rPr>
          <w:rFonts w:ascii="Times New Roman" w:hAnsi="Times New Roman" w:eastAsia="宋体"/>
          <w:szCs w:val="21"/>
          <w:highlight w:val="none"/>
        </w:rPr>
        <w:t>文件，</w:t>
      </w:r>
      <w:r>
        <w:rPr>
          <w:rFonts w:hint="eastAsia" w:ascii="Times New Roman" w:hAnsi="Times New Roman" w:eastAsia="宋体"/>
          <w:szCs w:val="21"/>
          <w:highlight w:val="none"/>
        </w:rPr>
        <w:t>投标</w:t>
      </w:r>
      <w:r>
        <w:rPr>
          <w:rFonts w:ascii="Times New Roman" w:hAnsi="Times New Roman" w:eastAsia="宋体"/>
          <w:szCs w:val="21"/>
          <w:highlight w:val="none"/>
        </w:rPr>
        <w:t>保证金将不予退还。</w:t>
      </w:r>
    </w:p>
    <w:p w14:paraId="139B8351">
      <w:pPr>
        <w:pStyle w:val="73"/>
        <w:spacing w:after="0"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rPr>
        <w:t>7、我方同意贵方查询或调查我们提交的与本</w:t>
      </w:r>
      <w:r>
        <w:rPr>
          <w:rFonts w:hint="eastAsia" w:ascii="Times New Roman" w:hAnsi="Times New Roman" w:eastAsia="宋体"/>
          <w:szCs w:val="21"/>
          <w:highlight w:val="none"/>
        </w:rPr>
        <w:t>投标</w:t>
      </w:r>
      <w:r>
        <w:rPr>
          <w:rFonts w:ascii="Times New Roman" w:hAnsi="Times New Roman" w:eastAsia="宋体"/>
          <w:szCs w:val="21"/>
          <w:highlight w:val="none"/>
        </w:rPr>
        <w:t>文件有关的声明、文件和资料，并同意在贵方的要求下提供相关文件或证书的原件及其他相关书面材料。</w:t>
      </w:r>
    </w:p>
    <w:p w14:paraId="553B6614">
      <w:pPr>
        <w:pStyle w:val="73"/>
        <w:spacing w:after="0"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rPr>
        <w:t>8、我方在法律和财务上独立、合法运作并独立于采购</w:t>
      </w:r>
      <w:r>
        <w:rPr>
          <w:rFonts w:hint="eastAsia" w:ascii="Times New Roman" w:hAnsi="Times New Roman" w:eastAsia="宋体"/>
          <w:szCs w:val="21"/>
          <w:highlight w:val="none"/>
        </w:rPr>
        <w:t>方</w:t>
      </w:r>
      <w:r>
        <w:rPr>
          <w:rFonts w:ascii="Times New Roman" w:hAnsi="Times New Roman" w:eastAsia="宋体"/>
          <w:szCs w:val="21"/>
          <w:highlight w:val="none"/>
        </w:rPr>
        <w:t>，与采购人为本项目所委托的咨询</w:t>
      </w:r>
      <w:r>
        <w:rPr>
          <w:rFonts w:hint="eastAsia" w:ascii="Times New Roman" w:hAnsi="Times New Roman" w:eastAsia="宋体"/>
          <w:szCs w:val="21"/>
          <w:highlight w:val="none"/>
        </w:rPr>
        <w:t>单位</w:t>
      </w:r>
      <w:r>
        <w:rPr>
          <w:rFonts w:ascii="Times New Roman" w:hAnsi="Times New Roman" w:eastAsia="宋体"/>
          <w:szCs w:val="21"/>
          <w:highlight w:val="none"/>
        </w:rPr>
        <w:t>或其附属机构没有直接或间接的任何关联。</w:t>
      </w:r>
    </w:p>
    <w:p w14:paraId="647B65EC">
      <w:pPr>
        <w:pStyle w:val="73"/>
        <w:spacing w:after="0"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rPr>
        <w:t>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7C933DC4">
      <w:pPr>
        <w:pStyle w:val="73"/>
        <w:spacing w:after="0" w:line="360" w:lineRule="exact"/>
        <w:ind w:left="214" w:firstLine="420"/>
        <w:jc w:val="left"/>
        <w:rPr>
          <w:rFonts w:ascii="Times New Roman" w:hAnsi="Times New Roman" w:eastAsia="宋体"/>
          <w:szCs w:val="21"/>
          <w:highlight w:val="none"/>
        </w:rPr>
      </w:pPr>
      <w:r>
        <w:rPr>
          <w:rFonts w:ascii="Times New Roman" w:hAnsi="Times New Roman" w:eastAsia="宋体"/>
          <w:szCs w:val="21"/>
          <w:highlight w:val="none"/>
        </w:rPr>
        <w:t>10、</w:t>
      </w:r>
      <w:r>
        <w:rPr>
          <w:rFonts w:ascii="Times New Roman" w:hAnsi="Times New Roman" w:eastAsia="宋体"/>
          <w:highlight w:val="none"/>
        </w:rPr>
        <w:t>我方保证</w:t>
      </w:r>
      <w:r>
        <w:rPr>
          <w:rFonts w:hint="eastAsia" w:ascii="Times New Roman" w:hAnsi="Times New Roman" w:eastAsia="宋体"/>
          <w:highlight w:val="none"/>
        </w:rPr>
        <w:t>投标</w:t>
      </w:r>
      <w:r>
        <w:rPr>
          <w:rFonts w:ascii="Times New Roman" w:hAnsi="Times New Roman" w:eastAsia="宋体"/>
          <w:highlight w:val="none"/>
        </w:rPr>
        <w:t>文件所提供的全部资料真实可靠，同意提供贵方要求的与该项</w:t>
      </w:r>
      <w:r>
        <w:rPr>
          <w:rFonts w:hint="eastAsia" w:ascii="Times New Roman" w:hAnsi="Times New Roman" w:eastAsia="宋体"/>
          <w:highlight w:val="none"/>
        </w:rPr>
        <w:t>投标</w:t>
      </w:r>
      <w:r>
        <w:rPr>
          <w:rFonts w:ascii="Times New Roman" w:hAnsi="Times New Roman" w:eastAsia="宋体"/>
          <w:highlight w:val="none"/>
        </w:rPr>
        <w:t>有关的数据或资料，完全理解贵方不一定接受最低价的</w:t>
      </w:r>
      <w:r>
        <w:rPr>
          <w:rFonts w:hint="eastAsia" w:ascii="Times New Roman" w:hAnsi="Times New Roman" w:eastAsia="宋体"/>
          <w:highlight w:val="none"/>
        </w:rPr>
        <w:t>投标</w:t>
      </w:r>
      <w:r>
        <w:rPr>
          <w:rFonts w:ascii="Times New Roman" w:hAnsi="Times New Roman" w:eastAsia="宋体"/>
          <w:highlight w:val="none"/>
        </w:rPr>
        <w:t>或收到的任何</w:t>
      </w:r>
      <w:r>
        <w:rPr>
          <w:rFonts w:hint="eastAsia" w:ascii="Times New Roman" w:hAnsi="Times New Roman" w:eastAsia="宋体"/>
          <w:highlight w:val="none"/>
        </w:rPr>
        <w:t>投标</w:t>
      </w:r>
      <w:r>
        <w:rPr>
          <w:rFonts w:ascii="Times New Roman" w:hAnsi="Times New Roman" w:eastAsia="宋体"/>
          <w:highlight w:val="none"/>
        </w:rPr>
        <w:t>。</w:t>
      </w:r>
    </w:p>
    <w:p w14:paraId="351908AA">
      <w:pPr>
        <w:pStyle w:val="73"/>
        <w:spacing w:after="0" w:line="360" w:lineRule="exact"/>
        <w:ind w:left="214" w:firstLine="420"/>
        <w:jc w:val="left"/>
        <w:rPr>
          <w:rFonts w:ascii="Times New Roman" w:hAnsi="Times New Roman" w:eastAsia="宋体"/>
          <w:szCs w:val="21"/>
          <w:highlight w:val="none"/>
        </w:rPr>
      </w:pPr>
      <w:r>
        <w:rPr>
          <w:rFonts w:ascii="Times New Roman" w:hAnsi="Times New Roman" w:eastAsia="宋体"/>
          <w:highlight w:val="none"/>
        </w:rPr>
        <w:t>11、</w:t>
      </w:r>
      <w:r>
        <w:rPr>
          <w:rFonts w:ascii="Times New Roman" w:hAnsi="Times New Roman" w:eastAsia="宋体"/>
          <w:szCs w:val="21"/>
          <w:highlight w:val="none"/>
        </w:rPr>
        <w:t>与本</w:t>
      </w:r>
      <w:r>
        <w:rPr>
          <w:rFonts w:hint="eastAsia" w:ascii="Times New Roman" w:hAnsi="Times New Roman" w:eastAsia="宋体"/>
          <w:szCs w:val="21"/>
          <w:highlight w:val="none"/>
        </w:rPr>
        <w:t>投标</w:t>
      </w:r>
      <w:r>
        <w:rPr>
          <w:rFonts w:ascii="Times New Roman" w:hAnsi="Times New Roman" w:eastAsia="宋体"/>
          <w:szCs w:val="21"/>
          <w:highlight w:val="none"/>
        </w:rPr>
        <w:t>有关的一切往来通讯请寄：</w:t>
      </w:r>
    </w:p>
    <w:p w14:paraId="032CCEDF">
      <w:pPr>
        <w:spacing w:line="400" w:lineRule="exact"/>
        <w:ind w:left="214" w:firstLine="367"/>
        <w:rPr>
          <w:rFonts w:ascii="Times New Roman" w:hAnsi="Times New Roman" w:eastAsia="宋体"/>
          <w:szCs w:val="21"/>
          <w:highlight w:val="none"/>
        </w:rPr>
      </w:pPr>
      <w:r>
        <w:rPr>
          <w:rFonts w:ascii="Times New Roman" w:hAnsi="Times New Roman" w:eastAsia="宋体"/>
          <w:szCs w:val="21"/>
          <w:highlight w:val="none"/>
        </w:rPr>
        <w:t>地址：</w:t>
      </w:r>
      <w:r>
        <w:rPr>
          <w:rFonts w:ascii="Times New Roman" w:hAnsi="Times New Roman" w:eastAsia="宋体"/>
          <w:szCs w:val="21"/>
          <w:highlight w:val="none"/>
          <w:u w:val="single"/>
        </w:rPr>
        <w:t xml:space="preserve">                            </w:t>
      </w:r>
    </w:p>
    <w:p w14:paraId="63B44BDD">
      <w:pPr>
        <w:spacing w:line="360" w:lineRule="auto"/>
        <w:ind w:left="214" w:firstLine="367"/>
        <w:rPr>
          <w:rFonts w:ascii="Times New Roman" w:hAnsi="Times New Roman" w:eastAsia="宋体"/>
          <w:szCs w:val="21"/>
          <w:highlight w:val="none"/>
        </w:rPr>
      </w:pPr>
      <w:r>
        <w:rPr>
          <w:rFonts w:ascii="Times New Roman" w:hAnsi="Times New Roman" w:eastAsia="宋体"/>
          <w:szCs w:val="21"/>
          <w:highlight w:val="none"/>
        </w:rPr>
        <w:t>邮编：</w:t>
      </w:r>
      <w:r>
        <w:rPr>
          <w:rFonts w:ascii="Times New Roman" w:hAnsi="Times New Roman" w:eastAsia="宋体"/>
          <w:szCs w:val="21"/>
          <w:highlight w:val="none"/>
          <w:u w:val="single"/>
        </w:rPr>
        <w:t xml:space="preserve">                            </w:t>
      </w:r>
    </w:p>
    <w:p w14:paraId="4B120953">
      <w:pPr>
        <w:spacing w:line="360" w:lineRule="auto"/>
        <w:ind w:left="214" w:firstLine="367"/>
        <w:rPr>
          <w:rFonts w:ascii="Times New Roman" w:hAnsi="Times New Roman" w:eastAsia="宋体"/>
          <w:szCs w:val="21"/>
          <w:highlight w:val="none"/>
        </w:rPr>
      </w:pPr>
      <w:r>
        <w:rPr>
          <w:rFonts w:ascii="Times New Roman" w:hAnsi="Times New Roman" w:eastAsia="宋体"/>
          <w:szCs w:val="21"/>
          <w:highlight w:val="none"/>
        </w:rPr>
        <w:t>联系人：</w:t>
      </w:r>
      <w:r>
        <w:rPr>
          <w:rFonts w:ascii="Times New Roman" w:hAnsi="Times New Roman" w:eastAsia="宋体"/>
          <w:szCs w:val="21"/>
          <w:highlight w:val="none"/>
          <w:u w:val="single"/>
        </w:rPr>
        <w:t xml:space="preserve">                          </w:t>
      </w:r>
    </w:p>
    <w:p w14:paraId="4C4E3659">
      <w:pPr>
        <w:spacing w:line="360" w:lineRule="auto"/>
        <w:ind w:left="214" w:firstLine="367"/>
        <w:rPr>
          <w:rFonts w:ascii="Times New Roman" w:hAnsi="Times New Roman" w:eastAsia="宋体"/>
          <w:szCs w:val="21"/>
          <w:highlight w:val="none"/>
        </w:rPr>
      </w:pPr>
      <w:r>
        <w:rPr>
          <w:rFonts w:ascii="Times New Roman" w:hAnsi="Times New Roman" w:eastAsia="宋体"/>
          <w:szCs w:val="21"/>
          <w:highlight w:val="none"/>
        </w:rPr>
        <w:t>手机：</w:t>
      </w:r>
      <w:r>
        <w:rPr>
          <w:rFonts w:ascii="Times New Roman" w:hAnsi="Times New Roman" w:eastAsia="宋体"/>
          <w:szCs w:val="21"/>
          <w:highlight w:val="none"/>
          <w:u w:val="single"/>
        </w:rPr>
        <w:t xml:space="preserve">                            </w:t>
      </w:r>
    </w:p>
    <w:p w14:paraId="04EC24A8">
      <w:pPr>
        <w:spacing w:line="360" w:lineRule="auto"/>
        <w:ind w:left="214" w:firstLine="367"/>
        <w:rPr>
          <w:rFonts w:ascii="Times New Roman" w:hAnsi="Times New Roman" w:eastAsia="宋体"/>
          <w:szCs w:val="21"/>
          <w:highlight w:val="none"/>
          <w:u w:val="single"/>
        </w:rPr>
      </w:pPr>
      <w:r>
        <w:rPr>
          <w:rFonts w:ascii="Times New Roman" w:hAnsi="Times New Roman" w:eastAsia="宋体"/>
          <w:szCs w:val="21"/>
          <w:highlight w:val="none"/>
        </w:rPr>
        <w:t>邮箱：</w:t>
      </w:r>
      <w:r>
        <w:rPr>
          <w:rFonts w:ascii="Times New Roman" w:hAnsi="Times New Roman" w:eastAsia="宋体"/>
          <w:szCs w:val="21"/>
          <w:highlight w:val="none"/>
          <w:u w:val="single"/>
        </w:rPr>
        <w:t xml:space="preserve">                            </w:t>
      </w:r>
    </w:p>
    <w:p w14:paraId="072AF31F">
      <w:pPr>
        <w:spacing w:before="120" w:line="360" w:lineRule="auto"/>
        <w:ind w:left="214" w:firstLine="315"/>
        <w:rPr>
          <w:rFonts w:ascii="Times New Roman" w:hAnsi="Times New Roman" w:eastAsia="宋体"/>
          <w:szCs w:val="21"/>
          <w:highlight w:val="none"/>
        </w:rPr>
      </w:pPr>
      <w:r>
        <w:rPr>
          <w:rFonts w:hint="eastAsia" w:ascii="Times New Roman" w:hAnsi="Times New Roman" w:eastAsia="宋体"/>
          <w:szCs w:val="21"/>
          <w:highlight w:val="none"/>
        </w:rPr>
        <w:t>投标人</w:t>
      </w:r>
      <w:r>
        <w:rPr>
          <w:rFonts w:ascii="Times New Roman" w:hAnsi="Times New Roman" w:eastAsia="宋体"/>
          <w:szCs w:val="21"/>
          <w:highlight w:val="none"/>
        </w:rPr>
        <w:t>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p>
    <w:p w14:paraId="1AD6ED54">
      <w:pPr>
        <w:ind w:left="214" w:firstLine="315"/>
        <w:rPr>
          <w:rFonts w:ascii="Times New Roman" w:hAnsi="Times New Roman" w:eastAsia="宋体"/>
          <w:szCs w:val="21"/>
          <w:highlight w:val="none"/>
        </w:rPr>
      </w:pPr>
      <w:r>
        <w:rPr>
          <w:rFonts w:ascii="Times New Roman" w:hAnsi="Times New Roman" w:eastAsia="宋体"/>
          <w:szCs w:val="21"/>
          <w:highlight w:val="none"/>
        </w:rPr>
        <w:t>法定代表人（单位负责人）</w:t>
      </w:r>
    </w:p>
    <w:p w14:paraId="2B4C7BA0">
      <w:pPr>
        <w:ind w:left="214" w:firstLine="315"/>
        <w:rPr>
          <w:rFonts w:ascii="Times New Roman" w:hAnsi="Times New Roman" w:eastAsia="宋体"/>
          <w:szCs w:val="21"/>
          <w:highlight w:val="none"/>
          <w:u w:val="single"/>
        </w:rPr>
      </w:pPr>
      <w:r>
        <w:rPr>
          <w:rFonts w:ascii="Times New Roman" w:hAnsi="Times New Roman" w:eastAsia="宋体"/>
          <w:szCs w:val="21"/>
          <w:highlight w:val="none"/>
        </w:rPr>
        <w:t>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p>
    <w:p w14:paraId="78DC4AF1">
      <w:pPr>
        <w:spacing w:line="276" w:lineRule="auto"/>
        <w:ind w:left="418" w:hanging="204"/>
        <w:jc w:val="left"/>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日期：______年</w:t>
      </w:r>
      <w:r>
        <w:rPr>
          <w:rFonts w:ascii="Times New Roman" w:hAnsi="Times New Roman" w:eastAsia="宋体"/>
          <w:bCs/>
          <w:highlight w:val="none"/>
          <w:u w:val="single"/>
        </w:rPr>
        <w:t xml:space="preserve">    </w:t>
      </w:r>
      <w:r>
        <w:rPr>
          <w:rFonts w:ascii="Times New Roman" w:hAnsi="Times New Roman" w:eastAsia="宋体"/>
          <w:bCs/>
          <w:highlight w:val="none"/>
        </w:rPr>
        <w:t>月</w:t>
      </w:r>
      <w:r>
        <w:rPr>
          <w:rFonts w:ascii="Times New Roman" w:hAnsi="Times New Roman" w:eastAsia="宋体"/>
          <w:bCs/>
          <w:highlight w:val="none"/>
          <w:u w:val="single"/>
        </w:rPr>
        <w:t xml:space="preserve">    </w:t>
      </w:r>
      <w:r>
        <w:rPr>
          <w:rFonts w:ascii="Times New Roman" w:hAnsi="Times New Roman" w:eastAsia="宋体"/>
          <w:bCs/>
          <w:highlight w:val="none"/>
        </w:rPr>
        <w:t>日</w:t>
      </w:r>
    </w:p>
    <w:p w14:paraId="58CE397B">
      <w:pPr>
        <w:pStyle w:val="77"/>
        <w:ind w:left="455" w:hanging="241"/>
        <w:outlineLvl w:val="2"/>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lang w:eastAsia="zh-CN"/>
        </w:rPr>
        <w:br w:type="page" w:clear="all"/>
      </w:r>
      <w:bookmarkStart w:id="318" w:name="_Toc104560898"/>
      <w:bookmarkStart w:id="319" w:name="_Toc103848583"/>
      <w:bookmarkStart w:id="320" w:name="_Toc563034693"/>
      <w:bookmarkStart w:id="321" w:name="_Toc107246276"/>
      <w:r>
        <w:rPr>
          <w:rFonts w:hint="eastAsia" w:ascii="Times New Roman" w:hAnsi="Times New Roman" w:eastAsia="宋体" w:cs="Microsoft New Tai Lue"/>
          <w:bCs w:val="0"/>
          <w:sz w:val="24"/>
          <w:szCs w:val="24"/>
          <w:highlight w:val="none"/>
          <w:lang w:eastAsia="zh-CN"/>
        </w:rPr>
        <w:t>（2）</w:t>
      </w:r>
      <w:bookmarkEnd w:id="318"/>
      <w:bookmarkEnd w:id="319"/>
      <w:r>
        <w:rPr>
          <w:rFonts w:hint="eastAsia" w:ascii="Times New Roman" w:hAnsi="Times New Roman" w:eastAsia="宋体" w:cs="Microsoft New Tai Lue"/>
          <w:bCs w:val="0"/>
          <w:sz w:val="24"/>
          <w:szCs w:val="24"/>
          <w:highlight w:val="none"/>
          <w:lang w:eastAsia="zh-CN"/>
        </w:rPr>
        <w:t>法定代表人（单位负责人）身份证明</w:t>
      </w:r>
      <w:bookmarkEnd w:id="320"/>
      <w:bookmarkEnd w:id="321"/>
    </w:p>
    <w:p w14:paraId="4137C439">
      <w:pPr>
        <w:pStyle w:val="49"/>
        <w:tabs>
          <w:tab w:val="left" w:pos="4228"/>
        </w:tabs>
        <w:ind w:left="422" w:hanging="208"/>
        <w:rPr>
          <w:rFonts w:ascii="Times New Roman" w:hAnsi="Times New Roman" w:eastAsia="宋体" w:cs="Microsoft New Tai Lue"/>
          <w:spacing w:val="-1"/>
          <w:highlight w:val="none"/>
        </w:rPr>
      </w:pPr>
    </w:p>
    <w:p w14:paraId="1ADBBF69">
      <w:pPr>
        <w:pStyle w:val="49"/>
        <w:tabs>
          <w:tab w:val="left" w:pos="4228"/>
        </w:tabs>
        <w:ind w:left="422" w:hanging="208"/>
        <w:rPr>
          <w:rFonts w:ascii="Times New Roman" w:hAnsi="Times New Roman" w:eastAsia="宋体" w:cs="Microsoft New Tai Lue"/>
          <w:spacing w:val="-1"/>
          <w:highlight w:val="none"/>
        </w:rPr>
      </w:pPr>
    </w:p>
    <w:p w14:paraId="58F05245">
      <w:pPr>
        <w:pStyle w:val="49"/>
        <w:tabs>
          <w:tab w:val="left" w:pos="4228"/>
        </w:tabs>
        <w:ind w:left="214" w:firstLine="420"/>
        <w:rPr>
          <w:rFonts w:ascii="Times New Roman" w:hAnsi="Times New Roman" w:eastAsia="宋体"/>
          <w:highlight w:val="none"/>
        </w:rPr>
      </w:pPr>
      <w:r>
        <w:rPr>
          <w:rFonts w:hint="eastAsia" w:ascii="Times New Roman" w:hAnsi="Times New Roman" w:eastAsia="宋体"/>
          <w:highlight w:val="none"/>
        </w:rPr>
        <w:t>投标人</w:t>
      </w:r>
      <w:r>
        <w:rPr>
          <w:rFonts w:ascii="Times New Roman" w:hAnsi="Times New Roman" w:eastAsia="宋体"/>
          <w:highlight w:val="none"/>
        </w:rPr>
        <w:t>名</w:t>
      </w:r>
      <w:r>
        <w:rPr>
          <w:rFonts w:ascii="Times New Roman" w:hAnsi="Times New Roman" w:eastAsia="宋体"/>
          <w:spacing w:val="-3"/>
          <w:highlight w:val="none"/>
        </w:rPr>
        <w:t>称</w:t>
      </w:r>
      <w:r>
        <w:rPr>
          <w:rFonts w:ascii="Times New Roman" w:hAnsi="Times New Roman" w:eastAsia="宋体"/>
          <w:highlight w:val="none"/>
        </w:rPr>
        <w:t>：</w:t>
      </w:r>
      <w:r>
        <w:rPr>
          <w:rFonts w:ascii="Times New Roman" w:hAnsi="Times New Roman" w:eastAsia="宋体"/>
          <w:highlight w:val="none"/>
          <w:u w:val="single"/>
        </w:rPr>
        <w:t xml:space="preserve"> </w:t>
      </w:r>
      <w:r>
        <w:rPr>
          <w:rFonts w:ascii="Times New Roman" w:hAnsi="Times New Roman" w:eastAsia="宋体"/>
          <w:highlight w:val="none"/>
          <w:u w:val="single"/>
        </w:rPr>
        <w:tab/>
      </w:r>
    </w:p>
    <w:p w14:paraId="16A3B414">
      <w:pPr>
        <w:pStyle w:val="49"/>
        <w:tabs>
          <w:tab w:val="left" w:pos="2712"/>
          <w:tab w:val="left" w:pos="4183"/>
          <w:tab w:val="left" w:pos="5652"/>
          <w:tab w:val="left" w:pos="7169"/>
        </w:tabs>
        <w:spacing w:before="170"/>
        <w:ind w:left="214" w:firstLine="420"/>
        <w:rPr>
          <w:rFonts w:ascii="Times New Roman" w:hAnsi="Times New Roman" w:eastAsia="宋体"/>
          <w:highlight w:val="none"/>
        </w:rPr>
      </w:pPr>
      <w:r>
        <w:rPr>
          <w:rFonts w:ascii="Times New Roman" w:hAnsi="Times New Roman" w:eastAsia="宋体"/>
          <w:highlight w:val="none"/>
        </w:rPr>
        <w:t>姓名</w:t>
      </w:r>
      <w:r>
        <w:rPr>
          <w:rFonts w:ascii="Times New Roman" w:hAnsi="Times New Roman" w:eastAsia="宋体"/>
          <w:spacing w:val="-3"/>
          <w:highlight w:val="none"/>
        </w:rPr>
        <w:t>：</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性别</w:t>
      </w:r>
      <w:r>
        <w:rPr>
          <w:rFonts w:ascii="Times New Roman" w:hAnsi="Times New Roman" w:eastAsia="宋体"/>
          <w:spacing w:val="-3"/>
          <w:highlight w:val="none"/>
        </w:rPr>
        <w:t>：</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年</w:t>
      </w:r>
      <w:r>
        <w:rPr>
          <w:rFonts w:ascii="Times New Roman" w:hAnsi="Times New Roman" w:eastAsia="宋体"/>
          <w:spacing w:val="-3"/>
          <w:highlight w:val="none"/>
        </w:rPr>
        <w:t>龄</w:t>
      </w:r>
      <w:r>
        <w:rPr>
          <w:rFonts w:ascii="Times New Roman" w:hAnsi="Times New Roman" w:eastAsia="宋体"/>
          <w:highlight w:val="none"/>
        </w:rPr>
        <w:t>：</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职</w:t>
      </w:r>
      <w:r>
        <w:rPr>
          <w:rFonts w:ascii="Times New Roman" w:hAnsi="Times New Roman" w:eastAsia="宋体"/>
          <w:spacing w:val="-3"/>
          <w:highlight w:val="none"/>
        </w:rPr>
        <w:t>务</w:t>
      </w:r>
      <w:r>
        <w:rPr>
          <w:rFonts w:ascii="Times New Roman" w:hAnsi="Times New Roman" w:eastAsia="宋体"/>
          <w:highlight w:val="none"/>
        </w:rPr>
        <w:t>：</w:t>
      </w:r>
      <w:r>
        <w:rPr>
          <w:rFonts w:ascii="Times New Roman" w:hAnsi="Times New Roman" w:eastAsia="宋体"/>
          <w:highlight w:val="none"/>
          <w:u w:val="single"/>
        </w:rPr>
        <w:t xml:space="preserve"> </w:t>
      </w:r>
      <w:r>
        <w:rPr>
          <w:rFonts w:ascii="Times New Roman" w:hAnsi="Times New Roman" w:eastAsia="宋体"/>
          <w:highlight w:val="none"/>
          <w:u w:val="single"/>
        </w:rPr>
        <w:tab/>
      </w:r>
    </w:p>
    <w:p w14:paraId="34CAA0C5">
      <w:pPr>
        <w:pStyle w:val="49"/>
        <w:tabs>
          <w:tab w:val="left" w:pos="3132"/>
        </w:tabs>
        <w:spacing w:before="173"/>
        <w:ind w:left="214" w:firstLine="420"/>
        <w:rPr>
          <w:rFonts w:ascii="Times New Roman" w:hAnsi="Times New Roman" w:eastAsia="宋体"/>
          <w:highlight w:val="none"/>
        </w:rPr>
      </w:pPr>
      <w:r>
        <w:rPr>
          <w:rFonts w:ascii="Times New Roman" w:hAnsi="Times New Roman" w:eastAsia="宋体"/>
          <w:highlight w:val="none"/>
        </w:rPr>
        <w:t>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w:t>
      </w:r>
      <w:r>
        <w:rPr>
          <w:rFonts w:hint="eastAsia" w:ascii="Times New Roman" w:hAnsi="Times New Roman" w:eastAsia="宋体"/>
          <w:highlight w:val="none"/>
        </w:rPr>
        <w:t>投标人</w:t>
      </w:r>
      <w:r>
        <w:rPr>
          <w:rFonts w:ascii="Times New Roman" w:hAnsi="Times New Roman" w:eastAsia="宋体"/>
          <w:spacing w:val="-3"/>
          <w:highlight w:val="none"/>
        </w:rPr>
        <w:t>名</w:t>
      </w:r>
      <w:r>
        <w:rPr>
          <w:rFonts w:ascii="Times New Roman" w:hAnsi="Times New Roman" w:eastAsia="宋体"/>
          <w:highlight w:val="none"/>
        </w:rPr>
        <w:t>称</w:t>
      </w:r>
      <w:r>
        <w:rPr>
          <w:rFonts w:ascii="Times New Roman" w:hAnsi="Times New Roman" w:eastAsia="宋体"/>
          <w:spacing w:val="-3"/>
          <w:highlight w:val="none"/>
        </w:rPr>
        <w:t>）</w:t>
      </w:r>
      <w:r>
        <w:rPr>
          <w:rFonts w:ascii="Times New Roman" w:hAnsi="Times New Roman" w:eastAsia="宋体"/>
          <w:highlight w:val="none"/>
        </w:rPr>
        <w:t>的</w:t>
      </w:r>
      <w:r>
        <w:rPr>
          <w:rFonts w:ascii="Times New Roman" w:hAnsi="Times New Roman" w:eastAsia="宋体"/>
          <w:spacing w:val="-3"/>
          <w:highlight w:val="none"/>
        </w:rPr>
        <w:t>法定</w:t>
      </w:r>
      <w:r>
        <w:rPr>
          <w:rFonts w:ascii="Times New Roman" w:hAnsi="Times New Roman" w:eastAsia="宋体"/>
          <w:highlight w:val="none"/>
        </w:rPr>
        <w:t>代表</w:t>
      </w:r>
      <w:r>
        <w:rPr>
          <w:rFonts w:ascii="Times New Roman" w:hAnsi="Times New Roman" w:eastAsia="宋体"/>
          <w:spacing w:val="-3"/>
          <w:highlight w:val="none"/>
        </w:rPr>
        <w:t>人</w:t>
      </w:r>
      <w:r>
        <w:rPr>
          <w:rFonts w:ascii="Times New Roman" w:hAnsi="Times New Roman" w:eastAsia="宋体"/>
          <w:highlight w:val="none"/>
        </w:rPr>
        <w:t>（</w:t>
      </w:r>
      <w:r>
        <w:rPr>
          <w:rFonts w:ascii="Times New Roman" w:hAnsi="Times New Roman" w:eastAsia="宋体"/>
          <w:spacing w:val="-3"/>
          <w:highlight w:val="none"/>
        </w:rPr>
        <w:t>单</w:t>
      </w:r>
      <w:r>
        <w:rPr>
          <w:rFonts w:ascii="Times New Roman" w:hAnsi="Times New Roman" w:eastAsia="宋体"/>
          <w:highlight w:val="none"/>
        </w:rPr>
        <w:t>位</w:t>
      </w:r>
      <w:r>
        <w:rPr>
          <w:rFonts w:ascii="Times New Roman" w:hAnsi="Times New Roman" w:eastAsia="宋体"/>
          <w:spacing w:val="-3"/>
          <w:highlight w:val="none"/>
        </w:rPr>
        <w:t>负</w:t>
      </w:r>
      <w:r>
        <w:rPr>
          <w:rFonts w:ascii="Times New Roman" w:hAnsi="Times New Roman" w:eastAsia="宋体"/>
          <w:highlight w:val="none"/>
        </w:rPr>
        <w:t>责</w:t>
      </w:r>
      <w:r>
        <w:rPr>
          <w:rFonts w:hint="eastAsia" w:ascii="Times New Roman" w:hAnsi="Times New Roman" w:eastAsia="宋体"/>
          <w:spacing w:val="-3"/>
          <w:highlight w:val="none"/>
        </w:rPr>
        <w:t>人</w:t>
      </w:r>
      <w:r>
        <w:rPr>
          <w:rFonts w:ascii="Times New Roman" w:hAnsi="Times New Roman" w:eastAsia="宋体"/>
          <w:spacing w:val="-3"/>
          <w:highlight w:val="none"/>
        </w:rPr>
        <w:t>）。</w:t>
      </w:r>
    </w:p>
    <w:p w14:paraId="7F42FAEE">
      <w:pPr>
        <w:pStyle w:val="49"/>
        <w:spacing w:before="170"/>
        <w:ind w:left="214" w:firstLine="420"/>
        <w:rPr>
          <w:rFonts w:ascii="Times New Roman" w:hAnsi="Times New Roman" w:eastAsia="宋体"/>
          <w:highlight w:val="none"/>
        </w:rPr>
      </w:pPr>
      <w:r>
        <w:rPr>
          <w:rFonts w:ascii="Times New Roman" w:hAnsi="Times New Roman" w:eastAsia="宋体"/>
          <w:highlight w:val="none"/>
        </w:rPr>
        <w:t>特此证明。</w:t>
      </w:r>
    </w:p>
    <w:p w14:paraId="01100110">
      <w:pPr>
        <w:pStyle w:val="49"/>
        <w:ind w:left="414" w:hanging="200"/>
        <w:rPr>
          <w:rFonts w:ascii="Times New Roman" w:hAnsi="Times New Roman" w:eastAsia="宋体"/>
          <w:sz w:val="20"/>
          <w:highlight w:val="none"/>
        </w:rPr>
      </w:pPr>
    </w:p>
    <w:p w14:paraId="57840389">
      <w:pPr>
        <w:pStyle w:val="49"/>
        <w:spacing w:before="10"/>
        <w:ind w:left="484" w:hanging="270"/>
        <w:rPr>
          <w:rFonts w:ascii="Times New Roman" w:hAnsi="Times New Roman" w:eastAsia="宋体"/>
          <w:sz w:val="27"/>
          <w:highlight w:val="none"/>
        </w:rPr>
      </w:pPr>
    </w:p>
    <w:p w14:paraId="1A042749">
      <w:pPr>
        <w:spacing w:line="480" w:lineRule="auto"/>
        <w:rPr>
          <w:rFonts w:ascii="Times New Roman" w:hAnsi="Times New Roman" w:eastAsia="宋体" w:cs="Microsoft New Tai Lue"/>
          <w:highlight w:val="none"/>
        </w:rPr>
      </w:pPr>
      <w:r>
        <w:rPr>
          <w:rFonts w:ascii="Times New Roman" w:hAnsi="Times New Roman" w:eastAsia="宋体"/>
          <w:highlight w:val="none"/>
        </w:rPr>
        <w:t>附：法定代表人（单位负责人）</w:t>
      </w:r>
      <w:r>
        <w:rPr>
          <w:rFonts w:hint="eastAsia" w:ascii="Times New Roman" w:hAnsi="Times New Roman" w:eastAsia="宋体"/>
          <w:highlight w:val="none"/>
        </w:rPr>
        <w:t>有效期内的身份证复印件</w:t>
      </w:r>
      <w:r>
        <w:rPr>
          <w:rFonts w:ascii="Times New Roman" w:hAnsi="Times New Roman" w:eastAsia="宋体" w:cs="Microsoft New Tai Lue"/>
          <w:highlight w:val="none"/>
        </w:rPr>
        <w:t>（正反面）</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8"/>
        <w:gridCol w:w="284"/>
        <w:gridCol w:w="4677"/>
      </w:tblGrid>
      <w:tr w14:paraId="05455B41">
        <w:trPr>
          <w:trHeight w:val="2968" w:hRule="atLeast"/>
          <w:jc w:val="center"/>
        </w:trPr>
        <w:tc>
          <w:tcPr>
            <w:tcW w:w="4678" w:type="dxa"/>
            <w:noWrap w:val="0"/>
            <w:vAlign w:val="center"/>
          </w:tcPr>
          <w:p w14:paraId="7EFB4983">
            <w:pPr>
              <w:pStyle w:val="49"/>
              <w:widowControl w:val="0"/>
              <w:spacing w:after="120" w:line="300" w:lineRule="exact"/>
              <w:ind w:left="454" w:hanging="240"/>
              <w:jc w:val="center"/>
              <w:rPr>
                <w:rFonts w:ascii="Times New Roman" w:hAnsi="Times New Roman" w:eastAsia="宋体" w:cs="Times New Roman"/>
                <w:i/>
                <w:sz w:val="20"/>
                <w:szCs w:val="24"/>
                <w:highlight w:val="none"/>
                <w:lang w:val="en-US" w:eastAsia="zh-CN" w:bidi="ar-SA"/>
              </w:rPr>
            </w:pPr>
            <w:r>
              <w:rPr>
                <w:rFonts w:ascii="Times New Roman" w:hAnsi="Times New Roman" w:eastAsia="宋体" w:cs="Times New Roman"/>
                <w:i/>
                <w:sz w:val="24"/>
                <w:szCs w:val="24"/>
                <w:highlight w:val="none"/>
                <w:lang w:val="en-US" w:eastAsia="zh-CN" w:bidi="ar-SA"/>
              </w:rPr>
              <w:t>身份证正面</w:t>
            </w:r>
          </w:p>
        </w:tc>
        <w:tc>
          <w:tcPr>
            <w:tcW w:w="284" w:type="dxa"/>
            <w:noWrap w:val="0"/>
            <w:vAlign w:val="top"/>
          </w:tcPr>
          <w:p w14:paraId="6DC67AFA">
            <w:pPr>
              <w:widowControl/>
              <w:spacing w:line="300" w:lineRule="exact"/>
              <w:ind w:left="414" w:hanging="200"/>
              <w:jc w:val="left"/>
              <w:rPr>
                <w:rFonts w:ascii="Times New Roman" w:hAnsi="Times New Roman" w:eastAsia="宋体" w:cs="Times New Roman"/>
                <w:sz w:val="20"/>
                <w:szCs w:val="24"/>
                <w:highlight w:val="none"/>
                <w:lang w:val="en-US" w:eastAsia="zh-CN" w:bidi="ar-SA"/>
              </w:rPr>
            </w:pPr>
          </w:p>
        </w:tc>
        <w:tc>
          <w:tcPr>
            <w:tcW w:w="4677" w:type="dxa"/>
            <w:noWrap w:val="0"/>
            <w:vAlign w:val="center"/>
          </w:tcPr>
          <w:p w14:paraId="6F06F4B3">
            <w:pPr>
              <w:widowControl/>
              <w:spacing w:line="300" w:lineRule="exact"/>
              <w:ind w:left="454" w:hanging="240"/>
              <w:jc w:val="center"/>
              <w:rPr>
                <w:rFonts w:ascii="Times New Roman" w:hAnsi="Times New Roman" w:eastAsia="宋体" w:cs="Times New Roman"/>
                <w:sz w:val="20"/>
                <w:szCs w:val="24"/>
                <w:highlight w:val="none"/>
                <w:lang w:val="en-US" w:eastAsia="zh-CN" w:bidi="ar-SA"/>
              </w:rPr>
            </w:pPr>
            <w:r>
              <w:rPr>
                <w:rFonts w:ascii="Times New Roman" w:hAnsi="Times New Roman" w:eastAsia="宋体" w:cs="Times New Roman"/>
                <w:i/>
                <w:sz w:val="24"/>
                <w:szCs w:val="24"/>
                <w:highlight w:val="none"/>
                <w:lang w:val="en-US" w:eastAsia="zh-CN" w:bidi="ar-SA"/>
              </w:rPr>
              <w:t>身份证反面</w:t>
            </w:r>
          </w:p>
        </w:tc>
      </w:tr>
    </w:tbl>
    <w:p w14:paraId="7E81A571">
      <w:pPr>
        <w:pStyle w:val="49"/>
        <w:ind w:left="414" w:hanging="200"/>
        <w:rPr>
          <w:rFonts w:ascii="Times New Roman" w:hAnsi="Times New Roman" w:eastAsia="宋体"/>
          <w:sz w:val="20"/>
          <w:highlight w:val="none"/>
        </w:rPr>
      </w:pPr>
    </w:p>
    <w:p w14:paraId="306E3E62">
      <w:pPr>
        <w:pStyle w:val="49"/>
        <w:ind w:left="414" w:hanging="200"/>
        <w:rPr>
          <w:rFonts w:ascii="Times New Roman" w:hAnsi="Times New Roman" w:eastAsia="宋体"/>
          <w:sz w:val="20"/>
          <w:highlight w:val="none"/>
        </w:rPr>
      </w:pPr>
    </w:p>
    <w:p w14:paraId="70DF9050">
      <w:pPr>
        <w:pStyle w:val="49"/>
        <w:ind w:left="414" w:hanging="200"/>
        <w:rPr>
          <w:rFonts w:ascii="Times New Roman" w:hAnsi="Times New Roman" w:eastAsia="宋体"/>
          <w:sz w:val="20"/>
          <w:highlight w:val="none"/>
        </w:rPr>
      </w:pPr>
    </w:p>
    <w:p w14:paraId="63C7E0E3">
      <w:pPr>
        <w:pStyle w:val="49"/>
        <w:ind w:left="414" w:hanging="200"/>
        <w:rPr>
          <w:rFonts w:ascii="Times New Roman" w:hAnsi="Times New Roman" w:eastAsia="宋体"/>
          <w:sz w:val="20"/>
          <w:highlight w:val="none"/>
        </w:rPr>
      </w:pPr>
    </w:p>
    <w:p w14:paraId="4EA37932">
      <w:pPr>
        <w:pStyle w:val="49"/>
        <w:spacing w:before="1"/>
        <w:ind w:left="434" w:hanging="220"/>
        <w:rPr>
          <w:rFonts w:ascii="Times New Roman" w:hAnsi="Times New Roman" w:eastAsia="宋体"/>
          <w:sz w:val="22"/>
          <w:highlight w:val="none"/>
        </w:rPr>
      </w:pPr>
    </w:p>
    <w:p w14:paraId="476798A8">
      <w:pPr>
        <w:pStyle w:val="49"/>
        <w:tabs>
          <w:tab w:val="left" w:pos="7977"/>
        </w:tabs>
        <w:ind w:left="214" w:firstLine="3060"/>
        <w:rPr>
          <w:rFonts w:ascii="Times New Roman" w:hAnsi="Times New Roman" w:eastAsia="宋体"/>
          <w:highlight w:val="none"/>
        </w:rPr>
      </w:pPr>
      <w:r>
        <w:rPr>
          <w:rFonts w:hint="eastAsia" w:ascii="Times New Roman" w:hAnsi="Times New Roman" w:eastAsia="宋体"/>
          <w:spacing w:val="-3"/>
          <w:highlight w:val="none"/>
        </w:rPr>
        <w:t>投标人</w:t>
      </w:r>
      <w:r>
        <w:rPr>
          <w:rFonts w:ascii="Times New Roman" w:hAnsi="Times New Roman" w:eastAsia="宋体"/>
          <w:spacing w:val="-3"/>
          <w:highlight w:val="none"/>
        </w:rPr>
        <w:t>名称（公章）</w:t>
      </w:r>
      <w:r>
        <w:rPr>
          <w:rFonts w:ascii="Times New Roman" w:hAnsi="Times New Roman" w:eastAsia="宋体"/>
          <w:highlight w:val="none"/>
        </w:rPr>
        <w:t>：</w:t>
      </w:r>
      <w:r>
        <w:rPr>
          <w:rFonts w:ascii="Times New Roman" w:hAnsi="Times New Roman" w:eastAsia="宋体"/>
          <w:highlight w:val="none"/>
          <w:u w:val="single"/>
        </w:rPr>
        <w:t xml:space="preserve"> </w:t>
      </w:r>
      <w:r>
        <w:rPr>
          <w:rFonts w:ascii="Times New Roman" w:hAnsi="Times New Roman" w:eastAsia="宋体"/>
          <w:highlight w:val="none"/>
          <w:u w:val="single"/>
        </w:rPr>
        <w:tab/>
      </w:r>
    </w:p>
    <w:p w14:paraId="25F657A6">
      <w:pPr>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日期：______年</w:t>
      </w:r>
      <w:r>
        <w:rPr>
          <w:rFonts w:ascii="Times New Roman" w:hAnsi="Times New Roman" w:eastAsia="宋体"/>
          <w:bCs/>
          <w:highlight w:val="none"/>
          <w:u w:val="single"/>
        </w:rPr>
        <w:t xml:space="preserve">    </w:t>
      </w:r>
      <w:r>
        <w:rPr>
          <w:rFonts w:ascii="Times New Roman" w:hAnsi="Times New Roman" w:eastAsia="宋体"/>
          <w:bCs/>
          <w:highlight w:val="none"/>
        </w:rPr>
        <w:t>月</w:t>
      </w:r>
      <w:r>
        <w:rPr>
          <w:rFonts w:ascii="Times New Roman" w:hAnsi="Times New Roman" w:eastAsia="宋体"/>
          <w:bCs/>
          <w:highlight w:val="none"/>
          <w:u w:val="single"/>
        </w:rPr>
        <w:t xml:space="preserve">    </w:t>
      </w:r>
      <w:r>
        <w:rPr>
          <w:rFonts w:ascii="Times New Roman" w:hAnsi="Times New Roman" w:eastAsia="宋体"/>
          <w:bCs/>
          <w:highlight w:val="none"/>
        </w:rPr>
        <w:t>日</w:t>
      </w:r>
    </w:p>
    <w:p w14:paraId="0B7CFC61">
      <w:pPr>
        <w:pStyle w:val="77"/>
        <w:ind w:left="455" w:hanging="241"/>
        <w:outlineLvl w:val="2"/>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lang w:eastAsia="zh-CN"/>
        </w:rPr>
        <w:br w:type="page" w:clear="all"/>
      </w:r>
      <w:bookmarkStart w:id="322" w:name="_Toc104560899"/>
      <w:bookmarkStart w:id="323" w:name="_Toc107246277"/>
      <w:bookmarkStart w:id="324" w:name="_Toc1111136569"/>
      <w:bookmarkStart w:id="325" w:name="_Toc103848584"/>
      <w:r>
        <w:rPr>
          <w:rFonts w:hint="eastAsia" w:ascii="Times New Roman" w:hAnsi="Times New Roman" w:eastAsia="宋体" w:cs="Microsoft New Tai Lue"/>
          <w:bCs w:val="0"/>
          <w:sz w:val="24"/>
          <w:szCs w:val="24"/>
          <w:highlight w:val="none"/>
          <w:lang w:eastAsia="zh-CN"/>
        </w:rPr>
        <w:t>（3）授权委托书</w:t>
      </w:r>
      <w:bookmarkEnd w:id="322"/>
      <w:bookmarkEnd w:id="323"/>
      <w:bookmarkEnd w:id="324"/>
      <w:bookmarkEnd w:id="325"/>
    </w:p>
    <w:p w14:paraId="38F23734">
      <w:pPr>
        <w:ind w:left="455" w:hanging="241"/>
        <w:jc w:val="center"/>
        <w:rPr>
          <w:rFonts w:ascii="Times New Roman" w:hAnsi="Times New Roman" w:eastAsia="宋体"/>
          <w:b/>
          <w:bCs/>
          <w:sz w:val="24"/>
          <w:highlight w:val="none"/>
        </w:rPr>
      </w:pPr>
    </w:p>
    <w:p w14:paraId="1EF516BD">
      <w:pPr>
        <w:spacing w:line="300" w:lineRule="exact"/>
        <w:ind w:left="214" w:firstLine="420"/>
        <w:rPr>
          <w:rFonts w:ascii="Times New Roman" w:hAnsi="Times New Roman" w:eastAsia="宋体"/>
          <w:szCs w:val="21"/>
          <w:highlight w:val="none"/>
        </w:rPr>
      </w:pPr>
      <w:r>
        <w:rPr>
          <w:rFonts w:ascii="Times New Roman" w:hAnsi="Times New Roman" w:eastAsia="宋体"/>
          <w:szCs w:val="21"/>
          <w:highlight w:val="none"/>
        </w:rPr>
        <w:t>本授权书声明：注册于</w:t>
      </w:r>
      <w:r>
        <w:rPr>
          <w:rFonts w:ascii="Times New Roman" w:hAnsi="Times New Roman" w:eastAsia="宋体"/>
          <w:szCs w:val="21"/>
          <w:highlight w:val="none"/>
          <w:u w:val="single"/>
        </w:rPr>
        <w:t>（</w:t>
      </w:r>
      <w:r>
        <w:rPr>
          <w:rFonts w:hint="eastAsia" w:ascii="Times New Roman" w:hAnsi="Times New Roman" w:eastAsia="宋体"/>
          <w:szCs w:val="21"/>
          <w:highlight w:val="none"/>
          <w:u w:val="single"/>
        </w:rPr>
        <w:t>供应商地址</w:t>
      </w:r>
      <w:r>
        <w:rPr>
          <w:rFonts w:ascii="Times New Roman" w:hAnsi="Times New Roman" w:eastAsia="宋体"/>
          <w:szCs w:val="21"/>
          <w:highlight w:val="none"/>
          <w:u w:val="single"/>
        </w:rPr>
        <w:t>）</w:t>
      </w:r>
      <w:r>
        <w:rPr>
          <w:rFonts w:ascii="Times New Roman" w:hAnsi="Times New Roman" w:eastAsia="宋体"/>
          <w:szCs w:val="21"/>
          <w:highlight w:val="none"/>
        </w:rPr>
        <w:t>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代表本</w:t>
      </w:r>
      <w:r>
        <w:rPr>
          <w:rFonts w:hint="eastAsia" w:ascii="Times New Roman" w:hAnsi="Times New Roman" w:eastAsia="宋体"/>
          <w:szCs w:val="21"/>
          <w:highlight w:val="none"/>
        </w:rPr>
        <w:t>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的在授权代表（签字）处签字的</w:t>
      </w:r>
      <w:r>
        <w:rPr>
          <w:rFonts w:ascii="Times New Roman" w:hAnsi="Times New Roman" w:eastAsia="宋体"/>
          <w:szCs w:val="21"/>
          <w:highlight w:val="none"/>
          <w:u w:val="single"/>
        </w:rPr>
        <w:t>（授权代表的姓名、职务）（身份证号码：             ）</w:t>
      </w:r>
      <w:r>
        <w:rPr>
          <w:rFonts w:ascii="Times New Roman" w:hAnsi="Times New Roman" w:eastAsia="宋体"/>
          <w:szCs w:val="21"/>
          <w:highlight w:val="none"/>
        </w:rPr>
        <w:t>为本</w:t>
      </w:r>
      <w:r>
        <w:rPr>
          <w:rFonts w:hint="eastAsia" w:ascii="Times New Roman" w:hAnsi="Times New Roman" w:eastAsia="宋体"/>
          <w:szCs w:val="21"/>
          <w:highlight w:val="none"/>
        </w:rPr>
        <w:t>单位</w:t>
      </w:r>
      <w:r>
        <w:rPr>
          <w:rFonts w:ascii="Times New Roman" w:hAnsi="Times New Roman" w:eastAsia="宋体"/>
          <w:szCs w:val="21"/>
          <w:highlight w:val="none"/>
        </w:rPr>
        <w:t>的合法代理人，就</w:t>
      </w:r>
      <w:r>
        <w:rPr>
          <w:rFonts w:hint="eastAsia"/>
          <w:szCs w:val="21"/>
          <w:highlight w:val="none"/>
          <w:u w:val="single"/>
          <w:lang w:eastAsia="zh-CN"/>
        </w:rPr>
        <w:t>2026年高管中心机关三楼会议系统改造项目</w:t>
      </w:r>
      <w:r>
        <w:rPr>
          <w:rFonts w:ascii="Times New Roman" w:hAnsi="Times New Roman" w:eastAsia="宋体"/>
          <w:szCs w:val="21"/>
          <w:highlight w:val="none"/>
        </w:rPr>
        <w:t>，以本</w:t>
      </w:r>
      <w:r>
        <w:rPr>
          <w:rFonts w:hint="eastAsia" w:ascii="Times New Roman" w:hAnsi="Times New Roman" w:eastAsia="宋体"/>
          <w:szCs w:val="21"/>
          <w:highlight w:val="none"/>
        </w:rPr>
        <w:t>单位</w:t>
      </w:r>
      <w:r>
        <w:rPr>
          <w:rFonts w:ascii="Times New Roman" w:hAnsi="Times New Roman" w:eastAsia="宋体"/>
          <w:szCs w:val="21"/>
          <w:highlight w:val="none"/>
        </w:rPr>
        <w:t>名义处理一切与之相关的事务，其后果由我</w:t>
      </w:r>
      <w:r>
        <w:rPr>
          <w:rFonts w:hint="eastAsia" w:ascii="Times New Roman" w:hAnsi="Times New Roman" w:eastAsia="宋体"/>
          <w:szCs w:val="21"/>
          <w:highlight w:val="none"/>
        </w:rPr>
        <w:t>单位</w:t>
      </w:r>
      <w:r>
        <w:rPr>
          <w:rFonts w:ascii="Times New Roman" w:hAnsi="Times New Roman" w:eastAsia="宋体"/>
          <w:szCs w:val="21"/>
          <w:highlight w:val="none"/>
        </w:rPr>
        <w:t>承担。</w:t>
      </w:r>
    </w:p>
    <w:p w14:paraId="503CA164">
      <w:pPr>
        <w:spacing w:line="300" w:lineRule="exact"/>
        <w:ind w:left="214" w:firstLine="420"/>
        <w:rPr>
          <w:rFonts w:ascii="Times New Roman" w:hAnsi="Times New Roman" w:eastAsia="宋体" w:cs="Microsoft New Tai Lue"/>
          <w:highlight w:val="none"/>
        </w:rPr>
      </w:pPr>
      <w:r>
        <w:rPr>
          <w:rFonts w:ascii="Times New Roman" w:hAnsi="Times New Roman" w:eastAsia="宋体" w:cs="Microsoft New Tai Lue"/>
          <w:highlight w:val="none"/>
        </w:rPr>
        <w:t>代理人无转委托权，特此委托。</w:t>
      </w:r>
    </w:p>
    <w:p w14:paraId="66615C38">
      <w:pPr>
        <w:spacing w:line="300" w:lineRule="exact"/>
        <w:ind w:left="214" w:firstLine="420"/>
        <w:rPr>
          <w:rFonts w:ascii="Times New Roman" w:hAnsi="Times New Roman" w:eastAsia="宋体"/>
          <w:szCs w:val="21"/>
          <w:highlight w:val="none"/>
        </w:rPr>
      </w:pPr>
      <w:r>
        <w:rPr>
          <w:rFonts w:hint="eastAsia" w:ascii="Times New Roman" w:hAnsi="Times New Roman" w:eastAsia="宋体"/>
          <w:szCs w:val="21"/>
          <w:highlight w:val="none"/>
        </w:rPr>
        <w:t>委托期限：自本授权委托书签署之日起至投标有效期届满之日止。</w:t>
      </w:r>
    </w:p>
    <w:p w14:paraId="40A598DE">
      <w:pPr>
        <w:spacing w:line="300" w:lineRule="exact"/>
        <w:ind w:left="214" w:firstLine="420"/>
        <w:rPr>
          <w:rFonts w:ascii="Times New Roman" w:hAnsi="Times New Roman" w:eastAsia="宋体"/>
          <w:szCs w:val="21"/>
          <w:highlight w:val="none"/>
        </w:rPr>
      </w:pPr>
      <w:r>
        <w:rPr>
          <w:rFonts w:hint="eastAsia" w:ascii="Times New Roman" w:hAnsi="Times New Roman" w:eastAsia="宋体"/>
          <w:szCs w:val="21"/>
          <w:highlight w:val="none"/>
        </w:rPr>
        <w:t>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p>
    <w:p w14:paraId="0B303D8C">
      <w:pPr>
        <w:spacing w:line="300" w:lineRule="exact"/>
        <w:ind w:left="214" w:firstLine="420"/>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p>
    <w:p w14:paraId="19F24752">
      <w:pPr>
        <w:pStyle w:val="73"/>
        <w:spacing w:after="0" w:line="300" w:lineRule="exact"/>
        <w:ind w:left="214" w:firstLine="420"/>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p>
    <w:p w14:paraId="6CC9F398">
      <w:pPr>
        <w:spacing w:line="300" w:lineRule="exact"/>
        <w:ind w:left="214" w:firstLine="420"/>
        <w:rPr>
          <w:rFonts w:ascii="Times New Roman" w:hAnsi="Times New Roman" w:eastAsia="宋体"/>
          <w:szCs w:val="21"/>
          <w:highlight w:val="none"/>
          <w:u w:val="single"/>
        </w:rPr>
      </w:pPr>
      <w:r>
        <w:rPr>
          <w:rFonts w:ascii="Times New Roman" w:hAnsi="Times New Roman" w:eastAsia="宋体"/>
          <w:szCs w:val="21"/>
          <w:highlight w:val="none"/>
        </w:rPr>
        <w:t>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p>
    <w:p w14:paraId="5FA11DEB">
      <w:pPr>
        <w:pStyle w:val="73"/>
        <w:spacing w:after="0" w:line="300" w:lineRule="exact"/>
        <w:ind w:left="214" w:firstLine="420"/>
        <w:rPr>
          <w:rFonts w:ascii="Times New Roman" w:hAnsi="Times New Roman" w:eastAsia="宋体"/>
          <w:highlight w:val="none"/>
        </w:rPr>
      </w:pPr>
      <w:r>
        <w:rPr>
          <w:rFonts w:ascii="Times New Roman" w:hAnsi="Times New Roman" w:eastAsia="宋体"/>
          <w:szCs w:val="21"/>
          <w:highlight w:val="none"/>
        </w:rPr>
        <w:t>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p>
    <w:p w14:paraId="25CF0721">
      <w:pPr>
        <w:pStyle w:val="73"/>
        <w:spacing w:after="0" w:line="300" w:lineRule="exact"/>
        <w:ind w:left="214" w:firstLine="420"/>
        <w:rPr>
          <w:rFonts w:ascii="Times New Roman" w:hAnsi="Times New Roman" w:eastAsia="宋体"/>
          <w:highlight w:val="none"/>
        </w:rPr>
      </w:pPr>
      <w:r>
        <w:rPr>
          <w:rFonts w:hint="eastAsia" w:ascii="Times New Roman" w:hAnsi="Times New Roman" w:eastAsia="宋体"/>
          <w:highlight w:val="none"/>
        </w:rPr>
        <w:t xml:space="preserve"> </w:t>
      </w:r>
    </w:p>
    <w:p w14:paraId="46EB8CD6">
      <w:pPr>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附：法定代表人（单位负责人）有效期内的</w:t>
      </w:r>
      <w:r>
        <w:rPr>
          <w:rFonts w:ascii="Times New Roman" w:hAnsi="Times New Roman" w:eastAsia="宋体" w:cs="Microsoft New Tai Lue"/>
          <w:highlight w:val="none"/>
        </w:rPr>
        <w:t>身份证复印件（正反面）</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8"/>
        <w:gridCol w:w="284"/>
        <w:gridCol w:w="4677"/>
      </w:tblGrid>
      <w:tr w14:paraId="5815362A">
        <w:trPr>
          <w:trHeight w:val="2968" w:hRule="atLeast"/>
          <w:jc w:val="center"/>
        </w:trPr>
        <w:tc>
          <w:tcPr>
            <w:tcW w:w="4678" w:type="dxa"/>
            <w:noWrap w:val="0"/>
            <w:vAlign w:val="center"/>
          </w:tcPr>
          <w:p w14:paraId="27A3F762">
            <w:pPr>
              <w:pStyle w:val="49"/>
              <w:widowControl w:val="0"/>
              <w:spacing w:after="120" w:line="300" w:lineRule="exact"/>
              <w:ind w:left="454" w:hanging="240"/>
              <w:jc w:val="center"/>
              <w:rPr>
                <w:rFonts w:ascii="Times New Roman" w:hAnsi="Times New Roman" w:eastAsia="宋体" w:cs="Times New Roman"/>
                <w:i/>
                <w:sz w:val="20"/>
                <w:szCs w:val="24"/>
                <w:highlight w:val="none"/>
                <w:lang w:val="en-US" w:eastAsia="zh-CN" w:bidi="ar-SA"/>
              </w:rPr>
            </w:pPr>
            <w:r>
              <w:rPr>
                <w:rFonts w:ascii="Times New Roman" w:hAnsi="Times New Roman" w:eastAsia="宋体" w:cs="Times New Roman"/>
                <w:i/>
                <w:sz w:val="24"/>
                <w:szCs w:val="24"/>
                <w:highlight w:val="none"/>
                <w:lang w:val="en-US" w:eastAsia="zh-CN" w:bidi="ar-SA"/>
              </w:rPr>
              <w:t>身份证正面</w:t>
            </w:r>
          </w:p>
        </w:tc>
        <w:tc>
          <w:tcPr>
            <w:tcW w:w="284" w:type="dxa"/>
            <w:noWrap w:val="0"/>
            <w:vAlign w:val="top"/>
          </w:tcPr>
          <w:p w14:paraId="00B1B4C4">
            <w:pPr>
              <w:widowControl/>
              <w:spacing w:line="300" w:lineRule="exact"/>
              <w:ind w:left="414" w:hanging="200"/>
              <w:jc w:val="left"/>
              <w:rPr>
                <w:rFonts w:ascii="Times New Roman" w:hAnsi="Times New Roman" w:eastAsia="宋体" w:cs="Times New Roman"/>
                <w:sz w:val="20"/>
                <w:szCs w:val="24"/>
                <w:highlight w:val="none"/>
                <w:lang w:val="en-US" w:eastAsia="zh-CN" w:bidi="ar-SA"/>
              </w:rPr>
            </w:pPr>
          </w:p>
        </w:tc>
        <w:tc>
          <w:tcPr>
            <w:tcW w:w="4677" w:type="dxa"/>
            <w:noWrap w:val="0"/>
            <w:vAlign w:val="center"/>
          </w:tcPr>
          <w:p w14:paraId="14113050">
            <w:pPr>
              <w:widowControl/>
              <w:spacing w:line="300" w:lineRule="exact"/>
              <w:ind w:left="454" w:hanging="240"/>
              <w:jc w:val="center"/>
              <w:rPr>
                <w:rFonts w:ascii="Times New Roman" w:hAnsi="Times New Roman" w:eastAsia="宋体" w:cs="Times New Roman"/>
                <w:sz w:val="20"/>
                <w:szCs w:val="24"/>
                <w:highlight w:val="none"/>
                <w:lang w:val="en-US" w:eastAsia="zh-CN" w:bidi="ar-SA"/>
              </w:rPr>
            </w:pPr>
            <w:r>
              <w:rPr>
                <w:rFonts w:ascii="Times New Roman" w:hAnsi="Times New Roman" w:eastAsia="宋体" w:cs="Times New Roman"/>
                <w:i/>
                <w:sz w:val="24"/>
                <w:szCs w:val="24"/>
                <w:highlight w:val="none"/>
                <w:lang w:val="en-US" w:eastAsia="zh-CN" w:bidi="ar-SA"/>
              </w:rPr>
              <w:t>身份证反面</w:t>
            </w:r>
          </w:p>
        </w:tc>
      </w:tr>
    </w:tbl>
    <w:p w14:paraId="6AABCADE">
      <w:pPr>
        <w:spacing w:line="480" w:lineRule="auto"/>
        <w:rPr>
          <w:rFonts w:ascii="Times New Roman" w:hAnsi="Times New Roman" w:eastAsia="宋体" w:cs="Microsoft New Tai Lue"/>
          <w:highlight w:val="none"/>
        </w:rPr>
      </w:pPr>
      <w:r>
        <w:rPr>
          <w:rFonts w:ascii="Times New Roman" w:hAnsi="Times New Roman" w:eastAsia="宋体"/>
          <w:szCs w:val="21"/>
          <w:highlight w:val="none"/>
        </w:rPr>
        <w:t>授权代表</w:t>
      </w:r>
      <w:r>
        <w:rPr>
          <w:rFonts w:hint="eastAsia" w:ascii="Times New Roman" w:hAnsi="Times New Roman" w:eastAsia="宋体"/>
          <w:szCs w:val="21"/>
          <w:highlight w:val="none"/>
        </w:rPr>
        <w:t>有效期内的身份证复印件</w:t>
      </w:r>
      <w:r>
        <w:rPr>
          <w:rFonts w:ascii="Times New Roman" w:hAnsi="Times New Roman" w:eastAsia="宋体" w:cs="Microsoft New Tai Lue"/>
          <w:highlight w:val="none"/>
        </w:rPr>
        <w:t>（正反面）</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8"/>
        <w:gridCol w:w="278"/>
        <w:gridCol w:w="4695"/>
      </w:tblGrid>
      <w:tr w14:paraId="221FBA11">
        <w:trPr>
          <w:trHeight w:val="2749" w:hRule="atLeast"/>
          <w:jc w:val="center"/>
        </w:trPr>
        <w:tc>
          <w:tcPr>
            <w:tcW w:w="4678" w:type="dxa"/>
            <w:noWrap w:val="0"/>
            <w:vAlign w:val="center"/>
          </w:tcPr>
          <w:p w14:paraId="463168BC">
            <w:pPr>
              <w:pStyle w:val="49"/>
              <w:widowControl w:val="0"/>
              <w:spacing w:after="120" w:line="300" w:lineRule="exact"/>
              <w:ind w:left="454" w:hanging="240"/>
              <w:jc w:val="center"/>
              <w:rPr>
                <w:rFonts w:ascii="Times New Roman" w:hAnsi="Times New Roman" w:eastAsia="宋体" w:cs="Times New Roman"/>
                <w:i/>
                <w:sz w:val="20"/>
                <w:szCs w:val="24"/>
                <w:highlight w:val="none"/>
                <w:lang w:val="en-US" w:eastAsia="zh-CN" w:bidi="ar-SA"/>
              </w:rPr>
            </w:pPr>
            <w:r>
              <w:rPr>
                <w:rFonts w:ascii="Times New Roman" w:hAnsi="Times New Roman" w:eastAsia="宋体" w:cs="Times New Roman"/>
                <w:i/>
                <w:sz w:val="24"/>
                <w:szCs w:val="24"/>
                <w:highlight w:val="none"/>
                <w:lang w:val="en-US" w:eastAsia="zh-CN" w:bidi="ar-SA"/>
              </w:rPr>
              <w:t>身份证正面</w:t>
            </w:r>
          </w:p>
        </w:tc>
        <w:tc>
          <w:tcPr>
            <w:tcW w:w="278" w:type="dxa"/>
            <w:noWrap w:val="0"/>
            <w:vAlign w:val="top"/>
          </w:tcPr>
          <w:p w14:paraId="2615F78B">
            <w:pPr>
              <w:widowControl/>
              <w:spacing w:line="300" w:lineRule="exact"/>
              <w:ind w:left="414" w:hanging="200"/>
              <w:jc w:val="left"/>
              <w:rPr>
                <w:rFonts w:ascii="Times New Roman" w:hAnsi="Times New Roman" w:eastAsia="宋体" w:cs="Times New Roman"/>
                <w:sz w:val="20"/>
                <w:szCs w:val="24"/>
                <w:highlight w:val="none"/>
                <w:lang w:val="en-US" w:eastAsia="zh-CN" w:bidi="ar-SA"/>
              </w:rPr>
            </w:pPr>
          </w:p>
        </w:tc>
        <w:tc>
          <w:tcPr>
            <w:tcW w:w="4695" w:type="dxa"/>
            <w:noWrap w:val="0"/>
            <w:vAlign w:val="center"/>
          </w:tcPr>
          <w:p w14:paraId="66795049">
            <w:pPr>
              <w:widowControl/>
              <w:spacing w:line="300" w:lineRule="exact"/>
              <w:ind w:left="454" w:hanging="240"/>
              <w:jc w:val="center"/>
              <w:rPr>
                <w:rFonts w:ascii="Times New Roman" w:hAnsi="Times New Roman" w:eastAsia="宋体" w:cs="Times New Roman"/>
                <w:sz w:val="20"/>
                <w:szCs w:val="24"/>
                <w:highlight w:val="none"/>
                <w:lang w:val="en-US" w:eastAsia="zh-CN" w:bidi="ar-SA"/>
              </w:rPr>
            </w:pPr>
            <w:r>
              <w:rPr>
                <w:rFonts w:ascii="Times New Roman" w:hAnsi="Times New Roman" w:eastAsia="宋体" w:cs="Times New Roman"/>
                <w:i/>
                <w:sz w:val="24"/>
                <w:szCs w:val="24"/>
                <w:highlight w:val="none"/>
                <w:lang w:val="en-US" w:eastAsia="zh-CN" w:bidi="ar-SA"/>
              </w:rPr>
              <w:t>身份证反面</w:t>
            </w:r>
          </w:p>
        </w:tc>
      </w:tr>
    </w:tbl>
    <w:p w14:paraId="1FC8D01F">
      <w:pPr>
        <w:pStyle w:val="73"/>
        <w:spacing w:line="300" w:lineRule="exact"/>
        <w:ind w:left="0" w:firstLine="0"/>
        <w:rPr>
          <w:rFonts w:ascii="Times New Roman" w:hAnsi="Times New Roman" w:eastAsia="宋体"/>
          <w:b/>
          <w:bCs/>
          <w:szCs w:val="21"/>
          <w:highlight w:val="none"/>
        </w:rPr>
      </w:pPr>
      <w:r>
        <w:rPr>
          <w:rFonts w:ascii="Times New Roman" w:hAnsi="Times New Roman" w:eastAsia="宋体"/>
          <w:b/>
          <w:bCs/>
          <w:szCs w:val="21"/>
          <w:highlight w:val="none"/>
        </w:rPr>
        <w:t>注：</w:t>
      </w:r>
      <w:r>
        <w:rPr>
          <w:rFonts w:hint="eastAsia" w:ascii="Times New Roman" w:hAnsi="Times New Roman" w:eastAsia="宋体"/>
          <w:b/>
          <w:bCs/>
          <w:szCs w:val="21"/>
          <w:highlight w:val="none"/>
        </w:rPr>
        <w:t>若投标文件中签字之处均为法定代表人（单位负责人）本人签署，则可不提供本《授权委托书》，但须提供《法定代表人（单位负责人）身份证明》。</w:t>
      </w:r>
      <w:bookmarkStart w:id="326" w:name="_Toc107246279"/>
      <w:bookmarkStart w:id="327" w:name="_Toc104560895"/>
    </w:p>
    <w:p w14:paraId="29430F50">
      <w:pPr>
        <w:pStyle w:val="52"/>
        <w:ind w:left="241" w:hanging="241"/>
        <w:rPr>
          <w:rFonts w:ascii="Times New Roman" w:hAnsi="Times New Roman" w:eastAsia="宋体"/>
          <w:highlight w:val="none"/>
        </w:rPr>
      </w:pPr>
    </w:p>
    <w:p w14:paraId="6BB7B0BF">
      <w:pPr>
        <w:pStyle w:val="77"/>
        <w:keepNext w:val="0"/>
        <w:keepLines w:val="0"/>
        <w:pageBreakBefore w:val="0"/>
        <w:widowControl w:val="0"/>
        <w:spacing w:before="0" w:after="0" w:line="40" w:lineRule="exact"/>
        <w:ind w:left="238" w:hanging="238"/>
        <w:outlineLvl w:val="9"/>
        <w:rPr>
          <w:rFonts w:hint="eastAsia" w:ascii="Times New Roman" w:hAnsi="Times New Roman" w:eastAsia="宋体" w:cs="Microsoft New Tai Lue"/>
          <w:b/>
          <w:bCs w:val="0"/>
          <w:sz w:val="24"/>
          <w:highlight w:val="none"/>
        </w:rPr>
      </w:pPr>
    </w:p>
    <w:p w14:paraId="51BA8385">
      <w:pPr>
        <w:pStyle w:val="77"/>
        <w:keepNext w:val="0"/>
        <w:keepLines w:val="0"/>
        <w:pageBreakBefore w:val="0"/>
        <w:widowControl w:val="0"/>
        <w:spacing w:before="313" w:after="157" w:line="240" w:lineRule="auto"/>
        <w:ind w:left="238" w:hanging="238"/>
        <w:outlineLvl w:val="1"/>
        <w:rPr>
          <w:rFonts w:hint="eastAsia" w:ascii="Times New Roman" w:hAnsi="Times New Roman" w:eastAsia="宋体" w:cs="Microsoft New Tai Lue"/>
          <w:b/>
          <w:bCs w:val="0"/>
          <w:sz w:val="24"/>
          <w:highlight w:val="none"/>
        </w:rPr>
      </w:pPr>
      <w:bookmarkStart w:id="328" w:name="_Toc107246282"/>
      <w:r>
        <w:rPr>
          <w:rFonts w:hint="eastAsia" w:ascii="Times New Roman" w:hAnsi="Times New Roman" w:eastAsia="宋体" w:cs="Microsoft New Tai Lue"/>
          <w:b/>
          <w:bCs w:val="0"/>
          <w:sz w:val="24"/>
          <w:highlight w:val="none"/>
        </w:rPr>
        <w:br w:type="page" w:clear="all"/>
      </w:r>
      <w:bookmarkStart w:id="329" w:name="_Toc354520871"/>
      <w:r>
        <w:rPr>
          <w:rFonts w:hint="eastAsia" w:ascii="Times New Roman" w:hAnsi="Times New Roman" w:eastAsia="宋体" w:cs="Microsoft New Tai Lue"/>
          <w:b/>
          <w:bCs w:val="0"/>
          <w:sz w:val="24"/>
          <w:highlight w:val="none"/>
          <w:lang w:val="en-US" w:eastAsia="zh-CN"/>
        </w:rPr>
        <w:t>二、</w:t>
      </w:r>
      <w:r>
        <w:rPr>
          <w:rFonts w:hint="eastAsia" w:ascii="Times New Roman" w:hAnsi="Times New Roman" w:eastAsia="宋体" w:cs="Microsoft New Tai Lue"/>
          <w:b/>
          <w:bCs w:val="0"/>
          <w:sz w:val="24"/>
          <w:highlight w:val="none"/>
        </w:rPr>
        <w:t>投标人具备投标资格的证明文件</w:t>
      </w:r>
      <w:bookmarkEnd w:id="328"/>
      <w:bookmarkEnd w:id="329"/>
    </w:p>
    <w:p w14:paraId="26565780">
      <w:pPr>
        <w:pStyle w:val="77"/>
        <w:ind w:left="455" w:hanging="241"/>
        <w:outlineLvl w:val="2"/>
        <w:rPr>
          <w:rFonts w:ascii="Times New Roman" w:hAnsi="Times New Roman" w:eastAsia="宋体" w:cs="Microsoft New Tai Lue"/>
          <w:bCs w:val="0"/>
          <w:sz w:val="24"/>
          <w:szCs w:val="24"/>
          <w:highlight w:val="none"/>
        </w:rPr>
      </w:pPr>
      <w:bookmarkStart w:id="330" w:name="_Toc104560903"/>
      <w:bookmarkStart w:id="331" w:name="_Toc107246283"/>
      <w:bookmarkStart w:id="332" w:name="_Toc103848588"/>
      <w:bookmarkStart w:id="333" w:name="_Toc1312642119"/>
      <w:r>
        <w:rPr>
          <w:rFonts w:ascii="Times New Roman" w:hAnsi="Times New Roman" w:eastAsia="宋体" w:cs="Microsoft New Tai Lue"/>
          <w:bCs w:val="0"/>
          <w:sz w:val="24"/>
          <w:szCs w:val="24"/>
          <w:highlight w:val="none"/>
        </w:rPr>
        <w:t>（</w:t>
      </w:r>
      <w:r>
        <w:rPr>
          <w:rFonts w:hint="eastAsia" w:ascii="Times New Roman" w:hAnsi="Times New Roman" w:eastAsia="宋体" w:cs="Microsoft New Tai Lue"/>
          <w:bCs w:val="0"/>
          <w:sz w:val="24"/>
          <w:szCs w:val="24"/>
          <w:highlight w:val="none"/>
          <w:lang w:val="en-US" w:eastAsia="zh-CN"/>
        </w:rPr>
        <w:t>1</w:t>
      </w:r>
      <w:r>
        <w:rPr>
          <w:rFonts w:ascii="Times New Roman" w:hAnsi="Times New Roman" w:eastAsia="宋体" w:cs="Microsoft New Tai Lue"/>
          <w:bCs w:val="0"/>
          <w:sz w:val="24"/>
          <w:szCs w:val="24"/>
          <w:highlight w:val="none"/>
        </w:rPr>
        <w:t>）营业执照复印件或自然人的身份证明复印件</w:t>
      </w:r>
      <w:bookmarkEnd w:id="330"/>
      <w:bookmarkEnd w:id="331"/>
      <w:bookmarkEnd w:id="332"/>
      <w:bookmarkEnd w:id="333"/>
    </w:p>
    <w:p w14:paraId="218B24A5">
      <w:pPr>
        <w:spacing w:line="360" w:lineRule="auto"/>
        <w:ind w:left="425" w:hanging="211"/>
        <w:rPr>
          <w:rFonts w:ascii="Times New Roman" w:hAnsi="Times New Roman" w:eastAsia="宋体" w:cs="Microsoft New Tai Lue"/>
          <w:b/>
          <w:bCs/>
          <w:highlight w:val="none"/>
        </w:rPr>
      </w:pPr>
      <w:bookmarkStart w:id="334" w:name="_Hlk33717720"/>
    </w:p>
    <w:p w14:paraId="4E8E50B9">
      <w:pPr>
        <w:spacing w:line="360" w:lineRule="auto"/>
        <w:ind w:left="425" w:hanging="211"/>
        <w:rPr>
          <w:rFonts w:ascii="Times New Roman" w:hAnsi="Times New Roman" w:eastAsia="宋体" w:cs="Microsoft New Tai Lue"/>
          <w:b/>
          <w:bCs/>
          <w:highlight w:val="none"/>
        </w:rPr>
      </w:pPr>
      <w:r>
        <w:rPr>
          <w:rFonts w:ascii="Times New Roman" w:hAnsi="Times New Roman" w:eastAsia="宋体" w:cs="Microsoft New Tai Lue"/>
          <w:b/>
          <w:bCs/>
          <w:highlight w:val="none"/>
        </w:rPr>
        <w:t>注：投标人提供营业执照副本（或具有同等法律效力的证照）复印件。复印件应能清晰显示投标人名称。</w:t>
      </w:r>
      <w:bookmarkEnd w:id="334"/>
    </w:p>
    <w:p w14:paraId="7CDB25B5">
      <w:pPr>
        <w:rPr>
          <w:rFonts w:ascii="Times New Roman" w:hAnsi="Times New Roman" w:eastAsia="宋体" w:cs="Microsoft New Tai Lue"/>
          <w:highlight w:val="none"/>
        </w:rPr>
      </w:pPr>
    </w:p>
    <w:p w14:paraId="6BD0B2B4">
      <w:pPr>
        <w:pStyle w:val="77"/>
        <w:ind w:left="455" w:hanging="241"/>
        <w:outlineLvl w:val="2"/>
        <w:rPr>
          <w:rFonts w:ascii="Times New Roman" w:hAnsi="Times New Roman" w:eastAsia="宋体" w:cs="Microsoft New Tai Lue"/>
          <w:bCs w:val="0"/>
          <w:sz w:val="24"/>
          <w:szCs w:val="24"/>
          <w:highlight w:val="none"/>
        </w:rPr>
      </w:pPr>
      <w:bookmarkStart w:id="335" w:name="_Toc102117320"/>
      <w:bookmarkStart w:id="336" w:name="_Toc103848589"/>
      <w:r>
        <w:rPr>
          <w:rFonts w:ascii="Times New Roman" w:hAnsi="Times New Roman" w:eastAsia="宋体" w:cs="Microsoft New Tai Lue"/>
          <w:bCs w:val="0"/>
          <w:sz w:val="24"/>
          <w:szCs w:val="24"/>
          <w:highlight w:val="none"/>
        </w:rPr>
        <w:br w:type="page" w:clear="all"/>
      </w:r>
      <w:bookmarkStart w:id="337" w:name="_Toc107246284"/>
      <w:bookmarkStart w:id="338" w:name="_Toc476588402"/>
      <w:bookmarkStart w:id="339" w:name="_Toc104560904"/>
      <w:r>
        <w:rPr>
          <w:rFonts w:ascii="Times New Roman" w:hAnsi="Times New Roman" w:eastAsia="宋体" w:cs="Microsoft New Tai Lue"/>
          <w:bCs w:val="0"/>
          <w:sz w:val="24"/>
          <w:szCs w:val="24"/>
          <w:highlight w:val="none"/>
        </w:rPr>
        <w:t>工商变更登记文件（如需）</w:t>
      </w:r>
      <w:bookmarkEnd w:id="335"/>
      <w:bookmarkEnd w:id="336"/>
      <w:bookmarkEnd w:id="337"/>
      <w:bookmarkEnd w:id="338"/>
      <w:bookmarkEnd w:id="339"/>
    </w:p>
    <w:p w14:paraId="6509473F">
      <w:pPr>
        <w:spacing w:line="360" w:lineRule="auto"/>
        <w:ind w:left="425" w:hanging="211"/>
        <w:rPr>
          <w:rFonts w:ascii="Times New Roman" w:hAnsi="Times New Roman" w:eastAsia="宋体" w:cs="Microsoft New Tai Lue"/>
          <w:b/>
          <w:bCs/>
          <w:highlight w:val="none"/>
        </w:rPr>
      </w:pPr>
    </w:p>
    <w:p w14:paraId="275BF1FC">
      <w:pPr>
        <w:spacing w:line="360" w:lineRule="auto"/>
        <w:ind w:left="425" w:hanging="211"/>
        <w:rPr>
          <w:rFonts w:ascii="Times New Roman" w:hAnsi="Times New Roman" w:eastAsia="宋体" w:cs="Microsoft New Tai Lue"/>
          <w:b/>
          <w:bCs/>
          <w:highlight w:val="none"/>
        </w:rPr>
      </w:pPr>
      <w:r>
        <w:rPr>
          <w:rFonts w:ascii="Times New Roman" w:hAnsi="Times New Roman" w:eastAsia="宋体" w:cs="Microsoft New Tai Lue"/>
          <w:b/>
          <w:bCs/>
          <w:highlight w:val="none"/>
        </w:rPr>
        <w:t>注：如</w:t>
      </w:r>
      <w:r>
        <w:rPr>
          <w:rFonts w:ascii="Times New Roman" w:hAnsi="Times New Roman" w:eastAsia="宋体" w:cs="Microsoft New Tai Lue"/>
          <w:b/>
          <w:bCs/>
          <w:sz w:val="22"/>
          <w:szCs w:val="22"/>
          <w:highlight w:val="none"/>
        </w:rPr>
        <w:t>投标人</w:t>
      </w:r>
      <w:r>
        <w:rPr>
          <w:rFonts w:ascii="Times New Roman" w:hAnsi="Times New Roman" w:eastAsia="宋体" w:cs="Microsoft New Tai Lue"/>
          <w:b/>
          <w:bCs/>
          <w:highlight w:val="none"/>
        </w:rPr>
        <w:t>在招标文件资质、业绩等要求的时间期限内发生了单位名称等变更的，提供相关工商变更登记文件的复印件。如无，则可不提供。</w:t>
      </w:r>
    </w:p>
    <w:p w14:paraId="3E16BA28">
      <w:pPr>
        <w:pStyle w:val="77"/>
        <w:spacing w:line="240" w:lineRule="atLeast"/>
        <w:ind w:left="455" w:hanging="241"/>
        <w:outlineLvl w:val="2"/>
        <w:rPr>
          <w:rFonts w:hint="eastAsia" w:ascii="Times New Roman" w:hAnsi="Times New Roman" w:eastAsia="宋体" w:cs="Microsoft New Tai Lue"/>
          <w:bCs w:val="0"/>
          <w:sz w:val="24"/>
          <w:szCs w:val="24"/>
          <w:highlight w:val="none"/>
          <w:lang w:val="en-US" w:eastAsia="zh-CN"/>
        </w:rPr>
      </w:pPr>
      <w:r>
        <w:rPr>
          <w:rFonts w:ascii="Times New Roman" w:hAnsi="Times New Roman" w:eastAsia="宋体" w:cs="Microsoft New Tai Lue"/>
          <w:bCs w:val="0"/>
          <w:sz w:val="24"/>
          <w:szCs w:val="24"/>
          <w:highlight w:val="none"/>
        </w:rPr>
        <w:br w:type="page" w:clear="all"/>
      </w:r>
      <w:bookmarkStart w:id="340" w:name="_Toc104560905"/>
      <w:bookmarkStart w:id="341" w:name="_Toc107246285"/>
      <w:bookmarkStart w:id="342" w:name="_Toc102117321"/>
      <w:bookmarkStart w:id="343" w:name="_Toc103848590"/>
      <w:bookmarkStart w:id="344" w:name="_Toc2054752751"/>
      <w:r>
        <w:rPr>
          <w:rFonts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2</w:t>
      </w:r>
      <w:r>
        <w:rPr>
          <w:rFonts w:ascii="Times New Roman" w:hAnsi="Times New Roman" w:eastAsia="宋体" w:cs="Microsoft New Tai Lue"/>
          <w:bCs w:val="0"/>
          <w:sz w:val="24"/>
          <w:szCs w:val="24"/>
          <w:highlight w:val="none"/>
        </w:rPr>
        <w:t>）财务报</w:t>
      </w:r>
      <w:bookmarkEnd w:id="340"/>
      <w:bookmarkEnd w:id="341"/>
      <w:bookmarkEnd w:id="342"/>
      <w:bookmarkEnd w:id="343"/>
      <w:r>
        <w:rPr>
          <w:rFonts w:hint="eastAsia" w:ascii="Times New Roman" w:hAnsi="Times New Roman" w:cs="Microsoft New Tai Lue"/>
          <w:bCs w:val="0"/>
          <w:sz w:val="24"/>
          <w:szCs w:val="24"/>
          <w:highlight w:val="none"/>
          <w:lang w:val="en-US" w:eastAsia="zh-CN"/>
        </w:rPr>
        <w:t>告</w:t>
      </w:r>
      <w:bookmarkEnd w:id="344"/>
    </w:p>
    <w:p w14:paraId="113B52A2">
      <w:pPr>
        <w:rPr>
          <w:rFonts w:ascii="Times New Roman" w:hAnsi="Times New Roman" w:eastAsia="宋体" w:cs="Microsoft New Tai Lue"/>
          <w:highlight w:val="none"/>
        </w:rPr>
      </w:pPr>
    </w:p>
    <w:p w14:paraId="027DB190">
      <w:pPr>
        <w:spacing w:line="360" w:lineRule="auto"/>
        <w:ind w:left="425" w:hanging="211"/>
        <w:jc w:val="center"/>
        <w:rPr>
          <w:rFonts w:ascii="Times New Roman" w:hAnsi="Times New Roman" w:eastAsia="宋体" w:cs="Microsoft New Tai Lue"/>
          <w:b/>
          <w:bCs/>
          <w:highlight w:val="none"/>
        </w:rPr>
      </w:pPr>
      <w:r>
        <w:rPr>
          <w:rFonts w:ascii="Times New Roman" w:hAnsi="Times New Roman" w:eastAsia="宋体" w:cs="Microsoft New Tai Lue"/>
          <w:b/>
          <w:bCs/>
          <w:highlight w:val="none"/>
        </w:rPr>
        <w:t>注：</w:t>
      </w:r>
      <w:r>
        <w:rPr>
          <w:rFonts w:hint="eastAsia" w:ascii="Times New Roman" w:hAnsi="Times New Roman" w:eastAsia="宋体" w:cs="Microsoft New Tai Lue"/>
          <w:b/>
          <w:bCs/>
          <w:highlight w:val="none"/>
        </w:rPr>
        <w:t>根据招标公告的要求提供</w:t>
      </w:r>
      <w:r>
        <w:rPr>
          <w:rFonts w:ascii="Times New Roman" w:hAnsi="Times New Roman" w:eastAsia="宋体" w:cs="Microsoft New Tai Lue"/>
          <w:b/>
          <w:bCs/>
          <w:highlight w:val="none"/>
        </w:rPr>
        <w:t>。</w:t>
      </w:r>
    </w:p>
    <w:p w14:paraId="79C579D2">
      <w:pPr>
        <w:spacing w:line="360" w:lineRule="auto"/>
        <w:ind w:left="425" w:hanging="211"/>
        <w:rPr>
          <w:rFonts w:ascii="Times New Roman" w:hAnsi="Times New Roman" w:eastAsia="宋体" w:cs="Microsoft New Tai Lue"/>
          <w:b/>
          <w:bCs/>
          <w:highlight w:val="none"/>
        </w:rPr>
      </w:pPr>
    </w:p>
    <w:p w14:paraId="018C8FE2">
      <w:pPr>
        <w:pStyle w:val="77"/>
        <w:ind w:left="455" w:hanging="241"/>
        <w:outlineLvl w:val="2"/>
        <w:rPr>
          <w:rFonts w:ascii="Times New Roman" w:hAnsi="Times New Roman" w:eastAsia="宋体" w:cs="Microsoft New Tai Lue"/>
          <w:bCs w:val="0"/>
          <w:sz w:val="24"/>
          <w:szCs w:val="24"/>
          <w:highlight w:val="none"/>
          <w:lang w:val="en-US" w:eastAsia="zh-CN"/>
        </w:rPr>
      </w:pPr>
      <w:bookmarkStart w:id="345" w:name="_Toc104560908"/>
      <w:bookmarkStart w:id="346" w:name="_Toc103848593"/>
      <w:bookmarkStart w:id="347" w:name="_Toc102117322"/>
      <w:r>
        <w:rPr>
          <w:rFonts w:ascii="Times New Roman" w:hAnsi="Times New Roman" w:eastAsia="宋体" w:cs="Microsoft New Tai Lue"/>
          <w:bCs w:val="0"/>
          <w:sz w:val="24"/>
          <w:szCs w:val="24"/>
          <w:highlight w:val="none"/>
        </w:rPr>
        <w:br w:type="page" w:clear="all"/>
      </w:r>
      <w:bookmarkStart w:id="348" w:name="_Toc544958650"/>
      <w:bookmarkStart w:id="349" w:name="_Toc107246286"/>
      <w:r>
        <w:rPr>
          <w:rFonts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3</w:t>
      </w:r>
      <w:r>
        <w:rPr>
          <w:rFonts w:ascii="Times New Roman" w:hAnsi="Times New Roman" w:eastAsia="宋体" w:cs="Microsoft New Tai Lue"/>
          <w:bCs w:val="0"/>
          <w:sz w:val="24"/>
          <w:szCs w:val="24"/>
          <w:highlight w:val="none"/>
        </w:rPr>
        <w:t>）具有履行合同所必需的设备和专业技术能力的相关证明材料或承诺函（提供承诺函）</w:t>
      </w:r>
      <w:bookmarkEnd w:id="345"/>
      <w:bookmarkEnd w:id="346"/>
      <w:bookmarkEnd w:id="347"/>
      <w:bookmarkEnd w:id="348"/>
      <w:bookmarkEnd w:id="349"/>
    </w:p>
    <w:p w14:paraId="45CE28C7">
      <w:pPr>
        <w:rPr>
          <w:rFonts w:ascii="Times New Roman" w:hAnsi="Times New Roman" w:eastAsia="宋体" w:cs="Microsoft New Tai Lue"/>
          <w:highlight w:val="none"/>
        </w:rPr>
      </w:pPr>
    </w:p>
    <w:p w14:paraId="66B28344">
      <w:pPr>
        <w:rPr>
          <w:rFonts w:ascii="Times New Roman" w:hAnsi="Times New Roman" w:eastAsia="宋体" w:cs="Microsoft New Tai Lue"/>
          <w:highlight w:val="none"/>
        </w:rPr>
      </w:pPr>
    </w:p>
    <w:p w14:paraId="4405D387">
      <w:pPr>
        <w:spacing w:before="120" w:after="120" w:line="360" w:lineRule="auto"/>
        <w:ind w:left="656" w:hanging="442"/>
        <w:jc w:val="center"/>
        <w:rPr>
          <w:rFonts w:ascii="Times New Roman" w:hAnsi="Times New Roman" w:eastAsia="宋体" w:cs="Microsoft New Tai Lue"/>
          <w:b/>
          <w:sz w:val="44"/>
          <w:szCs w:val="44"/>
          <w:highlight w:val="none"/>
        </w:rPr>
      </w:pPr>
    </w:p>
    <w:p w14:paraId="070EBD9B">
      <w:pPr>
        <w:spacing w:before="120" w:after="120" w:line="360" w:lineRule="auto"/>
        <w:ind w:left="656" w:hanging="442"/>
        <w:jc w:val="center"/>
        <w:rPr>
          <w:rFonts w:ascii="Times New Roman" w:hAnsi="Times New Roman" w:eastAsia="宋体" w:cs="Microsoft New Tai Lue"/>
          <w:b/>
          <w:sz w:val="44"/>
          <w:szCs w:val="44"/>
          <w:highlight w:val="none"/>
        </w:rPr>
      </w:pPr>
    </w:p>
    <w:p w14:paraId="49C4FD23">
      <w:pPr>
        <w:spacing w:before="120" w:after="120" w:line="360" w:lineRule="auto"/>
        <w:ind w:left="654" w:hanging="440"/>
        <w:jc w:val="center"/>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承 诺 函</w:t>
      </w:r>
    </w:p>
    <w:p w14:paraId="7AA33B49">
      <w:pPr>
        <w:spacing w:before="120" w:after="120" w:line="360" w:lineRule="auto"/>
        <w:ind w:hanging="210"/>
        <w:jc w:val="left"/>
        <w:rPr>
          <w:rFonts w:ascii="Times New Roman" w:hAnsi="Times New Roman" w:eastAsia="宋体" w:cs="Microsoft New Tai Lue"/>
          <w:highlight w:val="none"/>
        </w:rPr>
      </w:pPr>
      <w:r>
        <w:rPr>
          <w:rFonts w:ascii="Times New Roman" w:hAnsi="Times New Roman" w:eastAsia="宋体" w:cs="Microsoft New Tai Lue"/>
          <w:highlight w:val="none"/>
        </w:rPr>
        <w:t>我单位郑重承诺：我单位具备履行本项采购合同所必需的设备和专业技术能力</w:t>
      </w:r>
      <w:r>
        <w:rPr>
          <w:rFonts w:hint="eastAsia" w:ascii="Times New Roman" w:hAnsi="Times New Roman" w:eastAsia="宋体" w:cs="Microsoft New Tai Lue"/>
          <w:highlight w:val="none"/>
        </w:rPr>
        <w:t>。</w:t>
      </w:r>
    </w:p>
    <w:p w14:paraId="41D0DC36">
      <w:pPr>
        <w:spacing w:before="120" w:after="120" w:line="360" w:lineRule="auto"/>
        <w:ind w:hanging="210"/>
        <w:jc w:val="left"/>
        <w:rPr>
          <w:rFonts w:ascii="Times New Roman" w:hAnsi="Times New Roman" w:eastAsia="宋体" w:cs="Microsoft New Tai Lue"/>
          <w:highlight w:val="none"/>
        </w:rPr>
      </w:pPr>
    </w:p>
    <w:p w14:paraId="05F0BFDB">
      <w:pPr>
        <w:spacing w:before="120" w:after="120" w:line="360" w:lineRule="auto"/>
        <w:ind w:hanging="210"/>
        <w:jc w:val="left"/>
        <w:rPr>
          <w:rFonts w:ascii="Times New Roman" w:hAnsi="Times New Roman" w:eastAsia="宋体" w:cs="Microsoft New Tai Lue"/>
          <w:highlight w:val="none"/>
        </w:rPr>
      </w:pPr>
    </w:p>
    <w:p w14:paraId="4F6BCE6C">
      <w:pPr>
        <w:pStyle w:val="52"/>
        <w:ind w:left="1501" w:hanging="241"/>
        <w:rPr>
          <w:rFonts w:ascii="Times New Roman" w:hAnsi="Times New Roman" w:eastAsia="宋体"/>
          <w:highlight w:val="none"/>
        </w:rPr>
      </w:pPr>
    </w:p>
    <w:p w14:paraId="2CF5BF67">
      <w:pPr>
        <w:rPr>
          <w:rFonts w:ascii="Times New Roman" w:hAnsi="Times New Roman" w:eastAsia="宋体"/>
          <w:highlight w:val="none"/>
        </w:rPr>
      </w:pPr>
    </w:p>
    <w:p w14:paraId="3663F355">
      <w:pPr>
        <w:pStyle w:val="52"/>
        <w:ind w:left="1501" w:hanging="241"/>
        <w:rPr>
          <w:rFonts w:ascii="Times New Roman" w:hAnsi="Times New Roman" w:eastAsia="宋体"/>
          <w:highlight w:val="none"/>
        </w:rPr>
      </w:pPr>
    </w:p>
    <w:p w14:paraId="70B9D39F">
      <w:pPr>
        <w:rPr>
          <w:rFonts w:ascii="Times New Roman" w:hAnsi="Times New Roman" w:eastAsia="宋体"/>
          <w:highlight w:val="none"/>
        </w:rPr>
      </w:pPr>
    </w:p>
    <w:p w14:paraId="11E3201A">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投标人</w:t>
      </w:r>
      <w:r>
        <w:rPr>
          <w:rFonts w:ascii="Times New Roman" w:hAnsi="Times New Roman" w:eastAsia="宋体" w:cs="Microsoft New Tai Lue"/>
          <w:bCs/>
          <w:highlight w:val="none"/>
        </w:rPr>
        <w:t>名称（公章）：______________________</w:t>
      </w:r>
    </w:p>
    <w:p w14:paraId="6376E968">
      <w:pPr>
        <w:spacing w:line="276" w:lineRule="auto"/>
        <w:rPr>
          <w:rFonts w:ascii="Times New Roman" w:hAnsi="Times New Roman" w:eastAsia="宋体" w:cs="Microsoft New Tai Lue"/>
          <w:bCs/>
          <w:highlight w:val="none"/>
        </w:rPr>
      </w:pPr>
    </w:p>
    <w:p w14:paraId="01CB7E75">
      <w:pPr>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法定代表人（单位负责人）</w:t>
      </w:r>
    </w:p>
    <w:p w14:paraId="1BAAE727">
      <w:pPr>
        <w:spacing w:line="276" w:lineRule="auto"/>
        <w:ind w:left="214" w:firstLine="378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2BEAFF6E">
      <w:pPr>
        <w:spacing w:line="276" w:lineRule="auto"/>
        <w:ind w:left="214" w:firstLine="3780"/>
        <w:rPr>
          <w:rFonts w:ascii="Times New Roman" w:hAnsi="Times New Roman" w:eastAsia="宋体" w:cs="Microsoft New Tai Lue"/>
          <w:szCs w:val="21"/>
          <w:highlight w:val="none"/>
          <w:u w:val="single"/>
        </w:rPr>
      </w:pPr>
    </w:p>
    <w:p w14:paraId="124E2822">
      <w:pPr>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日</w:t>
      </w:r>
    </w:p>
    <w:p w14:paraId="72C366E4">
      <w:pPr>
        <w:spacing w:line="360" w:lineRule="auto"/>
        <w:ind w:left="455" w:hanging="241"/>
        <w:rPr>
          <w:rFonts w:ascii="Times New Roman" w:hAnsi="Times New Roman" w:eastAsia="宋体" w:cs="Microsoft New Tai Lue"/>
          <w:b/>
          <w:sz w:val="24"/>
          <w:highlight w:val="none"/>
        </w:rPr>
      </w:pPr>
    </w:p>
    <w:p w14:paraId="6194B15B">
      <w:pPr>
        <w:spacing w:line="360" w:lineRule="auto"/>
        <w:ind w:left="425" w:hanging="211"/>
        <w:rPr>
          <w:rFonts w:ascii="Times New Roman" w:hAnsi="Times New Roman" w:eastAsia="宋体" w:cs="Microsoft New Tai Lue"/>
          <w:b/>
          <w:bCs/>
          <w:highlight w:val="none"/>
        </w:rPr>
      </w:pPr>
    </w:p>
    <w:p w14:paraId="0348FF2B">
      <w:pPr>
        <w:pStyle w:val="77"/>
        <w:spacing w:line="240" w:lineRule="atLeast"/>
        <w:ind w:left="455" w:hanging="241"/>
        <w:outlineLvl w:val="2"/>
        <w:rPr>
          <w:rFonts w:ascii="Times New Roman" w:hAnsi="Times New Roman" w:eastAsia="宋体" w:cs="Microsoft New Tai Lue"/>
          <w:b w:val="0"/>
          <w:highlight w:val="none"/>
        </w:rPr>
      </w:pPr>
      <w:bookmarkStart w:id="350" w:name="_Toc103848591"/>
      <w:bookmarkStart w:id="351" w:name="_Toc102117323"/>
      <w:r>
        <w:rPr>
          <w:rFonts w:ascii="Times New Roman" w:hAnsi="Times New Roman" w:eastAsia="宋体" w:cs="Microsoft New Tai Lue"/>
          <w:bCs w:val="0"/>
          <w:sz w:val="24"/>
          <w:szCs w:val="24"/>
          <w:highlight w:val="none"/>
        </w:rPr>
        <w:br w:type="page" w:clear="all"/>
      </w:r>
      <w:bookmarkStart w:id="352" w:name="_Toc102276095"/>
      <w:bookmarkStart w:id="353" w:name="_Toc107246287"/>
      <w:bookmarkStart w:id="354" w:name="_Toc104560906"/>
      <w:r>
        <w:rPr>
          <w:rFonts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4</w:t>
      </w:r>
      <w:r>
        <w:rPr>
          <w:rFonts w:ascii="Times New Roman" w:hAnsi="Times New Roman" w:eastAsia="宋体" w:cs="Microsoft New Tai Lue"/>
          <w:bCs w:val="0"/>
          <w:sz w:val="24"/>
          <w:szCs w:val="24"/>
          <w:highlight w:val="none"/>
        </w:rPr>
        <w:t>）依法缴纳税收的相关材料</w:t>
      </w:r>
      <w:bookmarkEnd w:id="350"/>
      <w:bookmarkEnd w:id="351"/>
      <w:bookmarkEnd w:id="352"/>
      <w:bookmarkEnd w:id="353"/>
      <w:bookmarkEnd w:id="354"/>
    </w:p>
    <w:p w14:paraId="7D7D1269">
      <w:pPr>
        <w:spacing w:line="360" w:lineRule="auto"/>
        <w:ind w:left="425" w:hanging="211"/>
        <w:jc w:val="center"/>
        <w:rPr>
          <w:rFonts w:ascii="Times New Roman" w:hAnsi="Times New Roman" w:eastAsia="宋体" w:cs="Microsoft New Tai Lue"/>
          <w:b/>
          <w:bCs/>
          <w:highlight w:val="none"/>
        </w:rPr>
      </w:pPr>
      <w:r>
        <w:rPr>
          <w:rFonts w:ascii="Times New Roman" w:hAnsi="Times New Roman" w:eastAsia="宋体" w:cs="Microsoft New Tai Lue"/>
          <w:b/>
          <w:bCs/>
          <w:highlight w:val="none"/>
        </w:rPr>
        <w:t>注：</w:t>
      </w:r>
      <w:r>
        <w:rPr>
          <w:rFonts w:hint="eastAsia" w:ascii="Times New Roman" w:hAnsi="Times New Roman" w:eastAsia="宋体" w:cs="Microsoft New Tai Lue"/>
          <w:b/>
          <w:bCs/>
          <w:highlight w:val="none"/>
        </w:rPr>
        <w:t>根据招标公告的要求提供</w:t>
      </w:r>
      <w:r>
        <w:rPr>
          <w:rFonts w:ascii="Times New Roman" w:hAnsi="Times New Roman" w:eastAsia="宋体" w:cs="Microsoft New Tai Lue"/>
          <w:b/>
          <w:bCs/>
          <w:highlight w:val="none"/>
        </w:rPr>
        <w:t>。</w:t>
      </w:r>
    </w:p>
    <w:p w14:paraId="7305B5E4">
      <w:pPr>
        <w:pStyle w:val="77"/>
        <w:spacing w:line="240" w:lineRule="atLeast"/>
        <w:ind w:left="455" w:hanging="241"/>
        <w:outlineLvl w:val="2"/>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br w:type="page" w:clear="all"/>
      </w:r>
      <w:bookmarkStart w:id="355" w:name="_Toc104560907"/>
      <w:bookmarkStart w:id="356" w:name="_Toc967411065"/>
      <w:bookmarkStart w:id="357" w:name="_Toc103848592"/>
      <w:bookmarkStart w:id="358" w:name="_Toc102117324"/>
      <w:bookmarkStart w:id="359" w:name="_Toc107246288"/>
      <w:r>
        <w:rPr>
          <w:rFonts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5</w:t>
      </w:r>
      <w:r>
        <w:rPr>
          <w:rFonts w:ascii="Times New Roman" w:hAnsi="Times New Roman" w:eastAsia="宋体" w:cs="Microsoft New Tai Lue"/>
          <w:bCs w:val="0"/>
          <w:sz w:val="24"/>
          <w:szCs w:val="24"/>
          <w:highlight w:val="none"/>
        </w:rPr>
        <w:t>）依法缴纳社会保障资金的相关材料</w:t>
      </w:r>
      <w:bookmarkEnd w:id="355"/>
      <w:bookmarkEnd w:id="356"/>
      <w:bookmarkEnd w:id="357"/>
      <w:bookmarkEnd w:id="358"/>
      <w:bookmarkEnd w:id="359"/>
    </w:p>
    <w:p w14:paraId="47064AEE">
      <w:pPr>
        <w:spacing w:line="360" w:lineRule="auto"/>
        <w:ind w:left="425" w:hanging="211"/>
        <w:jc w:val="center"/>
        <w:rPr>
          <w:rFonts w:ascii="Times New Roman" w:hAnsi="Times New Roman" w:eastAsia="宋体" w:cs="Microsoft New Tai Lue"/>
          <w:b/>
          <w:bCs/>
          <w:highlight w:val="none"/>
        </w:rPr>
      </w:pPr>
      <w:r>
        <w:rPr>
          <w:rFonts w:ascii="Times New Roman" w:hAnsi="Times New Roman" w:eastAsia="宋体" w:cs="Microsoft New Tai Lue"/>
          <w:b/>
          <w:bCs/>
          <w:highlight w:val="none"/>
        </w:rPr>
        <w:t>注：</w:t>
      </w:r>
      <w:r>
        <w:rPr>
          <w:rFonts w:hint="eastAsia" w:ascii="Times New Roman" w:hAnsi="Times New Roman" w:eastAsia="宋体" w:cs="Microsoft New Tai Lue"/>
          <w:b/>
          <w:bCs/>
          <w:highlight w:val="none"/>
        </w:rPr>
        <w:t>根据招标公告的要求提供</w:t>
      </w:r>
      <w:r>
        <w:rPr>
          <w:rFonts w:ascii="Times New Roman" w:hAnsi="Times New Roman" w:eastAsia="宋体" w:cs="Microsoft New Tai Lue"/>
          <w:b/>
          <w:bCs/>
          <w:highlight w:val="none"/>
        </w:rPr>
        <w:t>。</w:t>
      </w:r>
    </w:p>
    <w:p w14:paraId="7A98B515">
      <w:pPr>
        <w:spacing w:line="360" w:lineRule="auto"/>
        <w:ind w:left="425" w:hanging="211"/>
        <w:rPr>
          <w:rFonts w:ascii="Times New Roman" w:hAnsi="Times New Roman" w:eastAsia="宋体" w:cs="Microsoft New Tai Lue"/>
          <w:b/>
          <w:bCs/>
          <w:highlight w:val="none"/>
        </w:rPr>
      </w:pPr>
    </w:p>
    <w:p w14:paraId="3672BE47">
      <w:pPr>
        <w:pStyle w:val="77"/>
        <w:spacing w:line="240" w:lineRule="atLeast"/>
        <w:ind w:left="455" w:hanging="241"/>
        <w:outlineLvl w:val="2"/>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br w:type="page" w:clear="all"/>
      </w:r>
      <w:bookmarkStart w:id="360" w:name="_Toc103848594"/>
      <w:bookmarkStart w:id="361" w:name="_Toc679078018"/>
      <w:bookmarkStart w:id="362" w:name="_Toc107246289"/>
      <w:bookmarkStart w:id="363" w:name="_Toc104560909"/>
      <w:bookmarkStart w:id="364" w:name="_Toc102117325"/>
      <w:r>
        <w:rPr>
          <w:rFonts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6</w:t>
      </w:r>
      <w:r>
        <w:rPr>
          <w:rFonts w:ascii="Times New Roman" w:hAnsi="Times New Roman" w:eastAsia="宋体" w:cs="Microsoft New Tai Lue"/>
          <w:bCs w:val="0"/>
          <w:sz w:val="24"/>
          <w:szCs w:val="24"/>
          <w:highlight w:val="none"/>
        </w:rPr>
        <w:t>）没有重大违法记录的书面声明</w:t>
      </w:r>
      <w:bookmarkEnd w:id="360"/>
      <w:bookmarkEnd w:id="361"/>
      <w:bookmarkEnd w:id="362"/>
      <w:bookmarkEnd w:id="363"/>
      <w:bookmarkEnd w:id="364"/>
    </w:p>
    <w:p w14:paraId="54C9734B">
      <w:pPr>
        <w:spacing w:line="360" w:lineRule="auto"/>
        <w:ind w:left="425" w:hanging="211"/>
        <w:rPr>
          <w:rFonts w:ascii="Times New Roman" w:hAnsi="Times New Roman" w:eastAsia="宋体" w:cs="Microsoft New Tai Lue"/>
          <w:b/>
          <w:bCs/>
          <w:highlight w:val="none"/>
        </w:rPr>
      </w:pPr>
    </w:p>
    <w:p w14:paraId="27D9A97F">
      <w:pPr>
        <w:spacing w:line="360" w:lineRule="auto"/>
        <w:ind w:left="425" w:hanging="211"/>
        <w:rPr>
          <w:rFonts w:ascii="Times New Roman" w:hAnsi="Times New Roman" w:eastAsia="宋体" w:cs="Microsoft New Tai Lue"/>
          <w:b/>
          <w:bCs/>
          <w:highlight w:val="none"/>
        </w:rPr>
      </w:pPr>
      <w:r>
        <w:rPr>
          <w:rFonts w:ascii="Times New Roman" w:hAnsi="Times New Roman" w:eastAsia="宋体" w:cs="Microsoft New Tai Lue"/>
          <w:b/>
          <w:bCs/>
          <w:highlight w:val="none"/>
        </w:rPr>
        <w:t>注：参加政府采购活动前3年内在经营活动中没有重大违法记录的书面声明（提供声明函）。</w:t>
      </w:r>
    </w:p>
    <w:p w14:paraId="2E636168">
      <w:pPr>
        <w:spacing w:line="360" w:lineRule="auto"/>
        <w:ind w:left="535" w:hanging="321"/>
        <w:jc w:val="center"/>
        <w:rPr>
          <w:rFonts w:ascii="Times New Roman" w:hAnsi="Times New Roman" w:eastAsia="宋体" w:cs="Microsoft New Tai Lue"/>
          <w:b/>
          <w:sz w:val="32"/>
          <w:szCs w:val="32"/>
          <w:highlight w:val="none"/>
        </w:rPr>
      </w:pPr>
    </w:p>
    <w:p w14:paraId="2E4AED13">
      <w:pPr>
        <w:spacing w:line="360" w:lineRule="auto"/>
        <w:ind w:left="535" w:hanging="321"/>
        <w:jc w:val="center"/>
        <w:rPr>
          <w:rFonts w:ascii="Times New Roman" w:hAnsi="Times New Roman" w:eastAsia="宋体" w:cs="Microsoft New Tai Lue"/>
          <w:b/>
          <w:sz w:val="32"/>
          <w:szCs w:val="32"/>
          <w:highlight w:val="none"/>
        </w:rPr>
      </w:pPr>
    </w:p>
    <w:p w14:paraId="7429C1C3">
      <w:pPr>
        <w:spacing w:line="360" w:lineRule="auto"/>
        <w:ind w:left="654" w:hanging="440"/>
        <w:jc w:val="center"/>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声  明</w:t>
      </w:r>
    </w:p>
    <w:p w14:paraId="4806F734">
      <w:pPr>
        <w:ind w:left="494" w:hanging="280"/>
        <w:rPr>
          <w:rFonts w:ascii="Times New Roman" w:hAnsi="Times New Roman" w:eastAsia="宋体" w:cs="Microsoft New Tai Lue"/>
          <w:sz w:val="28"/>
          <w:szCs w:val="28"/>
          <w:highlight w:val="none"/>
        </w:rPr>
      </w:pPr>
    </w:p>
    <w:p w14:paraId="755295D5">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我单位郑重声明：参加本次政府采购活动前 3 年内，我单位在经营活动中没有因违法经营受到刑事处罚或者责令停产停业、吊销许可证或者执照、较大数额罚款等行政处罚。</w:t>
      </w:r>
    </w:p>
    <w:p w14:paraId="0AE4F974">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p>
    <w:p w14:paraId="32D1DE7F">
      <w:pPr>
        <w:spacing w:line="360" w:lineRule="auto"/>
        <w:rPr>
          <w:rFonts w:ascii="Times New Roman" w:hAnsi="Times New Roman" w:eastAsia="宋体" w:cs="Microsoft New Tai Lue"/>
          <w:bCs/>
          <w:highlight w:val="none"/>
        </w:rPr>
      </w:pPr>
    </w:p>
    <w:p w14:paraId="1A35F2B1">
      <w:pPr>
        <w:spacing w:line="360" w:lineRule="auto"/>
        <w:rPr>
          <w:rFonts w:ascii="Times New Roman" w:hAnsi="Times New Roman" w:eastAsia="宋体" w:cs="Microsoft New Tai Lue"/>
          <w:bCs/>
          <w:highlight w:val="none"/>
        </w:rPr>
      </w:pPr>
    </w:p>
    <w:p w14:paraId="30B2E663">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p>
    <w:p w14:paraId="3ED7FA73">
      <w:pPr>
        <w:spacing w:line="360" w:lineRule="auto"/>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投标</w:t>
      </w:r>
      <w:r>
        <w:rPr>
          <w:rFonts w:hint="eastAsia" w:ascii="Times New Roman" w:hAnsi="Times New Roman" w:eastAsia="宋体" w:cs="Microsoft New Tai Lue"/>
          <w:bCs/>
          <w:highlight w:val="none"/>
        </w:rPr>
        <w:t>人</w:t>
      </w:r>
      <w:r>
        <w:rPr>
          <w:rFonts w:ascii="Times New Roman" w:hAnsi="Times New Roman" w:eastAsia="宋体" w:cs="Microsoft New Tai Lue"/>
          <w:bCs/>
          <w:highlight w:val="none"/>
        </w:rPr>
        <w:t>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7AF0A7ED">
      <w:pPr>
        <w:spacing w:line="360" w:lineRule="auto"/>
        <w:ind w:left="214" w:firstLine="3990"/>
        <w:rPr>
          <w:rFonts w:ascii="Times New Roman" w:hAnsi="Times New Roman" w:eastAsia="宋体" w:cs="Microsoft New Tai Lue"/>
          <w:bCs/>
          <w:highlight w:val="none"/>
        </w:rPr>
      </w:pPr>
    </w:p>
    <w:p w14:paraId="52AAFAC7">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法定代表人（单位负责人）</w:t>
      </w:r>
    </w:p>
    <w:p w14:paraId="14E4151A">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15BDC97E">
      <w:pPr>
        <w:ind w:left="214" w:firstLine="3990"/>
        <w:rPr>
          <w:rFonts w:ascii="Times New Roman" w:hAnsi="Times New Roman" w:eastAsia="宋体" w:cs="Microsoft New Tai Lue"/>
          <w:szCs w:val="21"/>
          <w:highlight w:val="none"/>
          <w:u w:val="single"/>
        </w:rPr>
      </w:pPr>
    </w:p>
    <w:p w14:paraId="6F9E2F11">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日</w:t>
      </w:r>
    </w:p>
    <w:p w14:paraId="7428598A">
      <w:pPr>
        <w:spacing w:line="360" w:lineRule="auto"/>
        <w:ind w:left="535" w:hanging="321"/>
        <w:jc w:val="center"/>
        <w:rPr>
          <w:rFonts w:ascii="Times New Roman" w:hAnsi="Times New Roman" w:eastAsia="宋体" w:cs="Microsoft New Tai Lue"/>
          <w:b/>
          <w:sz w:val="32"/>
          <w:szCs w:val="32"/>
          <w:highlight w:val="none"/>
        </w:rPr>
      </w:pPr>
    </w:p>
    <w:p w14:paraId="4CE80180">
      <w:pPr>
        <w:pStyle w:val="77"/>
        <w:ind w:left="455" w:hanging="241"/>
        <w:outlineLvl w:val="2"/>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br w:type="page" w:clear="all"/>
      </w:r>
      <w:bookmarkStart w:id="365" w:name="_Toc107246290"/>
      <w:bookmarkStart w:id="366" w:name="_Toc1536148368"/>
      <w:bookmarkStart w:id="367" w:name="_Toc104560910"/>
      <w:r>
        <w:rPr>
          <w:rFonts w:hint="eastAsia"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7</w:t>
      </w:r>
      <w:r>
        <w:rPr>
          <w:rFonts w:hint="eastAsia" w:ascii="Times New Roman" w:hAnsi="Times New Roman" w:eastAsia="宋体" w:cs="Microsoft New Tai Lue"/>
          <w:bCs w:val="0"/>
          <w:sz w:val="24"/>
          <w:szCs w:val="24"/>
          <w:highlight w:val="none"/>
        </w:rPr>
        <w:t>）无不良信用记录承诺函</w:t>
      </w:r>
      <w:bookmarkEnd w:id="365"/>
      <w:bookmarkEnd w:id="366"/>
      <w:bookmarkEnd w:id="367"/>
    </w:p>
    <w:p w14:paraId="59CC70F2">
      <w:pPr>
        <w:pStyle w:val="301"/>
        <w:spacing w:line="480" w:lineRule="auto"/>
        <w:ind w:firstLine="420"/>
        <w:rPr>
          <w:rFonts w:hAnsi="宋体"/>
          <w:color w:val="000000"/>
          <w:sz w:val="21"/>
          <w:szCs w:val="21"/>
          <w:highlight w:val="none"/>
        </w:rPr>
      </w:pPr>
      <w:r>
        <w:rPr>
          <w:rFonts w:hint="eastAsia" w:hAnsi="宋体"/>
          <w:color w:val="000000"/>
          <w:sz w:val="21"/>
          <w:szCs w:val="21"/>
          <w:highlight w:val="none"/>
        </w:rPr>
        <w:t>（一）本单位郑重承诺满足以下要求：</w:t>
      </w:r>
    </w:p>
    <w:p w14:paraId="301CAE97">
      <w:pPr>
        <w:spacing w:line="360" w:lineRule="auto"/>
        <w:ind w:firstLine="420"/>
        <w:rPr>
          <w:rFonts w:hAnsi="宋体"/>
          <w:color w:val="000000"/>
          <w:sz w:val="21"/>
          <w:szCs w:val="21"/>
          <w:highlight w:val="none"/>
        </w:rPr>
      </w:pPr>
      <w:r>
        <w:rPr>
          <w:rFonts w:hint="eastAsia" w:hAnsi="宋体"/>
          <w:color w:val="000000"/>
          <w:sz w:val="21"/>
          <w:szCs w:val="21"/>
          <w:highlight w:val="none"/>
        </w:rPr>
        <w:t>1.投标人单位负责人为同一人或者存在直接控股、管理关系的不同投标人，</w:t>
      </w:r>
      <w:r>
        <w:rPr>
          <w:rFonts w:hint="eastAsia" w:ascii="宋体" w:hAnsi="宋体" w:eastAsia="宋体" w:cs="宋体"/>
          <w:bCs/>
          <w:color w:val="auto"/>
          <w:szCs w:val="21"/>
          <w:highlight w:val="none"/>
        </w:rPr>
        <w:t>不得参加同一合同项下的政府采购活动</w:t>
      </w:r>
      <w:r>
        <w:rPr>
          <w:rFonts w:hint="eastAsia" w:hAnsi="宋体"/>
          <w:color w:val="000000"/>
          <w:sz w:val="21"/>
          <w:szCs w:val="21"/>
          <w:highlight w:val="none"/>
        </w:rPr>
        <w:t>。</w:t>
      </w:r>
    </w:p>
    <w:p w14:paraId="2F583816">
      <w:pPr>
        <w:pStyle w:val="301"/>
        <w:spacing w:line="480" w:lineRule="auto"/>
        <w:ind w:firstLine="420"/>
        <w:rPr>
          <w:rFonts w:hint="eastAsia" w:hAnsi="宋体"/>
          <w:color w:val="000000"/>
          <w:sz w:val="21"/>
          <w:szCs w:val="21"/>
          <w:highlight w:val="none"/>
        </w:rPr>
      </w:pPr>
      <w:r>
        <w:rPr>
          <w:rFonts w:hint="eastAsia" w:hAnsi="宋体"/>
          <w:color w:val="000000"/>
          <w:sz w:val="21"/>
          <w:szCs w:val="21"/>
          <w:highlight w:val="none"/>
        </w:rPr>
        <w:t>2.</w:t>
      </w:r>
      <w:r>
        <w:rPr>
          <w:rFonts w:hint="eastAsia" w:ascii="宋体" w:hAnsi="宋体" w:eastAsia="宋体" w:cs="宋体"/>
          <w:bCs/>
          <w:color w:val="auto"/>
          <w:szCs w:val="21"/>
          <w:highlight w:val="none"/>
        </w:rPr>
        <w:t>凡为采购项目提供整体设计、规范编制或者项目管理、监理、检测等服务的</w:t>
      </w:r>
      <w:r>
        <w:rPr>
          <w:rFonts w:hint="eastAsia" w:ascii="宋体" w:hAnsi="宋体" w:cs="宋体"/>
          <w:bCs/>
          <w:color w:val="auto"/>
          <w:szCs w:val="21"/>
          <w:highlight w:val="none"/>
          <w:lang w:val="en-US" w:eastAsia="zh-CN"/>
        </w:rPr>
        <w:t>投标人</w:t>
      </w:r>
      <w:r>
        <w:rPr>
          <w:rFonts w:hint="eastAsia" w:ascii="宋体" w:hAnsi="宋体" w:eastAsia="宋体" w:cs="宋体"/>
          <w:bCs/>
          <w:color w:val="auto"/>
          <w:szCs w:val="21"/>
          <w:highlight w:val="none"/>
        </w:rPr>
        <w:t>不得再参加本项目的采购活动。</w:t>
      </w:r>
    </w:p>
    <w:p w14:paraId="0EA88D66">
      <w:pPr>
        <w:pStyle w:val="301"/>
        <w:spacing w:line="480" w:lineRule="auto"/>
        <w:ind w:firstLine="420"/>
        <w:rPr>
          <w:rFonts w:hAnsi="宋体"/>
          <w:color w:val="000000"/>
          <w:sz w:val="21"/>
          <w:szCs w:val="21"/>
          <w:highlight w:val="none"/>
        </w:rPr>
      </w:pPr>
      <w:r>
        <w:rPr>
          <w:rFonts w:hint="eastAsia" w:hAnsi="宋体"/>
          <w:color w:val="000000"/>
          <w:sz w:val="21"/>
          <w:szCs w:val="21"/>
          <w:highlight w:val="none"/>
        </w:rPr>
        <w:t>（二）本单位郑重承诺，我单位无以下不良信用记录情形：</w:t>
      </w:r>
    </w:p>
    <w:p w14:paraId="2C045492">
      <w:pPr>
        <w:pStyle w:val="301"/>
        <w:spacing w:line="480" w:lineRule="auto"/>
        <w:ind w:firstLine="420"/>
        <w:rPr>
          <w:rFonts w:hAnsi="宋体"/>
          <w:color w:val="000000"/>
          <w:sz w:val="21"/>
          <w:szCs w:val="21"/>
          <w:highlight w:val="none"/>
        </w:rPr>
      </w:pPr>
      <w:r>
        <w:rPr>
          <w:rFonts w:hAnsi="宋体"/>
          <w:color w:val="000000"/>
          <w:sz w:val="21"/>
          <w:szCs w:val="21"/>
          <w:highlight w:val="none"/>
        </w:rPr>
        <w:t>1.</w:t>
      </w:r>
      <w:r>
        <w:rPr>
          <w:rFonts w:hint="eastAsia" w:hAnsi="宋体"/>
          <w:color w:val="000000"/>
          <w:sz w:val="21"/>
          <w:szCs w:val="21"/>
          <w:highlight w:val="none"/>
        </w:rPr>
        <w:t>被人民法院列入失信被执行人；</w:t>
      </w:r>
    </w:p>
    <w:p w14:paraId="08EFC121">
      <w:pPr>
        <w:pStyle w:val="301"/>
        <w:spacing w:line="480" w:lineRule="auto"/>
        <w:ind w:firstLine="420"/>
        <w:rPr>
          <w:rFonts w:hAnsi="宋体"/>
          <w:color w:val="000000"/>
          <w:sz w:val="21"/>
          <w:szCs w:val="21"/>
          <w:highlight w:val="none"/>
        </w:rPr>
      </w:pPr>
      <w:r>
        <w:rPr>
          <w:rFonts w:hAnsi="宋体"/>
          <w:color w:val="000000"/>
          <w:sz w:val="21"/>
          <w:szCs w:val="21"/>
          <w:highlight w:val="none"/>
        </w:rPr>
        <w:t>2.</w:t>
      </w:r>
      <w:r>
        <w:rPr>
          <w:rFonts w:hint="eastAsia" w:hAnsi="宋体"/>
          <w:color w:val="000000"/>
          <w:sz w:val="21"/>
          <w:szCs w:val="21"/>
          <w:highlight w:val="none"/>
        </w:rPr>
        <w:t>被税务部门列入重大税收违法失信主体；</w:t>
      </w:r>
    </w:p>
    <w:p w14:paraId="574487BF">
      <w:pPr>
        <w:pStyle w:val="301"/>
        <w:spacing w:line="480" w:lineRule="auto"/>
        <w:ind w:firstLine="420"/>
        <w:rPr>
          <w:rFonts w:hAnsi="宋体"/>
          <w:color w:val="000000"/>
          <w:sz w:val="21"/>
          <w:szCs w:val="21"/>
          <w:highlight w:val="none"/>
        </w:rPr>
      </w:pPr>
      <w:r>
        <w:rPr>
          <w:rFonts w:hAnsi="宋体"/>
          <w:color w:val="000000"/>
          <w:sz w:val="21"/>
          <w:szCs w:val="21"/>
          <w:highlight w:val="none"/>
        </w:rPr>
        <w:t>3.</w:t>
      </w:r>
      <w:r>
        <w:rPr>
          <w:rFonts w:hint="eastAsia" w:hAnsi="宋体"/>
          <w:color w:val="000000"/>
          <w:sz w:val="21"/>
          <w:szCs w:val="21"/>
          <w:highlight w:val="none"/>
        </w:rPr>
        <w:t>被政府采购监管部门列入政府采购严重违法失信行为记录名单；</w:t>
      </w:r>
    </w:p>
    <w:p w14:paraId="6A962EE3">
      <w:pPr>
        <w:pStyle w:val="301"/>
        <w:spacing w:line="480" w:lineRule="auto"/>
        <w:ind w:firstLine="420"/>
        <w:rPr>
          <w:rFonts w:hAnsi="宋体"/>
          <w:color w:val="000000"/>
          <w:sz w:val="21"/>
          <w:szCs w:val="21"/>
          <w:highlight w:val="none"/>
        </w:rPr>
      </w:pPr>
      <w:r>
        <w:rPr>
          <w:rFonts w:hAnsi="宋体"/>
          <w:color w:val="000000"/>
          <w:sz w:val="21"/>
          <w:szCs w:val="21"/>
          <w:highlight w:val="none"/>
        </w:rPr>
        <w:t>4.</w:t>
      </w:r>
      <w:r>
        <w:rPr>
          <w:rFonts w:hint="eastAsia" w:hAnsi="宋体"/>
          <w:color w:val="000000"/>
          <w:sz w:val="21"/>
          <w:szCs w:val="21"/>
          <w:highlight w:val="none"/>
        </w:rPr>
        <w:t>不符合《政府采购法》第二十二条规定的条件。</w:t>
      </w:r>
    </w:p>
    <w:p w14:paraId="6D8ABECC">
      <w:pPr>
        <w:pStyle w:val="301"/>
        <w:spacing w:line="480" w:lineRule="auto"/>
        <w:ind w:firstLine="420"/>
        <w:rPr>
          <w:rFonts w:hAnsi="宋体"/>
          <w:color w:val="000000"/>
          <w:sz w:val="21"/>
          <w:szCs w:val="21"/>
          <w:highlight w:val="none"/>
        </w:rPr>
      </w:pPr>
      <w:r>
        <w:rPr>
          <w:rFonts w:hint="eastAsia" w:hAnsi="宋体"/>
          <w:color w:val="000000"/>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2F7775A4">
      <w:pPr>
        <w:pStyle w:val="301"/>
        <w:ind w:firstLine="400"/>
        <w:rPr>
          <w:rFonts w:ascii="Times New Roman" w:hAnsi="Times New Roman" w:eastAsia="等线"/>
          <w:color w:val="000000"/>
          <w:highlight w:val="none"/>
        </w:rPr>
      </w:pPr>
    </w:p>
    <w:p w14:paraId="262817AC">
      <w:pPr>
        <w:pStyle w:val="255"/>
        <w:ind w:left="214" w:firstLine="400"/>
        <w:rPr>
          <w:rFonts w:ascii="Times New Roman" w:hAnsi="Times New Roman" w:eastAsia="宋体"/>
          <w:highlight w:val="none"/>
        </w:rPr>
      </w:pPr>
    </w:p>
    <w:p w14:paraId="10FD0FA1">
      <w:pPr>
        <w:pStyle w:val="255"/>
        <w:ind w:left="214" w:firstLine="400"/>
        <w:rPr>
          <w:rFonts w:ascii="Times New Roman" w:hAnsi="Times New Roman" w:eastAsia="宋体"/>
          <w:highlight w:val="none"/>
        </w:rPr>
      </w:pPr>
    </w:p>
    <w:p w14:paraId="4C417CF2">
      <w:pPr>
        <w:pStyle w:val="255"/>
        <w:ind w:left="214" w:firstLine="400"/>
        <w:rPr>
          <w:rFonts w:ascii="Times New Roman" w:hAnsi="Times New Roman" w:eastAsia="宋体"/>
          <w:highlight w:val="none"/>
        </w:rPr>
      </w:pPr>
    </w:p>
    <w:p w14:paraId="63041794">
      <w:pPr>
        <w:pStyle w:val="255"/>
        <w:ind w:left="214" w:firstLine="400"/>
        <w:rPr>
          <w:rFonts w:ascii="Times New Roman" w:hAnsi="Times New Roman" w:eastAsia="宋体"/>
          <w:highlight w:val="none"/>
        </w:rPr>
      </w:pPr>
    </w:p>
    <w:p w14:paraId="4CAFE46E">
      <w:pPr>
        <w:spacing w:line="360" w:lineRule="auto"/>
        <w:ind w:left="214" w:firstLine="3990"/>
        <w:rPr>
          <w:rFonts w:ascii="Times New Roman" w:hAnsi="Times New Roman" w:eastAsia="宋体" w:cs="Microsoft New Tai Lue"/>
          <w:szCs w:val="21"/>
          <w:highlight w:val="none"/>
          <w:u w:val="single"/>
        </w:rPr>
      </w:pPr>
      <w:bookmarkStart w:id="368" w:name="_Toc102117326"/>
      <w:bookmarkStart w:id="369" w:name="_Toc103848596"/>
      <w:r>
        <w:rPr>
          <w:rFonts w:ascii="Times New Roman" w:hAnsi="Times New Roman" w:eastAsia="宋体" w:cs="Microsoft New Tai Lue"/>
          <w:bCs/>
          <w:highlight w:val="none"/>
        </w:rPr>
        <w:t>投标</w:t>
      </w:r>
      <w:r>
        <w:rPr>
          <w:rFonts w:hint="eastAsia" w:ascii="Times New Roman" w:hAnsi="Times New Roman" w:eastAsia="宋体" w:cs="Microsoft New Tai Lue"/>
          <w:bCs/>
          <w:highlight w:val="none"/>
        </w:rPr>
        <w:t>人</w:t>
      </w:r>
      <w:r>
        <w:rPr>
          <w:rFonts w:ascii="Times New Roman" w:hAnsi="Times New Roman" w:eastAsia="宋体" w:cs="Microsoft New Tai Lue"/>
          <w:bCs/>
          <w:highlight w:val="none"/>
        </w:rPr>
        <w:t>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50B3C8D4">
      <w:pPr>
        <w:spacing w:line="360" w:lineRule="auto"/>
        <w:ind w:left="214" w:firstLine="3990"/>
        <w:rPr>
          <w:rFonts w:ascii="Times New Roman" w:hAnsi="Times New Roman" w:eastAsia="宋体" w:cs="Microsoft New Tai Lue"/>
          <w:bCs/>
          <w:highlight w:val="none"/>
        </w:rPr>
      </w:pPr>
    </w:p>
    <w:p w14:paraId="57275207">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法定代表人（单位负责人）</w:t>
      </w:r>
    </w:p>
    <w:p w14:paraId="7B8CD815">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1C591936">
      <w:pPr>
        <w:ind w:left="214" w:firstLine="3990"/>
        <w:rPr>
          <w:rFonts w:ascii="Times New Roman" w:hAnsi="Times New Roman" w:eastAsia="宋体" w:cs="Microsoft New Tai Lue"/>
          <w:szCs w:val="21"/>
          <w:highlight w:val="none"/>
          <w:u w:val="single"/>
        </w:rPr>
      </w:pPr>
    </w:p>
    <w:p w14:paraId="02C8D643">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日</w:t>
      </w:r>
    </w:p>
    <w:p w14:paraId="4C849712">
      <w:pPr>
        <w:pStyle w:val="77"/>
        <w:spacing w:line="240" w:lineRule="atLeast"/>
        <w:ind w:left="455" w:hanging="241"/>
        <w:outlineLvl w:val="2"/>
        <w:rPr>
          <w:rFonts w:hint="eastAsia" w:ascii="Times New Roman" w:hAnsi="Times New Roman" w:eastAsia="宋体" w:cs="Microsoft New Tai Lue"/>
          <w:bCs w:val="0"/>
          <w:sz w:val="24"/>
          <w:szCs w:val="24"/>
          <w:highlight w:val="none"/>
          <w:lang w:val="en-US" w:eastAsia="zh-CN"/>
        </w:rPr>
      </w:pPr>
      <w:r>
        <w:rPr>
          <w:rFonts w:ascii="Times New Roman" w:hAnsi="Times New Roman" w:eastAsia="宋体" w:cs="Microsoft New Tai Lue"/>
          <w:bCs w:val="0"/>
          <w:sz w:val="24"/>
          <w:szCs w:val="24"/>
          <w:highlight w:val="none"/>
        </w:rPr>
        <w:br w:type="page" w:clear="all"/>
      </w:r>
      <w:bookmarkStart w:id="370" w:name="_Toc104560911"/>
      <w:bookmarkStart w:id="371" w:name="_Toc997216742"/>
      <w:bookmarkStart w:id="372" w:name="_Toc107246291"/>
      <w:r>
        <w:rPr>
          <w:rFonts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8</w:t>
      </w:r>
      <w:r>
        <w:rPr>
          <w:rFonts w:ascii="Times New Roman" w:hAnsi="Times New Roman" w:eastAsia="宋体" w:cs="Microsoft New Tai Lue"/>
          <w:bCs w:val="0"/>
          <w:sz w:val="24"/>
          <w:szCs w:val="24"/>
          <w:highlight w:val="none"/>
        </w:rPr>
        <w:t>）</w:t>
      </w:r>
      <w:r>
        <w:rPr>
          <w:rFonts w:hint="eastAsia" w:ascii="Times New Roman" w:hAnsi="Times New Roman" w:eastAsia="宋体" w:cs="Microsoft New Tai Lue"/>
          <w:bCs w:val="0"/>
          <w:sz w:val="24"/>
          <w:szCs w:val="24"/>
          <w:highlight w:val="none"/>
          <w:lang w:val="en-US" w:eastAsia="zh-CN"/>
        </w:rPr>
        <w:t>项目负责人无在建</w:t>
      </w:r>
      <w:r>
        <w:rPr>
          <w:rFonts w:hint="eastAsia" w:ascii="Times New Roman" w:hAnsi="Times New Roman" w:eastAsia="宋体" w:cs="Microsoft New Tai Lue"/>
          <w:bCs w:val="0"/>
          <w:sz w:val="24"/>
          <w:szCs w:val="24"/>
          <w:highlight w:val="none"/>
        </w:rPr>
        <w:t>承诺</w:t>
      </w:r>
      <w:r>
        <w:rPr>
          <w:rFonts w:hint="eastAsia" w:ascii="Times New Roman" w:hAnsi="Times New Roman" w:eastAsia="宋体" w:cs="Microsoft New Tai Lue"/>
          <w:bCs w:val="0"/>
          <w:sz w:val="24"/>
          <w:szCs w:val="24"/>
          <w:highlight w:val="none"/>
          <w:lang w:val="en-US" w:eastAsia="zh-CN"/>
        </w:rPr>
        <w:t>书</w:t>
      </w:r>
    </w:p>
    <w:p w14:paraId="6C1B5915">
      <w:pPr>
        <w:rPr>
          <w:highlight w:val="none"/>
        </w:rPr>
      </w:pPr>
    </w:p>
    <w:p w14:paraId="4674FB43">
      <w:pPr>
        <w:rPr>
          <w:rFonts w:hint="eastAsia" w:ascii="宋体" w:hAnsi="宋体" w:eastAsia="宋体" w:cs="宋体"/>
          <w:highlight w:val="none"/>
          <w:lang w:val="en-US" w:eastAsia="zh-CN"/>
        </w:rPr>
      </w:pPr>
    </w:p>
    <w:p w14:paraId="031DBA4E">
      <w:pPr>
        <w:jc w:val="center"/>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承诺书</w:t>
      </w:r>
    </w:p>
    <w:p w14:paraId="50F129AE">
      <w:pPr>
        <w:pStyle w:val="17"/>
        <w:spacing w:line="480" w:lineRule="auto"/>
        <w:ind w:firstLine="420"/>
        <w:rPr>
          <w:rFonts w:hint="eastAsia" w:ascii="宋体" w:hAnsi="宋体" w:eastAsia="宋体" w:cs="宋体"/>
          <w:color w:val="000000"/>
          <w:sz w:val="21"/>
          <w:szCs w:val="21"/>
          <w:highlight w:val="none"/>
        </w:rPr>
      </w:pPr>
    </w:p>
    <w:p w14:paraId="7F5CE91D">
      <w:pPr>
        <w:pStyle w:val="17"/>
        <w:keepNext w:val="0"/>
        <w:keepLines w:val="0"/>
        <w:pageBreakBefore w:val="0"/>
        <w:widowControl w:val="0"/>
        <w:kinsoku/>
        <w:wordWrap/>
        <w:overflowPunct/>
        <w:topLinePunct w:val="0"/>
        <w:autoSpaceDE/>
        <w:autoSpaceDN/>
        <w:bidi w:val="0"/>
        <w:adjustRightInd/>
        <w:snapToGrid/>
        <w:spacing w:line="480" w:lineRule="auto"/>
        <w:ind w:left="0" w:leftChars="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本单位郑重承诺，</w:t>
      </w:r>
      <w:r>
        <w:rPr>
          <w:rFonts w:hint="eastAsia" w:ascii="宋体" w:hAnsi="宋体" w:eastAsia="宋体" w:cs="宋体"/>
          <w:color w:val="000000"/>
          <w:sz w:val="21"/>
          <w:szCs w:val="21"/>
          <w:highlight w:val="none"/>
          <w:lang w:val="en-US" w:eastAsia="zh-CN"/>
        </w:rPr>
        <w:t>投标的项目负责人无在建工程。</w:t>
      </w:r>
    </w:p>
    <w:p w14:paraId="3845599C">
      <w:pPr>
        <w:rPr>
          <w:rFonts w:ascii="Times New Roman" w:hAnsi="Times New Roman" w:eastAsia="宋体" w:cs="Microsoft New Tai Lue"/>
          <w:bCs w:val="0"/>
          <w:sz w:val="24"/>
          <w:szCs w:val="24"/>
          <w:highlight w:val="none"/>
        </w:rPr>
      </w:pPr>
    </w:p>
    <w:p w14:paraId="10C583BD">
      <w:pPr>
        <w:spacing w:line="360" w:lineRule="auto"/>
        <w:ind w:left="214" w:firstLine="3990"/>
        <w:rPr>
          <w:rFonts w:ascii="Times New Roman" w:hAnsi="Times New Roman" w:eastAsia="宋体" w:cs="Microsoft New Tai Lue"/>
          <w:bCs/>
          <w:highlight w:val="none"/>
        </w:rPr>
      </w:pPr>
    </w:p>
    <w:p w14:paraId="13CD6B94">
      <w:pPr>
        <w:spacing w:line="360" w:lineRule="auto"/>
        <w:ind w:left="214" w:firstLine="3990"/>
        <w:rPr>
          <w:rFonts w:ascii="Times New Roman" w:hAnsi="Times New Roman" w:eastAsia="宋体" w:cs="Microsoft New Tai Lue"/>
          <w:bCs/>
          <w:highlight w:val="none"/>
        </w:rPr>
      </w:pPr>
    </w:p>
    <w:p w14:paraId="567F4F0A">
      <w:pPr>
        <w:spacing w:line="360" w:lineRule="auto"/>
        <w:ind w:left="214" w:firstLine="3990"/>
        <w:rPr>
          <w:rFonts w:ascii="Times New Roman" w:hAnsi="Times New Roman" w:eastAsia="宋体" w:cs="Microsoft New Tai Lue"/>
          <w:bCs/>
          <w:highlight w:val="none"/>
        </w:rPr>
      </w:pPr>
    </w:p>
    <w:p w14:paraId="6D7AD26D">
      <w:pPr>
        <w:spacing w:line="360" w:lineRule="auto"/>
        <w:ind w:left="214" w:firstLine="3990"/>
        <w:rPr>
          <w:rFonts w:ascii="Times New Roman" w:hAnsi="Times New Roman" w:eastAsia="宋体" w:cs="Microsoft New Tai Lue"/>
          <w:bCs/>
          <w:highlight w:val="none"/>
        </w:rPr>
      </w:pPr>
    </w:p>
    <w:p w14:paraId="51BA1B4B">
      <w:pPr>
        <w:spacing w:line="360" w:lineRule="auto"/>
        <w:ind w:left="214" w:firstLine="3990"/>
        <w:rPr>
          <w:rFonts w:ascii="Times New Roman" w:hAnsi="Times New Roman" w:eastAsia="宋体" w:cs="Microsoft New Tai Lue"/>
          <w:bCs/>
          <w:highlight w:val="none"/>
        </w:rPr>
      </w:pPr>
    </w:p>
    <w:p w14:paraId="7CCD8C14">
      <w:pPr>
        <w:spacing w:line="360" w:lineRule="auto"/>
        <w:ind w:left="214" w:firstLine="3990"/>
        <w:rPr>
          <w:rFonts w:ascii="Times New Roman" w:hAnsi="Times New Roman" w:eastAsia="宋体" w:cs="Microsoft New Tai Lue"/>
          <w:bCs/>
          <w:highlight w:val="none"/>
        </w:rPr>
      </w:pPr>
    </w:p>
    <w:p w14:paraId="05B27C78">
      <w:pPr>
        <w:spacing w:line="360" w:lineRule="auto"/>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投标</w:t>
      </w:r>
      <w:r>
        <w:rPr>
          <w:rFonts w:hint="eastAsia" w:ascii="Times New Roman" w:hAnsi="Times New Roman" w:eastAsia="宋体" w:cs="Microsoft New Tai Lue"/>
          <w:bCs/>
          <w:highlight w:val="none"/>
        </w:rPr>
        <w:t>人</w:t>
      </w:r>
      <w:r>
        <w:rPr>
          <w:rFonts w:ascii="Times New Roman" w:hAnsi="Times New Roman" w:eastAsia="宋体" w:cs="Microsoft New Tai Lue"/>
          <w:bCs/>
          <w:highlight w:val="none"/>
        </w:rPr>
        <w:t>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3C0852BE">
      <w:pPr>
        <w:spacing w:line="360" w:lineRule="auto"/>
        <w:ind w:left="214" w:firstLine="3990"/>
        <w:rPr>
          <w:rFonts w:ascii="Times New Roman" w:hAnsi="Times New Roman" w:eastAsia="宋体" w:cs="Microsoft New Tai Lue"/>
          <w:bCs/>
          <w:highlight w:val="none"/>
        </w:rPr>
      </w:pPr>
    </w:p>
    <w:p w14:paraId="49568ABC">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法定代表人（单位负责人）</w:t>
      </w:r>
    </w:p>
    <w:p w14:paraId="37D9F008">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754A4420">
      <w:pPr>
        <w:ind w:left="214" w:firstLine="3990"/>
        <w:rPr>
          <w:rFonts w:ascii="Times New Roman" w:hAnsi="Times New Roman" w:eastAsia="宋体" w:cs="Microsoft New Tai Lue"/>
          <w:szCs w:val="21"/>
          <w:highlight w:val="none"/>
          <w:u w:val="single"/>
        </w:rPr>
      </w:pPr>
    </w:p>
    <w:p w14:paraId="7D057A84">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日</w:t>
      </w:r>
    </w:p>
    <w:p w14:paraId="25384527">
      <w:pPr>
        <w:rPr>
          <w:rFonts w:ascii="Times New Roman" w:hAnsi="Times New Roman" w:eastAsia="宋体" w:cs="Microsoft New Tai Lue"/>
          <w:bCs/>
          <w:highlight w:val="none"/>
        </w:rPr>
      </w:pPr>
      <w:r>
        <w:rPr>
          <w:rFonts w:ascii="Times New Roman" w:hAnsi="Times New Roman" w:eastAsia="宋体" w:cs="Microsoft New Tai Lue"/>
          <w:bCs/>
          <w:highlight w:val="none"/>
        </w:rPr>
        <w:br w:type="page"/>
      </w:r>
    </w:p>
    <w:p w14:paraId="25FC05E0">
      <w:pPr>
        <w:pStyle w:val="77"/>
        <w:spacing w:line="240" w:lineRule="atLeast"/>
        <w:ind w:left="455" w:hanging="241"/>
        <w:outlineLvl w:val="2"/>
        <w:rPr>
          <w:rFonts w:hint="default" w:ascii="Times New Roman" w:hAnsi="Times New Roman" w:eastAsia="宋体" w:cs="Microsoft New Tai Lue"/>
          <w:bCs w:val="0"/>
          <w:sz w:val="24"/>
          <w:szCs w:val="24"/>
          <w:highlight w:val="none"/>
          <w:lang w:val="en-US" w:eastAsia="zh-CN"/>
        </w:rPr>
      </w:pPr>
      <w:r>
        <w:rPr>
          <w:rFonts w:hint="eastAsia" w:ascii="Times New Roman" w:hAnsi="Times New Roman" w:eastAsia="宋体" w:cs="Microsoft New Tai Lue"/>
          <w:bCs w:val="0"/>
          <w:sz w:val="24"/>
          <w:szCs w:val="24"/>
          <w:highlight w:val="none"/>
          <w:lang w:val="en-US" w:eastAsia="zh-CN"/>
        </w:rPr>
        <w:t>（9）企业和人员相关资质</w:t>
      </w:r>
    </w:p>
    <w:p w14:paraId="26C1316B">
      <w:pPr>
        <w:rPr>
          <w:rFonts w:ascii="Times New Roman" w:hAnsi="Times New Roman" w:eastAsia="宋体" w:cs="Microsoft New Tai Lue"/>
          <w:bCs w:val="0"/>
          <w:sz w:val="24"/>
          <w:szCs w:val="24"/>
          <w:highlight w:val="none"/>
        </w:rPr>
      </w:pPr>
    </w:p>
    <w:p w14:paraId="2D26F5BE">
      <w:pPr>
        <w:spacing w:line="360" w:lineRule="auto"/>
        <w:ind w:firstLine="42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供应商具有专业承包电子与智能化工程二级(含)以上资质（提供有效的证书复印件并加盖公章）；</w:t>
      </w:r>
    </w:p>
    <w:p w14:paraId="76557B88">
      <w:pPr>
        <w:spacing w:line="360" w:lineRule="auto"/>
        <w:ind w:firstLine="42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供应商具备有效的安全生产许可证（提供证书复印件加盖公章）；</w:t>
      </w:r>
    </w:p>
    <w:p w14:paraId="7E1801EE">
      <w:pPr>
        <w:spacing w:line="360" w:lineRule="auto"/>
        <w:ind w:firstLine="42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项目负责人具备注册建造师证机电工程二级(含)以上资质并且具有有效的安全生产考核合格证书(B类证)；(提供有效的证书复印件加盖公章)。</w:t>
      </w:r>
    </w:p>
    <w:p w14:paraId="7374E4AA">
      <w:pPr>
        <w:spacing w:line="360" w:lineRule="auto"/>
        <w:ind w:firstLine="42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投标的项目负责人无在建工程（符合并提供加盖公章的承诺书）</w:t>
      </w:r>
    </w:p>
    <w:p w14:paraId="7EAD5EE7">
      <w:pPr>
        <w:spacing w:line="360" w:lineRule="auto"/>
        <w:ind w:firstLine="42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本项目必须设置专职安全员，专职安全员具有省级及以上主管部门核发的《安全生产管理人员安全生产考核合格证书》C类证书。(提供有效的证书复印件加盖公章)</w:t>
      </w:r>
    </w:p>
    <w:p w14:paraId="1777C253">
      <w:pPr>
        <w:rPr>
          <w:rFonts w:ascii="Times New Roman" w:hAnsi="Times New Roman" w:eastAsia="宋体" w:cs="Microsoft New Tai Lue"/>
          <w:bCs w:val="0"/>
          <w:sz w:val="24"/>
          <w:szCs w:val="24"/>
          <w:highlight w:val="none"/>
        </w:rPr>
      </w:pPr>
    </w:p>
    <w:p w14:paraId="50B4603C">
      <w:pPr>
        <w:rPr>
          <w:rFonts w:ascii="Times New Roman" w:hAnsi="Times New Roman" w:eastAsia="宋体" w:cs="Microsoft New Tai Lue"/>
          <w:bCs w:val="0"/>
          <w:sz w:val="24"/>
          <w:szCs w:val="24"/>
          <w:highlight w:val="none"/>
        </w:rPr>
      </w:pPr>
    </w:p>
    <w:p w14:paraId="59059382">
      <w:pPr>
        <w:rPr>
          <w:rFonts w:ascii="Times New Roman" w:hAnsi="Times New Roman" w:eastAsia="宋体" w:cs="Microsoft New Tai Lue"/>
          <w:bCs w:val="0"/>
          <w:sz w:val="24"/>
          <w:szCs w:val="24"/>
          <w:highlight w:val="none"/>
        </w:rPr>
      </w:pPr>
    </w:p>
    <w:p w14:paraId="257D7E25">
      <w:pPr>
        <w:rPr>
          <w:rFonts w:ascii="Times New Roman" w:hAnsi="Times New Roman" w:eastAsia="宋体" w:cs="Microsoft New Tai Lue"/>
          <w:bCs w:val="0"/>
          <w:sz w:val="24"/>
          <w:szCs w:val="24"/>
          <w:highlight w:val="none"/>
        </w:rPr>
      </w:pPr>
    </w:p>
    <w:p w14:paraId="0BC9DAC2">
      <w:pPr>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br w:type="page"/>
      </w:r>
    </w:p>
    <w:p w14:paraId="505DA2C0">
      <w:pPr>
        <w:pStyle w:val="77"/>
        <w:spacing w:line="240" w:lineRule="atLeast"/>
        <w:ind w:left="455" w:hanging="241"/>
        <w:outlineLvl w:val="2"/>
        <w:rPr>
          <w:rFonts w:ascii="Times New Roman" w:hAnsi="Times New Roman" w:eastAsia="宋体" w:cs="Microsoft New Tai Lue"/>
          <w:bCs w:val="0"/>
          <w:sz w:val="24"/>
          <w:szCs w:val="24"/>
          <w:highlight w:val="none"/>
        </w:rPr>
      </w:pPr>
      <w:r>
        <w:rPr>
          <w:rFonts w:ascii="Times New Roman" w:hAnsi="Times New Roman" w:eastAsia="宋体" w:cs="Microsoft New Tai Lue"/>
          <w:bCs w:val="0"/>
          <w:sz w:val="24"/>
          <w:szCs w:val="24"/>
          <w:highlight w:val="none"/>
        </w:rPr>
        <w:t>（</w:t>
      </w:r>
      <w:r>
        <w:rPr>
          <w:rFonts w:hint="eastAsia" w:ascii="Times New Roman" w:hAnsi="Times New Roman" w:cs="Microsoft New Tai Lue"/>
          <w:bCs w:val="0"/>
          <w:sz w:val="24"/>
          <w:szCs w:val="24"/>
          <w:highlight w:val="none"/>
          <w:lang w:val="en-US" w:eastAsia="zh-CN"/>
        </w:rPr>
        <w:t>10</w:t>
      </w:r>
      <w:r>
        <w:rPr>
          <w:rFonts w:ascii="Times New Roman" w:hAnsi="Times New Roman" w:eastAsia="宋体" w:cs="Microsoft New Tai Lue"/>
          <w:bCs w:val="0"/>
          <w:sz w:val="24"/>
          <w:szCs w:val="24"/>
          <w:highlight w:val="none"/>
        </w:rPr>
        <w:t>）</w:t>
      </w:r>
      <w:bookmarkEnd w:id="368"/>
      <w:r>
        <w:rPr>
          <w:rFonts w:ascii="Times New Roman" w:hAnsi="Times New Roman" w:eastAsia="宋体" w:cs="Microsoft New Tai Lue"/>
          <w:bCs w:val="0"/>
          <w:sz w:val="24"/>
          <w:szCs w:val="24"/>
          <w:highlight w:val="none"/>
        </w:rPr>
        <w:t>招标文件要求的其它实质性资格资信证明文件</w:t>
      </w:r>
      <w:bookmarkEnd w:id="370"/>
      <w:bookmarkEnd w:id="371"/>
      <w:bookmarkEnd w:id="372"/>
    </w:p>
    <w:p w14:paraId="57F3C03D">
      <w:pPr>
        <w:pStyle w:val="77"/>
        <w:keepNext w:val="0"/>
        <w:keepLines w:val="0"/>
        <w:pageBreakBefore w:val="0"/>
        <w:widowControl w:val="0"/>
        <w:spacing w:before="313" w:after="157" w:line="240" w:lineRule="auto"/>
        <w:ind w:left="238" w:hanging="238"/>
        <w:outlineLvl w:val="9"/>
        <w:rPr>
          <w:rFonts w:hint="eastAsia" w:ascii="Times New Roman" w:hAnsi="Times New Roman" w:eastAsia="宋体"/>
          <w:b w:val="0"/>
          <w:bCs w:val="0"/>
          <w:sz w:val="21"/>
          <w:szCs w:val="21"/>
          <w:highlight w:val="none"/>
        </w:rPr>
      </w:pPr>
      <w:bookmarkStart w:id="373" w:name="_Toc107246292"/>
    </w:p>
    <w:p w14:paraId="2CF91F13">
      <w:pPr>
        <w:pStyle w:val="77"/>
        <w:keepNext w:val="0"/>
        <w:keepLines w:val="0"/>
        <w:pageBreakBefore w:val="0"/>
        <w:widowControl w:val="0"/>
        <w:spacing w:before="313" w:after="157" w:line="240" w:lineRule="auto"/>
        <w:ind w:left="238" w:hanging="238"/>
        <w:outlineLvl w:val="1"/>
        <w:rPr>
          <w:rFonts w:hint="eastAsia" w:ascii="Times New Roman" w:hAnsi="Times New Roman" w:eastAsia="宋体" w:cs="Microsoft New Tai Lue"/>
          <w:b/>
          <w:bCs w:val="0"/>
          <w:sz w:val="24"/>
          <w:highlight w:val="none"/>
        </w:rPr>
      </w:pPr>
      <w:r>
        <w:rPr>
          <w:rFonts w:hint="eastAsia" w:ascii="Times New Roman" w:hAnsi="Times New Roman" w:eastAsia="宋体"/>
          <w:b w:val="0"/>
          <w:bCs w:val="0"/>
          <w:sz w:val="21"/>
          <w:szCs w:val="21"/>
          <w:highlight w:val="none"/>
        </w:rPr>
        <w:br w:type="page" w:clear="all"/>
      </w:r>
      <w:bookmarkEnd w:id="369"/>
      <w:bookmarkEnd w:id="373"/>
      <w:bookmarkStart w:id="374" w:name="_Toc1259401606"/>
      <w:r>
        <w:rPr>
          <w:rFonts w:hint="eastAsia" w:ascii="Times New Roman" w:hAnsi="Times New Roman" w:eastAsia="宋体" w:cs="Microsoft New Tai Lue"/>
          <w:b/>
          <w:bCs w:val="0"/>
          <w:sz w:val="24"/>
          <w:highlight w:val="none"/>
          <w:lang w:val="en-US" w:eastAsia="zh-CN"/>
        </w:rPr>
        <w:t>三</w:t>
      </w:r>
      <w:r>
        <w:rPr>
          <w:rFonts w:hint="eastAsia" w:ascii="Times New Roman" w:hAnsi="Times New Roman" w:eastAsia="宋体" w:cs="Microsoft New Tai Lue"/>
          <w:b/>
          <w:bCs w:val="0"/>
          <w:sz w:val="24"/>
          <w:highlight w:val="none"/>
        </w:rPr>
        <w:t>、商务文件</w:t>
      </w:r>
      <w:bookmarkEnd w:id="374"/>
    </w:p>
    <w:p w14:paraId="7886EF3D">
      <w:pPr>
        <w:pStyle w:val="77"/>
        <w:ind w:left="455" w:hanging="241"/>
        <w:outlineLvl w:val="2"/>
        <w:rPr>
          <w:rFonts w:hint="eastAsia" w:ascii="Times New Roman" w:hAnsi="Times New Roman" w:eastAsia="宋体" w:cs="Microsoft New Tai Lue"/>
          <w:bCs w:val="0"/>
          <w:sz w:val="24"/>
          <w:szCs w:val="24"/>
          <w:highlight w:val="none"/>
          <w:lang w:val="en-US" w:eastAsia="zh-CN"/>
        </w:rPr>
      </w:pPr>
      <w:bookmarkStart w:id="375" w:name="_Toc1163967210"/>
      <w:r>
        <w:rPr>
          <w:rFonts w:ascii="Times New Roman" w:hAnsi="Times New Roman" w:eastAsia="宋体" w:cs="Microsoft New Tai Lue"/>
          <w:bCs w:val="0"/>
          <w:sz w:val="24"/>
          <w:szCs w:val="24"/>
          <w:highlight w:val="none"/>
        </w:rPr>
        <w:t>（</w:t>
      </w:r>
      <w:r>
        <w:rPr>
          <w:rFonts w:hint="eastAsia" w:ascii="Times New Roman" w:hAnsi="Times New Roman" w:eastAsia="宋体" w:cs="Microsoft New Tai Lue"/>
          <w:bCs w:val="0"/>
          <w:sz w:val="24"/>
          <w:szCs w:val="24"/>
          <w:highlight w:val="none"/>
          <w:lang w:val="en-US" w:eastAsia="zh-CN"/>
        </w:rPr>
        <w:t>1</w:t>
      </w:r>
      <w:r>
        <w:rPr>
          <w:rFonts w:ascii="Times New Roman" w:hAnsi="Times New Roman" w:eastAsia="宋体" w:cs="Microsoft New Tai Lue"/>
          <w:bCs w:val="0"/>
          <w:sz w:val="24"/>
          <w:szCs w:val="24"/>
          <w:highlight w:val="none"/>
        </w:rPr>
        <w:t>）开标一览表</w:t>
      </w:r>
      <w:bookmarkEnd w:id="316"/>
      <w:bookmarkEnd w:id="326"/>
      <w:bookmarkEnd w:id="327"/>
      <w:bookmarkEnd w:id="375"/>
      <w:bookmarkStart w:id="376" w:name="_Toc103848581"/>
    </w:p>
    <w:p w14:paraId="5173AF57">
      <w:pPr>
        <w:spacing w:before="65" w:line="228" w:lineRule="auto"/>
        <w:ind w:left="422" w:hanging="208"/>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4"/>
          <w:sz w:val="20"/>
          <w:szCs w:val="20"/>
          <w:highlight w:val="none"/>
        </w:rPr>
        <w:t>项目名称：</w:t>
      </w:r>
      <w:r>
        <w:rPr>
          <w:rFonts w:hint="eastAsia" w:cs="宋体"/>
          <w:spacing w:val="4"/>
          <w:sz w:val="20"/>
          <w:szCs w:val="20"/>
          <w:highlight w:val="none"/>
          <w:lang w:eastAsia="zh-CN"/>
        </w:rPr>
        <w:t>2026年高管中心机关三楼会议系统改造项目</w:t>
      </w:r>
    </w:p>
    <w:p w14:paraId="33C1E8FE">
      <w:pPr>
        <w:spacing w:before="65" w:line="228" w:lineRule="auto"/>
        <w:ind w:left="420" w:hanging="206"/>
        <w:rPr>
          <w:rFonts w:hint="eastAsia" w:ascii="Times New Roman" w:hAnsi="Times New Roman" w:eastAsia="宋体" w:cs="宋体"/>
          <w:spacing w:val="3"/>
          <w:sz w:val="20"/>
          <w:szCs w:val="20"/>
          <w:highlight w:val="none"/>
          <w:lang w:eastAsia="zh-CN"/>
        </w:rPr>
      </w:pPr>
      <w:r>
        <w:rPr>
          <w:rFonts w:ascii="Times New Roman" w:hAnsi="Times New Roman" w:eastAsia="宋体" w:cs="宋体"/>
          <w:spacing w:val="3"/>
          <w:sz w:val="20"/>
          <w:szCs w:val="20"/>
          <w:highlight w:val="none"/>
        </w:rPr>
        <w:t>项目编号</w:t>
      </w:r>
      <w:r>
        <w:rPr>
          <w:rFonts w:ascii="Times New Roman" w:hAnsi="Times New Roman" w:eastAsia="宋体" w:cs="宋体"/>
          <w:spacing w:val="4"/>
          <w:sz w:val="20"/>
          <w:szCs w:val="20"/>
          <w:highlight w:val="none"/>
        </w:rPr>
        <w:t>：</w:t>
      </w:r>
    </w:p>
    <w:p w14:paraId="2ED77391">
      <w:pPr>
        <w:spacing w:line="130" w:lineRule="exact"/>
        <w:rPr>
          <w:rFonts w:ascii="Times New Roman" w:hAnsi="Times New Roman" w:eastAsia="宋体"/>
          <w:highlight w:val="none"/>
        </w:rPr>
      </w:pPr>
    </w:p>
    <w:tbl>
      <w:tblPr>
        <w:tblStyle w:val="32"/>
        <w:tblW w:w="500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599"/>
        <w:gridCol w:w="7117"/>
      </w:tblGrid>
      <w:tr w14:paraId="07A2B42D">
        <w:trPr>
          <w:trHeight w:val="1439" w:hRule="atLeast"/>
          <w:jc w:val="center"/>
        </w:trPr>
        <w:tc>
          <w:tcPr>
            <w:tcW w:w="1337" w:type="dxa"/>
            <w:noWrap w:val="0"/>
            <w:vAlign w:val="center"/>
          </w:tcPr>
          <w:p w14:paraId="25E17F4E">
            <w:pPr>
              <w:keepNext w:val="0"/>
              <w:keepLines w:val="0"/>
              <w:pageBreakBefore w:val="0"/>
              <w:widowControl w:val="0"/>
              <w:ind w:left="0" w:firstLine="0"/>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投标总报价</w:t>
            </w:r>
          </w:p>
        </w:tc>
        <w:tc>
          <w:tcPr>
            <w:tcW w:w="3662" w:type="dxa"/>
            <w:noWrap w:val="0"/>
            <w:vAlign w:val="center"/>
          </w:tcPr>
          <w:p w14:paraId="434E2132">
            <w:pPr>
              <w:keepNext w:val="0"/>
              <w:keepLines w:val="0"/>
              <w:pageBreakBefore w:val="0"/>
              <w:widowControl w:val="0"/>
              <w:ind w:left="0" w:firstLine="0"/>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lang w:val="en-US" w:eastAsia="zh-CN" w:bidi="ar-SA"/>
              </w:rPr>
              <w:t>元</w:t>
            </w:r>
          </w:p>
        </w:tc>
      </w:tr>
      <w:tr w14:paraId="69E089F6">
        <w:trPr>
          <w:trHeight w:val="949" w:hRule="atLeast"/>
          <w:jc w:val="center"/>
        </w:trPr>
        <w:tc>
          <w:tcPr>
            <w:tcW w:w="1337" w:type="dxa"/>
            <w:noWrap w:val="0"/>
            <w:vAlign w:val="center"/>
          </w:tcPr>
          <w:p w14:paraId="11B737A1">
            <w:pPr>
              <w:keepNext w:val="0"/>
              <w:keepLines w:val="0"/>
              <w:pageBreakBefore w:val="0"/>
              <w:widowControl w:val="0"/>
              <w:ind w:left="0" w:firstLine="0"/>
              <w:jc w:val="center"/>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bidi="ar-SA"/>
              </w:rPr>
              <w:t>工</w:t>
            </w:r>
            <w:r>
              <w:rPr>
                <w:rFonts w:hint="eastAsia" w:ascii="Times New Roman" w:hAnsi="Times New Roman" w:eastAsia="宋体" w:cs="Times New Roman"/>
                <w:sz w:val="24"/>
                <w:szCs w:val="24"/>
                <w:highlight w:val="none"/>
                <w:lang w:val="en-US" w:eastAsia="zh-CN" w:bidi="ar-SA"/>
              </w:rPr>
              <w:t>期</w:t>
            </w:r>
          </w:p>
        </w:tc>
        <w:tc>
          <w:tcPr>
            <w:tcW w:w="3662" w:type="dxa"/>
            <w:noWrap w:val="0"/>
            <w:vAlign w:val="center"/>
          </w:tcPr>
          <w:p w14:paraId="3F60B50A">
            <w:pPr>
              <w:keepNext w:val="0"/>
              <w:keepLines w:val="0"/>
              <w:pageBreakBefore w:val="0"/>
              <w:widowControl w:val="0"/>
              <w:ind w:left="0" w:firstLine="0"/>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响应招标文件要求</w:t>
            </w:r>
          </w:p>
        </w:tc>
      </w:tr>
      <w:tr w14:paraId="2142BF96">
        <w:trPr>
          <w:trHeight w:val="949" w:hRule="atLeast"/>
          <w:jc w:val="center"/>
        </w:trPr>
        <w:tc>
          <w:tcPr>
            <w:tcW w:w="1337" w:type="dxa"/>
            <w:noWrap w:val="0"/>
            <w:vAlign w:val="center"/>
          </w:tcPr>
          <w:p w14:paraId="04DA16D5">
            <w:pPr>
              <w:keepNext w:val="0"/>
              <w:keepLines w:val="0"/>
              <w:pageBreakBefore w:val="0"/>
              <w:widowControl w:val="0"/>
              <w:ind w:left="0" w:firstLine="0"/>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付款方式</w:t>
            </w:r>
          </w:p>
        </w:tc>
        <w:tc>
          <w:tcPr>
            <w:tcW w:w="3662" w:type="dxa"/>
            <w:noWrap w:val="0"/>
            <w:vAlign w:val="center"/>
          </w:tcPr>
          <w:p w14:paraId="0CBB0C5A">
            <w:pPr>
              <w:keepNext w:val="0"/>
              <w:keepLines w:val="0"/>
              <w:pageBreakBefore w:val="0"/>
              <w:widowControl w:val="0"/>
              <w:ind w:left="0" w:firstLine="0"/>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响应招标文件要求</w:t>
            </w:r>
          </w:p>
        </w:tc>
      </w:tr>
      <w:tr w14:paraId="388F3619">
        <w:trPr>
          <w:trHeight w:val="949" w:hRule="atLeast"/>
          <w:jc w:val="center"/>
        </w:trPr>
        <w:tc>
          <w:tcPr>
            <w:tcW w:w="1337" w:type="dxa"/>
            <w:noWrap w:val="0"/>
            <w:vAlign w:val="center"/>
          </w:tcPr>
          <w:p w14:paraId="09A3C3DF">
            <w:pPr>
              <w:keepNext w:val="0"/>
              <w:keepLines w:val="0"/>
              <w:pageBreakBefore w:val="0"/>
              <w:widowControl w:val="0"/>
              <w:ind w:left="0" w:firstLine="0"/>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备注</w:t>
            </w:r>
          </w:p>
        </w:tc>
        <w:tc>
          <w:tcPr>
            <w:tcW w:w="3662" w:type="dxa"/>
            <w:noWrap w:val="0"/>
            <w:vAlign w:val="center"/>
          </w:tcPr>
          <w:p w14:paraId="04BC029A">
            <w:pPr>
              <w:keepNext w:val="0"/>
              <w:keepLines w:val="0"/>
              <w:pageBreakBefore w:val="0"/>
              <w:widowControl w:val="0"/>
              <w:ind w:left="0" w:firstLine="0"/>
              <w:jc w:val="center"/>
              <w:rPr>
                <w:rFonts w:hint="eastAsia" w:ascii="Times New Roman" w:hAnsi="Times New Roman" w:eastAsia="宋体" w:cs="Times New Roman"/>
                <w:sz w:val="24"/>
                <w:szCs w:val="24"/>
                <w:highlight w:val="none"/>
                <w:lang w:val="en-US" w:eastAsia="zh-CN" w:bidi="ar-SA"/>
              </w:rPr>
            </w:pPr>
          </w:p>
        </w:tc>
      </w:tr>
    </w:tbl>
    <w:p w14:paraId="3A318992">
      <w:pPr>
        <w:spacing w:before="65" w:line="227" w:lineRule="auto"/>
        <w:ind w:left="430" w:hanging="216"/>
        <w:rPr>
          <w:rFonts w:ascii="Times New Roman" w:hAnsi="Times New Roman" w:eastAsia="宋体" w:cs="宋体"/>
          <w:spacing w:val="8"/>
          <w:sz w:val="20"/>
          <w:szCs w:val="20"/>
          <w:highlight w:val="none"/>
        </w:rPr>
      </w:pPr>
    </w:p>
    <w:p w14:paraId="1521C002">
      <w:pPr>
        <w:spacing w:before="65" w:line="227" w:lineRule="auto"/>
        <w:ind w:left="430" w:hanging="216"/>
        <w:rPr>
          <w:rFonts w:ascii="Times New Roman" w:hAnsi="Times New Roman" w:eastAsia="宋体" w:cs="宋体"/>
          <w:spacing w:val="8"/>
          <w:sz w:val="20"/>
          <w:szCs w:val="20"/>
          <w:highlight w:val="none"/>
        </w:rPr>
      </w:pPr>
    </w:p>
    <w:p w14:paraId="71A72DBE">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投标人名称（公章）：</w:t>
      </w:r>
    </w:p>
    <w:p w14:paraId="7DA22EED">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法定代表人（单位负责人）</w:t>
      </w:r>
    </w:p>
    <w:p w14:paraId="3BE7614A">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或其授权代表（签字或盖章）：</w:t>
      </w:r>
    </w:p>
    <w:p w14:paraId="3F55F3DE">
      <w:pPr>
        <w:spacing w:line="360" w:lineRule="auto"/>
        <w:rPr>
          <w:rFonts w:hint="eastAsia" w:ascii="Times New Roman" w:hAnsi="Times New Roman" w:eastAsia="宋体" w:cs="Times New Roman"/>
          <w:sz w:val="24"/>
          <w:szCs w:val="32"/>
          <w:highlight w:val="none"/>
          <w:lang w:val="en-US" w:eastAsia="zh-CN"/>
        </w:rPr>
      </w:pPr>
    </w:p>
    <w:p w14:paraId="22B53234">
      <w:pPr>
        <w:spacing w:line="360" w:lineRule="auto"/>
        <w:rPr>
          <w:rFonts w:hint="eastAsia" w:ascii="Times New Roman" w:hAnsi="Times New Roman" w:eastAsia="宋体" w:cs="Times New Roman"/>
          <w:sz w:val="24"/>
          <w:szCs w:val="32"/>
          <w:highlight w:val="none"/>
          <w:lang w:val="en-US" w:eastAsia="zh-CN"/>
        </w:rPr>
      </w:pPr>
    </w:p>
    <w:p w14:paraId="094B9967">
      <w:pPr>
        <w:spacing w:line="360" w:lineRule="auto"/>
        <w:rPr>
          <w:rFonts w:hint="eastAsia"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日   期：</w:t>
      </w:r>
    </w:p>
    <w:p w14:paraId="55703B64">
      <w:pPr>
        <w:spacing w:line="360" w:lineRule="auto"/>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sz w:val="24"/>
          <w:szCs w:val="32"/>
          <w:highlight w:val="none"/>
          <w:lang w:val="en-US" w:eastAsia="zh-CN"/>
        </w:rPr>
        <w:t>注：</w:t>
      </w:r>
      <w:r>
        <w:rPr>
          <w:rFonts w:hint="eastAsia" w:ascii="Times New Roman" w:hAnsi="Times New Roman" w:eastAsia="宋体" w:cs="Times New Roman"/>
          <w:b/>
          <w:bCs/>
          <w:sz w:val="24"/>
          <w:szCs w:val="32"/>
          <w:highlight w:val="none"/>
          <w:lang w:val="en-US" w:eastAsia="zh-CN"/>
        </w:rPr>
        <w:t>本项目仅接受一个价格，不得填报有选择性报价方案。</w:t>
      </w:r>
    </w:p>
    <w:p w14:paraId="6FF69482">
      <w:pPr>
        <w:rPr>
          <w:rFonts w:hint="eastAsia" w:ascii="Times New Roman" w:hAnsi="Times New Roman" w:eastAsia="宋体" w:cs="Times New Roman"/>
          <w:b/>
          <w:bCs/>
          <w:sz w:val="24"/>
          <w:szCs w:val="32"/>
          <w:highlight w:val="none"/>
          <w:lang w:val="en-US" w:eastAsia="zh-CN"/>
        </w:rPr>
      </w:pPr>
      <w:r>
        <w:rPr>
          <w:rFonts w:hint="eastAsia" w:ascii="Times New Roman" w:hAnsi="Times New Roman" w:eastAsia="宋体" w:cs="Times New Roman"/>
          <w:b/>
          <w:bCs/>
          <w:sz w:val="24"/>
          <w:szCs w:val="32"/>
          <w:highlight w:val="none"/>
          <w:lang w:val="en-US" w:eastAsia="zh-CN"/>
        </w:rPr>
        <w:br w:type="page" w:clear="all"/>
      </w:r>
    </w:p>
    <w:p w14:paraId="12364889">
      <w:pPr>
        <w:spacing w:line="130" w:lineRule="exact"/>
        <w:rPr>
          <w:rFonts w:ascii="Times New Roman" w:hAnsi="Times New Roman" w:eastAsia="宋体"/>
          <w:highlight w:val="none"/>
        </w:rPr>
      </w:pPr>
    </w:p>
    <w:p w14:paraId="4A783A03">
      <w:pPr>
        <w:pStyle w:val="77"/>
        <w:rPr>
          <w:rFonts w:ascii="Microsoft New Tai Lue" w:hAnsi="Microsoft New Tai Lue" w:eastAsia="宋体" w:cs="Microsoft New Tai Lue"/>
          <w:b/>
          <w:color w:val="000000"/>
          <w:sz w:val="24"/>
          <w:highlight w:val="none"/>
          <w:lang w:val="en-US" w:eastAsia="zh-CN"/>
        </w:rPr>
      </w:pPr>
      <w:bookmarkStart w:id="377" w:name="_Toc14397"/>
      <w:bookmarkStart w:id="378" w:name="_Toc23129"/>
      <w:r>
        <w:rPr>
          <w:rFonts w:ascii="Microsoft New Tai Lue" w:hAnsi="Microsoft New Tai Lue" w:cs="Microsoft New Tai Lue"/>
          <w:b/>
          <w:bCs/>
          <w:color w:val="000000"/>
          <w:sz w:val="24"/>
          <w:highlight w:val="none"/>
        </w:rPr>
        <w:t>（</w:t>
      </w:r>
      <w:r>
        <w:rPr>
          <w:rFonts w:hint="eastAsia" w:ascii="Microsoft New Tai Lue" w:hAnsi="Microsoft New Tai Lue" w:cs="Microsoft New Tai Lue"/>
          <w:b/>
          <w:bCs/>
          <w:color w:val="000000"/>
          <w:sz w:val="24"/>
          <w:highlight w:val="none"/>
          <w:lang w:val="en-US" w:eastAsia="zh-CN"/>
        </w:rPr>
        <w:t>2</w:t>
      </w:r>
      <w:r>
        <w:rPr>
          <w:rFonts w:ascii="Microsoft New Tai Lue" w:hAnsi="Microsoft New Tai Lue" w:cs="Microsoft New Tai Lue"/>
          <w:b/>
          <w:bCs/>
          <w:color w:val="000000"/>
          <w:sz w:val="24"/>
          <w:highlight w:val="none"/>
        </w:rPr>
        <w:t>）</w:t>
      </w:r>
      <w:r>
        <w:rPr>
          <w:rFonts w:hint="eastAsia" w:ascii="Microsoft New Tai Lue" w:hAnsi="Microsoft New Tai Lue" w:cs="Microsoft New Tai Lue"/>
          <w:b/>
          <w:bCs/>
          <w:color w:val="000000"/>
          <w:sz w:val="24"/>
          <w:highlight w:val="none"/>
          <w:lang w:val="en-US" w:eastAsia="zh-CN"/>
        </w:rPr>
        <w:t>分项报价表</w:t>
      </w:r>
      <w:bookmarkEnd w:id="377"/>
      <w:bookmarkEnd w:id="378"/>
    </w:p>
    <w:p w14:paraId="5E793DFD">
      <w:pPr>
        <w:rPr>
          <w:rFonts w:ascii="Microsoft New Tai Lue" w:hAnsi="Microsoft New Tai Lue" w:cs="Microsoft New Tai Lue"/>
          <w:bCs/>
          <w:color w:val="000000"/>
          <w:sz w:val="24"/>
          <w:highlight w:val="none"/>
        </w:rPr>
      </w:pPr>
    </w:p>
    <w:p w14:paraId="4946D903">
      <w:pPr>
        <w:pStyle w:val="52"/>
        <w:ind w:left="0"/>
        <w:rPr>
          <w:rFonts w:ascii="Microsoft New Tai Lue" w:hAnsi="Microsoft New Tai Lue" w:cs="Microsoft New Tai Lue"/>
          <w:b w:val="0"/>
          <w:bCs/>
          <w:color w:val="000000"/>
          <w:highlight w:val="none"/>
        </w:rPr>
      </w:pPr>
    </w:p>
    <w:p w14:paraId="0D8BBC68">
      <w:pPr>
        <w:pStyle w:val="52"/>
        <w:ind w:left="0"/>
        <w:jc w:val="center"/>
        <w:rPr>
          <w:rFonts w:ascii="Times New Roman" w:hAnsi="Times New Roman" w:eastAsia="宋体" w:cs="Microsoft New Tai Lue"/>
          <w:bCs w:val="0"/>
          <w:sz w:val="24"/>
          <w:szCs w:val="24"/>
          <w:highlight w:val="none"/>
        </w:rPr>
      </w:pPr>
      <w:r>
        <w:rPr>
          <w:rFonts w:ascii="Microsoft New Tai Lue" w:hAnsi="Microsoft New Tai Lue" w:cs="Microsoft New Tai Lue"/>
          <w:b w:val="0"/>
          <w:bCs/>
          <w:color w:val="000000"/>
          <w:highlight w:val="none"/>
        </w:rPr>
        <w:br w:type="page" w:clear="all"/>
      </w:r>
      <w:bookmarkEnd w:id="376"/>
      <w:bookmarkStart w:id="379" w:name="_Toc107246281"/>
      <w:bookmarkStart w:id="380" w:name="_Toc103848586"/>
      <w:bookmarkStart w:id="381" w:name="_Toc104560901"/>
      <w:bookmarkStart w:id="382" w:name="_Toc904239222"/>
      <w:bookmarkStart w:id="383" w:name="_Toc102117319"/>
      <w:r>
        <w:rPr>
          <w:rFonts w:ascii="Times New Roman" w:hAnsi="Times New Roman" w:eastAsia="宋体" w:cs="Microsoft New Tai Lue"/>
          <w:bCs w:val="0"/>
          <w:sz w:val="24"/>
          <w:szCs w:val="24"/>
          <w:highlight w:val="none"/>
        </w:rPr>
        <w:t>（</w:t>
      </w:r>
      <w:r>
        <w:rPr>
          <w:rFonts w:hint="eastAsia" w:ascii="Times New Roman" w:cs="Microsoft New Tai Lue"/>
          <w:bCs w:val="0"/>
          <w:sz w:val="24"/>
          <w:szCs w:val="24"/>
          <w:highlight w:val="none"/>
          <w:lang w:val="en-US" w:eastAsia="zh-CN"/>
        </w:rPr>
        <w:t>3</w:t>
      </w:r>
      <w:r>
        <w:rPr>
          <w:rFonts w:ascii="Times New Roman" w:hAnsi="Times New Roman" w:eastAsia="宋体" w:cs="Microsoft New Tai Lue"/>
          <w:bCs w:val="0"/>
          <w:sz w:val="24"/>
          <w:szCs w:val="24"/>
          <w:highlight w:val="none"/>
        </w:rPr>
        <w:t>）商务条款偏离表</w:t>
      </w:r>
      <w:bookmarkEnd w:id="379"/>
      <w:bookmarkEnd w:id="380"/>
      <w:bookmarkEnd w:id="381"/>
      <w:bookmarkEnd w:id="382"/>
    </w:p>
    <w:p w14:paraId="368EF57F">
      <w:pPr>
        <w:pStyle w:val="255"/>
        <w:ind w:left="214" w:firstLine="420"/>
        <w:rPr>
          <w:rFonts w:ascii="Times New Roman" w:hAnsi="Times New Roman" w:eastAsia="宋体" w:cs="Microsoft New Tai Lue"/>
          <w:sz w:val="21"/>
          <w:szCs w:val="21"/>
          <w:highlight w:val="none"/>
        </w:rPr>
      </w:pPr>
    </w:p>
    <w:p w14:paraId="60DDDE4C">
      <w:pPr>
        <w:pStyle w:val="255"/>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项目编号：</w:t>
      </w:r>
      <w:r>
        <w:rPr>
          <w:rFonts w:ascii="Times New Roman" w:hAnsi="Times New Roman" w:eastAsia="宋体" w:cs="Microsoft New Tai Lue"/>
          <w:sz w:val="21"/>
          <w:szCs w:val="21"/>
          <w:highlight w:val="none"/>
          <w:u w:val="single"/>
        </w:rPr>
        <w:t xml:space="preserve">               </w:t>
      </w:r>
    </w:p>
    <w:tbl>
      <w:tblPr>
        <w:tblStyle w:val="32"/>
        <w:tblW w:w="99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5"/>
        <w:gridCol w:w="1768"/>
        <w:gridCol w:w="2163"/>
        <w:gridCol w:w="2202"/>
        <w:gridCol w:w="1317"/>
        <w:gridCol w:w="932"/>
        <w:gridCol w:w="738"/>
      </w:tblGrid>
      <w:tr w14:paraId="4ECA3E05">
        <w:trPr>
          <w:trHeight w:val="635" w:hRule="atLeast"/>
          <w:jc w:val="center"/>
        </w:trPr>
        <w:tc>
          <w:tcPr>
            <w:tcW w:w="805" w:type="dxa"/>
            <w:noWrap w:val="0"/>
            <w:vAlign w:val="center"/>
          </w:tcPr>
          <w:p w14:paraId="349B7D28">
            <w:pPr>
              <w:pStyle w:val="255"/>
              <w:keepNext w:val="0"/>
              <w:keepLines w:val="0"/>
              <w:pageBreakBefore w:val="0"/>
              <w:widowControl w:val="0"/>
              <w:spacing w:line="360" w:lineRule="auto"/>
              <w:ind w:left="0" w:firstLine="0"/>
              <w:jc w:val="center"/>
              <w:rPr>
                <w:rFonts w:ascii="Times New Roman" w:hAnsi="Times New Roman" w:eastAsia="宋体" w:cs="Microsoft New Tai Lue"/>
                <w:b/>
                <w:bCs/>
                <w:sz w:val="21"/>
                <w:szCs w:val="21"/>
                <w:highlight w:val="none"/>
                <w:lang w:val="en-US" w:eastAsia="zh-CN" w:bidi="ar-SA"/>
              </w:rPr>
            </w:pPr>
            <w:r>
              <w:rPr>
                <w:rFonts w:ascii="Times New Roman" w:hAnsi="Times New Roman" w:eastAsia="宋体" w:cs="Microsoft New Tai Lue"/>
                <w:b/>
                <w:bCs/>
                <w:sz w:val="21"/>
                <w:szCs w:val="21"/>
                <w:highlight w:val="none"/>
                <w:lang w:val="en-US" w:eastAsia="zh-CN" w:bidi="ar-SA"/>
              </w:rPr>
              <w:t>序号</w:t>
            </w:r>
          </w:p>
        </w:tc>
        <w:tc>
          <w:tcPr>
            <w:tcW w:w="1768" w:type="dxa"/>
            <w:noWrap w:val="0"/>
            <w:vAlign w:val="center"/>
          </w:tcPr>
          <w:p w14:paraId="0B6D887A">
            <w:pPr>
              <w:pStyle w:val="255"/>
              <w:keepNext w:val="0"/>
              <w:keepLines w:val="0"/>
              <w:pageBreakBefore w:val="0"/>
              <w:widowControl w:val="0"/>
              <w:spacing w:line="360" w:lineRule="auto"/>
              <w:ind w:left="0" w:firstLine="0"/>
              <w:jc w:val="center"/>
              <w:rPr>
                <w:rFonts w:ascii="Times New Roman" w:hAnsi="Times New Roman" w:eastAsia="宋体" w:cs="Microsoft New Tai Lue"/>
                <w:b/>
                <w:bCs/>
                <w:sz w:val="21"/>
                <w:szCs w:val="21"/>
                <w:highlight w:val="none"/>
                <w:lang w:val="en-US" w:eastAsia="zh-CN" w:bidi="ar-SA"/>
              </w:rPr>
            </w:pPr>
            <w:r>
              <w:rPr>
                <w:rFonts w:ascii="Times New Roman" w:hAnsi="Times New Roman" w:eastAsia="宋体" w:cs="Microsoft New Tai Lue"/>
                <w:b/>
                <w:bCs/>
                <w:sz w:val="21"/>
                <w:szCs w:val="21"/>
                <w:highlight w:val="none"/>
                <w:lang w:val="en-US" w:eastAsia="zh-CN" w:bidi="ar-SA"/>
              </w:rPr>
              <w:t>招标文件条目号</w:t>
            </w:r>
          </w:p>
        </w:tc>
        <w:tc>
          <w:tcPr>
            <w:tcW w:w="2163" w:type="dxa"/>
            <w:noWrap w:val="0"/>
            <w:vAlign w:val="center"/>
          </w:tcPr>
          <w:p w14:paraId="209F7B3D">
            <w:pPr>
              <w:pStyle w:val="255"/>
              <w:keepNext w:val="0"/>
              <w:keepLines w:val="0"/>
              <w:pageBreakBefore w:val="0"/>
              <w:widowControl w:val="0"/>
              <w:spacing w:line="360" w:lineRule="auto"/>
              <w:ind w:left="0" w:firstLine="0"/>
              <w:jc w:val="center"/>
              <w:rPr>
                <w:rFonts w:ascii="Times New Roman" w:hAnsi="Times New Roman" w:eastAsia="宋体" w:cs="Microsoft New Tai Lue"/>
                <w:b/>
                <w:bCs/>
                <w:sz w:val="21"/>
                <w:szCs w:val="21"/>
                <w:highlight w:val="none"/>
                <w:lang w:val="en-US" w:eastAsia="zh-CN" w:bidi="ar-SA"/>
              </w:rPr>
            </w:pPr>
            <w:r>
              <w:rPr>
                <w:rFonts w:ascii="Times New Roman" w:hAnsi="Times New Roman" w:eastAsia="宋体" w:cs="Microsoft New Tai Lue"/>
                <w:b/>
                <w:bCs/>
                <w:sz w:val="21"/>
                <w:szCs w:val="21"/>
                <w:highlight w:val="none"/>
                <w:lang w:val="en-US" w:eastAsia="zh-CN" w:bidi="ar-SA"/>
              </w:rPr>
              <w:t>招标文件的商务条款</w:t>
            </w:r>
          </w:p>
        </w:tc>
        <w:tc>
          <w:tcPr>
            <w:tcW w:w="2202" w:type="dxa"/>
            <w:noWrap w:val="0"/>
            <w:vAlign w:val="center"/>
          </w:tcPr>
          <w:p w14:paraId="704BCF63">
            <w:pPr>
              <w:pStyle w:val="255"/>
              <w:keepNext w:val="0"/>
              <w:keepLines w:val="0"/>
              <w:pageBreakBefore w:val="0"/>
              <w:widowControl w:val="0"/>
              <w:spacing w:line="360" w:lineRule="auto"/>
              <w:ind w:left="0" w:firstLine="0"/>
              <w:jc w:val="center"/>
              <w:rPr>
                <w:rFonts w:ascii="Times New Roman" w:hAnsi="Times New Roman" w:eastAsia="宋体" w:cs="Microsoft New Tai Lue"/>
                <w:b/>
                <w:bCs/>
                <w:sz w:val="21"/>
                <w:szCs w:val="21"/>
                <w:highlight w:val="none"/>
                <w:lang w:val="en-US" w:eastAsia="zh-CN" w:bidi="ar-SA"/>
              </w:rPr>
            </w:pPr>
            <w:r>
              <w:rPr>
                <w:rFonts w:ascii="Times New Roman" w:hAnsi="Times New Roman" w:eastAsia="宋体" w:cs="Microsoft New Tai Lue"/>
                <w:b/>
                <w:bCs/>
                <w:sz w:val="21"/>
                <w:szCs w:val="21"/>
                <w:highlight w:val="none"/>
                <w:lang w:val="en-US" w:eastAsia="zh-CN" w:bidi="ar-SA"/>
              </w:rPr>
              <w:t>投标文件的商务条款</w:t>
            </w:r>
          </w:p>
        </w:tc>
        <w:tc>
          <w:tcPr>
            <w:tcW w:w="1317" w:type="dxa"/>
            <w:noWrap w:val="0"/>
            <w:vAlign w:val="top"/>
          </w:tcPr>
          <w:p w14:paraId="6B94C30B">
            <w:pPr>
              <w:pStyle w:val="255"/>
              <w:keepNext w:val="0"/>
              <w:keepLines w:val="0"/>
              <w:pageBreakBefore w:val="0"/>
              <w:widowControl w:val="0"/>
              <w:spacing w:line="480" w:lineRule="auto"/>
              <w:ind w:left="0" w:firstLine="0"/>
              <w:jc w:val="center"/>
              <w:rPr>
                <w:rFonts w:ascii="Times New Roman" w:hAnsi="Times New Roman" w:eastAsia="宋体" w:cs="Microsoft New Tai Lue"/>
                <w:b/>
                <w:bCs/>
                <w:sz w:val="21"/>
                <w:szCs w:val="21"/>
                <w:highlight w:val="none"/>
                <w:lang w:val="en-US" w:eastAsia="zh-CN" w:bidi="ar-SA"/>
              </w:rPr>
            </w:pPr>
            <w:r>
              <w:rPr>
                <w:rFonts w:hint="eastAsia" w:ascii="Times New Roman" w:hAnsi="Times New Roman" w:eastAsia="宋体" w:cs="Microsoft New Tai Lue"/>
                <w:b/>
                <w:bCs/>
                <w:sz w:val="21"/>
                <w:szCs w:val="21"/>
                <w:highlight w:val="none"/>
                <w:lang w:val="en-US" w:eastAsia="zh-CN" w:bidi="ar-SA"/>
              </w:rPr>
              <w:t>是否</w:t>
            </w:r>
            <w:r>
              <w:rPr>
                <w:rFonts w:ascii="Times New Roman" w:hAnsi="Times New Roman" w:eastAsia="宋体" w:cs="Microsoft New Tai Lue"/>
                <w:b/>
                <w:bCs/>
                <w:sz w:val="21"/>
                <w:szCs w:val="21"/>
                <w:highlight w:val="none"/>
                <w:lang w:val="en-US" w:eastAsia="zh-CN" w:bidi="ar-SA"/>
              </w:rPr>
              <w:t>偏离</w:t>
            </w:r>
          </w:p>
        </w:tc>
        <w:tc>
          <w:tcPr>
            <w:tcW w:w="932" w:type="dxa"/>
            <w:noWrap w:val="0"/>
            <w:vAlign w:val="center"/>
          </w:tcPr>
          <w:p w14:paraId="500485AF">
            <w:pPr>
              <w:pStyle w:val="255"/>
              <w:keepNext w:val="0"/>
              <w:keepLines w:val="0"/>
              <w:pageBreakBefore w:val="0"/>
              <w:widowControl w:val="0"/>
              <w:spacing w:line="360" w:lineRule="auto"/>
              <w:ind w:left="0" w:firstLine="0"/>
              <w:jc w:val="center"/>
              <w:rPr>
                <w:rFonts w:ascii="Times New Roman" w:hAnsi="Times New Roman" w:eastAsia="宋体" w:cs="Microsoft New Tai Lue"/>
                <w:b/>
                <w:bCs/>
                <w:sz w:val="21"/>
                <w:szCs w:val="21"/>
                <w:highlight w:val="none"/>
                <w:lang w:val="en-US" w:eastAsia="zh-CN" w:bidi="ar-SA"/>
              </w:rPr>
            </w:pPr>
            <w:r>
              <w:rPr>
                <w:rFonts w:ascii="Times New Roman" w:hAnsi="Times New Roman" w:eastAsia="宋体" w:cs="Microsoft New Tai Lue"/>
                <w:b/>
                <w:bCs/>
                <w:sz w:val="21"/>
                <w:szCs w:val="21"/>
                <w:highlight w:val="none"/>
                <w:lang w:val="en-US" w:eastAsia="zh-CN" w:bidi="ar-SA"/>
              </w:rPr>
              <w:t>偏离</w:t>
            </w:r>
          </w:p>
        </w:tc>
        <w:tc>
          <w:tcPr>
            <w:tcW w:w="738" w:type="dxa"/>
            <w:noWrap w:val="0"/>
            <w:vAlign w:val="center"/>
          </w:tcPr>
          <w:p w14:paraId="03C51DD8">
            <w:pPr>
              <w:pStyle w:val="255"/>
              <w:keepNext w:val="0"/>
              <w:keepLines w:val="0"/>
              <w:pageBreakBefore w:val="0"/>
              <w:widowControl w:val="0"/>
              <w:spacing w:line="360" w:lineRule="auto"/>
              <w:ind w:left="0" w:firstLine="0"/>
              <w:jc w:val="center"/>
              <w:rPr>
                <w:rFonts w:ascii="Times New Roman" w:hAnsi="Times New Roman" w:eastAsia="宋体" w:cs="Microsoft New Tai Lue"/>
                <w:b/>
                <w:bCs/>
                <w:sz w:val="21"/>
                <w:szCs w:val="21"/>
                <w:highlight w:val="none"/>
                <w:lang w:val="en-US" w:eastAsia="zh-CN" w:bidi="ar-SA"/>
              </w:rPr>
            </w:pPr>
            <w:r>
              <w:rPr>
                <w:rFonts w:ascii="Times New Roman" w:hAnsi="Times New Roman" w:eastAsia="宋体" w:cs="Microsoft New Tai Lue"/>
                <w:b/>
                <w:bCs/>
                <w:sz w:val="21"/>
                <w:szCs w:val="21"/>
                <w:highlight w:val="none"/>
                <w:lang w:val="en-US" w:eastAsia="zh-CN" w:bidi="ar-SA"/>
              </w:rPr>
              <w:t>说明</w:t>
            </w:r>
          </w:p>
        </w:tc>
      </w:tr>
      <w:tr w14:paraId="01A6B814">
        <w:trPr>
          <w:trHeight w:val="570" w:hRule="atLeast"/>
          <w:jc w:val="center"/>
        </w:trPr>
        <w:tc>
          <w:tcPr>
            <w:tcW w:w="805" w:type="dxa"/>
            <w:noWrap w:val="0"/>
            <w:vAlign w:val="center"/>
          </w:tcPr>
          <w:p w14:paraId="45AD8A43">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768" w:type="dxa"/>
            <w:noWrap w:val="0"/>
            <w:vAlign w:val="center"/>
          </w:tcPr>
          <w:p w14:paraId="255761C6">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163" w:type="dxa"/>
            <w:noWrap w:val="0"/>
            <w:vAlign w:val="center"/>
          </w:tcPr>
          <w:p w14:paraId="30A7F538">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202" w:type="dxa"/>
            <w:noWrap w:val="0"/>
            <w:vAlign w:val="center"/>
          </w:tcPr>
          <w:p w14:paraId="36DB0237">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317" w:type="dxa"/>
            <w:noWrap w:val="0"/>
            <w:vAlign w:val="top"/>
          </w:tcPr>
          <w:p w14:paraId="5F8E925E">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932" w:type="dxa"/>
            <w:noWrap w:val="0"/>
            <w:vAlign w:val="center"/>
          </w:tcPr>
          <w:p w14:paraId="08B62654">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738" w:type="dxa"/>
            <w:noWrap w:val="0"/>
            <w:vAlign w:val="center"/>
          </w:tcPr>
          <w:p w14:paraId="78D4E765">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r>
      <w:tr w14:paraId="3129D5A4">
        <w:trPr>
          <w:trHeight w:val="681" w:hRule="atLeast"/>
          <w:jc w:val="center"/>
        </w:trPr>
        <w:tc>
          <w:tcPr>
            <w:tcW w:w="805" w:type="dxa"/>
            <w:noWrap w:val="0"/>
            <w:vAlign w:val="center"/>
          </w:tcPr>
          <w:p w14:paraId="0910BC1B">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768" w:type="dxa"/>
            <w:noWrap w:val="0"/>
            <w:vAlign w:val="center"/>
          </w:tcPr>
          <w:p w14:paraId="76316166">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163" w:type="dxa"/>
            <w:noWrap w:val="0"/>
            <w:vAlign w:val="center"/>
          </w:tcPr>
          <w:p w14:paraId="35A4596B">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202" w:type="dxa"/>
            <w:noWrap w:val="0"/>
            <w:vAlign w:val="center"/>
          </w:tcPr>
          <w:p w14:paraId="627B227B">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317" w:type="dxa"/>
            <w:noWrap w:val="0"/>
            <w:vAlign w:val="top"/>
          </w:tcPr>
          <w:p w14:paraId="4E06CF03">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932" w:type="dxa"/>
            <w:noWrap w:val="0"/>
            <w:vAlign w:val="center"/>
          </w:tcPr>
          <w:p w14:paraId="44D5C0EE">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738" w:type="dxa"/>
            <w:noWrap w:val="0"/>
            <w:vAlign w:val="center"/>
          </w:tcPr>
          <w:p w14:paraId="1C7A1A8E">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r>
      <w:tr w14:paraId="1AD3B63F">
        <w:trPr>
          <w:trHeight w:val="690" w:hRule="atLeast"/>
          <w:jc w:val="center"/>
        </w:trPr>
        <w:tc>
          <w:tcPr>
            <w:tcW w:w="805" w:type="dxa"/>
            <w:noWrap w:val="0"/>
            <w:vAlign w:val="center"/>
          </w:tcPr>
          <w:p w14:paraId="665BE11C">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768" w:type="dxa"/>
            <w:noWrap w:val="0"/>
            <w:vAlign w:val="center"/>
          </w:tcPr>
          <w:p w14:paraId="1A3B8D46">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163" w:type="dxa"/>
            <w:noWrap w:val="0"/>
            <w:vAlign w:val="center"/>
          </w:tcPr>
          <w:p w14:paraId="46FAE7F2">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202" w:type="dxa"/>
            <w:noWrap w:val="0"/>
            <w:vAlign w:val="center"/>
          </w:tcPr>
          <w:p w14:paraId="0A545C26">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317" w:type="dxa"/>
            <w:noWrap w:val="0"/>
            <w:vAlign w:val="top"/>
          </w:tcPr>
          <w:p w14:paraId="30C73664">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932" w:type="dxa"/>
            <w:noWrap w:val="0"/>
            <w:vAlign w:val="center"/>
          </w:tcPr>
          <w:p w14:paraId="47CDACAF">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738" w:type="dxa"/>
            <w:noWrap w:val="0"/>
            <w:vAlign w:val="center"/>
          </w:tcPr>
          <w:p w14:paraId="00BB6C92">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r>
      <w:tr w14:paraId="094BA1EC">
        <w:trPr>
          <w:trHeight w:val="714" w:hRule="atLeast"/>
          <w:jc w:val="center"/>
        </w:trPr>
        <w:tc>
          <w:tcPr>
            <w:tcW w:w="805" w:type="dxa"/>
            <w:noWrap w:val="0"/>
            <w:vAlign w:val="center"/>
          </w:tcPr>
          <w:p w14:paraId="7FE725B3">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768" w:type="dxa"/>
            <w:noWrap w:val="0"/>
            <w:vAlign w:val="center"/>
          </w:tcPr>
          <w:p w14:paraId="1133DA9D">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163" w:type="dxa"/>
            <w:noWrap w:val="0"/>
            <w:vAlign w:val="center"/>
          </w:tcPr>
          <w:p w14:paraId="1BF19A7B">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202" w:type="dxa"/>
            <w:noWrap w:val="0"/>
            <w:vAlign w:val="center"/>
          </w:tcPr>
          <w:p w14:paraId="53425C17">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317" w:type="dxa"/>
            <w:noWrap w:val="0"/>
            <w:vAlign w:val="top"/>
          </w:tcPr>
          <w:p w14:paraId="2B53AC11">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932" w:type="dxa"/>
            <w:noWrap w:val="0"/>
            <w:vAlign w:val="center"/>
          </w:tcPr>
          <w:p w14:paraId="5CB4BA5E">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738" w:type="dxa"/>
            <w:noWrap w:val="0"/>
            <w:vAlign w:val="center"/>
          </w:tcPr>
          <w:p w14:paraId="5A729239">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r>
      <w:tr w14:paraId="3CE1F15D">
        <w:trPr>
          <w:trHeight w:val="682" w:hRule="atLeast"/>
          <w:jc w:val="center"/>
        </w:trPr>
        <w:tc>
          <w:tcPr>
            <w:tcW w:w="805" w:type="dxa"/>
            <w:noWrap w:val="0"/>
            <w:vAlign w:val="center"/>
          </w:tcPr>
          <w:p w14:paraId="152A6D61">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768" w:type="dxa"/>
            <w:noWrap w:val="0"/>
            <w:vAlign w:val="center"/>
          </w:tcPr>
          <w:p w14:paraId="73D80964">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163" w:type="dxa"/>
            <w:noWrap w:val="0"/>
            <w:vAlign w:val="center"/>
          </w:tcPr>
          <w:p w14:paraId="02AF658B">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202" w:type="dxa"/>
            <w:noWrap w:val="0"/>
            <w:vAlign w:val="center"/>
          </w:tcPr>
          <w:p w14:paraId="3350503F">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317" w:type="dxa"/>
            <w:noWrap w:val="0"/>
            <w:vAlign w:val="top"/>
          </w:tcPr>
          <w:p w14:paraId="49BA0C33">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932" w:type="dxa"/>
            <w:noWrap w:val="0"/>
            <w:vAlign w:val="center"/>
          </w:tcPr>
          <w:p w14:paraId="426628F7">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738" w:type="dxa"/>
            <w:noWrap w:val="0"/>
            <w:vAlign w:val="center"/>
          </w:tcPr>
          <w:p w14:paraId="78754E60">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r>
      <w:tr w14:paraId="17082BC1">
        <w:trPr>
          <w:trHeight w:val="707" w:hRule="atLeast"/>
          <w:jc w:val="center"/>
        </w:trPr>
        <w:tc>
          <w:tcPr>
            <w:tcW w:w="805" w:type="dxa"/>
            <w:noWrap w:val="0"/>
            <w:vAlign w:val="center"/>
          </w:tcPr>
          <w:p w14:paraId="08BFD82D">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768" w:type="dxa"/>
            <w:noWrap w:val="0"/>
            <w:vAlign w:val="center"/>
          </w:tcPr>
          <w:p w14:paraId="02585B4D">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163" w:type="dxa"/>
            <w:noWrap w:val="0"/>
            <w:vAlign w:val="center"/>
          </w:tcPr>
          <w:p w14:paraId="64BBE033">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202" w:type="dxa"/>
            <w:noWrap w:val="0"/>
            <w:vAlign w:val="center"/>
          </w:tcPr>
          <w:p w14:paraId="4874C970">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317" w:type="dxa"/>
            <w:noWrap w:val="0"/>
            <w:vAlign w:val="top"/>
          </w:tcPr>
          <w:p w14:paraId="537F9DA0">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932" w:type="dxa"/>
            <w:noWrap w:val="0"/>
            <w:vAlign w:val="center"/>
          </w:tcPr>
          <w:p w14:paraId="0CC75BF5">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738" w:type="dxa"/>
            <w:noWrap w:val="0"/>
            <w:vAlign w:val="center"/>
          </w:tcPr>
          <w:p w14:paraId="6D6AC645">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r>
    </w:tbl>
    <w:p w14:paraId="56B7DFD3">
      <w:pPr>
        <w:pStyle w:val="73"/>
        <w:spacing w:line="360" w:lineRule="exact"/>
        <w:ind w:left="425" w:hanging="211"/>
        <w:rPr>
          <w:rFonts w:ascii="Times New Roman" w:hAnsi="Times New Roman" w:eastAsia="宋体"/>
          <w:b/>
          <w:bCs/>
          <w:highlight w:val="none"/>
        </w:rPr>
      </w:pPr>
      <w:r>
        <w:rPr>
          <w:rFonts w:ascii="Times New Roman" w:hAnsi="Times New Roman" w:eastAsia="宋体"/>
          <w:b/>
          <w:bCs/>
          <w:highlight w:val="none"/>
        </w:rPr>
        <w:t>注：</w:t>
      </w:r>
    </w:p>
    <w:p w14:paraId="026E21F4">
      <w:pPr>
        <w:pStyle w:val="73"/>
        <w:spacing w:line="360" w:lineRule="exact"/>
        <w:ind w:left="425" w:hanging="211"/>
        <w:rPr>
          <w:rFonts w:ascii="Times New Roman" w:hAnsi="Times New Roman" w:eastAsia="宋体"/>
          <w:b/>
          <w:bCs/>
          <w:highlight w:val="none"/>
        </w:rPr>
      </w:pPr>
      <w:r>
        <w:rPr>
          <w:rFonts w:hint="eastAsia" w:ascii="Times New Roman" w:hAnsi="Times New Roman" w:eastAsia="宋体"/>
          <w:b/>
          <w:bCs/>
          <w:highlight w:val="none"/>
        </w:rPr>
        <w:t>1. 投标人须根据招标文件要求填写此表，作为投标文件的组成部分。</w:t>
      </w:r>
    </w:p>
    <w:p w14:paraId="5C4A9026">
      <w:pPr>
        <w:pStyle w:val="73"/>
        <w:spacing w:line="360" w:lineRule="exact"/>
        <w:ind w:left="425" w:hanging="211"/>
        <w:rPr>
          <w:rFonts w:ascii="Times New Roman" w:hAnsi="Times New Roman" w:eastAsia="宋体"/>
          <w:b/>
          <w:bCs/>
          <w:highlight w:val="none"/>
        </w:rPr>
      </w:pPr>
      <w:r>
        <w:rPr>
          <w:rFonts w:hint="eastAsia" w:ascii="Times New Roman" w:hAnsi="Times New Roman" w:eastAsia="宋体"/>
          <w:b/>
          <w:bCs/>
          <w:highlight w:val="none"/>
        </w:rPr>
        <w:t>2. 所有偏离必须在本表中列出，未在本偏离表中列出偏离，将视为投标人已完全接受招标文件要求。如完全无偏离，也无其他说明，可在本表第一行填写“全部无偏离”。</w:t>
      </w:r>
    </w:p>
    <w:p w14:paraId="715105C4">
      <w:pPr>
        <w:pStyle w:val="73"/>
        <w:spacing w:line="360" w:lineRule="exact"/>
        <w:ind w:left="425" w:hanging="211"/>
        <w:rPr>
          <w:rFonts w:ascii="Times New Roman" w:hAnsi="Times New Roman" w:eastAsia="宋体"/>
          <w:highlight w:val="none"/>
        </w:rPr>
      </w:pPr>
      <w:r>
        <w:rPr>
          <w:rFonts w:hint="eastAsia" w:ascii="Times New Roman" w:hAnsi="Times New Roman" w:eastAsia="宋体"/>
          <w:b/>
          <w:bCs/>
          <w:highlight w:val="none"/>
        </w:rPr>
        <w:t>3. 偏离包括正、负偏离，正偏离指投标人的响应高于招标文件要求，负偏离指投标人的响应低于招标文件要求。</w:t>
      </w:r>
    </w:p>
    <w:p w14:paraId="0C00368A">
      <w:pPr>
        <w:pStyle w:val="255"/>
        <w:ind w:left="214" w:firstLine="420"/>
        <w:rPr>
          <w:rFonts w:ascii="Times New Roman" w:hAnsi="Times New Roman" w:eastAsia="宋体" w:cs="Microsoft New Tai Lue"/>
          <w:sz w:val="21"/>
          <w:szCs w:val="21"/>
          <w:highlight w:val="none"/>
        </w:rPr>
      </w:pPr>
    </w:p>
    <w:p w14:paraId="2FE51A38">
      <w:pPr>
        <w:pStyle w:val="255"/>
        <w:ind w:left="214" w:firstLine="0"/>
        <w:rPr>
          <w:rFonts w:ascii="Times New Roman" w:hAnsi="Times New Roman" w:eastAsia="宋体" w:cs="Microsoft New Tai Lue"/>
          <w:sz w:val="21"/>
          <w:szCs w:val="21"/>
          <w:highlight w:val="none"/>
        </w:rPr>
      </w:pPr>
    </w:p>
    <w:p w14:paraId="62796D43">
      <w:pPr>
        <w:spacing w:line="360" w:lineRule="auto"/>
        <w:ind w:left="214" w:firstLine="440"/>
        <w:jc w:val="right"/>
        <w:rPr>
          <w:rFonts w:ascii="Times New Roman" w:hAnsi="Times New Roman" w:eastAsia="宋体" w:cs="Microsoft New Tai Lue"/>
          <w:sz w:val="22"/>
          <w:szCs w:val="22"/>
          <w:highlight w:val="none"/>
        </w:rPr>
      </w:pPr>
      <w:bookmarkStart w:id="384" w:name="_Toc103848587"/>
      <w:bookmarkStart w:id="385" w:name="_Toc104560902"/>
    </w:p>
    <w:p w14:paraId="1F7F73FB">
      <w:pPr>
        <w:spacing w:line="360" w:lineRule="auto"/>
        <w:ind w:left="214" w:right="420" w:firstLine="3780"/>
        <w:rPr>
          <w:rFonts w:ascii="Times New Roman" w:hAnsi="Times New Roman" w:eastAsia="宋体"/>
          <w:highlight w:val="none"/>
          <w:u w:val="single"/>
        </w:rPr>
      </w:pPr>
      <w:r>
        <w:rPr>
          <w:rFonts w:hint="eastAsia" w:ascii="Times New Roman" w:hAnsi="Times New Roman" w:eastAsia="宋体"/>
          <w:highlight w:val="none"/>
        </w:rPr>
        <w:t>投标人</w:t>
      </w:r>
      <w:r>
        <w:rPr>
          <w:rFonts w:ascii="Times New Roman" w:hAnsi="Times New Roman" w:eastAsia="宋体"/>
          <w:highlight w:val="none"/>
        </w:rPr>
        <w:t>名称（公章）：</w:t>
      </w:r>
      <w:r>
        <w:rPr>
          <w:rFonts w:ascii="Times New Roman" w:hAnsi="Times New Roman" w:eastAsia="宋体"/>
          <w:highlight w:val="none"/>
          <w:u w:val="single"/>
        </w:rPr>
        <w:t xml:space="preserve">                 </w:t>
      </w:r>
    </w:p>
    <w:p w14:paraId="5D73A449">
      <w:pPr>
        <w:spacing w:line="360" w:lineRule="auto"/>
        <w:ind w:left="214" w:firstLine="378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法定代表人（单位负责人）</w:t>
      </w:r>
    </w:p>
    <w:p w14:paraId="237FB05F">
      <w:pPr>
        <w:spacing w:line="360" w:lineRule="auto"/>
        <w:ind w:left="214" w:firstLine="378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2E829374">
      <w:pPr>
        <w:spacing w:line="360" w:lineRule="auto"/>
        <w:ind w:left="214" w:firstLine="422"/>
        <w:jc w:val="left"/>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日</w:t>
      </w:r>
    </w:p>
    <w:p w14:paraId="2058EE1C">
      <w:pPr>
        <w:pStyle w:val="77"/>
        <w:spacing w:before="0"/>
        <w:ind w:left="535" w:hanging="321"/>
        <w:outlineLvl w:val="9"/>
        <w:rPr>
          <w:rFonts w:ascii="Times New Roman" w:hAnsi="Times New Roman" w:eastAsia="宋体" w:cs="Microsoft New Tai Lue"/>
          <w:highlight w:val="none"/>
        </w:rPr>
      </w:pPr>
      <w:bookmarkStart w:id="386" w:name="_Toc103848601"/>
      <w:bookmarkStart w:id="387" w:name="_Toc107246301"/>
      <w:bookmarkStart w:id="388" w:name="_Toc104560918"/>
    </w:p>
    <w:p w14:paraId="0813669F">
      <w:pPr>
        <w:rPr>
          <w:rFonts w:hint="eastAsia" w:ascii="Times New Roman" w:hAnsi="Times New Roman" w:eastAsia="宋体"/>
          <w:sz w:val="36"/>
          <w:szCs w:val="36"/>
          <w:highlight w:val="none"/>
        </w:rPr>
      </w:pPr>
      <w:r>
        <w:rPr>
          <w:rFonts w:hint="eastAsia" w:ascii="Times New Roman" w:hAnsi="Times New Roman" w:eastAsia="宋体"/>
          <w:sz w:val="36"/>
          <w:szCs w:val="36"/>
          <w:highlight w:val="none"/>
        </w:rPr>
        <w:br w:type="page" w:clear="all"/>
      </w:r>
    </w:p>
    <w:p w14:paraId="2659E2A8">
      <w:pPr>
        <w:pStyle w:val="52"/>
        <w:ind w:left="0"/>
        <w:jc w:val="center"/>
        <w:rPr>
          <w:rFonts w:hint="eastAsia" w:ascii="Times New Roman" w:hAnsi="Times New Roman" w:eastAsia="宋体" w:cs="Microsoft New Tai Lue"/>
          <w:bCs w:val="0"/>
          <w:sz w:val="24"/>
          <w:szCs w:val="24"/>
          <w:highlight w:val="none"/>
        </w:rPr>
      </w:pPr>
      <w:bookmarkStart w:id="389" w:name="_Toc459942609"/>
      <w:r>
        <w:rPr>
          <w:rFonts w:hint="eastAsia" w:ascii="Times New Roman" w:hAnsi="Times New Roman" w:eastAsia="宋体" w:cs="Microsoft New Tai Lue"/>
          <w:bCs w:val="0"/>
          <w:sz w:val="24"/>
          <w:szCs w:val="24"/>
          <w:highlight w:val="none"/>
          <w:lang w:eastAsia="zh-CN"/>
        </w:rPr>
        <w:t>（</w:t>
      </w:r>
      <w:r>
        <w:rPr>
          <w:rFonts w:hint="eastAsia" w:ascii="Times New Roman" w:hAnsi="Times New Roman" w:eastAsia="宋体" w:cs="Microsoft New Tai Lue"/>
          <w:bCs w:val="0"/>
          <w:sz w:val="24"/>
          <w:szCs w:val="24"/>
          <w:highlight w:val="none"/>
          <w:lang w:val="en-US" w:eastAsia="zh-CN"/>
        </w:rPr>
        <w:t>4</w:t>
      </w:r>
      <w:r>
        <w:rPr>
          <w:rFonts w:hint="eastAsia" w:ascii="Times New Roman" w:hAnsi="Times New Roman" w:eastAsia="宋体" w:cs="Microsoft New Tai Lue"/>
          <w:bCs w:val="0"/>
          <w:sz w:val="24"/>
          <w:szCs w:val="24"/>
          <w:highlight w:val="none"/>
          <w:lang w:eastAsia="zh-CN"/>
        </w:rPr>
        <w:t>）</w:t>
      </w:r>
      <w:r>
        <w:rPr>
          <w:rFonts w:hint="eastAsia" w:ascii="Times New Roman" w:hAnsi="Times New Roman" w:eastAsia="宋体" w:cs="Microsoft New Tai Lue"/>
          <w:bCs w:val="0"/>
          <w:sz w:val="24"/>
          <w:szCs w:val="24"/>
          <w:highlight w:val="none"/>
        </w:rPr>
        <w:t>业绩一览表</w:t>
      </w:r>
      <w:bookmarkEnd w:id="389"/>
    </w:p>
    <w:p w14:paraId="10781A7C">
      <w:pPr>
        <w:widowControl/>
        <w:shd w:val="clear" w:color="auto" w:fill="FFFFFF"/>
        <w:spacing w:before="0" w:line="360" w:lineRule="auto"/>
        <w:ind w:left="0" w:firstLine="0"/>
        <w:jc w:val="left"/>
        <w:rPr>
          <w:rFonts w:hint="eastAsia" w:ascii="Times New Roman" w:hAnsi="Times New Roman" w:eastAsia="宋体"/>
          <w:color w:val="000000"/>
          <w:szCs w:val="21"/>
          <w:highlight w:val="none"/>
          <w:lang w:val="en-US" w:eastAsia="zh-CN"/>
        </w:rPr>
      </w:pPr>
    </w:p>
    <w:p w14:paraId="34398E92">
      <w:pPr>
        <w:jc w:val="left"/>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zh-CN"/>
        </w:rPr>
        <w:t xml:space="preserve">项目名称：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 项目编号：</w:t>
      </w:r>
    </w:p>
    <w:tbl>
      <w:tblPr>
        <w:tblStyle w:val="32"/>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91"/>
        <w:gridCol w:w="3191"/>
        <w:gridCol w:w="991"/>
        <w:gridCol w:w="1878"/>
        <w:gridCol w:w="1494"/>
        <w:gridCol w:w="1236"/>
      </w:tblGrid>
      <w:tr w14:paraId="2D969B03">
        <w:trPr>
          <w:cantSplit/>
          <w:trHeight w:val="454" w:hRule="atLeast"/>
          <w:jc w:val="center"/>
        </w:trPr>
        <w:tc>
          <w:tcPr>
            <w:tcW w:w="791" w:type="dxa"/>
            <w:noWrap w:val="0"/>
            <w:vAlign w:val="center"/>
          </w:tcPr>
          <w:p w14:paraId="543A7585">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3191" w:type="dxa"/>
            <w:noWrap w:val="0"/>
            <w:vAlign w:val="center"/>
          </w:tcPr>
          <w:p w14:paraId="5FF09672">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项目名称</w:t>
            </w:r>
          </w:p>
        </w:tc>
        <w:tc>
          <w:tcPr>
            <w:tcW w:w="991" w:type="dxa"/>
            <w:noWrap w:val="0"/>
            <w:vAlign w:val="center"/>
          </w:tcPr>
          <w:p w14:paraId="16B5C64D">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合同签订日期</w:t>
            </w:r>
          </w:p>
        </w:tc>
        <w:tc>
          <w:tcPr>
            <w:tcW w:w="1878" w:type="dxa"/>
            <w:noWrap w:val="0"/>
            <w:vAlign w:val="center"/>
          </w:tcPr>
          <w:p w14:paraId="10A10F1F">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采购人名称</w:t>
            </w:r>
          </w:p>
        </w:tc>
        <w:tc>
          <w:tcPr>
            <w:tcW w:w="1494" w:type="dxa"/>
            <w:noWrap w:val="0"/>
            <w:vAlign w:val="center"/>
          </w:tcPr>
          <w:p w14:paraId="01D89722">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项目负责人</w:t>
            </w:r>
          </w:p>
        </w:tc>
        <w:tc>
          <w:tcPr>
            <w:tcW w:w="1236" w:type="dxa"/>
            <w:noWrap w:val="0"/>
            <w:vAlign w:val="center"/>
          </w:tcPr>
          <w:p w14:paraId="1C9CB060">
            <w:pP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备注</w:t>
            </w:r>
          </w:p>
        </w:tc>
      </w:tr>
      <w:tr w14:paraId="2A23BADA">
        <w:trPr>
          <w:cantSplit/>
          <w:trHeight w:val="454" w:hRule="atLeast"/>
          <w:jc w:val="center"/>
        </w:trPr>
        <w:tc>
          <w:tcPr>
            <w:tcW w:w="791" w:type="dxa"/>
            <w:noWrap w:val="0"/>
            <w:vAlign w:val="center"/>
          </w:tcPr>
          <w:p w14:paraId="20A6B3C2">
            <w:pPr>
              <w:jc w:val="center"/>
              <w:rPr>
                <w:rFonts w:hint="eastAsia" w:ascii="宋体" w:hAnsi="宋体" w:eastAsia="宋体" w:cs="宋体"/>
                <w:color w:val="000000"/>
                <w:szCs w:val="21"/>
                <w:highlight w:val="none"/>
              </w:rPr>
            </w:pPr>
          </w:p>
        </w:tc>
        <w:tc>
          <w:tcPr>
            <w:tcW w:w="3191" w:type="dxa"/>
            <w:noWrap w:val="0"/>
            <w:vAlign w:val="center"/>
          </w:tcPr>
          <w:p w14:paraId="354F64F6">
            <w:pPr>
              <w:jc w:val="center"/>
              <w:rPr>
                <w:rFonts w:hint="eastAsia" w:ascii="宋体" w:hAnsi="宋体" w:eastAsia="宋体" w:cs="宋体"/>
                <w:color w:val="000000"/>
                <w:szCs w:val="21"/>
                <w:highlight w:val="none"/>
              </w:rPr>
            </w:pPr>
          </w:p>
        </w:tc>
        <w:tc>
          <w:tcPr>
            <w:tcW w:w="991" w:type="dxa"/>
            <w:noWrap w:val="0"/>
            <w:vAlign w:val="center"/>
          </w:tcPr>
          <w:p w14:paraId="3F4F090B">
            <w:pPr>
              <w:jc w:val="center"/>
              <w:rPr>
                <w:rFonts w:hint="eastAsia" w:ascii="宋体" w:hAnsi="宋体" w:eastAsia="宋体" w:cs="宋体"/>
                <w:color w:val="000000"/>
                <w:szCs w:val="21"/>
                <w:highlight w:val="none"/>
              </w:rPr>
            </w:pPr>
          </w:p>
        </w:tc>
        <w:tc>
          <w:tcPr>
            <w:tcW w:w="1878" w:type="dxa"/>
            <w:noWrap w:val="0"/>
            <w:vAlign w:val="center"/>
          </w:tcPr>
          <w:p w14:paraId="2A900DB1">
            <w:pPr>
              <w:jc w:val="center"/>
              <w:rPr>
                <w:rFonts w:hint="eastAsia" w:ascii="宋体" w:hAnsi="宋体" w:eastAsia="宋体" w:cs="宋体"/>
                <w:color w:val="000000"/>
                <w:szCs w:val="21"/>
                <w:highlight w:val="none"/>
              </w:rPr>
            </w:pPr>
          </w:p>
        </w:tc>
        <w:tc>
          <w:tcPr>
            <w:tcW w:w="1494" w:type="dxa"/>
            <w:noWrap w:val="0"/>
            <w:vAlign w:val="center"/>
          </w:tcPr>
          <w:p w14:paraId="4ABEBBBC">
            <w:pPr>
              <w:jc w:val="center"/>
              <w:rPr>
                <w:rFonts w:hint="eastAsia" w:ascii="宋体" w:hAnsi="宋体" w:eastAsia="宋体" w:cs="宋体"/>
                <w:color w:val="000000"/>
                <w:szCs w:val="21"/>
                <w:highlight w:val="none"/>
              </w:rPr>
            </w:pPr>
          </w:p>
        </w:tc>
        <w:tc>
          <w:tcPr>
            <w:tcW w:w="1236" w:type="dxa"/>
            <w:noWrap w:val="0"/>
            <w:vAlign w:val="center"/>
          </w:tcPr>
          <w:p w14:paraId="5435D3D3">
            <w:pPr>
              <w:jc w:val="center"/>
              <w:rPr>
                <w:rFonts w:hint="eastAsia" w:ascii="宋体" w:hAnsi="宋体" w:eastAsia="宋体" w:cs="宋体"/>
                <w:color w:val="000000"/>
                <w:szCs w:val="21"/>
                <w:highlight w:val="none"/>
              </w:rPr>
            </w:pPr>
          </w:p>
        </w:tc>
      </w:tr>
      <w:tr w14:paraId="379615CE">
        <w:trPr>
          <w:cantSplit/>
          <w:trHeight w:val="454" w:hRule="atLeast"/>
          <w:jc w:val="center"/>
        </w:trPr>
        <w:tc>
          <w:tcPr>
            <w:tcW w:w="791" w:type="dxa"/>
            <w:noWrap w:val="0"/>
            <w:vAlign w:val="center"/>
          </w:tcPr>
          <w:p w14:paraId="44582233">
            <w:pPr>
              <w:jc w:val="center"/>
              <w:rPr>
                <w:rFonts w:hint="eastAsia" w:ascii="宋体" w:hAnsi="宋体" w:eastAsia="宋体" w:cs="宋体"/>
                <w:color w:val="000000"/>
                <w:szCs w:val="21"/>
                <w:highlight w:val="none"/>
              </w:rPr>
            </w:pPr>
          </w:p>
        </w:tc>
        <w:tc>
          <w:tcPr>
            <w:tcW w:w="3191" w:type="dxa"/>
            <w:noWrap w:val="0"/>
            <w:vAlign w:val="center"/>
          </w:tcPr>
          <w:p w14:paraId="768554B0">
            <w:pPr>
              <w:jc w:val="center"/>
              <w:rPr>
                <w:rFonts w:hint="eastAsia" w:ascii="宋体" w:hAnsi="宋体" w:eastAsia="宋体" w:cs="宋体"/>
                <w:color w:val="000000"/>
                <w:szCs w:val="21"/>
                <w:highlight w:val="none"/>
              </w:rPr>
            </w:pPr>
          </w:p>
        </w:tc>
        <w:tc>
          <w:tcPr>
            <w:tcW w:w="991" w:type="dxa"/>
            <w:noWrap w:val="0"/>
            <w:vAlign w:val="center"/>
          </w:tcPr>
          <w:p w14:paraId="632293AE">
            <w:pPr>
              <w:jc w:val="center"/>
              <w:rPr>
                <w:rFonts w:hint="eastAsia" w:ascii="宋体" w:hAnsi="宋体" w:eastAsia="宋体" w:cs="宋体"/>
                <w:color w:val="000000"/>
                <w:szCs w:val="21"/>
                <w:highlight w:val="none"/>
              </w:rPr>
            </w:pPr>
          </w:p>
        </w:tc>
        <w:tc>
          <w:tcPr>
            <w:tcW w:w="1878" w:type="dxa"/>
            <w:noWrap w:val="0"/>
            <w:vAlign w:val="center"/>
          </w:tcPr>
          <w:p w14:paraId="6AFC8CAD">
            <w:pPr>
              <w:jc w:val="center"/>
              <w:rPr>
                <w:rFonts w:hint="eastAsia" w:ascii="宋体" w:hAnsi="宋体" w:eastAsia="宋体" w:cs="宋体"/>
                <w:color w:val="000000"/>
                <w:szCs w:val="21"/>
                <w:highlight w:val="none"/>
              </w:rPr>
            </w:pPr>
          </w:p>
        </w:tc>
        <w:tc>
          <w:tcPr>
            <w:tcW w:w="1494" w:type="dxa"/>
            <w:noWrap w:val="0"/>
            <w:vAlign w:val="center"/>
          </w:tcPr>
          <w:p w14:paraId="55F86654">
            <w:pPr>
              <w:jc w:val="center"/>
              <w:rPr>
                <w:rFonts w:hint="eastAsia" w:ascii="宋体" w:hAnsi="宋体" w:eastAsia="宋体" w:cs="宋体"/>
                <w:color w:val="000000"/>
                <w:szCs w:val="21"/>
                <w:highlight w:val="none"/>
              </w:rPr>
            </w:pPr>
          </w:p>
        </w:tc>
        <w:tc>
          <w:tcPr>
            <w:tcW w:w="1236" w:type="dxa"/>
            <w:noWrap w:val="0"/>
            <w:vAlign w:val="center"/>
          </w:tcPr>
          <w:p w14:paraId="0B92359B">
            <w:pPr>
              <w:jc w:val="center"/>
              <w:rPr>
                <w:rFonts w:hint="eastAsia" w:ascii="宋体" w:hAnsi="宋体" w:eastAsia="宋体" w:cs="宋体"/>
                <w:color w:val="000000"/>
                <w:szCs w:val="21"/>
                <w:highlight w:val="none"/>
              </w:rPr>
            </w:pPr>
          </w:p>
        </w:tc>
      </w:tr>
      <w:tr w14:paraId="43D6E856">
        <w:trPr>
          <w:cantSplit/>
          <w:trHeight w:val="454" w:hRule="atLeast"/>
          <w:jc w:val="center"/>
        </w:trPr>
        <w:tc>
          <w:tcPr>
            <w:tcW w:w="791" w:type="dxa"/>
            <w:noWrap w:val="0"/>
            <w:vAlign w:val="center"/>
          </w:tcPr>
          <w:p w14:paraId="6DBA75BF">
            <w:pPr>
              <w:ind w:left="120"/>
              <w:jc w:val="center"/>
              <w:rPr>
                <w:rFonts w:hint="eastAsia" w:ascii="宋体" w:hAnsi="宋体" w:eastAsia="宋体" w:cs="宋体"/>
                <w:color w:val="000000"/>
                <w:szCs w:val="21"/>
                <w:highlight w:val="none"/>
              </w:rPr>
            </w:pPr>
          </w:p>
        </w:tc>
        <w:tc>
          <w:tcPr>
            <w:tcW w:w="3191" w:type="dxa"/>
            <w:noWrap w:val="0"/>
            <w:vAlign w:val="center"/>
          </w:tcPr>
          <w:p w14:paraId="32F5930E">
            <w:pPr>
              <w:jc w:val="center"/>
              <w:rPr>
                <w:rFonts w:hint="eastAsia" w:ascii="宋体" w:hAnsi="宋体" w:eastAsia="宋体" w:cs="宋体"/>
                <w:color w:val="000000"/>
                <w:szCs w:val="21"/>
                <w:highlight w:val="none"/>
              </w:rPr>
            </w:pPr>
          </w:p>
        </w:tc>
        <w:tc>
          <w:tcPr>
            <w:tcW w:w="991" w:type="dxa"/>
            <w:noWrap w:val="0"/>
            <w:vAlign w:val="center"/>
          </w:tcPr>
          <w:p w14:paraId="705C3784">
            <w:pPr>
              <w:jc w:val="center"/>
              <w:rPr>
                <w:rFonts w:hint="eastAsia" w:ascii="宋体" w:hAnsi="宋体" w:eastAsia="宋体" w:cs="宋体"/>
                <w:color w:val="000000"/>
                <w:szCs w:val="21"/>
                <w:highlight w:val="none"/>
              </w:rPr>
            </w:pPr>
          </w:p>
        </w:tc>
        <w:tc>
          <w:tcPr>
            <w:tcW w:w="1878" w:type="dxa"/>
            <w:noWrap w:val="0"/>
            <w:vAlign w:val="center"/>
          </w:tcPr>
          <w:p w14:paraId="2495AAB5">
            <w:pPr>
              <w:jc w:val="center"/>
              <w:rPr>
                <w:rFonts w:hint="eastAsia" w:ascii="宋体" w:hAnsi="宋体" w:eastAsia="宋体" w:cs="宋体"/>
                <w:color w:val="000000"/>
                <w:szCs w:val="21"/>
                <w:highlight w:val="none"/>
              </w:rPr>
            </w:pPr>
          </w:p>
        </w:tc>
        <w:tc>
          <w:tcPr>
            <w:tcW w:w="1494" w:type="dxa"/>
            <w:noWrap w:val="0"/>
            <w:vAlign w:val="center"/>
          </w:tcPr>
          <w:p w14:paraId="725DB4B6">
            <w:pPr>
              <w:jc w:val="center"/>
              <w:rPr>
                <w:rFonts w:hint="eastAsia" w:ascii="宋体" w:hAnsi="宋体" w:eastAsia="宋体" w:cs="宋体"/>
                <w:color w:val="000000"/>
                <w:szCs w:val="21"/>
                <w:highlight w:val="none"/>
              </w:rPr>
            </w:pPr>
          </w:p>
        </w:tc>
        <w:tc>
          <w:tcPr>
            <w:tcW w:w="1236" w:type="dxa"/>
            <w:noWrap w:val="0"/>
            <w:vAlign w:val="center"/>
          </w:tcPr>
          <w:p w14:paraId="691AC003">
            <w:pPr>
              <w:jc w:val="center"/>
              <w:rPr>
                <w:rFonts w:hint="eastAsia" w:ascii="宋体" w:hAnsi="宋体" w:eastAsia="宋体" w:cs="宋体"/>
                <w:color w:val="000000"/>
                <w:szCs w:val="21"/>
                <w:highlight w:val="none"/>
              </w:rPr>
            </w:pPr>
          </w:p>
        </w:tc>
      </w:tr>
      <w:tr w14:paraId="7DB6475C">
        <w:trPr>
          <w:cantSplit/>
          <w:trHeight w:val="454" w:hRule="atLeast"/>
          <w:jc w:val="center"/>
        </w:trPr>
        <w:tc>
          <w:tcPr>
            <w:tcW w:w="791" w:type="dxa"/>
            <w:noWrap w:val="0"/>
            <w:vAlign w:val="center"/>
          </w:tcPr>
          <w:p w14:paraId="65688349">
            <w:pPr>
              <w:ind w:left="120"/>
              <w:jc w:val="center"/>
              <w:rPr>
                <w:rFonts w:hint="eastAsia" w:ascii="宋体" w:hAnsi="宋体" w:eastAsia="宋体" w:cs="宋体"/>
                <w:color w:val="000000"/>
                <w:szCs w:val="21"/>
                <w:highlight w:val="none"/>
              </w:rPr>
            </w:pPr>
          </w:p>
        </w:tc>
        <w:tc>
          <w:tcPr>
            <w:tcW w:w="3191" w:type="dxa"/>
            <w:noWrap w:val="0"/>
            <w:vAlign w:val="center"/>
          </w:tcPr>
          <w:p w14:paraId="1853CBE1">
            <w:pPr>
              <w:jc w:val="center"/>
              <w:rPr>
                <w:rFonts w:hint="eastAsia" w:ascii="宋体" w:hAnsi="宋体" w:eastAsia="宋体" w:cs="宋体"/>
                <w:color w:val="000000"/>
                <w:szCs w:val="21"/>
                <w:highlight w:val="none"/>
              </w:rPr>
            </w:pPr>
          </w:p>
        </w:tc>
        <w:tc>
          <w:tcPr>
            <w:tcW w:w="991" w:type="dxa"/>
            <w:noWrap w:val="0"/>
            <w:vAlign w:val="center"/>
          </w:tcPr>
          <w:p w14:paraId="361D3263">
            <w:pPr>
              <w:jc w:val="center"/>
              <w:rPr>
                <w:rFonts w:hint="eastAsia" w:ascii="宋体" w:hAnsi="宋体" w:eastAsia="宋体" w:cs="宋体"/>
                <w:color w:val="000000"/>
                <w:szCs w:val="21"/>
                <w:highlight w:val="none"/>
              </w:rPr>
            </w:pPr>
          </w:p>
        </w:tc>
        <w:tc>
          <w:tcPr>
            <w:tcW w:w="1878" w:type="dxa"/>
            <w:noWrap w:val="0"/>
            <w:vAlign w:val="center"/>
          </w:tcPr>
          <w:p w14:paraId="123C9F1A">
            <w:pPr>
              <w:jc w:val="center"/>
              <w:rPr>
                <w:rFonts w:hint="eastAsia" w:ascii="宋体" w:hAnsi="宋体" w:eastAsia="宋体" w:cs="宋体"/>
                <w:color w:val="000000"/>
                <w:szCs w:val="21"/>
                <w:highlight w:val="none"/>
              </w:rPr>
            </w:pPr>
          </w:p>
        </w:tc>
        <w:tc>
          <w:tcPr>
            <w:tcW w:w="1494" w:type="dxa"/>
            <w:noWrap w:val="0"/>
            <w:vAlign w:val="center"/>
          </w:tcPr>
          <w:p w14:paraId="2B5330AC">
            <w:pPr>
              <w:jc w:val="center"/>
              <w:rPr>
                <w:rFonts w:hint="eastAsia" w:ascii="宋体" w:hAnsi="宋体" w:eastAsia="宋体" w:cs="宋体"/>
                <w:color w:val="000000"/>
                <w:szCs w:val="21"/>
                <w:highlight w:val="none"/>
              </w:rPr>
            </w:pPr>
          </w:p>
        </w:tc>
        <w:tc>
          <w:tcPr>
            <w:tcW w:w="1236" w:type="dxa"/>
            <w:noWrap w:val="0"/>
            <w:vAlign w:val="center"/>
          </w:tcPr>
          <w:p w14:paraId="33B57506">
            <w:pPr>
              <w:jc w:val="center"/>
              <w:rPr>
                <w:rFonts w:hint="eastAsia" w:ascii="宋体" w:hAnsi="宋体" w:eastAsia="宋体" w:cs="宋体"/>
                <w:color w:val="000000"/>
                <w:szCs w:val="21"/>
                <w:highlight w:val="none"/>
              </w:rPr>
            </w:pPr>
          </w:p>
        </w:tc>
      </w:tr>
      <w:tr w14:paraId="098E9AC4">
        <w:trPr>
          <w:cantSplit/>
          <w:trHeight w:val="454" w:hRule="atLeast"/>
          <w:jc w:val="center"/>
        </w:trPr>
        <w:tc>
          <w:tcPr>
            <w:tcW w:w="791" w:type="dxa"/>
            <w:noWrap w:val="0"/>
            <w:vAlign w:val="center"/>
          </w:tcPr>
          <w:p w14:paraId="215120F1">
            <w:pPr>
              <w:ind w:left="120"/>
              <w:jc w:val="center"/>
              <w:rPr>
                <w:rFonts w:hint="eastAsia" w:ascii="宋体" w:hAnsi="宋体" w:eastAsia="宋体" w:cs="宋体"/>
                <w:color w:val="000000"/>
                <w:szCs w:val="21"/>
                <w:highlight w:val="none"/>
              </w:rPr>
            </w:pPr>
          </w:p>
        </w:tc>
        <w:tc>
          <w:tcPr>
            <w:tcW w:w="3191" w:type="dxa"/>
            <w:noWrap w:val="0"/>
            <w:vAlign w:val="center"/>
          </w:tcPr>
          <w:p w14:paraId="13481D9D">
            <w:pPr>
              <w:jc w:val="center"/>
              <w:rPr>
                <w:rFonts w:hint="eastAsia" w:ascii="宋体" w:hAnsi="宋体" w:eastAsia="宋体" w:cs="宋体"/>
                <w:color w:val="000000"/>
                <w:szCs w:val="21"/>
                <w:highlight w:val="none"/>
              </w:rPr>
            </w:pPr>
          </w:p>
        </w:tc>
        <w:tc>
          <w:tcPr>
            <w:tcW w:w="991" w:type="dxa"/>
            <w:noWrap w:val="0"/>
            <w:vAlign w:val="center"/>
          </w:tcPr>
          <w:p w14:paraId="77BEC323">
            <w:pPr>
              <w:jc w:val="center"/>
              <w:rPr>
                <w:rFonts w:hint="eastAsia" w:ascii="宋体" w:hAnsi="宋体" w:eastAsia="宋体" w:cs="宋体"/>
                <w:color w:val="000000"/>
                <w:szCs w:val="21"/>
                <w:highlight w:val="none"/>
              </w:rPr>
            </w:pPr>
          </w:p>
        </w:tc>
        <w:tc>
          <w:tcPr>
            <w:tcW w:w="1878" w:type="dxa"/>
            <w:noWrap w:val="0"/>
            <w:vAlign w:val="center"/>
          </w:tcPr>
          <w:p w14:paraId="32975F29">
            <w:pPr>
              <w:jc w:val="center"/>
              <w:rPr>
                <w:rFonts w:hint="eastAsia" w:ascii="宋体" w:hAnsi="宋体" w:eastAsia="宋体" w:cs="宋体"/>
                <w:color w:val="000000"/>
                <w:szCs w:val="21"/>
                <w:highlight w:val="none"/>
              </w:rPr>
            </w:pPr>
          </w:p>
        </w:tc>
        <w:tc>
          <w:tcPr>
            <w:tcW w:w="1494" w:type="dxa"/>
            <w:noWrap w:val="0"/>
            <w:vAlign w:val="center"/>
          </w:tcPr>
          <w:p w14:paraId="79A5D059">
            <w:pPr>
              <w:jc w:val="center"/>
              <w:rPr>
                <w:rFonts w:hint="eastAsia" w:ascii="宋体" w:hAnsi="宋体" w:eastAsia="宋体" w:cs="宋体"/>
                <w:color w:val="000000"/>
                <w:szCs w:val="21"/>
                <w:highlight w:val="none"/>
              </w:rPr>
            </w:pPr>
          </w:p>
        </w:tc>
        <w:tc>
          <w:tcPr>
            <w:tcW w:w="1236" w:type="dxa"/>
            <w:noWrap w:val="0"/>
            <w:vAlign w:val="center"/>
          </w:tcPr>
          <w:p w14:paraId="5CF6C6AF">
            <w:pPr>
              <w:jc w:val="center"/>
              <w:rPr>
                <w:rFonts w:hint="eastAsia" w:ascii="宋体" w:hAnsi="宋体" w:eastAsia="宋体" w:cs="宋体"/>
                <w:color w:val="000000"/>
                <w:szCs w:val="21"/>
                <w:highlight w:val="none"/>
              </w:rPr>
            </w:pPr>
          </w:p>
        </w:tc>
      </w:tr>
      <w:tr w14:paraId="6051AD40">
        <w:trPr>
          <w:cantSplit/>
          <w:trHeight w:val="454" w:hRule="atLeast"/>
          <w:jc w:val="center"/>
        </w:trPr>
        <w:tc>
          <w:tcPr>
            <w:tcW w:w="791" w:type="dxa"/>
            <w:noWrap w:val="0"/>
            <w:vAlign w:val="center"/>
          </w:tcPr>
          <w:p w14:paraId="1F590557">
            <w:pPr>
              <w:ind w:left="120"/>
              <w:jc w:val="center"/>
              <w:rPr>
                <w:rFonts w:hint="eastAsia" w:ascii="宋体" w:hAnsi="宋体" w:eastAsia="宋体" w:cs="宋体"/>
                <w:color w:val="000000"/>
                <w:szCs w:val="21"/>
                <w:highlight w:val="none"/>
              </w:rPr>
            </w:pPr>
          </w:p>
        </w:tc>
        <w:tc>
          <w:tcPr>
            <w:tcW w:w="3191" w:type="dxa"/>
            <w:noWrap w:val="0"/>
            <w:vAlign w:val="center"/>
          </w:tcPr>
          <w:p w14:paraId="39638174">
            <w:pPr>
              <w:jc w:val="center"/>
              <w:rPr>
                <w:rFonts w:hint="eastAsia" w:ascii="宋体" w:hAnsi="宋体" w:eastAsia="宋体" w:cs="宋体"/>
                <w:color w:val="000000"/>
                <w:szCs w:val="21"/>
                <w:highlight w:val="none"/>
              </w:rPr>
            </w:pPr>
          </w:p>
        </w:tc>
        <w:tc>
          <w:tcPr>
            <w:tcW w:w="991" w:type="dxa"/>
            <w:noWrap w:val="0"/>
            <w:vAlign w:val="center"/>
          </w:tcPr>
          <w:p w14:paraId="2C65F83C">
            <w:pPr>
              <w:jc w:val="center"/>
              <w:rPr>
                <w:rFonts w:hint="eastAsia" w:ascii="宋体" w:hAnsi="宋体" w:eastAsia="宋体" w:cs="宋体"/>
                <w:color w:val="000000"/>
                <w:szCs w:val="21"/>
                <w:highlight w:val="none"/>
              </w:rPr>
            </w:pPr>
          </w:p>
        </w:tc>
        <w:tc>
          <w:tcPr>
            <w:tcW w:w="1878" w:type="dxa"/>
            <w:noWrap w:val="0"/>
            <w:vAlign w:val="center"/>
          </w:tcPr>
          <w:p w14:paraId="140B5600">
            <w:pPr>
              <w:jc w:val="center"/>
              <w:rPr>
                <w:rFonts w:hint="eastAsia" w:ascii="宋体" w:hAnsi="宋体" w:eastAsia="宋体" w:cs="宋体"/>
                <w:color w:val="000000"/>
                <w:szCs w:val="21"/>
                <w:highlight w:val="none"/>
              </w:rPr>
            </w:pPr>
          </w:p>
        </w:tc>
        <w:tc>
          <w:tcPr>
            <w:tcW w:w="1494" w:type="dxa"/>
            <w:noWrap w:val="0"/>
            <w:vAlign w:val="center"/>
          </w:tcPr>
          <w:p w14:paraId="4EE85D85">
            <w:pPr>
              <w:jc w:val="center"/>
              <w:rPr>
                <w:rFonts w:hint="eastAsia" w:ascii="宋体" w:hAnsi="宋体" w:eastAsia="宋体" w:cs="宋体"/>
                <w:color w:val="000000"/>
                <w:szCs w:val="21"/>
                <w:highlight w:val="none"/>
              </w:rPr>
            </w:pPr>
          </w:p>
        </w:tc>
        <w:tc>
          <w:tcPr>
            <w:tcW w:w="1236" w:type="dxa"/>
            <w:noWrap w:val="0"/>
            <w:vAlign w:val="center"/>
          </w:tcPr>
          <w:p w14:paraId="3CE91CE1">
            <w:pPr>
              <w:jc w:val="center"/>
              <w:rPr>
                <w:rFonts w:hint="eastAsia" w:ascii="宋体" w:hAnsi="宋体" w:eastAsia="宋体" w:cs="宋体"/>
                <w:color w:val="000000"/>
                <w:szCs w:val="21"/>
                <w:highlight w:val="none"/>
              </w:rPr>
            </w:pPr>
          </w:p>
        </w:tc>
      </w:tr>
      <w:tr w14:paraId="02DD42F8">
        <w:trPr>
          <w:cantSplit/>
          <w:trHeight w:val="454" w:hRule="atLeast"/>
          <w:jc w:val="center"/>
        </w:trPr>
        <w:tc>
          <w:tcPr>
            <w:tcW w:w="791" w:type="dxa"/>
            <w:noWrap w:val="0"/>
            <w:vAlign w:val="center"/>
          </w:tcPr>
          <w:p w14:paraId="7EDD0F96">
            <w:pPr>
              <w:ind w:left="120"/>
              <w:jc w:val="center"/>
              <w:rPr>
                <w:rFonts w:hint="eastAsia" w:ascii="宋体" w:hAnsi="宋体" w:eastAsia="宋体" w:cs="宋体"/>
                <w:color w:val="000000"/>
                <w:szCs w:val="21"/>
                <w:highlight w:val="none"/>
              </w:rPr>
            </w:pPr>
          </w:p>
        </w:tc>
        <w:tc>
          <w:tcPr>
            <w:tcW w:w="3191" w:type="dxa"/>
            <w:noWrap w:val="0"/>
            <w:vAlign w:val="center"/>
          </w:tcPr>
          <w:p w14:paraId="2AB2377F">
            <w:pPr>
              <w:jc w:val="center"/>
              <w:rPr>
                <w:rFonts w:hint="eastAsia" w:ascii="宋体" w:hAnsi="宋体" w:eastAsia="宋体" w:cs="宋体"/>
                <w:color w:val="000000"/>
                <w:szCs w:val="21"/>
                <w:highlight w:val="none"/>
              </w:rPr>
            </w:pPr>
          </w:p>
        </w:tc>
        <w:tc>
          <w:tcPr>
            <w:tcW w:w="991" w:type="dxa"/>
            <w:noWrap w:val="0"/>
            <w:vAlign w:val="center"/>
          </w:tcPr>
          <w:p w14:paraId="2E9244D2">
            <w:pPr>
              <w:jc w:val="center"/>
              <w:rPr>
                <w:rFonts w:hint="eastAsia" w:ascii="宋体" w:hAnsi="宋体" w:eastAsia="宋体" w:cs="宋体"/>
                <w:color w:val="000000"/>
                <w:szCs w:val="21"/>
                <w:highlight w:val="none"/>
              </w:rPr>
            </w:pPr>
          </w:p>
        </w:tc>
        <w:tc>
          <w:tcPr>
            <w:tcW w:w="1878" w:type="dxa"/>
            <w:noWrap w:val="0"/>
            <w:vAlign w:val="center"/>
          </w:tcPr>
          <w:p w14:paraId="6AF89B9E">
            <w:pPr>
              <w:jc w:val="center"/>
              <w:rPr>
                <w:rFonts w:hint="eastAsia" w:ascii="宋体" w:hAnsi="宋体" w:eastAsia="宋体" w:cs="宋体"/>
                <w:color w:val="000000"/>
                <w:szCs w:val="21"/>
                <w:highlight w:val="none"/>
              </w:rPr>
            </w:pPr>
          </w:p>
        </w:tc>
        <w:tc>
          <w:tcPr>
            <w:tcW w:w="1494" w:type="dxa"/>
            <w:noWrap w:val="0"/>
            <w:vAlign w:val="center"/>
          </w:tcPr>
          <w:p w14:paraId="36005762">
            <w:pPr>
              <w:jc w:val="center"/>
              <w:rPr>
                <w:rFonts w:hint="eastAsia" w:ascii="宋体" w:hAnsi="宋体" w:eastAsia="宋体" w:cs="宋体"/>
                <w:color w:val="000000"/>
                <w:szCs w:val="21"/>
                <w:highlight w:val="none"/>
              </w:rPr>
            </w:pPr>
          </w:p>
        </w:tc>
        <w:tc>
          <w:tcPr>
            <w:tcW w:w="1236" w:type="dxa"/>
            <w:noWrap w:val="0"/>
            <w:vAlign w:val="center"/>
          </w:tcPr>
          <w:p w14:paraId="02116952">
            <w:pPr>
              <w:jc w:val="center"/>
              <w:rPr>
                <w:rFonts w:hint="eastAsia" w:ascii="宋体" w:hAnsi="宋体" w:eastAsia="宋体" w:cs="宋体"/>
                <w:color w:val="000000"/>
                <w:szCs w:val="21"/>
                <w:highlight w:val="none"/>
              </w:rPr>
            </w:pPr>
          </w:p>
        </w:tc>
      </w:tr>
      <w:tr w14:paraId="0DED4048">
        <w:trPr>
          <w:cantSplit/>
          <w:trHeight w:val="454" w:hRule="atLeast"/>
          <w:jc w:val="center"/>
        </w:trPr>
        <w:tc>
          <w:tcPr>
            <w:tcW w:w="791" w:type="dxa"/>
            <w:noWrap w:val="0"/>
            <w:vAlign w:val="center"/>
          </w:tcPr>
          <w:p w14:paraId="58E942D3">
            <w:pPr>
              <w:ind w:left="120"/>
              <w:jc w:val="center"/>
              <w:rPr>
                <w:rFonts w:hint="eastAsia" w:ascii="宋体" w:hAnsi="宋体" w:eastAsia="宋体" w:cs="宋体"/>
                <w:color w:val="000000"/>
                <w:szCs w:val="21"/>
                <w:highlight w:val="none"/>
              </w:rPr>
            </w:pPr>
          </w:p>
        </w:tc>
        <w:tc>
          <w:tcPr>
            <w:tcW w:w="3191" w:type="dxa"/>
            <w:noWrap w:val="0"/>
            <w:vAlign w:val="center"/>
          </w:tcPr>
          <w:p w14:paraId="2B2EACDD">
            <w:pPr>
              <w:jc w:val="center"/>
              <w:rPr>
                <w:rFonts w:hint="eastAsia" w:ascii="宋体" w:hAnsi="宋体" w:eastAsia="宋体" w:cs="宋体"/>
                <w:color w:val="000000"/>
                <w:szCs w:val="21"/>
                <w:highlight w:val="none"/>
              </w:rPr>
            </w:pPr>
          </w:p>
        </w:tc>
        <w:tc>
          <w:tcPr>
            <w:tcW w:w="991" w:type="dxa"/>
            <w:noWrap w:val="0"/>
            <w:vAlign w:val="center"/>
          </w:tcPr>
          <w:p w14:paraId="30E87389">
            <w:pPr>
              <w:jc w:val="center"/>
              <w:rPr>
                <w:rFonts w:hint="eastAsia" w:ascii="宋体" w:hAnsi="宋体" w:eastAsia="宋体" w:cs="宋体"/>
                <w:color w:val="000000"/>
                <w:szCs w:val="21"/>
                <w:highlight w:val="none"/>
              </w:rPr>
            </w:pPr>
          </w:p>
        </w:tc>
        <w:tc>
          <w:tcPr>
            <w:tcW w:w="1878" w:type="dxa"/>
            <w:noWrap w:val="0"/>
            <w:vAlign w:val="center"/>
          </w:tcPr>
          <w:p w14:paraId="0CCA230C">
            <w:pPr>
              <w:jc w:val="center"/>
              <w:rPr>
                <w:rFonts w:hint="eastAsia" w:ascii="宋体" w:hAnsi="宋体" w:eastAsia="宋体" w:cs="宋体"/>
                <w:color w:val="000000"/>
                <w:szCs w:val="21"/>
                <w:highlight w:val="none"/>
              </w:rPr>
            </w:pPr>
          </w:p>
        </w:tc>
        <w:tc>
          <w:tcPr>
            <w:tcW w:w="1494" w:type="dxa"/>
            <w:noWrap w:val="0"/>
            <w:vAlign w:val="center"/>
          </w:tcPr>
          <w:p w14:paraId="5B92A11D">
            <w:pPr>
              <w:jc w:val="center"/>
              <w:rPr>
                <w:rFonts w:hint="eastAsia" w:ascii="宋体" w:hAnsi="宋体" w:eastAsia="宋体" w:cs="宋体"/>
                <w:color w:val="000000"/>
                <w:szCs w:val="21"/>
                <w:highlight w:val="none"/>
              </w:rPr>
            </w:pPr>
          </w:p>
        </w:tc>
        <w:tc>
          <w:tcPr>
            <w:tcW w:w="1236" w:type="dxa"/>
            <w:noWrap w:val="0"/>
            <w:vAlign w:val="center"/>
          </w:tcPr>
          <w:p w14:paraId="01C865DD">
            <w:pPr>
              <w:jc w:val="center"/>
              <w:rPr>
                <w:rFonts w:hint="eastAsia" w:ascii="宋体" w:hAnsi="宋体" w:eastAsia="宋体" w:cs="宋体"/>
                <w:color w:val="000000"/>
                <w:szCs w:val="21"/>
                <w:highlight w:val="none"/>
              </w:rPr>
            </w:pPr>
          </w:p>
        </w:tc>
      </w:tr>
    </w:tbl>
    <w:p w14:paraId="56656E17">
      <w:pPr>
        <w:widowControl/>
        <w:shd w:val="clear" w:color="auto" w:fill="FFFFFF"/>
        <w:spacing w:before="0" w:line="360" w:lineRule="auto"/>
        <w:ind w:left="0" w:firstLine="0"/>
        <w:jc w:val="left"/>
        <w:rPr>
          <w:rFonts w:hint="eastAsia" w:ascii="Times New Roman" w:hAnsi="Times New Roman" w:eastAsia="宋体"/>
          <w:color w:val="000000"/>
          <w:szCs w:val="21"/>
          <w:highlight w:val="none"/>
          <w:lang w:val="en-US" w:eastAsia="zh-CN"/>
        </w:rPr>
      </w:pPr>
    </w:p>
    <w:p w14:paraId="6426079D">
      <w:pPr>
        <w:spacing w:line="360" w:lineRule="auto"/>
        <w:ind w:left="214" w:right="420" w:firstLine="3780"/>
        <w:rPr>
          <w:rFonts w:ascii="Times New Roman" w:hAnsi="Times New Roman" w:eastAsia="宋体"/>
          <w:highlight w:val="none"/>
          <w:u w:val="single"/>
        </w:rPr>
      </w:pPr>
      <w:r>
        <w:rPr>
          <w:rFonts w:hint="eastAsia" w:ascii="Times New Roman" w:hAnsi="Times New Roman" w:eastAsia="宋体"/>
          <w:highlight w:val="none"/>
        </w:rPr>
        <w:t>投标人</w:t>
      </w:r>
      <w:r>
        <w:rPr>
          <w:rFonts w:ascii="Times New Roman" w:hAnsi="Times New Roman" w:eastAsia="宋体"/>
          <w:highlight w:val="none"/>
        </w:rPr>
        <w:t>名称（公章）：</w:t>
      </w:r>
      <w:r>
        <w:rPr>
          <w:rFonts w:ascii="Times New Roman" w:hAnsi="Times New Roman" w:eastAsia="宋体"/>
          <w:highlight w:val="none"/>
          <w:u w:val="single"/>
        </w:rPr>
        <w:t xml:space="preserve">                 </w:t>
      </w:r>
    </w:p>
    <w:p w14:paraId="74C55A5E">
      <w:pPr>
        <w:spacing w:line="360" w:lineRule="auto"/>
        <w:ind w:left="214" w:firstLine="378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法定代表人（单位负责人）</w:t>
      </w:r>
    </w:p>
    <w:p w14:paraId="6DE1704D">
      <w:pPr>
        <w:spacing w:line="360" w:lineRule="auto"/>
        <w:ind w:left="214" w:firstLine="378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3A696804">
      <w:pPr>
        <w:spacing w:line="360" w:lineRule="auto"/>
        <w:ind w:left="214" w:firstLine="422"/>
        <w:jc w:val="left"/>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日</w:t>
      </w:r>
    </w:p>
    <w:p w14:paraId="287F7489">
      <w:pPr>
        <w:rPr>
          <w:rFonts w:hint="eastAsia" w:ascii="Times New Roman" w:hAnsi="Times New Roman" w:eastAsia="宋体" w:cs="Microsoft New Tai Lue"/>
          <w:bCs w:val="0"/>
          <w:sz w:val="24"/>
          <w:szCs w:val="24"/>
          <w:highlight w:val="none"/>
          <w:lang w:eastAsia="zh-CN"/>
        </w:rPr>
      </w:pPr>
      <w:r>
        <w:rPr>
          <w:rFonts w:hint="eastAsia" w:ascii="Times New Roman" w:hAnsi="Times New Roman" w:eastAsia="宋体" w:cs="Microsoft New Tai Lue"/>
          <w:bCs w:val="0"/>
          <w:sz w:val="24"/>
          <w:szCs w:val="24"/>
          <w:highlight w:val="none"/>
          <w:lang w:eastAsia="zh-CN"/>
        </w:rPr>
        <w:br w:type="page"/>
      </w:r>
    </w:p>
    <w:p w14:paraId="29FE4B33">
      <w:pPr>
        <w:pStyle w:val="52"/>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Times New Roman" w:hAnsi="Times New Roman" w:eastAsia="宋体" w:cs="Microsoft New Tai Lue"/>
          <w:bCs w:val="0"/>
          <w:sz w:val="24"/>
          <w:szCs w:val="24"/>
          <w:highlight w:val="none"/>
        </w:rPr>
      </w:pPr>
      <w:r>
        <w:rPr>
          <w:rFonts w:hint="eastAsia" w:ascii="Times New Roman" w:hAnsi="Times New Roman" w:eastAsia="宋体" w:cs="Microsoft New Tai Lue"/>
          <w:bCs w:val="0"/>
          <w:sz w:val="24"/>
          <w:szCs w:val="24"/>
          <w:highlight w:val="none"/>
          <w:lang w:eastAsia="zh-CN"/>
        </w:rPr>
        <w:t>（</w:t>
      </w:r>
      <w:r>
        <w:rPr>
          <w:rFonts w:hint="eastAsia" w:ascii="Times New Roman" w:cs="Microsoft New Tai Lue"/>
          <w:bCs w:val="0"/>
          <w:sz w:val="24"/>
          <w:szCs w:val="24"/>
          <w:highlight w:val="none"/>
          <w:lang w:val="en-US" w:eastAsia="zh-CN"/>
        </w:rPr>
        <w:t>5</w:t>
      </w:r>
      <w:r>
        <w:rPr>
          <w:rFonts w:hint="eastAsia" w:ascii="Times New Roman" w:hAnsi="Times New Roman" w:eastAsia="宋体" w:cs="Microsoft New Tai Lue"/>
          <w:bCs w:val="0"/>
          <w:sz w:val="24"/>
          <w:szCs w:val="24"/>
          <w:highlight w:val="none"/>
          <w:lang w:eastAsia="zh-CN"/>
        </w:rPr>
        <w:t>）</w:t>
      </w:r>
      <w:r>
        <w:rPr>
          <w:rFonts w:hint="eastAsia" w:ascii="宋体" w:hAnsi="宋体" w:eastAsia="宋体" w:cs="宋体"/>
          <w:bCs w:val="0"/>
          <w:color w:val="000000"/>
          <w:sz w:val="24"/>
          <w:szCs w:val="24"/>
          <w:highlight w:val="none"/>
          <w:lang w:val="en-US" w:eastAsia="zh-CN"/>
        </w:rPr>
        <w:t>拟投入人员一览表</w:t>
      </w:r>
    </w:p>
    <w:p w14:paraId="383A8DD0">
      <w:pPr>
        <w:spacing w:line="360" w:lineRule="auto"/>
        <w:ind w:left="214" w:firstLine="422"/>
        <w:jc w:val="left"/>
        <w:rPr>
          <w:rFonts w:ascii="Times New Roman" w:hAnsi="Times New Roman" w:eastAsia="宋体" w:cs="Microsoft New Tai Lue"/>
          <w:highlight w:val="none"/>
        </w:rPr>
      </w:pPr>
    </w:p>
    <w:p w14:paraId="4B381246">
      <w:pPr>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                                </w:t>
      </w:r>
      <w:r>
        <w:rPr>
          <w:rFonts w:hint="eastAsia" w:ascii="宋体" w:hAnsi="宋体" w:eastAsia="宋体" w:cs="宋体"/>
          <w:color w:val="000000"/>
          <w:sz w:val="24"/>
          <w:highlight w:val="none"/>
        </w:rPr>
        <w:t xml:space="preserve">              项目</w:t>
      </w:r>
      <w:r>
        <w:rPr>
          <w:rFonts w:hint="eastAsia" w:ascii="宋体" w:hAnsi="宋体" w:eastAsia="宋体" w:cs="宋体"/>
          <w:color w:val="000000"/>
          <w:sz w:val="24"/>
          <w:highlight w:val="none"/>
          <w:lang w:val="zh-CN"/>
        </w:rPr>
        <w:t>编号：</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896"/>
        <w:gridCol w:w="663"/>
        <w:gridCol w:w="709"/>
        <w:gridCol w:w="862"/>
        <w:gridCol w:w="1546"/>
        <w:gridCol w:w="716"/>
        <w:gridCol w:w="1511"/>
        <w:gridCol w:w="1454"/>
        <w:gridCol w:w="734"/>
      </w:tblGrid>
      <w:tr w14:paraId="1E1466EE">
        <w:trPr>
          <w:trHeight w:val="972" w:hRule="exact"/>
          <w:jc w:val="center"/>
        </w:trPr>
        <w:tc>
          <w:tcPr>
            <w:tcW w:w="534" w:type="dxa"/>
            <w:noWrap w:val="0"/>
            <w:vAlign w:val="center"/>
          </w:tcPr>
          <w:p w14:paraId="347C2729">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序号</w:t>
            </w:r>
          </w:p>
        </w:tc>
        <w:tc>
          <w:tcPr>
            <w:tcW w:w="896" w:type="dxa"/>
            <w:noWrap w:val="0"/>
            <w:vAlign w:val="center"/>
          </w:tcPr>
          <w:p w14:paraId="448BEF49">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姓名</w:t>
            </w:r>
          </w:p>
        </w:tc>
        <w:tc>
          <w:tcPr>
            <w:tcW w:w="663" w:type="dxa"/>
            <w:noWrap w:val="0"/>
            <w:vAlign w:val="center"/>
          </w:tcPr>
          <w:p w14:paraId="5990F182">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性别</w:t>
            </w:r>
          </w:p>
        </w:tc>
        <w:tc>
          <w:tcPr>
            <w:tcW w:w="709" w:type="dxa"/>
            <w:noWrap w:val="0"/>
            <w:vAlign w:val="center"/>
          </w:tcPr>
          <w:p w14:paraId="433B9A15">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年龄</w:t>
            </w:r>
          </w:p>
        </w:tc>
        <w:tc>
          <w:tcPr>
            <w:tcW w:w="862" w:type="dxa"/>
            <w:noWrap w:val="0"/>
            <w:vAlign w:val="center"/>
          </w:tcPr>
          <w:p w14:paraId="374A7AC0">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学历及</w:t>
            </w:r>
          </w:p>
          <w:p w14:paraId="1980FAE6">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专业</w:t>
            </w:r>
          </w:p>
        </w:tc>
        <w:tc>
          <w:tcPr>
            <w:tcW w:w="1546" w:type="dxa"/>
            <w:noWrap w:val="0"/>
            <w:vAlign w:val="center"/>
          </w:tcPr>
          <w:p w14:paraId="7EC9805B">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执业</w:t>
            </w:r>
          </w:p>
          <w:p w14:paraId="119C776B">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资格及证书号</w:t>
            </w:r>
          </w:p>
        </w:tc>
        <w:tc>
          <w:tcPr>
            <w:tcW w:w="716" w:type="dxa"/>
            <w:noWrap w:val="0"/>
            <w:vAlign w:val="center"/>
          </w:tcPr>
          <w:p w14:paraId="48703462">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技术</w:t>
            </w:r>
          </w:p>
          <w:p w14:paraId="17BBDDA4">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职称</w:t>
            </w:r>
          </w:p>
        </w:tc>
        <w:tc>
          <w:tcPr>
            <w:tcW w:w="1511" w:type="dxa"/>
            <w:noWrap w:val="0"/>
            <w:vAlign w:val="center"/>
          </w:tcPr>
          <w:p w14:paraId="47B07B1E">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相关工作年限及参与典型业务情况</w:t>
            </w:r>
          </w:p>
        </w:tc>
        <w:tc>
          <w:tcPr>
            <w:tcW w:w="1454" w:type="dxa"/>
            <w:noWrap w:val="0"/>
            <w:vAlign w:val="center"/>
          </w:tcPr>
          <w:p w14:paraId="6136D3E0">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拟担任本项目何种工作</w:t>
            </w:r>
          </w:p>
        </w:tc>
        <w:tc>
          <w:tcPr>
            <w:tcW w:w="734" w:type="dxa"/>
            <w:noWrap w:val="0"/>
            <w:vAlign w:val="center"/>
          </w:tcPr>
          <w:p w14:paraId="115FFCBF">
            <w:pPr>
              <w:jc w:val="center"/>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备注</w:t>
            </w:r>
          </w:p>
        </w:tc>
      </w:tr>
      <w:tr w14:paraId="5F92CBCE">
        <w:trPr>
          <w:trHeight w:val="539" w:hRule="exact"/>
          <w:jc w:val="center"/>
        </w:trPr>
        <w:tc>
          <w:tcPr>
            <w:tcW w:w="534" w:type="dxa"/>
            <w:noWrap w:val="0"/>
            <w:vAlign w:val="top"/>
          </w:tcPr>
          <w:p w14:paraId="5EEF1BF7">
            <w:pPr>
              <w:rPr>
                <w:rFonts w:hint="eastAsia" w:ascii="宋体" w:hAnsi="宋体" w:eastAsia="宋体" w:cs="宋体"/>
                <w:color w:val="000000"/>
                <w:sz w:val="24"/>
                <w:highlight w:val="none"/>
                <w:lang w:val="zh-CN"/>
              </w:rPr>
            </w:pPr>
          </w:p>
        </w:tc>
        <w:tc>
          <w:tcPr>
            <w:tcW w:w="896" w:type="dxa"/>
            <w:noWrap w:val="0"/>
            <w:vAlign w:val="top"/>
          </w:tcPr>
          <w:p w14:paraId="69B9413F">
            <w:pPr>
              <w:rPr>
                <w:rFonts w:hint="eastAsia" w:ascii="宋体" w:hAnsi="宋体" w:eastAsia="宋体" w:cs="宋体"/>
                <w:color w:val="000000"/>
                <w:sz w:val="24"/>
                <w:highlight w:val="none"/>
                <w:lang w:val="zh-CN"/>
              </w:rPr>
            </w:pPr>
          </w:p>
        </w:tc>
        <w:tc>
          <w:tcPr>
            <w:tcW w:w="663" w:type="dxa"/>
            <w:noWrap w:val="0"/>
            <w:vAlign w:val="top"/>
          </w:tcPr>
          <w:p w14:paraId="6A1C8603">
            <w:pPr>
              <w:rPr>
                <w:rFonts w:hint="eastAsia" w:ascii="宋体" w:hAnsi="宋体" w:eastAsia="宋体" w:cs="宋体"/>
                <w:color w:val="000000"/>
                <w:sz w:val="24"/>
                <w:highlight w:val="none"/>
                <w:lang w:val="zh-CN"/>
              </w:rPr>
            </w:pPr>
          </w:p>
        </w:tc>
        <w:tc>
          <w:tcPr>
            <w:tcW w:w="709" w:type="dxa"/>
            <w:noWrap w:val="0"/>
            <w:vAlign w:val="top"/>
          </w:tcPr>
          <w:p w14:paraId="6801A3BE">
            <w:pPr>
              <w:rPr>
                <w:rFonts w:hint="eastAsia" w:ascii="宋体" w:hAnsi="宋体" w:eastAsia="宋体" w:cs="宋体"/>
                <w:color w:val="000000"/>
                <w:sz w:val="24"/>
                <w:highlight w:val="none"/>
                <w:lang w:val="zh-CN"/>
              </w:rPr>
            </w:pPr>
          </w:p>
        </w:tc>
        <w:tc>
          <w:tcPr>
            <w:tcW w:w="862" w:type="dxa"/>
            <w:noWrap w:val="0"/>
            <w:vAlign w:val="top"/>
          </w:tcPr>
          <w:p w14:paraId="55D8532E">
            <w:pPr>
              <w:rPr>
                <w:rFonts w:hint="eastAsia" w:ascii="宋体" w:hAnsi="宋体" w:eastAsia="宋体" w:cs="宋体"/>
                <w:color w:val="000000"/>
                <w:sz w:val="24"/>
                <w:highlight w:val="none"/>
                <w:lang w:val="zh-CN"/>
              </w:rPr>
            </w:pPr>
          </w:p>
        </w:tc>
        <w:tc>
          <w:tcPr>
            <w:tcW w:w="1546" w:type="dxa"/>
            <w:noWrap w:val="0"/>
            <w:vAlign w:val="top"/>
          </w:tcPr>
          <w:p w14:paraId="7885FDBE">
            <w:pPr>
              <w:rPr>
                <w:rFonts w:hint="eastAsia" w:ascii="宋体" w:hAnsi="宋体" w:eastAsia="宋体" w:cs="宋体"/>
                <w:color w:val="000000"/>
                <w:sz w:val="24"/>
                <w:highlight w:val="none"/>
                <w:lang w:val="zh-CN"/>
              </w:rPr>
            </w:pPr>
          </w:p>
        </w:tc>
        <w:tc>
          <w:tcPr>
            <w:tcW w:w="716" w:type="dxa"/>
            <w:noWrap w:val="0"/>
            <w:vAlign w:val="top"/>
          </w:tcPr>
          <w:p w14:paraId="23E2943E">
            <w:pPr>
              <w:rPr>
                <w:rFonts w:hint="eastAsia" w:ascii="宋体" w:hAnsi="宋体" w:eastAsia="宋体" w:cs="宋体"/>
                <w:color w:val="000000"/>
                <w:sz w:val="24"/>
                <w:highlight w:val="none"/>
                <w:lang w:val="zh-CN"/>
              </w:rPr>
            </w:pPr>
          </w:p>
        </w:tc>
        <w:tc>
          <w:tcPr>
            <w:tcW w:w="1511" w:type="dxa"/>
            <w:noWrap w:val="0"/>
            <w:vAlign w:val="top"/>
          </w:tcPr>
          <w:p w14:paraId="49A21707">
            <w:pPr>
              <w:rPr>
                <w:rFonts w:hint="eastAsia" w:ascii="宋体" w:hAnsi="宋体" w:eastAsia="宋体" w:cs="宋体"/>
                <w:color w:val="000000"/>
                <w:sz w:val="24"/>
                <w:highlight w:val="none"/>
                <w:lang w:val="zh-CN"/>
              </w:rPr>
            </w:pPr>
          </w:p>
        </w:tc>
        <w:tc>
          <w:tcPr>
            <w:tcW w:w="1454" w:type="dxa"/>
            <w:noWrap w:val="0"/>
            <w:vAlign w:val="top"/>
          </w:tcPr>
          <w:p w14:paraId="114A37B8">
            <w:pPr>
              <w:rPr>
                <w:rFonts w:hint="eastAsia" w:ascii="宋体" w:hAnsi="宋体" w:eastAsia="宋体" w:cs="宋体"/>
                <w:color w:val="000000"/>
                <w:sz w:val="24"/>
                <w:highlight w:val="none"/>
                <w:lang w:val="zh-CN"/>
              </w:rPr>
            </w:pPr>
          </w:p>
        </w:tc>
        <w:tc>
          <w:tcPr>
            <w:tcW w:w="734" w:type="dxa"/>
            <w:noWrap w:val="0"/>
            <w:vAlign w:val="top"/>
          </w:tcPr>
          <w:p w14:paraId="540EB65D">
            <w:pPr>
              <w:rPr>
                <w:rFonts w:hint="eastAsia" w:ascii="宋体" w:hAnsi="宋体" w:eastAsia="宋体" w:cs="宋体"/>
                <w:color w:val="000000"/>
                <w:sz w:val="24"/>
                <w:highlight w:val="none"/>
                <w:lang w:val="zh-CN"/>
              </w:rPr>
            </w:pPr>
          </w:p>
        </w:tc>
      </w:tr>
      <w:tr w14:paraId="68266741">
        <w:trPr>
          <w:trHeight w:val="539" w:hRule="exact"/>
          <w:jc w:val="center"/>
        </w:trPr>
        <w:tc>
          <w:tcPr>
            <w:tcW w:w="534" w:type="dxa"/>
            <w:noWrap w:val="0"/>
            <w:vAlign w:val="top"/>
          </w:tcPr>
          <w:p w14:paraId="374A100B">
            <w:pPr>
              <w:rPr>
                <w:rFonts w:hint="eastAsia" w:ascii="宋体" w:hAnsi="宋体" w:eastAsia="宋体" w:cs="宋体"/>
                <w:color w:val="000000"/>
                <w:sz w:val="24"/>
                <w:highlight w:val="none"/>
                <w:lang w:val="zh-CN"/>
              </w:rPr>
            </w:pPr>
          </w:p>
        </w:tc>
        <w:tc>
          <w:tcPr>
            <w:tcW w:w="896" w:type="dxa"/>
            <w:noWrap w:val="0"/>
            <w:vAlign w:val="top"/>
          </w:tcPr>
          <w:p w14:paraId="5DB35730">
            <w:pPr>
              <w:rPr>
                <w:rFonts w:hint="eastAsia" w:ascii="宋体" w:hAnsi="宋体" w:eastAsia="宋体" w:cs="宋体"/>
                <w:color w:val="000000"/>
                <w:sz w:val="24"/>
                <w:highlight w:val="none"/>
                <w:lang w:val="zh-CN"/>
              </w:rPr>
            </w:pPr>
          </w:p>
        </w:tc>
        <w:tc>
          <w:tcPr>
            <w:tcW w:w="663" w:type="dxa"/>
            <w:noWrap w:val="0"/>
            <w:vAlign w:val="top"/>
          </w:tcPr>
          <w:p w14:paraId="3810EB26">
            <w:pPr>
              <w:rPr>
                <w:rFonts w:hint="eastAsia" w:ascii="宋体" w:hAnsi="宋体" w:eastAsia="宋体" w:cs="宋体"/>
                <w:color w:val="000000"/>
                <w:sz w:val="24"/>
                <w:highlight w:val="none"/>
                <w:lang w:val="zh-CN"/>
              </w:rPr>
            </w:pPr>
          </w:p>
        </w:tc>
        <w:tc>
          <w:tcPr>
            <w:tcW w:w="709" w:type="dxa"/>
            <w:noWrap w:val="0"/>
            <w:vAlign w:val="top"/>
          </w:tcPr>
          <w:p w14:paraId="657CA521">
            <w:pPr>
              <w:rPr>
                <w:rFonts w:hint="eastAsia" w:ascii="宋体" w:hAnsi="宋体" w:eastAsia="宋体" w:cs="宋体"/>
                <w:color w:val="000000"/>
                <w:sz w:val="24"/>
                <w:highlight w:val="none"/>
                <w:lang w:val="zh-CN"/>
              </w:rPr>
            </w:pPr>
          </w:p>
        </w:tc>
        <w:tc>
          <w:tcPr>
            <w:tcW w:w="862" w:type="dxa"/>
            <w:noWrap w:val="0"/>
            <w:vAlign w:val="top"/>
          </w:tcPr>
          <w:p w14:paraId="2946DC33">
            <w:pPr>
              <w:rPr>
                <w:rFonts w:hint="eastAsia" w:ascii="宋体" w:hAnsi="宋体" w:eastAsia="宋体" w:cs="宋体"/>
                <w:color w:val="000000"/>
                <w:sz w:val="24"/>
                <w:highlight w:val="none"/>
                <w:lang w:val="zh-CN"/>
              </w:rPr>
            </w:pPr>
          </w:p>
        </w:tc>
        <w:tc>
          <w:tcPr>
            <w:tcW w:w="1546" w:type="dxa"/>
            <w:noWrap w:val="0"/>
            <w:vAlign w:val="top"/>
          </w:tcPr>
          <w:p w14:paraId="0F740A94">
            <w:pPr>
              <w:rPr>
                <w:rFonts w:hint="eastAsia" w:ascii="宋体" w:hAnsi="宋体" w:eastAsia="宋体" w:cs="宋体"/>
                <w:color w:val="000000"/>
                <w:sz w:val="24"/>
                <w:highlight w:val="none"/>
                <w:lang w:val="zh-CN"/>
              </w:rPr>
            </w:pPr>
          </w:p>
        </w:tc>
        <w:tc>
          <w:tcPr>
            <w:tcW w:w="716" w:type="dxa"/>
            <w:noWrap w:val="0"/>
            <w:vAlign w:val="top"/>
          </w:tcPr>
          <w:p w14:paraId="1BF0A236">
            <w:pPr>
              <w:rPr>
                <w:rFonts w:hint="eastAsia" w:ascii="宋体" w:hAnsi="宋体" w:eastAsia="宋体" w:cs="宋体"/>
                <w:color w:val="000000"/>
                <w:sz w:val="24"/>
                <w:highlight w:val="none"/>
                <w:lang w:val="zh-CN"/>
              </w:rPr>
            </w:pPr>
          </w:p>
        </w:tc>
        <w:tc>
          <w:tcPr>
            <w:tcW w:w="1511" w:type="dxa"/>
            <w:noWrap w:val="0"/>
            <w:vAlign w:val="top"/>
          </w:tcPr>
          <w:p w14:paraId="1543EF87">
            <w:pPr>
              <w:rPr>
                <w:rFonts w:hint="eastAsia" w:ascii="宋体" w:hAnsi="宋体" w:eastAsia="宋体" w:cs="宋体"/>
                <w:color w:val="000000"/>
                <w:sz w:val="24"/>
                <w:highlight w:val="none"/>
                <w:lang w:val="zh-CN"/>
              </w:rPr>
            </w:pPr>
          </w:p>
        </w:tc>
        <w:tc>
          <w:tcPr>
            <w:tcW w:w="1454" w:type="dxa"/>
            <w:noWrap w:val="0"/>
            <w:vAlign w:val="top"/>
          </w:tcPr>
          <w:p w14:paraId="22106E01">
            <w:pPr>
              <w:rPr>
                <w:rFonts w:hint="eastAsia" w:ascii="宋体" w:hAnsi="宋体" w:eastAsia="宋体" w:cs="宋体"/>
                <w:color w:val="000000"/>
                <w:sz w:val="24"/>
                <w:highlight w:val="none"/>
                <w:lang w:val="zh-CN"/>
              </w:rPr>
            </w:pPr>
          </w:p>
        </w:tc>
        <w:tc>
          <w:tcPr>
            <w:tcW w:w="734" w:type="dxa"/>
            <w:noWrap w:val="0"/>
            <w:vAlign w:val="top"/>
          </w:tcPr>
          <w:p w14:paraId="13A33723">
            <w:pPr>
              <w:rPr>
                <w:rFonts w:hint="eastAsia" w:ascii="宋体" w:hAnsi="宋体" w:eastAsia="宋体" w:cs="宋体"/>
                <w:color w:val="000000"/>
                <w:sz w:val="24"/>
                <w:highlight w:val="none"/>
                <w:lang w:val="zh-CN"/>
              </w:rPr>
            </w:pPr>
          </w:p>
        </w:tc>
      </w:tr>
      <w:tr w14:paraId="120B8A22">
        <w:trPr>
          <w:trHeight w:val="539" w:hRule="exact"/>
          <w:jc w:val="center"/>
        </w:trPr>
        <w:tc>
          <w:tcPr>
            <w:tcW w:w="534" w:type="dxa"/>
            <w:noWrap w:val="0"/>
            <w:vAlign w:val="top"/>
          </w:tcPr>
          <w:p w14:paraId="7F303635">
            <w:pPr>
              <w:rPr>
                <w:rFonts w:hint="eastAsia" w:ascii="宋体" w:hAnsi="宋体" w:eastAsia="宋体" w:cs="宋体"/>
                <w:color w:val="000000"/>
                <w:sz w:val="24"/>
                <w:highlight w:val="none"/>
                <w:lang w:val="zh-CN"/>
              </w:rPr>
            </w:pPr>
          </w:p>
        </w:tc>
        <w:tc>
          <w:tcPr>
            <w:tcW w:w="896" w:type="dxa"/>
            <w:noWrap w:val="0"/>
            <w:vAlign w:val="top"/>
          </w:tcPr>
          <w:p w14:paraId="1576F900">
            <w:pPr>
              <w:rPr>
                <w:rFonts w:hint="eastAsia" w:ascii="宋体" w:hAnsi="宋体" w:eastAsia="宋体" w:cs="宋体"/>
                <w:color w:val="000000"/>
                <w:sz w:val="24"/>
                <w:highlight w:val="none"/>
                <w:lang w:val="zh-CN"/>
              </w:rPr>
            </w:pPr>
          </w:p>
        </w:tc>
        <w:tc>
          <w:tcPr>
            <w:tcW w:w="663" w:type="dxa"/>
            <w:noWrap w:val="0"/>
            <w:vAlign w:val="top"/>
          </w:tcPr>
          <w:p w14:paraId="5EB1D5DE">
            <w:pPr>
              <w:rPr>
                <w:rFonts w:hint="eastAsia" w:ascii="宋体" w:hAnsi="宋体" w:eastAsia="宋体" w:cs="宋体"/>
                <w:color w:val="000000"/>
                <w:sz w:val="24"/>
                <w:highlight w:val="none"/>
                <w:lang w:val="zh-CN"/>
              </w:rPr>
            </w:pPr>
          </w:p>
        </w:tc>
        <w:tc>
          <w:tcPr>
            <w:tcW w:w="709" w:type="dxa"/>
            <w:noWrap w:val="0"/>
            <w:vAlign w:val="top"/>
          </w:tcPr>
          <w:p w14:paraId="5BCBEBF6">
            <w:pPr>
              <w:rPr>
                <w:rFonts w:hint="eastAsia" w:ascii="宋体" w:hAnsi="宋体" w:eastAsia="宋体" w:cs="宋体"/>
                <w:color w:val="000000"/>
                <w:sz w:val="24"/>
                <w:highlight w:val="none"/>
                <w:lang w:val="zh-CN"/>
              </w:rPr>
            </w:pPr>
          </w:p>
        </w:tc>
        <w:tc>
          <w:tcPr>
            <w:tcW w:w="862" w:type="dxa"/>
            <w:noWrap w:val="0"/>
            <w:vAlign w:val="top"/>
          </w:tcPr>
          <w:p w14:paraId="57579576">
            <w:pPr>
              <w:rPr>
                <w:rFonts w:hint="eastAsia" w:ascii="宋体" w:hAnsi="宋体" w:eastAsia="宋体" w:cs="宋体"/>
                <w:color w:val="000000"/>
                <w:sz w:val="24"/>
                <w:highlight w:val="none"/>
                <w:lang w:val="zh-CN"/>
              </w:rPr>
            </w:pPr>
          </w:p>
        </w:tc>
        <w:tc>
          <w:tcPr>
            <w:tcW w:w="1546" w:type="dxa"/>
            <w:noWrap w:val="0"/>
            <w:vAlign w:val="top"/>
          </w:tcPr>
          <w:p w14:paraId="389C9062">
            <w:pPr>
              <w:rPr>
                <w:rFonts w:hint="eastAsia" w:ascii="宋体" w:hAnsi="宋体" w:eastAsia="宋体" w:cs="宋体"/>
                <w:color w:val="000000"/>
                <w:sz w:val="24"/>
                <w:highlight w:val="none"/>
                <w:lang w:val="zh-CN"/>
              </w:rPr>
            </w:pPr>
          </w:p>
        </w:tc>
        <w:tc>
          <w:tcPr>
            <w:tcW w:w="716" w:type="dxa"/>
            <w:noWrap w:val="0"/>
            <w:vAlign w:val="top"/>
          </w:tcPr>
          <w:p w14:paraId="4C2CB6BD">
            <w:pPr>
              <w:rPr>
                <w:rFonts w:hint="eastAsia" w:ascii="宋体" w:hAnsi="宋体" w:eastAsia="宋体" w:cs="宋体"/>
                <w:color w:val="000000"/>
                <w:sz w:val="24"/>
                <w:highlight w:val="none"/>
                <w:lang w:val="zh-CN"/>
              </w:rPr>
            </w:pPr>
          </w:p>
        </w:tc>
        <w:tc>
          <w:tcPr>
            <w:tcW w:w="1511" w:type="dxa"/>
            <w:noWrap w:val="0"/>
            <w:vAlign w:val="top"/>
          </w:tcPr>
          <w:p w14:paraId="1D12FE41">
            <w:pPr>
              <w:rPr>
                <w:rFonts w:hint="eastAsia" w:ascii="宋体" w:hAnsi="宋体" w:eastAsia="宋体" w:cs="宋体"/>
                <w:color w:val="000000"/>
                <w:sz w:val="24"/>
                <w:highlight w:val="none"/>
                <w:lang w:val="zh-CN"/>
              </w:rPr>
            </w:pPr>
          </w:p>
        </w:tc>
        <w:tc>
          <w:tcPr>
            <w:tcW w:w="1454" w:type="dxa"/>
            <w:noWrap w:val="0"/>
            <w:vAlign w:val="top"/>
          </w:tcPr>
          <w:p w14:paraId="0C79D00A">
            <w:pPr>
              <w:rPr>
                <w:rFonts w:hint="eastAsia" w:ascii="宋体" w:hAnsi="宋体" w:eastAsia="宋体" w:cs="宋体"/>
                <w:color w:val="000000"/>
                <w:sz w:val="24"/>
                <w:highlight w:val="none"/>
                <w:lang w:val="zh-CN"/>
              </w:rPr>
            </w:pPr>
          </w:p>
        </w:tc>
        <w:tc>
          <w:tcPr>
            <w:tcW w:w="734" w:type="dxa"/>
            <w:noWrap w:val="0"/>
            <w:vAlign w:val="top"/>
          </w:tcPr>
          <w:p w14:paraId="2FA2D0C4">
            <w:pPr>
              <w:rPr>
                <w:rFonts w:hint="eastAsia" w:ascii="宋体" w:hAnsi="宋体" w:eastAsia="宋体" w:cs="宋体"/>
                <w:color w:val="000000"/>
                <w:sz w:val="24"/>
                <w:highlight w:val="none"/>
                <w:lang w:val="zh-CN"/>
              </w:rPr>
            </w:pPr>
          </w:p>
        </w:tc>
      </w:tr>
    </w:tbl>
    <w:p w14:paraId="19B062AF">
      <w:pPr>
        <w:widowControl/>
        <w:numPr>
          <w:ilvl w:val="12"/>
          <w:numId w:val="0"/>
        </w:numPr>
        <w:shd w:val="clear" w:color="auto" w:fill="FFFFFF"/>
        <w:spacing w:line="360" w:lineRule="auto"/>
        <w:ind w:left="0" w:firstLine="0"/>
        <w:jc w:val="left"/>
        <w:rPr>
          <w:rFonts w:hint="eastAsia" w:ascii="Times New Roman" w:hAnsi="Times New Roman" w:eastAsia="宋体"/>
          <w:color w:val="000000"/>
          <w:szCs w:val="21"/>
          <w:highlight w:val="none"/>
          <w:lang w:eastAsia="zh-CN"/>
        </w:rPr>
      </w:pPr>
    </w:p>
    <w:p w14:paraId="7A55897C">
      <w:pPr>
        <w:rPr>
          <w:rFonts w:ascii="Times New Roman" w:hAnsi="Times New Roman" w:eastAsia="宋体"/>
          <w:highlight w:val="none"/>
        </w:rPr>
      </w:pPr>
      <w:r>
        <w:rPr>
          <w:rFonts w:ascii="Times New Roman" w:hAnsi="Times New Roman" w:eastAsia="宋体"/>
          <w:highlight w:val="none"/>
        </w:rPr>
        <w:t xml:space="preserve"> </w:t>
      </w:r>
    </w:p>
    <w:p w14:paraId="54C3077E">
      <w:pPr>
        <w:spacing w:line="360" w:lineRule="auto"/>
        <w:ind w:left="214" w:right="420" w:firstLine="3780"/>
        <w:rPr>
          <w:rFonts w:ascii="Times New Roman" w:hAnsi="Times New Roman" w:eastAsia="宋体"/>
          <w:highlight w:val="none"/>
          <w:u w:val="single"/>
        </w:rPr>
      </w:pPr>
      <w:r>
        <w:rPr>
          <w:rFonts w:hint="eastAsia" w:ascii="Times New Roman" w:hAnsi="Times New Roman" w:eastAsia="宋体"/>
          <w:highlight w:val="none"/>
        </w:rPr>
        <w:t>投标人</w:t>
      </w:r>
      <w:r>
        <w:rPr>
          <w:rFonts w:ascii="Times New Roman" w:hAnsi="Times New Roman" w:eastAsia="宋体"/>
          <w:highlight w:val="none"/>
        </w:rPr>
        <w:t>名称（公章）：</w:t>
      </w:r>
      <w:r>
        <w:rPr>
          <w:rFonts w:ascii="Times New Roman" w:hAnsi="Times New Roman" w:eastAsia="宋体"/>
          <w:highlight w:val="none"/>
          <w:u w:val="single"/>
        </w:rPr>
        <w:t xml:space="preserve">                 </w:t>
      </w:r>
    </w:p>
    <w:p w14:paraId="6E823F97">
      <w:pPr>
        <w:spacing w:line="360" w:lineRule="auto"/>
        <w:ind w:left="214" w:firstLine="3780"/>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法定代表人（单位负责人）</w:t>
      </w:r>
    </w:p>
    <w:p w14:paraId="75FB81E7">
      <w:pPr>
        <w:spacing w:line="360" w:lineRule="auto"/>
        <w:ind w:left="214" w:firstLine="378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p>
    <w:p w14:paraId="1D4886C9">
      <w:pPr>
        <w:spacing w:line="360" w:lineRule="auto"/>
        <w:ind w:left="214" w:firstLine="422"/>
        <w:jc w:val="left"/>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日</w:t>
      </w:r>
    </w:p>
    <w:p w14:paraId="37A054E7">
      <w:pPr>
        <w:rPr>
          <w:rFonts w:ascii="Times New Roman" w:hAnsi="Times New Roman" w:eastAsia="宋体" w:cs="Microsoft New Tai Lue"/>
          <w:highlight w:val="none"/>
        </w:rPr>
      </w:pPr>
    </w:p>
    <w:p w14:paraId="199488EC">
      <w:pPr>
        <w:rPr>
          <w:rFonts w:hint="eastAsia" w:ascii="Times New Roman" w:hAnsi="Times New Roman" w:eastAsia="宋体" w:cs="宋体"/>
          <w:spacing w:val="-9"/>
          <w:position w:val="15"/>
          <w:sz w:val="20"/>
          <w:szCs w:val="20"/>
          <w:highlight w:val="none"/>
        </w:rPr>
        <w:sectPr>
          <w:headerReference r:id="rId7" w:type="default"/>
          <w:footerReference r:id="rId8" w:type="default"/>
          <w:pgSz w:w="11906" w:h="16838"/>
          <w:pgMar w:top="1270" w:right="1066" w:bottom="1123" w:left="1134" w:header="794" w:footer="992" w:gutter="0"/>
          <w:cols w:space="1701" w:num="1"/>
          <w:docGrid w:linePitch="360" w:charSpace="0"/>
        </w:sectPr>
      </w:pPr>
    </w:p>
    <w:p w14:paraId="6D5B393A">
      <w:pPr>
        <w:pStyle w:val="77"/>
        <w:keepNext w:val="0"/>
        <w:keepLines w:val="0"/>
        <w:pageBreakBefore w:val="0"/>
        <w:widowControl w:val="0"/>
        <w:spacing w:before="313" w:after="157" w:line="240" w:lineRule="auto"/>
        <w:ind w:left="238" w:hanging="238"/>
        <w:outlineLvl w:val="1"/>
        <w:rPr>
          <w:rFonts w:hint="eastAsia" w:ascii="Times New Roman" w:hAnsi="Times New Roman" w:eastAsia="宋体" w:cs="Microsoft New Tai Lue"/>
          <w:b/>
          <w:bCs w:val="0"/>
          <w:sz w:val="24"/>
          <w:highlight w:val="none"/>
        </w:rPr>
      </w:pPr>
      <w:bookmarkStart w:id="390" w:name="_Toc1461783910"/>
      <w:r>
        <w:rPr>
          <w:rFonts w:hint="eastAsia" w:ascii="Times New Roman" w:hAnsi="Times New Roman" w:eastAsia="宋体" w:cs="Microsoft New Tai Lue"/>
          <w:b/>
          <w:bCs w:val="0"/>
          <w:sz w:val="24"/>
          <w:highlight w:val="none"/>
          <w:lang w:val="en-US" w:eastAsia="zh-CN"/>
        </w:rPr>
        <w:t>四</w:t>
      </w:r>
      <w:r>
        <w:rPr>
          <w:rFonts w:hint="eastAsia" w:ascii="Times New Roman" w:hAnsi="Times New Roman" w:eastAsia="宋体" w:cs="Microsoft New Tai Lue"/>
          <w:b/>
          <w:bCs w:val="0"/>
          <w:sz w:val="24"/>
          <w:highlight w:val="none"/>
        </w:rPr>
        <w:t>、技术文件</w:t>
      </w:r>
      <w:bookmarkEnd w:id="390"/>
    </w:p>
    <w:p w14:paraId="067B0747">
      <w:pPr>
        <w:pStyle w:val="77"/>
        <w:spacing w:before="0"/>
        <w:ind w:left="535" w:hanging="321"/>
        <w:outlineLvl w:val="2"/>
        <w:rPr>
          <w:rFonts w:ascii="Times New Roman" w:hAnsi="Times New Roman" w:eastAsia="宋体" w:cs="Microsoft New Tai Lue"/>
          <w:bCs w:val="0"/>
          <w:sz w:val="24"/>
          <w:szCs w:val="24"/>
          <w:highlight w:val="none"/>
        </w:rPr>
      </w:pPr>
      <w:bookmarkStart w:id="391" w:name="_Toc989253690"/>
      <w:r>
        <w:rPr>
          <w:rFonts w:ascii="Times New Roman" w:hAnsi="Times New Roman" w:eastAsia="宋体" w:cs="Microsoft New Tai Lue"/>
          <w:bCs w:val="0"/>
          <w:sz w:val="24"/>
          <w:szCs w:val="24"/>
          <w:highlight w:val="none"/>
        </w:rPr>
        <w:t>（</w:t>
      </w:r>
      <w:r>
        <w:rPr>
          <w:rFonts w:hint="eastAsia" w:ascii="Times New Roman" w:hAnsi="Times New Roman" w:eastAsia="宋体" w:cs="Microsoft New Tai Lue"/>
          <w:bCs w:val="0"/>
          <w:sz w:val="24"/>
          <w:szCs w:val="24"/>
          <w:highlight w:val="none"/>
          <w:lang w:val="en-US" w:eastAsia="zh-CN"/>
        </w:rPr>
        <w:t>1</w:t>
      </w:r>
      <w:r>
        <w:rPr>
          <w:rFonts w:ascii="Times New Roman" w:hAnsi="Times New Roman" w:eastAsia="宋体" w:cs="Microsoft New Tai Lue"/>
          <w:bCs w:val="0"/>
          <w:sz w:val="24"/>
          <w:szCs w:val="24"/>
          <w:highlight w:val="none"/>
        </w:rPr>
        <w:t>）技术</w:t>
      </w:r>
      <w:r>
        <w:rPr>
          <w:rFonts w:hint="eastAsia" w:ascii="Times New Roman" w:hAnsi="Times New Roman" w:eastAsia="宋体" w:cs="Microsoft New Tai Lue"/>
          <w:bCs w:val="0"/>
          <w:sz w:val="24"/>
          <w:szCs w:val="24"/>
          <w:highlight w:val="none"/>
        </w:rPr>
        <w:t>条款</w:t>
      </w:r>
      <w:r>
        <w:rPr>
          <w:rFonts w:ascii="Times New Roman" w:hAnsi="Times New Roman" w:eastAsia="宋体" w:cs="Microsoft New Tai Lue"/>
          <w:bCs w:val="0"/>
          <w:sz w:val="24"/>
          <w:szCs w:val="24"/>
          <w:highlight w:val="none"/>
        </w:rPr>
        <w:t>偏离表</w:t>
      </w:r>
      <w:bookmarkEnd w:id="386"/>
      <w:bookmarkEnd w:id="387"/>
      <w:bookmarkEnd w:id="388"/>
      <w:bookmarkEnd w:id="391"/>
    </w:p>
    <w:p w14:paraId="3ECA8458">
      <w:pPr>
        <w:pStyle w:val="255"/>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项目编号：</w:t>
      </w:r>
    </w:p>
    <w:p w14:paraId="345B4274">
      <w:pPr>
        <w:pStyle w:val="255"/>
        <w:ind w:left="214" w:firstLine="420"/>
        <w:rPr>
          <w:rFonts w:ascii="Times New Roman" w:hAnsi="Times New Roman" w:eastAsia="宋体" w:cs="Microsoft New Tai Lue"/>
          <w:sz w:val="21"/>
          <w:szCs w:val="21"/>
          <w:highlight w:val="none"/>
        </w:rPr>
      </w:pPr>
    </w:p>
    <w:tbl>
      <w:tblPr>
        <w:tblStyle w:val="32"/>
        <w:tblW w:w="97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0"/>
        <w:gridCol w:w="1837"/>
        <w:gridCol w:w="2162"/>
        <w:gridCol w:w="2200"/>
        <w:gridCol w:w="1231"/>
        <w:gridCol w:w="1009"/>
        <w:gridCol w:w="669"/>
      </w:tblGrid>
      <w:tr w14:paraId="7C76623B">
        <w:trPr>
          <w:trHeight w:val="635" w:hRule="atLeast"/>
          <w:jc w:val="center"/>
        </w:trPr>
        <w:tc>
          <w:tcPr>
            <w:tcW w:w="680" w:type="dxa"/>
            <w:noWrap w:val="0"/>
            <w:vAlign w:val="center"/>
          </w:tcPr>
          <w:p w14:paraId="6C26A97F">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序号</w:t>
            </w:r>
          </w:p>
        </w:tc>
        <w:tc>
          <w:tcPr>
            <w:tcW w:w="1837" w:type="dxa"/>
            <w:noWrap w:val="0"/>
            <w:vAlign w:val="center"/>
          </w:tcPr>
          <w:p w14:paraId="7D9F3540">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招标文件条目号</w:t>
            </w:r>
          </w:p>
        </w:tc>
        <w:tc>
          <w:tcPr>
            <w:tcW w:w="2162" w:type="dxa"/>
            <w:noWrap w:val="0"/>
            <w:vAlign w:val="center"/>
          </w:tcPr>
          <w:p w14:paraId="503AF602">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招标文件的</w:t>
            </w:r>
            <w:r>
              <w:rPr>
                <w:rFonts w:hint="eastAsia" w:ascii="Times New Roman" w:hAnsi="Times New Roman" w:eastAsia="宋体" w:cs="Microsoft New Tai Lue"/>
                <w:sz w:val="21"/>
                <w:szCs w:val="21"/>
                <w:highlight w:val="none"/>
                <w:lang w:val="en-US" w:eastAsia="zh-CN" w:bidi="ar-SA"/>
              </w:rPr>
              <w:t>技术</w:t>
            </w:r>
            <w:r>
              <w:rPr>
                <w:rFonts w:ascii="Times New Roman" w:hAnsi="Times New Roman" w:eastAsia="宋体" w:cs="Microsoft New Tai Lue"/>
                <w:sz w:val="21"/>
                <w:szCs w:val="21"/>
                <w:highlight w:val="none"/>
                <w:lang w:val="en-US" w:eastAsia="zh-CN" w:bidi="ar-SA"/>
              </w:rPr>
              <w:t>条款</w:t>
            </w:r>
          </w:p>
        </w:tc>
        <w:tc>
          <w:tcPr>
            <w:tcW w:w="2200" w:type="dxa"/>
            <w:noWrap w:val="0"/>
            <w:vAlign w:val="center"/>
          </w:tcPr>
          <w:p w14:paraId="138422E3">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投标文件的</w:t>
            </w:r>
            <w:r>
              <w:rPr>
                <w:rFonts w:hint="eastAsia" w:ascii="Times New Roman" w:hAnsi="Times New Roman" w:eastAsia="宋体" w:cs="Microsoft New Tai Lue"/>
                <w:sz w:val="21"/>
                <w:szCs w:val="21"/>
                <w:highlight w:val="none"/>
                <w:lang w:val="en-US" w:eastAsia="zh-CN" w:bidi="ar-SA"/>
              </w:rPr>
              <w:t>技术</w:t>
            </w:r>
            <w:r>
              <w:rPr>
                <w:rFonts w:ascii="Times New Roman" w:hAnsi="Times New Roman" w:eastAsia="宋体" w:cs="Microsoft New Tai Lue"/>
                <w:sz w:val="21"/>
                <w:szCs w:val="21"/>
                <w:highlight w:val="none"/>
                <w:lang w:val="en-US" w:eastAsia="zh-CN" w:bidi="ar-SA"/>
              </w:rPr>
              <w:t>条款</w:t>
            </w:r>
          </w:p>
        </w:tc>
        <w:tc>
          <w:tcPr>
            <w:tcW w:w="1231" w:type="dxa"/>
            <w:noWrap w:val="0"/>
            <w:vAlign w:val="center"/>
          </w:tcPr>
          <w:p w14:paraId="4497CEC2">
            <w:pPr>
              <w:pStyle w:val="255"/>
              <w:keepNext w:val="0"/>
              <w:keepLines w:val="0"/>
              <w:pageBreakBefore w:val="0"/>
              <w:widowControl w:val="0"/>
              <w:spacing w:line="480" w:lineRule="auto"/>
              <w:ind w:left="0" w:firstLine="0"/>
              <w:jc w:val="center"/>
              <w:rPr>
                <w:rFonts w:ascii="Times New Roman" w:hAnsi="Times New Roman" w:eastAsia="宋体" w:cs="Microsoft New Tai Lue"/>
                <w:sz w:val="21"/>
                <w:szCs w:val="21"/>
                <w:highlight w:val="none"/>
                <w:lang w:val="en-US" w:eastAsia="zh-CN" w:bidi="ar-SA"/>
              </w:rPr>
            </w:pPr>
            <w:r>
              <w:rPr>
                <w:rFonts w:hint="eastAsia" w:ascii="Times New Roman" w:hAnsi="Times New Roman" w:eastAsia="宋体" w:cs="Microsoft New Tai Lue"/>
                <w:sz w:val="21"/>
                <w:szCs w:val="21"/>
                <w:highlight w:val="none"/>
                <w:lang w:val="en-US" w:eastAsia="zh-CN" w:bidi="ar-SA"/>
              </w:rPr>
              <w:t>是否</w:t>
            </w:r>
            <w:r>
              <w:rPr>
                <w:rFonts w:ascii="Times New Roman" w:hAnsi="Times New Roman" w:eastAsia="宋体" w:cs="Microsoft New Tai Lue"/>
                <w:sz w:val="21"/>
                <w:szCs w:val="21"/>
                <w:highlight w:val="none"/>
                <w:lang w:val="en-US" w:eastAsia="zh-CN" w:bidi="ar-SA"/>
              </w:rPr>
              <w:t>偏离</w:t>
            </w:r>
          </w:p>
        </w:tc>
        <w:tc>
          <w:tcPr>
            <w:tcW w:w="1009" w:type="dxa"/>
            <w:noWrap w:val="0"/>
            <w:vAlign w:val="center"/>
          </w:tcPr>
          <w:p w14:paraId="1C4E906E">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偏离</w:t>
            </w:r>
          </w:p>
        </w:tc>
        <w:tc>
          <w:tcPr>
            <w:tcW w:w="669" w:type="dxa"/>
            <w:noWrap w:val="0"/>
            <w:vAlign w:val="center"/>
          </w:tcPr>
          <w:p w14:paraId="762ED16C">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eastAsia="zh-CN" w:bidi="ar-SA"/>
              </w:rPr>
              <w:t>说明</w:t>
            </w:r>
          </w:p>
        </w:tc>
      </w:tr>
      <w:tr w14:paraId="28AD74D5">
        <w:trPr>
          <w:trHeight w:val="570" w:hRule="atLeast"/>
          <w:jc w:val="center"/>
        </w:trPr>
        <w:tc>
          <w:tcPr>
            <w:tcW w:w="680" w:type="dxa"/>
            <w:noWrap w:val="0"/>
            <w:vAlign w:val="center"/>
          </w:tcPr>
          <w:p w14:paraId="3DCB3F3E">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837" w:type="dxa"/>
            <w:noWrap w:val="0"/>
            <w:vAlign w:val="center"/>
          </w:tcPr>
          <w:p w14:paraId="13622350">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162" w:type="dxa"/>
            <w:noWrap w:val="0"/>
            <w:vAlign w:val="center"/>
          </w:tcPr>
          <w:p w14:paraId="3EBF7B1D">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200" w:type="dxa"/>
            <w:noWrap w:val="0"/>
            <w:vAlign w:val="center"/>
          </w:tcPr>
          <w:p w14:paraId="2A5310CC">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231" w:type="dxa"/>
            <w:noWrap w:val="0"/>
            <w:vAlign w:val="top"/>
          </w:tcPr>
          <w:p w14:paraId="2158A3D8">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009" w:type="dxa"/>
            <w:noWrap w:val="0"/>
            <w:vAlign w:val="center"/>
          </w:tcPr>
          <w:p w14:paraId="6ABA644A">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669" w:type="dxa"/>
            <w:noWrap w:val="0"/>
            <w:vAlign w:val="center"/>
          </w:tcPr>
          <w:p w14:paraId="65B866C8">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r>
      <w:tr w14:paraId="30DCE1FC">
        <w:trPr>
          <w:trHeight w:val="681" w:hRule="atLeast"/>
          <w:jc w:val="center"/>
        </w:trPr>
        <w:tc>
          <w:tcPr>
            <w:tcW w:w="680" w:type="dxa"/>
            <w:noWrap w:val="0"/>
            <w:vAlign w:val="center"/>
          </w:tcPr>
          <w:p w14:paraId="52B577F3">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837" w:type="dxa"/>
            <w:noWrap w:val="0"/>
            <w:vAlign w:val="center"/>
          </w:tcPr>
          <w:p w14:paraId="6551F7C7">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162" w:type="dxa"/>
            <w:noWrap w:val="0"/>
            <w:vAlign w:val="center"/>
          </w:tcPr>
          <w:p w14:paraId="076ED035">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200" w:type="dxa"/>
            <w:noWrap w:val="0"/>
            <w:vAlign w:val="center"/>
          </w:tcPr>
          <w:p w14:paraId="16A030AE">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231" w:type="dxa"/>
            <w:noWrap w:val="0"/>
            <w:vAlign w:val="top"/>
          </w:tcPr>
          <w:p w14:paraId="42D5EF3D">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009" w:type="dxa"/>
            <w:noWrap w:val="0"/>
            <w:vAlign w:val="center"/>
          </w:tcPr>
          <w:p w14:paraId="3F116625">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669" w:type="dxa"/>
            <w:noWrap w:val="0"/>
            <w:vAlign w:val="center"/>
          </w:tcPr>
          <w:p w14:paraId="21940FD5">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r>
      <w:tr w14:paraId="188B1380">
        <w:trPr>
          <w:trHeight w:val="690" w:hRule="atLeast"/>
          <w:jc w:val="center"/>
        </w:trPr>
        <w:tc>
          <w:tcPr>
            <w:tcW w:w="680" w:type="dxa"/>
            <w:noWrap w:val="0"/>
            <w:vAlign w:val="center"/>
          </w:tcPr>
          <w:p w14:paraId="17965E6C">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837" w:type="dxa"/>
            <w:noWrap w:val="0"/>
            <w:vAlign w:val="center"/>
          </w:tcPr>
          <w:p w14:paraId="1933BF4D">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162" w:type="dxa"/>
            <w:noWrap w:val="0"/>
            <w:vAlign w:val="center"/>
          </w:tcPr>
          <w:p w14:paraId="1669B7F8">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200" w:type="dxa"/>
            <w:noWrap w:val="0"/>
            <w:vAlign w:val="center"/>
          </w:tcPr>
          <w:p w14:paraId="04C59A3D">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231" w:type="dxa"/>
            <w:noWrap w:val="0"/>
            <w:vAlign w:val="top"/>
          </w:tcPr>
          <w:p w14:paraId="534B46E8">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009" w:type="dxa"/>
            <w:noWrap w:val="0"/>
            <w:vAlign w:val="center"/>
          </w:tcPr>
          <w:p w14:paraId="2AAC2263">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669" w:type="dxa"/>
            <w:noWrap w:val="0"/>
            <w:vAlign w:val="center"/>
          </w:tcPr>
          <w:p w14:paraId="54FD47F8">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r>
      <w:tr w14:paraId="1701728D">
        <w:trPr>
          <w:trHeight w:val="714" w:hRule="atLeast"/>
          <w:jc w:val="center"/>
        </w:trPr>
        <w:tc>
          <w:tcPr>
            <w:tcW w:w="680" w:type="dxa"/>
            <w:noWrap w:val="0"/>
            <w:vAlign w:val="center"/>
          </w:tcPr>
          <w:p w14:paraId="5CF48EB5">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837" w:type="dxa"/>
            <w:noWrap w:val="0"/>
            <w:vAlign w:val="center"/>
          </w:tcPr>
          <w:p w14:paraId="14BA8F7F">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162" w:type="dxa"/>
            <w:noWrap w:val="0"/>
            <w:vAlign w:val="center"/>
          </w:tcPr>
          <w:p w14:paraId="744FA288">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200" w:type="dxa"/>
            <w:noWrap w:val="0"/>
            <w:vAlign w:val="center"/>
          </w:tcPr>
          <w:p w14:paraId="0E10022D">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231" w:type="dxa"/>
            <w:noWrap w:val="0"/>
            <w:vAlign w:val="top"/>
          </w:tcPr>
          <w:p w14:paraId="2261E76F">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009" w:type="dxa"/>
            <w:noWrap w:val="0"/>
            <w:vAlign w:val="center"/>
          </w:tcPr>
          <w:p w14:paraId="612BF4C1">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669" w:type="dxa"/>
            <w:noWrap w:val="0"/>
            <w:vAlign w:val="center"/>
          </w:tcPr>
          <w:p w14:paraId="3928ED71">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r>
      <w:tr w14:paraId="42720348">
        <w:trPr>
          <w:trHeight w:val="682" w:hRule="atLeast"/>
          <w:jc w:val="center"/>
        </w:trPr>
        <w:tc>
          <w:tcPr>
            <w:tcW w:w="680" w:type="dxa"/>
            <w:noWrap w:val="0"/>
            <w:vAlign w:val="center"/>
          </w:tcPr>
          <w:p w14:paraId="2EBD7FE3">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837" w:type="dxa"/>
            <w:noWrap w:val="0"/>
            <w:vAlign w:val="center"/>
          </w:tcPr>
          <w:p w14:paraId="22AC8494">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162" w:type="dxa"/>
            <w:noWrap w:val="0"/>
            <w:vAlign w:val="center"/>
          </w:tcPr>
          <w:p w14:paraId="5ACC42D0">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200" w:type="dxa"/>
            <w:noWrap w:val="0"/>
            <w:vAlign w:val="center"/>
          </w:tcPr>
          <w:p w14:paraId="512E67D9">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231" w:type="dxa"/>
            <w:noWrap w:val="0"/>
            <w:vAlign w:val="top"/>
          </w:tcPr>
          <w:p w14:paraId="02FC3F2B">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009" w:type="dxa"/>
            <w:noWrap w:val="0"/>
            <w:vAlign w:val="center"/>
          </w:tcPr>
          <w:p w14:paraId="7E9301A6">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669" w:type="dxa"/>
            <w:noWrap w:val="0"/>
            <w:vAlign w:val="center"/>
          </w:tcPr>
          <w:p w14:paraId="19D97787">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r>
      <w:tr w14:paraId="6C16D3EB">
        <w:trPr>
          <w:trHeight w:val="707" w:hRule="atLeast"/>
          <w:jc w:val="center"/>
        </w:trPr>
        <w:tc>
          <w:tcPr>
            <w:tcW w:w="680" w:type="dxa"/>
            <w:noWrap w:val="0"/>
            <w:vAlign w:val="center"/>
          </w:tcPr>
          <w:p w14:paraId="239D011F">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837" w:type="dxa"/>
            <w:noWrap w:val="0"/>
            <w:vAlign w:val="center"/>
          </w:tcPr>
          <w:p w14:paraId="4D402FED">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162" w:type="dxa"/>
            <w:noWrap w:val="0"/>
            <w:vAlign w:val="center"/>
          </w:tcPr>
          <w:p w14:paraId="60DEEFD9">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2200" w:type="dxa"/>
            <w:noWrap w:val="0"/>
            <w:vAlign w:val="center"/>
          </w:tcPr>
          <w:p w14:paraId="5B87B106">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231" w:type="dxa"/>
            <w:noWrap w:val="0"/>
            <w:vAlign w:val="top"/>
          </w:tcPr>
          <w:p w14:paraId="3036C2ED">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1009" w:type="dxa"/>
            <w:noWrap w:val="0"/>
            <w:vAlign w:val="center"/>
          </w:tcPr>
          <w:p w14:paraId="1CAD33B2">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c>
          <w:tcPr>
            <w:tcW w:w="669" w:type="dxa"/>
            <w:noWrap w:val="0"/>
            <w:vAlign w:val="center"/>
          </w:tcPr>
          <w:p w14:paraId="2F9EBE06">
            <w:pPr>
              <w:pStyle w:val="255"/>
              <w:keepNext w:val="0"/>
              <w:keepLines w:val="0"/>
              <w:pageBreakBefore w:val="0"/>
              <w:widowControl w:val="0"/>
              <w:spacing w:line="360" w:lineRule="auto"/>
              <w:ind w:left="0" w:firstLine="0"/>
              <w:jc w:val="center"/>
              <w:rPr>
                <w:rFonts w:ascii="Times New Roman" w:hAnsi="Times New Roman" w:eastAsia="宋体" w:cs="Microsoft New Tai Lue"/>
                <w:sz w:val="21"/>
                <w:szCs w:val="21"/>
                <w:highlight w:val="none"/>
                <w:lang w:val="en-US" w:eastAsia="zh-CN" w:bidi="ar-SA"/>
              </w:rPr>
            </w:pPr>
          </w:p>
        </w:tc>
      </w:tr>
    </w:tbl>
    <w:p w14:paraId="0669C46C">
      <w:pPr>
        <w:pStyle w:val="73"/>
        <w:spacing w:line="360" w:lineRule="exact"/>
        <w:ind w:left="425" w:hanging="211"/>
        <w:rPr>
          <w:rFonts w:ascii="Times New Roman" w:hAnsi="Times New Roman" w:eastAsia="宋体"/>
          <w:b/>
          <w:bCs/>
          <w:highlight w:val="none"/>
        </w:rPr>
      </w:pPr>
      <w:r>
        <w:rPr>
          <w:rFonts w:ascii="Times New Roman" w:hAnsi="Times New Roman" w:eastAsia="宋体"/>
          <w:b/>
          <w:bCs/>
          <w:highlight w:val="none"/>
        </w:rPr>
        <w:t>注：</w:t>
      </w:r>
    </w:p>
    <w:p w14:paraId="18485C4A">
      <w:pPr>
        <w:pStyle w:val="73"/>
        <w:spacing w:line="360" w:lineRule="exact"/>
        <w:ind w:left="425" w:hanging="211"/>
        <w:rPr>
          <w:rFonts w:ascii="Times New Roman" w:hAnsi="Times New Roman" w:eastAsia="宋体"/>
          <w:b/>
          <w:bCs/>
          <w:highlight w:val="none"/>
        </w:rPr>
      </w:pPr>
      <w:r>
        <w:rPr>
          <w:rFonts w:hint="eastAsia" w:ascii="Times New Roman" w:hAnsi="Times New Roman" w:eastAsia="宋体"/>
          <w:b/>
          <w:bCs/>
          <w:highlight w:val="none"/>
        </w:rPr>
        <w:t>1. 投标人须根据招标文件要求填写此表，作为投标文件的组成部分。</w:t>
      </w:r>
    </w:p>
    <w:p w14:paraId="67019F9E">
      <w:pPr>
        <w:pStyle w:val="73"/>
        <w:spacing w:line="360" w:lineRule="exact"/>
        <w:ind w:left="425" w:hanging="211"/>
        <w:rPr>
          <w:rFonts w:ascii="Times New Roman" w:hAnsi="Times New Roman" w:eastAsia="宋体"/>
          <w:b/>
          <w:bCs/>
          <w:highlight w:val="none"/>
        </w:rPr>
      </w:pPr>
      <w:r>
        <w:rPr>
          <w:rFonts w:hint="eastAsia" w:ascii="Times New Roman" w:hAnsi="Times New Roman" w:eastAsia="宋体"/>
          <w:b/>
          <w:bCs/>
          <w:highlight w:val="none"/>
        </w:rPr>
        <w:t>2. 所有偏离必须在本表中列出，未在本偏离表中列出偏离，将视为投标人已完全接受招标文件要求。</w:t>
      </w:r>
    </w:p>
    <w:p w14:paraId="527F5B26">
      <w:pPr>
        <w:pStyle w:val="73"/>
        <w:spacing w:line="360" w:lineRule="exact"/>
        <w:ind w:left="425" w:hanging="211"/>
        <w:rPr>
          <w:rFonts w:ascii="Times New Roman" w:hAnsi="Times New Roman" w:eastAsia="宋体"/>
          <w:b/>
          <w:bCs/>
          <w:highlight w:val="none"/>
        </w:rPr>
      </w:pPr>
      <w:r>
        <w:rPr>
          <w:rFonts w:hint="eastAsia" w:ascii="Times New Roman" w:hAnsi="Times New Roman" w:eastAsia="宋体"/>
          <w:b/>
          <w:bCs/>
          <w:highlight w:val="none"/>
        </w:rPr>
        <w:t>3. 偏离包括正、负偏离，正偏离指投标人的响应高于招标文件要求，负偏离指投标人的响应低于招标文件要求。</w:t>
      </w:r>
    </w:p>
    <w:p w14:paraId="15DD0657">
      <w:pPr>
        <w:pStyle w:val="73"/>
        <w:spacing w:line="360" w:lineRule="exact"/>
        <w:ind w:left="425" w:hanging="211"/>
        <w:rPr>
          <w:rFonts w:ascii="Times New Roman" w:hAnsi="Times New Roman" w:eastAsia="宋体"/>
          <w:b/>
          <w:bCs/>
          <w:highlight w:val="none"/>
        </w:rPr>
      </w:pPr>
      <w:r>
        <w:rPr>
          <w:rFonts w:hint="eastAsia" w:ascii="Times New Roman" w:hAnsi="Times New Roman" w:eastAsia="宋体"/>
          <w:b/>
          <w:bCs/>
          <w:highlight w:val="none"/>
        </w:rPr>
        <w:t>4.</w:t>
      </w:r>
      <w:r>
        <w:rPr>
          <w:rFonts w:hint="eastAsia" w:ascii="Times New Roman" w:hAnsi="Times New Roman"/>
          <w:b/>
          <w:bCs/>
          <w:highlight w:val="none"/>
          <w:lang w:val="en-US" w:eastAsia="zh-CN"/>
        </w:rPr>
        <w:t>如果行数不够，请自行增加</w:t>
      </w:r>
      <w:r>
        <w:rPr>
          <w:rFonts w:hint="eastAsia" w:ascii="Times New Roman" w:hAnsi="Times New Roman" w:eastAsia="宋体"/>
          <w:b/>
          <w:bCs/>
          <w:highlight w:val="none"/>
        </w:rPr>
        <w:t>。</w:t>
      </w:r>
    </w:p>
    <w:p w14:paraId="2C9D418B">
      <w:pPr>
        <w:pStyle w:val="255"/>
        <w:ind w:left="214" w:firstLine="420"/>
        <w:rPr>
          <w:rFonts w:ascii="Times New Roman" w:hAnsi="Times New Roman" w:eastAsia="宋体" w:cs="Microsoft New Tai Lue"/>
          <w:sz w:val="21"/>
          <w:szCs w:val="21"/>
          <w:highlight w:val="none"/>
        </w:rPr>
      </w:pPr>
    </w:p>
    <w:p w14:paraId="1880800E">
      <w:pPr>
        <w:pStyle w:val="255"/>
        <w:ind w:left="214" w:firstLine="0"/>
        <w:rPr>
          <w:rFonts w:ascii="Times New Roman" w:hAnsi="Times New Roman" w:eastAsia="宋体" w:cs="Microsoft New Tai Lue"/>
          <w:sz w:val="21"/>
          <w:szCs w:val="21"/>
          <w:highlight w:val="none"/>
        </w:rPr>
      </w:pPr>
    </w:p>
    <w:p w14:paraId="433225B8">
      <w:pPr>
        <w:pStyle w:val="255"/>
        <w:ind w:left="214" w:firstLine="420"/>
        <w:rPr>
          <w:rFonts w:ascii="Times New Roman" w:hAnsi="Times New Roman" w:eastAsia="宋体" w:cs="Microsoft New Tai Lue"/>
          <w:sz w:val="21"/>
          <w:szCs w:val="21"/>
          <w:highlight w:val="none"/>
        </w:rPr>
      </w:pPr>
    </w:p>
    <w:p w14:paraId="261AF2B3">
      <w:pPr>
        <w:pStyle w:val="255"/>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投标人名称(公章)：____________</w:t>
      </w:r>
    </w:p>
    <w:p w14:paraId="25878B6C">
      <w:pPr>
        <w:pStyle w:val="255"/>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法定代表人（单位负责人）</w:t>
      </w:r>
    </w:p>
    <w:p w14:paraId="46709AB0">
      <w:pPr>
        <w:pStyle w:val="255"/>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或其授权代表（签字或盖章）：_________________</w:t>
      </w:r>
    </w:p>
    <w:p w14:paraId="304B1527">
      <w:pPr>
        <w:pStyle w:val="255"/>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日期：______年____月____日</w:t>
      </w:r>
      <w:bookmarkEnd w:id="383"/>
      <w:bookmarkEnd w:id="384"/>
      <w:bookmarkEnd w:id="385"/>
    </w:p>
    <w:p w14:paraId="2BE8B0AD">
      <w:pPr>
        <w:spacing w:line="360" w:lineRule="auto"/>
        <w:ind w:left="214" w:firstLine="420"/>
        <w:jc w:val="left"/>
        <w:rPr>
          <w:rFonts w:ascii="Times New Roman" w:hAnsi="Times New Roman" w:eastAsia="宋体" w:cs="Microsoft New Tai Lue"/>
          <w:highlight w:val="none"/>
        </w:rPr>
      </w:pPr>
    </w:p>
    <w:p w14:paraId="57DE7FB8">
      <w:pPr>
        <w:rPr>
          <w:rFonts w:hint="eastAsia" w:ascii="Times New Roman" w:hAnsi="Times New Roman" w:eastAsia="宋体" w:cs="Microsoft New Tai Lue"/>
          <w:sz w:val="28"/>
          <w:szCs w:val="24"/>
          <w:highlight w:val="none"/>
        </w:rPr>
      </w:pPr>
      <w:bookmarkStart w:id="392" w:name="_Toc103848599"/>
      <w:bookmarkStart w:id="393" w:name="_Toc279593437"/>
      <w:bookmarkStart w:id="394" w:name="_Toc104560916"/>
      <w:bookmarkStart w:id="395" w:name="_Toc107246299"/>
      <w:r>
        <w:rPr>
          <w:rFonts w:hint="eastAsia" w:ascii="Times New Roman" w:hAnsi="Times New Roman" w:eastAsia="宋体" w:cs="Microsoft New Tai Lue"/>
          <w:sz w:val="28"/>
          <w:szCs w:val="24"/>
          <w:highlight w:val="none"/>
        </w:rPr>
        <w:br w:type="page" w:clear="all"/>
      </w:r>
    </w:p>
    <w:p w14:paraId="72444789">
      <w:pPr>
        <w:pStyle w:val="77"/>
        <w:outlineLvl w:val="2"/>
        <w:rPr>
          <w:rFonts w:ascii="Times New Roman" w:hAnsi="Times New Roman" w:eastAsia="宋体" w:cs="Microsoft New Tai Lue"/>
          <w:sz w:val="28"/>
          <w:szCs w:val="28"/>
          <w:highlight w:val="none"/>
        </w:rPr>
      </w:pPr>
      <w:bookmarkStart w:id="396" w:name="_Toc568372756"/>
      <w:r>
        <w:rPr>
          <w:rFonts w:hint="eastAsia" w:ascii="Times New Roman" w:hAnsi="Times New Roman" w:eastAsia="宋体" w:cs="Microsoft New Tai Lue"/>
          <w:sz w:val="28"/>
          <w:szCs w:val="24"/>
          <w:highlight w:val="none"/>
        </w:rPr>
        <w:t>（</w:t>
      </w:r>
      <w:r>
        <w:rPr>
          <w:rFonts w:hint="eastAsia" w:ascii="Times New Roman" w:hAnsi="Times New Roman" w:eastAsia="宋体" w:cs="Microsoft New Tai Lue"/>
          <w:sz w:val="28"/>
          <w:szCs w:val="24"/>
          <w:highlight w:val="none"/>
          <w:lang w:val="en-US" w:eastAsia="zh-CN"/>
        </w:rPr>
        <w:t>2</w:t>
      </w:r>
      <w:r>
        <w:rPr>
          <w:rFonts w:hint="eastAsia" w:ascii="Times New Roman" w:hAnsi="Times New Roman" w:eastAsia="宋体" w:cs="Microsoft New Tai Lue"/>
          <w:sz w:val="28"/>
          <w:szCs w:val="24"/>
          <w:highlight w:val="none"/>
        </w:rPr>
        <w:t>）</w:t>
      </w:r>
      <w:r>
        <w:rPr>
          <w:rFonts w:hint="eastAsia" w:ascii="Times New Roman" w:hAnsi="Times New Roman" w:cs="Microsoft New Tai Lue"/>
          <w:sz w:val="28"/>
          <w:szCs w:val="24"/>
          <w:highlight w:val="none"/>
          <w:lang w:val="en-US" w:eastAsia="zh-CN"/>
        </w:rPr>
        <w:t>实施</w:t>
      </w:r>
      <w:r>
        <w:rPr>
          <w:rFonts w:hint="eastAsia" w:ascii="Times New Roman" w:hAnsi="Times New Roman" w:eastAsia="宋体" w:cs="Microsoft New Tai Lue"/>
          <w:sz w:val="28"/>
          <w:szCs w:val="24"/>
          <w:highlight w:val="none"/>
        </w:rPr>
        <w:t>方案</w:t>
      </w:r>
      <w:bookmarkEnd w:id="396"/>
    </w:p>
    <w:p w14:paraId="2AC7FD84">
      <w:pPr>
        <w:keepNext w:val="0"/>
        <w:keepLines w:val="0"/>
        <w:widowControl/>
        <w:suppressLineNumbers w:val="0"/>
        <w:ind w:left="420" w:firstLine="420"/>
        <w:jc w:val="left"/>
        <w:rPr>
          <w:rFonts w:hint="eastAsia" w:ascii="Times New Roman" w:hAnsi="Times New Roman" w:eastAsia="宋体" w:cs="宋体"/>
          <w:color w:val="000000"/>
          <w:sz w:val="20"/>
          <w:szCs w:val="20"/>
          <w:highlight w:val="none"/>
          <w:lang w:val="en-US" w:eastAsia="zh-CN" w:bidi="ar"/>
        </w:rPr>
      </w:pPr>
    </w:p>
    <w:p w14:paraId="0B4516FC">
      <w:pPr>
        <w:keepNext w:val="0"/>
        <w:keepLines w:val="0"/>
        <w:widowControl/>
        <w:suppressLineNumbers w:val="0"/>
        <w:ind w:left="420" w:firstLine="420"/>
        <w:jc w:val="left"/>
        <w:rPr>
          <w:rFonts w:hint="eastAsia" w:ascii="Times New Roman" w:hAnsi="Times New Roman" w:eastAsia="宋体" w:cs="宋体"/>
          <w:color w:val="000000"/>
          <w:sz w:val="20"/>
          <w:szCs w:val="20"/>
          <w:highlight w:val="none"/>
          <w:lang w:val="en-US" w:eastAsia="zh-CN" w:bidi="ar"/>
        </w:rPr>
      </w:pPr>
    </w:p>
    <w:p w14:paraId="265E7514">
      <w:pPr>
        <w:ind w:firstLine="420"/>
        <w:jc w:val="center"/>
        <w:rPr>
          <w:rFonts w:hint="default" w:ascii="Times New Roman" w:hAnsi="Times New Roman" w:eastAsia="宋体"/>
          <w:highlight w:val="none"/>
          <w:lang w:val="en-US" w:eastAsia="zh-CN"/>
        </w:rPr>
      </w:pPr>
      <w:r>
        <w:rPr>
          <w:rFonts w:hint="eastAsia"/>
          <w:highlight w:val="none"/>
          <w:lang w:val="en-US" w:eastAsia="zh-CN"/>
        </w:rPr>
        <w:t>格式自拟</w:t>
      </w:r>
    </w:p>
    <w:p w14:paraId="632547A7">
      <w:pPr>
        <w:pStyle w:val="271"/>
        <w:ind w:left="424"/>
        <w:jc w:val="center"/>
        <w:rPr>
          <w:rFonts w:ascii="Times New Roman" w:hAnsi="Times New Roman" w:eastAsia="宋体"/>
          <w:sz w:val="21"/>
          <w:szCs w:val="21"/>
          <w:highlight w:val="none"/>
          <w:lang w:val="en-US"/>
        </w:rPr>
      </w:pPr>
    </w:p>
    <w:p w14:paraId="586486E3">
      <w:pPr>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bookmarkEnd w:id="317"/>
      <w:bookmarkEnd w:id="392"/>
      <w:bookmarkEnd w:id="393"/>
      <w:bookmarkEnd w:id="394"/>
      <w:bookmarkEnd w:id="395"/>
    </w:p>
    <w:p w14:paraId="3CBD58C1">
      <w:pPr>
        <w:pStyle w:val="77"/>
        <w:outlineLvl w:val="1"/>
        <w:rPr>
          <w:rFonts w:ascii="Times New Roman" w:hAnsi="Times New Roman" w:eastAsia="宋体" w:cs="Microsoft New Tai Lue"/>
          <w:sz w:val="28"/>
          <w:szCs w:val="24"/>
          <w:highlight w:val="none"/>
        </w:rPr>
      </w:pPr>
      <w:bookmarkStart w:id="397" w:name="_Toc633648236"/>
      <w:bookmarkStart w:id="398" w:name="_Toc100905289"/>
      <w:bookmarkStart w:id="399" w:name="_Toc96347904"/>
      <w:r>
        <w:rPr>
          <w:rFonts w:hint="eastAsia" w:ascii="Times New Roman" w:hAnsi="Times New Roman" w:eastAsia="宋体" w:cs="Microsoft New Tai Lue"/>
          <w:sz w:val="28"/>
          <w:szCs w:val="24"/>
          <w:highlight w:val="none"/>
          <w:lang w:val="en-US" w:eastAsia="zh-CN"/>
        </w:rPr>
        <w:t>五、</w:t>
      </w:r>
      <w:r>
        <w:rPr>
          <w:rFonts w:hint="eastAsia" w:ascii="Times New Roman" w:hAnsi="Times New Roman" w:eastAsia="宋体" w:cs="Microsoft New Tai Lue"/>
          <w:sz w:val="28"/>
          <w:szCs w:val="24"/>
          <w:highlight w:val="none"/>
        </w:rPr>
        <w:t>政府采购政策</w:t>
      </w:r>
      <w:bookmarkEnd w:id="397"/>
    </w:p>
    <w:p w14:paraId="38A61647">
      <w:pPr>
        <w:pStyle w:val="255"/>
        <w:ind w:firstLine="482"/>
        <w:jc w:val="center"/>
        <w:rPr>
          <w:rFonts w:hint="eastAsia" w:ascii="宋体" w:hAnsi="宋体" w:eastAsia="宋体" w:cs="宋体"/>
          <w:b/>
          <w:color w:val="auto"/>
          <w:sz w:val="24"/>
          <w:szCs w:val="24"/>
          <w:highlight w:val="none"/>
        </w:rPr>
      </w:pPr>
      <w:bookmarkStart w:id="400" w:name="_Toc354496979"/>
      <w:bookmarkStart w:id="401" w:name="_Toc104560923"/>
      <w:bookmarkStart w:id="402" w:name="_Toc103848606"/>
      <w:bookmarkStart w:id="403" w:name="_Toc107246306"/>
      <w:r>
        <w:rPr>
          <w:rFonts w:hint="eastAsia" w:ascii="宋体" w:hAnsi="宋体" w:eastAsia="宋体" w:cs="宋体"/>
          <w:b/>
          <w:color w:val="auto"/>
          <w:sz w:val="24"/>
          <w:szCs w:val="24"/>
          <w:highlight w:val="none"/>
        </w:rPr>
        <w:t>中小企业声明函（工程）</w:t>
      </w:r>
    </w:p>
    <w:p w14:paraId="2111521E">
      <w:pPr>
        <w:spacing w:line="360" w:lineRule="auto"/>
        <w:ind w:left="120" w:right="207" w:firstLine="641"/>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本公司（联合体）郑重声明，根据《政府采购促进中小 企业发展管理办法》（财库﹝2020﹞46 号）的规定，本公司（联合体）参加</w:t>
      </w:r>
      <w:r>
        <w:rPr>
          <w:rFonts w:hint="eastAsia" w:ascii="宋体" w:hAnsi="宋体" w:eastAsia="宋体" w:cs="宋体"/>
          <w:i/>
          <w:color w:val="auto"/>
          <w:spacing w:val="3"/>
          <w:szCs w:val="21"/>
          <w:highlight w:val="none"/>
          <w:u w:val="single"/>
        </w:rPr>
        <w:t>（单位名称）</w:t>
      </w:r>
      <w:r>
        <w:rPr>
          <w:rFonts w:hint="eastAsia" w:ascii="宋体" w:hAnsi="宋体" w:eastAsia="宋体" w:cs="宋体"/>
          <w:color w:val="auto"/>
          <w:spacing w:val="3"/>
          <w:szCs w:val="21"/>
          <w:highlight w:val="none"/>
        </w:rPr>
        <w:t>的</w:t>
      </w:r>
      <w:r>
        <w:rPr>
          <w:rFonts w:hint="eastAsia" w:ascii="宋体" w:hAnsi="宋体" w:eastAsia="宋体" w:cs="宋体"/>
          <w:i/>
          <w:color w:val="auto"/>
          <w:spacing w:val="3"/>
          <w:szCs w:val="21"/>
          <w:highlight w:val="none"/>
          <w:u w:val="single"/>
        </w:rPr>
        <w:t>（项目名称）</w:t>
      </w:r>
      <w:r>
        <w:rPr>
          <w:rFonts w:hint="eastAsia" w:ascii="宋体" w:hAnsi="宋体" w:eastAsia="宋体" w:cs="宋体"/>
          <w:color w:val="auto"/>
          <w:spacing w:val="3"/>
          <w:szCs w:val="21"/>
          <w:highlight w:val="none"/>
        </w:rPr>
        <w:t>采购活动，工程的施工单位全部为符合政策要求的中小企业。相关企业（含联合 体中的中小企业、签订分包意向协议的中小企业）的具体情 况如下：</w:t>
      </w:r>
    </w:p>
    <w:p w14:paraId="59383B29">
      <w:pPr>
        <w:spacing w:line="360" w:lineRule="auto"/>
        <w:ind w:left="120" w:right="207" w:firstLine="641"/>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1. </w:t>
      </w:r>
      <w:r>
        <w:rPr>
          <w:rFonts w:hint="eastAsia" w:ascii="宋体" w:hAnsi="宋体" w:eastAsia="宋体" w:cs="宋体"/>
          <w:i/>
          <w:color w:val="auto"/>
          <w:spacing w:val="3"/>
          <w:szCs w:val="21"/>
          <w:highlight w:val="none"/>
          <w:u w:val="single"/>
        </w:rPr>
        <w:t>（标的名称）</w:t>
      </w:r>
      <w:r>
        <w:rPr>
          <w:rFonts w:hint="eastAsia" w:ascii="宋体" w:hAnsi="宋体" w:eastAsia="宋体" w:cs="宋体"/>
          <w:color w:val="auto"/>
          <w:spacing w:val="3"/>
          <w:szCs w:val="21"/>
          <w:highlight w:val="none"/>
        </w:rPr>
        <w:t>，属于</w:t>
      </w:r>
      <w:r>
        <w:rPr>
          <w:rFonts w:hint="eastAsia" w:ascii="宋体" w:hAnsi="宋体" w:cs="宋体"/>
          <w:sz w:val="21"/>
          <w:szCs w:val="21"/>
          <w:highlight w:val="none"/>
          <w:u w:val="single"/>
          <w:lang w:val="en-US" w:eastAsia="zh-CN" w:bidi="ar-SA"/>
        </w:rPr>
        <w:t xml:space="preserve">  建筑业    </w:t>
      </w:r>
      <w:r>
        <w:rPr>
          <w:rFonts w:hint="eastAsia" w:ascii="宋体" w:hAnsi="宋体" w:eastAsia="宋体" w:cs="宋体"/>
          <w:color w:val="auto"/>
          <w:spacing w:val="3"/>
          <w:szCs w:val="21"/>
          <w:highlight w:val="none"/>
        </w:rPr>
        <w:t>； 承建企业为</w:t>
      </w:r>
      <w:r>
        <w:rPr>
          <w:rFonts w:hint="eastAsia" w:ascii="宋体" w:hAnsi="宋体" w:eastAsia="宋体" w:cs="宋体"/>
          <w:i/>
          <w:color w:val="auto"/>
          <w:spacing w:val="3"/>
          <w:szCs w:val="21"/>
          <w:highlight w:val="none"/>
          <w:u w:val="single"/>
        </w:rPr>
        <w:t>（企业名称）</w:t>
      </w:r>
      <w:r>
        <w:rPr>
          <w:rFonts w:hint="eastAsia" w:ascii="宋体" w:hAnsi="宋体" w:eastAsia="宋体" w:cs="宋体"/>
          <w:color w:val="auto"/>
          <w:spacing w:val="3"/>
          <w:szCs w:val="21"/>
          <w:highlight w:val="none"/>
        </w:rPr>
        <w:t>，从业人员</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人，营业 收入为</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万元，资产总额为</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万元</w:t>
      </w:r>
      <w:r>
        <w:rPr>
          <w:rFonts w:hint="eastAsia" w:ascii="宋体" w:hAnsi="宋体" w:eastAsia="宋体" w:cs="宋体"/>
          <w:color w:val="auto"/>
          <w:spacing w:val="3"/>
          <w:szCs w:val="21"/>
          <w:highlight w:val="none"/>
          <w:vertAlign w:val="superscript"/>
        </w:rPr>
        <w:t>1</w:t>
      </w:r>
      <w:r>
        <w:rPr>
          <w:rFonts w:hint="eastAsia" w:ascii="宋体" w:hAnsi="宋体" w:eastAsia="宋体" w:cs="宋体"/>
          <w:color w:val="auto"/>
          <w:spacing w:val="3"/>
          <w:szCs w:val="21"/>
          <w:highlight w:val="none"/>
        </w:rPr>
        <w:t>，属于</w:t>
      </w:r>
      <w:r>
        <w:rPr>
          <w:rFonts w:hint="eastAsia" w:ascii="宋体" w:hAnsi="宋体" w:eastAsia="宋体" w:cs="宋体"/>
          <w:i/>
          <w:color w:val="auto"/>
          <w:spacing w:val="3"/>
          <w:szCs w:val="21"/>
          <w:highlight w:val="none"/>
          <w:u w:val="single"/>
        </w:rPr>
        <w:t>（中型企业、 小型企业、微型企业）</w:t>
      </w:r>
      <w:r>
        <w:rPr>
          <w:rFonts w:hint="eastAsia" w:ascii="宋体" w:hAnsi="宋体" w:eastAsia="宋体" w:cs="宋体"/>
          <w:color w:val="auto"/>
          <w:spacing w:val="3"/>
          <w:szCs w:val="21"/>
          <w:highlight w:val="none"/>
        </w:rPr>
        <w:t>；</w:t>
      </w:r>
    </w:p>
    <w:p w14:paraId="05079D20">
      <w:pPr>
        <w:spacing w:line="360" w:lineRule="auto"/>
        <w:ind w:left="120" w:right="207" w:firstLine="641"/>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2. </w:t>
      </w:r>
      <w:r>
        <w:rPr>
          <w:rFonts w:hint="eastAsia" w:ascii="宋体" w:hAnsi="宋体" w:eastAsia="宋体" w:cs="宋体"/>
          <w:i/>
          <w:color w:val="auto"/>
          <w:spacing w:val="3"/>
          <w:szCs w:val="21"/>
          <w:highlight w:val="none"/>
          <w:u w:val="single"/>
        </w:rPr>
        <w:t>（标的名称）</w:t>
      </w:r>
      <w:r>
        <w:rPr>
          <w:rFonts w:hint="eastAsia" w:ascii="宋体" w:hAnsi="宋体" w:eastAsia="宋体" w:cs="宋体"/>
          <w:color w:val="auto"/>
          <w:spacing w:val="3"/>
          <w:szCs w:val="21"/>
          <w:highlight w:val="none"/>
        </w:rPr>
        <w:t>，属于</w:t>
      </w:r>
      <w:r>
        <w:rPr>
          <w:rFonts w:hint="eastAsia" w:ascii="宋体" w:hAnsi="宋体" w:cs="宋体"/>
          <w:sz w:val="21"/>
          <w:szCs w:val="21"/>
          <w:highlight w:val="none"/>
          <w:u w:val="single"/>
          <w:lang w:val="en-US" w:eastAsia="zh-CN" w:bidi="ar-SA"/>
        </w:rPr>
        <w:t xml:space="preserve">  建筑业     </w:t>
      </w:r>
      <w:r>
        <w:rPr>
          <w:rFonts w:hint="eastAsia" w:ascii="宋体" w:hAnsi="宋体" w:eastAsia="宋体" w:cs="宋体"/>
          <w:color w:val="auto"/>
          <w:spacing w:val="3"/>
          <w:szCs w:val="21"/>
          <w:highlight w:val="none"/>
        </w:rPr>
        <w:t>； 承建企业为</w:t>
      </w:r>
      <w:r>
        <w:rPr>
          <w:rFonts w:hint="eastAsia" w:ascii="宋体" w:hAnsi="宋体" w:eastAsia="宋体" w:cs="宋体"/>
          <w:i/>
          <w:color w:val="auto"/>
          <w:spacing w:val="3"/>
          <w:szCs w:val="21"/>
          <w:highlight w:val="none"/>
          <w:u w:val="single"/>
        </w:rPr>
        <w:t>（企业名称）</w:t>
      </w:r>
      <w:r>
        <w:rPr>
          <w:rFonts w:hint="eastAsia" w:ascii="宋体" w:hAnsi="宋体" w:eastAsia="宋体" w:cs="宋体"/>
          <w:color w:val="auto"/>
          <w:spacing w:val="3"/>
          <w:szCs w:val="21"/>
          <w:highlight w:val="none"/>
        </w:rPr>
        <w:t>，从业人员</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人，营业 收入为</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万元，资产总额为</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万元，属于</w:t>
      </w:r>
      <w:r>
        <w:rPr>
          <w:rFonts w:hint="eastAsia" w:ascii="宋体" w:hAnsi="宋体" w:eastAsia="宋体" w:cs="宋体"/>
          <w:i/>
          <w:color w:val="auto"/>
          <w:spacing w:val="3"/>
          <w:szCs w:val="21"/>
          <w:highlight w:val="none"/>
          <w:u w:val="single"/>
        </w:rPr>
        <w:t>（中型企业、 小型企业、微型企业）</w:t>
      </w:r>
      <w:r>
        <w:rPr>
          <w:rFonts w:hint="eastAsia" w:ascii="宋体" w:hAnsi="宋体" w:eastAsia="宋体" w:cs="宋体"/>
          <w:color w:val="auto"/>
          <w:spacing w:val="3"/>
          <w:szCs w:val="21"/>
          <w:highlight w:val="none"/>
        </w:rPr>
        <w:t>；</w:t>
      </w:r>
    </w:p>
    <w:p w14:paraId="4EC823BD">
      <w:pPr>
        <w:spacing w:line="360" w:lineRule="auto"/>
        <w:ind w:left="120" w:right="207" w:firstLine="641"/>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 </w:t>
      </w:r>
    </w:p>
    <w:p w14:paraId="26F2CAE7">
      <w:pPr>
        <w:spacing w:line="360" w:lineRule="auto"/>
        <w:ind w:left="120" w:right="207" w:firstLine="641"/>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以上企业，不属于大企业的分支机构，不存在控股股东为大企业的情形，也不存在与大企业的负责人为同一人的情形。</w:t>
      </w:r>
    </w:p>
    <w:p w14:paraId="7B567EEE">
      <w:pPr>
        <w:spacing w:line="360" w:lineRule="auto"/>
        <w:ind w:left="120" w:right="207" w:firstLine="641"/>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本企业对上述声明内容的真实性负责。如有虚假，将依法承担相应责任。</w:t>
      </w:r>
    </w:p>
    <w:p w14:paraId="61D80C17">
      <w:pPr>
        <w:spacing w:before="3" w:line="360" w:lineRule="auto"/>
        <w:rPr>
          <w:rFonts w:hint="eastAsia" w:ascii="宋体" w:hAnsi="宋体" w:eastAsia="宋体" w:cs="宋体"/>
          <w:color w:val="auto"/>
          <w:szCs w:val="21"/>
          <w:highlight w:val="none"/>
        </w:rPr>
      </w:pPr>
    </w:p>
    <w:p w14:paraId="0A737951">
      <w:pPr>
        <w:spacing w:line="360" w:lineRule="auto"/>
        <w:ind w:right="400" w:firstLine="3780"/>
        <w:rPr>
          <w:rFonts w:hint="eastAsia" w:ascii="宋体" w:hAnsi="宋体" w:eastAsia="宋体" w:cs="宋体"/>
          <w:color w:val="auto"/>
          <w:szCs w:val="21"/>
          <w:highlight w:val="none"/>
          <w:u w:val="single"/>
        </w:rPr>
      </w:pPr>
      <w:r>
        <w:rPr>
          <w:rFonts w:hint="eastAsia" w:ascii="宋体" w:hAnsi="宋体" w:eastAsia="宋体" w:cs="宋体"/>
          <w:color w:val="auto"/>
          <w:position w:val="-2"/>
          <w:szCs w:val="21"/>
          <w:highlight w:val="none"/>
        </w:rPr>
        <w:t>企</w:t>
      </w:r>
      <w:r>
        <w:rPr>
          <w:rFonts w:hint="eastAsia" w:ascii="宋体" w:hAnsi="宋体" w:eastAsia="宋体" w:cs="宋体"/>
          <w:color w:val="auto"/>
          <w:spacing w:val="3"/>
          <w:position w:val="-2"/>
          <w:szCs w:val="21"/>
          <w:highlight w:val="none"/>
        </w:rPr>
        <w:t>业</w:t>
      </w:r>
      <w:r>
        <w:rPr>
          <w:rFonts w:hint="eastAsia" w:ascii="宋体" w:hAnsi="宋体" w:eastAsia="宋体" w:cs="宋体"/>
          <w:color w:val="auto"/>
          <w:position w:val="-2"/>
          <w:szCs w:val="21"/>
          <w:highlight w:val="none"/>
        </w:rPr>
        <w:t>名称</w:t>
      </w:r>
      <w:r>
        <w:rPr>
          <w:rFonts w:hint="eastAsia" w:ascii="宋体" w:hAnsi="宋体" w:eastAsia="宋体" w:cs="宋体"/>
          <w:color w:val="auto"/>
          <w:spacing w:val="3"/>
          <w:position w:val="-2"/>
          <w:szCs w:val="21"/>
          <w:highlight w:val="none"/>
        </w:rPr>
        <w:t>（</w:t>
      </w:r>
      <w:r>
        <w:rPr>
          <w:rFonts w:hint="eastAsia" w:ascii="宋体" w:hAnsi="宋体" w:eastAsia="宋体" w:cs="宋体"/>
          <w:color w:val="auto"/>
          <w:position w:val="-2"/>
          <w:szCs w:val="21"/>
          <w:highlight w:val="none"/>
        </w:rPr>
        <w:t>盖章</w:t>
      </w:r>
      <w:r>
        <w:rPr>
          <w:rFonts w:hint="eastAsia" w:ascii="宋体" w:hAnsi="宋体" w:eastAsia="宋体" w:cs="宋体"/>
          <w:color w:val="auto"/>
          <w:spacing w:val="-158"/>
          <w:position w:val="-2"/>
          <w:szCs w:val="21"/>
          <w:highlight w:val="none"/>
        </w:rPr>
        <w:t>）</w:t>
      </w:r>
      <w:r>
        <w:rPr>
          <w:rFonts w:hint="eastAsia" w:ascii="宋体" w:hAnsi="宋体" w:eastAsia="宋体" w:cs="宋体"/>
          <w:color w:val="auto"/>
          <w:position w:val="-2"/>
          <w:szCs w:val="21"/>
          <w:highlight w:val="none"/>
        </w:rPr>
        <w:t xml:space="preserve">  ： </w:t>
      </w:r>
      <w:r>
        <w:rPr>
          <w:rFonts w:hint="eastAsia" w:ascii="宋体" w:hAnsi="宋体" w:eastAsia="宋体" w:cs="宋体"/>
          <w:color w:val="auto"/>
          <w:position w:val="-2"/>
          <w:szCs w:val="21"/>
          <w:highlight w:val="none"/>
          <w:u w:val="single"/>
        </w:rPr>
        <w:t xml:space="preserve">           </w:t>
      </w:r>
    </w:p>
    <w:p w14:paraId="3BB229A5">
      <w:pPr>
        <w:spacing w:line="360" w:lineRule="auto"/>
        <w:ind w:right="420" w:firstLine="37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684646A3">
      <w:pPr>
        <w:spacing w:line="360" w:lineRule="auto"/>
        <w:jc w:val="center"/>
        <w:rPr>
          <w:rFonts w:hint="eastAsia" w:ascii="宋体" w:hAnsi="宋体" w:eastAsia="宋体" w:cs="宋体"/>
          <w:color w:val="auto"/>
          <w:szCs w:val="21"/>
          <w:highlight w:val="none"/>
        </w:rPr>
      </w:pPr>
    </w:p>
    <w:p w14:paraId="6A7B5271">
      <w:pPr>
        <w:spacing w:line="360" w:lineRule="auto"/>
        <w:jc w:val="center"/>
        <w:rPr>
          <w:rFonts w:hint="eastAsia" w:ascii="宋体" w:hAnsi="宋体" w:eastAsia="宋体" w:cs="宋体"/>
          <w:color w:val="auto"/>
          <w:szCs w:val="21"/>
          <w:highlight w:val="none"/>
        </w:rPr>
      </w:pPr>
    </w:p>
    <w:p w14:paraId="6D43EFE9">
      <w:pPr>
        <w:spacing w:line="360" w:lineRule="auto"/>
        <w:ind w:right="-20"/>
        <w:rPr>
          <w:rFonts w:hint="eastAsia" w:ascii="宋体" w:hAnsi="宋体" w:eastAsia="宋体" w:cs="宋体"/>
          <w:color w:val="auto"/>
          <w:position w:val="-2"/>
          <w:szCs w:val="21"/>
          <w:highlight w:val="none"/>
        </w:rPr>
      </w:pPr>
      <w:r>
        <w:rPr>
          <w:rFonts w:hint="eastAsia" w:ascii="宋体" w:hAnsi="宋体" w:eastAsia="宋体" w:cs="宋体"/>
          <w:color w:val="auto"/>
          <w:position w:val="-2"/>
          <w:szCs w:val="21"/>
          <w:highlight w:val="none"/>
          <w:vertAlign w:val="superscript"/>
        </w:rPr>
        <w:t>1</w:t>
      </w:r>
      <w:r>
        <w:rPr>
          <w:rFonts w:hint="eastAsia" w:ascii="宋体" w:hAnsi="宋体" w:eastAsia="宋体" w:cs="宋体"/>
          <w:color w:val="auto"/>
          <w:position w:val="-2"/>
          <w:szCs w:val="21"/>
          <w:highlight w:val="none"/>
        </w:rPr>
        <w:t>从业人员、营业收入、资产总额填报上一年度数据，无上一年度数据的新成立企业可不填报。</w:t>
      </w:r>
    </w:p>
    <w:p w14:paraId="3A15D1AF">
      <w:pPr>
        <w:rPr>
          <w:rFonts w:hint="eastAsia" w:ascii="宋体" w:hAnsi="宋体" w:eastAsia="宋体" w:cs="宋体"/>
          <w:color w:val="auto"/>
          <w:szCs w:val="21"/>
          <w:highlight w:val="none"/>
        </w:rPr>
      </w:pPr>
    </w:p>
    <w:p w14:paraId="7070413E">
      <w:pPr>
        <w:spacing w:line="360" w:lineRule="auto"/>
        <w:ind w:left="214" w:firstLine="422"/>
        <w:rPr>
          <w:rFonts w:hint="eastAsia" w:ascii="宋体" w:hAnsi="宋体" w:eastAsia="宋体" w:cs="宋体"/>
          <w:szCs w:val="21"/>
          <w:highlight w:val="none"/>
          <w:lang w:val="en-US" w:bidi="ar-SA"/>
        </w:rPr>
      </w:pPr>
      <w:r>
        <w:rPr>
          <w:rFonts w:hint="eastAsia" w:ascii="宋体" w:hAnsi="宋体" w:eastAsia="宋体" w:cs="宋体"/>
          <w:b/>
          <w:color w:val="auto"/>
          <w:szCs w:val="21"/>
          <w:highlight w:val="none"/>
        </w:rPr>
        <w:t>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6ED6365A">
      <w:pPr>
        <w:rPr>
          <w:rFonts w:hint="eastAsia" w:ascii="宋体" w:hAnsi="宋体" w:eastAsia="宋体" w:cs="宋体"/>
          <w:b/>
          <w:color w:val="000000"/>
          <w:szCs w:val="21"/>
          <w:highlight w:val="none"/>
        </w:rPr>
      </w:pPr>
    </w:p>
    <w:p w14:paraId="2A426058">
      <w:pPr>
        <w:rPr>
          <w:rFonts w:hint="eastAsia" w:ascii="宋体" w:hAnsi="宋体" w:eastAsia="宋体" w:cs="宋体"/>
          <w:color w:val="000000"/>
          <w:highlight w:val="none"/>
        </w:rPr>
      </w:pPr>
    </w:p>
    <w:p w14:paraId="39D9E58B">
      <w:pPr>
        <w:pStyle w:val="17"/>
        <w:ind w:firstLine="482"/>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监狱企业证明</w:t>
      </w:r>
    </w:p>
    <w:p w14:paraId="16A6A1C8">
      <w:pPr>
        <w:pStyle w:val="17"/>
        <w:spacing w:line="276" w:lineRule="auto"/>
        <w:ind w:firstLine="482"/>
        <w:jc w:val="center"/>
        <w:rPr>
          <w:rFonts w:hint="eastAsia" w:ascii="宋体" w:hAnsi="宋体" w:eastAsia="宋体" w:cs="宋体"/>
          <w:b/>
          <w:color w:val="000000"/>
          <w:sz w:val="24"/>
          <w:szCs w:val="24"/>
          <w:highlight w:val="none"/>
        </w:rPr>
      </w:pPr>
    </w:p>
    <w:p w14:paraId="6986E5F8">
      <w:pPr>
        <w:pStyle w:val="17"/>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55F375DF">
      <w:pPr>
        <w:pStyle w:val="17"/>
        <w:ind w:firstLine="400"/>
        <w:rPr>
          <w:rFonts w:hint="eastAsia" w:ascii="宋体" w:hAnsi="宋体" w:eastAsia="宋体" w:cs="宋体"/>
          <w:color w:val="000000"/>
          <w:highlight w:val="none"/>
        </w:rPr>
      </w:pPr>
    </w:p>
    <w:p w14:paraId="3DD03471">
      <w:pPr>
        <w:rPr>
          <w:rFonts w:hint="eastAsia" w:ascii="宋体" w:hAnsi="宋体" w:eastAsia="宋体" w:cs="宋体"/>
          <w:color w:val="000000"/>
          <w:highlight w:val="none"/>
        </w:rPr>
      </w:pPr>
    </w:p>
    <w:p w14:paraId="5519C6FC">
      <w:pPr>
        <w:pStyle w:val="17"/>
        <w:ind w:firstLine="19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残疾人福利性单位声明函</w:t>
      </w:r>
    </w:p>
    <w:p w14:paraId="5424617E">
      <w:pPr>
        <w:spacing w:line="276" w:lineRule="auto"/>
        <w:rPr>
          <w:rFonts w:hint="eastAsia" w:ascii="宋体" w:hAnsi="宋体" w:eastAsia="宋体" w:cs="宋体"/>
          <w:b/>
          <w:color w:val="000000"/>
          <w:spacing w:val="6"/>
          <w:sz w:val="30"/>
          <w:szCs w:val="30"/>
          <w:highlight w:val="none"/>
        </w:rPr>
      </w:pPr>
    </w:p>
    <w:p w14:paraId="07E6FD90">
      <w:pPr>
        <w:pStyle w:val="17"/>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E2DF849">
      <w:pPr>
        <w:pStyle w:val="17"/>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本单位对上述声明的真实性负责。如有虚假，将依法承担相应责任。</w:t>
      </w:r>
    </w:p>
    <w:p w14:paraId="1FEE222F">
      <w:pPr>
        <w:pStyle w:val="17"/>
        <w:ind w:firstLine="420"/>
        <w:rPr>
          <w:rFonts w:hint="eastAsia" w:ascii="宋体" w:hAnsi="宋体" w:eastAsia="宋体" w:cs="宋体"/>
          <w:color w:val="000000"/>
          <w:sz w:val="21"/>
          <w:szCs w:val="21"/>
          <w:highlight w:val="none"/>
        </w:rPr>
      </w:pPr>
    </w:p>
    <w:p w14:paraId="37ECFD41">
      <w:pPr>
        <w:pStyle w:val="17"/>
        <w:ind w:firstLine="420"/>
        <w:rPr>
          <w:rFonts w:hint="eastAsia" w:ascii="宋体" w:hAnsi="宋体" w:eastAsia="宋体" w:cs="宋体"/>
          <w:color w:val="000000"/>
          <w:sz w:val="21"/>
          <w:szCs w:val="21"/>
          <w:highlight w:val="none"/>
        </w:rPr>
      </w:pPr>
    </w:p>
    <w:p w14:paraId="17AFA913">
      <w:pPr>
        <w:pStyle w:val="17"/>
        <w:ind w:firstLine="420"/>
        <w:rPr>
          <w:rFonts w:hint="eastAsia" w:ascii="宋体" w:hAnsi="宋体" w:eastAsia="宋体" w:cs="宋体"/>
          <w:color w:val="000000"/>
          <w:sz w:val="21"/>
          <w:szCs w:val="21"/>
          <w:highlight w:val="none"/>
        </w:rPr>
      </w:pPr>
    </w:p>
    <w:p w14:paraId="40F426A1">
      <w:pPr>
        <w:pStyle w:val="17"/>
        <w:ind w:firstLine="376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单位名称（盖章）：____________</w:t>
      </w:r>
    </w:p>
    <w:p w14:paraId="0155F91F">
      <w:pPr>
        <w:spacing w:line="360" w:lineRule="auto"/>
        <w:ind w:firstLine="3780"/>
        <w:jc w:val="lef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日期：</w:t>
      </w:r>
      <w:r>
        <w:rPr>
          <w:rFonts w:hint="eastAsia" w:ascii="宋体" w:hAnsi="宋体" w:eastAsia="宋体" w:cs="宋体"/>
          <w:bCs/>
          <w:color w:val="000000"/>
          <w:szCs w:val="21"/>
          <w:highlight w:val="none"/>
          <w:u w:val="single"/>
        </w:rPr>
        <w:tab/>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年</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rPr>
        <w:tab/>
      </w:r>
      <w:r>
        <w:rPr>
          <w:rFonts w:hint="eastAsia" w:ascii="宋体" w:hAnsi="宋体" w:eastAsia="宋体" w:cs="宋体"/>
          <w:bCs/>
          <w:color w:val="000000"/>
          <w:szCs w:val="21"/>
          <w:highlight w:val="none"/>
        </w:rPr>
        <w:t>月</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rPr>
        <w:tab/>
      </w:r>
      <w:r>
        <w:rPr>
          <w:rFonts w:hint="eastAsia" w:ascii="宋体" w:hAnsi="宋体" w:eastAsia="宋体" w:cs="宋体"/>
          <w:bCs/>
          <w:color w:val="000000"/>
          <w:szCs w:val="21"/>
          <w:highlight w:val="none"/>
        </w:rPr>
        <w:t>日</w:t>
      </w:r>
    </w:p>
    <w:p w14:paraId="741801B6">
      <w:pPr>
        <w:pStyle w:val="17"/>
        <w:ind w:firstLine="198"/>
        <w:rPr>
          <w:rFonts w:hint="eastAsia" w:ascii="宋体" w:hAnsi="宋体" w:eastAsia="宋体" w:cs="宋体"/>
          <w:b/>
          <w:color w:val="000000"/>
          <w:sz w:val="24"/>
          <w:szCs w:val="24"/>
          <w:highlight w:val="none"/>
        </w:rPr>
      </w:pPr>
    </w:p>
    <w:bookmarkEnd w:id="398"/>
    <w:bookmarkEnd w:id="400"/>
    <w:bookmarkEnd w:id="401"/>
    <w:bookmarkEnd w:id="402"/>
    <w:bookmarkEnd w:id="403"/>
    <w:p w14:paraId="0E584C58">
      <w:pPr>
        <w:rPr>
          <w:highlight w:val="none"/>
        </w:rPr>
      </w:pPr>
      <w:r>
        <w:rPr>
          <w:rFonts w:hint="eastAsia" w:ascii="Arial" w:hAnsi="Arial" w:eastAsia="宋体" w:cs="Arial"/>
          <w:color w:val="000000"/>
          <w:position w:val="-2"/>
          <w:szCs w:val="21"/>
          <w:highlight w:val="none"/>
          <w:lang w:val="en-US" w:eastAsia="zh-CN"/>
        </w:rPr>
        <w:t xml:space="preserve"> </w:t>
      </w:r>
      <w:r>
        <w:rPr>
          <w:color w:val="000000"/>
          <w:highlight w:val="none"/>
        </w:rPr>
        <w:br w:type="page" w:clear="all"/>
      </w:r>
      <w:bookmarkEnd w:id="399"/>
    </w:p>
    <w:p w14:paraId="6B16379C">
      <w:pPr>
        <w:pStyle w:val="77"/>
        <w:outlineLvl w:val="1"/>
        <w:rPr>
          <w:rFonts w:ascii="Times New Roman" w:hAnsi="Times New Roman" w:eastAsia="宋体" w:cs="Microsoft New Tai Lue"/>
          <w:highlight w:val="none"/>
        </w:rPr>
      </w:pPr>
      <w:bookmarkStart w:id="404" w:name="_Toc100905295"/>
      <w:bookmarkStart w:id="405" w:name="_Toc107246307"/>
      <w:bookmarkStart w:id="406" w:name="_Toc104560924"/>
      <w:bookmarkStart w:id="407" w:name="_Toc103848607"/>
      <w:bookmarkStart w:id="408" w:name="_Toc396885540"/>
      <w:r>
        <w:rPr>
          <w:rFonts w:hint="eastAsia" w:ascii="Times New Roman" w:hAnsi="Times New Roman" w:eastAsia="宋体" w:cs="Microsoft New Tai Lue"/>
          <w:highlight w:val="none"/>
          <w:lang w:val="en-US" w:eastAsia="zh-CN"/>
        </w:rPr>
        <w:t>六、</w:t>
      </w:r>
      <w:r>
        <w:rPr>
          <w:rFonts w:ascii="Times New Roman" w:hAnsi="Times New Roman" w:eastAsia="宋体" w:cs="Microsoft New Tai Lue"/>
          <w:highlight w:val="none"/>
        </w:rPr>
        <w:t>投标人认为需提供的其他</w:t>
      </w:r>
      <w:bookmarkEnd w:id="404"/>
      <w:r>
        <w:rPr>
          <w:rFonts w:ascii="Times New Roman" w:hAnsi="Times New Roman" w:eastAsia="宋体" w:cs="Microsoft New Tai Lue"/>
          <w:highlight w:val="none"/>
        </w:rPr>
        <w:t>文件或证明材料</w:t>
      </w:r>
      <w:bookmarkEnd w:id="405"/>
      <w:bookmarkEnd w:id="406"/>
      <w:bookmarkEnd w:id="407"/>
      <w:bookmarkEnd w:id="408"/>
    </w:p>
    <w:p w14:paraId="2ACDA554">
      <w:pPr>
        <w:pStyle w:val="77"/>
        <w:outlineLvl w:val="1"/>
        <w:rPr>
          <w:rFonts w:ascii="Times New Roman" w:hAnsi="Times New Roman" w:eastAsia="宋体" w:cs="Microsoft New Tai Lue"/>
          <w:highlight w:val="none"/>
        </w:rPr>
      </w:pPr>
      <w:r>
        <w:rPr>
          <w:rFonts w:ascii="Times New Roman" w:hAnsi="Times New Roman" w:eastAsia="宋体" w:cs="Microsoft New Tai Lue"/>
          <w:highlight w:val="none"/>
        </w:rPr>
        <w:br w:type="page" w:clear="all"/>
      </w:r>
      <w:bookmarkStart w:id="409" w:name="_Toc107246308"/>
      <w:bookmarkStart w:id="410" w:name="_Toc103848608"/>
      <w:bookmarkStart w:id="411" w:name="_Toc371063198"/>
      <w:bookmarkStart w:id="412" w:name="_Toc104560925"/>
      <w:r>
        <w:rPr>
          <w:rFonts w:hint="eastAsia" w:ascii="Times New Roman" w:hAnsi="Times New Roman" w:eastAsia="宋体" w:cs="Microsoft New Tai Lue"/>
          <w:highlight w:val="none"/>
          <w:lang w:val="en-US" w:eastAsia="zh-CN"/>
        </w:rPr>
        <w:t>七、</w:t>
      </w:r>
      <w:r>
        <w:rPr>
          <w:rFonts w:ascii="Times New Roman" w:hAnsi="Times New Roman" w:eastAsia="宋体" w:cs="Microsoft New Tai Lue"/>
          <w:highlight w:val="none"/>
        </w:rPr>
        <w:t>要求投标人提交的其他文件材料或证明材料</w:t>
      </w:r>
      <w:bookmarkEnd w:id="409"/>
      <w:bookmarkEnd w:id="410"/>
      <w:bookmarkEnd w:id="411"/>
      <w:bookmarkEnd w:id="412"/>
    </w:p>
    <w:p w14:paraId="49651A12">
      <w:pPr>
        <w:rPr>
          <w:rFonts w:ascii="Times New Roman" w:hAnsi="Times New Roman" w:eastAsia="宋体"/>
          <w:highlight w:val="none"/>
        </w:rPr>
      </w:pPr>
    </w:p>
    <w:sectPr>
      <w:pgSz w:w="11906" w:h="16838"/>
      <w:pgMar w:top="1270" w:right="1066" w:bottom="1123" w:left="1134" w:header="794"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0"/>
    <w:family w:val="auto"/>
    <w:pitch w:val="default"/>
    <w:sig w:usb0="E0000AFF" w:usb1="00007843" w:usb2="00000001" w:usb3="00000000" w:csb0="400001BF" w:csb1="DFF70000"/>
  </w:font>
  <w:font w:name="宋体">
    <w:altName w:val="汉仪书宋二KW"/>
    <w:panose1 w:val="02010600030101010101"/>
    <w:charset w:val="22"/>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2010600030101010101"/>
    <w:charset w:val="86"/>
    <w:family w:val="auto"/>
    <w:pitch w:val="default"/>
    <w:sig w:usb0="00000000" w:usb1="00000000" w:usb2="00000016" w:usb3="00000000" w:csb0="0004000F" w:csb1="00000000"/>
  </w:font>
  <w:font w:name="仿宋_GB2312">
    <w:altName w:val="方正仿宋_GBK"/>
    <w:panose1 w:val="02010609060101010101"/>
    <w:charset w:val="00"/>
    <w:family w:val="auto"/>
    <w:pitch w:val="default"/>
    <w:sig w:usb0="00000000" w:usb1="00000000" w:usb2="00000000" w:usb3="00000000" w:csb0="00000000" w:csb1="00000000"/>
  </w:font>
  <w:font w:name="仿宋">
    <w:altName w:val="方正仿宋_GBK"/>
    <w:panose1 w:val="02010609060101010101"/>
    <w:charset w:val="86"/>
    <w:family w:val="modern"/>
    <w:pitch w:val="default"/>
    <w:sig w:usb0="00000000" w:usb1="00000000" w:usb2="00000016" w:usb3="00000000" w:csb0="00040001" w:csb1="00000000"/>
  </w:font>
  <w:font w:name="方正楷体_GB2312">
    <w:panose1 w:val="02000000000000000000"/>
    <w:charset w:val="86"/>
    <w:family w:val="auto"/>
    <w:pitch w:val="default"/>
    <w:sig w:usb0="A00002BF" w:usb1="184F6CFA" w:usb2="00000012" w:usb3="00000000" w:csb0="00040001" w:csb1="00000000"/>
  </w:font>
  <w:font w:name="微软雅黑">
    <w:altName w:val="汉仪旗黑"/>
    <w:panose1 w:val="020B0503020204020204"/>
    <w:charset w:val="86"/>
    <w:family w:val="auto"/>
    <w:pitch w:val="default"/>
    <w:sig w:usb0="00000000" w:usb1="00000000" w:usb2="00000016" w:usb3="00000000" w:csb0="0004001F" w:csb1="00000000"/>
  </w:font>
  <w:font w:name="Microsoft JhengHei">
    <w:altName w:val="汉仪中简黑简"/>
    <w:panose1 w:val="020B0604030504040204"/>
    <w:charset w:val="88"/>
    <w:family w:val="auto"/>
    <w:pitch w:val="default"/>
    <w:sig w:usb0="00000000" w:usb1="00000000" w:usb2="00000016" w:usb3="00000000" w:csb0="00100009" w:csb1="00000000"/>
  </w:font>
  <w:font w:name="pingfang sc">
    <w:panose1 w:val="020B0400000000000000"/>
    <w:charset w:val="86"/>
    <w:family w:val="auto"/>
    <w:pitch w:val="default"/>
    <w:sig w:usb0="A00002FF" w:usb1="7ACFFDFB" w:usb2="00000017" w:usb3="00000000" w:csb0="00040001" w:csb1="00000000"/>
  </w:font>
  <w:font w:name="Times New Roman (正文 CS 字体)">
    <w:altName w:val="Times New Roman"/>
    <w:panose1 w:val="02020603050405020304"/>
    <w:charset w:val="00"/>
    <w:family w:val="auto"/>
    <w:pitch w:val="default"/>
    <w:sig w:usb0="00000000" w:usb1="00000000" w:usb2="00000000" w:usb3="00000000" w:csb0="00000000" w:csb1="00000000"/>
  </w:font>
  <w:font w:name="KNLe">
    <w:altName w:val="苹方-简"/>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icrosoft New Tai Lue">
    <w:altName w:val="苹方-简"/>
    <w:panose1 w:val="020B0502040204020203"/>
    <w:charset w:val="00"/>
    <w:family w:val="auto"/>
    <w:pitch w:val="default"/>
    <w:sig w:usb0="00000000" w:usb1="00000000" w:usb2="80000000" w:usb3="00000000" w:csb0="00000001" w:csb1="00000000"/>
  </w:font>
  <w:font w:name="Segoe UI Symbol">
    <w:altName w:val="苹方-简"/>
    <w:panose1 w:val="020B0502040204020203"/>
    <w:charset w:val="00"/>
    <w:family w:val="auto"/>
    <w:pitch w:val="default"/>
    <w:sig w:usb0="00000000" w:usb1="00000000" w:usb2="00040000" w:usb3="04000000" w:csb0="00000001" w:csb1="40000000"/>
  </w:font>
  <w:font w:name="华文中宋">
    <w:altName w:val="汉仪书宋二KW"/>
    <w:panose1 w:val="02010600040101010101"/>
    <w:charset w:val="86"/>
    <w:family w:val="auto"/>
    <w:pitch w:val="default"/>
    <w:sig w:usb0="00000000" w:usb1="00000000" w:usb2="00000000" w:usb3="00000000" w:csb0="0004009F" w:csb1="DFD70000"/>
  </w:font>
  <w:font w:name="楷体">
    <w:altName w:val="汉仪楷体KW"/>
    <w:panose1 w:val="02010609060101010101"/>
    <w:charset w:val="86"/>
    <w:family w:val="auto"/>
    <w:pitch w:val="default"/>
    <w:sig w:usb0="00000000" w:usb1="00000000" w:usb2="00000016" w:usb3="00000000" w:csb0="00040001" w:csb1="00000000"/>
  </w:font>
  <w:font w:name="冬青黑体简体中文">
    <w:panose1 w:val="020B0300000000000000"/>
    <w:charset w:val="86"/>
    <w:family w:val="auto"/>
    <w:pitch w:val="default"/>
    <w:sig w:usb0="A00002BF" w:usb1="1ACF7CFA" w:usb2="00000016" w:usb3="00000000" w:csb0="00060007" w:csb1="00000000"/>
  </w:font>
  <w:font w:name="苹方-简">
    <w:panose1 w:val="020B0400000000000000"/>
    <w:charset w:val="86"/>
    <w:family w:val="auto"/>
    <w:pitch w:val="default"/>
    <w:sig w:usb0="A00002FF" w:usb1="7ACFFDFB" w:usb2="00000017" w:usb3="00000000" w:csb0="00040001" w:csb1="00000000"/>
  </w:font>
  <w:font w:name="方正仿宋_GBK">
    <w:panose1 w:val="02000000000000000000"/>
    <w:charset w:val="86"/>
    <w:family w:val="auto"/>
    <w:pitch w:val="default"/>
    <w:sig w:usb0="A00002BF" w:usb1="38CF7CFA" w:usb2="00082016" w:usb3="00000000" w:csb0="00040001" w:csb1="00000000"/>
  </w:font>
  <w:font w:name="汉仪楷体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汉仪旗黑">
    <w:panose1 w:val="00020600040101010101"/>
    <w:charset w:val="86"/>
    <w:family w:val="auto"/>
    <w:pitch w:val="default"/>
    <w:sig w:usb0="A00002BF" w:usb1="1ACF7CFA" w:usb2="00000016" w:usb3="00000000" w:csb0="0004009F" w:csb1="DFD70000"/>
  </w:font>
  <w:font w:name="汉仪中简黑简">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F483A">
    <w:pPr>
      <w:pStyle w:val="101"/>
      <w:jc w:val="center"/>
    </w:pPr>
  </w:p>
  <w:p w14:paraId="4986E51B">
    <w:pPr>
      <w:pStyle w:val="10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346DC">
    <w:pPr>
      <w:pStyle w:val="49"/>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A34E4">
    <w:pPr>
      <w:pStyle w:val="49"/>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2BED6026">
                          <w:pPr>
                            <w:pStyle w:val="101"/>
                            <w:tabs>
                              <w:tab w:val="clear" w:pos="4153"/>
                              <w:tab w:val="clear" w:pos="8306"/>
                            </w:tabs>
                          </w:pPr>
                          <w:r>
                            <w:fldChar w:fldCharType="begin"/>
                          </w:r>
                          <w:r>
                            <w:instrText xml:space="preserve"> PAGE  \* MERGEFORMAT </w:instrText>
                          </w:r>
                          <w:r>
                            <w:fldChar w:fldCharType="separate"/>
                          </w:r>
                          <w:r>
                            <w:t>33</w:t>
                          </w:r>
                          <w:r>
                            <w:fldChar w:fldCharType="end"/>
                          </w:r>
                        </w:p>
                        <w:p w14:paraId="39CFED2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PRHQfbAQAAsAMAAA4AAABkcnMvZTJvRG9jLnhtbK1TTa7TMBDeI3EH&#10;y3uatKh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7uS7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A9EdB9sBAACwAwAADgAAAAAAAAAB&#10;ACAAAAAfAQAAZHJzL2Uyb0RvYy54bWxQSwUGAAAAAAYABgBZAQAAbAUAAAAA&#10;">
              <v:fill on="f" focussize="0,0"/>
              <v:stroke on="f" weight="0.5pt"/>
              <v:imagedata o:title=""/>
              <o:lock v:ext="edit" aspectratio="f"/>
              <v:textbox inset="0mm,0mm,0mm,0mm" style="mso-fit-shape-to-text:t;">
                <w:txbxContent>
                  <w:p w14:paraId="2BED6026">
                    <w:pPr>
                      <w:pStyle w:val="101"/>
                      <w:tabs>
                        <w:tab w:val="clear" w:pos="4153"/>
                        <w:tab w:val="clear" w:pos="8306"/>
                      </w:tabs>
                    </w:pPr>
                    <w:r>
                      <w:fldChar w:fldCharType="begin"/>
                    </w:r>
                    <w:r>
                      <w:instrText xml:space="preserve"> PAGE  \* MERGEFORMAT </w:instrText>
                    </w:r>
                    <w:r>
                      <w:fldChar w:fldCharType="separate"/>
                    </w:r>
                    <w:r>
                      <w:t>33</w:t>
                    </w:r>
                    <w:r>
                      <w:fldChar w:fldCharType="end"/>
                    </w:r>
                  </w:p>
                  <w:p w14:paraId="39CFED2D"/>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3171D">
    <w:pPr>
      <w:pStyle w:val="103"/>
      <w:rPr>
        <w:rFonts w:hint="eastAsia" w:ascii="宋体" w:hAnsi="宋体" w:cs="宋体"/>
        <w:color w:val="000000"/>
      </w:rPr>
    </w:pPr>
    <w:r>
      <w:rPr>
        <w:rFonts w:hint="eastAsia" w:ascii="宋体" w:hAnsi="宋体" w:cs="宋体"/>
      </w:rPr>
      <w:drawing>
        <wp:anchor distT="0" distB="0" distL="114300" distR="114300" simplePos="0" relativeHeight="251659264" behindDoc="0" locked="0" layoutInCell="1" allowOverlap="1">
          <wp:simplePos x="0" y="0"/>
          <wp:positionH relativeFrom="margin">
            <wp:posOffset>100330</wp:posOffset>
          </wp:positionH>
          <wp:positionV relativeFrom="paragraph">
            <wp:posOffset>-194310</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433705" cy="472440"/>
                  </a:xfrm>
                  <a:prstGeom prst="rect">
                    <a:avLst/>
                  </a:prstGeom>
                  <a:noFill/>
                  <a:ln>
                    <a:noFill/>
                  </a:ln>
                </pic:spPr>
              </pic:pic>
            </a:graphicData>
          </a:graphic>
        </wp:anchor>
      </w:drawing>
    </w:r>
    <w:r>
      <w:rPr>
        <w:rFonts w:hint="eastAsia" w:ascii="宋体" w:hAnsi="宋体" w:cs="宋体"/>
        <w:color w:val="000000"/>
      </w:rPr>
      <w:t>江苏省招标中心有限公司招标文件</w:t>
    </w:r>
  </w:p>
  <w:p w14:paraId="437C6C31">
    <w:pPr>
      <w:pStyle w:val="103"/>
    </w:pPr>
    <w:r>
      <w:rPr>
        <w:rFonts w:hint="eastAsia" w:ascii="宋体" w:hAnsi="宋体" w:cs="宋体"/>
        <w:color w:val="000000"/>
      </w:rPr>
      <w:t>（</w:t>
    </w:r>
    <w:r>
      <w:rPr>
        <w:rFonts w:hint="eastAsia" w:ascii="宋体" w:hAnsi="宋体" w:cs="宋体"/>
        <w:color w:val="000000"/>
        <w:lang w:eastAsia="zh-CN"/>
      </w:rPr>
      <w:t>2026年高管中心机关三楼会议系统改造项目</w:t>
    </w:r>
    <w:r>
      <w:rPr>
        <w:rFonts w:hint="eastAsia" w:ascii="宋体" w:hAnsi="宋体" w:cs="宋体"/>
        <w:color w:val="00000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F8974">
    <w:pPr>
      <w:pStyle w:val="103"/>
      <w:rPr>
        <w:rFonts w:hint="eastAsia" w:ascii="宋体" w:hAnsi="宋体" w:cs="宋体"/>
        <w:color w:val="000000"/>
      </w:rPr>
    </w:pPr>
    <w:r>
      <w:rPr>
        <w:rFonts w:hint="eastAsia" w:ascii="宋体" w:hAnsi="宋体" w:cs="宋体"/>
      </w:rPr>
      <w:drawing>
        <wp:anchor distT="0" distB="0" distL="114300" distR="114300" simplePos="0" relativeHeight="251659264" behindDoc="0" locked="0" layoutInCell="1" allowOverlap="1">
          <wp:simplePos x="0" y="0"/>
          <wp:positionH relativeFrom="margin">
            <wp:posOffset>100330</wp:posOffset>
          </wp:positionH>
          <wp:positionV relativeFrom="paragraph">
            <wp:posOffset>-194310</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
                  <a:stretch>
                    <a:fillRect/>
                  </a:stretch>
                </pic:blipFill>
                <pic:spPr>
                  <a:xfrm>
                    <a:off x="0" y="0"/>
                    <a:ext cx="433705" cy="472440"/>
                  </a:xfrm>
                  <a:prstGeom prst="rect">
                    <a:avLst/>
                  </a:prstGeom>
                  <a:noFill/>
                  <a:ln>
                    <a:noFill/>
                  </a:ln>
                </pic:spPr>
              </pic:pic>
            </a:graphicData>
          </a:graphic>
        </wp:anchor>
      </w:drawing>
    </w:r>
    <w:r>
      <w:rPr>
        <w:rFonts w:hint="eastAsia" w:ascii="宋体" w:hAnsi="宋体" w:cs="宋体"/>
        <w:color w:val="000000"/>
      </w:rPr>
      <w:t>江苏省招标中心有限公司招标文件</w:t>
    </w:r>
  </w:p>
  <w:p w14:paraId="405CDF77">
    <w:pPr>
      <w:pStyle w:val="103"/>
    </w:pPr>
    <w:r>
      <w:rPr>
        <w:rFonts w:hint="eastAsia" w:ascii="宋体" w:hAnsi="宋体" w:cs="宋体"/>
        <w:color w:val="000000"/>
      </w:rPr>
      <w:t>（</w:t>
    </w:r>
    <w:r>
      <w:rPr>
        <w:rFonts w:hint="eastAsia" w:ascii="宋体" w:hAnsi="宋体" w:cs="宋体"/>
        <w:color w:val="000000"/>
        <w:lang w:eastAsia="zh-CN"/>
      </w:rPr>
      <w:t>2026年高管中心机关三楼会议系统改造项目</w:t>
    </w:r>
    <w:r>
      <w:rPr>
        <w:rFonts w:hint="eastAsia" w:ascii="宋体" w:hAnsi="宋体" w:cs="宋体"/>
        <w:color w:val="00000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16FE4">
    <w:pPr>
      <w:pStyle w:val="103"/>
      <w:ind w:left="394" w:hanging="180"/>
      <w:rPr>
        <w:rFonts w:hint="eastAsia" w:ascii="宋体" w:hAnsi="宋体" w:cs="宋体"/>
        <w:color w:val="000000"/>
      </w:rPr>
    </w:pPr>
    <w:r>
      <w:rPr>
        <w:rFonts w:hint="eastAsia" w:ascii="宋体" w:hAnsi="宋体" w:cs="宋体"/>
      </w:rPr>
      <w:drawing>
        <wp:anchor distT="0" distB="0" distL="114300" distR="114300" simplePos="0" relativeHeight="251659264"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
                  <a:stretch>
                    <a:fillRect/>
                  </a:stretch>
                </pic:blipFill>
                <pic:spPr>
                  <a:xfrm>
                    <a:off x="0" y="0"/>
                    <a:ext cx="433705" cy="472440"/>
                  </a:xfrm>
                  <a:prstGeom prst="rect">
                    <a:avLst/>
                  </a:prstGeom>
                  <a:noFill/>
                  <a:ln>
                    <a:noFill/>
                  </a:ln>
                </pic:spPr>
              </pic:pic>
            </a:graphicData>
          </a:graphic>
        </wp:anchor>
      </w:drawing>
    </w:r>
    <w:r>
      <w:rPr>
        <w:rFonts w:hint="eastAsia" w:ascii="宋体" w:hAnsi="宋体" w:cs="宋体"/>
        <w:color w:val="000000"/>
      </w:rPr>
      <w:t>江苏省招标中心有限公司招标文件</w:t>
    </w:r>
  </w:p>
  <w:p w14:paraId="7D33703C">
    <w:pPr>
      <w:pStyle w:val="103"/>
      <w:ind w:left="394" w:hanging="180"/>
    </w:pPr>
    <w:r>
      <w:rPr>
        <w:rFonts w:hint="eastAsia" w:ascii="宋体" w:hAnsi="宋体" w:cs="宋体"/>
        <w:color w:val="000000"/>
      </w:rPr>
      <w:t>（</w:t>
    </w:r>
    <w:r>
      <w:rPr>
        <w:rFonts w:hint="eastAsia" w:ascii="宋体" w:hAnsi="宋体" w:cs="宋体"/>
        <w:color w:val="000000"/>
        <w:lang w:eastAsia="zh-CN"/>
      </w:rPr>
      <w:t>2026年高管中心机关三楼会议系统改造项目</w:t>
    </w:r>
    <w:r>
      <w:rPr>
        <w:rFonts w:hint="eastAsia" w:ascii="宋体" w:hAnsi="宋体" w:cs="宋体"/>
        <w:color w:val="00000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92005F"/>
    <w:multiLevelType w:val="singleLevel"/>
    <w:tmpl w:val="9992005F"/>
    <w:lvl w:ilvl="0" w:tentative="0">
      <w:start w:val="6"/>
      <w:numFmt w:val="chineseCounting"/>
      <w:suff w:val="nothing"/>
      <w:lvlText w:val="%1、"/>
      <w:lvlJc w:val="left"/>
      <w:rPr>
        <w:rFonts w:hint="eastAsia"/>
      </w:rPr>
    </w:lvl>
  </w:abstractNum>
  <w:abstractNum w:abstractNumId="1">
    <w:nsid w:val="B5E306ED"/>
    <w:multiLevelType w:val="multilevel"/>
    <w:tmpl w:val="B5E306ED"/>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japaneseCounting"/>
      <w:lvlText w:val="第%1章"/>
      <w:lvlJc w:val="left"/>
      <w:pPr>
        <w:ind w:left="1125" w:hanging="112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53208E"/>
    <w:multiLevelType w:val="multilevel"/>
    <w:tmpl w:val="0053208E"/>
    <w:lvl w:ilvl="0" w:tentative="0">
      <w:start w:val="1"/>
      <w:numFmt w:val="decimal"/>
      <w:lvlText w:val="%1"/>
      <w:lvlJc w:val="left"/>
      <w:pPr>
        <w:tabs>
          <w:tab w:val="left" w:pos="420"/>
        </w:tabs>
        <w:ind w:left="0" w:firstLine="482"/>
      </w:pPr>
      <w:rPr>
        <w:rFonts w:hint="eastAsia" w:ascii="宋体" w:hAnsi="宋体" w:eastAsia="宋体"/>
        <w:b w:val="0"/>
        <w:i w:val="0"/>
        <w:caps w:val="0"/>
        <w:strike w:val="0"/>
        <w:vanish w:val="0"/>
        <w:sz w:val="24"/>
        <w:vertAlign w:val="baseline"/>
      </w:rPr>
    </w:lvl>
    <w:lvl w:ilvl="1" w:tentative="0">
      <w:start w:val="1"/>
      <w:numFmt w:val="decimal"/>
      <w:pStyle w:val="300"/>
      <w:lvlText w:val="%1.%2"/>
      <w:lvlJc w:val="left"/>
      <w:pPr>
        <w:tabs>
          <w:tab w:val="left" w:pos="420"/>
        </w:tabs>
        <w:ind w:left="0" w:firstLine="482"/>
      </w:pPr>
      <w:rPr>
        <w:rFonts w:hint="eastAsia" w:ascii="宋体" w:hAnsi="宋体" w:eastAsia="宋体"/>
        <w:b w:val="0"/>
        <w:i w:val="0"/>
        <w:caps w:val="0"/>
        <w:strike w:val="0"/>
        <w:vanish w:val="0"/>
        <w:sz w:val="24"/>
        <w:vertAlign w:val="baseline"/>
      </w:rPr>
    </w:lvl>
    <w:lvl w:ilvl="2" w:tentative="0">
      <w:start w:val="1"/>
      <w:numFmt w:val="decimal"/>
      <w:lvlText w:val="%1.%2.%3"/>
      <w:lvlJc w:val="left"/>
      <w:pPr>
        <w:tabs>
          <w:tab w:val="left" w:pos="420"/>
        </w:tabs>
        <w:ind w:left="0" w:firstLine="482"/>
      </w:pPr>
      <w:rPr>
        <w:rFonts w:hint="eastAsia" w:ascii="宋体" w:hAnsi="宋体" w:eastAsia="宋体"/>
        <w:b w:val="0"/>
        <w:i w:val="0"/>
        <w:caps w:val="0"/>
        <w:strike w:val="0"/>
        <w:vanish w:val="0"/>
        <w:sz w:val="24"/>
        <w:vertAlign w:val="baseline"/>
      </w:rPr>
    </w:lvl>
    <w:lvl w:ilvl="3" w:tentative="0">
      <w:start w:val="1"/>
      <w:numFmt w:val="decimal"/>
      <w:lvlText w:val="%1.%2.%3.%4"/>
      <w:lvlJc w:val="left"/>
      <w:pPr>
        <w:ind w:left="0" w:firstLine="0"/>
      </w:pPr>
      <w:rPr>
        <w:rFonts w:hint="eastAsia" w:ascii="宋体" w:hAnsi="宋体" w:eastAsia="宋体"/>
        <w:b w:val="0"/>
        <w:i w:val="0"/>
        <w:caps w:val="0"/>
        <w:strike w:val="0"/>
        <w:vanish w:val="0"/>
        <w:sz w:val="24"/>
        <w:vertAlign w:val="baseline"/>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59ADCABA"/>
    <w:multiLevelType w:val="multilevel"/>
    <w:tmpl w:val="59ADCABA"/>
    <w:lvl w:ilvl="0" w:tentative="0">
      <w:start w:val="1"/>
      <w:numFmt w:val="decimal"/>
      <w:lvlText w:val="%1."/>
      <w:lvlJc w:val="left"/>
      <w:pPr>
        <w:ind w:left="425" w:hanging="425"/>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5"/>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85B98"/>
    <w:rsid w:val="01791910"/>
    <w:rsid w:val="020E3E06"/>
    <w:rsid w:val="037759DB"/>
    <w:rsid w:val="04706FFA"/>
    <w:rsid w:val="05BA625A"/>
    <w:rsid w:val="07610759"/>
    <w:rsid w:val="077D0A4B"/>
    <w:rsid w:val="07D01B5E"/>
    <w:rsid w:val="08687FE8"/>
    <w:rsid w:val="088A5836"/>
    <w:rsid w:val="0A2C5771"/>
    <w:rsid w:val="0A734133"/>
    <w:rsid w:val="0D464D9C"/>
    <w:rsid w:val="0E3E3CC5"/>
    <w:rsid w:val="100E0896"/>
    <w:rsid w:val="101F3682"/>
    <w:rsid w:val="14147A2B"/>
    <w:rsid w:val="142E59BE"/>
    <w:rsid w:val="14B24AC5"/>
    <w:rsid w:val="15AF052D"/>
    <w:rsid w:val="16421E79"/>
    <w:rsid w:val="172D48CC"/>
    <w:rsid w:val="18960FFE"/>
    <w:rsid w:val="1B9A4611"/>
    <w:rsid w:val="1BEF2AA3"/>
    <w:rsid w:val="1C69015F"/>
    <w:rsid w:val="1E21302E"/>
    <w:rsid w:val="20084133"/>
    <w:rsid w:val="20C73087"/>
    <w:rsid w:val="211A5ECC"/>
    <w:rsid w:val="233F1C1A"/>
    <w:rsid w:val="23675615"/>
    <w:rsid w:val="238B1303"/>
    <w:rsid w:val="24B86938"/>
    <w:rsid w:val="26A34BB6"/>
    <w:rsid w:val="272E1268"/>
    <w:rsid w:val="27441EF5"/>
    <w:rsid w:val="28E868B0"/>
    <w:rsid w:val="29026ADA"/>
    <w:rsid w:val="29032C29"/>
    <w:rsid w:val="29146F2D"/>
    <w:rsid w:val="292F44DF"/>
    <w:rsid w:val="2AB63109"/>
    <w:rsid w:val="2BFB4B4C"/>
    <w:rsid w:val="2C523EA7"/>
    <w:rsid w:val="2CF5796E"/>
    <w:rsid w:val="2D0363AE"/>
    <w:rsid w:val="2D5E5392"/>
    <w:rsid w:val="2D856DC3"/>
    <w:rsid w:val="2E9A4AF0"/>
    <w:rsid w:val="2EF97A69"/>
    <w:rsid w:val="2F171C9D"/>
    <w:rsid w:val="338E4654"/>
    <w:rsid w:val="339064C2"/>
    <w:rsid w:val="33A67A93"/>
    <w:rsid w:val="34E329DA"/>
    <w:rsid w:val="34F32864"/>
    <w:rsid w:val="358B0CEF"/>
    <w:rsid w:val="369E4A52"/>
    <w:rsid w:val="37405B09"/>
    <w:rsid w:val="37EAB2E6"/>
    <w:rsid w:val="38086A4E"/>
    <w:rsid w:val="392B2E21"/>
    <w:rsid w:val="39932868"/>
    <w:rsid w:val="39E3734B"/>
    <w:rsid w:val="3A053765"/>
    <w:rsid w:val="3B4F27BE"/>
    <w:rsid w:val="3C070A0C"/>
    <w:rsid w:val="3EED7B68"/>
    <w:rsid w:val="3F2C3542"/>
    <w:rsid w:val="3F731171"/>
    <w:rsid w:val="40185875"/>
    <w:rsid w:val="406960D0"/>
    <w:rsid w:val="432D1637"/>
    <w:rsid w:val="43AC4C52"/>
    <w:rsid w:val="447F5EC2"/>
    <w:rsid w:val="45DA351F"/>
    <w:rsid w:val="47BB6757"/>
    <w:rsid w:val="47CF53B3"/>
    <w:rsid w:val="488C32A4"/>
    <w:rsid w:val="48965ED0"/>
    <w:rsid w:val="48B30830"/>
    <w:rsid w:val="48E1539E"/>
    <w:rsid w:val="48FA1FBB"/>
    <w:rsid w:val="4B4A0B1E"/>
    <w:rsid w:val="4B4E2A92"/>
    <w:rsid w:val="4B79502C"/>
    <w:rsid w:val="4D057181"/>
    <w:rsid w:val="4D470B7A"/>
    <w:rsid w:val="4ED9493D"/>
    <w:rsid w:val="4F3D70A6"/>
    <w:rsid w:val="4F6208BA"/>
    <w:rsid w:val="4F67286E"/>
    <w:rsid w:val="50DC4C8A"/>
    <w:rsid w:val="5107796B"/>
    <w:rsid w:val="522E717A"/>
    <w:rsid w:val="529A65BD"/>
    <w:rsid w:val="532540D9"/>
    <w:rsid w:val="54890697"/>
    <w:rsid w:val="551F66C5"/>
    <w:rsid w:val="554271C4"/>
    <w:rsid w:val="55B87486"/>
    <w:rsid w:val="570C0B0A"/>
    <w:rsid w:val="575D15B4"/>
    <w:rsid w:val="58E63C3C"/>
    <w:rsid w:val="5B4E0490"/>
    <w:rsid w:val="5BC8419B"/>
    <w:rsid w:val="5BEB7F91"/>
    <w:rsid w:val="5BF037E6"/>
    <w:rsid w:val="5C25514A"/>
    <w:rsid w:val="5CA644DC"/>
    <w:rsid w:val="5ECD0C83"/>
    <w:rsid w:val="5FD807F5"/>
    <w:rsid w:val="602816AC"/>
    <w:rsid w:val="618C17C7"/>
    <w:rsid w:val="61BE5E24"/>
    <w:rsid w:val="61F234B5"/>
    <w:rsid w:val="624F0696"/>
    <w:rsid w:val="62757F11"/>
    <w:rsid w:val="62B86D17"/>
    <w:rsid w:val="633B5253"/>
    <w:rsid w:val="640B2E77"/>
    <w:rsid w:val="656F7435"/>
    <w:rsid w:val="66C7577B"/>
    <w:rsid w:val="66D02156"/>
    <w:rsid w:val="66D333E8"/>
    <w:rsid w:val="6A927E4E"/>
    <w:rsid w:val="6CC60283"/>
    <w:rsid w:val="6D1C7EA3"/>
    <w:rsid w:val="6DB93944"/>
    <w:rsid w:val="6E105E4F"/>
    <w:rsid w:val="6E2B2A93"/>
    <w:rsid w:val="6E731D44"/>
    <w:rsid w:val="704C0A9F"/>
    <w:rsid w:val="70983CE4"/>
    <w:rsid w:val="71825AF3"/>
    <w:rsid w:val="72181581"/>
    <w:rsid w:val="72EE39A0"/>
    <w:rsid w:val="73104006"/>
    <w:rsid w:val="74094202"/>
    <w:rsid w:val="745368A0"/>
    <w:rsid w:val="74F10B87"/>
    <w:rsid w:val="775C1580"/>
    <w:rsid w:val="797B41A3"/>
    <w:rsid w:val="79FEBD3E"/>
    <w:rsid w:val="7AB94F83"/>
    <w:rsid w:val="7AD1051F"/>
    <w:rsid w:val="7B656EB9"/>
    <w:rsid w:val="7C2356A5"/>
    <w:rsid w:val="7D8A2C07"/>
    <w:rsid w:val="7F7E4873"/>
    <w:rsid w:val="7FEF1E7B"/>
    <w:rsid w:val="7FFFAD38"/>
    <w:rsid w:val="B3FE0171"/>
    <w:rsid w:val="D2F763CE"/>
    <w:rsid w:val="F7BF9D62"/>
    <w:rsid w:val="FFF319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nhideWhenUsed="0" w:uiPriority="0"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7"/>
    <w:qFormat/>
    <w:uiPriority w:val="0"/>
    <w:pPr>
      <w:widowControl w:val="0"/>
      <w:jc w:val="both"/>
    </w:pPr>
    <w:rPr>
      <w:rFonts w:hint="default" w:ascii="Times New Roman" w:hAnsi="Times New Roman" w:eastAsia="宋体" w:cs="Times New Roman"/>
      <w:sz w:val="21"/>
      <w:szCs w:val="24"/>
      <w:lang w:eastAsia="zh-CN"/>
    </w:rPr>
  </w:style>
  <w:style w:type="paragraph" w:styleId="2">
    <w:name w:val="heading 1"/>
    <w:basedOn w:val="1"/>
    <w:next w:val="1"/>
    <w:link w:val="92"/>
    <w:qFormat/>
    <w:uiPriority w:val="0"/>
    <w:pPr>
      <w:keepNext/>
      <w:keepLines/>
      <w:spacing w:before="120" w:after="120"/>
      <w:ind w:left="100" w:right="100"/>
      <w:outlineLvl w:val="0"/>
    </w:pPr>
    <w:rPr>
      <w:b/>
      <w:bCs/>
      <w:szCs w:val="44"/>
    </w:rPr>
  </w:style>
  <w:style w:type="paragraph" w:styleId="3">
    <w:name w:val="heading 2"/>
    <w:basedOn w:val="1"/>
    <w:next w:val="1"/>
    <w:link w:val="38"/>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93"/>
    <w:qFormat/>
    <w:uiPriority w:val="9"/>
    <w:pPr>
      <w:keepNext/>
      <w:keepLines/>
      <w:spacing w:before="260" w:after="260" w:line="416" w:lineRule="auto"/>
      <w:outlineLvl w:val="2"/>
    </w:pPr>
    <w:rPr>
      <w:b/>
      <w:bCs/>
      <w:sz w:val="32"/>
      <w:szCs w:val="32"/>
    </w:rPr>
  </w:style>
  <w:style w:type="paragraph" w:styleId="5">
    <w:name w:val="heading 4"/>
    <w:basedOn w:val="1"/>
    <w:next w:val="1"/>
    <w:link w:val="94"/>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9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96"/>
    <w:qFormat/>
    <w:uiPriority w:val="0"/>
    <w:pPr>
      <w:keepNext/>
      <w:keepLines/>
      <w:spacing w:before="240" w:after="64" w:line="320" w:lineRule="auto"/>
      <w:outlineLvl w:val="5"/>
    </w:pPr>
    <w:rPr>
      <w:rFonts w:ascii="等线 Light" w:hAnsi="等线 Light" w:eastAsia="等线 Light"/>
      <w:b/>
      <w:bCs/>
      <w:sz w:val="24"/>
    </w:rPr>
  </w:style>
  <w:style w:type="paragraph" w:styleId="8">
    <w:name w:val="heading 7"/>
    <w:basedOn w:val="1"/>
    <w:next w:val="1"/>
    <w:link w:val="9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8"/>
    <w:qFormat/>
    <w:uiPriority w:val="0"/>
    <w:pPr>
      <w:keepNext/>
      <w:keepLines/>
      <w:spacing w:before="240" w:after="64" w:line="320" w:lineRule="auto"/>
      <w:outlineLvl w:val="7"/>
    </w:pPr>
    <w:rPr>
      <w:rFonts w:ascii="等线 Light" w:hAnsi="等线 Light" w:eastAsia="等线 Light"/>
      <w:sz w:val="24"/>
    </w:rPr>
  </w:style>
  <w:style w:type="paragraph" w:styleId="10">
    <w:name w:val="heading 9"/>
    <w:basedOn w:val="1"/>
    <w:next w:val="1"/>
    <w:link w:val="99"/>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qFormat/>
    <w:uiPriority w:val="1"/>
    <w:pPr>
      <w:widowControl w:val="0"/>
      <w:spacing w:after="120"/>
      <w:jc w:val="both"/>
    </w:pPr>
    <w:rPr>
      <w:rFonts w:hint="default" w:ascii="Times New Roman" w:hAnsi="Times New Roman" w:eastAsia="宋体" w:cs="Times New Roman"/>
      <w:sz w:val="21"/>
      <w:szCs w:val="24"/>
      <w:lang w:eastAsia="zh-CN"/>
    </w:rPr>
  </w:style>
  <w:style w:type="paragraph" w:styleId="14">
    <w:name w:val="index 4"/>
    <w:basedOn w:val="1"/>
    <w:next w:val="1"/>
    <w:unhideWhenUsed/>
    <w:qFormat/>
    <w:uiPriority w:val="99"/>
    <w:pPr>
      <w:ind w:left="600" w:leftChars="600"/>
    </w:pPr>
    <w:rPr>
      <w:rFonts w:ascii="宋体"/>
      <w:b/>
      <w:kern w:val="0"/>
      <w:position w:val="-10"/>
      <w:sz w:val="24"/>
      <w:szCs w:val="20"/>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pPr>
      <w:spacing w:line="360" w:lineRule="auto"/>
      <w:ind w:firstLine="200"/>
    </w:pPr>
    <w:rPr>
      <w:rFonts w:ascii="宋体" w:hAnsi="Courier New"/>
      <w:sz w:val="20"/>
      <w:szCs w:val="20"/>
    </w:rPr>
  </w:style>
  <w:style w:type="paragraph" w:styleId="18">
    <w:name w:val="toc 8"/>
    <w:basedOn w:val="1"/>
    <w:next w:val="1"/>
    <w:unhideWhenUsed/>
    <w:qFormat/>
    <w:uiPriority w:val="39"/>
    <w:pPr>
      <w:spacing w:after="57"/>
      <w:ind w:left="1984" w:right="0" w:firstLine="0"/>
    </w:pPr>
  </w:style>
  <w:style w:type="paragraph" w:styleId="19">
    <w:name w:val="endnote text"/>
    <w:basedOn w:val="1"/>
    <w:semiHidden/>
    <w:unhideWhenUsed/>
    <w:qFormat/>
    <w:uiPriority w:val="99"/>
    <w:pPr>
      <w:spacing w:after="0" w:line="240" w:lineRule="auto"/>
    </w:pPr>
    <w:rPr>
      <w:sz w:val="20"/>
    </w:rPr>
  </w:style>
  <w:style w:type="paragraph" w:styleId="20">
    <w:name w:val="footer"/>
    <w:basedOn w:val="1"/>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qFormat/>
    <w:uiPriority w:val="10"/>
    <w:pPr>
      <w:spacing w:before="300" w:after="200"/>
      <w:contextualSpacing/>
    </w:pPr>
    <w:rPr>
      <w:sz w:val="48"/>
      <w:szCs w:val="48"/>
    </w:rPr>
  </w:style>
  <w:style w:type="paragraph" w:styleId="31">
    <w:name w:val="Body Text First Indent 2"/>
    <w:qFormat/>
    <w:uiPriority w:val="99"/>
    <w:pPr>
      <w:widowControl w:val="0"/>
      <w:spacing w:after="0" w:line="360" w:lineRule="auto"/>
      <w:ind w:left="0" w:firstLine="420"/>
      <w:jc w:val="both"/>
    </w:pPr>
    <w:rPr>
      <w:rFonts w:hint="default" w:ascii="宋体" w:hAnsi="宋体" w:eastAsia="宋体" w:cs="Times New Roman"/>
      <w:sz w:val="20"/>
      <w:szCs w:val="20"/>
      <w:lang w:eastAsia="zh-CN"/>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character" w:customStyle="1" w:styleId="38">
    <w:name w:val="标题 2 字符"/>
    <w:link w:val="3"/>
    <w:semiHidden/>
    <w:qFormat/>
    <w:uiPriority w:val="0"/>
    <w:rPr>
      <w:rFonts w:ascii="等线 Light" w:hAnsi="等线 Light" w:eastAsia="等线 Light" w:cs="Times New Roman"/>
      <w:b/>
      <w:bCs/>
      <w:sz w:val="32"/>
      <w:szCs w:val="32"/>
    </w:rPr>
  </w:style>
  <w:style w:type="character" w:customStyle="1" w:styleId="39">
    <w:name w:val="默认段落字体1"/>
    <w:link w:val="1"/>
    <w:unhideWhenUsed/>
    <w:qFormat/>
    <w:uiPriority w:val="1"/>
  </w:style>
  <w:style w:type="table" w:customStyle="1" w:styleId="40">
    <w:name w:val="普通表格1"/>
    <w:unhideWhenUsed/>
    <w:qFormat/>
    <w:uiPriority w:val="99"/>
  </w:style>
  <w:style w:type="paragraph" w:customStyle="1" w:styleId="41">
    <w:name w:val="列表 31"/>
    <w:basedOn w:val="1"/>
    <w:qFormat/>
    <w:uiPriority w:val="0"/>
    <w:pPr>
      <w:widowControl/>
      <w:ind w:left="100" w:hanging="200"/>
      <w:contextualSpacing/>
      <w:jc w:val="left"/>
    </w:pPr>
    <w:rPr>
      <w:sz w:val="20"/>
      <w:szCs w:val="20"/>
    </w:rPr>
  </w:style>
  <w:style w:type="paragraph" w:customStyle="1" w:styleId="42">
    <w:name w:val="目录 71"/>
    <w:basedOn w:val="1"/>
    <w:next w:val="1"/>
    <w:unhideWhenUsed/>
    <w:qFormat/>
    <w:uiPriority w:val="39"/>
    <w:pPr>
      <w:ind w:left="2520"/>
    </w:pPr>
    <w:rPr>
      <w:rFonts w:ascii="等线" w:hAnsi="等线" w:eastAsia="等线"/>
      <w:szCs w:val="22"/>
    </w:rPr>
  </w:style>
  <w:style w:type="paragraph" w:customStyle="1" w:styleId="43">
    <w:name w:val="正文缩进1"/>
    <w:basedOn w:val="1"/>
    <w:link w:val="44"/>
    <w:qFormat/>
    <w:uiPriority w:val="99"/>
    <w:pPr>
      <w:ind w:firstLine="420"/>
    </w:pPr>
    <w:rPr>
      <w:szCs w:val="20"/>
    </w:rPr>
  </w:style>
  <w:style w:type="character" w:customStyle="1" w:styleId="44">
    <w:name w:val="正文缩进 字符"/>
    <w:link w:val="43"/>
    <w:qFormat/>
    <w:uiPriority w:val="0"/>
    <w:rPr>
      <w:sz w:val="21"/>
    </w:rPr>
  </w:style>
  <w:style w:type="paragraph" w:customStyle="1" w:styleId="45">
    <w:name w:val="文档结构图1"/>
    <w:basedOn w:val="1"/>
    <w:link w:val="46"/>
    <w:qFormat/>
    <w:uiPriority w:val="0"/>
    <w:pPr>
      <w:shd w:val="clear" w:color="auto" w:fill="000080"/>
    </w:pPr>
  </w:style>
  <w:style w:type="character" w:customStyle="1" w:styleId="46">
    <w:name w:val="文档结构图 字符"/>
    <w:link w:val="45"/>
    <w:qFormat/>
    <w:uiPriority w:val="0"/>
    <w:rPr>
      <w:sz w:val="21"/>
      <w:szCs w:val="24"/>
      <w:shd w:val="clear" w:color="auto" w:fill="000080"/>
    </w:rPr>
  </w:style>
  <w:style w:type="paragraph" w:customStyle="1" w:styleId="47">
    <w:name w:val="批注文字1"/>
    <w:basedOn w:val="1"/>
    <w:link w:val="48"/>
    <w:qFormat/>
    <w:uiPriority w:val="0"/>
    <w:pPr>
      <w:jc w:val="left"/>
    </w:pPr>
  </w:style>
  <w:style w:type="character" w:customStyle="1" w:styleId="48">
    <w:name w:val="批注文字 字符"/>
    <w:link w:val="47"/>
    <w:qFormat/>
    <w:uiPriority w:val="0"/>
    <w:rPr>
      <w:sz w:val="21"/>
      <w:szCs w:val="24"/>
    </w:rPr>
  </w:style>
  <w:style w:type="paragraph" w:customStyle="1" w:styleId="49">
    <w:name w:val="正文文本1"/>
    <w:basedOn w:val="1"/>
    <w:next w:val="1"/>
    <w:link w:val="50"/>
    <w:qFormat/>
    <w:uiPriority w:val="1"/>
    <w:pPr>
      <w:spacing w:after="120"/>
    </w:pPr>
  </w:style>
  <w:style w:type="character" w:customStyle="1" w:styleId="50">
    <w:name w:val="正文文本 字符"/>
    <w:link w:val="49"/>
    <w:qFormat/>
    <w:uiPriority w:val="1"/>
    <w:rPr>
      <w:sz w:val="21"/>
      <w:szCs w:val="24"/>
    </w:rPr>
  </w:style>
  <w:style w:type="paragraph" w:customStyle="1" w:styleId="51">
    <w:name w:val="正文文本缩进1"/>
    <w:basedOn w:val="1"/>
    <w:next w:val="1"/>
    <w:qFormat/>
    <w:uiPriority w:val="0"/>
    <w:pPr>
      <w:spacing w:after="120"/>
      <w:ind w:left="420"/>
    </w:pPr>
  </w:style>
  <w:style w:type="paragraph" w:customStyle="1" w:styleId="52">
    <w:name w:val="索引 411"/>
    <w:basedOn w:val="1"/>
    <w:next w:val="1"/>
    <w:unhideWhenUsed/>
    <w:qFormat/>
    <w:uiPriority w:val="99"/>
    <w:pPr>
      <w:ind w:left="600"/>
    </w:pPr>
    <w:rPr>
      <w:rFonts w:ascii="宋体"/>
      <w:b/>
      <w:position w:val="-10"/>
      <w:sz w:val="24"/>
      <w:szCs w:val="20"/>
    </w:rPr>
  </w:style>
  <w:style w:type="paragraph" w:customStyle="1" w:styleId="53">
    <w:name w:val="目录 51"/>
    <w:basedOn w:val="1"/>
    <w:next w:val="1"/>
    <w:unhideWhenUsed/>
    <w:qFormat/>
    <w:uiPriority w:val="39"/>
    <w:pPr>
      <w:ind w:left="1680"/>
    </w:pPr>
    <w:rPr>
      <w:rFonts w:ascii="等线" w:hAnsi="等线" w:eastAsia="等线"/>
      <w:szCs w:val="22"/>
    </w:rPr>
  </w:style>
  <w:style w:type="paragraph" w:customStyle="1" w:styleId="54">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paragraph" w:customStyle="1" w:styleId="55">
    <w:name w:val="纯文本111"/>
    <w:basedOn w:val="1"/>
    <w:link w:val="56"/>
    <w:qFormat/>
    <w:uiPriority w:val="0"/>
    <w:rPr>
      <w:rFonts w:ascii="宋体" w:hAnsi="Courier New" w:cs="Courier New"/>
      <w:szCs w:val="21"/>
    </w:rPr>
  </w:style>
  <w:style w:type="character" w:customStyle="1" w:styleId="56">
    <w:name w:val="纯文本 字符"/>
    <w:link w:val="55"/>
    <w:qFormat/>
    <w:uiPriority w:val="0"/>
    <w:rPr>
      <w:rFonts w:ascii="宋体" w:hAnsi="Courier New" w:cs="Courier New"/>
      <w:sz w:val="21"/>
      <w:szCs w:val="21"/>
    </w:rPr>
  </w:style>
  <w:style w:type="paragraph" w:customStyle="1" w:styleId="57">
    <w:name w:val="目录 81"/>
    <w:basedOn w:val="1"/>
    <w:next w:val="1"/>
    <w:unhideWhenUsed/>
    <w:qFormat/>
    <w:uiPriority w:val="39"/>
    <w:pPr>
      <w:ind w:left="2940"/>
    </w:pPr>
    <w:rPr>
      <w:rFonts w:ascii="等线" w:hAnsi="等线" w:eastAsia="等线"/>
      <w:szCs w:val="22"/>
    </w:rPr>
  </w:style>
  <w:style w:type="paragraph" w:customStyle="1" w:styleId="58">
    <w:name w:val="日期1"/>
    <w:basedOn w:val="1"/>
    <w:next w:val="1"/>
    <w:link w:val="59"/>
    <w:qFormat/>
    <w:uiPriority w:val="0"/>
    <w:rPr>
      <w:sz w:val="24"/>
      <w:szCs w:val="20"/>
    </w:rPr>
  </w:style>
  <w:style w:type="character" w:customStyle="1" w:styleId="59">
    <w:name w:val="日期 字符"/>
    <w:link w:val="58"/>
    <w:qFormat/>
    <w:uiPriority w:val="0"/>
    <w:rPr>
      <w:sz w:val="24"/>
    </w:rPr>
  </w:style>
  <w:style w:type="paragraph" w:customStyle="1" w:styleId="60">
    <w:name w:val="尾注文本1"/>
    <w:basedOn w:val="1"/>
    <w:link w:val="61"/>
    <w:unhideWhenUsed/>
    <w:qFormat/>
    <w:uiPriority w:val="99"/>
    <w:pPr>
      <w:spacing w:after="0" w:line="240" w:lineRule="auto"/>
    </w:pPr>
    <w:rPr>
      <w:sz w:val="20"/>
    </w:rPr>
  </w:style>
  <w:style w:type="character" w:customStyle="1" w:styleId="61">
    <w:name w:val="Endnote Text Char"/>
    <w:link w:val="60"/>
    <w:qFormat/>
    <w:uiPriority w:val="99"/>
    <w:rPr>
      <w:sz w:val="20"/>
    </w:rPr>
  </w:style>
  <w:style w:type="paragraph" w:customStyle="1" w:styleId="62">
    <w:name w:val="批注框文本1"/>
    <w:basedOn w:val="1"/>
    <w:link w:val="63"/>
    <w:qFormat/>
    <w:uiPriority w:val="0"/>
    <w:rPr>
      <w:sz w:val="18"/>
      <w:szCs w:val="18"/>
    </w:rPr>
  </w:style>
  <w:style w:type="character" w:customStyle="1" w:styleId="63">
    <w:name w:val="批注框文本 字符"/>
    <w:link w:val="62"/>
    <w:qFormat/>
    <w:uiPriority w:val="0"/>
    <w:rPr>
      <w:sz w:val="18"/>
      <w:szCs w:val="18"/>
    </w:rPr>
  </w:style>
  <w:style w:type="paragraph" w:customStyle="1" w:styleId="64">
    <w:name w:val="目录 11"/>
    <w:basedOn w:val="1"/>
    <w:next w:val="1"/>
    <w:qFormat/>
    <w:uiPriority w:val="39"/>
    <w:rPr>
      <w:rFonts w:ascii="仿宋_GB2312" w:eastAsia="仿宋_GB2312"/>
      <w:sz w:val="24"/>
    </w:rPr>
  </w:style>
  <w:style w:type="paragraph" w:customStyle="1" w:styleId="65">
    <w:name w:val="目录 41"/>
    <w:basedOn w:val="1"/>
    <w:next w:val="1"/>
    <w:unhideWhenUsed/>
    <w:qFormat/>
    <w:uiPriority w:val="39"/>
    <w:pPr>
      <w:ind w:left="1260"/>
    </w:pPr>
    <w:rPr>
      <w:rFonts w:ascii="等线" w:hAnsi="等线" w:eastAsia="等线"/>
      <w:szCs w:val="22"/>
    </w:rPr>
  </w:style>
  <w:style w:type="paragraph" w:customStyle="1" w:styleId="66">
    <w:name w:val="副标题1"/>
    <w:basedOn w:val="1"/>
    <w:next w:val="1"/>
    <w:link w:val="67"/>
    <w:qFormat/>
    <w:uiPriority w:val="11"/>
    <w:pPr>
      <w:spacing w:before="200" w:after="200"/>
    </w:pPr>
    <w:rPr>
      <w:sz w:val="24"/>
      <w:szCs w:val="24"/>
    </w:rPr>
  </w:style>
  <w:style w:type="character" w:customStyle="1" w:styleId="67">
    <w:name w:val="Subtitle Char"/>
    <w:basedOn w:val="39"/>
    <w:link w:val="66"/>
    <w:qFormat/>
    <w:uiPriority w:val="11"/>
    <w:rPr>
      <w:sz w:val="24"/>
      <w:szCs w:val="24"/>
    </w:rPr>
  </w:style>
  <w:style w:type="paragraph" w:customStyle="1" w:styleId="68">
    <w:name w:val="脚注文本1"/>
    <w:basedOn w:val="1"/>
    <w:qFormat/>
    <w:uiPriority w:val="99"/>
    <w:rPr>
      <w:sz w:val="18"/>
    </w:rPr>
  </w:style>
  <w:style w:type="paragraph" w:customStyle="1" w:styleId="69">
    <w:name w:val="目录 61"/>
    <w:basedOn w:val="1"/>
    <w:next w:val="1"/>
    <w:unhideWhenUsed/>
    <w:qFormat/>
    <w:uiPriority w:val="39"/>
    <w:pPr>
      <w:ind w:left="2100"/>
    </w:pPr>
    <w:rPr>
      <w:rFonts w:ascii="等线" w:hAnsi="等线" w:eastAsia="等线"/>
      <w:szCs w:val="22"/>
    </w:rPr>
  </w:style>
  <w:style w:type="paragraph" w:customStyle="1" w:styleId="70">
    <w:name w:val="图表目录1"/>
    <w:basedOn w:val="1"/>
    <w:next w:val="1"/>
    <w:unhideWhenUsed/>
    <w:qFormat/>
    <w:uiPriority w:val="99"/>
    <w:pPr>
      <w:spacing w:after="0" w:afterAutospacing="0"/>
    </w:pPr>
  </w:style>
  <w:style w:type="paragraph" w:customStyle="1" w:styleId="71">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72">
    <w:name w:val="目录 91"/>
    <w:basedOn w:val="1"/>
    <w:next w:val="1"/>
    <w:unhideWhenUsed/>
    <w:qFormat/>
    <w:uiPriority w:val="39"/>
    <w:pPr>
      <w:ind w:left="3360"/>
    </w:pPr>
    <w:rPr>
      <w:rFonts w:ascii="等线" w:hAnsi="等线" w:eastAsia="等线"/>
      <w:szCs w:val="22"/>
    </w:rPr>
  </w:style>
  <w:style w:type="paragraph" w:customStyle="1" w:styleId="73">
    <w:name w:val="正文文本 21"/>
    <w:basedOn w:val="1"/>
    <w:link w:val="74"/>
    <w:qFormat/>
    <w:uiPriority w:val="0"/>
    <w:pPr>
      <w:spacing w:after="120" w:line="480" w:lineRule="auto"/>
    </w:pPr>
    <w:rPr>
      <w:rFonts w:ascii="Calibri" w:hAnsi="Calibri"/>
    </w:rPr>
  </w:style>
  <w:style w:type="character" w:customStyle="1" w:styleId="74">
    <w:name w:val="正文文本 2 字符"/>
    <w:link w:val="73"/>
    <w:qFormat/>
    <w:uiPriority w:val="0"/>
    <w:rPr>
      <w:rFonts w:ascii="Calibri" w:hAnsi="Calibri"/>
      <w:sz w:val="21"/>
      <w:szCs w:val="24"/>
    </w:rPr>
  </w:style>
  <w:style w:type="paragraph" w:customStyle="1" w:styleId="75">
    <w:name w:val="普通(网站)1"/>
    <w:basedOn w:val="1"/>
    <w:link w:val="76"/>
    <w:qFormat/>
    <w:uiPriority w:val="99"/>
    <w:pPr>
      <w:widowControl/>
      <w:shd w:val="clear" w:color="auto" w:fill="FFFFFF"/>
      <w:ind w:firstLine="425"/>
    </w:pPr>
    <w:rPr>
      <w:sz w:val="24"/>
    </w:rPr>
  </w:style>
  <w:style w:type="character" w:customStyle="1" w:styleId="76">
    <w:name w:val="普通(网站) 字符"/>
    <w:link w:val="75"/>
    <w:qFormat/>
    <w:uiPriority w:val="99"/>
    <w:rPr>
      <w:sz w:val="24"/>
      <w:szCs w:val="24"/>
      <w:shd w:val="clear" w:color="auto" w:fill="FFFFFF"/>
    </w:rPr>
  </w:style>
  <w:style w:type="paragraph" w:customStyle="1" w:styleId="77">
    <w:name w:val="标题1"/>
    <w:basedOn w:val="1"/>
    <w:next w:val="1"/>
    <w:link w:val="78"/>
    <w:qFormat/>
    <w:uiPriority w:val="0"/>
    <w:pPr>
      <w:spacing w:before="240" w:after="60"/>
      <w:jc w:val="center"/>
      <w:outlineLvl w:val="0"/>
    </w:pPr>
    <w:rPr>
      <w:rFonts w:ascii="等线 Light" w:hAnsi="等线 Light"/>
      <w:b/>
      <w:bCs/>
      <w:sz w:val="32"/>
      <w:szCs w:val="32"/>
    </w:rPr>
  </w:style>
  <w:style w:type="character" w:customStyle="1" w:styleId="78">
    <w:name w:val="标题 字符"/>
    <w:link w:val="77"/>
    <w:qFormat/>
    <w:uiPriority w:val="0"/>
    <w:rPr>
      <w:rFonts w:ascii="等线 Light" w:hAnsi="等线 Light" w:cs="Times New Roman"/>
      <w:b/>
      <w:bCs/>
      <w:sz w:val="32"/>
      <w:szCs w:val="32"/>
    </w:rPr>
  </w:style>
  <w:style w:type="paragraph" w:customStyle="1" w:styleId="79">
    <w:name w:val="批注主题1"/>
    <w:basedOn w:val="47"/>
    <w:next w:val="47"/>
    <w:link w:val="80"/>
    <w:qFormat/>
    <w:uiPriority w:val="0"/>
    <w:rPr>
      <w:b/>
      <w:bCs/>
    </w:rPr>
  </w:style>
  <w:style w:type="character" w:customStyle="1" w:styleId="80">
    <w:name w:val="批注主题 字符"/>
    <w:link w:val="79"/>
    <w:qFormat/>
    <w:uiPriority w:val="0"/>
    <w:rPr>
      <w:b/>
      <w:bCs/>
      <w:sz w:val="21"/>
      <w:szCs w:val="24"/>
    </w:rPr>
  </w:style>
  <w:style w:type="paragraph" w:customStyle="1" w:styleId="81">
    <w:name w:val="正文首行缩进1"/>
    <w:basedOn w:val="49"/>
    <w:qFormat/>
    <w:uiPriority w:val="0"/>
    <w:pPr>
      <w:ind w:firstLine="480"/>
      <w:jc w:val="left"/>
    </w:pPr>
    <w:rPr>
      <w:rFonts w:ascii="仿宋_GB2312" w:hAnsi="Times New Roman" w:eastAsia="仿宋_GB2312" w:cs="Times New Roman"/>
      <w:szCs w:val="20"/>
      <w:lang w:val="en-US" w:bidi="ar-SA"/>
    </w:rPr>
  </w:style>
  <w:style w:type="paragraph" w:customStyle="1" w:styleId="82">
    <w:name w:val="正文首行缩进 21"/>
    <w:basedOn w:val="1"/>
    <w:qFormat/>
    <w:uiPriority w:val="0"/>
    <w:pPr>
      <w:spacing w:line="360" w:lineRule="auto"/>
      <w:ind w:firstLine="420"/>
    </w:pPr>
    <w:rPr>
      <w:rFonts w:ascii="宋体" w:hAnsi="宋体"/>
      <w:szCs w:val="20"/>
    </w:rPr>
  </w:style>
  <w:style w:type="table" w:customStyle="1" w:styleId="83">
    <w:name w:val="网格型1"/>
    <w:basedOn w:val="40"/>
    <w:qFormat/>
    <w:uiPriority w:val="0"/>
  </w:style>
  <w:style w:type="character" w:customStyle="1" w:styleId="84">
    <w:name w:val="要点1"/>
    <w:link w:val="1"/>
    <w:qFormat/>
    <w:uiPriority w:val="0"/>
    <w:rPr>
      <w:b/>
      <w:bCs/>
    </w:rPr>
  </w:style>
  <w:style w:type="character" w:customStyle="1" w:styleId="85">
    <w:name w:val="尾注引用1"/>
    <w:basedOn w:val="39"/>
    <w:link w:val="1"/>
    <w:unhideWhenUsed/>
    <w:qFormat/>
    <w:uiPriority w:val="99"/>
    <w:rPr>
      <w:vertAlign w:val="superscript"/>
    </w:rPr>
  </w:style>
  <w:style w:type="character" w:customStyle="1" w:styleId="86">
    <w:name w:val="页码1"/>
    <w:link w:val="1"/>
    <w:qFormat/>
    <w:uiPriority w:val="0"/>
  </w:style>
  <w:style w:type="character" w:customStyle="1" w:styleId="87">
    <w:name w:val="强调1"/>
    <w:link w:val="1"/>
    <w:qFormat/>
    <w:uiPriority w:val="0"/>
    <w:rPr>
      <w:i/>
      <w:iCs/>
    </w:rPr>
  </w:style>
  <w:style w:type="character" w:customStyle="1" w:styleId="88">
    <w:name w:val="超链接1"/>
    <w:basedOn w:val="39"/>
    <w:link w:val="1"/>
    <w:qFormat/>
    <w:uiPriority w:val="99"/>
    <w:rPr>
      <w:color w:val="000000"/>
      <w:u w:val="none"/>
    </w:rPr>
  </w:style>
  <w:style w:type="character" w:customStyle="1" w:styleId="89">
    <w:name w:val="HTML 代码1"/>
    <w:basedOn w:val="39"/>
    <w:link w:val="1"/>
    <w:unhideWhenUsed/>
    <w:qFormat/>
    <w:uiPriority w:val="99"/>
    <w:rPr>
      <w:rFonts w:ascii="Courier New" w:hAnsi="Courier New"/>
      <w:sz w:val="20"/>
    </w:rPr>
  </w:style>
  <w:style w:type="character" w:customStyle="1" w:styleId="90">
    <w:name w:val="批注引用1"/>
    <w:link w:val="1"/>
    <w:qFormat/>
    <w:uiPriority w:val="0"/>
    <w:rPr>
      <w:sz w:val="21"/>
      <w:szCs w:val="21"/>
    </w:rPr>
  </w:style>
  <w:style w:type="character" w:customStyle="1" w:styleId="91">
    <w:name w:val="脚注引用1"/>
    <w:basedOn w:val="39"/>
    <w:link w:val="1"/>
    <w:unhideWhenUsed/>
    <w:qFormat/>
    <w:uiPriority w:val="99"/>
    <w:rPr>
      <w:vertAlign w:val="superscript"/>
    </w:rPr>
  </w:style>
  <w:style w:type="character" w:customStyle="1" w:styleId="92">
    <w:name w:val="标题 1 字符"/>
    <w:link w:val="2"/>
    <w:qFormat/>
    <w:uiPriority w:val="0"/>
    <w:rPr>
      <w:b/>
      <w:bCs/>
      <w:sz w:val="21"/>
      <w:szCs w:val="44"/>
    </w:rPr>
  </w:style>
  <w:style w:type="character" w:customStyle="1" w:styleId="93">
    <w:name w:val="标题 3 字符"/>
    <w:link w:val="4"/>
    <w:qFormat/>
    <w:uiPriority w:val="9"/>
    <w:rPr>
      <w:rFonts w:eastAsia="宋体"/>
      <w:b/>
      <w:bCs/>
      <w:sz w:val="32"/>
      <w:szCs w:val="32"/>
      <w:lang w:val="en-US" w:eastAsia="zh-CN" w:bidi="ar-SA"/>
    </w:rPr>
  </w:style>
  <w:style w:type="character" w:customStyle="1" w:styleId="94">
    <w:name w:val="标题 4 字符"/>
    <w:link w:val="5"/>
    <w:semiHidden/>
    <w:qFormat/>
    <w:uiPriority w:val="0"/>
    <w:rPr>
      <w:rFonts w:ascii="等线 Light" w:hAnsi="等线 Light" w:eastAsia="等线 Light" w:cs="Times New Roman"/>
      <w:b/>
      <w:bCs/>
      <w:sz w:val="28"/>
      <w:szCs w:val="28"/>
    </w:rPr>
  </w:style>
  <w:style w:type="character" w:customStyle="1" w:styleId="95">
    <w:name w:val="Heading 5 Char"/>
    <w:basedOn w:val="39"/>
    <w:link w:val="6"/>
    <w:qFormat/>
    <w:uiPriority w:val="9"/>
    <w:rPr>
      <w:rFonts w:ascii="Arial" w:hAnsi="Arial" w:eastAsia="Arial" w:cs="Arial"/>
      <w:b/>
      <w:bCs/>
      <w:sz w:val="24"/>
      <w:szCs w:val="24"/>
    </w:rPr>
  </w:style>
  <w:style w:type="character" w:customStyle="1" w:styleId="96">
    <w:name w:val="标题 6 字符"/>
    <w:link w:val="7"/>
    <w:qFormat/>
    <w:uiPriority w:val="0"/>
    <w:rPr>
      <w:rFonts w:ascii="等线 Light" w:hAnsi="等线 Light" w:eastAsia="等线 Light" w:cs="Times New Roman"/>
      <w:b/>
      <w:bCs/>
      <w:sz w:val="24"/>
      <w:szCs w:val="24"/>
    </w:rPr>
  </w:style>
  <w:style w:type="character" w:customStyle="1" w:styleId="97">
    <w:name w:val="Heading 7 Char"/>
    <w:basedOn w:val="39"/>
    <w:link w:val="8"/>
    <w:qFormat/>
    <w:uiPriority w:val="9"/>
    <w:rPr>
      <w:rFonts w:ascii="Arial" w:hAnsi="Arial" w:eastAsia="Arial" w:cs="Arial"/>
      <w:b/>
      <w:bCs/>
      <w:i/>
      <w:iCs/>
      <w:sz w:val="22"/>
      <w:szCs w:val="22"/>
    </w:rPr>
  </w:style>
  <w:style w:type="character" w:customStyle="1" w:styleId="98">
    <w:name w:val="标题 8 字符"/>
    <w:link w:val="9"/>
    <w:semiHidden/>
    <w:qFormat/>
    <w:uiPriority w:val="0"/>
    <w:rPr>
      <w:rFonts w:ascii="等线 Light" w:hAnsi="等线 Light" w:eastAsia="等线 Light" w:cs="Times New Roman"/>
      <w:sz w:val="24"/>
      <w:szCs w:val="24"/>
    </w:rPr>
  </w:style>
  <w:style w:type="character" w:customStyle="1" w:styleId="99">
    <w:name w:val="Heading 9 Char"/>
    <w:basedOn w:val="39"/>
    <w:link w:val="10"/>
    <w:qFormat/>
    <w:uiPriority w:val="9"/>
    <w:rPr>
      <w:rFonts w:ascii="Arial" w:hAnsi="Arial" w:eastAsia="Arial" w:cs="Arial"/>
      <w:i/>
      <w:iCs/>
      <w:sz w:val="21"/>
      <w:szCs w:val="21"/>
    </w:rPr>
  </w:style>
  <w:style w:type="paragraph" w:customStyle="1" w:styleId="100">
    <w:name w:val="Caption1"/>
    <w:basedOn w:val="1"/>
    <w:next w:val="1"/>
    <w:unhideWhenUsed/>
    <w:qFormat/>
    <w:uiPriority w:val="35"/>
    <w:pPr>
      <w:spacing w:line="276" w:lineRule="auto"/>
    </w:pPr>
    <w:rPr>
      <w:b/>
      <w:bCs/>
      <w:color w:val="4F81BD"/>
      <w:sz w:val="18"/>
      <w:szCs w:val="18"/>
    </w:rPr>
  </w:style>
  <w:style w:type="paragraph" w:customStyle="1" w:styleId="101">
    <w:name w:val="Footer1"/>
    <w:basedOn w:val="1"/>
    <w:link w:val="102"/>
    <w:qFormat/>
    <w:uiPriority w:val="0"/>
    <w:pPr>
      <w:tabs>
        <w:tab w:val="center" w:pos="4153"/>
        <w:tab w:val="right" w:pos="8306"/>
      </w:tabs>
      <w:jc w:val="left"/>
    </w:pPr>
    <w:rPr>
      <w:sz w:val="18"/>
      <w:szCs w:val="18"/>
    </w:rPr>
  </w:style>
  <w:style w:type="character" w:customStyle="1" w:styleId="102">
    <w:name w:val="页脚 字符"/>
    <w:link w:val="101"/>
    <w:qFormat/>
    <w:uiPriority w:val="99"/>
    <w:rPr>
      <w:sz w:val="18"/>
      <w:szCs w:val="18"/>
    </w:rPr>
  </w:style>
  <w:style w:type="paragraph" w:customStyle="1" w:styleId="103">
    <w:name w:val="Header1"/>
    <w:basedOn w:val="1"/>
    <w:link w:val="104"/>
    <w:qFormat/>
    <w:uiPriority w:val="99"/>
    <w:pPr>
      <w:pBdr>
        <w:bottom w:val="single" w:color="000000" w:sz="6" w:space="1"/>
      </w:pBdr>
      <w:tabs>
        <w:tab w:val="center" w:pos="4153"/>
        <w:tab w:val="right" w:pos="8306"/>
      </w:tabs>
      <w:jc w:val="center"/>
    </w:pPr>
    <w:rPr>
      <w:sz w:val="18"/>
      <w:szCs w:val="18"/>
    </w:rPr>
  </w:style>
  <w:style w:type="character" w:customStyle="1" w:styleId="104">
    <w:name w:val="页眉 字符"/>
    <w:link w:val="103"/>
    <w:qFormat/>
    <w:uiPriority w:val="99"/>
    <w:rPr>
      <w:sz w:val="18"/>
      <w:szCs w:val="18"/>
    </w:rPr>
  </w:style>
  <w:style w:type="character" w:customStyle="1" w:styleId="105">
    <w:name w:val="Heading 1 Char"/>
    <w:basedOn w:val="39"/>
    <w:link w:val="1"/>
    <w:qFormat/>
    <w:uiPriority w:val="9"/>
    <w:rPr>
      <w:rFonts w:ascii="Arial" w:hAnsi="Arial" w:eastAsia="Arial" w:cs="Arial"/>
      <w:sz w:val="40"/>
      <w:szCs w:val="40"/>
    </w:rPr>
  </w:style>
  <w:style w:type="character" w:customStyle="1" w:styleId="106">
    <w:name w:val="Heading 2 Char"/>
    <w:basedOn w:val="39"/>
    <w:link w:val="1"/>
    <w:qFormat/>
    <w:uiPriority w:val="9"/>
    <w:rPr>
      <w:rFonts w:ascii="Arial" w:hAnsi="Arial" w:eastAsia="Arial" w:cs="Arial"/>
      <w:sz w:val="34"/>
    </w:rPr>
  </w:style>
  <w:style w:type="character" w:customStyle="1" w:styleId="107">
    <w:name w:val="Heading 3 Char"/>
    <w:basedOn w:val="39"/>
    <w:link w:val="1"/>
    <w:qFormat/>
    <w:uiPriority w:val="9"/>
    <w:rPr>
      <w:rFonts w:ascii="Arial" w:hAnsi="Arial" w:eastAsia="Arial" w:cs="Arial"/>
      <w:sz w:val="30"/>
      <w:szCs w:val="30"/>
    </w:rPr>
  </w:style>
  <w:style w:type="character" w:customStyle="1" w:styleId="108">
    <w:name w:val="Heading 4 Char"/>
    <w:basedOn w:val="39"/>
    <w:link w:val="1"/>
    <w:qFormat/>
    <w:uiPriority w:val="9"/>
    <w:rPr>
      <w:rFonts w:ascii="Arial" w:hAnsi="Arial" w:eastAsia="Arial" w:cs="Arial"/>
      <w:b/>
      <w:bCs/>
      <w:sz w:val="26"/>
      <w:szCs w:val="26"/>
    </w:rPr>
  </w:style>
  <w:style w:type="character" w:customStyle="1" w:styleId="109">
    <w:name w:val="Heading 6 Char"/>
    <w:basedOn w:val="39"/>
    <w:link w:val="1"/>
    <w:qFormat/>
    <w:uiPriority w:val="9"/>
    <w:rPr>
      <w:rFonts w:ascii="Arial" w:hAnsi="Arial" w:eastAsia="Arial" w:cs="Arial"/>
      <w:b/>
      <w:bCs/>
      <w:sz w:val="22"/>
      <w:szCs w:val="22"/>
    </w:rPr>
  </w:style>
  <w:style w:type="character" w:customStyle="1" w:styleId="110">
    <w:name w:val="Heading 8 Char"/>
    <w:basedOn w:val="39"/>
    <w:link w:val="1"/>
    <w:qFormat/>
    <w:uiPriority w:val="9"/>
    <w:rPr>
      <w:rFonts w:ascii="Arial" w:hAnsi="Arial" w:eastAsia="Arial" w:cs="Arial"/>
      <w:i/>
      <w:iCs/>
      <w:sz w:val="22"/>
      <w:szCs w:val="22"/>
    </w:rPr>
  </w:style>
  <w:style w:type="character" w:customStyle="1" w:styleId="111">
    <w:name w:val="Title Char"/>
    <w:basedOn w:val="39"/>
    <w:link w:val="1"/>
    <w:qFormat/>
    <w:uiPriority w:val="10"/>
    <w:rPr>
      <w:sz w:val="48"/>
      <w:szCs w:val="48"/>
    </w:rPr>
  </w:style>
  <w:style w:type="paragraph" w:styleId="112">
    <w:name w:val="Quote"/>
    <w:basedOn w:val="1"/>
    <w:next w:val="1"/>
    <w:link w:val="113"/>
    <w:qFormat/>
    <w:uiPriority w:val="29"/>
    <w:pPr>
      <w:ind w:left="720" w:right="720"/>
    </w:pPr>
    <w:rPr>
      <w:i/>
    </w:rPr>
  </w:style>
  <w:style w:type="character" w:customStyle="1" w:styleId="113">
    <w:name w:val="Quote Char"/>
    <w:link w:val="112"/>
    <w:qFormat/>
    <w:uiPriority w:val="29"/>
    <w:rPr>
      <w:i/>
    </w:rPr>
  </w:style>
  <w:style w:type="paragraph" w:styleId="114">
    <w:name w:val="Intense Quote"/>
    <w:basedOn w:val="1"/>
    <w:next w:val="1"/>
    <w:link w:val="11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5">
    <w:name w:val="Intense Quote Char"/>
    <w:link w:val="114"/>
    <w:qFormat/>
    <w:uiPriority w:val="30"/>
    <w:rPr>
      <w:i/>
    </w:rPr>
  </w:style>
  <w:style w:type="character" w:customStyle="1" w:styleId="116">
    <w:name w:val="Header Char"/>
    <w:basedOn w:val="39"/>
    <w:link w:val="1"/>
    <w:qFormat/>
    <w:uiPriority w:val="99"/>
  </w:style>
  <w:style w:type="character" w:customStyle="1" w:styleId="117">
    <w:name w:val="Footer Char"/>
    <w:basedOn w:val="39"/>
    <w:link w:val="1"/>
    <w:qFormat/>
    <w:uiPriority w:val="99"/>
  </w:style>
  <w:style w:type="character" w:customStyle="1" w:styleId="118">
    <w:name w:val="Caption Char"/>
    <w:link w:val="1"/>
    <w:qFormat/>
    <w:uiPriority w:val="99"/>
  </w:style>
  <w:style w:type="table" w:customStyle="1" w:styleId="119">
    <w:name w:val="Table Grid Light"/>
    <w:basedOn w:val="40"/>
    <w:qFormat/>
    <w:uiPriority w:val="59"/>
    <w:pPr>
      <w:spacing w:after="0" w:line="240" w:lineRule="auto"/>
    </w:pPr>
  </w:style>
  <w:style w:type="table" w:customStyle="1" w:styleId="120">
    <w:name w:val="Plain Table 1"/>
    <w:basedOn w:val="40"/>
    <w:qFormat/>
    <w:uiPriority w:val="59"/>
    <w:pPr>
      <w:spacing w:after="0" w:line="240" w:lineRule="auto"/>
    </w:pPr>
  </w:style>
  <w:style w:type="table" w:customStyle="1" w:styleId="121">
    <w:name w:val="Plain Table 2"/>
    <w:basedOn w:val="40"/>
    <w:qFormat/>
    <w:uiPriority w:val="59"/>
    <w:pPr>
      <w:spacing w:after="0" w:line="240" w:lineRule="auto"/>
    </w:pPr>
  </w:style>
  <w:style w:type="table" w:customStyle="1" w:styleId="122">
    <w:name w:val="Plain Table 3"/>
    <w:basedOn w:val="40"/>
    <w:qFormat/>
    <w:uiPriority w:val="99"/>
    <w:pPr>
      <w:spacing w:after="0" w:line="240" w:lineRule="auto"/>
    </w:pPr>
  </w:style>
  <w:style w:type="table" w:customStyle="1" w:styleId="123">
    <w:name w:val="Plain Table 4"/>
    <w:basedOn w:val="40"/>
    <w:qFormat/>
    <w:uiPriority w:val="99"/>
    <w:pPr>
      <w:spacing w:after="0" w:line="240" w:lineRule="auto"/>
    </w:pPr>
  </w:style>
  <w:style w:type="table" w:customStyle="1" w:styleId="124">
    <w:name w:val="Plain Table 5"/>
    <w:basedOn w:val="40"/>
    <w:qFormat/>
    <w:uiPriority w:val="99"/>
    <w:pPr>
      <w:spacing w:after="0" w:line="240" w:lineRule="auto"/>
    </w:pPr>
  </w:style>
  <w:style w:type="table" w:customStyle="1" w:styleId="125">
    <w:name w:val="Grid Table 1 Light"/>
    <w:basedOn w:val="40"/>
    <w:qFormat/>
    <w:uiPriority w:val="99"/>
    <w:pPr>
      <w:spacing w:after="0" w:line="240" w:lineRule="auto"/>
    </w:pPr>
  </w:style>
  <w:style w:type="table" w:customStyle="1" w:styleId="126">
    <w:name w:val="Grid Table 1 Light - Accent 1"/>
    <w:basedOn w:val="40"/>
    <w:qFormat/>
    <w:uiPriority w:val="99"/>
    <w:pPr>
      <w:spacing w:after="0" w:line="240" w:lineRule="auto"/>
    </w:pPr>
  </w:style>
  <w:style w:type="table" w:customStyle="1" w:styleId="127">
    <w:name w:val="Grid Table 1 Light - Accent 2"/>
    <w:basedOn w:val="40"/>
    <w:qFormat/>
    <w:uiPriority w:val="99"/>
    <w:pPr>
      <w:spacing w:after="0" w:line="240" w:lineRule="auto"/>
    </w:pPr>
  </w:style>
  <w:style w:type="table" w:customStyle="1" w:styleId="128">
    <w:name w:val="Grid Table 1 Light - Accent 3"/>
    <w:basedOn w:val="40"/>
    <w:qFormat/>
    <w:uiPriority w:val="99"/>
    <w:pPr>
      <w:spacing w:after="0" w:line="240" w:lineRule="auto"/>
    </w:pPr>
  </w:style>
  <w:style w:type="table" w:customStyle="1" w:styleId="129">
    <w:name w:val="Grid Table 1 Light - Accent 4"/>
    <w:basedOn w:val="40"/>
    <w:qFormat/>
    <w:uiPriority w:val="99"/>
    <w:pPr>
      <w:spacing w:after="0" w:line="240" w:lineRule="auto"/>
    </w:pPr>
  </w:style>
  <w:style w:type="table" w:customStyle="1" w:styleId="130">
    <w:name w:val="Grid Table 1 Light - Accent 5"/>
    <w:basedOn w:val="40"/>
    <w:qFormat/>
    <w:uiPriority w:val="99"/>
    <w:pPr>
      <w:spacing w:after="0" w:line="240" w:lineRule="auto"/>
    </w:pPr>
  </w:style>
  <w:style w:type="table" w:customStyle="1" w:styleId="131">
    <w:name w:val="Grid Table 1 Light - Accent 6"/>
    <w:basedOn w:val="40"/>
    <w:qFormat/>
    <w:uiPriority w:val="99"/>
    <w:pPr>
      <w:spacing w:after="0" w:line="240" w:lineRule="auto"/>
    </w:pPr>
  </w:style>
  <w:style w:type="table" w:customStyle="1" w:styleId="132">
    <w:name w:val="Grid Table 2"/>
    <w:basedOn w:val="40"/>
    <w:qFormat/>
    <w:uiPriority w:val="99"/>
    <w:pPr>
      <w:spacing w:after="0" w:line="240" w:lineRule="auto"/>
    </w:pPr>
  </w:style>
  <w:style w:type="table" w:customStyle="1" w:styleId="133">
    <w:name w:val="Grid Table 2 - Accent 1"/>
    <w:basedOn w:val="40"/>
    <w:qFormat/>
    <w:uiPriority w:val="99"/>
    <w:pPr>
      <w:spacing w:after="0" w:line="240" w:lineRule="auto"/>
    </w:pPr>
  </w:style>
  <w:style w:type="table" w:customStyle="1" w:styleId="134">
    <w:name w:val="Grid Table 2 - Accent 2"/>
    <w:basedOn w:val="40"/>
    <w:qFormat/>
    <w:uiPriority w:val="99"/>
    <w:pPr>
      <w:spacing w:after="0" w:line="240" w:lineRule="auto"/>
    </w:pPr>
  </w:style>
  <w:style w:type="table" w:customStyle="1" w:styleId="135">
    <w:name w:val="Grid Table 2 - Accent 3"/>
    <w:basedOn w:val="40"/>
    <w:qFormat/>
    <w:uiPriority w:val="99"/>
    <w:pPr>
      <w:spacing w:after="0" w:line="240" w:lineRule="auto"/>
    </w:pPr>
  </w:style>
  <w:style w:type="table" w:customStyle="1" w:styleId="136">
    <w:name w:val="Grid Table 2 - Accent 4"/>
    <w:basedOn w:val="40"/>
    <w:qFormat/>
    <w:uiPriority w:val="99"/>
    <w:pPr>
      <w:spacing w:after="0" w:line="240" w:lineRule="auto"/>
    </w:pPr>
  </w:style>
  <w:style w:type="table" w:customStyle="1" w:styleId="137">
    <w:name w:val="Grid Table 2 - Accent 5"/>
    <w:basedOn w:val="40"/>
    <w:qFormat/>
    <w:uiPriority w:val="99"/>
    <w:pPr>
      <w:spacing w:after="0" w:line="240" w:lineRule="auto"/>
    </w:pPr>
  </w:style>
  <w:style w:type="table" w:customStyle="1" w:styleId="138">
    <w:name w:val="Grid Table 2 - Accent 6"/>
    <w:basedOn w:val="40"/>
    <w:qFormat/>
    <w:uiPriority w:val="99"/>
    <w:pPr>
      <w:spacing w:after="0" w:line="240" w:lineRule="auto"/>
    </w:pPr>
  </w:style>
  <w:style w:type="table" w:customStyle="1" w:styleId="139">
    <w:name w:val="Grid Table 3"/>
    <w:basedOn w:val="40"/>
    <w:qFormat/>
    <w:uiPriority w:val="99"/>
    <w:pPr>
      <w:spacing w:after="0" w:line="240" w:lineRule="auto"/>
    </w:pPr>
  </w:style>
  <w:style w:type="table" w:customStyle="1" w:styleId="140">
    <w:name w:val="Grid Table 3 - Accent 1"/>
    <w:basedOn w:val="40"/>
    <w:qFormat/>
    <w:uiPriority w:val="99"/>
    <w:pPr>
      <w:spacing w:after="0" w:line="240" w:lineRule="auto"/>
    </w:pPr>
  </w:style>
  <w:style w:type="table" w:customStyle="1" w:styleId="141">
    <w:name w:val="Grid Table 3 - Accent 2"/>
    <w:basedOn w:val="40"/>
    <w:qFormat/>
    <w:uiPriority w:val="99"/>
    <w:pPr>
      <w:spacing w:after="0" w:line="240" w:lineRule="auto"/>
    </w:pPr>
  </w:style>
  <w:style w:type="table" w:customStyle="1" w:styleId="142">
    <w:name w:val="Grid Table 3 - Accent 3"/>
    <w:basedOn w:val="40"/>
    <w:qFormat/>
    <w:uiPriority w:val="99"/>
    <w:pPr>
      <w:spacing w:after="0" w:line="240" w:lineRule="auto"/>
    </w:pPr>
  </w:style>
  <w:style w:type="table" w:customStyle="1" w:styleId="143">
    <w:name w:val="Grid Table 3 - Accent 4"/>
    <w:basedOn w:val="40"/>
    <w:qFormat/>
    <w:uiPriority w:val="99"/>
    <w:pPr>
      <w:spacing w:after="0" w:line="240" w:lineRule="auto"/>
    </w:pPr>
  </w:style>
  <w:style w:type="table" w:customStyle="1" w:styleId="144">
    <w:name w:val="Grid Table 3 - Accent 5"/>
    <w:basedOn w:val="40"/>
    <w:qFormat/>
    <w:uiPriority w:val="99"/>
    <w:pPr>
      <w:spacing w:after="0" w:line="240" w:lineRule="auto"/>
    </w:pPr>
  </w:style>
  <w:style w:type="table" w:customStyle="1" w:styleId="145">
    <w:name w:val="Grid Table 3 - Accent 6"/>
    <w:basedOn w:val="40"/>
    <w:qFormat/>
    <w:uiPriority w:val="99"/>
    <w:pPr>
      <w:spacing w:after="0" w:line="240" w:lineRule="auto"/>
    </w:pPr>
  </w:style>
  <w:style w:type="table" w:customStyle="1" w:styleId="146">
    <w:name w:val="Grid Table 4"/>
    <w:basedOn w:val="40"/>
    <w:qFormat/>
    <w:uiPriority w:val="59"/>
    <w:pPr>
      <w:spacing w:after="0" w:line="240" w:lineRule="auto"/>
    </w:pPr>
  </w:style>
  <w:style w:type="table" w:customStyle="1" w:styleId="147">
    <w:name w:val="Grid Table 4 - Accent 1"/>
    <w:basedOn w:val="40"/>
    <w:qFormat/>
    <w:uiPriority w:val="59"/>
    <w:pPr>
      <w:spacing w:after="0" w:line="240" w:lineRule="auto"/>
    </w:pPr>
  </w:style>
  <w:style w:type="table" w:customStyle="1" w:styleId="148">
    <w:name w:val="Grid Table 4 - Accent 2"/>
    <w:basedOn w:val="40"/>
    <w:qFormat/>
    <w:uiPriority w:val="59"/>
    <w:pPr>
      <w:spacing w:after="0" w:line="240" w:lineRule="auto"/>
    </w:pPr>
  </w:style>
  <w:style w:type="table" w:customStyle="1" w:styleId="149">
    <w:name w:val="Grid Table 4 - Accent 3"/>
    <w:basedOn w:val="40"/>
    <w:qFormat/>
    <w:uiPriority w:val="59"/>
    <w:pPr>
      <w:spacing w:after="0" w:line="240" w:lineRule="auto"/>
    </w:pPr>
  </w:style>
  <w:style w:type="table" w:customStyle="1" w:styleId="150">
    <w:name w:val="Grid Table 4 - Accent 4"/>
    <w:basedOn w:val="40"/>
    <w:qFormat/>
    <w:uiPriority w:val="59"/>
    <w:pPr>
      <w:spacing w:after="0" w:line="240" w:lineRule="auto"/>
    </w:pPr>
  </w:style>
  <w:style w:type="table" w:customStyle="1" w:styleId="151">
    <w:name w:val="Grid Table 4 - Accent 5"/>
    <w:basedOn w:val="40"/>
    <w:qFormat/>
    <w:uiPriority w:val="59"/>
    <w:pPr>
      <w:spacing w:after="0" w:line="240" w:lineRule="auto"/>
    </w:pPr>
  </w:style>
  <w:style w:type="table" w:customStyle="1" w:styleId="152">
    <w:name w:val="Grid Table 4 - Accent 6"/>
    <w:basedOn w:val="40"/>
    <w:qFormat/>
    <w:uiPriority w:val="59"/>
    <w:pPr>
      <w:spacing w:after="0" w:line="240" w:lineRule="auto"/>
    </w:pPr>
  </w:style>
  <w:style w:type="table" w:customStyle="1" w:styleId="153">
    <w:name w:val="Grid Table 5 Dark"/>
    <w:basedOn w:val="40"/>
    <w:qFormat/>
    <w:uiPriority w:val="99"/>
    <w:pPr>
      <w:spacing w:after="0" w:line="240" w:lineRule="auto"/>
    </w:pPr>
  </w:style>
  <w:style w:type="table" w:customStyle="1" w:styleId="154">
    <w:name w:val="Grid Table 5 Dark- Accent 1"/>
    <w:basedOn w:val="40"/>
    <w:qFormat/>
    <w:uiPriority w:val="99"/>
    <w:pPr>
      <w:spacing w:after="0" w:line="240" w:lineRule="auto"/>
    </w:pPr>
  </w:style>
  <w:style w:type="table" w:customStyle="1" w:styleId="155">
    <w:name w:val="Grid Table 5 Dark - Accent 2"/>
    <w:basedOn w:val="40"/>
    <w:qFormat/>
    <w:uiPriority w:val="99"/>
    <w:pPr>
      <w:spacing w:after="0" w:line="240" w:lineRule="auto"/>
    </w:pPr>
  </w:style>
  <w:style w:type="table" w:customStyle="1" w:styleId="156">
    <w:name w:val="Grid Table 5 Dark - Accent 3"/>
    <w:basedOn w:val="40"/>
    <w:uiPriority w:val="99"/>
    <w:pPr>
      <w:spacing w:after="0" w:line="240" w:lineRule="auto"/>
    </w:pPr>
  </w:style>
  <w:style w:type="table" w:customStyle="1" w:styleId="157">
    <w:name w:val="Grid Table 5 Dark- Accent 4"/>
    <w:basedOn w:val="40"/>
    <w:qFormat/>
    <w:uiPriority w:val="99"/>
    <w:pPr>
      <w:spacing w:after="0" w:line="240" w:lineRule="auto"/>
    </w:pPr>
  </w:style>
  <w:style w:type="table" w:customStyle="1" w:styleId="158">
    <w:name w:val="Grid Table 5 Dark - Accent 5"/>
    <w:basedOn w:val="40"/>
    <w:qFormat/>
    <w:uiPriority w:val="99"/>
    <w:pPr>
      <w:spacing w:after="0" w:line="240" w:lineRule="auto"/>
    </w:pPr>
  </w:style>
  <w:style w:type="table" w:customStyle="1" w:styleId="159">
    <w:name w:val="Grid Table 5 Dark - Accent 6"/>
    <w:basedOn w:val="40"/>
    <w:qFormat/>
    <w:uiPriority w:val="99"/>
    <w:pPr>
      <w:spacing w:after="0" w:line="240" w:lineRule="auto"/>
    </w:pPr>
  </w:style>
  <w:style w:type="table" w:customStyle="1" w:styleId="160">
    <w:name w:val="Grid Table 6 Colorful"/>
    <w:basedOn w:val="40"/>
    <w:qFormat/>
    <w:uiPriority w:val="99"/>
    <w:pPr>
      <w:spacing w:after="0" w:line="240" w:lineRule="auto"/>
    </w:pPr>
  </w:style>
  <w:style w:type="table" w:customStyle="1" w:styleId="161">
    <w:name w:val="Grid Table 6 Colorful - Accent 1"/>
    <w:basedOn w:val="40"/>
    <w:qFormat/>
    <w:uiPriority w:val="99"/>
    <w:pPr>
      <w:spacing w:after="0" w:line="240" w:lineRule="auto"/>
    </w:pPr>
  </w:style>
  <w:style w:type="table" w:customStyle="1" w:styleId="162">
    <w:name w:val="Grid Table 6 Colorful - Accent 2"/>
    <w:basedOn w:val="40"/>
    <w:qFormat/>
    <w:uiPriority w:val="99"/>
    <w:pPr>
      <w:spacing w:after="0" w:line="240" w:lineRule="auto"/>
    </w:pPr>
  </w:style>
  <w:style w:type="table" w:customStyle="1" w:styleId="163">
    <w:name w:val="Grid Table 6 Colorful - Accent 3"/>
    <w:basedOn w:val="40"/>
    <w:qFormat/>
    <w:uiPriority w:val="99"/>
    <w:pPr>
      <w:spacing w:after="0" w:line="240" w:lineRule="auto"/>
    </w:pPr>
  </w:style>
  <w:style w:type="table" w:customStyle="1" w:styleId="164">
    <w:name w:val="Grid Table 6 Colorful - Accent 4"/>
    <w:basedOn w:val="40"/>
    <w:qFormat/>
    <w:uiPriority w:val="99"/>
    <w:pPr>
      <w:spacing w:after="0" w:line="240" w:lineRule="auto"/>
    </w:pPr>
  </w:style>
  <w:style w:type="table" w:customStyle="1" w:styleId="165">
    <w:name w:val="Grid Table 6 Colorful - Accent 5"/>
    <w:basedOn w:val="40"/>
    <w:qFormat/>
    <w:uiPriority w:val="99"/>
    <w:pPr>
      <w:spacing w:after="0" w:line="240" w:lineRule="auto"/>
    </w:pPr>
  </w:style>
  <w:style w:type="table" w:customStyle="1" w:styleId="166">
    <w:name w:val="Grid Table 6 Colorful - Accent 6"/>
    <w:basedOn w:val="40"/>
    <w:qFormat/>
    <w:uiPriority w:val="99"/>
    <w:pPr>
      <w:spacing w:after="0" w:line="240" w:lineRule="auto"/>
    </w:pPr>
  </w:style>
  <w:style w:type="table" w:customStyle="1" w:styleId="167">
    <w:name w:val="Grid Table 7 Colorful"/>
    <w:basedOn w:val="40"/>
    <w:uiPriority w:val="99"/>
    <w:pPr>
      <w:spacing w:after="0" w:line="240" w:lineRule="auto"/>
    </w:pPr>
  </w:style>
  <w:style w:type="table" w:customStyle="1" w:styleId="168">
    <w:name w:val="Grid Table 7 Colorful - Accent 1"/>
    <w:basedOn w:val="40"/>
    <w:qFormat/>
    <w:uiPriority w:val="99"/>
    <w:pPr>
      <w:spacing w:after="0" w:line="240" w:lineRule="auto"/>
    </w:pPr>
  </w:style>
  <w:style w:type="table" w:customStyle="1" w:styleId="169">
    <w:name w:val="Grid Table 7 Colorful - Accent 2"/>
    <w:basedOn w:val="40"/>
    <w:qFormat/>
    <w:uiPriority w:val="99"/>
    <w:pPr>
      <w:spacing w:after="0" w:line="240" w:lineRule="auto"/>
    </w:pPr>
  </w:style>
  <w:style w:type="table" w:customStyle="1" w:styleId="170">
    <w:name w:val="Grid Table 7 Colorful - Accent 3"/>
    <w:basedOn w:val="40"/>
    <w:qFormat/>
    <w:uiPriority w:val="99"/>
    <w:pPr>
      <w:spacing w:after="0" w:line="240" w:lineRule="auto"/>
    </w:pPr>
  </w:style>
  <w:style w:type="table" w:customStyle="1" w:styleId="171">
    <w:name w:val="Grid Table 7 Colorful - Accent 4"/>
    <w:basedOn w:val="40"/>
    <w:qFormat/>
    <w:uiPriority w:val="99"/>
    <w:pPr>
      <w:spacing w:after="0" w:line="240" w:lineRule="auto"/>
    </w:pPr>
  </w:style>
  <w:style w:type="table" w:customStyle="1" w:styleId="172">
    <w:name w:val="Grid Table 7 Colorful - Accent 5"/>
    <w:basedOn w:val="40"/>
    <w:qFormat/>
    <w:uiPriority w:val="99"/>
    <w:pPr>
      <w:spacing w:after="0" w:line="240" w:lineRule="auto"/>
    </w:pPr>
  </w:style>
  <w:style w:type="table" w:customStyle="1" w:styleId="173">
    <w:name w:val="Grid Table 7 Colorful - Accent 6"/>
    <w:basedOn w:val="40"/>
    <w:qFormat/>
    <w:uiPriority w:val="99"/>
    <w:pPr>
      <w:spacing w:after="0" w:line="240" w:lineRule="auto"/>
    </w:pPr>
  </w:style>
  <w:style w:type="table" w:customStyle="1" w:styleId="174">
    <w:name w:val="List Table 1 Light"/>
    <w:basedOn w:val="40"/>
    <w:qFormat/>
    <w:uiPriority w:val="99"/>
    <w:pPr>
      <w:spacing w:after="0" w:line="240" w:lineRule="auto"/>
    </w:pPr>
  </w:style>
  <w:style w:type="table" w:customStyle="1" w:styleId="175">
    <w:name w:val="List Table 1 Light - Accent 1"/>
    <w:basedOn w:val="40"/>
    <w:uiPriority w:val="99"/>
    <w:pPr>
      <w:spacing w:after="0" w:line="240" w:lineRule="auto"/>
    </w:pPr>
  </w:style>
  <w:style w:type="table" w:customStyle="1" w:styleId="176">
    <w:name w:val="List Table 1 Light - Accent 2"/>
    <w:basedOn w:val="40"/>
    <w:qFormat/>
    <w:uiPriority w:val="99"/>
    <w:pPr>
      <w:spacing w:after="0" w:line="240" w:lineRule="auto"/>
    </w:pPr>
  </w:style>
  <w:style w:type="table" w:customStyle="1" w:styleId="177">
    <w:name w:val="List Table 1 Light - Accent 3"/>
    <w:basedOn w:val="40"/>
    <w:qFormat/>
    <w:uiPriority w:val="99"/>
    <w:pPr>
      <w:spacing w:after="0" w:line="240" w:lineRule="auto"/>
    </w:pPr>
  </w:style>
  <w:style w:type="table" w:customStyle="1" w:styleId="178">
    <w:name w:val="List Table 1 Light - Accent 4"/>
    <w:basedOn w:val="40"/>
    <w:qFormat/>
    <w:uiPriority w:val="99"/>
    <w:pPr>
      <w:spacing w:after="0" w:line="240" w:lineRule="auto"/>
    </w:pPr>
  </w:style>
  <w:style w:type="table" w:customStyle="1" w:styleId="179">
    <w:name w:val="List Table 1 Light - Accent 5"/>
    <w:basedOn w:val="40"/>
    <w:qFormat/>
    <w:uiPriority w:val="99"/>
    <w:pPr>
      <w:spacing w:after="0" w:line="240" w:lineRule="auto"/>
    </w:pPr>
  </w:style>
  <w:style w:type="table" w:customStyle="1" w:styleId="180">
    <w:name w:val="List Table 1 Light - Accent 6"/>
    <w:basedOn w:val="40"/>
    <w:qFormat/>
    <w:uiPriority w:val="99"/>
    <w:pPr>
      <w:spacing w:after="0" w:line="240" w:lineRule="auto"/>
    </w:pPr>
  </w:style>
  <w:style w:type="table" w:customStyle="1" w:styleId="181">
    <w:name w:val="List Table 2"/>
    <w:basedOn w:val="40"/>
    <w:uiPriority w:val="99"/>
    <w:pPr>
      <w:spacing w:after="0" w:line="240" w:lineRule="auto"/>
    </w:pPr>
  </w:style>
  <w:style w:type="table" w:customStyle="1" w:styleId="182">
    <w:name w:val="List Table 2 - Accent 1"/>
    <w:basedOn w:val="40"/>
    <w:qFormat/>
    <w:uiPriority w:val="99"/>
    <w:pPr>
      <w:spacing w:after="0" w:line="240" w:lineRule="auto"/>
    </w:pPr>
  </w:style>
  <w:style w:type="table" w:customStyle="1" w:styleId="183">
    <w:name w:val="List Table 2 - Accent 2"/>
    <w:basedOn w:val="40"/>
    <w:uiPriority w:val="99"/>
    <w:pPr>
      <w:spacing w:after="0" w:line="240" w:lineRule="auto"/>
    </w:pPr>
  </w:style>
  <w:style w:type="table" w:customStyle="1" w:styleId="184">
    <w:name w:val="List Table 2 - Accent 3"/>
    <w:basedOn w:val="40"/>
    <w:uiPriority w:val="99"/>
    <w:pPr>
      <w:spacing w:after="0" w:line="240" w:lineRule="auto"/>
    </w:pPr>
  </w:style>
  <w:style w:type="table" w:customStyle="1" w:styleId="185">
    <w:name w:val="List Table 2 - Accent 4"/>
    <w:basedOn w:val="40"/>
    <w:qFormat/>
    <w:uiPriority w:val="99"/>
    <w:pPr>
      <w:spacing w:after="0" w:line="240" w:lineRule="auto"/>
    </w:pPr>
  </w:style>
  <w:style w:type="table" w:customStyle="1" w:styleId="186">
    <w:name w:val="List Table 2 - Accent 5"/>
    <w:basedOn w:val="40"/>
    <w:qFormat/>
    <w:uiPriority w:val="99"/>
    <w:pPr>
      <w:spacing w:after="0" w:line="240" w:lineRule="auto"/>
    </w:pPr>
  </w:style>
  <w:style w:type="table" w:customStyle="1" w:styleId="187">
    <w:name w:val="List Table 2 - Accent 6"/>
    <w:basedOn w:val="40"/>
    <w:uiPriority w:val="99"/>
    <w:pPr>
      <w:spacing w:after="0" w:line="240" w:lineRule="auto"/>
    </w:pPr>
  </w:style>
  <w:style w:type="table" w:customStyle="1" w:styleId="188">
    <w:name w:val="List Table 3"/>
    <w:basedOn w:val="40"/>
    <w:uiPriority w:val="99"/>
    <w:pPr>
      <w:spacing w:after="0" w:line="240" w:lineRule="auto"/>
    </w:pPr>
  </w:style>
  <w:style w:type="table" w:customStyle="1" w:styleId="189">
    <w:name w:val="List Table 3 - Accent 1"/>
    <w:basedOn w:val="40"/>
    <w:uiPriority w:val="99"/>
    <w:pPr>
      <w:spacing w:after="0" w:line="240" w:lineRule="auto"/>
    </w:pPr>
  </w:style>
  <w:style w:type="table" w:customStyle="1" w:styleId="190">
    <w:name w:val="List Table 3 - Accent 2"/>
    <w:basedOn w:val="40"/>
    <w:uiPriority w:val="99"/>
    <w:pPr>
      <w:spacing w:after="0" w:line="240" w:lineRule="auto"/>
    </w:pPr>
  </w:style>
  <w:style w:type="table" w:customStyle="1" w:styleId="191">
    <w:name w:val="List Table 3 - Accent 3"/>
    <w:basedOn w:val="40"/>
    <w:qFormat/>
    <w:uiPriority w:val="99"/>
    <w:pPr>
      <w:spacing w:after="0" w:line="240" w:lineRule="auto"/>
    </w:pPr>
  </w:style>
  <w:style w:type="table" w:customStyle="1" w:styleId="192">
    <w:name w:val="List Table 3 - Accent 4"/>
    <w:basedOn w:val="40"/>
    <w:uiPriority w:val="99"/>
    <w:pPr>
      <w:spacing w:after="0" w:line="240" w:lineRule="auto"/>
    </w:pPr>
  </w:style>
  <w:style w:type="table" w:customStyle="1" w:styleId="193">
    <w:name w:val="List Table 3 - Accent 5"/>
    <w:basedOn w:val="40"/>
    <w:uiPriority w:val="99"/>
    <w:pPr>
      <w:spacing w:after="0" w:line="240" w:lineRule="auto"/>
    </w:pPr>
  </w:style>
  <w:style w:type="table" w:customStyle="1" w:styleId="194">
    <w:name w:val="List Table 3 - Accent 6"/>
    <w:basedOn w:val="40"/>
    <w:qFormat/>
    <w:uiPriority w:val="99"/>
    <w:pPr>
      <w:spacing w:after="0" w:line="240" w:lineRule="auto"/>
    </w:pPr>
  </w:style>
  <w:style w:type="table" w:customStyle="1" w:styleId="195">
    <w:name w:val="List Table 4"/>
    <w:basedOn w:val="40"/>
    <w:qFormat/>
    <w:uiPriority w:val="99"/>
    <w:pPr>
      <w:spacing w:after="0" w:line="240" w:lineRule="auto"/>
    </w:pPr>
  </w:style>
  <w:style w:type="table" w:customStyle="1" w:styleId="196">
    <w:name w:val="List Table 4 - Accent 1"/>
    <w:basedOn w:val="40"/>
    <w:qFormat/>
    <w:uiPriority w:val="99"/>
    <w:pPr>
      <w:spacing w:after="0" w:line="240" w:lineRule="auto"/>
    </w:pPr>
  </w:style>
  <w:style w:type="table" w:customStyle="1" w:styleId="197">
    <w:name w:val="List Table 4 - Accent 2"/>
    <w:basedOn w:val="40"/>
    <w:qFormat/>
    <w:uiPriority w:val="99"/>
    <w:pPr>
      <w:spacing w:after="0" w:line="240" w:lineRule="auto"/>
    </w:pPr>
  </w:style>
  <w:style w:type="table" w:customStyle="1" w:styleId="198">
    <w:name w:val="List Table 4 - Accent 3"/>
    <w:basedOn w:val="40"/>
    <w:qFormat/>
    <w:uiPriority w:val="99"/>
    <w:pPr>
      <w:spacing w:after="0" w:line="240" w:lineRule="auto"/>
    </w:pPr>
  </w:style>
  <w:style w:type="table" w:customStyle="1" w:styleId="199">
    <w:name w:val="List Table 4 - Accent 4"/>
    <w:basedOn w:val="40"/>
    <w:uiPriority w:val="99"/>
    <w:pPr>
      <w:spacing w:after="0" w:line="240" w:lineRule="auto"/>
    </w:pPr>
  </w:style>
  <w:style w:type="table" w:customStyle="1" w:styleId="200">
    <w:name w:val="List Table 4 - Accent 5"/>
    <w:basedOn w:val="40"/>
    <w:qFormat/>
    <w:uiPriority w:val="99"/>
    <w:pPr>
      <w:spacing w:after="0" w:line="240" w:lineRule="auto"/>
    </w:pPr>
  </w:style>
  <w:style w:type="table" w:customStyle="1" w:styleId="201">
    <w:name w:val="List Table 4 - Accent 6"/>
    <w:basedOn w:val="40"/>
    <w:uiPriority w:val="99"/>
    <w:pPr>
      <w:spacing w:after="0" w:line="240" w:lineRule="auto"/>
    </w:pPr>
  </w:style>
  <w:style w:type="table" w:customStyle="1" w:styleId="202">
    <w:name w:val="List Table 5 Dark"/>
    <w:basedOn w:val="40"/>
    <w:qFormat/>
    <w:uiPriority w:val="99"/>
    <w:pPr>
      <w:spacing w:after="0" w:line="240" w:lineRule="auto"/>
    </w:pPr>
  </w:style>
  <w:style w:type="table" w:customStyle="1" w:styleId="203">
    <w:name w:val="List Table 5 Dark - Accent 1"/>
    <w:basedOn w:val="40"/>
    <w:qFormat/>
    <w:uiPriority w:val="99"/>
    <w:pPr>
      <w:spacing w:after="0" w:line="240" w:lineRule="auto"/>
    </w:pPr>
  </w:style>
  <w:style w:type="table" w:customStyle="1" w:styleId="204">
    <w:name w:val="List Table 5 Dark - Accent 2"/>
    <w:basedOn w:val="40"/>
    <w:uiPriority w:val="99"/>
    <w:pPr>
      <w:spacing w:after="0" w:line="240" w:lineRule="auto"/>
    </w:pPr>
  </w:style>
  <w:style w:type="table" w:customStyle="1" w:styleId="205">
    <w:name w:val="List Table 5 Dark - Accent 3"/>
    <w:basedOn w:val="40"/>
    <w:uiPriority w:val="99"/>
    <w:pPr>
      <w:spacing w:after="0" w:line="240" w:lineRule="auto"/>
    </w:pPr>
  </w:style>
  <w:style w:type="table" w:customStyle="1" w:styleId="206">
    <w:name w:val="List Table 5 Dark - Accent 4"/>
    <w:basedOn w:val="40"/>
    <w:qFormat/>
    <w:uiPriority w:val="99"/>
    <w:pPr>
      <w:spacing w:after="0" w:line="240" w:lineRule="auto"/>
    </w:pPr>
  </w:style>
  <w:style w:type="table" w:customStyle="1" w:styleId="207">
    <w:name w:val="List Table 5 Dark - Accent 5"/>
    <w:basedOn w:val="40"/>
    <w:qFormat/>
    <w:uiPriority w:val="99"/>
    <w:pPr>
      <w:spacing w:after="0" w:line="240" w:lineRule="auto"/>
    </w:pPr>
  </w:style>
  <w:style w:type="table" w:customStyle="1" w:styleId="208">
    <w:name w:val="List Table 5 Dark - Accent 6"/>
    <w:basedOn w:val="40"/>
    <w:qFormat/>
    <w:uiPriority w:val="99"/>
    <w:pPr>
      <w:spacing w:after="0" w:line="240" w:lineRule="auto"/>
    </w:pPr>
  </w:style>
  <w:style w:type="table" w:customStyle="1" w:styleId="209">
    <w:name w:val="List Table 6 Colorful"/>
    <w:basedOn w:val="40"/>
    <w:qFormat/>
    <w:uiPriority w:val="99"/>
    <w:pPr>
      <w:spacing w:after="0" w:line="240" w:lineRule="auto"/>
    </w:pPr>
  </w:style>
  <w:style w:type="table" w:customStyle="1" w:styleId="210">
    <w:name w:val="List Table 6 Colorful - Accent 1"/>
    <w:basedOn w:val="40"/>
    <w:qFormat/>
    <w:uiPriority w:val="99"/>
    <w:pPr>
      <w:spacing w:after="0" w:line="240" w:lineRule="auto"/>
    </w:pPr>
  </w:style>
  <w:style w:type="table" w:customStyle="1" w:styleId="211">
    <w:name w:val="List Table 6 Colorful - Accent 2"/>
    <w:basedOn w:val="40"/>
    <w:qFormat/>
    <w:uiPriority w:val="99"/>
    <w:pPr>
      <w:spacing w:after="0" w:line="240" w:lineRule="auto"/>
    </w:pPr>
  </w:style>
  <w:style w:type="table" w:customStyle="1" w:styleId="212">
    <w:name w:val="List Table 6 Colorful - Accent 3"/>
    <w:basedOn w:val="40"/>
    <w:qFormat/>
    <w:uiPriority w:val="99"/>
    <w:pPr>
      <w:spacing w:after="0" w:line="240" w:lineRule="auto"/>
    </w:pPr>
  </w:style>
  <w:style w:type="table" w:customStyle="1" w:styleId="213">
    <w:name w:val="List Table 6 Colorful - Accent 4"/>
    <w:basedOn w:val="40"/>
    <w:qFormat/>
    <w:uiPriority w:val="99"/>
    <w:pPr>
      <w:spacing w:after="0" w:line="240" w:lineRule="auto"/>
    </w:pPr>
  </w:style>
  <w:style w:type="table" w:customStyle="1" w:styleId="214">
    <w:name w:val="List Table 6 Colorful - Accent 5"/>
    <w:basedOn w:val="40"/>
    <w:qFormat/>
    <w:uiPriority w:val="99"/>
    <w:pPr>
      <w:spacing w:after="0" w:line="240" w:lineRule="auto"/>
    </w:pPr>
  </w:style>
  <w:style w:type="table" w:customStyle="1" w:styleId="215">
    <w:name w:val="List Table 6 Colorful - Accent 6"/>
    <w:basedOn w:val="40"/>
    <w:qFormat/>
    <w:uiPriority w:val="99"/>
    <w:pPr>
      <w:spacing w:after="0" w:line="240" w:lineRule="auto"/>
    </w:pPr>
  </w:style>
  <w:style w:type="table" w:customStyle="1" w:styleId="216">
    <w:name w:val="List Table 7 Colorful"/>
    <w:basedOn w:val="40"/>
    <w:qFormat/>
    <w:uiPriority w:val="99"/>
    <w:pPr>
      <w:spacing w:after="0" w:line="240" w:lineRule="auto"/>
    </w:pPr>
  </w:style>
  <w:style w:type="table" w:customStyle="1" w:styleId="217">
    <w:name w:val="List Table 7 Colorful - Accent 1"/>
    <w:basedOn w:val="40"/>
    <w:qFormat/>
    <w:uiPriority w:val="99"/>
    <w:pPr>
      <w:spacing w:after="0" w:line="240" w:lineRule="auto"/>
    </w:pPr>
  </w:style>
  <w:style w:type="table" w:customStyle="1" w:styleId="218">
    <w:name w:val="List Table 7 Colorful - Accent 2"/>
    <w:basedOn w:val="40"/>
    <w:qFormat/>
    <w:uiPriority w:val="99"/>
    <w:pPr>
      <w:spacing w:after="0" w:line="240" w:lineRule="auto"/>
    </w:pPr>
  </w:style>
  <w:style w:type="table" w:customStyle="1" w:styleId="219">
    <w:name w:val="List Table 7 Colorful - Accent 3"/>
    <w:basedOn w:val="40"/>
    <w:qFormat/>
    <w:uiPriority w:val="99"/>
    <w:pPr>
      <w:spacing w:after="0" w:line="240" w:lineRule="auto"/>
    </w:pPr>
  </w:style>
  <w:style w:type="table" w:customStyle="1" w:styleId="220">
    <w:name w:val="List Table 7 Colorful - Accent 4"/>
    <w:basedOn w:val="40"/>
    <w:qFormat/>
    <w:uiPriority w:val="99"/>
    <w:pPr>
      <w:spacing w:after="0" w:line="240" w:lineRule="auto"/>
    </w:pPr>
  </w:style>
  <w:style w:type="table" w:customStyle="1" w:styleId="221">
    <w:name w:val="List Table 7 Colorful - Accent 5"/>
    <w:basedOn w:val="40"/>
    <w:qFormat/>
    <w:uiPriority w:val="99"/>
    <w:pPr>
      <w:spacing w:after="0" w:line="240" w:lineRule="auto"/>
    </w:pPr>
  </w:style>
  <w:style w:type="table" w:customStyle="1" w:styleId="222">
    <w:name w:val="List Table 7 Colorful - Accent 6"/>
    <w:basedOn w:val="40"/>
    <w:qFormat/>
    <w:uiPriority w:val="99"/>
    <w:pPr>
      <w:spacing w:after="0" w:line="240" w:lineRule="auto"/>
    </w:pPr>
  </w:style>
  <w:style w:type="table" w:customStyle="1" w:styleId="223">
    <w:name w:val="Lined - Accent"/>
    <w:basedOn w:val="40"/>
    <w:qFormat/>
    <w:uiPriority w:val="99"/>
    <w:pPr>
      <w:spacing w:after="0" w:line="240" w:lineRule="auto"/>
    </w:pPr>
    <w:rPr>
      <w:color w:val="404040"/>
    </w:rPr>
  </w:style>
  <w:style w:type="table" w:customStyle="1" w:styleId="224">
    <w:name w:val="Lined - Accent 1"/>
    <w:basedOn w:val="40"/>
    <w:qFormat/>
    <w:uiPriority w:val="99"/>
    <w:pPr>
      <w:spacing w:after="0" w:line="240" w:lineRule="auto"/>
    </w:pPr>
    <w:rPr>
      <w:color w:val="404040"/>
    </w:rPr>
  </w:style>
  <w:style w:type="table" w:customStyle="1" w:styleId="225">
    <w:name w:val="Lined - Accent 2"/>
    <w:basedOn w:val="40"/>
    <w:qFormat/>
    <w:uiPriority w:val="99"/>
    <w:pPr>
      <w:spacing w:after="0" w:line="240" w:lineRule="auto"/>
    </w:pPr>
    <w:rPr>
      <w:color w:val="404040"/>
    </w:rPr>
  </w:style>
  <w:style w:type="table" w:customStyle="1" w:styleId="226">
    <w:name w:val="Lined - Accent 3"/>
    <w:basedOn w:val="40"/>
    <w:qFormat/>
    <w:uiPriority w:val="99"/>
    <w:pPr>
      <w:spacing w:after="0" w:line="240" w:lineRule="auto"/>
    </w:pPr>
    <w:rPr>
      <w:color w:val="404040"/>
    </w:rPr>
  </w:style>
  <w:style w:type="table" w:customStyle="1" w:styleId="227">
    <w:name w:val="Lined - Accent 4"/>
    <w:basedOn w:val="40"/>
    <w:qFormat/>
    <w:uiPriority w:val="99"/>
    <w:pPr>
      <w:spacing w:after="0" w:line="240" w:lineRule="auto"/>
    </w:pPr>
    <w:rPr>
      <w:color w:val="404040"/>
    </w:rPr>
  </w:style>
  <w:style w:type="table" w:customStyle="1" w:styleId="228">
    <w:name w:val="Lined - Accent 5"/>
    <w:basedOn w:val="40"/>
    <w:qFormat/>
    <w:uiPriority w:val="99"/>
    <w:pPr>
      <w:spacing w:after="0" w:line="240" w:lineRule="auto"/>
    </w:pPr>
    <w:rPr>
      <w:color w:val="404040"/>
    </w:rPr>
  </w:style>
  <w:style w:type="table" w:customStyle="1" w:styleId="229">
    <w:name w:val="Lined - Accent 6"/>
    <w:basedOn w:val="40"/>
    <w:qFormat/>
    <w:uiPriority w:val="99"/>
    <w:pPr>
      <w:spacing w:after="0" w:line="240" w:lineRule="auto"/>
    </w:pPr>
    <w:rPr>
      <w:color w:val="404040"/>
    </w:rPr>
  </w:style>
  <w:style w:type="table" w:customStyle="1" w:styleId="230">
    <w:name w:val="Bordered &amp; Lined - Accent"/>
    <w:basedOn w:val="40"/>
    <w:qFormat/>
    <w:uiPriority w:val="99"/>
    <w:pPr>
      <w:spacing w:after="0" w:line="240" w:lineRule="auto"/>
    </w:pPr>
    <w:rPr>
      <w:color w:val="404040"/>
    </w:rPr>
  </w:style>
  <w:style w:type="table" w:customStyle="1" w:styleId="231">
    <w:name w:val="Bordered &amp; Lined - Accent 1"/>
    <w:basedOn w:val="40"/>
    <w:qFormat/>
    <w:uiPriority w:val="99"/>
    <w:pPr>
      <w:spacing w:after="0" w:line="240" w:lineRule="auto"/>
    </w:pPr>
    <w:rPr>
      <w:color w:val="404040"/>
    </w:rPr>
  </w:style>
  <w:style w:type="table" w:customStyle="1" w:styleId="232">
    <w:name w:val="Bordered &amp; Lined - Accent 2"/>
    <w:basedOn w:val="40"/>
    <w:qFormat/>
    <w:uiPriority w:val="99"/>
    <w:pPr>
      <w:spacing w:after="0" w:line="240" w:lineRule="auto"/>
    </w:pPr>
    <w:rPr>
      <w:color w:val="404040"/>
    </w:rPr>
  </w:style>
  <w:style w:type="table" w:customStyle="1" w:styleId="233">
    <w:name w:val="Bordered &amp; Lined - Accent 3"/>
    <w:basedOn w:val="40"/>
    <w:qFormat/>
    <w:uiPriority w:val="99"/>
    <w:pPr>
      <w:spacing w:after="0" w:line="240" w:lineRule="auto"/>
    </w:pPr>
    <w:rPr>
      <w:color w:val="404040"/>
    </w:rPr>
  </w:style>
  <w:style w:type="table" w:customStyle="1" w:styleId="234">
    <w:name w:val="Bordered &amp; Lined - Accent 4"/>
    <w:basedOn w:val="40"/>
    <w:qFormat/>
    <w:uiPriority w:val="99"/>
    <w:pPr>
      <w:spacing w:after="0" w:line="240" w:lineRule="auto"/>
    </w:pPr>
    <w:rPr>
      <w:color w:val="404040"/>
    </w:rPr>
  </w:style>
  <w:style w:type="table" w:customStyle="1" w:styleId="235">
    <w:name w:val="Bordered &amp; Lined - Accent 5"/>
    <w:basedOn w:val="40"/>
    <w:qFormat/>
    <w:uiPriority w:val="99"/>
    <w:pPr>
      <w:spacing w:after="0" w:line="240" w:lineRule="auto"/>
    </w:pPr>
    <w:rPr>
      <w:color w:val="404040"/>
    </w:rPr>
  </w:style>
  <w:style w:type="table" w:customStyle="1" w:styleId="236">
    <w:name w:val="Bordered &amp; Lined - Accent 6"/>
    <w:basedOn w:val="40"/>
    <w:qFormat/>
    <w:uiPriority w:val="99"/>
    <w:pPr>
      <w:spacing w:after="0" w:line="240" w:lineRule="auto"/>
    </w:pPr>
    <w:rPr>
      <w:color w:val="404040"/>
    </w:rPr>
  </w:style>
  <w:style w:type="table" w:customStyle="1" w:styleId="237">
    <w:name w:val="Bordered"/>
    <w:basedOn w:val="40"/>
    <w:qFormat/>
    <w:uiPriority w:val="99"/>
    <w:pPr>
      <w:spacing w:after="0" w:line="240" w:lineRule="auto"/>
    </w:pPr>
  </w:style>
  <w:style w:type="table" w:customStyle="1" w:styleId="238">
    <w:name w:val="Bordered - Accent 1"/>
    <w:basedOn w:val="40"/>
    <w:qFormat/>
    <w:uiPriority w:val="99"/>
    <w:pPr>
      <w:spacing w:after="0" w:line="240" w:lineRule="auto"/>
    </w:pPr>
  </w:style>
  <w:style w:type="table" w:customStyle="1" w:styleId="239">
    <w:name w:val="Bordered - Accent 2"/>
    <w:basedOn w:val="40"/>
    <w:qFormat/>
    <w:uiPriority w:val="99"/>
    <w:pPr>
      <w:spacing w:after="0" w:line="240" w:lineRule="auto"/>
    </w:pPr>
  </w:style>
  <w:style w:type="table" w:customStyle="1" w:styleId="240">
    <w:name w:val="Bordered - Accent 3"/>
    <w:basedOn w:val="40"/>
    <w:qFormat/>
    <w:uiPriority w:val="99"/>
    <w:pPr>
      <w:spacing w:after="0" w:line="240" w:lineRule="auto"/>
    </w:pPr>
  </w:style>
  <w:style w:type="table" w:customStyle="1" w:styleId="241">
    <w:name w:val="Bordered - Accent 4"/>
    <w:basedOn w:val="40"/>
    <w:qFormat/>
    <w:uiPriority w:val="99"/>
    <w:pPr>
      <w:spacing w:after="0" w:line="240" w:lineRule="auto"/>
    </w:pPr>
  </w:style>
  <w:style w:type="table" w:customStyle="1" w:styleId="242">
    <w:name w:val="Bordered - Accent 5"/>
    <w:basedOn w:val="40"/>
    <w:qFormat/>
    <w:uiPriority w:val="99"/>
    <w:pPr>
      <w:spacing w:after="0" w:line="240" w:lineRule="auto"/>
    </w:pPr>
  </w:style>
  <w:style w:type="table" w:customStyle="1" w:styleId="243">
    <w:name w:val="Bordered - Accent 6"/>
    <w:basedOn w:val="40"/>
    <w:qFormat/>
    <w:uiPriority w:val="99"/>
    <w:pPr>
      <w:spacing w:after="0" w:line="240" w:lineRule="auto"/>
    </w:pPr>
  </w:style>
  <w:style w:type="character" w:customStyle="1" w:styleId="244">
    <w:name w:val="Footnote Text Char"/>
    <w:link w:val="1"/>
    <w:qFormat/>
    <w:uiPriority w:val="99"/>
    <w:rPr>
      <w:sz w:val="18"/>
    </w:rPr>
  </w:style>
  <w:style w:type="paragraph" w:customStyle="1" w:styleId="245">
    <w:name w:val="TOC Heading"/>
    <w:unhideWhenUsed/>
    <w:qFormat/>
    <w:uiPriority w:val="39"/>
    <w:rPr>
      <w:rFonts w:hint="default" w:ascii="Times New Roman" w:hAnsi="Times New Roman" w:eastAsia="宋体" w:cs="Times New Roman"/>
    </w:rPr>
  </w:style>
  <w:style w:type="paragraph" w:customStyle="1" w:styleId="246">
    <w:name w:val="列表段落1"/>
    <w:basedOn w:val="1"/>
    <w:qFormat/>
    <w:uiPriority w:val="99"/>
    <w:pPr>
      <w:ind w:firstLine="420"/>
    </w:pPr>
    <w:rPr>
      <w:rFonts w:ascii="Times New Roman" w:hAnsi="Times New Roman" w:eastAsia="宋体" w:cs="Times New Roman"/>
      <w:szCs w:val="20"/>
    </w:rPr>
  </w:style>
  <w:style w:type="paragraph" w:customStyle="1" w:styleId="247">
    <w:name w:val="首行缩进"/>
    <w:basedOn w:val="1"/>
    <w:qFormat/>
    <w:uiPriority w:val="99"/>
    <w:pPr>
      <w:spacing w:line="360" w:lineRule="auto"/>
      <w:ind w:firstLine="480"/>
      <w:jc w:val="left"/>
    </w:pPr>
    <w:rPr>
      <w:rFonts w:ascii="宋体" w:hAnsi="宋体"/>
      <w:sz w:val="24"/>
    </w:rPr>
  </w:style>
  <w:style w:type="character" w:customStyle="1" w:styleId="248">
    <w:name w:val="NormalCharacter1"/>
    <w:link w:val="1"/>
    <w:semiHidden/>
    <w:qFormat/>
    <w:uiPriority w:val="0"/>
  </w:style>
  <w:style w:type="character" w:customStyle="1" w:styleId="249">
    <w:name w:val="样式1 字符"/>
    <w:link w:val="250"/>
    <w:qFormat/>
    <w:uiPriority w:val="0"/>
  </w:style>
  <w:style w:type="paragraph" w:customStyle="1" w:styleId="250">
    <w:name w:val="样式1"/>
    <w:basedOn w:val="2"/>
    <w:link w:val="249"/>
    <w:qFormat/>
    <w:uiPriority w:val="0"/>
    <w:pPr>
      <w:ind w:left="210" w:right="210"/>
    </w:pPr>
  </w:style>
  <w:style w:type="character" w:customStyle="1" w:styleId="251">
    <w:name w:val="标题 2 Char Char Char"/>
    <w:link w:val="1"/>
    <w:qFormat/>
    <w:uiPriority w:val="0"/>
    <w:rPr>
      <w:rFonts w:ascii="Arial" w:hAnsi="Arial" w:eastAsia="黑体"/>
      <w:b/>
      <w:bCs/>
      <w:sz w:val="32"/>
      <w:szCs w:val="32"/>
      <w:lang w:val="en-US" w:eastAsia="zh-CN" w:bidi="ar-SA"/>
    </w:rPr>
  </w:style>
  <w:style w:type="character" w:customStyle="1" w:styleId="252">
    <w:name w:val="p0 Char"/>
    <w:link w:val="253"/>
    <w:qFormat/>
    <w:uiPriority w:val="0"/>
    <w:rPr>
      <w:sz w:val="21"/>
      <w:szCs w:val="21"/>
    </w:rPr>
  </w:style>
  <w:style w:type="paragraph" w:customStyle="1" w:styleId="253">
    <w:name w:val="p0"/>
    <w:basedOn w:val="1"/>
    <w:link w:val="252"/>
    <w:qFormat/>
    <w:uiPriority w:val="0"/>
    <w:pPr>
      <w:widowControl/>
      <w:spacing w:line="480" w:lineRule="exact"/>
      <w:ind w:firstLine="420"/>
    </w:pPr>
    <w:rPr>
      <w:szCs w:val="21"/>
    </w:rPr>
  </w:style>
  <w:style w:type="character" w:customStyle="1" w:styleId="254">
    <w:name w:val="纯文本 Char"/>
    <w:link w:val="255"/>
    <w:qFormat/>
    <w:uiPriority w:val="0"/>
    <w:rPr>
      <w:rFonts w:ascii="宋体" w:hAnsi="Courier New"/>
    </w:rPr>
  </w:style>
  <w:style w:type="paragraph" w:customStyle="1" w:styleId="255">
    <w:name w:val="纯文本1"/>
    <w:basedOn w:val="1"/>
    <w:link w:val="254"/>
    <w:qFormat/>
    <w:uiPriority w:val="0"/>
    <w:pPr>
      <w:spacing w:line="360" w:lineRule="auto"/>
      <w:ind w:firstLine="200"/>
    </w:pPr>
    <w:rPr>
      <w:rFonts w:ascii="宋体" w:hAnsi="Courier New"/>
      <w:sz w:val="20"/>
      <w:szCs w:val="20"/>
    </w:rPr>
  </w:style>
  <w:style w:type="character" w:customStyle="1" w:styleId="256">
    <w:name w:val="ask-title2"/>
    <w:link w:val="1"/>
    <w:qFormat/>
    <w:uiPriority w:val="0"/>
  </w:style>
  <w:style w:type="character" w:customStyle="1" w:styleId="257">
    <w:name w:val="纯文本 Char2"/>
    <w:link w:val="1"/>
    <w:qFormat/>
    <w:uiPriority w:val="0"/>
    <w:rPr>
      <w:rFonts w:ascii="宋体" w:hAnsi="Courier New"/>
      <w:sz w:val="21"/>
    </w:rPr>
  </w:style>
  <w:style w:type="character" w:customStyle="1" w:styleId="258">
    <w:name w:val="页脚 Char"/>
    <w:link w:val="1"/>
    <w:qFormat/>
    <w:uiPriority w:val="0"/>
    <w:rPr>
      <w:sz w:val="18"/>
      <w:szCs w:val="18"/>
    </w:rPr>
  </w:style>
  <w:style w:type="paragraph" w:styleId="259">
    <w:name w:val="List Paragraph"/>
    <w:basedOn w:val="1"/>
    <w:qFormat/>
    <w:uiPriority w:val="1"/>
    <w:pPr>
      <w:ind w:left="400" w:firstLine="420"/>
      <w:jc w:val="left"/>
    </w:pPr>
    <w:rPr>
      <w:rFonts w:ascii="宋体" w:hAnsi="宋体" w:cs="宋体"/>
      <w:sz w:val="22"/>
      <w:szCs w:val="22"/>
      <w:lang w:val="zh-CN" w:bidi="zh-CN"/>
    </w:rPr>
  </w:style>
  <w:style w:type="paragraph" w:customStyle="1" w:styleId="260">
    <w:name w:val="_Style 83"/>
    <w:basedOn w:val="1"/>
    <w:next w:val="259"/>
    <w:qFormat/>
    <w:uiPriority w:val="99"/>
    <w:pPr>
      <w:ind w:firstLine="420"/>
    </w:pPr>
  </w:style>
  <w:style w:type="paragraph" w:styleId="261">
    <w:name w:val="No Spacing"/>
    <w:qFormat/>
    <w:uiPriority w:val="1"/>
    <w:pPr>
      <w:widowControl w:val="0"/>
      <w:jc w:val="both"/>
    </w:pPr>
    <w:rPr>
      <w:rFonts w:hint="default" w:ascii="Times New Roman" w:hAnsi="Times New Roman" w:eastAsia="宋体" w:cs="Times New Roman"/>
      <w:sz w:val="21"/>
      <w:szCs w:val="24"/>
      <w:lang w:eastAsia="zh-CN"/>
    </w:rPr>
  </w:style>
  <w:style w:type="paragraph" w:customStyle="1" w:styleId="262">
    <w:name w:val="纯文本11"/>
    <w:basedOn w:val="1"/>
    <w:qFormat/>
    <w:uiPriority w:val="0"/>
    <w:rPr>
      <w:rFonts w:ascii="宋体" w:hAnsi="Courier New"/>
      <w:sz w:val="20"/>
      <w:szCs w:val="21"/>
    </w:rPr>
  </w:style>
  <w:style w:type="paragraph" w:customStyle="1" w:styleId="263">
    <w:name w:val="Heading 2_0"/>
    <w:basedOn w:val="1"/>
    <w:next w:val="1"/>
    <w:qFormat/>
    <w:uiPriority w:val="0"/>
    <w:pPr>
      <w:keepNext/>
      <w:widowControl/>
      <w:jc w:val="center"/>
    </w:pPr>
    <w:rPr>
      <w:rFonts w:ascii="方正楷体_GB2312" w:eastAsia="方正楷体_GB2312"/>
      <w:sz w:val="18"/>
      <w:szCs w:val="20"/>
    </w:rPr>
  </w:style>
  <w:style w:type="paragraph" w:customStyle="1" w:styleId="264">
    <w:name w:val="列出段落1"/>
    <w:basedOn w:val="1"/>
    <w:qFormat/>
    <w:uiPriority w:val="0"/>
    <w:pPr>
      <w:spacing w:line="0" w:lineRule="atLeast"/>
      <w:ind w:firstLine="420"/>
    </w:pPr>
    <w:rPr>
      <w:rFonts w:eastAsia="微软雅黑"/>
      <w:sz w:val="20"/>
      <w:szCs w:val="20"/>
    </w:rPr>
  </w:style>
  <w:style w:type="paragraph" w:customStyle="1" w:styleId="265">
    <w:name w:val="_Style 77"/>
    <w:basedOn w:val="2"/>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customStyle="1" w:styleId="266">
    <w:name w:val="Table Text"/>
    <w:basedOn w:val="1"/>
    <w:semiHidden/>
    <w:qFormat/>
    <w:uiPriority w:val="0"/>
    <w:pPr>
      <w:ind w:left="130" w:right="139"/>
      <w:jc w:val="left"/>
    </w:pPr>
    <w:rPr>
      <w:rFonts w:ascii="宋体" w:hAnsi="宋体" w:cs="宋体"/>
      <w:szCs w:val="21"/>
      <w:lang w:eastAsia="en-US"/>
    </w:rPr>
  </w:style>
  <w:style w:type="paragraph" w:customStyle="1" w:styleId="267">
    <w:name w:val="Table Paragraph"/>
    <w:basedOn w:val="1"/>
    <w:qFormat/>
    <w:uiPriority w:val="1"/>
    <w:pPr>
      <w:jc w:val="left"/>
    </w:pPr>
    <w:rPr>
      <w:rFonts w:ascii="宋体" w:hAnsi="宋体" w:cs="宋体"/>
      <w:sz w:val="22"/>
      <w:szCs w:val="22"/>
      <w:lang w:val="zh-CN" w:bidi="zh-CN"/>
    </w:rPr>
  </w:style>
  <w:style w:type="paragraph" w:customStyle="1" w:styleId="268">
    <w:name w:val="列出段落2"/>
    <w:basedOn w:val="1"/>
    <w:unhideWhenUsed/>
    <w:qFormat/>
    <w:uiPriority w:val="99"/>
    <w:pPr>
      <w:ind w:firstLine="420"/>
      <w:jc w:val="left"/>
    </w:pPr>
    <w:rPr>
      <w:rFonts w:ascii="宋体"/>
      <w:sz w:val="20"/>
      <w:szCs w:val="20"/>
    </w:rPr>
  </w:style>
  <w:style w:type="paragraph" w:customStyle="1" w:styleId="269">
    <w:name w:val="标题 2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table" w:customStyle="1" w:styleId="270">
    <w:name w:val="Table Normal_0"/>
    <w:unhideWhenUsed/>
    <w:qFormat/>
    <w:uiPriority w:val="0"/>
  </w:style>
  <w:style w:type="paragraph" w:customStyle="1" w:styleId="271">
    <w:name w:val="索引 41"/>
    <w:basedOn w:val="1"/>
    <w:next w:val="1"/>
    <w:qFormat/>
    <w:uiPriority w:val="0"/>
    <w:pPr>
      <w:ind w:left="1260"/>
    </w:pPr>
    <w:rPr>
      <w:rFonts w:ascii="Calibri" w:hAnsi="Calibri" w:eastAsia="Calibri" w:cs="宋体"/>
      <w:sz w:val="20"/>
      <w:lang w:val="zh-CN"/>
    </w:rPr>
  </w:style>
  <w:style w:type="paragraph" w:customStyle="1" w:styleId="272">
    <w:name w:val="修订1"/>
    <w:semiHidden/>
    <w:qFormat/>
    <w:uiPriority w:val="99"/>
    <w:rPr>
      <w:rFonts w:hint="default" w:ascii="Times New Roman" w:hAnsi="Times New Roman" w:eastAsia="宋体" w:cs="Times New Roman"/>
      <w:sz w:val="21"/>
      <w:szCs w:val="24"/>
      <w:lang w:eastAsia="zh-CN"/>
    </w:rPr>
  </w:style>
  <w:style w:type="paragraph" w:customStyle="1" w:styleId="273">
    <w:name w:val="修订2"/>
    <w:semiHidden/>
    <w:qFormat/>
    <w:uiPriority w:val="99"/>
    <w:rPr>
      <w:rFonts w:hint="default" w:ascii="Times New Roman" w:hAnsi="Times New Roman" w:eastAsia="宋体" w:cs="Times New Roman"/>
      <w:sz w:val="21"/>
      <w:szCs w:val="24"/>
      <w:lang w:eastAsia="zh-CN"/>
    </w:rPr>
  </w:style>
  <w:style w:type="paragraph" w:customStyle="1" w:styleId="274">
    <w:name w:val="修订3"/>
    <w:semiHidden/>
    <w:qFormat/>
    <w:uiPriority w:val="99"/>
    <w:rPr>
      <w:rFonts w:hint="default" w:ascii="Times New Roman" w:hAnsi="Times New Roman" w:eastAsia="宋体" w:cs="Times New Roman"/>
      <w:sz w:val="21"/>
      <w:szCs w:val="24"/>
      <w:lang w:eastAsia="zh-CN"/>
    </w:rPr>
  </w:style>
  <w:style w:type="paragraph" w:customStyle="1" w:styleId="275">
    <w:name w:val="Default"/>
    <w:qFormat/>
    <w:uiPriority w:val="0"/>
    <w:pPr>
      <w:widowControl w:val="0"/>
    </w:pPr>
    <w:rPr>
      <w:rFonts w:hint="default" w:ascii="仿宋" w:hAnsi="仿宋" w:eastAsia="仿宋" w:cs="仿宋"/>
      <w:color w:val="000000"/>
      <w:sz w:val="24"/>
      <w:lang w:eastAsia="zh-CN"/>
    </w:rPr>
  </w:style>
  <w:style w:type="paragraph" w:customStyle="1" w:styleId="276">
    <w:name w:val="修订4"/>
    <w:semiHidden/>
    <w:qFormat/>
    <w:uiPriority w:val="99"/>
    <w:rPr>
      <w:rFonts w:hint="default" w:ascii="Times New Roman" w:hAnsi="Times New Roman" w:eastAsia="宋体" w:cs="Times New Roman"/>
      <w:sz w:val="21"/>
      <w:szCs w:val="24"/>
      <w:lang w:eastAsia="zh-CN"/>
    </w:rPr>
  </w:style>
  <w:style w:type="paragraph" w:customStyle="1" w:styleId="277">
    <w:name w:val="列出段落4"/>
    <w:basedOn w:val="1"/>
    <w:qFormat/>
    <w:uiPriority w:val="0"/>
    <w:pPr>
      <w:widowControl/>
      <w:ind w:left="720"/>
      <w:contextualSpacing/>
      <w:jc w:val="left"/>
    </w:pPr>
    <w:rPr>
      <w:rFonts w:ascii="Arial" w:hAnsi="Arial" w:eastAsia="黑体"/>
      <w:sz w:val="24"/>
      <w:lang w:eastAsia="en-US"/>
    </w:rPr>
  </w:style>
  <w:style w:type="character" w:customStyle="1" w:styleId="278">
    <w:name w:val="默认段落字体11"/>
    <w:link w:val="1"/>
    <w:unhideWhenUsed/>
    <w:qFormat/>
    <w:uiPriority w:val="1"/>
  </w:style>
  <w:style w:type="paragraph" w:customStyle="1" w:styleId="279">
    <w:name w:val="格式2"/>
    <w:qFormat/>
    <w:uiPriority w:val="0"/>
    <w:pPr>
      <w:widowControl w:val="0"/>
      <w:spacing w:before="50" w:line="440" w:lineRule="exact"/>
      <w:jc w:val="both"/>
    </w:pPr>
    <w:rPr>
      <w:rFonts w:hint="default" w:ascii="Times New Roman" w:hAnsi="Times New Roman" w:eastAsia="宋体" w:cs="Times New Roman"/>
      <w:sz w:val="24"/>
      <w:lang w:eastAsia="zh-CN"/>
    </w:rPr>
  </w:style>
  <w:style w:type="paragraph" w:customStyle="1" w:styleId="280">
    <w:name w:val="目录1"/>
    <w:basedOn w:val="1"/>
    <w:qFormat/>
    <w:uiPriority w:val="0"/>
    <w:pPr>
      <w:spacing w:line="420" w:lineRule="atLeast"/>
    </w:pPr>
    <w:rPr>
      <w:rFonts w:eastAsia="黑体"/>
      <w:b/>
      <w:szCs w:val="20"/>
    </w:rPr>
  </w:style>
  <w:style w:type="character" w:customStyle="1" w:styleId="281">
    <w:name w:val="font31"/>
    <w:basedOn w:val="39"/>
    <w:link w:val="1"/>
    <w:qFormat/>
    <w:uiPriority w:val="0"/>
    <w:rPr>
      <w:rFonts w:ascii="Times New Roman" w:hAnsi="Times New Roman" w:cs="Times New Roman"/>
      <w:color w:val="000000"/>
      <w:sz w:val="20"/>
      <w:szCs w:val="20"/>
      <w:u w:val="none"/>
    </w:rPr>
  </w:style>
  <w:style w:type="character" w:customStyle="1" w:styleId="282">
    <w:name w:val="font41"/>
    <w:basedOn w:val="39"/>
    <w:link w:val="1"/>
    <w:qFormat/>
    <w:uiPriority w:val="0"/>
    <w:rPr>
      <w:rFonts w:hint="eastAsia" w:ascii="仿宋" w:hAnsi="仿宋" w:eastAsia="仿宋" w:cs="仿宋"/>
      <w:color w:val="000000"/>
      <w:sz w:val="20"/>
      <w:szCs w:val="20"/>
      <w:u w:val="none"/>
    </w:rPr>
  </w:style>
  <w:style w:type="character" w:customStyle="1" w:styleId="283">
    <w:name w:val="font51"/>
    <w:basedOn w:val="39"/>
    <w:link w:val="1"/>
    <w:qFormat/>
    <w:uiPriority w:val="0"/>
    <w:rPr>
      <w:rFonts w:ascii="仿宋" w:hAnsi="仿宋" w:eastAsia="仿宋" w:cs="仿宋"/>
      <w:color w:val="000000"/>
      <w:sz w:val="20"/>
      <w:szCs w:val="20"/>
      <w:u w:val="none"/>
    </w:rPr>
  </w:style>
  <w:style w:type="character" w:customStyle="1" w:styleId="284">
    <w:name w:val="10"/>
    <w:basedOn w:val="39"/>
    <w:link w:val="1"/>
    <w:qFormat/>
    <w:uiPriority w:val="0"/>
    <w:rPr>
      <w:rFonts w:hint="eastAsia" w:ascii="等线" w:hAnsi="等线" w:eastAsia="等线" w:cs="等线"/>
    </w:rPr>
  </w:style>
  <w:style w:type="character" w:customStyle="1" w:styleId="285">
    <w:name w:val="15"/>
    <w:basedOn w:val="39"/>
    <w:link w:val="1"/>
    <w:qFormat/>
    <w:uiPriority w:val="0"/>
    <w:rPr>
      <w:rFonts w:hint="eastAsia" w:ascii="等线" w:hAnsi="等线" w:eastAsia="等线" w:cs="等线"/>
      <w:color w:val="0563C1"/>
      <w:u w:val="single"/>
    </w:rPr>
  </w:style>
  <w:style w:type="character" w:customStyle="1" w:styleId="286">
    <w:name w:val="font21"/>
    <w:basedOn w:val="39"/>
    <w:link w:val="1"/>
    <w:qFormat/>
    <w:uiPriority w:val="0"/>
    <w:rPr>
      <w:rFonts w:ascii="Times New Roman" w:hAnsi="Times New Roman" w:cs="Times New Roman"/>
      <w:color w:val="000000"/>
      <w:sz w:val="20"/>
      <w:szCs w:val="20"/>
      <w:u w:val="none"/>
    </w:rPr>
  </w:style>
  <w:style w:type="character" w:customStyle="1" w:styleId="287">
    <w:name w:val="font71"/>
    <w:basedOn w:val="39"/>
    <w:link w:val="1"/>
    <w:qFormat/>
    <w:uiPriority w:val="0"/>
    <w:rPr>
      <w:rFonts w:hint="eastAsia" w:ascii="宋体" w:hAnsi="宋体" w:eastAsia="宋体" w:cs="宋体"/>
      <w:color w:val="000000"/>
      <w:sz w:val="20"/>
      <w:szCs w:val="20"/>
      <w:u w:val="none"/>
    </w:rPr>
  </w:style>
  <w:style w:type="character" w:customStyle="1" w:styleId="288">
    <w:name w:val="font81"/>
    <w:basedOn w:val="39"/>
    <w:link w:val="1"/>
    <w:qFormat/>
    <w:uiPriority w:val="0"/>
    <w:rPr>
      <w:rFonts w:hint="eastAsia" w:ascii="宋体" w:hAnsi="宋体" w:eastAsia="宋体" w:cs="宋体"/>
      <w:b/>
      <w:bCs/>
      <w:color w:val="000000"/>
      <w:sz w:val="20"/>
      <w:szCs w:val="20"/>
      <w:u w:val="none"/>
    </w:rPr>
  </w:style>
  <w:style w:type="character" w:customStyle="1" w:styleId="289">
    <w:name w:val="font11"/>
    <w:basedOn w:val="39"/>
    <w:link w:val="1"/>
    <w:qFormat/>
    <w:uiPriority w:val="0"/>
    <w:rPr>
      <w:rFonts w:hint="eastAsia" w:ascii="宋体" w:hAnsi="宋体" w:eastAsia="宋体" w:cs="宋体"/>
      <w:color w:val="000000"/>
      <w:sz w:val="20"/>
      <w:szCs w:val="20"/>
      <w:u w:val="none"/>
    </w:rPr>
  </w:style>
  <w:style w:type="character" w:customStyle="1" w:styleId="290">
    <w:name w:val="font91"/>
    <w:basedOn w:val="39"/>
    <w:link w:val="1"/>
    <w:qFormat/>
    <w:uiPriority w:val="0"/>
    <w:rPr>
      <w:rFonts w:hint="eastAsia" w:ascii="宋体" w:hAnsi="宋体" w:eastAsia="宋体" w:cs="宋体"/>
      <w:b/>
      <w:bCs/>
      <w:color w:val="000000"/>
      <w:sz w:val="20"/>
      <w:szCs w:val="20"/>
      <w:u w:val="none"/>
    </w:rPr>
  </w:style>
  <w:style w:type="character" w:customStyle="1" w:styleId="291">
    <w:name w:val="font101"/>
    <w:basedOn w:val="39"/>
    <w:link w:val="1"/>
    <w:qFormat/>
    <w:uiPriority w:val="0"/>
    <w:rPr>
      <w:rFonts w:hint="eastAsia" w:ascii="宋体" w:hAnsi="宋体" w:eastAsia="宋体" w:cs="宋体"/>
      <w:color w:val="000000"/>
      <w:sz w:val="20"/>
      <w:szCs w:val="20"/>
      <w:u w:val="none"/>
    </w:rPr>
  </w:style>
  <w:style w:type="character" w:customStyle="1" w:styleId="292">
    <w:name w:val="font112"/>
    <w:basedOn w:val="39"/>
    <w:link w:val="1"/>
    <w:qFormat/>
    <w:uiPriority w:val="0"/>
    <w:rPr>
      <w:rFonts w:hint="eastAsia" w:ascii="宋体" w:hAnsi="宋体" w:eastAsia="宋体" w:cs="宋体"/>
      <w:b/>
      <w:bCs/>
      <w:color w:val="000000"/>
      <w:sz w:val="20"/>
      <w:szCs w:val="20"/>
      <w:u w:val="none"/>
    </w:rPr>
  </w:style>
  <w:style w:type="character" w:customStyle="1" w:styleId="293">
    <w:name w:val="font121"/>
    <w:basedOn w:val="39"/>
    <w:link w:val="1"/>
    <w:qFormat/>
    <w:uiPriority w:val="0"/>
    <w:rPr>
      <w:rFonts w:hint="eastAsia" w:ascii="宋体" w:hAnsi="宋体" w:eastAsia="宋体" w:cs="宋体"/>
      <w:b/>
      <w:bCs/>
      <w:color w:val="000000"/>
      <w:sz w:val="20"/>
      <w:szCs w:val="20"/>
      <w:u w:val="none"/>
    </w:rPr>
  </w:style>
  <w:style w:type="paragraph" w:customStyle="1" w:styleId="294">
    <w:name w:val="正文1"/>
    <w:qFormat/>
    <w:uiPriority w:val="0"/>
    <w:pPr>
      <w:widowControl w:val="0"/>
      <w:jc w:val="both"/>
    </w:pPr>
    <w:rPr>
      <w:rFonts w:hint="default" w:ascii="Calibri" w:hAnsi="Calibri" w:eastAsia="宋体" w:cs="Times New Roman"/>
      <w:lang w:eastAsia="zh-CN"/>
    </w:rPr>
  </w:style>
  <w:style w:type="character" w:customStyle="1" w:styleId="295">
    <w:name w:val="font61"/>
    <w:basedOn w:val="39"/>
    <w:link w:val="1"/>
    <w:qFormat/>
    <w:uiPriority w:val="0"/>
    <w:rPr>
      <w:rFonts w:ascii="Times New Roman" w:hAnsi="Times New Roman" w:cs="Times New Roman"/>
      <w:b/>
      <w:bCs/>
      <w:color w:val="000000"/>
      <w:sz w:val="16"/>
      <w:szCs w:val="16"/>
      <w:u w:val="none"/>
    </w:rPr>
  </w:style>
  <w:style w:type="paragraph" w:customStyle="1" w:styleId="296">
    <w:name w:val="p1"/>
    <w:basedOn w:val="1"/>
    <w:qFormat/>
    <w:uiPriority w:val="0"/>
    <w:pPr>
      <w:spacing w:before="0" w:beforeAutospacing="0" w:after="0" w:afterAutospacing="0"/>
      <w:ind w:left="0" w:right="0"/>
      <w:jc w:val="left"/>
    </w:pPr>
    <w:rPr>
      <w:rFonts w:ascii="pingfang sc" w:hAnsi="pingfang sc" w:eastAsia="pingfang sc" w:cs="pingfang sc"/>
      <w:sz w:val="26"/>
      <w:szCs w:val="26"/>
      <w:lang w:val="en-US" w:eastAsia="zh-CN" w:bidi="ar"/>
    </w:rPr>
  </w:style>
  <w:style w:type="character" w:customStyle="1" w:styleId="297">
    <w:name w:val="s1"/>
    <w:basedOn w:val="39"/>
    <w:link w:val="1"/>
    <w:qFormat/>
    <w:uiPriority w:val="0"/>
    <w:rPr>
      <w:rFonts w:ascii="Helvetica Neue" w:hAnsi="Helvetica Neue" w:eastAsia="Helvetica Neue" w:cs="Helvetica Neue"/>
      <w:sz w:val="26"/>
      <w:szCs w:val="26"/>
    </w:rPr>
  </w:style>
  <w:style w:type="paragraph" w:customStyle="1" w:styleId="298">
    <w:name w:val="p2"/>
    <w:basedOn w:val="1"/>
    <w:qFormat/>
    <w:uiPriority w:val="0"/>
    <w:pPr>
      <w:spacing w:before="0" w:beforeAutospacing="0" w:after="0" w:afterAutospacing="0"/>
      <w:ind w:left="0" w:right="0"/>
      <w:jc w:val="left"/>
    </w:pPr>
    <w:rPr>
      <w:rFonts w:ascii="Helvetica Neue" w:hAnsi="Helvetica Neue" w:eastAsia="Helvetica Neue" w:cs="Helvetica Neue"/>
      <w:sz w:val="26"/>
      <w:szCs w:val="26"/>
      <w:lang w:val="en-US" w:eastAsia="zh-CN" w:bidi="ar"/>
    </w:rPr>
  </w:style>
  <w:style w:type="paragraph" w:customStyle="1" w:styleId="299">
    <w:name w:val="p3"/>
    <w:basedOn w:val="1"/>
    <w:qFormat/>
    <w:uiPriority w:val="0"/>
    <w:pPr>
      <w:spacing w:before="0" w:beforeAutospacing="0" w:after="0" w:afterAutospacing="0"/>
      <w:ind w:left="0" w:right="0"/>
      <w:jc w:val="left"/>
    </w:pPr>
    <w:rPr>
      <w:rFonts w:ascii="pingfang sc" w:hAnsi="pingfang sc" w:eastAsia="pingfang sc" w:cs="pingfang sc"/>
      <w:sz w:val="26"/>
      <w:szCs w:val="26"/>
      <w:lang w:val="en-US" w:eastAsia="zh-CN" w:bidi="ar"/>
    </w:rPr>
  </w:style>
  <w:style w:type="paragraph" w:customStyle="1" w:styleId="300">
    <w:name w:val="lv2"/>
    <w:basedOn w:val="259"/>
    <w:qFormat/>
    <w:uiPriority w:val="0"/>
    <w:pPr>
      <w:numPr>
        <w:ilvl w:val="1"/>
        <w:numId w:val="1"/>
      </w:numPr>
      <w:spacing w:line="360" w:lineRule="auto"/>
      <w:outlineLvl w:val="1"/>
    </w:pPr>
    <w:rPr>
      <w:rFonts w:ascii="Calibri" w:hAnsi="Calibri" w:cs="Times New Roman (正文 CS 字体)"/>
      <w:sz w:val="24"/>
    </w:rPr>
  </w:style>
  <w:style w:type="paragraph" w:customStyle="1" w:styleId="301">
    <w:name w:val="纯文本2"/>
    <w:basedOn w:val="1"/>
    <w:qFormat/>
    <w:uiPriority w:val="0"/>
    <w:pPr>
      <w:spacing w:line="360" w:lineRule="auto"/>
      <w:ind w:firstLine="200"/>
    </w:pPr>
    <w:rPr>
      <w:rFonts w:ascii="宋体" w:hAnsi="Courier New"/>
      <w:sz w:val="20"/>
      <w:szCs w:val="20"/>
    </w:rPr>
  </w:style>
  <w:style w:type="paragraph" w:customStyle="1" w:styleId="302">
    <w:name w:val="纯文本12"/>
    <w:basedOn w:val="1"/>
    <w:qFormat/>
    <w:uiPriority w:val="0"/>
    <w:rPr>
      <w:rFonts w:ascii="宋体" w:hAnsi="Courier New" w:cs="Courier New"/>
      <w:szCs w:val="21"/>
    </w:rPr>
  </w:style>
  <w:style w:type="character" w:customStyle="1" w:styleId="303">
    <w:name w:val="rvts10"/>
    <w:qFormat/>
    <w:uiPriority w:val="0"/>
    <w:rPr>
      <w:rFonts w:ascii="KNLe" w:hAnsi="KNL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wmf"/><Relationship Id="rId10" Type="http://schemas.openxmlformats.org/officeDocument/2006/relationships/oleObject" Target="embeddings/oleObject1.bin"/><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e584235-f787-44f3-b5f5-8eba0b8176c6}"/>
        <w:style w:val=""/>
        <w:category>
          <w:name w:val="常规"/>
          <w:gallery w:val="placeholder"/>
        </w:category>
        <w:types>
          <w:type w:val="bbPlcHdr"/>
        </w:types>
        <w:behaviors>
          <w:behavior w:val="content"/>
        </w:behaviors>
        <w:description w:val=""/>
        <w:guid w:val="{2e584235-f787-44f3-b5f5-8eba0b8176c6}"/>
      </w:docPartPr>
      <w:docPartBody>
        <w:p w14:paraId="3315458C">
          <w:r>
            <w:rPr>
              <w:rStyle w:val="3"/>
              <w:rFonts w:hint="eastAsia"/>
            </w:rPr>
            <w:t>单击或点击此处输入文字。</w:t>
          </w:r>
        </w:p>
      </w:docPartBody>
    </w:docPart>
    <w:docPart>
      <w:docPartPr>
        <w:name w:val="{5da55318-2ea7-4095-829c-12161b593d98}"/>
        <w:style w:val=""/>
        <w:category>
          <w:name w:val="常规"/>
          <w:gallery w:val="placeholder"/>
        </w:category>
        <w:types>
          <w:type w:val="bbPlcHdr"/>
        </w:types>
        <w:behaviors>
          <w:behavior w:val="content"/>
        </w:behaviors>
        <w:description w:val=""/>
        <w:guid w:val="{5da55318-2ea7-4095-829c-12161b593d98}"/>
      </w:docPartPr>
      <w:docPartBody>
        <w:p w14:paraId="149E798A">
          <w:r>
            <w:rPr>
              <w:rStyle w:val="3"/>
              <w:rFonts w:hint="eastAsia"/>
            </w:rPr>
            <w:t>单击或点击此处输入文字。</w:t>
          </w:r>
        </w:p>
      </w:docPartBody>
    </w:docPart>
    <w:docPart>
      <w:docPartPr>
        <w:name w:val="{3ece5bad-a35b-4bbb-81a2-3bb10c6fd801}"/>
        <w:style w:val=""/>
        <w:category>
          <w:name w:val="常规"/>
          <w:gallery w:val="placeholder"/>
        </w:category>
        <w:types>
          <w:type w:val="bbPlcHdr"/>
        </w:types>
        <w:behaviors>
          <w:behavior w:val="content"/>
        </w:behaviors>
        <w:description w:val=""/>
        <w:guid w:val="{3ece5bad-a35b-4bbb-81a2-3bb10c6fd801}"/>
      </w:docPartPr>
      <w:docPartBody>
        <w:p w14:paraId="48740C10">
          <w:r>
            <w:rPr>
              <w:rStyle w:val="3"/>
              <w:rFonts w:hint="eastAsia"/>
            </w:rPr>
            <w:t>单击或点击此处输入文字。</w:t>
          </w:r>
        </w:p>
      </w:docPartBody>
    </w:docPart>
    <w:docPart>
      <w:docPartPr>
        <w:name w:val="{a854329c-08da-4807-b271-5baa252e079b}"/>
        <w:style w:val=""/>
        <w:category>
          <w:name w:val="常规"/>
          <w:gallery w:val="placeholder"/>
        </w:category>
        <w:types>
          <w:type w:val="bbPlcHdr"/>
        </w:types>
        <w:behaviors>
          <w:behavior w:val="content"/>
        </w:behaviors>
        <w:description w:val=""/>
        <w:guid w:val="{a854329c-08da-4807-b271-5baa252e079b}"/>
      </w:docPartPr>
      <w:docPartBody>
        <w:p w14:paraId="0722904B">
          <w:r>
            <w:rPr>
              <w:rStyle w:val="3"/>
              <w:rFonts w:hint="eastAsia"/>
            </w:rPr>
            <w:t>单击或点击此处输入文字。</w:t>
          </w:r>
        </w:p>
      </w:docPartBody>
    </w:docPart>
    <w:docPart>
      <w:docPartPr>
        <w:name w:val="{775312c0-5c93-483c-8e7b-e860b69e32d6}"/>
        <w:style w:val=""/>
        <w:category>
          <w:name w:val="常规"/>
          <w:gallery w:val="placeholder"/>
        </w:category>
        <w:types>
          <w:type w:val="bbPlcHdr"/>
        </w:types>
        <w:behaviors>
          <w:behavior w:val="content"/>
        </w:behaviors>
        <w:description w:val=""/>
        <w:guid w:val="{775312c0-5c93-483c-8e7b-e860b69e32d6}"/>
      </w:docPartPr>
      <w:docPartBody>
        <w:p w14:paraId="13BAC30E">
          <w:r>
            <w:rPr>
              <w:rStyle w:val="3"/>
              <w:rFonts w:hint="eastAsia"/>
            </w:rPr>
            <w:t>单击或点击此处输入文字。</w:t>
          </w:r>
        </w:p>
      </w:docPartBody>
    </w:docPart>
    <w:docPart>
      <w:docPartPr>
        <w:name w:val="{30544da4-503c-45e8-a188-8033676490d8}"/>
        <w:style w:val=""/>
        <w:category>
          <w:name w:val="常规"/>
          <w:gallery w:val="placeholder"/>
        </w:category>
        <w:types>
          <w:type w:val="bbPlcHdr"/>
        </w:types>
        <w:behaviors>
          <w:behavior w:val="content"/>
        </w:behaviors>
        <w:description w:val=""/>
        <w:guid w:val="{30544da4-503c-45e8-a188-8033676490d8}"/>
      </w:docPartPr>
      <w:docPartBody>
        <w:p w14:paraId="226FDDDE">
          <w:r>
            <w:rPr>
              <w:rStyle w:val="3"/>
              <w:rFonts w:hint="eastAsia"/>
            </w:rPr>
            <w:t>单击或点击此处输入文字。</w:t>
          </w:r>
        </w:p>
      </w:docPartBody>
    </w:docPart>
    <w:docPart>
      <w:docPartPr>
        <w:name w:val="{144600ac-0a41-41b7-bad1-8f8cc45eeedb}"/>
        <w:style w:val=""/>
        <w:category>
          <w:name w:val="常规"/>
          <w:gallery w:val="placeholder"/>
        </w:category>
        <w:types>
          <w:type w:val="bbPlcHdr"/>
        </w:types>
        <w:behaviors>
          <w:behavior w:val="content"/>
        </w:behaviors>
        <w:description w:val=""/>
        <w:guid w:val="{144600ac-0a41-41b7-bad1-8f8cc45eeedb}"/>
      </w:docPartPr>
      <w:docPartBody>
        <w:p w14:paraId="6741B209">
          <w:r>
            <w:rPr>
              <w:rStyle w:val="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Arial">
    <w:panose1 w:val="020B0604020202090204"/>
    <w:charset w:val="86"/>
    <w:family w:val="auto"/>
    <w:pitch w:val="default"/>
    <w:sig w:usb0="E0000AFF" w:usb1="00007843" w:usb2="00000001" w:usb3="00000000" w:csb0="400001BF" w:csb1="DFF70000"/>
  </w:font>
  <w:font w:name="Arial">
    <w:panose1 w:val="020B0604020202090204"/>
    <w:charset w:val="00"/>
    <w:family w:val="auto"/>
    <w:pitch w:val="default"/>
    <w:sig w:usb0="E0000AFF" w:usb1="00007843" w:usb2="00000001" w:usb3="00000000" w:csb0="400001BF" w:csb1="DFF7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semiHidden="0" w:name="Placeholder Text"/>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character" w:default="1" w:styleId="2">
    <w:name w:val="Default Paragraph Font"/>
    <w:semiHidden/>
    <w:unhideWhenUsed/>
    <w:qFormat/>
    <w:uiPriority w:val="1"/>
  </w:style>
  <w:style w:type="character" w:styleId="3">
    <w:name w:val="Placeholder Text"/>
    <w:basedOn w:val="2"/>
    <w:unhideWhenUsed/>
    <w:qFormat/>
    <w:uiPriority w:val="99"/>
    <w:rPr>
      <w:color w:val="808080"/>
    </w:rPr>
  </w:style>
</w:style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微软</Company>
  <Pages>122</Pages>
  <Words>2926</Words>
  <Characters>3406</Characters>
  <TotalTime>8</TotalTime>
  <ScaleCrop>false</ScaleCrop>
  <LinksUpToDate>false</LinksUpToDate>
  <CharactersWithSpaces>3472</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2025-08-27T18:03:00Z</dcterms:created>
  <dc:creator>isl</dc:creator>
  <cp:lastModifiedBy>JSTCC</cp:lastModifiedBy>
  <dcterms:modified xsi:type="dcterms:W3CDTF">2026-10-10T13:50:47Z</dcterms:modified>
  <dc:title>第五章 单一</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eyJoZGlkIjoiZmZhYTU3OTlkMzhlMTFjMGY3ZDM0ZDQ1OTdlMTVhYjMiLCJ1c2VySWQiOiIxNTYwNDAxOTY1In0=</vt:lpwstr>
  </property>
  <property fmtid="{D5CDD505-2E9C-101B-9397-08002B2CF9AE}" pid="3" name="KSOProductBuildVer">
    <vt:lpwstr>2052-12.1.24031.24031</vt:lpwstr>
  </property>
  <property fmtid="{D5CDD505-2E9C-101B-9397-08002B2CF9AE}" pid="4" name="ICV">
    <vt:lpwstr>938589F0C3064C45A1ECFEA30E9EE4B5_12</vt:lpwstr>
  </property>
</Properties>
</file>