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nts/font4.odttf" ContentType="application/vnd.openxmlformats-officedocument.obfuscatedFont"/>
  <Override PartName="/word/fonts/font5.odttf" ContentType="application/vnd.openxmlformats-officedocument.obfuscatedFont"/>
  <Override PartName="/word/fonts/font6.odttf" ContentType="application/vnd.openxmlformats-officedocument.obfuscatedFont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A68A89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283" w:line="480" w:lineRule="exact"/>
        <w:ind w:left="0"/>
        <w:jc w:val="center"/>
        <w:textAlignment w:val="auto"/>
        <w:rPr>
          <w:rFonts w:hint="default" w:ascii="Times New Roman" w:hAnsi="Times New Roman" w:eastAsia="方正小标宋简体" w:cs="Times New Roman"/>
          <w:sz w:val="32"/>
          <w:szCs w:val="32"/>
          <w:lang w:eastAsia="zh-CN"/>
        </w:rPr>
      </w:pPr>
      <w:r>
        <w:rPr>
          <w:rFonts w:hint="default" w:ascii="Times New Roman" w:hAnsi="Times New Roman" w:eastAsia="方正小标宋简体" w:cs="Times New Roman"/>
          <w:b/>
          <w:sz w:val="32"/>
          <w:szCs w:val="32"/>
        </w:rPr>
        <w:t>补充耕地培肥实施工作</w:t>
      </w:r>
      <w:r>
        <w:rPr>
          <w:rFonts w:hint="default" w:ascii="Times New Roman" w:hAnsi="Times New Roman" w:eastAsia="方正小标宋简体" w:cs="Times New Roman"/>
          <w:b/>
          <w:sz w:val="32"/>
          <w:szCs w:val="32"/>
          <w:lang w:val="en-US" w:eastAsia="zh-CN"/>
        </w:rPr>
        <w:t>指引</w:t>
      </w:r>
    </w:p>
    <w:p w14:paraId="4EB3D6B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firstLine="440" w:firstLineChars="200"/>
        <w:jc w:val="left"/>
        <w:textAlignment w:val="auto"/>
        <w:rPr>
          <w:rFonts w:hint="default" w:ascii="Times New Roman" w:hAnsi="Times New Roman" w:eastAsia="方正仿宋_GB2312" w:cs="Times New Roman"/>
          <w:b w:val="0"/>
          <w:bCs w:val="0"/>
          <w:color w:val="000000" w:themeColor="text1"/>
          <w14:textFill>
            <w14:solidFill>
              <w14:schemeClr w14:val="tx1"/>
            </w14:solidFill>
          </w14:textFill>
        </w:rPr>
      </w:pPr>
      <w:r>
        <w:rPr>
          <w:rFonts w:hint="default" w:ascii="Times New Roman" w:hAnsi="Times New Roman" w:eastAsia="方正仿宋_GB2312" w:cs="Times New Roman"/>
          <w:b w:val="0"/>
          <w:bCs w:val="0"/>
          <w:sz w:val="22"/>
        </w:rPr>
        <w:t>为规范我</w:t>
      </w:r>
      <w:r>
        <w:rPr>
          <w:rFonts w:hint="default" w:ascii="Times New Roman" w:hAnsi="Times New Roman" w:eastAsia="方正仿宋_GB2312" w:cs="Times New Roman"/>
          <w:b w:val="0"/>
          <w:bCs w:val="0"/>
          <w:sz w:val="22"/>
          <w:lang w:val="en-US" w:eastAsia="zh-CN"/>
        </w:rPr>
        <w:t>市</w:t>
      </w:r>
      <w:r>
        <w:rPr>
          <w:rFonts w:hint="default" w:ascii="Times New Roman" w:hAnsi="Times New Roman" w:eastAsia="方正仿宋_GB2312" w:cs="Times New Roman"/>
          <w:b w:val="0"/>
          <w:bCs w:val="0"/>
          <w:sz w:val="22"/>
        </w:rPr>
        <w:t>补充耕地培肥项目实施流程，统一作业标准、压实工作责任、保障培肥质量，确保新增耕地土壤</w:t>
      </w:r>
      <w:r>
        <w:rPr>
          <w:rFonts w:hint="default" w:ascii="Times New Roman" w:hAnsi="Times New Roman" w:eastAsia="方正仿宋_GB2312" w:cs="Times New Roman"/>
          <w:b w:val="0"/>
          <w:bCs w:val="0"/>
          <w:color w:val="000000" w:themeColor="text1"/>
          <w:sz w:val="22"/>
          <w14:textFill>
            <w14:solidFill>
              <w14:schemeClr w14:val="tx1"/>
            </w14:solidFill>
          </w14:textFill>
        </w:rPr>
        <w:t>肥力达到既定</w:t>
      </w:r>
      <w:r>
        <w:rPr>
          <w:rFonts w:hint="default" w:ascii="Times New Roman" w:hAnsi="Times New Roman" w:eastAsia="方正仿宋_GB2312" w:cs="Times New Roman"/>
          <w:b w:val="0"/>
          <w:bCs w:val="0"/>
          <w:color w:val="000000" w:themeColor="text1"/>
          <w:sz w:val="22"/>
          <w:lang w:eastAsia="zh-CN"/>
          <w14:textFill>
            <w14:solidFill>
              <w14:schemeClr w14:val="tx1"/>
            </w14:solidFill>
          </w14:textFill>
        </w:rPr>
        <w:t>目标</w:t>
      </w:r>
      <w:r>
        <w:rPr>
          <w:rFonts w:hint="default" w:ascii="Times New Roman" w:hAnsi="Times New Roman" w:eastAsia="方正仿宋_GB2312" w:cs="Times New Roman"/>
          <w:b w:val="0"/>
          <w:bCs w:val="0"/>
          <w:color w:val="000000" w:themeColor="text1"/>
          <w:sz w:val="22"/>
          <w:lang w:val="en-US" w:eastAsia="zh-CN"/>
          <w14:textFill>
            <w14:solidFill>
              <w14:schemeClr w14:val="tx1"/>
            </w14:solidFill>
          </w14:textFill>
        </w:rPr>
        <w:t>，</w:t>
      </w:r>
      <w:r>
        <w:rPr>
          <w:rFonts w:hint="default" w:ascii="Times New Roman" w:hAnsi="Times New Roman" w:eastAsia="方正仿宋_GB2312" w:cs="Times New Roman"/>
          <w:b w:val="0"/>
          <w:bCs w:val="0"/>
          <w:color w:val="000000" w:themeColor="text1"/>
          <w:sz w:val="22"/>
          <w14:textFill>
            <w14:solidFill>
              <w14:schemeClr w14:val="tx1"/>
            </w14:solidFill>
          </w14:textFill>
        </w:rPr>
        <w:t>结合项目实际，现就补充耕地培肥工作提出如下实施建议：</w:t>
      </w:r>
    </w:p>
    <w:p w14:paraId="2430EF5E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440" w:firstLineChars="200"/>
        <w:jc w:val="left"/>
        <w:textAlignment w:val="auto"/>
        <w:rPr>
          <w:rFonts w:hint="default" w:ascii="Times New Roman" w:hAnsi="Times New Roman" w:eastAsia="方正仿宋_GB2312" w:cs="Times New Roman"/>
          <w:b w:val="0"/>
          <w:bCs w:val="0"/>
          <w:color w:val="000000" w:themeColor="text1"/>
          <w:sz w:val="22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default" w:ascii="Times New Roman" w:hAnsi="Times New Roman" w:eastAsia="方正仿宋_GB2312" w:cs="Times New Roman"/>
          <w:b w:val="0"/>
          <w:bCs w:val="0"/>
          <w:color w:val="000000" w:themeColor="text1"/>
          <w:sz w:val="22"/>
          <w:lang w:val="en-US" w:eastAsia="zh-CN"/>
          <w14:textFill>
            <w14:solidFill>
              <w14:schemeClr w14:val="tx1"/>
            </w14:solidFill>
          </w14:textFill>
        </w:rPr>
        <w:t>1、</w:t>
      </w:r>
      <w:r>
        <w:rPr>
          <w:rFonts w:hint="default" w:ascii="Times New Roman" w:hAnsi="Times New Roman" w:eastAsia="方正仿宋_GB2312" w:cs="Times New Roman"/>
          <w:b w:val="0"/>
          <w:bCs w:val="0"/>
          <w:color w:val="000000" w:themeColor="text1"/>
          <w:sz w:val="22"/>
          <w14:textFill>
            <w14:solidFill>
              <w14:schemeClr w14:val="tx1"/>
            </w14:solidFill>
          </w14:textFill>
        </w:rPr>
        <w:t>建议</w:t>
      </w:r>
      <w:r>
        <w:rPr>
          <w:rFonts w:hint="default" w:ascii="Times New Roman" w:hAnsi="Times New Roman" w:eastAsia="方正仿宋_GB2312" w:cs="Times New Roman"/>
          <w:b w:val="0"/>
          <w:bCs w:val="0"/>
          <w:color w:val="000000" w:themeColor="text1"/>
          <w:sz w:val="22"/>
          <w:lang w:val="en-US" w:eastAsia="zh-CN"/>
          <w14:textFill>
            <w14:solidFill>
              <w14:schemeClr w14:val="tx1"/>
            </w14:solidFill>
          </w14:textFill>
        </w:rPr>
        <w:t>委托</w:t>
      </w:r>
      <w:r>
        <w:rPr>
          <w:rFonts w:hint="default" w:ascii="Times New Roman" w:hAnsi="Times New Roman" w:eastAsia="方正仿宋_GB2312" w:cs="Times New Roman"/>
          <w:b w:val="0"/>
          <w:bCs w:val="0"/>
          <w:color w:val="000000" w:themeColor="text1"/>
          <w:sz w:val="22"/>
          <w:lang w:eastAsia="zh-CN"/>
          <w14:textFill>
            <w14:solidFill>
              <w14:schemeClr w14:val="tx1"/>
            </w14:solidFill>
          </w14:textFill>
        </w:rPr>
        <w:t>具有</w:t>
      </w:r>
      <w:r>
        <w:rPr>
          <w:rFonts w:hint="default" w:ascii="Times New Roman" w:hAnsi="Times New Roman" w:eastAsia="方正仿宋_GB2312" w:cs="Times New Roman"/>
          <w:b w:val="0"/>
          <w:bCs w:val="0"/>
          <w:color w:val="000000" w:themeColor="text1"/>
          <w:sz w:val="22"/>
          <w14:textFill>
            <w14:solidFill>
              <w14:schemeClr w14:val="tx1"/>
            </w14:solidFill>
          </w14:textFill>
        </w:rPr>
        <w:t>耕地培肥施工经验、</w:t>
      </w:r>
      <w:r>
        <w:rPr>
          <w:rFonts w:hint="default" w:ascii="Times New Roman" w:hAnsi="Times New Roman" w:eastAsia="方正仿宋_GB2312" w:cs="Times New Roman"/>
          <w:b w:val="0"/>
          <w:bCs w:val="0"/>
          <w:color w:val="000000" w:themeColor="text1"/>
          <w:sz w:val="22"/>
          <w:lang w:val="en-US" w:eastAsia="zh-CN"/>
          <w14:textFill>
            <w14:solidFill>
              <w14:schemeClr w14:val="tx1"/>
            </w14:solidFill>
          </w14:textFill>
        </w:rPr>
        <w:t>配合度高、</w:t>
      </w:r>
      <w:r>
        <w:rPr>
          <w:rFonts w:hint="default" w:ascii="Times New Roman" w:hAnsi="Times New Roman" w:eastAsia="方正仿宋_GB2312" w:cs="Times New Roman"/>
          <w:b w:val="0"/>
          <w:bCs w:val="0"/>
          <w:color w:val="000000" w:themeColor="text1"/>
          <w:sz w:val="22"/>
          <w14:textFill>
            <w14:solidFill>
              <w14:schemeClr w14:val="tx1"/>
            </w14:solidFill>
          </w14:textFill>
        </w:rPr>
        <w:t>信誉良好的第三方机构</w:t>
      </w:r>
      <w:r>
        <w:rPr>
          <w:rFonts w:hint="eastAsia" w:ascii="Times New Roman" w:hAnsi="Times New Roman" w:eastAsia="方正仿宋_GB2312" w:cs="Times New Roman"/>
          <w:b w:val="0"/>
          <w:bCs w:val="0"/>
          <w:color w:val="000000" w:themeColor="text1"/>
          <w:sz w:val="22"/>
          <w:lang w:eastAsia="zh-CN"/>
          <w14:textFill>
            <w14:solidFill>
              <w14:schemeClr w14:val="tx1"/>
            </w14:solidFill>
          </w14:textFill>
        </w:rPr>
        <w:t>（</w:t>
      </w:r>
      <w:r>
        <w:rPr>
          <w:rFonts w:hint="default" w:ascii="Times New Roman" w:hAnsi="Times New Roman" w:eastAsia="方正仿宋_GB2312" w:cs="Times New Roman"/>
          <w:b w:val="0"/>
          <w:bCs w:val="0"/>
          <w:color w:val="000000" w:themeColor="text1"/>
          <w:sz w:val="22"/>
          <w:lang w:val="en-US" w:eastAsia="zh-CN"/>
          <w14:textFill>
            <w14:solidFill>
              <w14:schemeClr w14:val="tx1"/>
            </w14:solidFill>
          </w14:textFill>
        </w:rPr>
        <w:t>综合考虑作业单位的资质</w:t>
      </w:r>
      <w:r>
        <w:rPr>
          <w:rFonts w:hint="eastAsia" w:ascii="Times New Roman" w:hAnsi="Times New Roman" w:eastAsia="方正仿宋_GB2312" w:cs="Times New Roman"/>
          <w:b w:val="0"/>
          <w:bCs w:val="0"/>
          <w:color w:val="000000" w:themeColor="text1"/>
          <w:sz w:val="22"/>
          <w:lang w:val="en-US" w:eastAsia="zh-CN"/>
          <w14:textFill>
            <w14:solidFill>
              <w14:schemeClr w14:val="tx1"/>
            </w14:solidFill>
          </w14:textFill>
        </w:rPr>
        <w:t>：</w:t>
      </w:r>
      <w:r>
        <w:rPr>
          <w:rFonts w:hint="default" w:ascii="Times New Roman" w:hAnsi="Times New Roman" w:eastAsia="方正仿宋_GB2312" w:cs="Times New Roman"/>
          <w:b w:val="0"/>
          <w:bCs w:val="0"/>
          <w:color w:val="000000" w:themeColor="text1"/>
          <w:sz w:val="22"/>
          <w:lang w:val="en-US" w:eastAsia="zh-CN"/>
          <w14:textFill>
            <w14:solidFill>
              <w14:schemeClr w14:val="tx1"/>
            </w14:solidFill>
          </w14:textFill>
        </w:rPr>
        <w:t>质量管理体系认证、环境管理体系认证，职业健康安全体系认证</w:t>
      </w:r>
      <w:r>
        <w:rPr>
          <w:rFonts w:hint="eastAsia" w:ascii="Times New Roman" w:hAnsi="Times New Roman" w:eastAsia="方正仿宋_GB2312" w:cs="Times New Roman"/>
          <w:b w:val="0"/>
          <w:bCs w:val="0"/>
          <w:color w:val="000000" w:themeColor="text1"/>
          <w:sz w:val="22"/>
          <w:lang w:val="en-US" w:eastAsia="zh-CN"/>
          <w14:textFill>
            <w14:solidFill>
              <w14:schemeClr w14:val="tx1"/>
            </w14:solidFill>
          </w14:textFill>
        </w:rPr>
        <w:t>；</w:t>
      </w:r>
      <w:r>
        <w:rPr>
          <w:rFonts w:hint="default" w:ascii="Times New Roman" w:hAnsi="Times New Roman" w:eastAsia="方正仿宋_GB2312" w:cs="Times New Roman"/>
          <w:b w:val="0"/>
          <w:bCs w:val="0"/>
          <w:color w:val="000000" w:themeColor="text1"/>
          <w:sz w:val="22"/>
          <w:lang w:val="en-US" w:eastAsia="zh-CN"/>
          <w14:textFill>
            <w14:solidFill>
              <w14:schemeClr w14:val="tx1"/>
            </w14:solidFill>
          </w14:textFill>
        </w:rPr>
        <w:t>资源配置</w:t>
      </w:r>
      <w:r>
        <w:rPr>
          <w:rFonts w:hint="eastAsia" w:ascii="Times New Roman" w:hAnsi="Times New Roman" w:eastAsia="方正仿宋_GB2312" w:cs="Times New Roman"/>
          <w:b w:val="0"/>
          <w:bCs w:val="0"/>
          <w:color w:val="000000" w:themeColor="text1"/>
          <w:sz w:val="22"/>
          <w:lang w:val="en-US" w:eastAsia="zh-CN"/>
          <w14:textFill>
            <w14:solidFill>
              <w14:schemeClr w14:val="tx1"/>
            </w14:solidFill>
          </w14:textFill>
        </w:rPr>
        <w:t>：</w:t>
      </w:r>
      <w:r>
        <w:rPr>
          <w:rFonts w:hint="default" w:ascii="Times New Roman" w:hAnsi="Times New Roman" w:eastAsia="方正仿宋_GB2312" w:cs="Times New Roman"/>
          <w:b w:val="0"/>
          <w:bCs w:val="0"/>
          <w:color w:val="000000" w:themeColor="text1"/>
          <w:sz w:val="22"/>
          <w:lang w:val="en-US" w:eastAsia="zh-CN"/>
          <w14:textFill>
            <w14:solidFill>
              <w14:schemeClr w14:val="tx1"/>
            </w14:solidFill>
          </w14:textFill>
        </w:rPr>
        <w:t>人员学历：至少有一个高级职称，人员配置：十人以上，作业能力：有撒施肥料的专业作业机械等）不建议低价中标。</w:t>
      </w:r>
    </w:p>
    <w:p w14:paraId="5CB17177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440" w:firstLineChars="200"/>
        <w:jc w:val="left"/>
        <w:textAlignment w:val="auto"/>
        <w:rPr>
          <w:rFonts w:hint="default" w:ascii="Times New Roman" w:hAnsi="Times New Roman" w:eastAsia="方正仿宋_GB2312" w:cs="Times New Roman"/>
          <w:b w:val="0"/>
          <w:bCs w:val="0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hint="default" w:ascii="Times New Roman" w:hAnsi="Times New Roman" w:eastAsia="方正仿宋_GB2312" w:cs="Times New Roman"/>
          <w:b w:val="0"/>
          <w:bCs w:val="0"/>
          <w:color w:val="000000" w:themeColor="text1"/>
          <w:sz w:val="22"/>
          <w14:textFill>
            <w14:solidFill>
              <w14:schemeClr w14:val="tx1"/>
            </w14:solidFill>
          </w14:textFill>
        </w:rPr>
        <w:t>作为</w:t>
      </w:r>
      <w:r>
        <w:rPr>
          <w:rFonts w:hint="default" w:ascii="Times New Roman" w:hAnsi="Times New Roman" w:eastAsia="方正仿宋_GB2312" w:cs="Times New Roman"/>
          <w:b w:val="0"/>
          <w:bCs w:val="0"/>
          <w:color w:val="000000" w:themeColor="text1"/>
          <w:sz w:val="22"/>
          <w:lang w:eastAsia="zh-CN"/>
          <w14:textFill>
            <w14:solidFill>
              <w14:schemeClr w14:val="tx1"/>
            </w14:solidFill>
          </w14:textFill>
        </w:rPr>
        <w:t>补充耕地项目</w:t>
      </w:r>
      <w:r>
        <w:rPr>
          <w:rFonts w:hint="default" w:ascii="Times New Roman" w:hAnsi="Times New Roman" w:eastAsia="方正仿宋_GB2312" w:cs="Times New Roman"/>
          <w:b w:val="0"/>
          <w:bCs w:val="0"/>
          <w:color w:val="000000" w:themeColor="text1"/>
          <w:sz w:val="22"/>
          <w14:textFill>
            <w14:solidFill>
              <w14:schemeClr w14:val="tx1"/>
            </w14:solidFill>
          </w14:textFill>
        </w:rPr>
        <w:t>培肥实施单位，</w:t>
      </w:r>
      <w:r>
        <w:rPr>
          <w:rFonts w:hint="default" w:ascii="Times New Roman" w:hAnsi="Times New Roman" w:eastAsia="方正仿宋_GB2312" w:cs="Times New Roman"/>
          <w:b w:val="0"/>
          <w:bCs w:val="0"/>
          <w:color w:val="000000" w:themeColor="text1"/>
          <w:sz w:val="22"/>
          <w:lang w:val="en-US" w:eastAsia="zh-CN"/>
          <w14:textFill>
            <w14:solidFill>
              <w14:schemeClr w14:val="tx1"/>
            </w14:solidFill>
          </w14:textFill>
        </w:rPr>
        <w:t>全程</w:t>
      </w:r>
      <w:r>
        <w:rPr>
          <w:rFonts w:hint="default" w:ascii="Times New Roman" w:hAnsi="Times New Roman" w:eastAsia="方正仿宋_GB2312" w:cs="Times New Roman"/>
          <w:b w:val="0"/>
          <w:bCs w:val="0"/>
          <w:color w:val="000000" w:themeColor="text1"/>
          <w:sz w:val="22"/>
          <w14:textFill>
            <w14:solidFill>
              <w14:schemeClr w14:val="tx1"/>
            </w14:solidFill>
          </w14:textFill>
        </w:rPr>
        <w:t>负责</w:t>
      </w:r>
      <w:r>
        <w:rPr>
          <w:rFonts w:hint="default" w:ascii="Times New Roman" w:hAnsi="Times New Roman" w:eastAsia="方正仿宋_GB2312" w:cs="Times New Roman"/>
          <w:b w:val="0"/>
          <w:bCs w:val="0"/>
          <w:color w:val="000000" w:themeColor="text1"/>
          <w:sz w:val="22"/>
          <w:lang w:eastAsia="zh-CN"/>
          <w14:textFill>
            <w14:solidFill>
              <w14:schemeClr w14:val="tx1"/>
            </w14:solidFill>
          </w14:textFill>
        </w:rPr>
        <w:t>有机肥</w:t>
      </w:r>
      <w:r>
        <w:rPr>
          <w:rFonts w:hint="default" w:ascii="Times New Roman" w:hAnsi="Times New Roman" w:eastAsia="方正仿宋_GB2312" w:cs="Times New Roman"/>
          <w:b w:val="0"/>
          <w:bCs w:val="0"/>
          <w:color w:val="000000" w:themeColor="text1"/>
          <w:sz w:val="22"/>
          <w:lang w:val="en-US" w:eastAsia="zh-CN"/>
          <w14:textFill>
            <w14:solidFill>
              <w14:schemeClr w14:val="tx1"/>
            </w14:solidFill>
          </w14:textFill>
        </w:rPr>
        <w:t>料</w:t>
      </w:r>
      <w:r>
        <w:rPr>
          <w:rFonts w:hint="default" w:ascii="Times New Roman" w:hAnsi="Times New Roman" w:eastAsia="方正仿宋_GB2312" w:cs="Times New Roman"/>
          <w:b w:val="0"/>
          <w:bCs w:val="0"/>
          <w:color w:val="000000" w:themeColor="text1"/>
          <w:sz w:val="22"/>
          <w:lang w:eastAsia="zh-CN"/>
          <w14:textFill>
            <w14:solidFill>
              <w14:schemeClr w14:val="tx1"/>
            </w14:solidFill>
          </w14:textFill>
        </w:rPr>
        <w:t>供应、</w:t>
      </w:r>
      <w:r>
        <w:rPr>
          <w:rFonts w:hint="default" w:ascii="Times New Roman" w:hAnsi="Times New Roman" w:eastAsia="方正仿宋_GB2312" w:cs="Times New Roman"/>
          <w:b w:val="0"/>
          <w:bCs w:val="0"/>
          <w:color w:val="000000" w:themeColor="text1"/>
          <w:sz w:val="22"/>
          <w14:textFill>
            <w14:solidFill>
              <w14:schemeClr w14:val="tx1"/>
            </w14:solidFill>
          </w14:textFill>
        </w:rPr>
        <w:t>运输、撒施、深翻、</w:t>
      </w:r>
      <w:r>
        <w:rPr>
          <w:rFonts w:hint="default" w:ascii="Times New Roman" w:hAnsi="Times New Roman" w:eastAsia="方正仿宋_GB2312" w:cs="Times New Roman"/>
          <w:b w:val="0"/>
          <w:bCs w:val="0"/>
          <w:color w:val="000000" w:themeColor="text1"/>
          <w:sz w:val="22"/>
          <w:lang w:val="en-US" w:eastAsia="zh-CN"/>
          <w14:textFill>
            <w14:solidFill>
              <w14:schemeClr w14:val="tx1"/>
            </w14:solidFill>
          </w14:textFill>
        </w:rPr>
        <w:t>拍摄、</w:t>
      </w:r>
      <w:r>
        <w:rPr>
          <w:rFonts w:hint="default" w:ascii="Times New Roman" w:hAnsi="Times New Roman" w:eastAsia="方正仿宋_GB2312" w:cs="Times New Roman"/>
          <w:b w:val="0"/>
          <w:bCs w:val="0"/>
          <w:color w:val="000000" w:themeColor="text1"/>
          <w:sz w:val="22"/>
          <w14:textFill>
            <w14:solidFill>
              <w14:schemeClr w14:val="tx1"/>
            </w14:solidFill>
          </w14:textFill>
        </w:rPr>
        <w:t>台账记录等全套培肥作业工作</w:t>
      </w:r>
      <w:r>
        <w:rPr>
          <w:rFonts w:hint="default" w:ascii="Times New Roman" w:hAnsi="Times New Roman" w:eastAsia="方正仿宋_GB2312" w:cs="Times New Roman"/>
          <w:b w:val="0"/>
          <w:bCs w:val="0"/>
          <w:color w:val="000000" w:themeColor="text1"/>
          <w:sz w:val="22"/>
          <w:lang w:eastAsia="zh-CN"/>
          <w14:textFill>
            <w14:solidFill>
              <w14:schemeClr w14:val="tx1"/>
            </w14:solidFill>
          </w14:textFill>
        </w:rPr>
        <w:t>和全流程可追溯工作档案</w:t>
      </w:r>
      <w:r>
        <w:rPr>
          <w:rFonts w:hint="default" w:ascii="Times New Roman" w:hAnsi="Times New Roman" w:eastAsia="方正仿宋_GB2312" w:cs="Times New Roman"/>
          <w:b w:val="0"/>
          <w:bCs w:val="0"/>
          <w:color w:val="000000" w:themeColor="text1"/>
          <w:sz w:val="22"/>
          <w14:textFill>
            <w14:solidFill>
              <w14:schemeClr w14:val="tx1"/>
            </w14:solidFill>
          </w14:textFill>
        </w:rPr>
        <w:t>，从源头保障培肥施工专业性和规范性。</w:t>
      </w:r>
    </w:p>
    <w:p w14:paraId="5D732BD2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440" w:firstLineChars="200"/>
        <w:jc w:val="left"/>
        <w:textAlignment w:val="auto"/>
        <w:rPr>
          <w:rFonts w:hint="default" w:ascii="Times New Roman" w:hAnsi="Times New Roman" w:eastAsia="方正仿宋_GB2312" w:cs="Times New Roman"/>
          <w:b w:val="0"/>
          <w:bCs w:val="0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hint="default" w:ascii="Times New Roman" w:hAnsi="Times New Roman" w:eastAsia="方正仿宋_GB2312" w:cs="Times New Roman"/>
          <w:b w:val="0"/>
          <w:bCs w:val="0"/>
          <w:color w:val="000000" w:themeColor="text1"/>
          <w:sz w:val="22"/>
          <w14:textFill>
            <w14:solidFill>
              <w14:schemeClr w14:val="tx1"/>
            </w14:solidFill>
          </w14:textFill>
        </w:rPr>
        <w:t>2、</w:t>
      </w:r>
      <w:r>
        <w:rPr>
          <w:rFonts w:hint="default" w:ascii="Times New Roman" w:hAnsi="Times New Roman" w:eastAsia="方正仿宋_GB2312" w:cs="Times New Roman"/>
          <w:b w:val="0"/>
          <w:bCs w:val="0"/>
          <w:color w:val="000000" w:themeColor="text1"/>
          <w:sz w:val="22"/>
          <w:lang w:val="en-US" w:eastAsia="zh-CN"/>
          <w14:textFill>
            <w14:solidFill>
              <w14:schemeClr w14:val="tx1"/>
            </w14:solidFill>
          </w14:textFill>
        </w:rPr>
        <w:t>根据前期调查情况和专家会商结果，建议使用</w:t>
      </w:r>
      <w:r>
        <w:rPr>
          <w:rFonts w:hint="default" w:ascii="Times New Roman" w:hAnsi="Times New Roman" w:eastAsia="方正仿宋_GB2312" w:cs="Times New Roman"/>
          <w:b w:val="0"/>
          <w:bCs w:val="0"/>
          <w:color w:val="000000" w:themeColor="text1"/>
          <w:sz w:val="22"/>
          <w14:textFill>
            <w14:solidFill>
              <w14:schemeClr w14:val="tx1"/>
            </w14:solidFill>
          </w14:textFill>
        </w:rPr>
        <w:t>有机肥</w:t>
      </w:r>
      <w:r>
        <w:rPr>
          <w:rFonts w:hint="default" w:ascii="Times New Roman" w:hAnsi="Times New Roman" w:eastAsia="方正仿宋_GB2312" w:cs="Times New Roman"/>
          <w:b w:val="0"/>
          <w:bCs w:val="0"/>
          <w:color w:val="000000" w:themeColor="text1"/>
          <w:sz w:val="22"/>
          <w:lang w:eastAsia="zh-CN"/>
          <w14:textFill>
            <w14:solidFill>
              <w14:schemeClr w14:val="tx1"/>
            </w14:solidFill>
          </w14:textFill>
        </w:rPr>
        <w:t>质量符合</w:t>
      </w:r>
      <w:r>
        <w:rPr>
          <w:rFonts w:hint="default" w:ascii="Times New Roman" w:hAnsi="Times New Roman" w:eastAsia="方正仿宋_GB2312" w:cs="Times New Roman"/>
          <w:b w:val="0"/>
          <w:bCs w:val="0"/>
          <w:color w:val="000000" w:themeColor="text1"/>
          <w:sz w:val="22"/>
          <w:lang w:val="en-US" w:eastAsia="zh-CN"/>
          <w14:textFill>
            <w14:solidFill>
              <w14:schemeClr w14:val="tx1"/>
            </w14:solidFill>
          </w14:textFill>
        </w:rPr>
        <w:t>NY/T525-2021、NY/T525-2026</w:t>
      </w:r>
      <w:r>
        <w:rPr>
          <w:rFonts w:hint="eastAsia" w:ascii="Times New Roman" w:hAnsi="Times New Roman" w:eastAsia="方正仿宋_GB2312" w:cs="Times New Roman"/>
          <w:b w:val="0"/>
          <w:bCs w:val="0"/>
          <w:color w:val="000000" w:themeColor="text1"/>
          <w:sz w:val="22"/>
          <w:lang w:val="en-US" w:eastAsia="zh-CN"/>
          <w14:textFill>
            <w14:solidFill>
              <w14:schemeClr w14:val="tx1"/>
            </w14:solidFill>
          </w14:textFill>
        </w:rPr>
        <w:t>标准</w:t>
      </w:r>
      <w:r>
        <w:rPr>
          <w:rFonts w:hint="default" w:ascii="Times New Roman" w:hAnsi="Times New Roman" w:eastAsia="方正仿宋_GB2312" w:cs="Times New Roman"/>
          <w:b w:val="0"/>
          <w:bCs w:val="0"/>
          <w:color w:val="000000" w:themeColor="text1"/>
          <w:sz w:val="22"/>
          <w:lang w:val="en-US" w:eastAsia="zh-CN"/>
          <w14:textFill>
            <w14:solidFill>
              <w14:schemeClr w14:val="tx1"/>
            </w14:solidFill>
          </w14:textFill>
        </w:rPr>
        <w:t>（2026年10月1日起，所有新生产的有机肥必须执行NY/T525-2026有机肥技术标准，各乡镇可委托第三方根据实际情况合理调整），建议</w:t>
      </w:r>
      <w:r>
        <w:rPr>
          <w:rFonts w:hint="default" w:ascii="Times New Roman" w:hAnsi="Times New Roman" w:eastAsia="方正仿宋_GB2312" w:cs="Times New Roman"/>
          <w:b w:val="0"/>
          <w:bCs w:val="0"/>
          <w:color w:val="000000" w:themeColor="text1"/>
          <w:sz w:val="22"/>
          <w14:textFill>
            <w14:solidFill>
              <w14:schemeClr w14:val="tx1"/>
            </w14:solidFill>
          </w14:textFill>
        </w:rPr>
        <w:t>优先考虑</w:t>
      </w:r>
      <w:r>
        <w:rPr>
          <w:rFonts w:hint="default" w:ascii="Times New Roman" w:hAnsi="Times New Roman" w:eastAsia="方正仿宋_GB2312" w:cs="Times New Roman"/>
          <w:b w:val="0"/>
          <w:bCs w:val="0"/>
          <w:color w:val="000000" w:themeColor="text1"/>
          <w:sz w:val="22"/>
          <w:lang w:val="en-US" w:eastAsia="zh-CN"/>
          <w14:textFill>
            <w14:solidFill>
              <w14:schemeClr w14:val="tx1"/>
            </w14:solidFill>
          </w14:textFill>
        </w:rPr>
        <w:t>以充分腐熟的菇渣类、秸秆等</w:t>
      </w:r>
      <w:r>
        <w:rPr>
          <w:rFonts w:hint="default" w:ascii="Times New Roman" w:hAnsi="Times New Roman" w:eastAsia="方正仿宋_GB2312" w:cs="Times New Roman"/>
          <w:b w:val="0"/>
          <w:bCs w:val="0"/>
          <w:color w:val="000000" w:themeColor="text1"/>
          <w:sz w:val="22"/>
          <w14:textFill>
            <w14:solidFill>
              <w14:schemeClr w14:val="tx1"/>
            </w14:solidFill>
          </w14:textFill>
        </w:rPr>
        <w:t>植物源</w:t>
      </w:r>
      <w:r>
        <w:rPr>
          <w:rFonts w:hint="default" w:ascii="Times New Roman" w:hAnsi="Times New Roman" w:eastAsia="方正仿宋_GB2312" w:cs="Times New Roman"/>
          <w:b w:val="0"/>
          <w:bCs w:val="0"/>
          <w:color w:val="000000" w:themeColor="text1"/>
          <w:sz w:val="22"/>
          <w:lang w:eastAsia="zh-CN"/>
          <w14:textFill>
            <w14:solidFill>
              <w14:schemeClr w14:val="tx1"/>
            </w14:solidFill>
          </w14:textFill>
        </w:rPr>
        <w:t>为</w:t>
      </w:r>
      <w:r>
        <w:rPr>
          <w:rFonts w:hint="default" w:ascii="Times New Roman" w:hAnsi="Times New Roman" w:eastAsia="方正仿宋_GB2312" w:cs="Times New Roman"/>
          <w:b w:val="0"/>
          <w:bCs w:val="0"/>
          <w:color w:val="000000" w:themeColor="text1"/>
          <w:sz w:val="22"/>
          <w:lang w:val="en-US" w:eastAsia="zh-CN"/>
          <w14:textFill>
            <w14:solidFill>
              <w14:schemeClr w14:val="tx1"/>
            </w14:solidFill>
          </w14:textFill>
        </w:rPr>
        <w:t>原料</w:t>
      </w:r>
      <w:r>
        <w:rPr>
          <w:rFonts w:hint="default" w:ascii="Times New Roman" w:hAnsi="Times New Roman" w:eastAsia="方正仿宋_GB2312" w:cs="Times New Roman"/>
          <w:b w:val="0"/>
          <w:bCs w:val="0"/>
          <w:color w:val="000000" w:themeColor="text1"/>
          <w:sz w:val="22"/>
          <w:lang w:eastAsia="zh-CN"/>
          <w14:textFill>
            <w14:solidFill>
              <w14:schemeClr w14:val="tx1"/>
            </w14:solidFill>
          </w14:textFill>
        </w:rPr>
        <w:t>生产的</w:t>
      </w:r>
      <w:r>
        <w:rPr>
          <w:rFonts w:hint="default" w:ascii="Times New Roman" w:hAnsi="Times New Roman" w:eastAsia="方正仿宋_GB2312" w:cs="Times New Roman"/>
          <w:b w:val="0"/>
          <w:bCs w:val="0"/>
          <w:color w:val="000000" w:themeColor="text1"/>
          <w:sz w:val="22"/>
          <w14:textFill>
            <w14:solidFill>
              <w14:schemeClr w14:val="tx1"/>
            </w14:solidFill>
          </w14:textFill>
        </w:rPr>
        <w:t>粉末状有机肥；</w:t>
      </w:r>
      <w:r>
        <w:rPr>
          <w:rFonts w:hint="default" w:ascii="Times New Roman" w:hAnsi="Times New Roman" w:eastAsia="方正仿宋_GB2312" w:cs="Times New Roman"/>
          <w:b w:val="0"/>
          <w:bCs w:val="0"/>
          <w:color w:val="000000" w:themeColor="text1"/>
          <w:sz w:val="22"/>
          <w:lang w:val="en-US" w:eastAsia="zh-CN"/>
          <w14:textFill>
            <w14:solidFill>
              <w14:schemeClr w14:val="tx1"/>
            </w14:solidFill>
          </w14:textFill>
        </w:rPr>
        <w:t>磷肥选用重过磷酸钙，钾肥选用氯化钾</w:t>
      </w:r>
      <w:bookmarkStart w:id="0" w:name="_GoBack"/>
      <w:bookmarkEnd w:id="0"/>
      <w:r>
        <w:rPr>
          <w:rFonts w:hint="default" w:ascii="Times New Roman" w:hAnsi="Times New Roman" w:eastAsia="方正仿宋_GB2312" w:cs="Times New Roman"/>
          <w:b w:val="0"/>
          <w:bCs w:val="0"/>
          <w:color w:val="000000" w:themeColor="text1"/>
          <w:sz w:val="22"/>
          <w14:textFill>
            <w14:solidFill>
              <w14:schemeClr w14:val="tx1"/>
            </w14:solidFill>
          </w14:textFill>
        </w:rPr>
        <w:t>。</w:t>
      </w:r>
    </w:p>
    <w:p w14:paraId="20A271B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firstLine="440" w:firstLineChars="200"/>
        <w:jc w:val="left"/>
        <w:textAlignment w:val="auto"/>
        <w:rPr>
          <w:rFonts w:hint="default" w:ascii="Times New Roman" w:hAnsi="Times New Roman" w:eastAsia="方正仿宋_GB2312" w:cs="Times New Roman"/>
          <w:b w:val="0"/>
          <w:bCs w:val="0"/>
          <w:color w:val="000000" w:themeColor="text1"/>
          <w:sz w:val="22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default" w:ascii="Times New Roman" w:hAnsi="Times New Roman" w:eastAsia="方正仿宋_GB2312" w:cs="Times New Roman"/>
          <w:b w:val="0"/>
          <w:bCs w:val="0"/>
          <w:color w:val="000000" w:themeColor="text1"/>
          <w:sz w:val="22"/>
          <w14:textFill>
            <w14:solidFill>
              <w14:schemeClr w14:val="tx1"/>
            </w14:solidFill>
          </w14:textFill>
        </w:rPr>
        <w:t>3、规范培肥实操流程，实行分两次培肥作业</w:t>
      </w:r>
      <w:r>
        <w:rPr>
          <w:rFonts w:hint="default" w:ascii="Times New Roman" w:hAnsi="Times New Roman" w:eastAsia="方正仿宋_GB2312" w:cs="Times New Roman"/>
          <w:b w:val="0"/>
          <w:bCs w:val="0"/>
          <w:color w:val="000000" w:themeColor="text1"/>
          <w:sz w:val="22"/>
          <w:lang w:eastAsia="zh-CN"/>
          <w14:textFill>
            <w14:solidFill>
              <w14:schemeClr w14:val="tx1"/>
            </w14:solidFill>
          </w14:textFill>
        </w:rPr>
        <w:t>。</w:t>
      </w:r>
      <w:r>
        <w:rPr>
          <w:rFonts w:hint="default" w:ascii="Times New Roman" w:hAnsi="Times New Roman" w:eastAsia="方正仿宋_GB2312" w:cs="Times New Roman"/>
          <w:b w:val="0"/>
          <w:bCs w:val="0"/>
          <w:color w:val="000000" w:themeColor="text1"/>
          <w:sz w:val="22"/>
          <w:lang w:val="en-US" w:eastAsia="zh-CN"/>
          <w14:textFill>
            <w14:solidFill>
              <w14:schemeClr w14:val="tx1"/>
            </w14:solidFill>
          </w14:textFill>
        </w:rPr>
        <w:t>两次培肥作业设置固定间隔周期，避免一次性施肥造成养分流失、烧苗等问题。具体操作及间隔时间要求：第一次均匀撒施有机肥并耕翻，耕翻深度20cm；第二次培肥在第一次培肥一周后进行，作业标准要求与第一次相同。两次培肥作业必须保质、足量、撒施到位。</w:t>
      </w:r>
      <w:r>
        <w:rPr>
          <w:rFonts w:hint="eastAsia" w:ascii="Times New Roman" w:hAnsi="Times New Roman" w:eastAsia="方正仿宋_GB2312" w:cs="Times New Roman"/>
          <w:b w:val="0"/>
          <w:bCs w:val="0"/>
          <w:color w:val="000000" w:themeColor="text1"/>
          <w:sz w:val="22"/>
          <w:lang w:val="en-US" w:eastAsia="zh-CN"/>
          <w14:textFill>
            <w14:solidFill>
              <w14:schemeClr w14:val="tx1"/>
            </w14:solidFill>
          </w14:textFill>
        </w:rPr>
        <w:t>（各镇街可根据地块实际情况调整培肥次数和间隔时间,对采用</w:t>
      </w:r>
      <w:r>
        <w:rPr>
          <w:rFonts w:hint="default" w:ascii="Times New Roman" w:hAnsi="Times New Roman" w:eastAsia="方正仿宋_GB2312" w:cs="Times New Roman"/>
          <w:b w:val="0"/>
          <w:bCs w:val="0"/>
          <w:color w:val="000000" w:themeColor="text1"/>
          <w:sz w:val="22"/>
          <w:lang w:val="en-US" w:eastAsia="zh-CN"/>
          <w14:textFill>
            <w14:solidFill>
              <w14:schemeClr w14:val="tx1"/>
            </w14:solidFill>
          </w14:textFill>
        </w:rPr>
        <w:t>一次性全部撒施完成的</w:t>
      </w:r>
      <w:r>
        <w:rPr>
          <w:rFonts w:hint="eastAsia" w:ascii="Times New Roman" w:hAnsi="Times New Roman" w:eastAsia="方正仿宋_GB2312" w:cs="Times New Roman"/>
          <w:b w:val="0"/>
          <w:bCs w:val="0"/>
          <w:color w:val="000000" w:themeColor="text1"/>
          <w:sz w:val="22"/>
          <w:lang w:val="en-US" w:eastAsia="zh-CN"/>
          <w14:textFill>
            <w14:solidFill>
              <w14:schemeClr w14:val="tx1"/>
            </w14:solidFill>
          </w14:textFill>
        </w:rPr>
        <w:t>地块</w:t>
      </w:r>
      <w:r>
        <w:rPr>
          <w:rFonts w:hint="default" w:ascii="Times New Roman" w:hAnsi="Times New Roman" w:eastAsia="方正仿宋_GB2312" w:cs="Times New Roman"/>
          <w:b w:val="0"/>
          <w:bCs w:val="0"/>
          <w:color w:val="000000" w:themeColor="text1"/>
          <w:sz w:val="22"/>
          <w:lang w:val="en-US" w:eastAsia="zh-CN"/>
          <w14:textFill>
            <w14:solidFill>
              <w14:schemeClr w14:val="tx1"/>
            </w14:solidFill>
          </w14:textFill>
        </w:rPr>
        <w:t>，必须做到两点：1、使用充分腐熟的菇渣类</w:t>
      </w:r>
      <w:r>
        <w:rPr>
          <w:rFonts w:hint="eastAsia" w:ascii="Times New Roman" w:hAnsi="Times New Roman" w:eastAsia="方正仿宋_GB2312" w:cs="Times New Roman"/>
          <w:b w:val="0"/>
          <w:bCs w:val="0"/>
          <w:color w:val="000000" w:themeColor="text1"/>
          <w:sz w:val="22"/>
          <w:lang w:val="en-US" w:eastAsia="zh-CN"/>
          <w14:textFill>
            <w14:solidFill>
              <w14:schemeClr w14:val="tx1"/>
            </w14:solidFill>
          </w14:textFill>
        </w:rPr>
        <w:t>、秸秆</w:t>
      </w:r>
      <w:r>
        <w:rPr>
          <w:rFonts w:hint="default" w:ascii="Times New Roman" w:hAnsi="Times New Roman" w:eastAsia="方正仿宋_GB2312" w:cs="Times New Roman"/>
          <w:b w:val="0"/>
          <w:bCs w:val="0"/>
          <w:color w:val="000000" w:themeColor="text1"/>
          <w:sz w:val="22"/>
          <w:lang w:val="en-US" w:eastAsia="zh-CN"/>
          <w14:textFill>
            <w14:solidFill>
              <w14:schemeClr w14:val="tx1"/>
            </w14:solidFill>
          </w14:textFill>
        </w:rPr>
        <w:t>等植物源为原料生产的粉末状有机肥；2、均匀撒施后深翻20cm。）</w:t>
      </w:r>
      <w:r>
        <w:rPr>
          <w:rFonts w:hint="eastAsia" w:ascii="Times New Roman" w:hAnsi="Times New Roman" w:eastAsia="方正仿宋_GB2312" w:cs="Times New Roman"/>
          <w:b w:val="0"/>
          <w:bCs w:val="0"/>
          <w:color w:val="000000" w:themeColor="text1"/>
          <w:sz w:val="22"/>
          <w:lang w:val="en-US" w:eastAsia="zh-CN"/>
          <w14:textFill>
            <w14:solidFill>
              <w14:schemeClr w14:val="tx1"/>
            </w14:solidFill>
          </w14:textFill>
        </w:rPr>
        <w:t>。</w:t>
      </w:r>
    </w:p>
    <w:p w14:paraId="65D2539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firstLine="440" w:firstLineChars="200"/>
        <w:jc w:val="left"/>
        <w:textAlignment w:val="auto"/>
        <w:rPr>
          <w:rFonts w:hint="default" w:ascii="Times New Roman" w:hAnsi="Times New Roman" w:eastAsia="方正仿宋_GB2312" w:cs="Times New Roman"/>
          <w:b w:val="0"/>
          <w:bCs w:val="0"/>
          <w:color w:val="000000" w:themeColor="text1"/>
          <w:sz w:val="22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default" w:ascii="Times New Roman" w:hAnsi="Times New Roman" w:eastAsia="方正仿宋_GB2312" w:cs="Times New Roman"/>
          <w:b w:val="0"/>
          <w:bCs w:val="0"/>
          <w:color w:val="000000" w:themeColor="text1"/>
          <w:sz w:val="22"/>
          <w14:textFill>
            <w14:solidFill>
              <w14:schemeClr w14:val="tx1"/>
            </w14:solidFill>
          </w14:textFill>
        </w:rPr>
        <w:t>4、建立肥料留样及质量</w:t>
      </w:r>
      <w:r>
        <w:rPr>
          <w:rFonts w:hint="default" w:ascii="Times New Roman" w:hAnsi="Times New Roman" w:eastAsia="方正仿宋_GB2312" w:cs="Times New Roman"/>
          <w:b w:val="0"/>
          <w:bCs w:val="0"/>
          <w:color w:val="000000" w:themeColor="text1"/>
          <w:sz w:val="22"/>
          <w:lang w:eastAsia="zh-CN"/>
          <w14:textFill>
            <w14:solidFill>
              <w14:schemeClr w14:val="tx1"/>
            </w14:solidFill>
          </w14:textFill>
        </w:rPr>
        <w:t>监督</w:t>
      </w:r>
      <w:r>
        <w:rPr>
          <w:rFonts w:hint="default" w:ascii="Times New Roman" w:hAnsi="Times New Roman" w:eastAsia="方正仿宋_GB2312" w:cs="Times New Roman"/>
          <w:b w:val="0"/>
          <w:bCs w:val="0"/>
          <w:color w:val="000000" w:themeColor="text1"/>
          <w:sz w:val="22"/>
          <w14:textFill>
            <w14:solidFill>
              <w14:schemeClr w14:val="tx1"/>
            </w14:solidFill>
          </w14:textFill>
        </w:rPr>
        <w:t>机制，压实质量管控责任。</w:t>
      </w:r>
      <w:r>
        <w:rPr>
          <w:rFonts w:hint="eastAsia" w:ascii="Times New Roman" w:hAnsi="Times New Roman" w:eastAsia="方正仿宋_GB2312" w:cs="Times New Roman"/>
          <w:b w:val="0"/>
          <w:bCs w:val="0"/>
          <w:color w:val="000000" w:themeColor="text1"/>
          <w:sz w:val="22"/>
          <w:lang w:val="en-US" w:eastAsia="zh-CN"/>
          <w14:textFill>
            <w14:solidFill>
              <w14:schemeClr w14:val="tx1"/>
            </w14:solidFill>
          </w14:textFill>
        </w:rPr>
        <w:t>乡镇（街道）做好辖区内补充耕地培肥所用肥料的</w:t>
      </w:r>
      <w:r>
        <w:rPr>
          <w:rFonts w:hint="eastAsia" w:ascii="Times New Roman" w:hAnsi="Times New Roman" w:eastAsia="方正仿宋_GB2312" w:cs="Times New Roman"/>
          <w:b w:val="0"/>
          <w:bCs w:val="0"/>
          <w:color w:val="000000" w:themeColor="text1"/>
          <w:sz w:val="22"/>
          <w:highlight w:val="none"/>
          <w:lang w:val="en-US" w:eastAsia="zh-CN"/>
          <w14:textFill>
            <w14:solidFill>
              <w14:schemeClr w14:val="tx1"/>
            </w14:solidFill>
          </w14:textFill>
        </w:rPr>
        <w:t>质量</w:t>
      </w:r>
      <w:r>
        <w:rPr>
          <w:rFonts w:hint="eastAsia" w:ascii="Times New Roman" w:hAnsi="Times New Roman" w:eastAsia="方正仿宋_GB2312" w:cs="Times New Roman"/>
          <w:b w:val="0"/>
          <w:bCs w:val="0"/>
          <w:color w:val="000000" w:themeColor="text1"/>
          <w:sz w:val="22"/>
          <w:lang w:val="en-US" w:eastAsia="zh-CN"/>
          <w14:textFill>
            <w14:solidFill>
              <w14:schemeClr w14:val="tx1"/>
            </w14:solidFill>
          </w14:textFill>
        </w:rPr>
        <w:t>控制，对每一批次肥料均要抽样检测，并留样保存。市级部门对乡镇（街道）留样和现场实施过程中用到的肥料开展不定期随机抽样检测。抽样检测费用由培肥作业单位承担。</w:t>
      </w:r>
    </w:p>
    <w:p w14:paraId="5C01952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firstLine="440" w:firstLineChars="200"/>
        <w:jc w:val="left"/>
        <w:textAlignment w:val="auto"/>
        <w:rPr>
          <w:rFonts w:hint="default" w:ascii="Times New Roman" w:hAnsi="Times New Roman" w:eastAsia="方正仿宋_GB2312" w:cs="Times New Roman"/>
          <w:b w:val="0"/>
          <w:bCs w:val="0"/>
          <w:sz w:val="22"/>
        </w:rPr>
      </w:pPr>
      <w:r>
        <w:rPr>
          <w:rFonts w:hint="default" w:ascii="Times New Roman" w:hAnsi="Times New Roman" w:eastAsia="方正仿宋_GB2312" w:cs="Times New Roman"/>
          <w:b w:val="0"/>
          <w:bCs w:val="0"/>
          <w:sz w:val="22"/>
        </w:rPr>
        <w:t>5、</w:t>
      </w:r>
      <w:r>
        <w:rPr>
          <w:rFonts w:hint="eastAsia" w:ascii="Times New Roman" w:hAnsi="Times New Roman" w:eastAsia="方正仿宋_GB2312" w:cs="Times New Roman"/>
          <w:b w:val="0"/>
          <w:bCs w:val="0"/>
          <w:sz w:val="22"/>
          <w:lang w:val="en-US" w:eastAsia="zh-CN"/>
        </w:rPr>
        <w:t>乡镇（街道）对培肥过程规范性负责，督促</w:t>
      </w:r>
      <w:r>
        <w:rPr>
          <w:rFonts w:hint="default" w:ascii="Times New Roman" w:hAnsi="Times New Roman" w:eastAsia="方正仿宋_GB2312" w:cs="Times New Roman"/>
          <w:b w:val="0"/>
          <w:bCs w:val="0"/>
          <w:sz w:val="22"/>
        </w:rPr>
        <w:t>培肥单位对整个培肥作业过程需做好全程记载、全程留痕，建立完整项目台账。培肥全过程需拍摄现场影像资料，照片画面需清晰呈现项目编号牌（培肥方自备白色写字板，每次拍照前规范标注乡镇</w:t>
      </w:r>
      <w:r>
        <w:rPr>
          <w:rFonts w:hint="default" w:ascii="Times New Roman" w:hAnsi="Times New Roman" w:eastAsia="方正仿宋_GB2312" w:cs="Times New Roman"/>
          <w:b w:val="0"/>
          <w:bCs w:val="0"/>
          <w:sz w:val="22"/>
          <w:lang w:eastAsia="zh-CN"/>
        </w:rPr>
        <w:t>（</w:t>
      </w:r>
      <w:r>
        <w:rPr>
          <w:rFonts w:hint="default" w:ascii="Times New Roman" w:hAnsi="Times New Roman" w:eastAsia="方正仿宋_GB2312" w:cs="Times New Roman"/>
          <w:b w:val="0"/>
          <w:bCs w:val="0"/>
          <w:sz w:val="22"/>
          <w:lang w:val="en-US" w:eastAsia="zh-CN"/>
        </w:rPr>
        <w:t>街道）</w:t>
      </w:r>
      <w:r>
        <w:rPr>
          <w:rFonts w:hint="default" w:ascii="Times New Roman" w:hAnsi="Times New Roman" w:eastAsia="方正仿宋_GB2312" w:cs="Times New Roman"/>
          <w:b w:val="0"/>
          <w:bCs w:val="0"/>
          <w:sz w:val="22"/>
        </w:rPr>
        <w:t>、村、地块编号、地块面积、肥料撒施数量、肥料品种等核心信息）、地块实时经纬度（统一使用自带经纬度定位功能的拍照软件拍摄，确保定位精准可追溯）、肥料撒施时间、现场作业人员、实施主体监管人员等关键信息，做到一地块一档案、一作业一留痕。</w:t>
      </w:r>
    </w:p>
    <w:p w14:paraId="6E7CFEF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firstLine="440" w:firstLineChars="200"/>
        <w:jc w:val="left"/>
        <w:textAlignment w:val="auto"/>
        <w:rPr>
          <w:rFonts w:hint="default" w:ascii="Times New Roman" w:hAnsi="Times New Roman" w:eastAsia="方正仿宋_GB2312" w:cs="Times New Roman"/>
          <w:b w:val="0"/>
          <w:bCs w:val="0"/>
        </w:rPr>
      </w:pPr>
      <w:r>
        <w:rPr>
          <w:rFonts w:hint="eastAsia" w:ascii="Times New Roman" w:hAnsi="Times New Roman" w:eastAsia="方正仿宋_GB2312" w:cs="Times New Roman"/>
          <w:b w:val="0"/>
          <w:bCs w:val="0"/>
          <w:sz w:val="22"/>
          <w:lang w:val="en-US" w:eastAsia="zh-CN"/>
        </w:rPr>
        <w:t>6</w:t>
      </w:r>
      <w:r>
        <w:rPr>
          <w:rFonts w:hint="default" w:ascii="Times New Roman" w:hAnsi="Times New Roman" w:eastAsia="方正仿宋_GB2312" w:cs="Times New Roman"/>
          <w:b w:val="0"/>
          <w:bCs w:val="0"/>
          <w:sz w:val="22"/>
        </w:rPr>
        <w:t>、实行乡镇分批次日程化施工管理。各乡（镇、街道）需结合辖区新增耕地地块数量、分布位置、施工条件，制定详细的培肥作业日程安排表，明确每个地块的肥料进场时间、首次及二次培肥作业时间、完工时限、责任人员等内容，细化到每日、每地块施工计划，日程表需及时报备主管部门存档，并严格按照计划有序推进培肥工作，严禁随意拖延工期、打乱作业流程。</w:t>
      </w:r>
    </w:p>
    <w:p w14:paraId="724B777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firstLine="440" w:firstLineChars="200"/>
        <w:jc w:val="left"/>
        <w:textAlignment w:val="auto"/>
        <w:rPr>
          <w:rFonts w:hint="default" w:ascii="Times New Roman" w:hAnsi="Times New Roman" w:eastAsia="方正仿宋_GB2312" w:cs="Times New Roman"/>
          <w:b w:val="0"/>
          <w:bCs w:val="0"/>
        </w:rPr>
      </w:pPr>
      <w:r>
        <w:rPr>
          <w:rFonts w:hint="eastAsia" w:ascii="Times New Roman" w:hAnsi="Times New Roman" w:eastAsia="方正仿宋_GB2312" w:cs="Times New Roman"/>
          <w:b w:val="0"/>
          <w:bCs w:val="0"/>
          <w:sz w:val="22"/>
          <w:lang w:val="en-US" w:eastAsia="zh-CN"/>
        </w:rPr>
        <w:t>7</w:t>
      </w:r>
      <w:r>
        <w:rPr>
          <w:rFonts w:hint="default" w:ascii="Times New Roman" w:hAnsi="Times New Roman" w:eastAsia="方正仿宋_GB2312" w:cs="Times New Roman"/>
          <w:b w:val="0"/>
          <w:bCs w:val="0"/>
          <w:sz w:val="22"/>
        </w:rPr>
        <w:t>、建立部门不定期抽查督导机制。</w:t>
      </w:r>
      <w:r>
        <w:rPr>
          <w:rFonts w:hint="default" w:ascii="Times New Roman" w:hAnsi="Times New Roman" w:eastAsia="方正仿宋_GB2312" w:cs="Times New Roman"/>
          <w:b w:val="0"/>
          <w:bCs w:val="0"/>
          <w:sz w:val="22"/>
          <w:lang w:val="en-US" w:eastAsia="zh-CN"/>
        </w:rPr>
        <w:t>农业农村局</w:t>
      </w:r>
      <w:r>
        <w:rPr>
          <w:rFonts w:hint="default" w:ascii="Times New Roman" w:hAnsi="Times New Roman" w:eastAsia="方正仿宋_GB2312" w:cs="Times New Roman"/>
          <w:b w:val="0"/>
          <w:bCs w:val="0"/>
          <w:sz w:val="22"/>
        </w:rPr>
        <w:t>将组建专项督导小组，对各乡镇（街道）培肥项目实施情况开展不定期随机抽查，重点核查</w:t>
      </w:r>
      <w:r>
        <w:rPr>
          <w:rFonts w:hint="default" w:ascii="Times New Roman" w:hAnsi="Times New Roman" w:eastAsia="方正仿宋_GB2312" w:cs="Times New Roman"/>
          <w:b w:val="0"/>
          <w:bCs w:val="0"/>
          <w:sz w:val="22"/>
          <w:lang w:eastAsia="zh-CN"/>
        </w:rPr>
        <w:t>现场培肥情况、</w:t>
      </w:r>
      <w:r>
        <w:rPr>
          <w:rFonts w:hint="default" w:ascii="Times New Roman" w:hAnsi="Times New Roman" w:eastAsia="方正仿宋_GB2312" w:cs="Times New Roman"/>
          <w:b w:val="0"/>
          <w:bCs w:val="0"/>
          <w:sz w:val="22"/>
        </w:rPr>
        <w:t>台账留痕资料、日程执行情况等内容。</w:t>
      </w:r>
    </w:p>
    <w:p w14:paraId="3C0E737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firstLine="440" w:firstLineChars="200"/>
        <w:jc w:val="left"/>
        <w:textAlignment w:val="auto"/>
        <w:rPr>
          <w:rFonts w:hint="default" w:ascii="Times New Roman" w:hAnsi="Times New Roman" w:eastAsia="方正仿宋_GB2312" w:cs="Times New Roman"/>
          <w:b w:val="0"/>
          <w:bCs w:val="0"/>
          <w:sz w:val="22"/>
        </w:rPr>
      </w:pPr>
      <w:r>
        <w:rPr>
          <w:rFonts w:hint="eastAsia" w:ascii="Times New Roman" w:hAnsi="Times New Roman" w:eastAsia="方正仿宋_GB2312" w:cs="Times New Roman"/>
          <w:b w:val="0"/>
          <w:bCs w:val="0"/>
          <w:sz w:val="22"/>
          <w:lang w:val="en-US" w:eastAsia="zh-CN"/>
        </w:rPr>
        <w:t>8</w:t>
      </w:r>
      <w:r>
        <w:rPr>
          <w:rFonts w:hint="default" w:ascii="Times New Roman" w:hAnsi="Times New Roman" w:eastAsia="方正仿宋_GB2312" w:cs="Times New Roman"/>
          <w:b w:val="0"/>
          <w:bCs w:val="0"/>
          <w:sz w:val="22"/>
          <w:lang w:val="en-US" w:eastAsia="zh-CN"/>
        </w:rPr>
        <w:t>、</w:t>
      </w:r>
      <w:r>
        <w:rPr>
          <w:rFonts w:hint="default" w:ascii="Times New Roman" w:hAnsi="Times New Roman" w:eastAsia="方正仿宋_GB2312" w:cs="Times New Roman"/>
          <w:b w:val="0"/>
          <w:bCs w:val="0"/>
          <w:sz w:val="22"/>
        </w:rPr>
        <w:t>完善项目收尾验收流程。各乡镇（街道）所有新增耕地培肥项目全部施工完成、检测合格后，培肥单位需汇总整理全套资料，形成送肥及撒施情况汇总表，详细列明各地块肥料使用量、作业时间、施工流程、检测结果、完成情况等内容，经各乡（镇、街道）人民政府分管负责人审核签字、加盖乡镇（街道）人民政府公章后，统一上报主管部门备案，作为项目验收、款项拨付的核心依据。</w:t>
      </w:r>
    </w:p>
    <w:p w14:paraId="1D1A814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firstLine="440" w:firstLineChars="200"/>
        <w:jc w:val="left"/>
        <w:textAlignment w:val="auto"/>
        <w:rPr>
          <w:rFonts w:hint="default" w:ascii="Times New Roman" w:hAnsi="Times New Roman" w:eastAsia="方正仿宋_GB2312" w:cs="Times New Roman"/>
          <w:b w:val="0"/>
          <w:bCs w:val="0"/>
          <w:sz w:val="22"/>
          <w:highlight w:val="none"/>
          <w:lang w:val="en-US" w:eastAsia="zh-CN"/>
        </w:rPr>
      </w:pPr>
      <w:r>
        <w:rPr>
          <w:rFonts w:hint="default" w:ascii="Times New Roman" w:hAnsi="Times New Roman" w:eastAsia="方正仿宋_GB2312" w:cs="Times New Roman"/>
          <w:b w:val="0"/>
          <w:bCs w:val="0"/>
          <w:sz w:val="22"/>
          <w:highlight w:val="none"/>
          <w:lang w:val="en-US" w:eastAsia="zh-CN"/>
        </w:rPr>
        <w:t>附则：本指引为指导性实施文件，各乡镇（街道）应结合地块实际、施工条件、农事节律等具体情况，在不突破本指引核心标准、质量要求和作业规范的前提下，优化细化实施方案，确保补充耕地培肥工作落地见效、地块达到入库标准。</w:t>
      </w:r>
    </w:p>
    <w:sectPr>
      <w:headerReference r:id="rId3" w:type="default"/>
      <w:footerReference r:id="rId4" w:type="default"/>
      <w:pgSz w:w="11905" w:h="16840"/>
      <w:cols w:space="720" w:num="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方正书宋_GBK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Wingdings">
    <w:altName w:val="仿宋_GB2312"/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altName w:val="Arial"/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altName w:val="方正黑体_GBK"/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altName w:val="仿宋_GB2312"/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altName w:val="仿宋_GB2312"/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altName w:val="DejaVu Sans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DejaVu Sans">
    <w:panose1 w:val="020B0603030804020204"/>
    <w:charset w:val="00"/>
    <w:family w:val="auto"/>
    <w:pitch w:val="default"/>
    <w:sig w:usb0="E7006EFF" w:usb1="D200FDFF" w:usb2="0A246029" w:usb3="0400200C" w:csb0="600001FF" w:csb1="DFFF0000"/>
    <w:embedRegular r:id="rId1" w:fontKey="{D5AEE193-7EC0-EC20-A389-B36AEB0F83AA}"/>
  </w:font>
  <w:font w:name="方正书宋_GBK">
    <w:panose1 w:val="02000000000000000000"/>
    <w:charset w:val="86"/>
    <w:family w:val="auto"/>
    <w:pitch w:val="default"/>
    <w:sig w:usb0="00000001" w:usb1="08000000" w:usb2="00000000" w:usb3="00000000" w:csb0="00040000" w:csb1="00000000"/>
    <w:embedRegular r:id="rId2" w:fontKey="{524C85D7-71C8-D325-A389-B36AEBA39778}"/>
  </w:font>
  <w:font w:name="方正小标宋简体">
    <w:panose1 w:val="02000000000000000000"/>
    <w:charset w:val="86"/>
    <w:family w:val="auto"/>
    <w:pitch w:val="default"/>
    <w:sig w:usb0="A00002BF" w:usb1="184F6CFA" w:usb2="00000012" w:usb3="00000000" w:csb0="00040001" w:csb1="00000000"/>
    <w:embedRegular r:id="rId3" w:fontKey="{5B84AA9D-D48F-27F9-A389-B36A3C082CC4}"/>
  </w:font>
  <w:font w:name="方正仿宋_GB2312">
    <w:panose1 w:val="02000000000000000000"/>
    <w:charset w:val="86"/>
    <w:family w:val="auto"/>
    <w:pitch w:val="default"/>
    <w:sig w:usb0="A00002BF" w:usb1="184F6CFA" w:usb2="00000012" w:usb3="00000000" w:csb0="00040001" w:csb1="00000000"/>
  </w:font>
  <w:font w:name="方正仿宋_GBK">
    <w:panose1 w:val="02000000000000000000"/>
    <w:charset w:val="86"/>
    <w:family w:val="auto"/>
    <w:pitch w:val="default"/>
    <w:sig w:usb0="00000001" w:usb1="08000000" w:usb2="00000000" w:usb3="00000000" w:csb0="00040000" w:csb1="00000000"/>
    <w:embedRegular r:id="rId4" w:fontKey="{1DFE3276-7588-759C-A389-B36ACE7E9CC6}"/>
  </w:font>
  <w:font w:name="方正黑体_GBK">
    <w:panose1 w:val="02000000000000000000"/>
    <w:charset w:val="86"/>
    <w:family w:val="auto"/>
    <w:pitch w:val="default"/>
    <w:sig w:usb0="00000001" w:usb1="08000000" w:usb2="00000000" w:usb3="00000000" w:csb0="00040000" w:csb1="00000000"/>
    <w:embedRegular r:id="rId5" w:fontKey="{F4E5A058-4921-2181-A389-B36A1201DCE7}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  <w:embedRegular r:id="rId6" w:fontKey="{073B3C8C-B2EA-95AD-A389-B36AF11F0363}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70F86CF"/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6077F96"/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TrueTypeFonts/>
  <w:saveSubsetFonts/>
  <w:bordersDoNotSurroundHeader w:val="0"/>
  <w:bordersDoNotSurroundFooter w:val="0"/>
  <w:documentProtection w:enforcement="0"/>
  <w:displayHorizontalDrawingGridEvery w:val="1"/>
  <w:displayVerticalDrawingGridEvery w:val="1"/>
  <w:noPunctuationKerning w:val="1"/>
  <w:compat>
    <w:doNotExpandShiftReturn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17FC696E"/>
    <w:rsid w:val="1A3D097C"/>
    <w:rsid w:val="3EBF10F6"/>
    <w:rsid w:val="3FDC4BF3"/>
    <w:rsid w:val="41BEEC08"/>
    <w:rsid w:val="4ABF2A4F"/>
    <w:rsid w:val="54507847"/>
    <w:rsid w:val="553A3615"/>
    <w:rsid w:val="5BDEB10C"/>
    <w:rsid w:val="5F157B5F"/>
    <w:rsid w:val="6E2C680B"/>
    <w:rsid w:val="716F4C2B"/>
    <w:rsid w:val="731A1328"/>
    <w:rsid w:val="767F1142"/>
    <w:rsid w:val="78CA3838"/>
    <w:rsid w:val="7BF7F624"/>
    <w:rsid w:val="7DBF0A72"/>
    <w:rsid w:val="7F72C9CE"/>
    <w:rsid w:val="7F77CAD0"/>
    <w:rsid w:val="7FFA0933"/>
    <w:rsid w:val="AF7FDE1A"/>
    <w:rsid w:val="BB7FC5F4"/>
    <w:rsid w:val="BEF6914D"/>
    <w:rsid w:val="BFFA620F"/>
    <w:rsid w:val="DAF78619"/>
    <w:rsid w:val="DFB78D79"/>
    <w:rsid w:val="F6BA1F82"/>
    <w:rsid w:val="F7DC56F6"/>
    <w:rsid w:val="FAB62354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sz w:val="21"/>
      <w:szCs w:val="22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theme" Target="theme/theme1.xml"/><Relationship Id="rId4" Type="http://schemas.openxmlformats.org/officeDocument/2006/relationships/footer" Target="footer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Pages>3</Pages>
  <Words>1498</Words>
  <Characters>1545</Characters>
  <TotalTime>2</TotalTime>
  <ScaleCrop>false</ScaleCrop>
  <LinksUpToDate>false</LinksUpToDate>
  <CharactersWithSpaces>1545</CharactersWithSpaces>
  <Application>WPS Office_12.8.2.19313_F1E327BC-269C-435d-A152-05C5408002CA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2026-09-19T06:46:00Z</dcterms:created>
  <dc:creator>Apache POI</dc:creator>
  <cp:lastModifiedBy>rthf</cp:lastModifiedBy>
  <cp:lastPrinted>2026-09-22T10:40:00Z</cp:lastPrinted>
  <dcterms:modified xsi:type="dcterms:W3CDTF">2026-09-23T16:11:15Z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IGC">
    <vt:lpwstr>{"Label":"1","ContentProducer":"001191110102MACQD9K64010000","ProduceID":"7686020849351117807","ReservedCode1":"","ContentPropagator":"","PropagateID":"","ReservedCode2":""}</vt:lpwstr>
  </property>
  <property fmtid="{D5CDD505-2E9C-101B-9397-08002B2CF9AE}" pid="3" name="KSOTemplateDocerSaveRecord">
    <vt:lpwstr>eyJoZGlkIjoiNTY2Nzg4MGZkZGVkN2RhMzUxOTJmNzA4NjIxODU2NGIiLCJ1c2VySWQiOiIzMDA4NTY3MTgifQ==</vt:lpwstr>
  </property>
  <property fmtid="{D5CDD505-2E9C-101B-9397-08002B2CF9AE}" pid="4" name="KSOProductBuildVer">
    <vt:lpwstr>2052-12.8.2.19313</vt:lpwstr>
  </property>
  <property fmtid="{D5CDD505-2E9C-101B-9397-08002B2CF9AE}" pid="5" name="ICV">
    <vt:lpwstr>F214956F40EF48D886CA13DB37088841_13</vt:lpwstr>
  </property>
</Properties>
</file>