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16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Times New Roman" w:hAnsi="Times New Roman" w:eastAsia="Times New Roman" w:cs="Times New Roman"/>
          <w:b/>
          <w:color w:val="000000"/>
          <w:sz w:val="32"/>
        </w:rPr>
        <w:t xml:space="preserve">2026 </w:t>
      </w:r>
      <w:r>
        <w:rPr>
          <w:rFonts w:ascii="SimSun" w:hAnsi="SimSun" w:eastAsia="SimSun" w:cs="SimSun"/>
          <w:b/>
          <w:color w:val="000000"/>
          <w:sz w:val="32"/>
        </w:rPr>
        <w:t xml:space="preserve">年六合区程桥街道农路养护工程</w:t>
      </w:r>
      <w:r/>
    </w:p>
    <w:p>
      <w:pPr>
        <w:ind w:left="0" w:right="0" w:firstLine="1606"/>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JSZC-320116-JTGS-C2026-0045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采购代理机构：江苏骏通建设项目管理咨询有限公司</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采购人：南京市六合区人民政府程桥街道办事处</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10</w:t>
      </w:r>
      <w:r>
        <w:rPr>
          <w:rFonts w:ascii="SimSun" w:hAnsi="SimSun" w:eastAsia="SimSun" w:cs="SimSun"/>
          <w:b/>
          <w:color w:val="000000"/>
          <w:sz w:val="32"/>
        </w:rPr>
        <w:t xml:space="preserve">月</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0"/>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 </w:t>
      </w:r>
      <w:r/>
    </w:p>
    <w:p>
      <w:pPr>
        <w:numPr>
          <w:ilvl w:val="0"/>
          <w:numId w:val="5"/>
        </w:numP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磋商邀请</w:t>
      </w:r>
      <w:r/>
    </w:p>
    <w:p>
      <w:pPr>
        <w:numPr>
          <w:ilvl w:val="0"/>
          <w:numId w:val="5"/>
        </w:numP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供应商须知</w:t>
      </w:r>
      <w:r/>
    </w:p>
    <w:p>
      <w:pPr>
        <w:numPr>
          <w:ilvl w:val="0"/>
          <w:numId w:val="5"/>
        </w:numP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合同文本</w:t>
      </w:r>
      <w:r/>
    </w:p>
    <w:p>
      <w:pPr>
        <w:numPr>
          <w:ilvl w:val="0"/>
          <w:numId w:val="5"/>
        </w:numP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采购需求</w:t>
      </w:r>
      <w:r/>
    </w:p>
    <w:p>
      <w:pPr>
        <w:numPr>
          <w:ilvl w:val="0"/>
          <w:numId w:val="5"/>
        </w:numP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评审方法与评审标准</w:t>
      </w:r>
      <w:r/>
    </w:p>
    <w:p>
      <w:pPr>
        <w:numPr>
          <w:ilvl w:val="0"/>
          <w:numId w:val="5"/>
        </w:numP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第一章磋商邀请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7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2026年六合区程桥街道农路养护工程JSZC-320116-JTGS-C2026-0045采购项目的潜在供应商应在“江苏政府采购网”获取采购文件，并于2026年11月11日09:30（北京时间）前提交响应文件。</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一、项目基本情况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1.项目编号：JSZC-320116-JTGS-C2026-0045</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2.项目名称：2026 年六合区程桥街道农路养护工程</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3.预算金额：360万元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4.最高限价：323.5287万元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5.采购需求（简介）：主要建设内容为现状道路破损修复、改善沥青面层及配套交安设施等，总长约为5.8公里。（详细内容见本磋商文件第四章）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6.合同履行期限：60日历天</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7.本项目不接受联合体参加磋商。</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二、申请人的资格要求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1.1供应商信用承诺函（格式见第六章）。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2.落实政府采购政策需满足的资格要求：本项目专门面向中小企业采购。</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本项目采购标的对应的中小企业划分标准所属行业为：建筑业。</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1.供应商资质要求：具有国内建设行政主管部门核发的有效的公路工程施工总承包三级及以上资质，且具有省级及以上建设行政主管部门核发的有效的《安全生产许可证》。</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经理资质要求：公路工程专业二级及以上建造师，且具有《公路水运工程施工单位主要负责人、项目负责人和专职安全生产管理人员安全生产考核合格证书》（B证）或《公路水运工程施工企业主要负责人和安全生产管理人员安全生产考核合格证书》（B证）。(提供劳动合同以及近半年任意一月缴纳的社保证明(须明确缴费月份、个人姓名、缴费单位，且加盖社保中心章或社保中心参保缴费证明电子专用章)；若项目经理属企业退休人员、事业单位人员或现役军人等客观原因无法提供养老保险金缴费证明，必须出具相关证明材料及劳动合同。</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2.为采购项目提供整体设计、规范编制或者项目管理、监理、检测等服务的供应商，不得参加本项目的采购活动。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3.供应商被“信用中国”网站（www.creditchina.gov.cn）、“中国政府采购网”(www.ccgp.gov.cn)列入失信被执行人、重大税收违法案件当事人名单、政府采购严重违法失信行为记录名单。</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三、获取磋商文件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2.方式：在“江苏政府采购网”免费下载。</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四、提交响应文件截止时间</w:t>
      </w:r>
      <w:r/>
    </w:p>
    <w:p>
      <w:pPr>
        <w:ind w:left="0" w:right="0" w:firstLine="372"/>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2026年11月11日09时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0分（北京时间）。</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五、公告期限</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公告期限为自本公告发布之日起5个工作日。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1.本次磋商不收取磋商保证金。</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2.本项目不组织集中勘察及答疑，供应商如对采购需求有疑问，请咨询采购单位联系人。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hyperlink r:id="rId12" w:tooltip="http://www.ccgp-jiangsu.gov.cn/jiangsu/zlxz/ee/ee3a4bc5a3454aa2b0d9312230633ce9.html" w:history="1">
        <w:r>
          <w:rPr>
            <w:rStyle w:val="1092"/>
            <w:rFonts w:ascii="SimSun" w:hAnsi="SimSun" w:eastAsia="SimSun" w:cs="SimSun"/>
            <w:color w:val="0000ee"/>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4.有关本次采购的事项若存在变动或修改，请及时关注“江苏政府采购网”（www.ccgp-jiangsu.gov.cn）更正公告。</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七、本次磋商联系方式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单位名称：</w:t>
      </w:r>
      <w:r>
        <w:rPr>
          <w:rFonts w:ascii="SimSun" w:hAnsi="SimSun" w:eastAsia="SimSun" w:cs="SimSun"/>
          <w:color w:val="000000"/>
          <w:sz w:val="24"/>
          <w:highlight w:val="white"/>
        </w:rPr>
        <w:t xml:space="preserve">南京市六合区人民政府程桥街道办事处</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单位地址：南京市六合区程桥街道编钟路88号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联系人：李主任</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none"/>
        </w:rPr>
        <w:t xml:space="preserve">025-57659885</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单位名称：江苏骏通建设项目管理咨询有限公司</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单位地址：南京市鼓楼区中山北路346号老学堂创意园58号楼9层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联系电话：18468990999</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第二章供应商须知</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一、总则</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.采购方式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本次政府采购活动采取竞争性磋商(以下简称“磋商”)方式，本文件仅适用于采购公告中所述项目。</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2.合格的</w:t>
      </w:r>
      <w:r>
        <w:rPr>
          <w:rFonts w:ascii="KaiTi" w:hAnsi="KaiTi" w:eastAsia="KaiTi" w:cs="KaiTi"/>
          <w:b/>
          <w:color w:val="000000"/>
          <w:sz w:val="28"/>
        </w:rPr>
        <w:t xml:space="preserve">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满足采购公告对供应商资格要求的规定。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满足磋商文件规定的实质性要求和条件。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3.适用法律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本次采购及由此产生的合同受中华人民共和国有关的法律法规制约和保护。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4.磋商费用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供应商应自行承担所有与参加采购有关的费用，无论采购过程中的做法和结果如何，代理机构在任何情况下均无义务和责任承担这些费用，本项目代理费由成交人支付，请充分考虑在报价内（已含在清单内）。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5.磋商文件的约束力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供应商一旦参加本项目采购活动，即被认为接受了本文件的规定和约束。</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w:t>
      </w:r>
      <w:r>
        <w:rPr>
          <w:rFonts w:ascii="SimHei" w:hAnsi="SimHei" w:eastAsia="SimHei" w:cs="SimHei"/>
          <w:color w:val="000000"/>
          <w:sz w:val="30"/>
        </w:rPr>
        <w:t xml:space="preserve">磋商文件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6.磋商文件构成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磋商文件由以下部分组成：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供应商应仔细检查磋商文件是否齐全，如有缺漏请立即与代理机构联系。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7.磋商文件的澄清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任何要求对磋商文件进行澄清的供应商，应在磋商截止期五日前按采购公告中的通讯地址，以书面形式通知代理机构。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8.磋商文件的修改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在响应文件提交截止时间前，代理机构可以对磋商文件进行修改。磋商文件的修改将在原公告媒体发布更正公告，更正内容将作为磋商文件的组成部分，并对供应商具有约束力。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供应商应在提交响应文件截止时间前，关注原公告媒体有关本项目的更正公告，根据更正公告内容自行决定是否需要重新制作和提交响应文件，并承担由此产生的相应责任。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代理机构有权按照法定的要求推迟提交响应文件截止时间，并在原公告媒体发布更正公告。</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三、响应文件的编制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9.响应文件的语言及度量衡单位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供应商提交的响应文件以及供应商与代理机构就有关磋商的所有来往通知、函件和文件均应使用简体中文。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10.响应文件构成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供应商编写的响应文件应包括资格证明文件、符合性证明文件、分项报价表、响应及偏离表、其他证明文件、磋商响应函等部分。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如标书制作工具中格式和内容与“江苏政府采购网”发布的磋商文件不一致，以“江苏政府采购网”发布的磋商文件为准。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11.证明磋商响应标的符合磋商文件规定的文件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供应商应按照法律、法规、规章和规范性文件以及磋商文件要求提交证明文件，证明其响应标的符合磋商文件规定。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磋商文件对证明文件无明确形式要求的，证明文件可以以文字资料、图纸和数据等形式提交。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12.分项报价表（如有）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供应商应按照磋商文件规定格式填报分项报价表。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响应文件中的单价和总价无特殊规定的采用人民币报价，以元为单位标注。磋商文件另有规定的按规定执行。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供应商需对磋商文件中的技术要求与商务要求逐项作出响应或偏离说明。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供应商可在响应文件中提供认为需要的其他技术文件或说明。</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14.磋商响应函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供应商应按照磋商文件规定格式完整、正确填报磋商响应函。</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磋商有效期为采购公告规定的提交响应文件截止之日起六十天。磋商有效期比规定短的将被视为非实质性响应磋商文件而被拒绝。</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16.磋商有效期的延长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四、响应文件的递交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17.</w:t>
      </w:r>
      <w:r>
        <w:rPr>
          <w:rFonts w:ascii="KaiTi" w:hAnsi="KaiTi" w:eastAsia="KaiTi" w:cs="KaiTi"/>
          <w:b/>
          <w:color w:val="000000"/>
          <w:sz w:val="28"/>
        </w:rPr>
        <w:t xml:space="preserve">响应文件的递交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供应商应当按照《操作手册》规定，在采购公告规定的提交响应文件截止时间前制作并上传电子响应文件。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供应商应充分考虑网络环境、网络带宽等因素可能产生的影响，如因供应商自身原因造成的电子响应文件上传不成功的，按照本磋商文件第二章第24.3条规定做无效响应处理。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代理机构可以按照规定，通过修改磋商文件酌情延长提交响应文件截止日期，在此情况下，供应商的所有权利和义务均以延长后新的截止日期为准。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18.响应文件</w:t>
      </w:r>
      <w:r>
        <w:rPr>
          <w:rFonts w:ascii="KaiTi" w:hAnsi="KaiTi" w:eastAsia="KaiTi" w:cs="KaiTi"/>
          <w:b/>
          <w:color w:val="000000"/>
          <w:sz w:val="28"/>
        </w:rPr>
        <w:t xml:space="preserve">的拒收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提交响应文件截止时间后上传的任何响应文件将被拒绝。</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19.响应文件的撤回和修改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响应文件的撤回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供应商可在提交响应文件截止时间前，撤回其电子响应文件，具体操作方法见《操作手册》。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供应商撤回电子响应文件，则认为其不再参与本项目磋商活动。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响应文件的修改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供应商可在提交响应文件截止时间前，对其电子响应文件进行修改，具体操作方法见《操作手册》。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提交响应文件截止时间之后，供应商不得对其电子响应文件作任何修改。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在提交响应文件截止时间至磋商文件中规定的磋商有效期满之间的这段时间内，供应商不得撤回其响应文件。</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五、响应文件的解密与评审</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0.响应文件解密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供应商应当按照《操作手册》规定，在苏采云系统规定的时间内对响应文件进行解密。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21.磋商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依法组建的磋商小组对响应文件进行评审。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磋商小组由采购人代表和有关技术、经济或法律等方面的专家组成，且人员构成符合政府采购有关规定。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磋商小组独立工作，负责评审所有响应文件并推荐成交候选人，或根据采购人授权直接确定成交供应商。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22.评审过程的保密与公正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磋商小组、采购人和代理机构工作人员、相关监督人员等与评审工作有关的人员，对评审情况以及在评审过程中获悉的国家秘密、商业秘密负有保密责任。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供应商不得以任何方式影响评审过程，否则其响应文件将被作为无效响应文件。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代理机构和磋商小组不向未成交的供应商解释未成交原因，也不公布评审过程中的相关细节。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23.评审过程中的澄清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项目评审期间，磋商小组有权要求供应商对响应文件中含义不明确、同类问题表述不一致或者有明显文字和计算错误的内容等作出必要的澄清、说明或者补正。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供应商的澄清、说明或者补正不得超出响应文件的范围或者改变响应文件的实质性内容。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磋商小组并非对每个供应商都做澄清要求。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接到磋商小组澄清、说明和补正要求的供应商如未按规定做出澄清、说明和补正，其风险由供应商自行承担。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24.响应文件的审</w:t>
      </w:r>
      <w:r>
        <w:rPr>
          <w:rFonts w:ascii="KaiTi" w:hAnsi="KaiTi" w:eastAsia="KaiTi" w:cs="KaiTi"/>
          <w:b/>
          <w:color w:val="000000"/>
          <w:sz w:val="28"/>
        </w:rPr>
        <w:t xml:space="preserve">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响应文件审查分为资格审查和符合性审查。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资格审查。依据法律法规和磋商文件的规定，磋商小组对响应文件中的资格证明文件进行审查，以确定供应商是否具备参加磋商的资格。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磋商小组进行资格审查时，将在“信用中国”网站（www.creditchina.gov.cn）查询供应商的信用记录，以确定供应商是否具备磋商资格,查询结果留存并归档。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符合性审查。依据磋商文件的规定，由磋商小组从有效性、完整性和对磋商文件的响应程度等方面对响应文件进行审查，以确定是否对磋商文件的实质性要求作出响应。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未通过资格审查或符合性审查的供应商，磋商小组将通过苏采云系统告知具体原因，评审结束后将不再接受有关询问。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未实质性响应磋商文件的情形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 供应商在苏采云系统规定的时间内未成功解密电子响应文件。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24.3.2 供应商未按照磋商文件要求上传电子响应文件。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24.3.3 同一供应商提交两个（含两个）以上不同的响应文件或者最后报价。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24.3.4 供应商不具备磋商文件中规定的资格要求。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24.3.5 供应商的最后报价超过了采购预算或最高限价。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24.3.6 不符合磋商文件中规定的实质性要求和条件（</w:t>
      </w:r>
      <w:r>
        <w:rPr>
          <w:rFonts w:ascii="SimSun" w:hAnsi="SimSun" w:eastAsia="SimSun" w:cs="SimSun"/>
          <w:b/>
          <w:color w:val="000000"/>
          <w:sz w:val="24"/>
        </w:rPr>
        <w:t xml:space="preserve">本文件中斜体且有下划线部分或者打“★”内容，为实质性要求和条件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24.3.8 响应文件含有采购人不能接受的附加条件。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24.3.10 采购产品被财政部、国家发改委、生态环境部等列入“节能产品品目清单”强制采购范围，而供应商提供的产品不在强制采购范围内。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24.3.11 响应文件未按照磋商文件要求加盖电子公章。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24.3.12 法律法规及本磋商文件规定的其他无效响应的情形。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未实质性响应磋商文件的响应文件按无效响应处理。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如果响应文件实质上没有响应磋商文件的要求，磋商小组将予以拒绝，供应商不得通过修改或撤销不合要求的偏离或保留而使其成为实质性响应的文件。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24.6 供应商在项目评审全过程中应保持通讯畅通，</w:t>
      </w:r>
      <w:r>
        <w:rPr>
          <w:rFonts w:ascii="SimSun" w:hAnsi="SimSun" w:eastAsia="SimSun" w:cs="SimSun"/>
          <w:color w:val="000000"/>
          <w:sz w:val="24"/>
        </w:rPr>
        <w:t xml:space="preserve">及时登录苏采云系统查阅、答复相关信息，并安排专人与代理机构及磋商小组联系。</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25.磋商程序及评审方法与评审标准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 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评审方法与评审标准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评审方法。见磋商文件第五章。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评审标准。见磋商文件第五章。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采购活动终止</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出现下列情形之一的，本次采购活动终止：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 因情况变化，不再符合竞争性磋商采购方式适用情形。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25.3.2 出现影响采购公正的违法、违规行为。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25.3.3 在苏采云系统规定时间内成功解密电子响应文件的供应商不足三家。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25.3.4 除本磋商文件第二章第25.1.2条第三款规定的情形外，磋商过程中符合要求的供应商或者提交最后报价且未超过采购预算或最高限价的供应商不足三家。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25.3.5 法律法规规定的其他应当终止情形。</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六、成交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6.确定成交单位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成交候选供应商的确定原则和数量见磋商文件第五章。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按以下第（1）种方式确定成交供应商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（1）磋商小组直接确定排名第一的成交候选供应商为成交供应商；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（2）采购人在磋商小组推荐的成交候选供应商中按顺序确定成交供应商。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代理机构将在“江苏政府采购网”发布成交结果公告，公告期限为1个工作日。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若有充分证据证明成交供应商有下列情况之一的，一经查实将被取消成交资格：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向评审专家、采购人或代理机构工作人员行贿或者提供其他不正当利益。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与其他供应商、评审专家、采购人或代理机构工作人员恶意串通。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不满足本磋商文件规定的实质性要求，但在评审过程中未被磋商小组发现。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27.成交通知书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成交结果确定后，代理机构将向成交供应商发出《成交通知书》。成交供应商可在成交结果公告届满之日起三十日内，登录苏采云系统下载。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《成交通知书》是合同的一个组成部分，对采购人和成交供应商均具有法律效力。《成交通知书》发出后，采购人改变成交结果的，或者成交供应商放弃成交项目的，应当依法承担法律责任。</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七、授予合同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成交供应商应当在《成交通知书》发出之日起三十日内，按照磋商文件确定的事项与采购人签订政府采购合同。采购人于合同签订后2个工作日内通过苏采云系统进行公示。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磋商文件、成交供应商的响应文件及磋商过程中有关澄清、承诺文件均作为合同附件。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成交供应商因自身原因拒绝与采购人签订合同的，不得参加采购人重新组织的采购活动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29.标的物的追加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成交供应商通过南京市公共资源交易平台网站“小企业融资平台”，选择相应的金融机构办理融资贷款。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依据《关于在全省政府采购领域推行电子履约保函（保险）的通知》（苏财购〔2023〕150号），需要缴纳履约保证金的，成交供应商可通过江苏政府采购网“政府采购电子履约保函（保险）综合服务平台”线上办理履约保函（保险）。</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32.供应商认为采购文件、采购过程和采购结果使自己的权益受到损害的，可以在知道或应知其权益受到损害之日起七个工作日内，按照第34条、第35条之规定以书面形式向采购人或代理机构提出质疑。</w:t>
      </w:r>
      <w:r>
        <w:rPr>
          <w:rFonts w:ascii="SimSun" w:hAnsi="SimSun" w:eastAsia="SimSun" w:cs="SimSun"/>
          <w:b/>
          <w:color w:val="000000"/>
          <w:sz w:val="24"/>
        </w:rPr>
        <w:t xml:space="preserve">上述应知其权益受到损害之日是指：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对成交结果提出质疑的，为成交结果公告期限届满之日。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33.供应商应当在法定质疑期内一次性提出针对同一采购程序环节的质疑。供应商如在法定期限内对同一采购程序环节提出多次质疑的，代理机构或采购人将只对供应商第一次质疑作出答复。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34.供应商提出质疑应提交《质疑函》原件，且尽可能通过邮寄方式送达，代理机构和采购人不接受无运单的快件。《质疑函》应按照本磋商文件中《质疑函范本》的格式和内容填写。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供应商如组成联合体参加采购活动，《质疑函范本》中要求加盖公章之处，联合体各方均须按要求加盖公章。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rPr>
          <w:rFonts w:ascii="SimSun" w:hAnsi="SimSun" w:eastAsia="SimSun" w:cs="SimSun"/>
          <w:b/>
          <w:color w:val="000000"/>
          <w:sz w:val="24"/>
        </w:rPr>
        <w:t xml:space="preserve">供应商（含潜在供应商）对采购方式、采购需求、供应商资格条件及审查结果、评审方法与评审标准、合同文本的询问、质疑向代理机构提出，由代理机构负责答复。</w:t>
      </w:r>
      <w:r>
        <w:rPr>
          <w:rFonts w:ascii="SimSun" w:hAnsi="SimSun" w:eastAsia="SimSun" w:cs="SimSun"/>
          <w:color w:val="000000"/>
          <w:sz w:val="24"/>
        </w:rPr>
        <w:t xml:space="preserve">供应商对除上述事项以外其他事项的询问、质疑向采购人提出，由采购人负责答复。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未参加采购活动或在采购活动中自身权益未受到损害的供应商所提出的质疑。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供应商组成联合体参加采购活动，联合体中任何一方或多方未按要求签字或盖章、加盖公章的质疑。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38.促进中小企业发展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本项目服务由中小企业承接的，参与磋商的供应商享受中小企业扶持政策：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第三章合同文本</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2026年六合区程桥街道农路养护工程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施工合同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建设单位（发包人）：</w:t>
      </w:r>
      <w:r>
        <w:rPr>
          <w:rFonts w:ascii="SimSun" w:hAnsi="SimSun" w:eastAsia="SimSun" w:cs="SimSun"/>
          <w:b/>
          <w:color w:val="000000"/>
          <w:sz w:val="30"/>
          <w:u w:val="single"/>
        </w:rPr>
        <w:t xml:space="preserve">                       </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施工单位（承包人）：</w:t>
      </w:r>
      <w:r>
        <w:rPr>
          <w:rFonts w:ascii="SimSun" w:hAnsi="SimSun" w:eastAsia="SimSun" w:cs="SimSun"/>
          <w:b/>
          <w:color w:val="000000"/>
          <w:sz w:val="30"/>
          <w:u w:val="single"/>
        </w:rPr>
        <w:t xml:space="preserve">                       </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签订日期：</w:t>
      </w:r>
      <w:r>
        <w:rPr>
          <w:rFonts w:ascii="SimSun" w:hAnsi="SimSun" w:eastAsia="SimSun" w:cs="SimSun"/>
          <w:b/>
          <w:color w:val="000000"/>
          <w:sz w:val="30"/>
          <w:u w:val="single"/>
        </w:rPr>
        <w:t xml:space="preserve">      </w:t>
      </w:r>
      <w:r>
        <w:rPr>
          <w:rFonts w:ascii="SimSun" w:hAnsi="SimSun" w:eastAsia="SimSun" w:cs="SimSun"/>
          <w:b/>
          <w:color w:val="000000"/>
          <w:sz w:val="30"/>
        </w:rPr>
        <w:t xml:space="preserve">年 </w:t>
      </w:r>
      <w:r>
        <w:rPr>
          <w:rFonts w:ascii="SimSun" w:hAnsi="SimSun" w:eastAsia="SimSun" w:cs="SimSun"/>
          <w:b/>
          <w:color w:val="000000"/>
          <w:sz w:val="30"/>
          <w:u w:val="single"/>
        </w:rPr>
        <w:t xml:space="preserve">    </w:t>
      </w:r>
      <w:r>
        <w:rPr>
          <w:rFonts w:ascii="SimSun" w:hAnsi="SimSun" w:eastAsia="SimSun" w:cs="SimSun"/>
          <w:b/>
          <w:color w:val="000000"/>
          <w:sz w:val="30"/>
        </w:rPr>
        <w:t xml:space="preserve">月</w:t>
      </w:r>
      <w:r>
        <w:rPr>
          <w:rFonts w:ascii="SimSun" w:hAnsi="SimSun" w:eastAsia="SimSun" w:cs="SimSun"/>
          <w:b/>
          <w:color w:val="000000"/>
          <w:sz w:val="30"/>
          <w:u w:val="single"/>
        </w:rPr>
        <w:t xml:space="preserve">    </w:t>
      </w:r>
      <w:r>
        <w:rPr>
          <w:rFonts w:ascii="SimSun" w:hAnsi="SimSun" w:eastAsia="SimSun" w:cs="SimSun"/>
          <w:b/>
          <w:color w:val="000000"/>
          <w:sz w:val="30"/>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合同协议书</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ind w:left="0" w:right="0" w:firstLine="42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rPr>
          <w:rFonts w:ascii="SimSun" w:hAnsi="SimSun" w:eastAsia="SimSun" w:cs="SimSun"/>
          <w:color w:val="000000"/>
          <w:sz w:val="21"/>
        </w:rPr>
        <w:t xml:space="preserve">（以下简称“发包人”）为实施</w:t>
      </w:r>
      <w:r>
        <w:rPr>
          <w:rFonts w:ascii="SimSun" w:hAnsi="SimSun" w:eastAsia="SimSun" w:cs="SimSun"/>
          <w:b/>
          <w:color w:val="000000"/>
          <w:sz w:val="21"/>
          <w:u w:val="single"/>
        </w:rPr>
        <w:t xml:space="preserve">               </w:t>
      </w:r>
      <w:r>
        <w:rPr>
          <w:rFonts w:ascii="SimSun" w:hAnsi="SimSun" w:eastAsia="SimSun" w:cs="SimSun"/>
          <w:color w:val="000000"/>
          <w:sz w:val="21"/>
        </w:rPr>
        <w:t xml:space="preserve">（项目名称），已接受</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（以下简称“承包人”）对该项目标段施工的投标。发包人和承包人共同达成如下协议。</w:t>
      </w:r>
      <w:r/>
    </w:p>
    <w:p>
      <w:pPr>
        <w:ind w:left="0" w:right="225"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1、项目概况：</w:t>
      </w:r>
      <w:r>
        <w:rPr>
          <w:rFonts w:ascii="SimSun" w:hAnsi="SimSun" w:eastAsia="SimSun" w:cs="SimSun"/>
          <w:b/>
          <w:color w:val="000000"/>
          <w:sz w:val="21"/>
          <w:u w:val="single"/>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2、下列文件应视为构成合同文件的组成部分：</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（1）本协议书及各种合同附件（含评标期间和合同磋商过程中的澄清文件和补充资料）；</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（2）竞争性磋商结果通知书；</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（3）磋商申请书；</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（4）项目专用合同条款；</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（5）公路工程专用合同条款；</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（6）通用合同条款；</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（7）技术规范；</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（8）图纸；</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（9）已标价工程量清单；</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（10）承包人有关人员、设备投入的承诺及投标文件中的施工组织设计；</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（11）其他合同文件。</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上述文件互相补充和解释，如有不明确或不一致之处，以合同约定次序在先者为准。</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3、签约合同价：人民币（大写）</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4、承包人项目经理：</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5、工程质量符合</w:t>
      </w:r>
      <w:r>
        <w:rPr>
          <w:rFonts w:ascii="SimSun" w:hAnsi="SimSun" w:eastAsia="SimSun" w:cs="SimSun"/>
          <w:color w:val="000000"/>
          <w:sz w:val="21"/>
          <w:u w:val="single"/>
        </w:rPr>
        <w:t xml:space="preserve">         </w:t>
      </w:r>
      <w:r>
        <w:rPr>
          <w:rFonts w:ascii="SimSun" w:hAnsi="SimSun" w:eastAsia="SimSun" w:cs="SimSun"/>
          <w:color w:val="000000"/>
          <w:sz w:val="21"/>
        </w:rPr>
        <w:t xml:space="preserve">标准；工程安全目标：</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6、承包人承诺按合同约定承担工程的实施、完成及缺陷修复，缺陷责任期2年。</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发包人承诺按合同约定的条件、时间和方式向承包人支付合同价款：工程交工验收通过后当年春季前付至合同金额的40%；交工验收满一年后当年春季前付至审定价的70%；余款在缺陷责任期满且工程竣工验收通过后当年春季前付清。不考虑未付款额的利息。</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8、承包人应按照监理人指示开工，工期为</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日历天。</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9、本协议书由双方法定代表人或其委托代理人签署并加盖单位章后生效。</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10、本协议书一式</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陆</w:t>
      </w:r>
      <w:r>
        <w:rPr>
          <w:rFonts w:ascii="SimSun" w:hAnsi="SimSun" w:eastAsia="SimSun" w:cs="SimSun"/>
          <w:b/>
          <w:color w:val="000000"/>
          <w:sz w:val="21"/>
          <w:u w:val="single"/>
        </w:rPr>
        <w:t xml:space="preserve"> </w:t>
      </w:r>
      <w:r>
        <w:rPr>
          <w:rFonts w:ascii="SimSun" w:hAnsi="SimSun" w:eastAsia="SimSun" w:cs="SimSun"/>
          <w:color w:val="000000"/>
          <w:sz w:val="21"/>
        </w:rPr>
        <w:t xml:space="preserve">份，双方各执</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叁</w:t>
      </w:r>
      <w:r>
        <w:rPr>
          <w:rFonts w:ascii="SimSun" w:hAnsi="SimSun" w:eastAsia="SimSun" w:cs="SimSun"/>
          <w:b/>
          <w:color w:val="000000"/>
          <w:sz w:val="21"/>
          <w:u w:val="single"/>
        </w:rPr>
        <w:t xml:space="preserve"> </w:t>
      </w:r>
      <w:r>
        <w:rPr>
          <w:rFonts w:ascii="SimSun" w:hAnsi="SimSun" w:eastAsia="SimSun" w:cs="SimSun"/>
          <w:color w:val="000000"/>
          <w:sz w:val="21"/>
        </w:rPr>
        <w:t xml:space="preserve">份。</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11、合同未尽事宜，双方另行签订补充协议。补充协议是合同的组成部分。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发包人：（盖单位章）       承包人：（盖单位章）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                 法定代表人或其委托代理人：</w:t>
      </w:r>
      <w:r/>
    </w:p>
    <w:p>
      <w:pPr>
        <w:ind w:left="0" w:right="0" w:firstLine="105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                                   （签字）</w:t>
      </w:r>
      <w:r/>
    </w:p>
    <w:p>
      <w:pPr>
        <w:ind w:left="0" w:right="0" w:firstLine="567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第一节 通用合同条款</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见《公路工程标准施工招标文件》（2018 年版）的“通用合同条款”。</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第二节 专用合同条款</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A.公路工程专用合同条款</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见《公路工程标准施工招标文件》（2018 年版）的“公路工程专用合同条款”</w:t>
      </w:r>
      <w:r>
        <w:rPr>
          <w:rFonts w:ascii="Arial" w:hAnsi="Arial" w:eastAsia="Arial" w:cs="Arial"/>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B.项目专用合同条款</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项目专用合同条款数据表</w:t>
      </w:r>
      <w:r/>
    </w:p>
    <w:tbl>
      <w:tblPr>
        <w:tblStyle w:val="8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1"/>
        <w:gridCol w:w="688"/>
        <w:gridCol w:w="8455"/>
      </w:tblGrid>
      <w:tr>
        <w:trPr>
          <w:trHeight w:val="595"/>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条款号</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信息或数据</w:t>
            </w:r>
            <w:r/>
          </w:p>
        </w:tc>
      </w:tr>
      <w:tr>
        <w:trPr>
          <w:trHeight w:val="90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line="3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发包人：南京市六合区人民政府程桥街道办事处 </w:t>
            </w:r>
            <w:r/>
          </w:p>
          <w:p>
            <w:pPr>
              <w:ind w:left="0" w:right="0" w:firstLine="0"/>
              <w:jc w:val="both"/>
              <w:spacing w:before="200" w:after="200" w:line="3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址：南京市六合区程桥街道编钟路88号      邮政编码： </w:t>
            </w:r>
            <w:r/>
          </w:p>
        </w:tc>
      </w:tr>
      <w:tr>
        <w:trPr>
          <w:trHeight w:val="90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1.1.2.6</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line="3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 </w:t>
            </w:r>
            <w:r/>
          </w:p>
          <w:p>
            <w:pPr>
              <w:ind w:left="0" w:right="0" w:firstLine="0"/>
              <w:jc w:val="both"/>
              <w:spacing w:before="200" w:after="200" w:line="3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邮政编码： </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1.1.4.5</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缺陷责任期：自交工验收日期起计算2年</w:t>
            </w:r>
            <w:r/>
          </w:p>
        </w:tc>
      </w:tr>
      <w:tr>
        <w:trPr>
          <w:trHeight w:val="90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line="3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图纸需要修改和补充的，应由监理人取得发包人同意后，在该工程或工程相应部位施工前</w:t>
            </w:r>
            <w:r>
              <w:rPr>
                <w:rFonts w:ascii="SimSun" w:hAnsi="SimSun" w:eastAsia="SimSun" w:cs="SimSun"/>
                <w:color w:val="000000"/>
                <w:sz w:val="21"/>
                <w:u w:val="single"/>
              </w:rPr>
              <w:t xml:space="preserve"> / </w:t>
            </w:r>
            <w:r>
              <w:rPr>
                <w:rFonts w:ascii="SimSun" w:hAnsi="SimSun" w:eastAsia="SimSun" w:cs="SimSun"/>
                <w:color w:val="000000"/>
                <w:sz w:val="21"/>
              </w:rPr>
              <w:t xml:space="preserve">天签发图纸修改图给承包人</w:t>
            </w:r>
            <w:r/>
          </w:p>
        </w:tc>
      </w:tr>
      <w:tr>
        <w:trPr>
          <w:trHeight w:val="1361"/>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line="3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监理人在行使下列权力前需要经发包人事先批准：</w:t>
            </w:r>
            <w:r/>
          </w:p>
          <w:p>
            <w:pPr>
              <w:ind w:left="0" w:right="0" w:firstLine="0"/>
              <w:jc w:val="both"/>
              <w:spacing w:before="200" w:after="200" w:line="3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（6）根据第15.3款发出的变更指示，其单项工程变更涉及的金额超过了该单项工程签约时合同价的</w:t>
            </w:r>
            <w:r>
              <w:rPr>
                <w:rFonts w:ascii="SimSun" w:hAnsi="SimSun" w:eastAsia="SimSun" w:cs="SimSun"/>
                <w:color w:val="000000"/>
                <w:sz w:val="21"/>
                <w:u w:val="single"/>
              </w:rPr>
              <w:t xml:space="preserve">0</w:t>
            </w:r>
            <w:r>
              <w:rPr>
                <w:rFonts w:ascii="SimSun" w:hAnsi="SimSun" w:eastAsia="SimSun" w:cs="SimSun"/>
                <w:color w:val="000000"/>
                <w:sz w:val="21"/>
              </w:rPr>
              <w:t xml:space="preserve">%或累计变更超过了签约合同价的</w:t>
            </w:r>
            <w:r>
              <w:rPr>
                <w:rFonts w:ascii="SimSun" w:hAnsi="SimSun" w:eastAsia="SimSun" w:cs="SimSun"/>
                <w:color w:val="000000"/>
                <w:sz w:val="21"/>
                <w:u w:val="single"/>
              </w:rPr>
              <w:t xml:space="preserve">0</w:t>
            </w:r>
            <w:r>
              <w:rPr>
                <w:rFonts w:ascii="SimSun" w:hAnsi="SimSun" w:eastAsia="SimSun" w:cs="SimSun"/>
                <w:color w:val="000000"/>
                <w:sz w:val="21"/>
              </w:rPr>
              <w:t xml:space="preserve">%</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发包人是否提供材料或工程设备：否</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发包人是否提供施工设备和临时设施：否</w:t>
            </w:r>
            <w:r/>
          </w:p>
        </w:tc>
      </w:tr>
      <w:tr>
        <w:trPr>
          <w:trHeight w:val="90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spacing w:before="200" w:after="200" w:line="3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甲方提供测量基准点、基准线和水准点及书面资料的期限：</w:t>
            </w:r>
            <w:r>
              <w:rPr>
                <w:rFonts w:ascii="SimSun" w:hAnsi="SimSun" w:eastAsia="SimSun" w:cs="SimSun"/>
                <w:color w:val="000000"/>
                <w:sz w:val="21"/>
                <w:u w:val="single"/>
              </w:rPr>
              <w:t xml:space="preserve">    /   </w:t>
            </w:r>
            <w:r/>
          </w:p>
          <w:p>
            <w:pPr>
              <w:ind w:left="0" w:right="0" w:firstLine="0"/>
              <w:spacing w:before="200" w:after="200" w:line="3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乙方将施工控制网资料报送监理人审批的期限：</w:t>
            </w:r>
            <w:r>
              <w:rPr>
                <w:rFonts w:ascii="SimSun" w:hAnsi="SimSun" w:eastAsia="SimSun" w:cs="SimSun"/>
                <w:color w:val="000000"/>
                <w:sz w:val="21"/>
                <w:u w:val="single"/>
              </w:rPr>
              <w:t xml:space="preserve">    /    </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11.5（3）</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逾期交工违约金：</w:t>
            </w:r>
            <w:r>
              <w:rPr>
                <w:rFonts w:ascii="SimSun" w:hAnsi="SimSun" w:eastAsia="SimSun" w:cs="SimSun"/>
                <w:color w:val="000000"/>
                <w:sz w:val="21"/>
                <w:u w:val="single"/>
              </w:rPr>
              <w:t xml:space="preserve">人民币5000元/天</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11.5（3）</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逾期交工违约金限额：</w:t>
            </w:r>
            <w:r>
              <w:rPr>
                <w:rFonts w:ascii="SimSun" w:hAnsi="SimSun" w:eastAsia="SimSun" w:cs="SimSun"/>
                <w:color w:val="000000"/>
                <w:sz w:val="21"/>
                <w:u w:val="single"/>
              </w:rPr>
              <w:t xml:space="preserve">10</w:t>
            </w:r>
            <w:r>
              <w:rPr>
                <w:rFonts w:ascii="SimSun" w:hAnsi="SimSun" w:eastAsia="SimSun" w:cs="SimSun"/>
                <w:color w:val="000000"/>
                <w:sz w:val="21"/>
              </w:rPr>
              <w:t xml:space="preserve">%签约合同价</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提前交工的奖金：</w:t>
            </w:r>
            <w:r>
              <w:rPr>
                <w:rFonts w:ascii="SimSun" w:hAnsi="SimSun" w:eastAsia="SimSun" w:cs="SimSun"/>
                <w:color w:val="000000"/>
                <w:sz w:val="21"/>
                <w:u w:val="single"/>
              </w:rPr>
              <w:t xml:space="preserve">无</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提前交工的奖金限额：</w:t>
            </w:r>
            <w:r>
              <w:rPr>
                <w:rFonts w:ascii="SimSun" w:hAnsi="SimSun" w:eastAsia="SimSun" w:cs="SimSun"/>
                <w:color w:val="000000"/>
                <w:sz w:val="21"/>
                <w:u w:val="single"/>
              </w:rPr>
              <w:t xml:space="preserve">无</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15.2.2</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line="3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乙方提岀的合理化建议降低了合同价格或者提高了工程经济效益的，发包人无奖励</w:t>
            </w:r>
            <w:r/>
          </w:p>
        </w:tc>
      </w:tr>
      <w:tr>
        <w:trPr>
          <w:trHeight w:val="90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jc w:val="both"/>
              <w:spacing w:before="200" w:after="200" w:line="3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×因物价波动引起的价格调整。 </w:t>
            </w:r>
            <w:r/>
          </w:p>
          <w:p>
            <w:pPr>
              <w:ind w:left="0" w:right="0" w:firstLine="0"/>
              <w:jc w:val="both"/>
              <w:spacing w:before="200" w:after="200" w:line="3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√合同期内单价不调整</w:t>
            </w:r>
            <w:r/>
          </w:p>
        </w:tc>
      </w:tr>
      <w:tr>
        <w:trPr>
          <w:trHeight w:val="567"/>
        </w:trPr>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6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17.2.1（1）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45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开工预付款金额：无</w:t>
            </w:r>
            <w:r/>
          </w:p>
        </w:tc>
      </w:tr>
    </w:tbl>
    <w:p>
      <w:pPr>
        <w:ind w:left="0" w:right="0" w:firstLine="0"/>
        <w:jc w:val="both"/>
        <w:spacing w:before="0" w:after="0" w:line="1" w:lineRule="atLeast"/>
        <w:pBdr>
          <w:top w:val="none" w:color="000000" w:sz="4" w:space="0"/>
          <w:left w:val="none" w:color="000000" w:sz="4" w:space="0"/>
          <w:bottom w:val="none" w:color="000000" w:sz="4" w:space="0"/>
          <w:right w:val="none" w:color="000000" w:sz="4" w:space="0"/>
        </w:pBdr>
      </w:pPr>
      <w:r>
        <w:br w:type="page" w:clear="all"/>
      </w:r>
      <w:r/>
    </w:p>
    <w:tbl>
      <w:tblPr>
        <w:tblStyle w:val="8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1"/>
        <w:gridCol w:w="1371"/>
        <w:gridCol w:w="7167"/>
      </w:tblGrid>
      <w:tr>
        <w:trPr>
          <w:trHeight w:val="702"/>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36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条款号</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信息或数据</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17.2.1（2）</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材料、设备预付款比例：无</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36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17.3.2</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乙方在每个付款周期未向监理人提交进度付款申请单的份数：</w:t>
            </w:r>
            <w:r>
              <w:rPr>
                <w:rFonts w:ascii="SimSun" w:hAnsi="SimSun" w:eastAsia="SimSun" w:cs="SimSun"/>
                <w:color w:val="000000"/>
                <w:sz w:val="21"/>
                <w:u w:val="single"/>
              </w:rPr>
              <w:t xml:space="preserve"> 4</w:t>
            </w:r>
            <w:r>
              <w:rPr>
                <w:rFonts w:ascii="SimSun" w:hAnsi="SimSun" w:eastAsia="SimSun" w:cs="SimSun"/>
                <w:color w:val="000000"/>
                <w:sz w:val="21"/>
              </w:rPr>
              <w:t xml:space="preserve">份</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17.3.3(1)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进度付款证书最低限额：/</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17.3.3(2)</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逾期付款违约金的利率：/</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质量保证金百分比：/</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17.5.1（1）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承包人向监理人提交交工付款申请单（包括相关证明材料）的份数：</w:t>
            </w:r>
            <w:r>
              <w:rPr>
                <w:rFonts w:ascii="SimSun" w:hAnsi="SimSun" w:eastAsia="SimSun" w:cs="SimSun"/>
                <w:color w:val="000000"/>
                <w:sz w:val="21"/>
                <w:u w:val="single"/>
              </w:rPr>
              <w:t xml:space="preserve">4</w:t>
            </w:r>
            <w:r>
              <w:rPr>
                <w:rFonts w:ascii="SimSun" w:hAnsi="SimSun" w:eastAsia="SimSun" w:cs="SimSun"/>
                <w:color w:val="000000"/>
                <w:sz w:val="21"/>
              </w:rPr>
              <w:t xml:space="preserve">份</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17.6.1（2）</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承包人向监理人提交最终结清申请单（包括相关证明材料）的份数：</w:t>
            </w:r>
            <w:r>
              <w:rPr>
                <w:rFonts w:ascii="SimSun" w:hAnsi="SimSun" w:eastAsia="SimSun" w:cs="SimSun"/>
                <w:color w:val="000000"/>
                <w:sz w:val="21"/>
                <w:u w:val="single"/>
              </w:rPr>
              <w:t xml:space="preserve">4</w:t>
            </w:r>
            <w:r>
              <w:rPr>
                <w:rFonts w:ascii="SimSun" w:hAnsi="SimSun" w:eastAsia="SimSun" w:cs="SimSun"/>
                <w:color w:val="000000"/>
                <w:sz w:val="21"/>
              </w:rPr>
              <w:t xml:space="preserve">份</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18.2（2）</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竣工资料的份数：</w:t>
            </w:r>
            <w:r>
              <w:rPr>
                <w:rFonts w:ascii="SimSun" w:hAnsi="SimSun" w:eastAsia="SimSun" w:cs="SimSun"/>
                <w:color w:val="000000"/>
                <w:sz w:val="21"/>
                <w:u w:val="single"/>
              </w:rPr>
              <w:t xml:space="preserve">4</w:t>
            </w:r>
            <w:r>
              <w:rPr>
                <w:rFonts w:ascii="SimSun" w:hAnsi="SimSun" w:eastAsia="SimSun" w:cs="SimSun"/>
                <w:color w:val="000000"/>
                <w:sz w:val="21"/>
              </w:rPr>
              <w:t xml:space="preserve">份</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line="35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单位工程或工程设备是否需投入施工期运行：否</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本工程及工程设备是否进行试运行：否</w:t>
            </w:r>
            <w:r/>
          </w:p>
        </w:tc>
      </w:tr>
      <w:tr>
        <w:trPr>
          <w:trHeight w:val="56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19.7（1）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保修期：</w:t>
            </w:r>
            <w:r>
              <w:rPr>
                <w:rFonts w:ascii="SimSun" w:hAnsi="SimSun" w:eastAsia="SimSun" w:cs="SimSun"/>
                <w:color w:val="000000"/>
                <w:sz w:val="21"/>
                <w:u w:val="single"/>
              </w:rPr>
              <w:t xml:space="preserve">/</w:t>
            </w:r>
            <w:r/>
          </w:p>
        </w:tc>
      </w:tr>
      <w:tr>
        <w:trPr>
          <w:trHeight w:val="1410"/>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建筑工程一切险的保险费率：由承包人根据江苏省保险行业协会有关公路工程 保险的相关规定自行考虑</w:t>
            </w:r>
            <w:r/>
          </w:p>
        </w:tc>
      </w:tr>
      <w:tr>
        <w:trPr>
          <w:trHeight w:val="1052"/>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20.4.2</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第三者责任险的最低投保金额、保险费率：由承包人根据江苏省保险行业协会 有关公路工程保险的相关规定自行考虑</w:t>
            </w:r>
            <w:r/>
          </w:p>
        </w:tc>
      </w:tr>
      <w:tr>
        <w:trPr>
          <w:trHeight w:val="1441"/>
        </w:trPr>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70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13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w:t>
            </w:r>
            <w:r/>
          </w:p>
        </w:tc>
        <w:tc>
          <w:tcPr>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6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争议的最终解决方式：诉讼 双方在履行合同过程中，如产生争议和纠纷，应友好协商解决，双方协商不能 达成一致时，均应向工程所在地人民法院提起诉讼。诉讼费由败诉方承担。</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项目专用合同条款</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left="0" w:right="0" w:firstLine="0"/>
        <w:spacing w:before="240" w:after="0" w:line="4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0" w:line="40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1．一般约定 </w:t>
      </w:r>
      <w:r/>
    </w:p>
    <w:p>
      <w:pPr>
        <w:ind w:left="0" w:right="0" w:firstLine="0"/>
        <w:spacing w:before="240" w:after="0" w:line="4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 </w:t>
      </w:r>
      <w:r/>
    </w:p>
    <w:p>
      <w:pPr>
        <w:ind w:left="0" w:right="0" w:firstLine="480"/>
        <w:spacing w:before="240" w:after="0" w:line="4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 1.6.6 项： </w:t>
      </w:r>
      <w:r/>
    </w:p>
    <w:p>
      <w:pPr>
        <w:ind w:left="0" w:right="0" w:firstLine="480"/>
        <w:spacing w:before="240" w:after="0" w:line="40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进行现场查勘，根据实际情况，结合自身技术水平、施工经验和设备配备等细化、完善、优化以满足工程项目质量、安全、进度、环保等方面因素，报监理工程师同意后组织实施。承包人不得因最终施工方案与投标施工方案的不同而调整费用。</w:t>
      </w:r>
      <w:r/>
    </w:p>
    <w:p>
      <w:pPr>
        <w:ind w:left="0" w:right="0" w:firstLine="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4．承包人 </w:t>
      </w:r>
      <w:r/>
    </w:p>
    <w:p>
      <w:pPr>
        <w:ind w:left="0" w:right="0" w:firstLine="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承包人的一般义务</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 依法纳税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本项细化为：中国政府（江苏省）根据现行税法和有关部门现行规定就本合同项下向承包人征收的所有税金及其他应缴纳的所有费用均由承包人摊入各工程子目的单价中。</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4.1.10 其他义务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4.1.10（6）承包人应履行项目专用合同条款约定的其他义务：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a．承包人应在监理人的指示下，为本项目其他工程提供必要的便利条件。承包人因此发生的一切费用均应含入所报的投标报价中，发包人不再另行计列。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施工期间，承包人应对原结构物的安全、交通标志、标牌、各类地下预埋管线、绿化的保护等采取相应的措施，承包人应将其采取上述措施而可能发生的全部费用计入投标报价中，发包人将不另行支付，工程实施期间，承包人不得以任何理由对此提出索赔。由于自身施工等原因而对其他合同工程造成污染、损坏、损失等，均应立即免费修复或足额赔偿。承包人必须加强对地下管线等相关隐蔽设施的保护，承包人必须事先查明情况，办理相关施工交底手续后，方可进行对隐蔽设施可能产生影响的相关项目施工，否则造成的后果，除了由承包人自行承担一切责任外，发包人还</w:t>
      </w:r>
      <w:r>
        <w:rPr>
          <w:rFonts w:ascii="SimSun" w:hAnsi="SimSun" w:eastAsia="SimSun" w:cs="SimSun"/>
          <w:color w:val="000000"/>
          <w:sz w:val="24"/>
        </w:rPr>
        <w:t xml:space="preserve">将严肃追究承包人的违约责任。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c．承包人必须组织采用证照、手续齐全，性能良好，确保能安全施工的车辆、设备进行各项施工，在施工过程中非因发包人原因所发生的一切安全事故均由承包人自行负责。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d．承包人应因时制宜及时对施工组织和生产要素（工、料、机等）做好调整安排，避免造成停工停机损失。若承包人未及时做好妥善调整和安排，发包人不承担由此引起的索赔和补偿。</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e．发包人仅负责工程过程中施工范围内发生的外部矛盾的协调。对于工程施工过程的临时用地等其他相关事宜均由承包人自行解决。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承包人应妥善处理好与其他工程承包人的关系，发生交叉施工时，应相互配合，友好协作，并无条件服从发包人或工程师的统一协调。并承担由此而引起的临时停工及施工作业面不连续等风险，承包人也不得就此要求发包人给予额外费用补贴，由此发生的一切费用视为已计入投标报价中。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g．承包人应按照《南京市渣土运输管理办法》（政府令第 301 号）等现行有关施工安全、文明、环保的规定执行，所需相关费用计入工程量清单各工程细目的单价或总价中，发包人不再另行支付。并应保证发包人免于承担因上述事宜所引起的补偿费、诉讼费、损害赔偿、指控费用及其他开支。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h．合同双方对在合同履行期间及其后获知的对方的内部数据、技术秘密等需保密的事项，负有严格保密义务，如因任何一方违约导致对方经济损失，违约方应全额赔偿对方经济损失，包括但不限于诉讼费等。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本项目拆除的交安设施等由承包人自行处置，旧料的残值计入投标人的投标报价中。投标人可以在相关细目的报价中充分考虑旧料的残值回收。施工阶段承包人应将挖除旧料、拆除的交安设施等及时清运至堆放场地，不得堆弃在道路上或道路用地范围内，由此发生的相关费用计入投标报价中，发包人不再另行支付。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j．承包人在项目实施过程中发生的任何交通、生产事故造成财产损失或人员伤亡，以及与其他第三方发生的任何纠纷或事故，发包人概不承担任何责任和费用。</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 4.1.11 项：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4.1.11承包人应保证发包人免于承担因承包人原因引起的一切诉讼、指控以及相关费用，包括但不仅限于：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a．承包人应保证发包人免于承担因承包人借用、占用或使用当地道路或其他交通设施所引起的一切诉讼、指控以及相关费用（包括补偿费、诉讼费、损害 赔偿、指控费及其他开支）。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b．承包人应保证发包人免于承担因在与已建公路、航道、管线等有交叉、干扰的地段施工所引起的一切诉讼、指控以及相关费用（包括补偿费、诉讼费、损害赔偿、指控费及其他开支）。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c．承包人应保证发包人免于承担因安全、环保、噪声所引起的一切诉讼、指控以及相关费用（包括补偿费、诉讼费、损害赔偿、指控费及其他开支）。</w:t>
      </w:r>
      <w:r/>
    </w:p>
    <w:p>
      <w:pPr>
        <w:ind w:left="0" w:right="0" w:firstLine="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分包 </w:t>
      </w:r>
      <w:r/>
    </w:p>
    <w:p>
      <w:pPr>
        <w:ind w:left="0" w:right="0" w:firstLine="480"/>
        <w:spacing w:before="240" w:after="0" w:line="408" w:lineRule="atLeast"/>
        <w:tabs>
          <w:tab w:val="left" w:pos="9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 4.3.7 项细化为：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参照《公路工程施工分包管理办法》（交公路规〔2024〕2 号）等国家、 江苏省及地方现行相关法律法规、行政规章执行。</w:t>
      </w:r>
      <w:r/>
    </w:p>
    <w:p>
      <w:pPr>
        <w:ind w:left="0" w:right="0" w:firstLine="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 承包人人员的管理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 4.6.6 项：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在整个工程实施过程中，承包人成立项目经理部，派出投标文件中承诺的项目经理等主要人员。发包人将对项目经理实行考勤制度，必须保证每月至少有 22 天常驻现场。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未事先征得发包人同意，承包人不得擅自更换项目经理。因故确需调整，必须事先征得招标人和相关主管部门的同意，且必须保证变更后的资质水平不低于投标文件中 申报的水平，且调整后的人员必须已在江苏省交通运输招投标管理系统中备案。但发包人有权根据工程实施情况要求承包人立即更换不称职的项目经理、项目总工，对此，承包人不得拒绝。</w:t>
      </w:r>
      <w:r/>
    </w:p>
    <w:p>
      <w:pPr>
        <w:ind w:left="0" w:right="0" w:firstLine="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 保障承包人人员的合法权益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 4.8.5 项细化为：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承包人应按有关法律规定和合同约定，为其雇佣人员办理保险。并且必须认真贯彻落实国家及省市现行相关法律法规有关禁止拖欠民工工资的要求，承包人按规定填写并执行“不拖欠民工工资承诺书”。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 4.8.7、4.8.8、4.8.9、4.8.10 项：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4.8.7 承包人在组织人员进驻工程现场时，应切实采取预防疫情的有效措施，配备必要的医药用品、消毒、测温、通风等设施、设备，加强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4.8.8 承包人应自行聘（雇）用当地或其他来源的职员或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文件中所列的数量和质量。若监理人认为承包人的装备和人员不能满足工程进度和质量要求，应向承包人发出增加人员和装备的指令，承包人在接到指令后7天内，必须按指令</w:t>
      </w:r>
      <w:r>
        <w:rPr>
          <w:rFonts w:ascii="SimSun" w:hAnsi="SimSun" w:eastAsia="SimSun" w:cs="SimSun"/>
          <w:color w:val="000000"/>
          <w:sz w:val="24"/>
        </w:rPr>
        <w:t xml:space="preserve">要求调整人员和装备。否则，按第承包人违约处理。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4.8.9 承包人在处理劳务事宜时，应充分考虑和尊重法定的节假日和公认的农作季节， 尊重宗教习惯和风俗习惯，由于承包人处理不当引起的费用或纠纷等责任由承包人自负。</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4.8.10 不拖欠农民工工资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承包人在合同执行期间应严格执行《保障农民工工资支付条例》（国务院令第 724 号）、《国务院办公厅关于全面治理拖欠农民工工资问题的意见》《交通运输部关于公路水运工程建设领域保障农民工工资支付的意见》等规定，切实做好农民工工资保障工作。 </w:t>
      </w:r>
      <w:r/>
    </w:p>
    <w:p>
      <w:pPr>
        <w:ind w:left="0" w:right="0" w:firstLine="48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（1）承包人要认真贯彻落实《中华人民共和国劳动法》等现行国家及省市相关法律法规 有关禁止拖欠农民工工资的要求，完善农民工工资支付的实施办法，承包人应对劳务分包单位工资支付进行监督，督促其依法支付农民工工资，督促其将工资直接发放给农民工本人，严禁发放给“包工头”。承包人应采取必要措施保证不拖欠民工工资。</w:t>
      </w:r>
      <w:r/>
    </w:p>
    <w:p>
      <w:pPr>
        <w:ind w:left="0" w:right="0" w:firstLine="48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的项目经理部是民工工资支付行为的主体，承包人的项目经理或授权的项目副经理是民工工资支付的责任人。项目经理部要建立全体民工花名册和工资支付表，确保将工资直接发放给农民工本人，或委托银行发放人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right="0" w:firstLine="48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（3）如果发生违反规定拖欠或克扣农民工工资行为，造成农民工上访，发包人将暂停承包人 1 年期间参加发包人招标项目，同时交通行政主管部门将依照有关规定对其作出其他处罚决定。</w:t>
      </w:r>
      <w:r/>
    </w:p>
    <w:p>
      <w:pPr>
        <w:ind w:left="0" w:right="0" w:firstLine="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不利物质条件 </w:t>
      </w:r>
      <w:r/>
    </w:p>
    <w:p>
      <w:pPr>
        <w:ind w:left="0" w:right="0" w:firstLine="440"/>
        <w:jc w:val="both"/>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 4.11.3 项约定为：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本项目可预见的不利物质条件范围包括：工程实体过冬及雨季施工需要采取必要的保护措施。</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5．材料和工程设备</w:t>
      </w:r>
      <w:r>
        <w:rPr>
          <w:rFonts w:ascii="SimSun" w:hAnsi="SimSun" w:eastAsia="SimSun" w:cs="SimSun"/>
          <w:color w:val="000000"/>
          <w:sz w:val="24"/>
        </w:rPr>
        <w:t xml:space="preserve"> </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承包人提供的材料和工程设备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本款补充第 5.1.4 项～第 5.1.6 项：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 所有材料由承包人按照招标文件规定的技术要求和合同执行期间新颁布的现行规范要求自行选择采购。承包人应根据工程需要提前做好备料工作，但不得因施工配合比与设计配合比之间的差异要求发包人赔偿备料造成的损失。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 本项目借土填筑土方的土源由承包人自行调查落实，承包人应保证其土源的合法性。该部分土方的土源费、运距、运费由承包人自行考虑，并承担相应费用，费用应包含在相应支付子目的综合单价中。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 本项目发包人不提供弃土（石）场及其他相关拆除材料的堆放场地，由承包人自行解决，并符合《南京市渣土运输管理办法》（政府令第 301 号）及其他相关部门的现行规定，由此发生的相关费用在投标报价时予以充分考虑，并计入工程量清单各细目单价或总额价中。并应保证发包人免于承担因上述场地的使用所引起的补偿费、诉讼费、损害赔偿、指控费用及其他开支。 </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6．施工设备和临时设施 </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承包人提供的施工设备和临时设施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本款补充第 6.1.3、6.1.4、6.1.5 项：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 本工程实施时不得中断现有公路交通，承包人应制定详细可行的交通组织设计及临时安全设施设置方案，并须经发包人同意且通过交警、交通运输综合行政执法等行政部门的行政审批。在投标报价中应充分考虑相关行政部门可能收取的各项费用、可能发生的全部现场工程措施费用、临时安全设施设置费用（包括现场隔离措施、临时标志标牌等），上述费用包含在工程量清单各细目单价或总额价中，发包人将不另行支付，工程实施期间，承包人不得以任何理由对此提出索赔。承包人还应充分考虑施工过程中受行车干扰的影响致使人工、机械效率降低而增加的费用，</w:t>
      </w:r>
      <w:r>
        <w:rPr>
          <w:rFonts w:ascii="SimSun" w:hAnsi="SimSun" w:eastAsia="SimSun" w:cs="SimSun"/>
          <w:color w:val="000000"/>
          <w:sz w:val="24"/>
        </w:rPr>
        <w:t xml:space="preserve">包含在工程量清单各细目单价或总额价中，发包人将不另行支付。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本项目须对施工现场做好围挡警示工作，并安排专人指挥交通，以确保施工安全和人员安全。围挡的制作、安装、维护、拆除等所发生的一切费用计入工程量清单各细目单价或总额价中。施工现场不按要求设置围挡的，发包人将对其进行处罚或令其限期改正或停工整改，逾期不改的，将按违约处理。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施工所需供电、电讯、供水等由投标人自行调查解决，临时供电设施、电讯设施、供水、排污设施的设置必须满足《公路养护安全作业规程》等相关要求，所发生的一切费用含在承包人的投标报价中，发包人不单独计量与支付。 </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要求承包人增加或更换施工设备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本款细化为：</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为实施和完成本合同工程及其缺陷的修复，承包人应按投标文件承诺的型号、规格、数量和时间向现场调遣或租用主要施工机械及材料试验、测量、质检仪器设备，不得拖延、短 缺或任意更换，否则将按视为承包人违约。尽管承包人已按承诺提供了上述机械、设备和仪器，但若承包人使用的施工机械、设备 和仪器不能满足合同进度计划和（或）质量要求时，监理人有权要求承包人增加或更换施工机械、设备和仪器，承包人应及时增加或更换，由此增加的费用和（或）工期延误责任由承包人承担。承包人在接到监理人指令后应立即执行，否则将按视为承包人违约。承包人的</w:t>
      </w:r>
      <w:r>
        <w:rPr>
          <w:rFonts w:ascii="SimSun" w:hAnsi="SimSun" w:eastAsia="SimSun" w:cs="SimSun"/>
          <w:color w:val="000000"/>
          <w:sz w:val="24"/>
        </w:rPr>
        <w:t xml:space="preserve">施工机械、设备应在工程所在地办理机械、设备的安全施工相关手续，接受监督与管理，完成相关手续后方可投入使用。</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7．交通运输 </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场内施工道路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 7.2.1 项约定为：承包人应对所使用或借用、占用、利用当地的所有出入现场的临时道路和桥梁进行养护和维修，直到工程竣工，并恢复原貌，其费用包含在投标报价中，不单独计量与支付。并应保证发包人免于承担因上述临时道路的使用所引起的补偿费、诉讼费、损害赔偿、指控费及其他开支。</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道路和桥梁的损坏责任</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 7.5 款细化为：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为保证道路交通安全及运输畅通，承包人应采取以下措施：</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（a）当施工期间，承包人必须在与交通和公安部门协商下，采取足够的引导交通措施；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（b）承包人制定运输计划时，应避开现有道路上在高峰时的运输。</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9．施工安全、治安保卫和环境保护 </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承包人的施工安全责任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 9.2.5 项细化为：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施工期间，承包人必须严格执行《企业安全生产费用提取和使用管理办法》（财资 〔2022〕136 号）、《公路水运工程安全生产监督管理办法》（交通运输部令 2017 年第 25 号）、 《江苏省公路水运工程安全生产费用管理办法》（苏交规〔2025〕1 号）等国家、江苏省及地方现行有关施工安全管理方面的法律法规及规章制度，同时严格执行发包人制订的本项目安全生产管理方面的规章制度、安全检查程序及施工安全管理要求，以及监理人有关安全工作的指示，以保证达到合同规定的安全生产要求。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投标人中标后，应制定详细的安全生产实施方案，并按照《江苏省公路工程安全生产工 程量清单编制说明》以及发包人制定的安全生产管理办法的规定对其投标报价时所报的安全生产费进行详细的安全生产工程量清单报价编制。中标后应按相关规定办理安全生产责任保险，其费用从安全生产费中列支。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费用”按最高投标限价的1.5%计取，并计入工程量清单中，投标人在报价时不得对该比例进行调整。如投标人须在此基础上增加安全生产费用以满足项目施工需要，则投标人应在本项目工程量清单其他相关细目的单价或总额价中予以考虑，招标人不再另行支付。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安全生产费应专款专用。在合同实施过程中，安全生产费由施工单位上报，同时需提供相关证明材料，最终经审计确认后支付，总额不超过最高投标限价的 1.5%。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本款补充第 9.2.12 项：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9.2.12 凡是标段内与道路有交叉、干扰的地段，承包人应在不干扰其正常运营的前提下合理安排施工组织计划，积极与有关部门联系，采取有效措施保证施工工期和安全，并在必要时疏导现有交通流；凡是标段内与其他在建工程有互扰的地段，承包人应 做好与其他施工单位的协调工作；凡是标段内场地狭窄的地段，承包人应按照施工要求制定完善的施工组织计划；承包人应对上述所有工作负责。发包人将根据承包人的要求给予适当协助。承包人采取上述措施而可能发生的全部现场工程措施费用（包括现场隔离措施、临时 标志标牌、照明等）以及相关的协调费用应</w:t>
      </w:r>
      <w:r>
        <w:rPr>
          <w:rFonts w:ascii="SimSun" w:hAnsi="SimSun" w:eastAsia="SimSun" w:cs="SimSun"/>
          <w:color w:val="000000"/>
          <w:sz w:val="24"/>
        </w:rPr>
        <w:t xml:space="preserve">已包含在合同价格中，发包人将不另行支付。如因承包人采取的措施不力，造成道路阻塞、污染、碎落物影响道路通行或者影响公路正常安全运营而给其他部门或个人造成的一切损失，或由上述原因造成本工程工期的拖延或施工费用的增加，均由承包人自行负责。</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治安保卫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本款补充第 9.3.4 项：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在符合合同要求的范围内，进行工程的施工和竣工以及对任何缺陷做必要的补救，均应以不使下述各方面遭受不必要的和不恰当的干扰为条件：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（1）公众的便利；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（2）公用道路或私人道路以及通往属于发包人或他人财产的人行小道的进入使用和占用；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（3）河流、航道、铁路、城镇道路和其他公共交通运输线路等；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（4）区中或地下的属于公共、团体或他人的管线和设施。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如果发生上述情况，并由此导致索赔、赔偿、诉讼费用及其他开支时，应由承包人承担一切责任及费用。</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环境保护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 9.4.7（3）目细化为：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（3）承包人在实施和完成本合同工程及缺陷修复工作中的一切施工作业应保证发包人免于承担因承包人借用、占用或使用当地道路或其他交通设施所引起的补偿费、诉讼费、损害 赔偿、指控费及其他开支。承包人必须及时做好施工涉及相关道路的交通维护、保洁维修工作，维持沿线村镇的居民的饮水、农田灌溉、生产生活用电及通信等管线的正常使用；各类施工工程中，应自觉保护好其他新建道路既有设施，施工中应做到文明施工，确保不发生沿 线扬尘、排污，而影响地方生活、生产和交通行车安全，采取有效措施和施工工艺，不得污染环境和影响现有道路和在建其他</w:t>
      </w:r>
      <w:r>
        <w:rPr>
          <w:rFonts w:ascii="SimSun" w:hAnsi="SimSun" w:eastAsia="SimSun" w:cs="SimSun"/>
          <w:color w:val="000000"/>
          <w:sz w:val="24"/>
        </w:rPr>
        <w:t xml:space="preserve">道路的通行和施工；确保不因施工造成地方利益的损害，由此发生的一切协调、维护、维修费用均由承包人承担。</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本款补充第 9.4.12 项～第 9.4.14 项：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9.4.12 与弃土、排污有关的一切工作由乙方负责，弃土（包括垃圾、灌木、石头、泥浆、废料、表土（腐殖土）、草皮及施工弃土）等的弃运、运距、堆放由乙方自行考虑，所有费用由乙方承担并支付，并包含在所报的单价或总额价中，不另行报价。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9.4.13 承包人应保证弃土不得被随处丢弃，应按工程所在地弃土、排放泥浆的有关规定办理相关手续，使弃土场位置的选择和弃土的堆放满足环保和地方政府的规定和要求，否则因承包人的行为使发包人由此导致索赔、赔偿、诉讼费用及其他开支时，应由承包人承担一切责任及费用。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9.4.14 承包人的运输车辆必须保证避免抛、洒、滴、漏，否则引起的一切处罚由承包人负责。 </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10．进度计划 </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合同进度计划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编制施工方案说明的内容：承包人应在签订合同协议书后14天之内按发包人和监理人的要求将其编制的施工方案报送监理人审批。在合同总工期未变的前提下，发包人或监理人根据工程实际情况或认为有必要的任何其他理由而对工程分阶段所进行的进度计划调整，承包人应无条件地服从。由此可能引起工程费用投入的变化发包人将不另行考虑。</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11．开工和竣工 </w:t>
      </w:r>
      <w:r/>
    </w:p>
    <w:p>
      <w:pPr>
        <w:ind w:left="0" w:right="0" w:firstLine="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异常恶劣的气候条件</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异常恶劣的气候条件的范围：指项目所在地30年以上一遇的罕见气候现象【包括发生烈 度七度（含七度）以上地震、龙卷风、工地受淹超过桥梁设计洪水水位以及不利的降水等引起的延误的情况】。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上述不利降水的衡量标准如下：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a．按本省气象部门统计的降水资料，取最近三十年的平均降水天数为标准；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按实际统计的年降水天数与（a）所指的年降水天数之差，每年计算一次；监理人将根据承包人的申请予以评定，监理人评定恶劣气候对工程的影响还将考虑用施工期限内其他月份的异常良好的气候的时间予以补偿。异常气候在每一个月对工程进度影响的评定应在整个合同期内予以累计。 </w:t>
      </w:r>
      <w:r/>
    </w:p>
    <w:p>
      <w:pPr>
        <w:ind w:left="0" w:right="0" w:firstLine="480"/>
        <w:jc w:val="both"/>
        <w:spacing w:before="240" w:after="0" w:line="409" w:lineRule="atLeast"/>
        <w:tabs>
          <w:tab w:val="left" w:pos="92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c．不考虑每一降水过程后所影响的施工时间。</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承包人的工期延误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本款补充第（6）项、第（7）项：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由11.4款引起的工程延误，由监理人根据承包人提交的证明予以评定。但在进行上述评定时还将考虑按同等标准以同期或其他月份异常良好的气候予以抵补。异常气候在每个月对工程进度影响的评定，应在整个合同期内予以累计。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（7）因发现文物，需要进行保护性挖掘，而引起的工期延误，由承包人与发包人协商工期延长并协商补偿费用。</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13．工程质量 </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工程质量要求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本款补充第 13.1.6项：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13.1.6 承包人应采取一切必要的措施，严格执行技术规范的各项规定，以保证达到合同规定的质量要求，在工程竣工质量要求较招标文件技术规范未发生改变的情况下，即使发包人或监理人对施工工艺提出了特别要求，承包人也不得就此要求发包人给予额外费用补贴，由此发生的一切费用视为已计入投标报价中。</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14．试验和检验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 14.5项：在合同实施期间，根据工程需要，发包人可能在本工程现场进行合同中未做明确规定的有关试验和检验，承包人应积极配合并承担相应的工作，但不得对因此可能发生的人工、机械闲置损失向发包人提出补偿要求。</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15．变更 </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变更的估价原则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补充第15.4.4项：</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在合同执行期间若发生变更其单价确定原则如下：a、若变更的项目与工程量清单项目一致，则按原工程量清单报价执行；b、若变更项目在工程量清单项目中未列，则按“新增项目 单价”原则编制单价，且此编制的单价需报监理、跟踪审计和发包人审批，同意后方可执行。</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 承包人的合理化建议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15.5.2 承包人提出的合理化建议降低了合同价格或者提高了工程经济效益的，发包人不予奖励。</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w:t>
      </w:r>
      <w:r>
        <w:rPr>
          <w:rFonts w:ascii="SimSun" w:hAnsi="SimSun" w:eastAsia="SimSun" w:cs="SimSun"/>
          <w:b/>
          <w:color w:val="000000"/>
          <w:sz w:val="24"/>
        </w:rPr>
        <w:t xml:space="preserve">. 价格调整</w:t>
      </w:r>
      <w:r/>
    </w:p>
    <w:p>
      <w:pPr>
        <w:ind w:left="0" w:right="0" w:firstLine="0"/>
        <w:spacing w:before="240" w:after="0" w:line="408" w:lineRule="atLeast"/>
        <w:tabs>
          <w:tab w:val="left" w:pos="99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16.1物价波动引起的价格调整</w:t>
      </w:r>
      <w:r/>
    </w:p>
    <w:p>
      <w:pPr>
        <w:ind w:left="0" w:right="0" w:firstLine="42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本款约定为：在合同执行期内，合同单价不予调整。</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法律变化引起的价格调整 </w:t>
      </w:r>
      <w:r/>
    </w:p>
    <w:p>
      <w:pPr>
        <w:ind w:left="0" w:right="0" w:firstLine="42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本款约定为：在合同执行期内，因国家或省颁布的法律、法规出现修改或变更，使得承包人在履行合同中的费用发生变化，也不予调整。</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17．计量与支付 </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计量</w:t>
      </w:r>
      <w:r/>
    </w:p>
    <w:p>
      <w:pPr>
        <w:ind w:left="0" w:right="0" w:firstLine="42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 17.1.6 项： </w:t>
      </w:r>
      <w:r/>
    </w:p>
    <w:p>
      <w:pPr>
        <w:ind w:left="0" w:right="0" w:firstLine="42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17.1.6 政府根据现行税法和有关部门现行规定就本合同项下向承包人征收的所有规费 （除工伤保险费以外）、税金等，均由承包人摊入各工程细目的单价中，不另报价。承包人漏 计的规费、税金视为已计入相关细目的单价中。</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工程进度付款</w:t>
      </w:r>
      <w:r/>
    </w:p>
    <w:p>
      <w:pPr>
        <w:ind w:left="0" w:right="0" w:firstLine="42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本项目的支付方式为：工程交工验收通过后当年春季前付至合同金额的40%；交工验收满一年后当年春季前付至审定价的70%；余款在缺陷责任期满且工程竣工验收通过后当年春季前付清。不考虑未付款额的利息。</w:t>
      </w:r>
      <w:r/>
    </w:p>
    <w:p>
      <w:pPr>
        <w:ind w:left="0" w:right="0" w:firstLine="42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缺陷责任期内如有质量问题，承包人未能有效整改，发包人有权拒绝支付。</w:t>
      </w:r>
      <w:r/>
    </w:p>
    <w:p>
      <w:pPr>
        <w:ind w:left="0" w:right="0" w:firstLine="42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符合约定的付款条件后承包人向发包人开具合法有效的发票，如承包人未及时开具发票或所开发票不合格导致延迟付款的，责任由承包人自行承担。</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违约</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承包人违约</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 当承包人发生第 22.1.1 项约定的违约情况时，发包人有权向承包人课以违约金，具体约定如下： </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如果发生 22.1.1 款承包人违约的情况，发包人可视承包人违约的严重程度采取下列措施之一： </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可按签约时签约合同价的1%～10%的金额扣除承包人违约金，该违约金在期中支付中扣除。即使扣除了违约金，承包人仍应按合同规定继续实施和完成本合同工程及其缺陷修复；发包人并不承担承包人与其它人、供货商等的经济纠纷和法律责任，也不赔偿任何费用。</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此外，当承包人发生了下述违约现象之后，发包人可依据下列具体情况扣除承包人的违约金：</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在监理人规定的截止日前，响应文件附表中所列的项目经理没有按时进场，或进场后，未经批准又离开工地，发包人将按5000元/人●天扣除违约金；其他工地主要人员没有按时进场，或进场后，未经批准又离开工地，发包人将按2000元/人●天扣除违约金，直至缺员进场为止。</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(2)无论何种原因，项目经理更换按2万元/人向发包人提交违约金，其余投标文件附表中所列的工地人员每更换一人按5000元/人向发包人提交违约金。</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(3)承包人在监理人规定的截止日前，响应文件附表中所列的主要施工机械、试验设备不能按时进场，每迟到1天，发包人将按照该设备的台班费的三倍扣除违约金，直到设备进场为止。</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(4)在工程实施期间，未经监理人批准，承包人进场的施工机械和材料试验、质检仪器设备撤离现场，该设备的重置价值，发包人有权根据监理下发通知，在工程支付前扣除违约金后，再进行支付。</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(5)在工程实施期间，承包人应制定阶段性工期目标并提交监理人批准，并努力完成工期目标。若承包人不能完成工期目标，则按5000元/天标准扣除违约金。</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(6)在施工期间,承包人若违反施工操作及管理程序，一经发包人发现，则按5000元/次标准扣除违约金。</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(7)承包人在施工期间如果在各种报表及检查试验记录中自己作假或诱导监理人作假，一经查实，发包人将按每次2万元的标准扣除违约金。</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(8)承包人应无条件接受上级交通主管部门、质量监督部门、发包人监理单位的质量检查或抽查，如发现承包人出现降低施工标准或偷工减料或出现较大质量问题，发包人将按每次3万元的标准扣除违约金。</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(9)承包人在施工期间未能做好环境保护工作，使得周边环境遭到破坏或污染，经监理人认可后，每次按照5000元/次的标准扣除承包人的违约金。</w:t>
      </w:r>
      <w:r/>
    </w:p>
    <w:p>
      <w:pPr>
        <w:ind w:left="0" w:right="0" w:firstLine="44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上述违约行为扣除的违约金，发包人可在工程价款支付中扣除。</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23.索赔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补充第 23.1（5）项：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由于非承包人原因造成的工期延误，承包人不得索赔，投标人自行考虑可能由此产生的成本，发包人视同已包含在投标报价中。</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补充第25条为：施工工艺要求</w:t>
      </w:r>
      <w:r>
        <w:rPr>
          <w:rFonts w:ascii="SimSun" w:hAnsi="SimSun" w:eastAsia="SimSun" w:cs="SimSun"/>
          <w:color w:val="000000"/>
          <w:sz w:val="24"/>
        </w:rPr>
        <w:t xml:space="preserve">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承包人应采取一切必要的措施，在合同执行过程中严格执行发包人和监理人所发出的有 关指令、施工技术指导意见和招标文件技术规范的各项规定，以保证达到合同规定的质量要 求。 </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补充第26条为：廉政建设 </w:t>
      </w:r>
      <w:r/>
    </w:p>
    <w:p>
      <w:pPr>
        <w:ind w:left="0" w:right="0" w:firstLine="48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在合同实施期间，发包人和承包人应根据交通部《关于在交通基础设施建设中加强廉政 建设的若干意见》等现行有关工程建设、廉政建设的规定，为做好工程建设中的党风廉政建设，保证工程建设高效优质，保证建设资金的安全和有效使用以及投资效益。</w:t>
      </w:r>
      <w:r/>
    </w:p>
    <w:p>
      <w:pPr>
        <w:ind w:left="0" w:right="0" w:firstLine="0"/>
        <w:spacing w:before="240" w:after="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廉政合同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ascii="SimSun" w:hAnsi="SimSun" w:eastAsia="SimSun" w:cs="SimSun"/>
          <w:color w:val="000000"/>
          <w:sz w:val="21"/>
          <w:u w:val="single"/>
        </w:rPr>
        <w:t xml:space="preserve">             </w:t>
      </w:r>
      <w:r>
        <w:rPr>
          <w:rFonts w:ascii="SimSun" w:hAnsi="SimSun" w:eastAsia="SimSun" w:cs="SimSun"/>
          <w:color w:val="000000"/>
          <w:sz w:val="21"/>
        </w:rPr>
        <w:t xml:space="preserve">的项目发包人</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与该项目标段的承包人</w:t>
      </w:r>
      <w:r>
        <w:rPr>
          <w:rFonts w:ascii="SimSun" w:hAnsi="SimSun" w:eastAsia="SimSun" w:cs="SimSun"/>
          <w:b/>
          <w:color w:val="000000"/>
          <w:sz w:val="21"/>
          <w:u w:val="single"/>
        </w:rPr>
        <w:t xml:space="preserve">              </w:t>
      </w:r>
      <w:r>
        <w:rPr>
          <w:rFonts w:ascii="SimSun" w:hAnsi="SimSun" w:eastAsia="SimSun" w:cs="SimSun"/>
          <w:color w:val="000000"/>
          <w:sz w:val="21"/>
        </w:rPr>
        <w:t xml:space="preserve">，特订立如下合同。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1、发包人和承包人双方的权利和义务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（1）严格遵守党的政策规定和国家有关法律法规及交通运输部的有关规定。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（2）严格执行 </w:t>
      </w:r>
      <w:r>
        <w:rPr>
          <w:rFonts w:ascii="SimSun" w:hAnsi="SimSun" w:eastAsia="SimSun" w:cs="SimSun"/>
          <w:color w:val="000000"/>
          <w:sz w:val="21"/>
          <w:u w:val="single"/>
        </w:rPr>
        <w:t xml:space="preserve">                     </w:t>
      </w:r>
      <w:r>
        <w:rPr>
          <w:rFonts w:ascii="SimSun" w:hAnsi="SimSun" w:eastAsia="SimSun" w:cs="SimSun"/>
          <w:color w:val="000000"/>
          <w:sz w:val="21"/>
        </w:rPr>
        <w:t xml:space="preserve">标段施工合同文件，自觉按合同办事。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（3）双方的业务活动坚持公开、公正、诚信、透明的原则（法律认定的商业秘密和合同文件另有规定除外），不得损害国家和集体利益，不得违反工程建设管理规章制度。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（4）建立健全廉政制度，开展廉政教育，设立廉政告示牌，公布举报电话，监督并认真查处违法违纪行为。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（5）发现对方在业务活动中有违反廉政规定的行为，有及时提醒对方纠正的权利和义务。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（6）发现对方严重违反本合同义务条款的行为，有向其上级有关部门举报、建议给予处理并要求告知处理结果的权利。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（1）发包人及其工作人员不得索要或接受承包人的礼金、有价证券和贵重物品，不得让承包人报销任何应由发包人或发包人工作人员个人支付的费用等。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（2）发包人工作人员不得参加承包人安排的超标准宴请和娱乐活动；不得接受承包人提供的通讯工具、交通工具和高档办公用品等。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（3）发包人及其工作人员不得要求或者接受承包人为其住房装修、婚丧嫁娶活动、配偶子女的工作安排以及出国出境、旅游等提供方便等。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（4）发包人工作人员及其配偶、子女不得从事与发包人工程有关的材料设备供应、工程分包、劳务等经济活动等。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（5）发包人及其工作人员不得以任何理由向承包人推荐分包单位或推销材料，不得要求承包人购买合同规定外的材料和设备。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（6）发包人工作人员要秉公办事，不准营私舞弊，不准利用职权从事各种个人有偿中介活动和安排个人施工队伍。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（1）承包人不得以任何理由向发包人及其工作人员行贿或馈赠礼金、有价证券、贵重礼品。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（2）承包人不得以任何名义为发包人及其工作人员报销应由发包人单位或个人支付的任何费用。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（3）承包人不得以任何理由安排发包人工作人员参加超标准宴请及娱乐活动。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（4）承包人不得为发包人单位和个人购置或提供通讯工具、交通工具和高档办公用品等。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（1）发包人及其工作人员违反本合同第1、2条，按管理权限，依据有关规定给予党纪、政纪或组织处理；涉嫌犯罪的，移交司法机关追究刑事责任；给承包人单位造成经济损失的，应予以赔偿。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6、本合同有效期为发包人和承包人签署之日起至该工程项目竣工验收后止。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7、本合同作为</w:t>
      </w:r>
      <w:r>
        <w:rPr>
          <w:rFonts w:ascii="SimSun" w:hAnsi="SimSun" w:eastAsia="SimSun" w:cs="SimSun"/>
          <w:b/>
          <w:color w:val="000000"/>
          <w:sz w:val="21"/>
          <w:u w:val="single"/>
        </w:rPr>
        <w:t xml:space="preserve">                 </w:t>
      </w:r>
      <w:r>
        <w:rPr>
          <w:rFonts w:ascii="SimSun" w:hAnsi="SimSun" w:eastAsia="SimSun" w:cs="SimSun"/>
          <w:color w:val="000000"/>
          <w:sz w:val="21"/>
        </w:rPr>
        <w:t xml:space="preserve">标段施工合同的附件，与工程施工合同具有同等的法律效力，经合同双方签署后立即生效。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8、本合同一式陆份，由发包人和承包人各执叁份。</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发包人：（盖单位章）       承包人：（盖单位章）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                 法定代表人或其委托代理人：</w:t>
      </w:r>
      <w:r/>
    </w:p>
    <w:p>
      <w:pPr>
        <w:ind w:left="0" w:right="0" w:firstLine="105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                                   （签字）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安全生产合同</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为在</w:t>
      </w:r>
      <w:r>
        <w:rPr>
          <w:rFonts w:ascii="SimSun" w:hAnsi="SimSun" w:eastAsia="SimSun" w:cs="SimSun"/>
          <w:color w:val="000000"/>
          <w:sz w:val="21"/>
          <w:u w:val="single"/>
        </w:rPr>
        <w:t xml:space="preserve">                 </w:t>
      </w:r>
      <w:r>
        <w:rPr>
          <w:rFonts w:ascii="SimSun" w:hAnsi="SimSun" w:eastAsia="SimSun" w:cs="SimSun"/>
          <w:color w:val="000000"/>
          <w:sz w:val="21"/>
        </w:rPr>
        <w:t xml:space="preserve">标段施工合同的实施过程中创造安全、高效的施工环境，切实搞好本项目的安全管理工作，本项目发包人</w:t>
      </w:r>
      <w:r>
        <w:rPr>
          <w:rFonts w:ascii="SimSun" w:hAnsi="SimSun" w:eastAsia="SimSun" w:cs="SimSun"/>
          <w:b/>
          <w:color w:val="000000"/>
          <w:sz w:val="21"/>
          <w:u w:val="single"/>
        </w:rPr>
        <w:t xml:space="preserve">               </w:t>
      </w:r>
      <w:r>
        <w:rPr>
          <w:rFonts w:ascii="SimSun" w:hAnsi="SimSun" w:eastAsia="SimSun" w:cs="SimSun"/>
          <w:color w:val="000000"/>
          <w:sz w:val="21"/>
        </w:rPr>
        <w:t xml:space="preserve">与承包人</w:t>
      </w:r>
      <w:r>
        <w:rPr>
          <w:rFonts w:ascii="SimSun" w:hAnsi="SimSun" w:eastAsia="SimSun" w:cs="SimSun"/>
          <w:color w:val="000000"/>
          <w:sz w:val="21"/>
          <w:u w:val="single"/>
        </w:rPr>
        <w:t xml:space="preserve">                  </w:t>
      </w:r>
      <w:r>
        <w:rPr>
          <w:rFonts w:ascii="SimSun" w:hAnsi="SimSun" w:eastAsia="SimSun" w:cs="SimSun"/>
          <w:color w:val="000000"/>
          <w:sz w:val="21"/>
        </w:rPr>
        <w:t xml:space="preserve">特此签订安全生产合同。</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1、发包人职责</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（1）严格遵守国家有关安全生产的法律法规，认真执行工程承包合同中的有关安全要求。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（2）按照“安全第一、预防为主”和坚持“管生产必须管安全”的原则进行安全生产管理，做到生产与安全工作同时计划、布置、检查、总结和评比。</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（3）重要的安全设施必须坚持与主体工程“三同时”的原则，即：同时设计、审批，同时施工，同时验收，投入使用。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（4）定期召开安全生产调度会，及时传达中央及地方有关安全生产的精神。</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（5）组织对承包人施工现场进行安全生产检查，监督承包人及时处理发现的各种安全隐患。</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2、承包人职责</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中华人民共和国安全生产法》、《建设工程安全生产管理条例》等国家有关安全生产的法律法规、《公路水运工程安全生产监督管理办法》等有关安全生产的规定。认真执行工程承包合同中的有关安全要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（4）承包人在任何时候都应采取各种合理的预防措施，防止其员工发生任何违法、违禁、暴力或妨碍治安的行为。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（7）操作人员上岗，必须按规定穿戴防护用品。施工负责人和安全检查员应随时检查劳动防护用品的穿戴情况，不按规定穿戴防护用品的人员不得上岗。</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（8）所有施工机具设备和高空作业的设备均应定期检查，并有安全员的签字记录，保证其经常处于完好状态；不合格的机具、设备和劳动保护用品严禁使用。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（9）施工中采用新技术、新工艺、新设备、新材料时，必须制定相应的安全技术措施，施工现场必须具有相关的安全标志牌。</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（11）安全生产费用按照《公路水运工程安全生产监督管理办法》的相关规定使用和管理。</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3、违约责任</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如因发包人或承包人违约造成安全事故，将依法追究责任。</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4、本合同由双方法定代表人或其授权的代理人签署并加盖单位章后生效，全部工程竣工验收后失效。</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5、本合同一式陆份，双方各执叁份。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发包人：（盖单位章）       承包人：（盖单位章）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                 法定代表人或其委托代理人：</w:t>
      </w:r>
      <w:r/>
    </w:p>
    <w:p>
      <w:pPr>
        <w:ind w:left="0" w:right="0" w:firstLine="105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                                   （签字）</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第四章采购需求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一、项目属性：</w:t>
      </w:r>
      <w:r>
        <w:rPr>
          <w:rFonts w:ascii="SimSun" w:hAnsi="SimSun" w:eastAsia="SimSun" w:cs="SimSun"/>
          <w:color w:val="000000"/>
          <w:sz w:val="24"/>
        </w:rPr>
        <w:t xml:space="preserve">工程类项目。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二、项目概况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对主要建设内容为现状道路破损修复、改善沥青面层及配套交安设施等，总长约为5.8公里。</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三、项目清单：详见附件</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四、拟采购标的商务要求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（一）商务要求</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1.报价要求及说明</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（2）供应商的任何错漏、优惠、竞争性报价不得作为减轻责任、减少服务、增加收费、降低服务质量的理由。</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（3）供应商报价除包含磋商文件中列明的项目外，还应包括保障服务正常运行应当具有的物资和服务，对服务正常运行应当具有的物资和服务理解不一致的以采购单位理解为准。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（5）工程量清单的完整性由供应商复核，若有漏项、少项等以图纸为准。成交后视为包含在工程量清单的其它单价和合价中不再增加或调整。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（6）施工范围包括磋商文件、工程清单及编制说明要求的全部内容，采购人不会因施工方法、施工工艺或漏项、少项等增加工程造价。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（7）供应商在报价中应考虑进场后若采购人需要深化与本工程相关的设计时，供应商应提供设计，该部分费用由供应商自行考虑在报价中。</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（8）施工中由于变更而发生的工程量的增减及项目变化，价格按响应文件中相关子目的综合单价计算；无相关子目的，可新套定额，由审计核定。</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（9）采购人有权因工程实际情况需要书面通知增加或者取消部分工程，供应商不得拒绝或借机调整单价，否则视为单方违约，并赔偿由此造成的全部损失。</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（10）本项目招标控制价为</w:t>
      </w:r>
      <w:r>
        <w:rPr>
          <w:rFonts w:ascii="SimSun" w:hAnsi="SimSun" w:eastAsia="SimSun" w:cs="SimSun"/>
          <w:b/>
          <w:color w:val="000000"/>
          <w:sz w:val="24"/>
          <w:u w:val="single"/>
        </w:rPr>
        <w:t xml:space="preserve">323.5287</w:t>
      </w:r>
      <w:r>
        <w:rPr>
          <w:rFonts w:ascii="SimSun" w:hAnsi="SimSun" w:eastAsia="SimSun" w:cs="SimSun"/>
          <w:b/>
          <w:color w:val="000000"/>
          <w:sz w:val="24"/>
        </w:rPr>
        <w:t xml:space="preserve">万元，其中暂列金额为10万元整</w:t>
      </w:r>
      <w:r>
        <w:rPr>
          <w:rFonts w:ascii="SimSun" w:hAnsi="SimSun" w:eastAsia="SimSun" w:cs="SimSun"/>
          <w:color w:val="000000"/>
          <w:sz w:val="24"/>
        </w:rPr>
        <w:t xml:space="preserve">。</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（11）本项目工商保险费、建筑工程一切险和第三者责任险等全部保险费以及质量安全监督产生的所有费用包含在投标报价中，请供应商在报价时充分考虑，无需在投标报价表中单列。</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2.工作内容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（1）供应商应严格执行建筑施工规范、安全操作规范、安全防火规定、环境保护规定，施工中所发生的一切安全责任事故均由供应商承担，采购人不承担任何责任。</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（2）供应商应做到文明施工，不得扰民，做好施工现场及院内整洁，做好已有设施和装修的保护措施，如有损坏采购人有权要求赔偿，施工垃圾及时清运，清运手续、费用由施工方自行解决。</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（3）供应商所使用的各类材料必须为环保、节能产品。</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（4）工程质量：符合国家相关验收规范。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质保要求：按照国家《建设工程质量管理条例》办法执行，上述质量服务保修要求为最低要求，不满足的作无效磋商处理。质保期间凡工程出现非人为因素（不可抗力除外）导致的损坏，施工方需于采购人告之日起三日内免费维修完毕。</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3.项目验收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项目施工完成后，由采购人会同本项目成交供应商组织开展对所有施工项目的验收工作并形成验收报告，如验收不通过的项目，成交供应商应无条件进行整改直至验收通过。</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4.付款条件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工程交工验收通过后当年春季前付至合同金额的40%；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交工验收满一年后当年春季前付至审定价的70%；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余款在缺陷责任期满且工程竣工验收通过后当年春季前付清。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不考虑未付款额的利息。</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5.其他说明</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量清单特征描述不全时，其相关技术规范及要求应按设计图纸，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（2）本工程量清单作为投标人报价的基础之一，投标人应结合招标文件、施工图纸、取费文件、技术规范等确定投标报价；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（3）对采购人所列的措施项目，投标人可根据工程实际与施工组织设计自行计算（或进行增补），但不应更改采购人已列措施项目；结算时，承包人不得以招标工程措施项目清单缺项为由要求新增措施项目；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应先到需施工的现场踏勘以充分了解其施工环境，工地位置及任何其他足以影响承包价及工期的情况，采购人对于现有的施工环境及条件将不增加任何投入，请投标人自行考虑并计入投标价内；本工程施工外部协调工作由投标人负责，投标人应充分考虑周边地域情况，并将此费用考虑在投标报价中，结算时发包人不再为此增加费用；施工现场平面布置方案须得到发包人及监理工程师许可后方可实施；</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注明：凡招标文件没做具体要求的，按照国家现行的有关法规、政策以及各项规范执行。如供应商对采购需求有任何疑问，请在规定的截止时间前与采购人（采购代理）取得联系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第五章评审方法与评审标准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一、评审方法</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1.采用综合评分法，对满足磋商文件全部实质性要求的响应文件按评审因素的量化指标评审总分对供应商进行排序。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2.经磋商确定最终采购需求和提交最后报价的供应商后，磋商小组成员独立对提交最后报价的供应商的响应文件和最后报价进行综合评分。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3.磋商小组按照评审总分由高到低顺序推荐3名成交候选供应商，并编写评审报告。</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4.异常低价投标（响应）审查程序：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合理性说明：根据《关于推动解决政府采购异常低价问题的通知》（财库〔2026〕2号）：采购人应当在采购文件中明确，政府采购评审中出现下列情形之一的，评审委员会应当启动异常低价投标（响应）审查程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①投标（响应）报价低于全部通过符合性审查供应商投标（响应）报价平均值50%的，即投标（响应）报价&lt;全部通过符合性审查供应商投标（响应）报价平均值×50%；</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②投标（响应）报价低于通过符合性审查的次低报价供应商投标（响应）报价50%的，即投标（响应）报价&lt;通过符合性审查的次低报价供应商投标（响应）报价×50%；</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③投标（响应）报价低于采购项目最高限价45%的，即投标（响应）报价&lt;采购项目最高限价×45%；</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④评审委员会基于专业判断，认为供应商报价过低，有可能影响产品质量或者不能诚信履约的其他情形。</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包括但不限于投入人员的用工合同、工资流水、企业管理成本、税金利润及其他各类成本组成说明等，提示：不接受在其他项目盈利用于补贴本项目亏损的报价策略）。给予相关供应商的合理时间一般不少于30分钟。其中，属于第③项情形，供应商已随投标（响应）文件一并提交相关书面说明</w:t>
      </w:r>
      <w:r>
        <w:rPr>
          <w:rFonts w:ascii="SimSun" w:hAnsi="SimSun" w:eastAsia="SimSun" w:cs="SimSun"/>
          <w:color w:val="000000"/>
          <w:sz w:val="24"/>
        </w:rPr>
        <w:t xml:space="preserve">及必要的证明材料的，在评审现场可不再重复提交。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二、小微企业价格扣除：本项目专门面向中小微企业采购，供应商应为中小微企业、监狱企业、残疾人福利性单位。</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三、评审标准</w:t>
      </w:r>
      <w:r/>
    </w:p>
    <w:tbl>
      <w:tblPr>
        <w:tblStyle w:val="8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
        <w:gridCol w:w="272"/>
        <w:gridCol w:w="8701"/>
        <w:gridCol w:w="118"/>
        <w:gridCol w:w="158"/>
      </w:tblGrid>
      <w:tr>
        <w:trPr>
          <w:trHeight w:val="74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类型</w:t>
            </w:r>
            <w:r/>
          </w:p>
        </w:tc>
      </w:tr>
      <w:tr>
        <w:trPr>
          <w:trHeight w:val="9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采用低价优先法计算，即满足招标文件要求且投标价格最低的投标报价为评标基准价，其价格分为满分。其他投标人的价格分统一按照下列公式计算：投标报价得分=(评标基准价/投标报价)×70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自动计算</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01月01日（含）以来承担过公路工程或公路大中修（养护大中修）施工业绩的，每有1个得4分，最高得8分。（业绩必须同时提供下列证明材料原件扫描件:①中标/成交通知书；②工程施工合同；③业绩合同付款周期内至少一次的银行凭证或对应发票；④时间以竣工验收报告证明验收时间为准，竣工验收报告证明必须有施工单位、监理单位、建设单位三方签章齐全，提供的业绩证明材料必须反映出相关数据和内容（如清单等），否则视为未提供。证明材料原件扫描件上传至电子响应文件中盖电子公章签章一并提交）注：企业类似业绩与项目经理业</w:t>
            </w:r>
            <w:r>
              <w:rPr>
                <w:rFonts w:ascii="SimSun" w:hAnsi="SimSun" w:eastAsia="SimSun" w:cs="SimSun"/>
                <w:color w:val="000000"/>
                <w:sz w:val="24"/>
              </w:rPr>
              <w:t xml:space="preserve">绩不可兼得。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4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履约能力</w:t>
            </w:r>
            <w:r/>
          </w:p>
        </w:tc>
      </w:tr>
      <w:tr>
        <w:trPr>
          <w:trHeight w:val="4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项目经理具有中级及以上职称证书得4分。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项目经理以外人员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1.技术负责人具有公路工程专业二级及以上建造师注册证书且具有中级及以上职称证书得4分，最多得4分。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2.项目组成员（项目负责人除外）须配备施工员、质量员、安全员（C证）（须提供有效期内的证书复印件加盖公章）以上人员</w:t>
            </w:r>
            <w:r>
              <w:rPr>
                <w:rFonts w:ascii="SimSun" w:hAnsi="SimSun" w:eastAsia="SimSun" w:cs="SimSun"/>
                <w:b/>
                <w:color w:val="000000"/>
                <w:sz w:val="24"/>
              </w:rPr>
              <w:t xml:space="preserve">提供齐全得4分</w:t>
            </w:r>
            <w:r>
              <w:rPr>
                <w:rFonts w:ascii="SimSun" w:hAnsi="SimSun" w:eastAsia="SimSun" w:cs="SimSun"/>
                <w:color w:val="000000"/>
                <w:sz w:val="24"/>
              </w:rPr>
              <w:t xml:space="preserve">，</w:t>
            </w:r>
            <w:r>
              <w:rPr>
                <w:rFonts w:ascii="SimSun" w:hAnsi="SimSun" w:eastAsia="SimSun" w:cs="SimSun"/>
                <w:b/>
                <w:color w:val="000000"/>
                <w:sz w:val="24"/>
              </w:rPr>
              <w:t xml:space="preserve">少提供一名不得分</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3.项目组成员具有中级及以上职称证书得1分，最多得2分。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人员不重复得分，供应商须提供社保机构出具的近半年(2026年4月-2026年9月)中任意一月供应商为上述人员缴纳的养老保险金缴费证明材料(须明确缴费月份、个人姓名、缴费单位，且加盖社保中心章或社保中心参保缴费证明电子专用章)；若上述人员属企业退休人员、事业单位人员或现役军人等客观原因无法提供养老保险金缴费证明，必须出具相关证明材料及劳动合同扫描件，否则一律按未提供养老保险金缴费证明材料处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工期承诺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供应商提供工期承诺，确保按期完工，提供承诺书的得2分，未提供不得分。 （提供承诺书加盖公章，格式自拟）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履约承诺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供应商需要保证中标后不得因价格、工期等其他因素而放弃中标资格，提供承诺书的得3分，未提供不得分。（提承诺书加盖公章，格式自拟）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质量承诺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得违法转包分包，须按照投标响应文件承诺的施工方案或质量施工，不得擅自改变工程量等不合理要求采购人增加款项等违法行为，提供承诺书的得3分，未提供不得分。（提供承诺书加盖公章，格式自拟）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100分</w:t>
            </w:r>
            <w:r/>
          </w:p>
        </w:tc>
      </w:tr>
    </w:tbl>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四、磋商响应函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五、磋商报价表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六、分项报价表（如有）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江苏骏通建设项目管理咨询有限公司：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如果我公司成交，将在成交结果公示后七个工作日内向采购人提供下列材料核验：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本项目申请人的特定资格要求中要求提供的材料。</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（被授权人的姓名）作为我方就编号为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的项目采购活动的合法代理人，以本单位名义全权处理一切与该项目采购有关的事务。</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授权单位名称：（加盖电子公章）</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四、磋商响应函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磋商响应函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致：江苏骏通建设项目管理咨询有限公司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的项目磋商文件，我方正式提交磋商响应函，并宣布同意如下内容：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1.按磋商文件规定的各项要求，向买方提供所需工程（包含与工程相关的货物）。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4.我们同意从规定的磋商日期起遵循本响应文件，并在规定的磋商有效期期满之前均具有约束力。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8.我方与本磋商有关的正式通讯地址为：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五、磋商报价表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磋商报价表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8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六、分项报价表（请根据清单自行编制）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七、技术要求响应及偏离表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技术要求响应及偏离表</w:t>
      </w:r>
      <w:r/>
    </w:p>
    <w:tbl>
      <w:tblPr>
        <w:tblStyle w:val="8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8"/>
        <w:gridCol w:w="2769"/>
        <w:gridCol w:w="2681"/>
        <w:gridCol w:w="31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1.供应商须对磋商文件技术要求中的实质性要求（斜体下划线内容或打“★”内容）及其他要求做出明确响应，否则视为无效响应。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商务要求响应及偏离表</w:t>
      </w:r>
      <w:r/>
    </w:p>
    <w:tbl>
      <w:tblPr>
        <w:tblStyle w:val="8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2733"/>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1.供应商须对磋商文件商务要求中的实质性要求（斜体下划线内容或打“★”内容）做出明确响应，否则视为无效响应。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中小企业声明函（工程）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）的采购活动，工程的施工单位全部为符合政策要求的中小企业。根据《工业和信息化部、国家统计局、国家发展和改革委员会、财政部关于印发中小企业划型标准规定的通知》(工信部联企业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行业（磋商文件中明确的所属行业）；承建企业为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行业（磋商文件中明确的所属行业）；承建企业为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”。3.供应商如不提供此声明函，不得参加专门面向中小企业采购项目或者不得享受小微企业价格扣除政策。此声明函将随成交结果同时公告，接受社会监督。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2.成交供应商为残疾人福利性单位的，此声明函将随成交结果同时公告，接受社会监督。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十一、联合体协议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联合体协议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（供应商名称）为牵头单位。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2.若我们联合成交，</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3.除另有说明外，本磋商文件要求加盖电子公章之处，加盖牵头单位的电子公章即可。</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四、质疑事项相关请求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  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相关说明：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1.供应商提出质疑，应提交《质疑函》和必要的证明材料。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2.由授权代表负责质疑事宜的，《质疑函》附件中应提交由质疑供应商法定代表人签署的《授权委托书》。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3.质疑供应商针对项目的某一分包进行质疑的，《质疑函》中应明确分包号。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7.质疑供应商为联合体的，则《质疑函》中要求加盖公章之处，联合体各方均须按要求加盖公章。</w:t>
      </w:r>
      <w:r/>
    </w:p>
    <w:p>
      <w:r/>
      <w:r/>
    </w:p>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MingLiU">
    <w:panose1 w:val="02020500000000000000"/>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rPr>
                            <w:t xml:space="preserve">４０</w:t>
                          </w:r>
                          <w:r>
                            <w:rPr>
                              <w:rFonts w:hint="eastAsia"/>
                              <w:lang w:eastAsia="zh-CN"/>
                            </w:rPr>
                            <w:fldChar w:fldCharType="end"/>
                          </w:r>
                          <w:r>
                            <w:rPr>
                              <w:rFonts w:hint="eastAsia"/>
                              <w:lang w:eastAsia="zh-CN"/>
                            </w:rPr>
                          </w:r>
                          <w:r/>
                        </w:p>
                        <w:p>
                          <w:pPr>
                            <w:pStyle w:val="1012"/>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rPr>
                      <w:t xml:space="preserve">４０</w:t>
                    </w:r>
                    <w:r>
                      <w:rPr>
                        <w:rFonts w:hint="eastAsia"/>
                        <w:lang w:eastAsia="zh-CN"/>
                      </w:rPr>
                      <w:fldChar w:fldCharType="end"/>
                    </w:r>
                    <w:r>
                      <w:rPr>
                        <w:rFonts w:hint="eastAsia"/>
                        <w:lang w:eastAsia="zh-CN"/>
                      </w:rPr>
                    </w:r>
                    <w:r/>
                  </w:p>
                  <w:p>
                    <w:pPr>
                      <w:pStyle w:val="101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tabs>
                              <w:tab w:val="clear" w:pos="4153" w:leader="none"/>
                              <w:tab w:val="clear" w:pos="8306" w:leader="none"/>
                            </w:tabs>
                            <w:rPr>
                              <w:rFonts w:hint="eastAsia"/>
                            </w:rPr>
                          </w:pPr>
                          <w:r>
                            <w:rPr>
                              <w:rFonts w:hint="eastAsia"/>
                            </w:rPr>
                          </w:r>
                          <w:r/>
                        </w:p>
                        <w:p>
                          <w:pPr>
                            <w:pStyle w:val="101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rPr>
                        <w:rFonts w:hint="eastAsia"/>
                      </w:rPr>
                    </w:pPr>
                    <w:r>
                      <w:rPr>
                        <w:rFonts w:hint="eastAsia"/>
                      </w:rPr>
                    </w:r>
                    <w:r/>
                  </w:p>
                  <w:p>
                    <w:pPr>
                      <w:pStyle w:val="101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rPr>
                            <w:t xml:space="preserve">０</w:t>
                          </w:r>
                          <w:r>
                            <w:rPr>
                              <w:rFonts w:hint="eastAsia"/>
                              <w:lang w:eastAsia="zh-CN"/>
                            </w:rPr>
                            <w:fldChar w:fldCharType="end"/>
                          </w:r>
                          <w:r>
                            <w:rPr>
                              <w:rFonts w:hint="eastAsia"/>
                              <w:lang w:eastAsia="zh-CN"/>
                            </w:rPr>
                          </w:r>
                          <w:r/>
                        </w:p>
                        <w:p>
                          <w:pPr>
                            <w:pStyle w:val="1012"/>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rPr>
                      <w:t xml:space="preserve">０</w:t>
                    </w:r>
                    <w:r>
                      <w:rPr>
                        <w:rFonts w:hint="eastAsia"/>
                        <w:lang w:eastAsia="zh-CN"/>
                      </w:rPr>
                      <w:fldChar w:fldCharType="end"/>
                    </w:r>
                    <w:r>
                      <w:rPr>
                        <w:rFonts w:hint="eastAsia"/>
                        <w:lang w:eastAsia="zh-CN"/>
                      </w:rPr>
                    </w:r>
                    <w:r/>
                  </w:p>
                  <w:p>
                    <w:pPr>
                      <w:pStyle w:val="1012"/>
                    </w:pPr>
                    <w:r/>
                    <w:r/>
                  </w:p>
                </w:txbxContent>
              </v:textbox>
            </v:shape>
          </w:pict>
        </mc:Fallback>
      </mc:AlternateContent>
    </w:r>
    <w:r>
      <w:rPr>
        <w:rFonts w:hint="eastAsia"/>
        <w:lang w:val="en-US" w:eastAsia="zh-CN"/>
      </w:rPr>
      <w:t xml:space="preserve">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1012"/>
        <w:ind w:left="1440" w:hanging="360"/>
      </w:pPr>
      <w:rPr>
        <w:rFonts w:ascii="Courier New" w:hAnsi="Courier New" w:eastAsia="Courier New" w:cs="Courier New"/>
      </w:rPr>
    </w:lvl>
    <w:lvl w:ilvl="2">
      <w:start w:val="1"/>
      <w:numFmt w:val="bullet"/>
      <w:isLgl w:val="false"/>
      <w:suff w:val="tab"/>
      <w:lvlText w:val="§"/>
      <w:lvlJc w:val="left"/>
      <w:pPr>
        <w:pStyle w:val="1012"/>
        <w:ind w:left="2160" w:hanging="360"/>
      </w:pPr>
      <w:rPr>
        <w:rFonts w:ascii="Wingdings" w:hAnsi="Wingdings" w:eastAsia="Wingdings" w:cs="Wingdings"/>
      </w:rPr>
    </w:lvl>
    <w:lvl w:ilvl="3">
      <w:start w:val="1"/>
      <w:numFmt w:val="bullet"/>
      <w:isLgl w:val="false"/>
      <w:suff w:val="tab"/>
      <w:lvlText w:val="·"/>
      <w:lvlJc w:val="left"/>
      <w:pPr>
        <w:pStyle w:val="1012"/>
        <w:ind w:left="2880" w:hanging="360"/>
      </w:pPr>
      <w:rPr>
        <w:rFonts w:ascii="Symbol" w:hAnsi="Symbol" w:eastAsia="Symbol" w:cs="Symbol"/>
      </w:rPr>
    </w:lvl>
    <w:lvl w:ilvl="4">
      <w:start w:val="1"/>
      <w:numFmt w:val="bullet"/>
      <w:isLgl w:val="false"/>
      <w:suff w:val="tab"/>
      <w:lvlText w:val="o"/>
      <w:lvlJc w:val="left"/>
      <w:pPr>
        <w:pStyle w:val="1012"/>
        <w:ind w:left="3600" w:hanging="360"/>
      </w:pPr>
      <w:rPr>
        <w:rFonts w:ascii="Courier New" w:hAnsi="Courier New" w:eastAsia="Courier New" w:cs="Courier New"/>
      </w:rPr>
    </w:lvl>
    <w:lvl w:ilvl="5">
      <w:start w:val="1"/>
      <w:numFmt w:val="bullet"/>
      <w:isLgl w:val="false"/>
      <w:suff w:val="tab"/>
      <w:lvlText w:val="§"/>
      <w:lvlJc w:val="left"/>
      <w:pPr>
        <w:pStyle w:val="1012"/>
        <w:ind w:left="4320" w:hanging="360"/>
      </w:pPr>
      <w:rPr>
        <w:rFonts w:ascii="Wingdings" w:hAnsi="Wingdings" w:eastAsia="Wingdings" w:cs="Wingdings"/>
      </w:rPr>
    </w:lvl>
    <w:lvl w:ilvl="6">
      <w:start w:val="1"/>
      <w:numFmt w:val="bullet"/>
      <w:isLgl w:val="false"/>
      <w:suff w:val="tab"/>
      <w:lvlText w:val="·"/>
      <w:lvlJc w:val="left"/>
      <w:pPr>
        <w:pStyle w:val="1012"/>
        <w:ind w:left="5040" w:hanging="360"/>
      </w:pPr>
      <w:rPr>
        <w:rFonts w:ascii="Symbol" w:hAnsi="Symbol" w:eastAsia="Symbol" w:cs="Symbol"/>
      </w:rPr>
    </w:lvl>
    <w:lvl w:ilvl="7">
      <w:start w:val="1"/>
      <w:numFmt w:val="bullet"/>
      <w:isLgl w:val="false"/>
      <w:suff w:val="tab"/>
      <w:lvlText w:val="o"/>
      <w:lvlJc w:val="left"/>
      <w:pPr>
        <w:pStyle w:val="1012"/>
        <w:ind w:left="5760" w:hanging="360"/>
      </w:pPr>
      <w:rPr>
        <w:rFonts w:ascii="Courier New" w:hAnsi="Courier New" w:eastAsia="Courier New" w:cs="Courier New"/>
      </w:rPr>
    </w:lvl>
    <w:lvl w:ilvl="8">
      <w:start w:val="1"/>
      <w:numFmt w:val="bullet"/>
      <w:isLgl w:val="false"/>
      <w:suff w:val="tab"/>
      <w:lvlText w:val="§"/>
      <w:lvlJc w:val="left"/>
      <w:pPr>
        <w:pStyle w:val="1012"/>
        <w:ind w:left="6480" w:hanging="360"/>
      </w:pPr>
      <w:rPr>
        <w:rFonts w:ascii="Wingdings" w:hAnsi="Wingdings" w:eastAsia="Wingdings" w:cs="Wingdings"/>
      </w:rPr>
    </w:lvl>
  </w:abstractNum>
  <w:abstractNum w:abstractNumId="1">
    <w:multiLevelType w:val="hybridMultilevel"/>
    <w:lvl w:ilvl="0">
      <w:start w:val="1"/>
      <w:numFmt w:val="upperLetter"/>
      <w:pStyle w:val="1103"/>
      <w:isLgl w:val="false"/>
      <w:suff w:val="tab"/>
      <w:lvlText w:val="附录%1."/>
      <w:lvlJc w:val="left"/>
      <w:pPr>
        <w:pStyle w:val="101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34"/>
      <w:isLgl w:val="false"/>
      <w:suff w:val="tab"/>
      <w:lvlText w:val="%1."/>
      <w:lvlJc w:val="left"/>
      <w:pPr>
        <w:pStyle w:val="1012"/>
        <w:ind w:left="709" w:hanging="709"/>
        <w:tabs>
          <w:tab w:val="num" w:pos="709" w:leader="none"/>
        </w:tabs>
      </w:pPr>
      <w:rPr>
        <w:rFonts w:hint="eastAsia"/>
      </w:rPr>
    </w:lvl>
    <w:lvl w:ilvl="1">
      <w:start w:val="1"/>
      <w:numFmt w:val="decimal"/>
      <w:isLgl w:val="false"/>
      <w:suff w:val="tab"/>
      <w:lvlText w:val="%1.%2"/>
      <w:lvlJc w:val="left"/>
      <w:pPr>
        <w:pStyle w:val="1012"/>
        <w:ind w:left="709" w:hanging="709"/>
        <w:tabs>
          <w:tab w:val="num" w:pos="709" w:leader="none"/>
        </w:tabs>
      </w:pPr>
      <w:rPr>
        <w:rFonts w:hint="eastAsia"/>
      </w:rPr>
    </w:lvl>
    <w:lvl w:ilvl="2">
      <w:start w:val="1"/>
      <w:numFmt w:val="decimal"/>
      <w:isLgl w:val="false"/>
      <w:suff w:val="tab"/>
      <w:lvlText w:val="%1.%2.%3."/>
      <w:lvlJc w:val="left"/>
      <w:pPr>
        <w:pStyle w:val="1012"/>
        <w:ind w:left="425" w:hanging="425"/>
        <w:tabs>
          <w:tab w:val="num" w:pos="425" w:leader="none"/>
        </w:tabs>
      </w:pPr>
      <w:rPr>
        <w:rFonts w:hint="eastAsia"/>
      </w:rPr>
    </w:lvl>
    <w:lvl w:ilvl="3">
      <w:start w:val="1"/>
      <w:numFmt w:val="decimal"/>
      <w:isLgl w:val="false"/>
      <w:suff w:val="tab"/>
      <w:lvlText w:val="%1.%2.%3.%4."/>
      <w:lvlJc w:val="left"/>
      <w:pPr>
        <w:pStyle w:val="1012"/>
        <w:ind w:left="851" w:hanging="851"/>
        <w:tabs>
          <w:tab w:val="num" w:pos="851" w:leader="none"/>
        </w:tabs>
      </w:pPr>
      <w:rPr>
        <w:rFonts w:hint="eastAsia"/>
      </w:rPr>
    </w:lvl>
    <w:lvl w:ilvl="4">
      <w:start w:val="1"/>
      <w:numFmt w:val="decimal"/>
      <w:isLgl w:val="false"/>
      <w:suff w:val="tab"/>
      <w:lvlText w:val="%1.%2.%3.%4.%5."/>
      <w:lvlJc w:val="left"/>
      <w:pPr>
        <w:pStyle w:val="1012"/>
        <w:ind w:left="992" w:hanging="992"/>
        <w:tabs>
          <w:tab w:val="num" w:pos="992" w:leader="none"/>
        </w:tabs>
      </w:pPr>
      <w:rPr>
        <w:rFonts w:hint="eastAsia"/>
      </w:rPr>
    </w:lvl>
    <w:lvl w:ilvl="5">
      <w:start w:val="1"/>
      <w:numFmt w:val="decimal"/>
      <w:isLgl w:val="false"/>
      <w:suff w:val="tab"/>
      <w:lvlText w:val="%1.%2.%3.%4.%5.%6."/>
      <w:lvlJc w:val="left"/>
      <w:pPr>
        <w:pStyle w:val="1012"/>
        <w:ind w:left="1134" w:hanging="1134"/>
        <w:tabs>
          <w:tab w:val="num" w:pos="1134" w:leader="none"/>
        </w:tabs>
      </w:pPr>
      <w:rPr>
        <w:rFonts w:hint="eastAsia"/>
      </w:rPr>
    </w:lvl>
    <w:lvl w:ilvl="6">
      <w:start w:val="1"/>
      <w:numFmt w:val="decimal"/>
      <w:isLgl w:val="false"/>
      <w:suff w:val="tab"/>
      <w:lvlText w:val="%1.%2.%3.%4.%5.%6.%7."/>
      <w:lvlJc w:val="left"/>
      <w:pPr>
        <w:pStyle w:val="1012"/>
        <w:ind w:left="1276" w:hanging="1276"/>
        <w:tabs>
          <w:tab w:val="num" w:pos="1276" w:leader="none"/>
        </w:tabs>
      </w:pPr>
      <w:rPr>
        <w:rFonts w:hint="eastAsia"/>
      </w:rPr>
    </w:lvl>
    <w:lvl w:ilvl="7">
      <w:start w:val="1"/>
      <w:numFmt w:val="decimal"/>
      <w:isLgl w:val="false"/>
      <w:suff w:val="tab"/>
      <w:lvlText w:val="%1.%2.%3.%4.%5.%6.%7.%8."/>
      <w:lvlJc w:val="left"/>
      <w:pPr>
        <w:pStyle w:val="1012"/>
        <w:ind w:left="1418" w:hanging="1418"/>
        <w:tabs>
          <w:tab w:val="num" w:pos="1418" w:leader="none"/>
        </w:tabs>
      </w:pPr>
      <w:rPr>
        <w:rFonts w:hint="eastAsia"/>
      </w:rPr>
    </w:lvl>
    <w:lvl w:ilvl="8">
      <w:start w:val="1"/>
      <w:numFmt w:val="decimal"/>
      <w:isLgl w:val="false"/>
      <w:suff w:val="tab"/>
      <w:lvlText w:val="%1.%2.%3.%4.%5.%6.%7.%8.%9."/>
      <w:lvlJc w:val="left"/>
      <w:pPr>
        <w:pStyle w:val="1012"/>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1012"/>
        <w:ind w:left="0" w:firstLine="0"/>
      </w:pPr>
      <w:rPr>
        <w:rFonts w:hint="eastAsia"/>
      </w:rPr>
    </w:lvl>
    <w:lvl w:ilvl="1">
      <w:start w:val="1"/>
      <w:numFmt w:val="decimal"/>
      <w:isLgl w:val="false"/>
      <w:suff w:val="nothing"/>
      <w:lvlText w:val="%2、"/>
      <w:lvlJc w:val="left"/>
      <w:pPr>
        <w:pStyle w:val="1012"/>
        <w:ind w:left="0" w:firstLine="0"/>
      </w:pPr>
      <w:rPr>
        <w:rFonts w:hint="eastAsia"/>
      </w:rPr>
    </w:lvl>
    <w:lvl w:ilvl="2">
      <w:start w:val="1"/>
      <w:numFmt w:val="decimal"/>
      <w:isLgl w:val="false"/>
      <w:suff w:val="nothing"/>
      <w:lvlText w:val="%2.%3 "/>
      <w:lvlJc w:val="left"/>
      <w:pPr>
        <w:pStyle w:val="1012"/>
        <w:ind w:left="0" w:firstLine="0"/>
      </w:pPr>
      <w:rPr>
        <w:rFonts w:hint="eastAsia"/>
      </w:rPr>
    </w:lvl>
    <w:lvl w:ilvl="3">
      <w:start w:val="1"/>
      <w:numFmt w:val="decimal"/>
      <w:isLgl w:val="false"/>
      <w:suff w:val="nothing"/>
      <w:lvlText w:val="%2.%3.%4 "/>
      <w:lvlJc w:val="left"/>
      <w:pPr>
        <w:pStyle w:val="1012"/>
        <w:ind w:left="0" w:firstLine="0"/>
      </w:pPr>
      <w:rPr>
        <w:rFonts w:hint="eastAsia"/>
      </w:rPr>
    </w:lvl>
    <w:lvl w:ilvl="4">
      <w:start w:val="1"/>
      <w:numFmt w:val="decimal"/>
      <w:isLgl w:val="false"/>
      <w:suff w:val="nothing"/>
      <w:lvlText w:val="%2.%3.%4.%5 "/>
      <w:lvlJc w:val="left"/>
      <w:pPr>
        <w:pStyle w:val="1012"/>
        <w:ind w:left="0" w:firstLine="0"/>
      </w:pPr>
      <w:rPr>
        <w:rFonts w:hint="eastAsia"/>
      </w:rPr>
    </w:lvl>
    <w:lvl w:ilvl="5">
      <w:start w:val="1"/>
      <w:numFmt w:val="decimal"/>
      <w:pStyle w:val="1018"/>
      <w:isLgl w:val="false"/>
      <w:suff w:val="nothing"/>
      <w:lvlText w:val=""/>
      <w:lvlJc w:val="left"/>
      <w:pPr>
        <w:pStyle w:val="1012"/>
        <w:ind w:left="0" w:firstLine="0"/>
      </w:pPr>
      <w:rPr>
        <w:rFonts w:hint="eastAsia"/>
      </w:rPr>
    </w:lvl>
    <w:lvl w:ilvl="6">
      <w:start w:val="1"/>
      <w:numFmt w:val="decimal"/>
      <w:pStyle w:val="1019"/>
      <w:isLgl w:val="false"/>
      <w:suff w:val="nothing"/>
      <w:lvlText w:val=""/>
      <w:lvlJc w:val="left"/>
      <w:pPr>
        <w:pStyle w:val="1012"/>
        <w:ind w:left="0" w:firstLine="0"/>
      </w:pPr>
      <w:rPr>
        <w:rFonts w:hint="eastAsia"/>
      </w:rPr>
    </w:lvl>
    <w:lvl w:ilvl="7">
      <w:start w:val="1"/>
      <w:numFmt w:val="decimal"/>
      <w:pStyle w:val="1020"/>
      <w:isLgl w:val="false"/>
      <w:suff w:val="nothing"/>
      <w:lvlText w:val=""/>
      <w:lvlJc w:val="left"/>
      <w:pPr>
        <w:pStyle w:val="1012"/>
        <w:ind w:left="0" w:firstLine="0"/>
      </w:pPr>
      <w:rPr>
        <w:rFonts w:hint="eastAsia"/>
      </w:rPr>
    </w:lvl>
    <w:lvl w:ilvl="8">
      <w:start w:val="1"/>
      <w:numFmt w:val="decimal"/>
      <w:pStyle w:val="1021"/>
      <w:isLgl w:val="false"/>
      <w:suff w:val="nothing"/>
      <w:lvlText w:val=""/>
      <w:lvlJc w:val="left"/>
      <w:pPr>
        <w:pStyle w:val="1012"/>
        <w:ind w:left="0" w:firstLine="0"/>
      </w:pPr>
      <w:rPr>
        <w:rFonts w:hint="eastAsia"/>
      </w:rPr>
    </w:lvl>
  </w:abstractNum>
  <w:abstractNum w:abstractNumId="4">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name w:val="Heading 1"/>
    <w:basedOn w:val="1012"/>
    <w:next w:val="1012"/>
    <w:link w:val="835"/>
    <w:uiPriority w:val="9"/>
    <w:qFormat/>
    <w:pPr>
      <w:keepLines/>
      <w:keepNext/>
      <w:spacing w:before="480" w:after="200"/>
      <w:outlineLvl w:val="0"/>
    </w:pPr>
    <w:rPr>
      <w:rFonts w:ascii="Arial" w:hAnsi="Arial" w:eastAsia="Arial" w:cs="Arial"/>
      <w:sz w:val="40"/>
      <w:szCs w:val="40"/>
    </w:rPr>
  </w:style>
  <w:style w:type="character" w:styleId="835">
    <w:name w:val="Heading 1 Char"/>
    <w:link w:val="834"/>
    <w:uiPriority w:val="9"/>
    <w:rPr>
      <w:rFonts w:ascii="Arial" w:hAnsi="Arial" w:eastAsia="Arial" w:cs="Arial"/>
      <w:sz w:val="40"/>
      <w:szCs w:val="40"/>
    </w:rPr>
  </w:style>
  <w:style w:type="paragraph" w:styleId="836">
    <w:name w:val="Heading 2"/>
    <w:basedOn w:val="1012"/>
    <w:next w:val="1012"/>
    <w:link w:val="837"/>
    <w:uiPriority w:val="9"/>
    <w:unhideWhenUsed/>
    <w:qFormat/>
    <w:pPr>
      <w:keepLines/>
      <w:keepNext/>
      <w:spacing w:before="360" w:after="200"/>
      <w:outlineLvl w:val="1"/>
    </w:pPr>
    <w:rPr>
      <w:rFonts w:ascii="Arial" w:hAnsi="Arial" w:eastAsia="Arial" w:cs="Arial"/>
      <w:sz w:val="34"/>
    </w:rPr>
  </w:style>
  <w:style w:type="character" w:styleId="837">
    <w:name w:val="Heading 2 Char"/>
    <w:link w:val="836"/>
    <w:uiPriority w:val="9"/>
    <w:rPr>
      <w:rFonts w:ascii="Arial" w:hAnsi="Arial" w:eastAsia="Arial" w:cs="Arial"/>
      <w:sz w:val="34"/>
    </w:rPr>
  </w:style>
  <w:style w:type="paragraph" w:styleId="838">
    <w:name w:val="Heading 3"/>
    <w:basedOn w:val="1012"/>
    <w:next w:val="1012"/>
    <w:link w:val="839"/>
    <w:uiPriority w:val="9"/>
    <w:unhideWhenUsed/>
    <w:qFormat/>
    <w:pPr>
      <w:keepLines/>
      <w:keepNext/>
      <w:spacing w:before="320" w:after="200"/>
      <w:outlineLvl w:val="2"/>
    </w:pPr>
    <w:rPr>
      <w:rFonts w:ascii="Arial" w:hAnsi="Arial" w:eastAsia="Arial" w:cs="Arial"/>
      <w:sz w:val="30"/>
      <w:szCs w:val="30"/>
    </w:rPr>
  </w:style>
  <w:style w:type="character" w:styleId="839">
    <w:name w:val="Heading 3 Char"/>
    <w:link w:val="838"/>
    <w:uiPriority w:val="9"/>
    <w:rPr>
      <w:rFonts w:ascii="Arial" w:hAnsi="Arial" w:eastAsia="Arial" w:cs="Arial"/>
      <w:sz w:val="30"/>
      <w:szCs w:val="30"/>
    </w:rPr>
  </w:style>
  <w:style w:type="paragraph" w:styleId="840">
    <w:name w:val="Heading 4"/>
    <w:basedOn w:val="1012"/>
    <w:next w:val="1012"/>
    <w:link w:val="841"/>
    <w:uiPriority w:val="9"/>
    <w:unhideWhenUsed/>
    <w:qFormat/>
    <w:pPr>
      <w:keepLines/>
      <w:keepNext/>
      <w:spacing w:before="320" w:after="200"/>
      <w:outlineLvl w:val="3"/>
    </w:pPr>
    <w:rPr>
      <w:rFonts w:ascii="Arial" w:hAnsi="Arial" w:eastAsia="Arial" w:cs="Arial"/>
      <w:b/>
      <w:bCs/>
      <w:sz w:val="26"/>
      <w:szCs w:val="26"/>
    </w:rPr>
  </w:style>
  <w:style w:type="character" w:styleId="841">
    <w:name w:val="Heading 4 Char"/>
    <w:link w:val="840"/>
    <w:uiPriority w:val="9"/>
    <w:rPr>
      <w:rFonts w:ascii="Arial" w:hAnsi="Arial" w:eastAsia="Arial" w:cs="Arial"/>
      <w:b/>
      <w:bCs/>
      <w:sz w:val="26"/>
      <w:szCs w:val="26"/>
    </w:rPr>
  </w:style>
  <w:style w:type="paragraph" w:styleId="842">
    <w:name w:val="Heading 5"/>
    <w:basedOn w:val="1012"/>
    <w:next w:val="1012"/>
    <w:link w:val="843"/>
    <w:uiPriority w:val="9"/>
    <w:unhideWhenUsed/>
    <w:qFormat/>
    <w:pPr>
      <w:keepLines/>
      <w:keepNext/>
      <w:spacing w:before="320" w:after="200"/>
      <w:outlineLvl w:val="4"/>
    </w:pPr>
    <w:rPr>
      <w:rFonts w:ascii="Arial" w:hAnsi="Arial" w:eastAsia="Arial" w:cs="Arial"/>
      <w:b/>
      <w:bCs/>
      <w:sz w:val="24"/>
      <w:szCs w:val="24"/>
    </w:rPr>
  </w:style>
  <w:style w:type="character" w:styleId="843">
    <w:name w:val="Heading 5 Char"/>
    <w:link w:val="842"/>
    <w:uiPriority w:val="9"/>
    <w:rPr>
      <w:rFonts w:ascii="Arial" w:hAnsi="Arial" w:eastAsia="Arial" w:cs="Arial"/>
      <w:b/>
      <w:bCs/>
      <w:sz w:val="24"/>
      <w:szCs w:val="24"/>
    </w:rPr>
  </w:style>
  <w:style w:type="paragraph" w:styleId="844">
    <w:name w:val="Heading 6"/>
    <w:basedOn w:val="1012"/>
    <w:next w:val="1012"/>
    <w:link w:val="845"/>
    <w:uiPriority w:val="9"/>
    <w:unhideWhenUsed/>
    <w:qFormat/>
    <w:pPr>
      <w:keepLines/>
      <w:keepNext/>
      <w:spacing w:before="320" w:after="200"/>
      <w:outlineLvl w:val="5"/>
    </w:pPr>
    <w:rPr>
      <w:rFonts w:ascii="Arial" w:hAnsi="Arial" w:eastAsia="Arial" w:cs="Arial"/>
      <w:b/>
      <w:bCs/>
      <w:sz w:val="22"/>
      <w:szCs w:val="22"/>
    </w:rPr>
  </w:style>
  <w:style w:type="character" w:styleId="845">
    <w:name w:val="Heading 6 Char"/>
    <w:link w:val="844"/>
    <w:uiPriority w:val="9"/>
    <w:rPr>
      <w:rFonts w:ascii="Arial" w:hAnsi="Arial" w:eastAsia="Arial" w:cs="Arial"/>
      <w:b/>
      <w:bCs/>
      <w:sz w:val="22"/>
      <w:szCs w:val="22"/>
    </w:rPr>
  </w:style>
  <w:style w:type="paragraph" w:styleId="846">
    <w:name w:val="Heading 7"/>
    <w:basedOn w:val="1012"/>
    <w:next w:val="1012"/>
    <w:link w:val="847"/>
    <w:uiPriority w:val="9"/>
    <w:unhideWhenUsed/>
    <w:qFormat/>
    <w:pPr>
      <w:keepLines/>
      <w:keepNext/>
      <w:spacing w:before="320" w:after="200"/>
      <w:outlineLvl w:val="6"/>
    </w:pPr>
    <w:rPr>
      <w:rFonts w:ascii="Arial" w:hAnsi="Arial" w:eastAsia="Arial" w:cs="Arial"/>
      <w:b/>
      <w:bCs/>
      <w:i/>
      <w:iCs/>
      <w:sz w:val="22"/>
      <w:szCs w:val="22"/>
    </w:rPr>
  </w:style>
  <w:style w:type="character" w:styleId="847">
    <w:name w:val="Heading 7 Char"/>
    <w:link w:val="846"/>
    <w:uiPriority w:val="9"/>
    <w:rPr>
      <w:rFonts w:ascii="Arial" w:hAnsi="Arial" w:eastAsia="Arial" w:cs="Arial"/>
      <w:b/>
      <w:bCs/>
      <w:i/>
      <w:iCs/>
      <w:sz w:val="22"/>
      <w:szCs w:val="22"/>
    </w:rPr>
  </w:style>
  <w:style w:type="paragraph" w:styleId="848">
    <w:name w:val="Heading 8"/>
    <w:basedOn w:val="1012"/>
    <w:next w:val="1012"/>
    <w:link w:val="849"/>
    <w:uiPriority w:val="9"/>
    <w:unhideWhenUsed/>
    <w:qFormat/>
    <w:pPr>
      <w:keepLines/>
      <w:keepNext/>
      <w:spacing w:before="320" w:after="200"/>
      <w:outlineLvl w:val="7"/>
    </w:pPr>
    <w:rPr>
      <w:rFonts w:ascii="Arial" w:hAnsi="Arial" w:eastAsia="Arial" w:cs="Arial"/>
      <w:i/>
      <w:iCs/>
      <w:sz w:val="22"/>
      <w:szCs w:val="22"/>
    </w:rPr>
  </w:style>
  <w:style w:type="character" w:styleId="849">
    <w:name w:val="Heading 8 Char"/>
    <w:link w:val="848"/>
    <w:uiPriority w:val="9"/>
    <w:rPr>
      <w:rFonts w:ascii="Arial" w:hAnsi="Arial" w:eastAsia="Arial" w:cs="Arial"/>
      <w:i/>
      <w:iCs/>
      <w:sz w:val="22"/>
      <w:szCs w:val="22"/>
    </w:rPr>
  </w:style>
  <w:style w:type="paragraph" w:styleId="850">
    <w:name w:val="Heading 9"/>
    <w:basedOn w:val="1012"/>
    <w:next w:val="1012"/>
    <w:link w:val="851"/>
    <w:uiPriority w:val="9"/>
    <w:unhideWhenUsed/>
    <w:qFormat/>
    <w:pPr>
      <w:keepLines/>
      <w:keepNext/>
      <w:spacing w:before="320" w:after="200"/>
      <w:outlineLvl w:val="8"/>
    </w:pPr>
    <w:rPr>
      <w:rFonts w:ascii="Arial" w:hAnsi="Arial" w:eastAsia="Arial" w:cs="Arial"/>
      <w:i/>
      <w:iCs/>
      <w:sz w:val="21"/>
      <w:szCs w:val="21"/>
    </w:rPr>
  </w:style>
  <w:style w:type="character" w:styleId="851">
    <w:name w:val="Heading 9 Char"/>
    <w:link w:val="850"/>
    <w:uiPriority w:val="9"/>
    <w:rPr>
      <w:rFonts w:ascii="Arial" w:hAnsi="Arial" w:eastAsia="Arial" w:cs="Arial"/>
      <w:i/>
      <w:iCs/>
      <w:sz w:val="21"/>
      <w:szCs w:val="21"/>
    </w:rPr>
  </w:style>
  <w:style w:type="paragraph" w:styleId="852">
    <w:name w:val="List Paragraph"/>
    <w:basedOn w:val="1012"/>
    <w:uiPriority w:val="34"/>
    <w:qFormat/>
    <w:pPr>
      <w:contextualSpacing/>
      <w:ind w:left="720"/>
    </w:pPr>
  </w:style>
  <w:style w:type="paragraph" w:styleId="853">
    <w:name w:val="No Spacing"/>
    <w:uiPriority w:val="1"/>
    <w:qFormat/>
    <w:pPr>
      <w:spacing w:before="0" w:after="0" w:line="240" w:lineRule="auto"/>
    </w:pPr>
  </w:style>
  <w:style w:type="paragraph" w:styleId="854">
    <w:name w:val="Title"/>
    <w:basedOn w:val="1012"/>
    <w:next w:val="1012"/>
    <w:link w:val="855"/>
    <w:uiPriority w:val="10"/>
    <w:qFormat/>
    <w:pPr>
      <w:contextualSpacing/>
      <w:spacing w:before="300" w:after="200"/>
    </w:pPr>
    <w:rPr>
      <w:sz w:val="48"/>
      <w:szCs w:val="48"/>
    </w:rPr>
  </w:style>
  <w:style w:type="character" w:styleId="855">
    <w:name w:val="Title Char"/>
    <w:link w:val="854"/>
    <w:uiPriority w:val="10"/>
    <w:rPr>
      <w:sz w:val="48"/>
      <w:szCs w:val="48"/>
    </w:rPr>
  </w:style>
  <w:style w:type="paragraph" w:styleId="856">
    <w:name w:val="Subtitle"/>
    <w:basedOn w:val="1012"/>
    <w:next w:val="1012"/>
    <w:link w:val="857"/>
    <w:uiPriority w:val="11"/>
    <w:qFormat/>
    <w:pPr>
      <w:spacing w:before="200" w:after="200"/>
    </w:pPr>
    <w:rPr>
      <w:sz w:val="24"/>
      <w:szCs w:val="24"/>
    </w:rPr>
  </w:style>
  <w:style w:type="character" w:styleId="857">
    <w:name w:val="Subtitle Char"/>
    <w:link w:val="856"/>
    <w:uiPriority w:val="11"/>
    <w:rPr>
      <w:sz w:val="24"/>
      <w:szCs w:val="24"/>
    </w:rPr>
  </w:style>
  <w:style w:type="paragraph" w:styleId="858">
    <w:name w:val="Quote"/>
    <w:basedOn w:val="1012"/>
    <w:next w:val="1012"/>
    <w:link w:val="859"/>
    <w:uiPriority w:val="29"/>
    <w:qFormat/>
    <w:pPr>
      <w:ind w:left="720" w:right="720"/>
    </w:pPr>
    <w:rPr>
      <w:i/>
    </w:rPr>
  </w:style>
  <w:style w:type="character" w:styleId="859">
    <w:name w:val="Quote Char"/>
    <w:link w:val="858"/>
    <w:uiPriority w:val="29"/>
    <w:rPr>
      <w:i/>
    </w:rPr>
  </w:style>
  <w:style w:type="paragraph" w:styleId="860">
    <w:name w:val="Intense Quote"/>
    <w:basedOn w:val="1012"/>
    <w:next w:val="1012"/>
    <w:link w:val="8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name w:val="Intense Quote Char"/>
    <w:link w:val="860"/>
    <w:uiPriority w:val="30"/>
    <w:rPr>
      <w:i/>
    </w:rPr>
  </w:style>
  <w:style w:type="paragraph" w:styleId="862">
    <w:name w:val="Header"/>
    <w:basedOn w:val="1012"/>
    <w:link w:val="863"/>
    <w:uiPriority w:val="99"/>
    <w:unhideWhenUsed/>
    <w:pPr>
      <w:spacing w:after="0" w:line="240" w:lineRule="auto"/>
      <w:tabs>
        <w:tab w:val="center" w:pos="7143" w:leader="none"/>
        <w:tab w:val="right" w:pos="14287" w:leader="none"/>
      </w:tabs>
    </w:pPr>
  </w:style>
  <w:style w:type="character" w:styleId="863">
    <w:name w:val="Header Char"/>
    <w:link w:val="862"/>
    <w:uiPriority w:val="99"/>
  </w:style>
  <w:style w:type="paragraph" w:styleId="864">
    <w:name w:val="Footer"/>
    <w:basedOn w:val="1012"/>
    <w:link w:val="867"/>
    <w:uiPriority w:val="99"/>
    <w:unhideWhenUsed/>
    <w:pPr>
      <w:spacing w:after="0" w:line="240" w:lineRule="auto"/>
      <w:tabs>
        <w:tab w:val="center" w:pos="7143" w:leader="none"/>
        <w:tab w:val="right" w:pos="14287" w:leader="none"/>
      </w:tabs>
    </w:pPr>
  </w:style>
  <w:style w:type="character" w:styleId="865">
    <w:name w:val="Footer Char"/>
    <w:link w:val="864"/>
    <w:uiPriority w:val="99"/>
  </w:style>
  <w:style w:type="paragraph" w:styleId="866">
    <w:name w:val="Caption"/>
    <w:basedOn w:val="1012"/>
    <w:next w:val="1012"/>
    <w:uiPriority w:val="35"/>
    <w:semiHidden/>
    <w:unhideWhenUsed/>
    <w:qFormat/>
    <w:pPr>
      <w:spacing w:line="276" w:lineRule="auto"/>
    </w:pPr>
    <w:rPr>
      <w:b/>
      <w:bCs/>
      <w:color w:val="4f81bd" w:themeColor="accent1"/>
      <w:sz w:val="18"/>
      <w:szCs w:val="18"/>
    </w:rPr>
  </w:style>
  <w:style w:type="character" w:styleId="867">
    <w:name w:val="Caption Char"/>
    <w:basedOn w:val="866"/>
    <w:link w:val="864"/>
    <w:uiPriority w:val="99"/>
  </w:style>
  <w:style w:type="table" w:styleId="8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4">
    <w:name w:val="Hyperlink"/>
    <w:uiPriority w:val="99"/>
    <w:unhideWhenUsed/>
    <w:rPr>
      <w:color w:val="0000ff" w:themeColor="hyperlink"/>
      <w:u w:val="single"/>
    </w:rPr>
  </w:style>
  <w:style w:type="paragraph" w:styleId="995">
    <w:name w:val="footnote text"/>
    <w:basedOn w:val="1012"/>
    <w:link w:val="996"/>
    <w:uiPriority w:val="99"/>
    <w:semiHidden/>
    <w:unhideWhenUsed/>
    <w:pPr>
      <w:spacing w:after="40" w:line="240" w:lineRule="auto"/>
    </w:pPr>
    <w:rPr>
      <w:sz w:val="18"/>
    </w:rPr>
  </w:style>
  <w:style w:type="character" w:styleId="996">
    <w:name w:val="Footnote Text Char"/>
    <w:link w:val="995"/>
    <w:uiPriority w:val="99"/>
    <w:rPr>
      <w:sz w:val="18"/>
    </w:rPr>
  </w:style>
  <w:style w:type="character" w:styleId="997">
    <w:name w:val="footnote reference"/>
    <w:uiPriority w:val="99"/>
    <w:unhideWhenUsed/>
    <w:rPr>
      <w:vertAlign w:val="superscript"/>
    </w:rPr>
  </w:style>
  <w:style w:type="paragraph" w:styleId="998">
    <w:name w:val="endnote text"/>
    <w:basedOn w:val="1012"/>
    <w:link w:val="999"/>
    <w:uiPriority w:val="99"/>
    <w:semiHidden/>
    <w:unhideWhenUsed/>
    <w:pPr>
      <w:spacing w:after="0" w:line="240" w:lineRule="auto"/>
    </w:pPr>
    <w:rPr>
      <w:sz w:val="20"/>
    </w:rPr>
  </w:style>
  <w:style w:type="character" w:styleId="999">
    <w:name w:val="Endnote Text Char"/>
    <w:link w:val="998"/>
    <w:uiPriority w:val="99"/>
    <w:rPr>
      <w:sz w:val="20"/>
    </w:rPr>
  </w:style>
  <w:style w:type="character" w:styleId="1000">
    <w:name w:val="endnote reference"/>
    <w:uiPriority w:val="99"/>
    <w:semiHidden/>
    <w:unhideWhenUsed/>
    <w:rPr>
      <w:vertAlign w:val="superscript"/>
    </w:rPr>
  </w:style>
  <w:style w:type="paragraph" w:styleId="1001">
    <w:name w:val="toc 1"/>
    <w:basedOn w:val="1012"/>
    <w:next w:val="1012"/>
    <w:uiPriority w:val="39"/>
    <w:unhideWhenUsed/>
    <w:pPr>
      <w:ind w:left="0" w:right="0" w:firstLine="0"/>
      <w:spacing w:after="57"/>
    </w:pPr>
  </w:style>
  <w:style w:type="paragraph" w:styleId="1002">
    <w:name w:val="toc 2"/>
    <w:basedOn w:val="1012"/>
    <w:next w:val="1012"/>
    <w:uiPriority w:val="39"/>
    <w:unhideWhenUsed/>
    <w:pPr>
      <w:ind w:left="283" w:right="0" w:firstLine="0"/>
      <w:spacing w:after="57"/>
    </w:pPr>
  </w:style>
  <w:style w:type="paragraph" w:styleId="1003">
    <w:name w:val="toc 3"/>
    <w:basedOn w:val="1012"/>
    <w:next w:val="1012"/>
    <w:uiPriority w:val="39"/>
    <w:unhideWhenUsed/>
    <w:pPr>
      <w:ind w:left="567" w:right="0" w:firstLine="0"/>
      <w:spacing w:after="57"/>
    </w:pPr>
  </w:style>
  <w:style w:type="paragraph" w:styleId="1004">
    <w:name w:val="toc 4"/>
    <w:basedOn w:val="1012"/>
    <w:next w:val="1012"/>
    <w:uiPriority w:val="39"/>
    <w:unhideWhenUsed/>
    <w:pPr>
      <w:ind w:left="850" w:right="0" w:firstLine="0"/>
      <w:spacing w:after="57"/>
    </w:pPr>
  </w:style>
  <w:style w:type="paragraph" w:styleId="1005">
    <w:name w:val="toc 5"/>
    <w:basedOn w:val="1012"/>
    <w:next w:val="1012"/>
    <w:uiPriority w:val="39"/>
    <w:unhideWhenUsed/>
    <w:pPr>
      <w:ind w:left="1134" w:right="0" w:firstLine="0"/>
      <w:spacing w:after="57"/>
    </w:pPr>
  </w:style>
  <w:style w:type="paragraph" w:styleId="1006">
    <w:name w:val="toc 6"/>
    <w:basedOn w:val="1012"/>
    <w:next w:val="1012"/>
    <w:uiPriority w:val="39"/>
    <w:unhideWhenUsed/>
    <w:pPr>
      <w:ind w:left="1417" w:right="0" w:firstLine="0"/>
      <w:spacing w:after="57"/>
    </w:pPr>
  </w:style>
  <w:style w:type="paragraph" w:styleId="1007">
    <w:name w:val="toc 7"/>
    <w:basedOn w:val="1012"/>
    <w:next w:val="1012"/>
    <w:uiPriority w:val="39"/>
    <w:unhideWhenUsed/>
    <w:pPr>
      <w:ind w:left="1701" w:right="0" w:firstLine="0"/>
      <w:spacing w:after="57"/>
    </w:pPr>
  </w:style>
  <w:style w:type="paragraph" w:styleId="1008">
    <w:name w:val="toc 8"/>
    <w:basedOn w:val="1012"/>
    <w:next w:val="1012"/>
    <w:uiPriority w:val="39"/>
    <w:unhideWhenUsed/>
    <w:pPr>
      <w:ind w:left="1984" w:right="0" w:firstLine="0"/>
      <w:spacing w:after="57"/>
    </w:pPr>
  </w:style>
  <w:style w:type="paragraph" w:styleId="1009">
    <w:name w:val="toc 9"/>
    <w:basedOn w:val="1012"/>
    <w:next w:val="1012"/>
    <w:uiPriority w:val="39"/>
    <w:unhideWhenUsed/>
    <w:pPr>
      <w:ind w:left="2268" w:right="0" w:firstLine="0"/>
      <w:spacing w:after="57"/>
    </w:pPr>
  </w:style>
  <w:style w:type="paragraph" w:styleId="1010">
    <w:name w:val="TOC Heading"/>
    <w:uiPriority w:val="39"/>
    <w:unhideWhenUsed/>
  </w:style>
  <w:style w:type="paragraph" w:styleId="1011">
    <w:name w:val="table of figures"/>
    <w:basedOn w:val="1012"/>
    <w:next w:val="1012"/>
    <w:uiPriority w:val="99"/>
    <w:unhideWhenUsed/>
    <w:pPr>
      <w:spacing w:after="0" w:afterAutospacing="0"/>
    </w:pPr>
  </w:style>
  <w:style w:type="paragraph" w:styleId="1012" w:default="1">
    <w:name w:val="Normal"/>
    <w:next w:val="1024"/>
    <w:link w:val="1012"/>
    <w:qFormat/>
    <w:pPr>
      <w:jc w:val="both"/>
      <w:widowControl w:val="off"/>
    </w:pPr>
    <w:rPr>
      <w:sz w:val="21"/>
      <w:szCs w:val="22"/>
      <w:lang w:val="en-US" w:eastAsia="zh-CN" w:bidi="ar-SA"/>
    </w:rPr>
  </w:style>
  <w:style w:type="paragraph" w:styleId="1013">
    <w:name w:val="标题 1"/>
    <w:basedOn w:val="1012"/>
    <w:next w:val="1012"/>
    <w:link w:val="1025"/>
    <w:qFormat/>
    <w:pPr>
      <w:jc w:val="center"/>
      <w:keepNext/>
      <w:outlineLvl w:val="0"/>
    </w:pPr>
    <w:rPr>
      <w:rFonts w:ascii="楷体_GB2312" w:eastAsia="楷体_GB2312"/>
      <w:sz w:val="28"/>
      <w:szCs w:val="28"/>
    </w:rPr>
  </w:style>
  <w:style w:type="paragraph" w:styleId="1014">
    <w:name w:val="标题 2"/>
    <w:basedOn w:val="1012"/>
    <w:next w:val="1027"/>
    <w:link w:val="1026"/>
    <w:qFormat/>
    <w:pPr>
      <w:jc w:val="center"/>
      <w:keepLines/>
      <w:keepNext/>
      <w:spacing w:before="260" w:after="260" w:line="416" w:lineRule="auto"/>
      <w:outlineLvl w:val="1"/>
    </w:pPr>
    <w:rPr>
      <w:rFonts w:ascii="Arial" w:hAnsi="Arial" w:eastAsia="幼圆"/>
      <w:b/>
      <w:bCs/>
      <w:sz w:val="44"/>
      <w:szCs w:val="44"/>
    </w:rPr>
  </w:style>
  <w:style w:type="paragraph" w:styleId="1015">
    <w:name w:val="标题 3"/>
    <w:basedOn w:val="1012"/>
    <w:next w:val="1012"/>
    <w:link w:val="1029"/>
    <w:qFormat/>
    <w:pPr>
      <w:keepLines/>
      <w:keepNext/>
      <w:spacing w:before="260" w:after="260" w:line="416" w:lineRule="auto"/>
      <w:outlineLvl w:val="2"/>
    </w:pPr>
    <w:rPr>
      <w:b/>
      <w:bCs/>
      <w:sz w:val="32"/>
      <w:szCs w:val="32"/>
    </w:rPr>
  </w:style>
  <w:style w:type="paragraph" w:styleId="1016">
    <w:name w:val="标题 4"/>
    <w:basedOn w:val="1012"/>
    <w:next w:val="1012"/>
    <w:link w:val="1030"/>
    <w:qFormat/>
    <w:pPr>
      <w:keepLines/>
      <w:keepNext/>
      <w:spacing w:before="280" w:after="290" w:line="376" w:lineRule="auto"/>
      <w:outlineLvl w:val="3"/>
    </w:pPr>
    <w:rPr>
      <w:rFonts w:ascii="Arial" w:hAnsi="Arial" w:eastAsia="黑体"/>
      <w:b/>
      <w:bCs/>
      <w:sz w:val="28"/>
      <w:szCs w:val="28"/>
    </w:rPr>
  </w:style>
  <w:style w:type="paragraph" w:styleId="1017">
    <w:name w:val="标题 5"/>
    <w:basedOn w:val="1012"/>
    <w:next w:val="1027"/>
    <w:link w:val="1031"/>
    <w:qFormat/>
    <w:pPr>
      <w:keepNext/>
      <w:outlineLvl w:val="4"/>
    </w:pPr>
    <w:rPr>
      <w:rFonts w:ascii="宋体"/>
      <w:color w:val="000000"/>
      <w:sz w:val="28"/>
      <w:szCs w:val="28"/>
    </w:rPr>
  </w:style>
  <w:style w:type="paragraph" w:styleId="1018">
    <w:name w:val="标题 6"/>
    <w:basedOn w:val="1012"/>
    <w:next w:val="1012"/>
    <w:link w:val="1032"/>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9">
    <w:name w:val="标题 7"/>
    <w:basedOn w:val="1012"/>
    <w:next w:val="1012"/>
    <w:link w:val="1033"/>
    <w:qFormat/>
    <w:pPr>
      <w:numPr>
        <w:ilvl w:val="6"/>
        <w:numId w:val="1"/>
      </w:numPr>
      <w:keepLines/>
      <w:keepNext/>
      <w:spacing w:before="240" w:after="64" w:line="320" w:lineRule="auto"/>
      <w:outlineLvl w:val="6"/>
    </w:pPr>
    <w:rPr>
      <w:b/>
      <w:bCs/>
      <w:sz w:val="24"/>
      <w:szCs w:val="24"/>
    </w:rPr>
  </w:style>
  <w:style w:type="paragraph" w:styleId="1020">
    <w:name w:val="标题 8"/>
    <w:basedOn w:val="1012"/>
    <w:next w:val="1012"/>
    <w:link w:val="1034"/>
    <w:qFormat/>
    <w:pPr>
      <w:numPr>
        <w:ilvl w:val="7"/>
        <w:numId w:val="1"/>
      </w:numPr>
      <w:keepLines/>
      <w:keepNext/>
      <w:spacing w:before="240" w:after="64" w:line="320" w:lineRule="auto"/>
      <w:outlineLvl w:val="7"/>
    </w:pPr>
    <w:rPr>
      <w:rFonts w:ascii="Arial" w:hAnsi="Arial" w:eastAsia="黑体"/>
      <w:sz w:val="24"/>
      <w:szCs w:val="24"/>
    </w:rPr>
  </w:style>
  <w:style w:type="paragraph" w:styleId="1021">
    <w:name w:val="标题 9"/>
    <w:basedOn w:val="1012"/>
    <w:next w:val="1012"/>
    <w:link w:val="1035"/>
    <w:qFormat/>
    <w:pPr>
      <w:numPr>
        <w:ilvl w:val="8"/>
        <w:numId w:val="1"/>
      </w:numPr>
      <w:keepLines/>
      <w:keepNext/>
      <w:spacing w:before="240" w:after="64" w:line="320" w:lineRule="auto"/>
      <w:outlineLvl w:val="8"/>
    </w:pPr>
    <w:rPr>
      <w:rFonts w:ascii="Arial" w:hAnsi="Arial" w:eastAsia="黑体"/>
      <w:sz w:val="20"/>
      <w:szCs w:val="21"/>
    </w:rPr>
  </w:style>
  <w:style w:type="character" w:styleId="1022">
    <w:name w:val="默认段落字体"/>
    <w:next w:val="1022"/>
    <w:link w:val="1012"/>
    <w:uiPriority w:val="1"/>
    <w:unhideWhenUsed/>
  </w:style>
  <w:style w:type="table" w:styleId="1023">
    <w:name w:val="普通表格"/>
    <w:next w:val="1023"/>
    <w:link w:val="1012"/>
    <w:uiPriority w:val="99"/>
    <w:unhideWhenUsed/>
    <w:tblPr/>
  </w:style>
  <w:style w:type="paragraph" w:styleId="1024">
    <w:name w:val="首行缩进"/>
    <w:basedOn w:val="1012"/>
    <w:next w:val="1024"/>
    <w:link w:val="1012"/>
    <w:qFormat/>
    <w:pPr>
      <w:ind w:firstLine="480"/>
      <w:jc w:val="left"/>
      <w:spacing w:line="360" w:lineRule="auto"/>
    </w:pPr>
    <w:rPr>
      <w:rFonts w:ascii="宋体" w:hAnsi="宋体"/>
      <w:sz w:val="24"/>
      <w:szCs w:val="24"/>
    </w:rPr>
  </w:style>
  <w:style w:type="character" w:styleId="1025">
    <w:name w:val="标题 1 Char"/>
    <w:next w:val="1025"/>
    <w:link w:val="1013"/>
    <w:rPr>
      <w:rFonts w:ascii="楷体_GB2312" w:hAnsi="Times New Roman" w:eastAsia="楷体_GB2312" w:cs="Times New Roman"/>
      <w:sz w:val="28"/>
      <w:szCs w:val="28"/>
    </w:rPr>
  </w:style>
  <w:style w:type="character" w:styleId="1026">
    <w:name w:val="标题 2 Char"/>
    <w:next w:val="1026"/>
    <w:link w:val="1014"/>
    <w:rPr>
      <w:rFonts w:ascii="Arial" w:hAnsi="Arial" w:eastAsia="幼圆" w:cs="Arial"/>
      <w:b/>
      <w:bCs/>
      <w:sz w:val="44"/>
      <w:szCs w:val="44"/>
    </w:rPr>
  </w:style>
  <w:style w:type="paragraph" w:styleId="1027">
    <w:name w:val="正文缩进"/>
    <w:basedOn w:val="1012"/>
    <w:next w:val="1027"/>
    <w:link w:val="1028"/>
    <w:pPr>
      <w:ind w:firstLine="420"/>
    </w:pPr>
    <w:rPr>
      <w:sz w:val="20"/>
      <w:szCs w:val="21"/>
    </w:rPr>
  </w:style>
  <w:style w:type="character" w:styleId="1028">
    <w:name w:val="正文缩进 Char"/>
    <w:next w:val="1028"/>
    <w:link w:val="1027"/>
    <w:rPr>
      <w:szCs w:val="21"/>
    </w:rPr>
  </w:style>
  <w:style w:type="character" w:styleId="1029">
    <w:name w:val="标题 3 Char"/>
    <w:next w:val="1029"/>
    <w:link w:val="1015"/>
    <w:rPr>
      <w:rFonts w:ascii="Times New Roman" w:hAnsi="Times New Roman" w:eastAsia="宋体" w:cs="Times New Roman"/>
      <w:b/>
      <w:bCs/>
      <w:sz w:val="32"/>
      <w:szCs w:val="32"/>
    </w:rPr>
  </w:style>
  <w:style w:type="character" w:styleId="1030">
    <w:name w:val="标题 4 Char"/>
    <w:next w:val="1030"/>
    <w:link w:val="1016"/>
    <w:rPr>
      <w:rFonts w:ascii="Arial" w:hAnsi="Arial" w:eastAsia="黑体" w:cs="Arial"/>
      <w:b/>
      <w:bCs/>
      <w:sz w:val="28"/>
      <w:szCs w:val="28"/>
    </w:rPr>
  </w:style>
  <w:style w:type="character" w:styleId="1031">
    <w:name w:val="标题 5 Char"/>
    <w:next w:val="1031"/>
    <w:link w:val="1017"/>
    <w:rPr>
      <w:rFonts w:ascii="宋体" w:hAnsi="Times New Roman" w:eastAsia="宋体" w:cs="Times New Roman"/>
      <w:color w:val="000000"/>
      <w:sz w:val="28"/>
      <w:szCs w:val="28"/>
    </w:rPr>
  </w:style>
  <w:style w:type="character" w:styleId="1032">
    <w:name w:val="标题 6 Char"/>
    <w:next w:val="1032"/>
    <w:link w:val="1018"/>
    <w:rPr>
      <w:rFonts w:ascii="Arial" w:hAnsi="Arial" w:eastAsia="黑体" w:cs="Times New Roman"/>
      <w:b/>
      <w:bCs/>
      <w:sz w:val="24"/>
      <w:szCs w:val="24"/>
    </w:rPr>
  </w:style>
  <w:style w:type="character" w:styleId="1033">
    <w:name w:val="标题 7 Char"/>
    <w:next w:val="1033"/>
    <w:link w:val="1019"/>
    <w:rPr>
      <w:rFonts w:ascii="Times New Roman" w:hAnsi="Times New Roman" w:eastAsia="宋体" w:cs="Times New Roman"/>
      <w:b/>
      <w:bCs/>
      <w:sz w:val="24"/>
      <w:szCs w:val="24"/>
    </w:rPr>
  </w:style>
  <w:style w:type="character" w:styleId="1034">
    <w:name w:val="标题 8 Char"/>
    <w:next w:val="1034"/>
    <w:link w:val="1020"/>
    <w:rPr>
      <w:rFonts w:ascii="Arial" w:hAnsi="Arial" w:eastAsia="黑体" w:cs="Times New Roman"/>
      <w:sz w:val="24"/>
      <w:szCs w:val="24"/>
    </w:rPr>
  </w:style>
  <w:style w:type="character" w:styleId="1035">
    <w:name w:val="标题 9 Char"/>
    <w:next w:val="1035"/>
    <w:link w:val="1021"/>
    <w:rPr>
      <w:rFonts w:ascii="Arial" w:hAnsi="Arial" w:eastAsia="黑体" w:cs="Times New Roman"/>
      <w:szCs w:val="21"/>
    </w:rPr>
  </w:style>
  <w:style w:type="paragraph" w:styleId="1036">
    <w:name w:val="列表 3"/>
    <w:basedOn w:val="1012"/>
    <w:next w:val="1036"/>
    <w:link w:val="1012"/>
    <w:pPr>
      <w:ind w:left="100" w:hanging="200"/>
    </w:pPr>
    <w:rPr>
      <w:rFonts w:ascii="Times New Roman" w:hAnsi="Times New Roman" w:eastAsia="宋体" w:cs="Times New Roman"/>
      <w:szCs w:val="21"/>
    </w:rPr>
  </w:style>
  <w:style w:type="paragraph" w:styleId="1037">
    <w:name w:val="目录 7"/>
    <w:basedOn w:val="1012"/>
    <w:next w:val="1012"/>
    <w:link w:val="1012"/>
    <w:semiHidden/>
    <w:pPr>
      <w:ind w:left="1260"/>
      <w:jc w:val="left"/>
    </w:pPr>
    <w:rPr>
      <w:rFonts w:ascii="Times New Roman" w:hAnsi="Times New Roman" w:eastAsia="宋体" w:cs="Times New Roman"/>
      <w:szCs w:val="21"/>
    </w:rPr>
  </w:style>
  <w:style w:type="paragraph" w:styleId="1038">
    <w:name w:val="文档结构图"/>
    <w:basedOn w:val="1012"/>
    <w:next w:val="1038"/>
    <w:link w:val="1039"/>
    <w:semiHidden/>
    <w:pPr>
      <w:shd w:val="clear" w:color="auto" w:fill="000080"/>
    </w:pPr>
    <w:rPr>
      <w:sz w:val="20"/>
      <w:szCs w:val="21"/>
    </w:rPr>
  </w:style>
  <w:style w:type="character" w:styleId="1039">
    <w:name w:val="文档结构图 Char"/>
    <w:next w:val="1039"/>
    <w:link w:val="1038"/>
    <w:semiHidden/>
    <w:rPr>
      <w:rFonts w:ascii="Times New Roman" w:hAnsi="Times New Roman" w:eastAsia="宋体" w:cs="Times New Roman"/>
      <w:szCs w:val="21"/>
      <w:shd w:val="clear" w:color="auto" w:fill="000080"/>
    </w:rPr>
  </w:style>
  <w:style w:type="paragraph" w:styleId="1040">
    <w:name w:val="批注文字"/>
    <w:basedOn w:val="1012"/>
    <w:next w:val="1040"/>
    <w:link w:val="1041"/>
    <w:unhideWhenUsed/>
    <w:pPr>
      <w:jc w:val="left"/>
    </w:pPr>
  </w:style>
  <w:style w:type="character" w:styleId="1041">
    <w:name w:val="批注文字 Char"/>
    <w:basedOn w:val="1022"/>
    <w:next w:val="1041"/>
    <w:link w:val="1040"/>
    <w:uiPriority w:val="99"/>
    <w:semiHidden/>
  </w:style>
  <w:style w:type="paragraph" w:styleId="1042">
    <w:name w:val="正文文本 3"/>
    <w:basedOn w:val="1012"/>
    <w:next w:val="1042"/>
    <w:link w:val="1043"/>
    <w:rPr>
      <w:rFonts w:ascii="仿宋_GB2312" w:hAnsi="Arial" w:eastAsia="仿宋_GB2312"/>
      <w:sz w:val="32"/>
      <w:szCs w:val="32"/>
    </w:rPr>
  </w:style>
  <w:style w:type="character" w:styleId="1043">
    <w:name w:val="正文文本 3 Char"/>
    <w:next w:val="1043"/>
    <w:link w:val="1042"/>
    <w:rPr>
      <w:rFonts w:ascii="仿宋_GB2312" w:hAnsi="Arial" w:eastAsia="仿宋_GB2312" w:cs="Times New Roman"/>
      <w:sz w:val="32"/>
      <w:szCs w:val="32"/>
    </w:rPr>
  </w:style>
  <w:style w:type="paragraph" w:styleId="1044">
    <w:name w:val="正文文本"/>
    <w:basedOn w:val="1012"/>
    <w:next w:val="1046"/>
    <w:link w:val="1045"/>
    <w:rPr>
      <w:rFonts w:ascii="楷体_GB2312" w:hAnsi="Arial" w:eastAsia="楷体_GB2312"/>
      <w:sz w:val="28"/>
      <w:szCs w:val="28"/>
    </w:rPr>
  </w:style>
  <w:style w:type="character" w:styleId="1045">
    <w:name w:val="正文文本 Char"/>
    <w:next w:val="1045"/>
    <w:link w:val="1044"/>
    <w:rPr>
      <w:rFonts w:ascii="楷体_GB2312" w:hAnsi="Arial" w:eastAsia="楷体_GB2312" w:cs="Times New Roman"/>
      <w:sz w:val="28"/>
      <w:szCs w:val="28"/>
    </w:rPr>
  </w:style>
  <w:style w:type="paragraph" w:styleId="1046">
    <w:name w:val="一级条标题"/>
    <w:basedOn w:val="1047"/>
    <w:next w:val="1048"/>
    <w:link w:val="1012"/>
    <w:qFormat/>
    <w:pPr>
      <w:ind w:left="907" w:hanging="907"/>
      <w:tabs>
        <w:tab w:val="left" w:pos="810" w:leader="none"/>
        <w:tab w:val="left" w:pos="907" w:leader="none"/>
        <w:tab w:val="left" w:pos="1265" w:leader="none"/>
      </w:tabs>
      <w:outlineLvl w:val="2"/>
    </w:pPr>
    <w:rPr>
      <w:rFonts w:hAnsi="宋体"/>
      <w:sz w:val="20"/>
    </w:rPr>
  </w:style>
  <w:style w:type="paragraph" w:styleId="1047">
    <w:name w:val="章标题"/>
    <w:next w:val="1012"/>
    <w:link w:val="1012"/>
    <w:qFormat/>
    <w:pPr>
      <w:jc w:val="both"/>
      <w:spacing w:before="156" w:after="156"/>
      <w:outlineLvl w:val="1"/>
    </w:pPr>
    <w:rPr>
      <w:rFonts w:eastAsia="黑体"/>
      <w:sz w:val="21"/>
      <w:lang w:val="en-US" w:eastAsia="zh-CN" w:bidi="ar-SA"/>
    </w:rPr>
  </w:style>
  <w:style w:type="paragraph" w:styleId="1048">
    <w:name w:val="段"/>
    <w:next w:val="1012"/>
    <w:link w:val="1012"/>
    <w:qFormat/>
    <w:pPr>
      <w:ind w:firstLine="200"/>
      <w:jc w:val="both"/>
    </w:pPr>
    <w:rPr>
      <w:rFonts w:ascii="宋体"/>
      <w:sz w:val="21"/>
      <w:lang w:val="en-US" w:eastAsia="zh-CN" w:bidi="ar-SA"/>
    </w:rPr>
  </w:style>
  <w:style w:type="paragraph" w:styleId="1049">
    <w:name w:val="正文文本缩进"/>
    <w:basedOn w:val="1012"/>
    <w:next w:val="1051"/>
    <w:link w:val="1050"/>
    <w:unhideWhenUsed/>
    <w:pPr>
      <w:ind w:left="420"/>
      <w:spacing w:after="120"/>
    </w:pPr>
  </w:style>
  <w:style w:type="character" w:styleId="1050">
    <w:name w:val="正文文本缩进 Char"/>
    <w:basedOn w:val="1022"/>
    <w:next w:val="1050"/>
    <w:link w:val="1049"/>
    <w:uiPriority w:val="99"/>
    <w:semiHidden/>
  </w:style>
  <w:style w:type="paragraph" w:styleId="1051">
    <w:name w:val="寄信人地址"/>
    <w:basedOn w:val="1012"/>
    <w:next w:val="1051"/>
    <w:link w:val="1012"/>
    <w:qFormat/>
    <w:rPr>
      <w:rFonts w:ascii="Arial" w:hAnsi="Arial" w:eastAsia="宋体" w:cs="宋体"/>
    </w:rPr>
  </w:style>
  <w:style w:type="paragraph" w:styleId="1052">
    <w:name w:val="列表 2"/>
    <w:basedOn w:val="1012"/>
    <w:next w:val="1052"/>
    <w:link w:val="1012"/>
    <w:pPr>
      <w:ind w:left="100" w:hanging="200"/>
    </w:pPr>
    <w:rPr>
      <w:rFonts w:ascii="Times New Roman" w:hAnsi="Times New Roman" w:eastAsia="宋体" w:cs="Times New Roman"/>
      <w:szCs w:val="21"/>
    </w:rPr>
  </w:style>
  <w:style w:type="paragraph" w:styleId="1053">
    <w:name w:val="索引 4"/>
    <w:basedOn w:val="1012"/>
    <w:next w:val="1012"/>
    <w:link w:val="1012"/>
    <w:semiHidden/>
    <w:qFormat/>
    <w:pPr>
      <w:ind w:left="1260"/>
    </w:pPr>
    <w:rPr>
      <w:rFonts w:ascii="Calibri" w:hAnsi="Calibri" w:eastAsia="Calibri" w:cs="宋体"/>
      <w:sz w:val="20"/>
      <w:lang w:val="zh-CN"/>
    </w:rPr>
  </w:style>
  <w:style w:type="paragraph" w:styleId="1054">
    <w:name w:val="目录 5"/>
    <w:basedOn w:val="1012"/>
    <w:next w:val="1012"/>
    <w:link w:val="1012"/>
    <w:semiHidden/>
    <w:pPr>
      <w:ind w:left="840"/>
      <w:jc w:val="left"/>
    </w:pPr>
    <w:rPr>
      <w:rFonts w:ascii="Times New Roman" w:hAnsi="Times New Roman" w:eastAsia="宋体" w:cs="Times New Roman"/>
      <w:szCs w:val="21"/>
    </w:rPr>
  </w:style>
  <w:style w:type="paragraph" w:styleId="1055">
    <w:name w:val="目录 3"/>
    <w:basedOn w:val="1012"/>
    <w:next w:val="1012"/>
    <w:link w:val="1012"/>
    <w:semiHidden/>
    <w:pPr>
      <w:ind w:left="420"/>
      <w:jc w:val="left"/>
    </w:pPr>
    <w:rPr>
      <w:rFonts w:ascii="Times New Roman" w:hAnsi="Times New Roman" w:eastAsia="宋体" w:cs="Times New Roman"/>
      <w:i/>
      <w:iCs/>
      <w:szCs w:val="24"/>
    </w:rPr>
  </w:style>
  <w:style w:type="paragraph" w:styleId="1056">
    <w:name w:val="纯文本"/>
    <w:basedOn w:val="1012"/>
    <w:next w:val="1056"/>
    <w:link w:val="1057"/>
    <w:rPr>
      <w:rFonts w:ascii="宋体" w:hAnsi="Courier New"/>
      <w:sz w:val="20"/>
      <w:szCs w:val="21"/>
    </w:rPr>
  </w:style>
  <w:style w:type="character" w:styleId="1057">
    <w:name w:val="纯文本 Char"/>
    <w:next w:val="1057"/>
    <w:link w:val="1056"/>
    <w:rPr>
      <w:rFonts w:ascii="宋体" w:hAnsi="Courier New" w:eastAsia="宋体" w:cs="Courier New"/>
      <w:szCs w:val="21"/>
    </w:rPr>
  </w:style>
  <w:style w:type="paragraph" w:styleId="1058">
    <w:name w:val="目录 8"/>
    <w:basedOn w:val="1012"/>
    <w:next w:val="1012"/>
    <w:link w:val="1012"/>
    <w:semiHidden/>
    <w:pPr>
      <w:ind w:left="1470"/>
      <w:jc w:val="left"/>
    </w:pPr>
    <w:rPr>
      <w:rFonts w:ascii="Times New Roman" w:hAnsi="Times New Roman" w:eastAsia="宋体" w:cs="Times New Roman"/>
      <w:szCs w:val="21"/>
    </w:rPr>
  </w:style>
  <w:style w:type="paragraph" w:styleId="1059">
    <w:name w:val="日期"/>
    <w:basedOn w:val="1012"/>
    <w:next w:val="1012"/>
    <w:link w:val="1060"/>
    <w:rPr>
      <w:sz w:val="24"/>
      <w:szCs w:val="24"/>
    </w:rPr>
  </w:style>
  <w:style w:type="character" w:styleId="1060">
    <w:name w:val="日期 Char"/>
    <w:next w:val="1060"/>
    <w:link w:val="1059"/>
    <w:rPr>
      <w:rFonts w:ascii="Times New Roman" w:hAnsi="Times New Roman" w:eastAsia="宋体" w:cs="Times New Roman"/>
      <w:sz w:val="24"/>
      <w:szCs w:val="24"/>
    </w:rPr>
  </w:style>
  <w:style w:type="paragraph" w:styleId="1061">
    <w:name w:val="正文文本缩进 2"/>
    <w:basedOn w:val="1012"/>
    <w:next w:val="1061"/>
    <w:link w:val="1062"/>
    <w:pPr>
      <w:ind w:left="630" w:firstLine="645"/>
    </w:pPr>
    <w:rPr>
      <w:rFonts w:ascii="Arial" w:hAnsi="Arial" w:eastAsia="仿宋_GB2312"/>
      <w:sz w:val="32"/>
      <w:szCs w:val="32"/>
    </w:rPr>
  </w:style>
  <w:style w:type="character" w:styleId="1062">
    <w:name w:val="正文文本缩进 2 Char"/>
    <w:next w:val="1062"/>
    <w:link w:val="1061"/>
    <w:rPr>
      <w:rFonts w:ascii="Arial" w:hAnsi="Arial" w:eastAsia="仿宋_GB2312" w:cs="Arial"/>
      <w:sz w:val="32"/>
      <w:szCs w:val="32"/>
    </w:rPr>
  </w:style>
  <w:style w:type="paragraph" w:styleId="1063">
    <w:name w:val="批注框文本"/>
    <w:basedOn w:val="1012"/>
    <w:next w:val="1063"/>
    <w:link w:val="1064"/>
    <w:semiHidden/>
    <w:rPr>
      <w:sz w:val="18"/>
      <w:szCs w:val="18"/>
    </w:rPr>
  </w:style>
  <w:style w:type="character" w:styleId="1064">
    <w:name w:val="批注框文本 Char"/>
    <w:next w:val="1064"/>
    <w:link w:val="1063"/>
    <w:semiHidden/>
    <w:rPr>
      <w:rFonts w:ascii="Times New Roman" w:hAnsi="Times New Roman" w:eastAsia="宋体" w:cs="Times New Roman"/>
      <w:sz w:val="18"/>
      <w:szCs w:val="18"/>
    </w:rPr>
  </w:style>
  <w:style w:type="paragraph" w:styleId="1065">
    <w:name w:val="页脚"/>
    <w:basedOn w:val="1012"/>
    <w:next w:val="1065"/>
    <w:link w:val="1066"/>
    <w:pPr>
      <w:jc w:val="left"/>
      <w:tabs>
        <w:tab w:val="center" w:pos="4153" w:leader="none"/>
        <w:tab w:val="right" w:pos="8306" w:leader="none"/>
      </w:tabs>
    </w:pPr>
    <w:rPr>
      <w:sz w:val="18"/>
      <w:szCs w:val="18"/>
    </w:rPr>
  </w:style>
  <w:style w:type="character" w:styleId="1066">
    <w:name w:val="页脚 Char"/>
    <w:next w:val="1066"/>
    <w:link w:val="1065"/>
    <w:rPr>
      <w:rFonts w:ascii="Times New Roman" w:hAnsi="Times New Roman" w:eastAsia="宋体" w:cs="Times New Roman"/>
      <w:sz w:val="18"/>
      <w:szCs w:val="18"/>
    </w:rPr>
  </w:style>
  <w:style w:type="paragraph" w:styleId="1067">
    <w:name w:val="页眉"/>
    <w:basedOn w:val="1012"/>
    <w:next w:val="1067"/>
    <w:link w:val="1068"/>
    <w:pPr>
      <w:jc w:val="center"/>
      <w:tabs>
        <w:tab w:val="center" w:pos="4153" w:leader="none"/>
        <w:tab w:val="right" w:pos="8306" w:leader="none"/>
      </w:tabs>
      <w:pBdr>
        <w:bottom w:val="single" w:color="000000" w:sz="6" w:space="1"/>
      </w:pBdr>
    </w:pPr>
    <w:rPr>
      <w:sz w:val="18"/>
      <w:szCs w:val="18"/>
    </w:rPr>
  </w:style>
  <w:style w:type="character" w:styleId="1068">
    <w:name w:val="页眉 Char"/>
    <w:next w:val="1068"/>
    <w:link w:val="1067"/>
    <w:rPr>
      <w:rFonts w:ascii="Times New Roman" w:hAnsi="Times New Roman" w:eastAsia="宋体" w:cs="Times New Roman"/>
      <w:sz w:val="18"/>
      <w:szCs w:val="18"/>
    </w:rPr>
  </w:style>
  <w:style w:type="paragraph" w:styleId="1069">
    <w:name w:val="目录 1"/>
    <w:basedOn w:val="1012"/>
    <w:next w:val="1012"/>
    <w:link w:val="101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70">
    <w:name w:val="目录 4"/>
    <w:basedOn w:val="1012"/>
    <w:next w:val="1012"/>
    <w:link w:val="1012"/>
    <w:semiHidden/>
    <w:pPr>
      <w:ind w:left="630"/>
      <w:jc w:val="left"/>
    </w:pPr>
    <w:rPr>
      <w:rFonts w:ascii="Times New Roman" w:hAnsi="Times New Roman" w:eastAsia="宋体" w:cs="Times New Roman"/>
      <w:szCs w:val="21"/>
    </w:rPr>
  </w:style>
  <w:style w:type="paragraph" w:styleId="1071">
    <w:name w:val="列表"/>
    <w:basedOn w:val="1012"/>
    <w:next w:val="1071"/>
    <w:link w:val="1012"/>
    <w:pPr>
      <w:ind w:left="200" w:hanging="200"/>
    </w:pPr>
    <w:rPr>
      <w:rFonts w:ascii="Times New Roman" w:hAnsi="Times New Roman" w:eastAsia="宋体" w:cs="Times New Roman"/>
      <w:szCs w:val="21"/>
    </w:rPr>
  </w:style>
  <w:style w:type="paragraph" w:styleId="1072">
    <w:name w:val="目录 6"/>
    <w:basedOn w:val="1012"/>
    <w:next w:val="1012"/>
    <w:link w:val="1012"/>
    <w:semiHidden/>
    <w:pPr>
      <w:ind w:left="1050"/>
      <w:jc w:val="left"/>
    </w:pPr>
    <w:rPr>
      <w:rFonts w:ascii="Times New Roman" w:hAnsi="Times New Roman" w:eastAsia="宋体" w:cs="Times New Roman"/>
      <w:szCs w:val="21"/>
    </w:rPr>
  </w:style>
  <w:style w:type="paragraph" w:styleId="1073">
    <w:name w:val="正文文本缩进 3"/>
    <w:basedOn w:val="1012"/>
    <w:next w:val="1073"/>
    <w:link w:val="1074"/>
    <w:pPr>
      <w:ind w:left="645" w:firstLine="645"/>
    </w:pPr>
    <w:rPr>
      <w:rFonts w:ascii="Arial" w:hAnsi="Arial" w:eastAsia="仿宋_GB2312"/>
      <w:color w:val="ffff00"/>
      <w:sz w:val="32"/>
      <w:szCs w:val="32"/>
    </w:rPr>
  </w:style>
  <w:style w:type="character" w:styleId="1074">
    <w:name w:val="正文文本缩进 3 Char"/>
    <w:next w:val="1074"/>
    <w:link w:val="1073"/>
    <w:rPr>
      <w:rFonts w:ascii="Arial" w:hAnsi="Arial" w:eastAsia="仿宋_GB2312" w:cs="Arial"/>
      <w:color w:val="ffff00"/>
      <w:sz w:val="32"/>
      <w:szCs w:val="32"/>
    </w:rPr>
  </w:style>
  <w:style w:type="paragraph" w:styleId="1075">
    <w:name w:val="图表目录"/>
    <w:basedOn w:val="1012"/>
    <w:next w:val="1012"/>
    <w:link w:val="1012"/>
    <w:semiHidden/>
    <w:pPr>
      <w:ind w:left="840" w:hanging="420"/>
    </w:pPr>
    <w:rPr>
      <w:rFonts w:ascii="Times New Roman" w:hAnsi="Times New Roman" w:eastAsia="宋体" w:cs="Times New Roman"/>
      <w:szCs w:val="21"/>
    </w:rPr>
  </w:style>
  <w:style w:type="paragraph" w:styleId="1076">
    <w:name w:val="目录 2"/>
    <w:basedOn w:val="1012"/>
    <w:next w:val="1012"/>
    <w:link w:val="1012"/>
    <w:semiHidden/>
    <w:pPr>
      <w:ind w:left="210"/>
      <w:jc w:val="left"/>
    </w:pPr>
    <w:rPr>
      <w:rFonts w:ascii="Times New Roman" w:hAnsi="Times New Roman" w:eastAsia="宋体" w:cs="Times New Roman"/>
      <w:smallCaps/>
      <w:szCs w:val="24"/>
    </w:rPr>
  </w:style>
  <w:style w:type="paragraph" w:styleId="1077">
    <w:name w:val="目录 9"/>
    <w:basedOn w:val="1012"/>
    <w:next w:val="1012"/>
    <w:link w:val="1012"/>
    <w:semiHidden/>
    <w:pPr>
      <w:ind w:left="1680"/>
      <w:jc w:val="left"/>
    </w:pPr>
    <w:rPr>
      <w:rFonts w:ascii="Times New Roman" w:hAnsi="Times New Roman" w:eastAsia="宋体" w:cs="Times New Roman"/>
      <w:szCs w:val="21"/>
    </w:rPr>
  </w:style>
  <w:style w:type="paragraph" w:styleId="1078">
    <w:name w:val="正文文本 2"/>
    <w:basedOn w:val="1012"/>
    <w:next w:val="1078"/>
    <w:link w:val="1079"/>
    <w:pPr>
      <w:jc w:val="center"/>
      <w:widowControl/>
    </w:pPr>
    <w:rPr>
      <w:rFonts w:ascii="楷体_GB2312" w:eastAsia="楷体_GB2312"/>
      <w:sz w:val="28"/>
      <w:szCs w:val="28"/>
    </w:rPr>
  </w:style>
  <w:style w:type="character" w:styleId="1079">
    <w:name w:val="正文文本 2 Char"/>
    <w:next w:val="1079"/>
    <w:link w:val="1078"/>
    <w:rPr>
      <w:rFonts w:ascii="楷体_GB2312" w:hAnsi="Times New Roman" w:eastAsia="楷体_GB2312" w:cs="Times New Roman"/>
      <w:sz w:val="28"/>
      <w:szCs w:val="28"/>
    </w:rPr>
  </w:style>
  <w:style w:type="paragraph" w:styleId="1080">
    <w:name w:val="普通(网站)"/>
    <w:basedOn w:val="1012"/>
    <w:next w:val="1080"/>
    <w:link w:val="1012"/>
    <w:uiPriority w:val="99"/>
    <w:pPr>
      <w:jc w:val="left"/>
      <w:spacing w:before="100" w:beforeAutospacing="1" w:after="100" w:afterAutospacing="1"/>
      <w:widowControl/>
    </w:pPr>
    <w:rPr>
      <w:rFonts w:ascii="宋体" w:hAnsi="宋体" w:eastAsia="宋体" w:cs="宋体"/>
      <w:sz w:val="24"/>
      <w:szCs w:val="24"/>
    </w:rPr>
  </w:style>
  <w:style w:type="paragraph" w:styleId="1081">
    <w:name w:val="索引 1"/>
    <w:basedOn w:val="1012"/>
    <w:next w:val="1012"/>
    <w:link w:val="1012"/>
    <w:semiHidden/>
    <w:pPr>
      <w:spacing w:line="240" w:lineRule="atLeast"/>
    </w:pPr>
    <w:rPr>
      <w:rFonts w:ascii="Times New Roman" w:hAnsi="Times New Roman" w:eastAsia="宋体" w:cs="Times New Roman"/>
      <w:b/>
      <w:bCs/>
      <w:szCs w:val="21"/>
    </w:rPr>
  </w:style>
  <w:style w:type="paragraph" w:styleId="1082">
    <w:name w:val="批注主题"/>
    <w:basedOn w:val="1040"/>
    <w:next w:val="1040"/>
    <w:link w:val="1083"/>
    <w:semiHidden/>
    <w:rPr>
      <w:b/>
      <w:bCs/>
      <w:sz w:val="20"/>
      <w:szCs w:val="21"/>
    </w:rPr>
  </w:style>
  <w:style w:type="character" w:styleId="1083">
    <w:name w:val="批注主题 Char"/>
    <w:next w:val="1083"/>
    <w:link w:val="1082"/>
    <w:semiHidden/>
    <w:rPr>
      <w:rFonts w:ascii="Times New Roman" w:hAnsi="Times New Roman" w:eastAsia="宋体" w:cs="Times New Roman"/>
      <w:b/>
      <w:bCs/>
      <w:szCs w:val="21"/>
    </w:rPr>
  </w:style>
  <w:style w:type="paragraph" w:styleId="1084">
    <w:name w:val="正文首行缩进"/>
    <w:basedOn w:val="1012"/>
    <w:next w:val="1084"/>
    <w:link w:val="1085"/>
    <w:pPr>
      <w:ind w:firstLine="200"/>
      <w:spacing w:line="360" w:lineRule="auto"/>
    </w:pPr>
    <w:rPr>
      <w:rFonts w:ascii="仿宋_GB2312" w:eastAsia="仿宋_GB2312"/>
      <w:sz w:val="30"/>
      <w:szCs w:val="30"/>
    </w:rPr>
  </w:style>
  <w:style w:type="character" w:styleId="1085">
    <w:name w:val="正文首行缩进 Char"/>
    <w:next w:val="1085"/>
    <w:link w:val="1084"/>
    <w:rPr>
      <w:rFonts w:ascii="仿宋_GB2312" w:hAnsi="Times New Roman" w:eastAsia="仿宋_GB2312" w:cs="Times New Roman"/>
      <w:sz w:val="30"/>
      <w:szCs w:val="30"/>
    </w:rPr>
  </w:style>
  <w:style w:type="paragraph" w:styleId="1086">
    <w:name w:val="正文首行缩进 2"/>
    <w:basedOn w:val="1049"/>
    <w:next w:val="1012"/>
    <w:link w:val="1087"/>
    <w:pPr>
      <w:ind w:left="0" w:firstLine="420"/>
      <w:spacing w:after="0" w:line="360" w:lineRule="auto"/>
    </w:pPr>
    <w:rPr>
      <w:rFonts w:ascii="宋体" w:hAnsi="宋体"/>
      <w:sz w:val="20"/>
      <w:szCs w:val="20"/>
    </w:rPr>
  </w:style>
  <w:style w:type="character" w:styleId="1087">
    <w:name w:val="正文首行缩进 2 Char"/>
    <w:next w:val="1087"/>
    <w:link w:val="1086"/>
    <w:rPr>
      <w:rFonts w:ascii="宋体" w:hAnsi="宋体" w:eastAsia="宋体" w:cs="Times New Roman"/>
      <w:szCs w:val="20"/>
    </w:rPr>
  </w:style>
  <w:style w:type="table" w:styleId="1088">
    <w:name w:val="网格型"/>
    <w:basedOn w:val="1023"/>
    <w:next w:val="1088"/>
    <w:link w:val="1012"/>
    <w:pPr>
      <w:jc w:val="both"/>
      <w:widowControl w:val="off"/>
    </w:pPr>
    <w:rPr>
      <w:rFonts w:ascii="Times New Roman" w:hAnsi="Times New Roman" w:eastAsia="宋体" w:cs="Times New Roman"/>
      <w:sz w:val="20"/>
      <w:szCs w:val="20"/>
    </w:rPr>
    <w:tblPr/>
  </w:style>
  <w:style w:type="character" w:styleId="1089">
    <w:name w:val="要点"/>
    <w:next w:val="1089"/>
    <w:link w:val="1012"/>
    <w:qFormat/>
    <w:rPr>
      <w:b/>
      <w:bCs/>
    </w:rPr>
  </w:style>
  <w:style w:type="character" w:styleId="1090">
    <w:name w:val="页码"/>
    <w:next w:val="1090"/>
    <w:link w:val="1012"/>
  </w:style>
  <w:style w:type="character" w:styleId="1091">
    <w:name w:val="已访问的超链接"/>
    <w:next w:val="1091"/>
    <w:link w:val="1012"/>
    <w:rPr>
      <w:color w:val="800080"/>
      <w:u w:val="single"/>
    </w:rPr>
  </w:style>
  <w:style w:type="character" w:styleId="1092">
    <w:name w:val="超链接"/>
    <w:next w:val="1092"/>
    <w:link w:val="1012"/>
    <w:rPr>
      <w:color w:val="0000ff"/>
      <w:u w:val="single"/>
    </w:rPr>
  </w:style>
  <w:style w:type="character" w:styleId="1093">
    <w:name w:val="批注引用"/>
    <w:next w:val="1093"/>
    <w:link w:val="1012"/>
    <w:semiHidden/>
    <w:rPr>
      <w:sz w:val="21"/>
      <w:szCs w:val="21"/>
    </w:rPr>
  </w:style>
  <w:style w:type="character" w:styleId="1094">
    <w:name w:val="font31"/>
    <w:next w:val="1094"/>
    <w:link w:val="1012"/>
    <w:rPr>
      <w:rFonts w:hint="eastAsia" w:ascii="宋体" w:hAnsi="宋体" w:eastAsia="宋体" w:cs="宋体"/>
      <w:b/>
      <w:i w:val="0"/>
      <w:color w:val="000000"/>
      <w:sz w:val="22"/>
      <w:szCs w:val="22"/>
      <w:u w:val="none"/>
    </w:rPr>
  </w:style>
  <w:style w:type="character" w:styleId="1095">
    <w:name w:val="font121"/>
    <w:next w:val="1095"/>
    <w:link w:val="1012"/>
    <w:rPr>
      <w:rFonts w:ascii="Times New Roman" w:hAnsi="Times New Roman" w:cs="Times New Roman"/>
      <w:b/>
      <w:i w:val="0"/>
      <w:color w:val="000000"/>
      <w:sz w:val="24"/>
      <w:szCs w:val="24"/>
      <w:u w:val="none"/>
    </w:rPr>
  </w:style>
  <w:style w:type="character" w:styleId="1096">
    <w:name w:val="font161"/>
    <w:next w:val="1096"/>
    <w:link w:val="1012"/>
    <w:rPr>
      <w:rFonts w:ascii="Times New Roman" w:hAnsi="Times New Roman" w:cs="Times New Roman"/>
      <w:b/>
      <w:i w:val="0"/>
      <w:color w:val="000000"/>
      <w:sz w:val="22"/>
      <w:szCs w:val="22"/>
      <w:u w:val="none"/>
    </w:rPr>
  </w:style>
  <w:style w:type="character" w:styleId="1097">
    <w:name w:val="font5 Char"/>
    <w:next w:val="1097"/>
    <w:link w:val="1012"/>
    <w:rPr>
      <w:rFonts w:ascii="宋体" w:hAnsi="宋体" w:eastAsia="宋体"/>
      <w:sz w:val="28"/>
      <w:szCs w:val="28"/>
      <w:lang w:val="en-US" w:eastAsia="zh-CN" w:bidi="ar-SA"/>
    </w:rPr>
  </w:style>
  <w:style w:type="character" w:styleId="1098">
    <w:name w:val="font41"/>
    <w:next w:val="1098"/>
    <w:link w:val="1012"/>
    <w:rPr>
      <w:rFonts w:hint="eastAsia" w:ascii="宋体" w:hAnsi="宋体" w:eastAsia="宋体" w:cs="宋体"/>
      <w:b/>
      <w:i w:val="0"/>
      <w:color w:val="000000"/>
      <w:sz w:val="24"/>
      <w:szCs w:val="24"/>
      <w:u w:val="none"/>
    </w:rPr>
  </w:style>
  <w:style w:type="character" w:styleId="1099">
    <w:name w:val="font101"/>
    <w:next w:val="1099"/>
    <w:link w:val="1012"/>
    <w:rPr>
      <w:rFonts w:ascii="微软雅黑" w:hAnsi="微软雅黑" w:eastAsia="微软雅黑" w:cs="微软雅黑"/>
      <w:i w:val="0"/>
      <w:color w:val="000000"/>
      <w:sz w:val="22"/>
      <w:szCs w:val="22"/>
      <w:u w:val="none"/>
    </w:rPr>
  </w:style>
  <w:style w:type="character" w:styleId="1100">
    <w:name w:val="font51"/>
    <w:basedOn w:val="1022"/>
    <w:next w:val="1100"/>
    <w:link w:val="1012"/>
    <w:rPr>
      <w:rFonts w:ascii="Times New Roman" w:hAnsi="Times New Roman" w:cs="Times New Roman"/>
      <w:i w:val="0"/>
      <w:color w:val="000000"/>
      <w:sz w:val="20"/>
      <w:szCs w:val="20"/>
      <w:u w:val="none"/>
    </w:rPr>
  </w:style>
  <w:style w:type="character" w:styleId="1101">
    <w:name w:val="font91"/>
    <w:next w:val="1101"/>
    <w:link w:val="1012"/>
    <w:rPr>
      <w:rFonts w:hint="eastAsia" w:ascii="宋体" w:hAnsi="宋体" w:eastAsia="宋体" w:cs="宋体"/>
      <w:i w:val="0"/>
      <w:color w:val="000000"/>
      <w:sz w:val="22"/>
      <w:szCs w:val="22"/>
      <w:u w:val="none"/>
    </w:rPr>
  </w:style>
  <w:style w:type="character" w:styleId="1102">
    <w:name w:val="二级目录 Char"/>
    <w:next w:val="1102"/>
    <w:link w:val="1103"/>
    <w:rPr>
      <w:b/>
      <w:sz w:val="30"/>
      <w:szCs w:val="28"/>
      <w:lang w:val="en-US" w:eastAsia="zh-CN" w:bidi="ar-SA"/>
    </w:rPr>
  </w:style>
  <w:style w:type="paragraph" w:styleId="1103">
    <w:name w:val="二级目录"/>
    <w:next w:val="1012"/>
    <w:link w:val="1102"/>
    <w:pPr>
      <w:numPr>
        <w:ilvl w:val="0"/>
        <w:numId w:val="2"/>
      </w:numPr>
      <w:tabs>
        <w:tab w:val="left" w:pos="907" w:leader="none"/>
        <w:tab w:val="left" w:pos="1145" w:leader="none"/>
      </w:tabs>
      <w:outlineLvl w:val="1"/>
    </w:pPr>
    <w:rPr>
      <w:b/>
      <w:sz w:val="30"/>
      <w:szCs w:val="28"/>
      <w:lang w:val="en-US" w:eastAsia="zh-CN" w:bidi="ar-SA"/>
    </w:rPr>
  </w:style>
  <w:style w:type="character" w:styleId="1104">
    <w:name w:val="font12"/>
    <w:basedOn w:val="1022"/>
    <w:next w:val="1104"/>
    <w:link w:val="1012"/>
    <w:rPr>
      <w:rFonts w:ascii="Times New Roman" w:hAnsi="Times New Roman" w:cs="Times New Roman"/>
      <w:i w:val="0"/>
      <w:color w:val="000000"/>
      <w:sz w:val="20"/>
      <w:szCs w:val="20"/>
      <w:u w:val="none"/>
      <w:vertAlign w:val="superscript"/>
    </w:rPr>
  </w:style>
  <w:style w:type="character" w:styleId="1105">
    <w:name w:val="font71"/>
    <w:next w:val="1105"/>
    <w:link w:val="1012"/>
    <w:rPr>
      <w:rFonts w:hint="eastAsia" w:ascii="宋体" w:hAnsi="宋体" w:eastAsia="宋体" w:cs="宋体"/>
      <w:b/>
      <w:i w:val="0"/>
      <w:color w:val="000000"/>
      <w:sz w:val="24"/>
      <w:szCs w:val="24"/>
      <w:u w:val="none"/>
    </w:rPr>
  </w:style>
  <w:style w:type="character" w:styleId="1106">
    <w:name w:val="font13"/>
    <w:next w:val="1106"/>
    <w:link w:val="1012"/>
    <w:rPr>
      <w:rFonts w:hint="eastAsia" w:ascii="宋体" w:hAnsi="宋体" w:eastAsia="宋体" w:cs="宋体"/>
      <w:b/>
      <w:i w:val="0"/>
      <w:color w:val="000000"/>
      <w:sz w:val="24"/>
      <w:szCs w:val="24"/>
      <w:u w:val="none"/>
    </w:rPr>
  </w:style>
  <w:style w:type="character" w:styleId="1107">
    <w:name w:val="font81"/>
    <w:next w:val="1107"/>
    <w:link w:val="1012"/>
    <w:rPr>
      <w:rFonts w:hint="eastAsia" w:ascii="宋体" w:hAnsi="宋体" w:eastAsia="宋体" w:cs="宋体"/>
      <w:i w:val="0"/>
      <w:color w:val="000000"/>
      <w:sz w:val="22"/>
      <w:szCs w:val="22"/>
      <w:u w:val="none"/>
    </w:rPr>
  </w:style>
  <w:style w:type="character" w:styleId="1108">
    <w:name w:val="列出段落 Char,Bullet List Char,numbered Char,FooterText Char,List Paragraph1 Char,Paragraphe de liste1 Char"/>
    <w:next w:val="1108"/>
    <w:link w:val="1109"/>
    <w:rPr>
      <w:rFonts w:ascii="Calibri" w:hAnsi="Calibri"/>
      <w:sz w:val="24"/>
      <w:szCs w:val="24"/>
      <w:lang w:eastAsia="en-US" w:bidi="en-US"/>
    </w:rPr>
  </w:style>
  <w:style w:type="paragraph" w:styleId="1109">
    <w:name w:val="列出段落1"/>
    <w:basedOn w:val="1012"/>
    <w:next w:val="1109"/>
    <w:link w:val="1108"/>
    <w:qFormat/>
    <w:pPr>
      <w:contextualSpacing/>
      <w:ind w:left="720"/>
      <w:jc w:val="left"/>
      <w:widowControl/>
    </w:pPr>
    <w:rPr>
      <w:rFonts w:ascii="Calibri" w:hAnsi="Calibri"/>
      <w:sz w:val="24"/>
      <w:szCs w:val="24"/>
      <w:lang w:eastAsia="en-US" w:bidi="en-US"/>
    </w:rPr>
  </w:style>
  <w:style w:type="character" w:styleId="1110">
    <w:name w:val="font61"/>
    <w:next w:val="1110"/>
    <w:link w:val="1012"/>
    <w:rPr>
      <w:rFonts w:hint="eastAsia" w:ascii="宋体" w:hAnsi="宋体" w:eastAsia="宋体" w:cs="宋体"/>
      <w:i w:val="0"/>
      <w:color w:val="000000"/>
      <w:sz w:val="22"/>
      <w:szCs w:val="22"/>
      <w:u w:val="none"/>
    </w:rPr>
  </w:style>
  <w:style w:type="character" w:styleId="1111">
    <w:name w:val="font11"/>
    <w:next w:val="1111"/>
    <w:link w:val="1012"/>
    <w:rPr>
      <w:rFonts w:ascii="Times New Roman" w:hAnsi="Times New Roman" w:cs="Times New Roman"/>
      <w:i w:val="0"/>
      <w:color w:val="000000"/>
      <w:sz w:val="22"/>
      <w:szCs w:val="22"/>
      <w:u w:val="none"/>
    </w:rPr>
  </w:style>
  <w:style w:type="character" w:styleId="1112">
    <w:name w:val="font132"/>
    <w:next w:val="1112"/>
    <w:link w:val="1012"/>
    <w:rPr>
      <w:rFonts w:ascii="Times New Roman" w:hAnsi="Times New Roman" w:cs="Times New Roman"/>
      <w:i w:val="0"/>
      <w:color w:val="000000"/>
      <w:sz w:val="22"/>
      <w:szCs w:val="22"/>
      <w:u w:val="none"/>
    </w:rPr>
  </w:style>
  <w:style w:type="character" w:styleId="1113">
    <w:name w:val="font21"/>
    <w:next w:val="1113"/>
    <w:link w:val="1012"/>
    <w:rPr>
      <w:rFonts w:ascii="Times New Roman" w:hAnsi="Times New Roman" w:cs="Times New Roman"/>
      <w:b/>
      <w:i w:val="0"/>
      <w:color w:val="000000"/>
      <w:sz w:val="22"/>
      <w:szCs w:val="22"/>
      <w:u w:val="none"/>
    </w:rPr>
  </w:style>
  <w:style w:type="paragraph" w:styleId="1114">
    <w:name w:val="正文文本缩进1"/>
    <w:basedOn w:val="1012"/>
    <w:next w:val="1115"/>
    <w:link w:val="1012"/>
    <w:unhideWhenUsed/>
    <w:qFormat/>
    <w:pPr>
      <w:ind w:left="420"/>
      <w:spacing w:after="120"/>
    </w:pPr>
  </w:style>
  <w:style w:type="paragraph" w:styleId="1115">
    <w:name w:val="正文文本首行缩进 2"/>
    <w:basedOn w:val="1114"/>
    <w:next w:val="1115"/>
    <w:link w:val="1012"/>
    <w:qFormat/>
    <w:pPr>
      <w:ind w:left="0" w:firstLine="420"/>
      <w:spacing w:after="0" w:line="360" w:lineRule="auto"/>
    </w:pPr>
    <w:rPr>
      <w:rFonts w:ascii="宋体" w:hAnsi="宋体"/>
      <w:sz w:val="20"/>
      <w:szCs w:val="20"/>
      <w:lang w:val="en-US" w:eastAsia="en-US"/>
    </w:rPr>
  </w:style>
  <w:style w:type="paragraph" w:styleId="1116">
    <w:name w:val="Blockquote"/>
    <w:basedOn w:val="1012"/>
    <w:next w:val="1116"/>
    <w:link w:val="1012"/>
    <w:qFormat/>
    <w:pPr>
      <w:ind w:left="360" w:right="360"/>
      <w:jc w:val="left"/>
      <w:spacing w:before="100" w:after="100"/>
    </w:pPr>
    <w:rPr>
      <w:sz w:val="24"/>
    </w:rPr>
  </w:style>
  <w:style w:type="paragraph" w:styleId="1117">
    <w:name w:val="xl26"/>
    <w:basedOn w:val="1012"/>
    <w:next w:val="1117"/>
    <w:link w:val="10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18">
    <w:name w:val="列出段落"/>
    <w:basedOn w:val="1012"/>
    <w:next w:val="1118"/>
    <w:link w:val="1012"/>
    <w:qFormat/>
    <w:pPr>
      <w:contextualSpacing/>
      <w:ind w:left="720"/>
      <w:jc w:val="left"/>
      <w:widowControl/>
    </w:pPr>
    <w:rPr>
      <w:rFonts w:ascii="Calibri" w:hAnsi="Calibri" w:eastAsia="宋体" w:cs="Times New Roman"/>
      <w:sz w:val="24"/>
      <w:szCs w:val="24"/>
      <w:lang w:eastAsia="en-US" w:bidi="en-US"/>
    </w:rPr>
  </w:style>
  <w:style w:type="paragraph" w:styleId="1119">
    <w:name w:val="其他"/>
    <w:basedOn w:val="1012"/>
    <w:next w:val="1119"/>
    <w:link w:val="1012"/>
    <w:qFormat/>
    <w:pPr>
      <w:spacing w:line="623" w:lineRule="exact"/>
      <w:shd w:val="clear" w:color="auto" w:fill="ffffff"/>
    </w:pPr>
    <w:rPr>
      <w:rFonts w:ascii="宋体" w:hAnsi="宋体" w:eastAsia="宋体" w:cs="宋体"/>
      <w:sz w:val="28"/>
      <w:szCs w:val="28"/>
      <w:lang w:val="zh-CN" w:eastAsia="zh-CN" w:bidi="zh-CN"/>
    </w:rPr>
  </w:style>
  <w:style w:type="paragraph" w:styleId="1120">
    <w:name w:val="修订"/>
    <w:next w:val="1120"/>
    <w:link w:val="1012"/>
    <w:uiPriority w:val="99"/>
    <w:semiHidden/>
    <w:rPr>
      <w:sz w:val="21"/>
      <w:szCs w:val="21"/>
      <w:lang w:val="en-US" w:eastAsia="zh-CN" w:bidi="ar-SA"/>
    </w:rPr>
  </w:style>
  <w:style w:type="paragraph" w:styleId="1121">
    <w:name w:val="table_lines"/>
    <w:basedOn w:val="1012"/>
    <w:next w:val="1121"/>
    <w:link w:val="1012"/>
    <w:pPr>
      <w:jc w:val="left"/>
      <w:widowControl/>
    </w:pPr>
    <w:rPr>
      <w:rFonts w:ascii="Times New Roman" w:hAnsi="Times New Roman" w:eastAsia="宋体" w:cs="Times New Roman"/>
      <w:sz w:val="20"/>
      <w:szCs w:val="20"/>
      <w:lang w:val="de-DE" w:eastAsia="de-DE"/>
    </w:rPr>
  </w:style>
  <w:style w:type="paragraph" w:styleId="1122">
    <w:name w:val="标题 #1"/>
    <w:basedOn w:val="1012"/>
    <w:next w:val="1122"/>
    <w:link w:val="1012"/>
    <w:qFormat/>
    <w:pPr>
      <w:jc w:val="center"/>
      <w:spacing w:after="160"/>
      <w:shd w:val="clear" w:color="auto" w:fill="ffffff"/>
      <w:outlineLvl w:val="0"/>
    </w:pPr>
    <w:rPr>
      <w:rFonts w:ascii="MingLiU" w:hAnsi="MingLiU" w:eastAsia="MingLiU" w:cs="MingLiU"/>
      <w:b/>
      <w:bCs/>
      <w:sz w:val="44"/>
      <w:szCs w:val="44"/>
      <w:lang w:val="zh-CN" w:eastAsia="zh-CN" w:bidi="zh-CN"/>
    </w:rPr>
  </w:style>
  <w:style w:type="paragraph" w:styleId="1123">
    <w:name w:val="正文文本 (4)"/>
    <w:basedOn w:val="1012"/>
    <w:next w:val="1123"/>
    <w:link w:val="1012"/>
    <w:qFormat/>
    <w:pPr>
      <w:spacing w:after="220"/>
      <w:shd w:val="clear" w:color="auto" w:fill="ffffff"/>
    </w:pPr>
    <w:rPr>
      <w:rFonts w:ascii="宋体" w:hAnsi="宋体" w:eastAsia="宋体" w:cs="宋体"/>
      <w:sz w:val="20"/>
      <w:szCs w:val="20"/>
      <w:lang w:val="zh-CN" w:eastAsia="zh-CN" w:bidi="zh-CN"/>
    </w:rPr>
  </w:style>
  <w:style w:type="paragraph" w:styleId="1124">
    <w:name w:val="table_1stline"/>
    <w:basedOn w:val="1012"/>
    <w:next w:val="1124"/>
    <w:link w:val="1012"/>
    <w:pPr>
      <w:jc w:val="left"/>
      <w:spacing w:before="120"/>
      <w:widowControl/>
    </w:pPr>
    <w:rPr>
      <w:rFonts w:ascii="Times New Roman" w:hAnsi="Times New Roman" w:eastAsia="宋体" w:cs="Times New Roman"/>
      <w:bCs/>
      <w:sz w:val="20"/>
      <w:szCs w:val="20"/>
      <w:lang w:val="de-DE" w:eastAsia="de-DE"/>
    </w:rPr>
  </w:style>
  <w:style w:type="paragraph" w:styleId="1125">
    <w:name w:val="font6"/>
    <w:basedOn w:val="1012"/>
    <w:next w:val="1125"/>
    <w:link w:val="1012"/>
    <w:pPr>
      <w:jc w:val="left"/>
      <w:spacing w:before="100" w:beforeAutospacing="1" w:after="100" w:afterAutospacing="1"/>
      <w:widowControl/>
    </w:pPr>
    <w:rPr>
      <w:rFonts w:hint="eastAsia" w:ascii="宋体" w:hAnsi="宋体" w:eastAsia="宋体" w:cs="Times New Roman"/>
      <w:sz w:val="28"/>
      <w:szCs w:val="28"/>
      <w:u w:val="single"/>
    </w:rPr>
  </w:style>
  <w:style w:type="paragraph" w:styleId="1126">
    <w:name w:val="标题1"/>
    <w:basedOn w:val="1012"/>
    <w:next w:val="1012"/>
    <w:link w:val="101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27">
    <w:name w:val="xl27"/>
    <w:basedOn w:val="1012"/>
    <w:next w:val="1127"/>
    <w:link w:val="10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8">
    <w:name w:val="4"/>
    <w:basedOn w:val="1012"/>
    <w:next w:val="1073"/>
    <w:link w:val="1012"/>
    <w:pPr>
      <w:ind w:firstLine="420"/>
      <w:spacing w:line="360" w:lineRule="auto"/>
    </w:pPr>
    <w:rPr>
      <w:rFonts w:ascii="Times New Roman" w:hAnsi="Times New Roman" w:eastAsia="宋体" w:cs="Times New Roman"/>
      <w:color w:val="ff0000"/>
      <w:sz w:val="24"/>
      <w:szCs w:val="24"/>
    </w:rPr>
  </w:style>
  <w:style w:type="paragraph" w:styleId="1129">
    <w:name w:val="无间隔"/>
    <w:next w:val="1129"/>
    <w:link w:val="1012"/>
    <w:uiPriority w:val="99"/>
    <w:qFormat/>
    <w:pPr>
      <w:jc w:val="both"/>
      <w:widowControl w:val="off"/>
    </w:pPr>
    <w:rPr>
      <w:sz w:val="21"/>
      <w:szCs w:val="21"/>
      <w:lang w:val="en-US" w:eastAsia="zh-CN" w:bidi="ar-SA"/>
    </w:rPr>
  </w:style>
  <w:style w:type="paragraph" w:styleId="1130">
    <w:name w:val="xl25"/>
    <w:basedOn w:val="1012"/>
    <w:next w:val="1130"/>
    <w:link w:val="101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1">
    <w:name w:val="普通 (Web)"/>
    <w:basedOn w:val="1012"/>
    <w:next w:val="1131"/>
    <w:link w:val="1012"/>
    <w:pPr>
      <w:jc w:val="left"/>
      <w:spacing w:before="100" w:beforeAutospacing="1" w:after="100" w:afterAutospacing="1"/>
      <w:widowControl/>
    </w:pPr>
    <w:rPr>
      <w:rFonts w:ascii="宋体" w:hAnsi="宋体" w:eastAsia="宋体" w:cs="Times New Roman"/>
      <w:sz w:val="24"/>
      <w:szCs w:val="24"/>
    </w:rPr>
  </w:style>
  <w:style w:type="paragraph" w:styleId="1132">
    <w:name w:val=" Char Char Char Char"/>
    <w:basedOn w:val="1038"/>
    <w:next w:val="1132"/>
    <w:link w:val="1012"/>
    <w:pPr>
      <w:spacing w:line="360" w:lineRule="auto"/>
    </w:pPr>
    <w:rPr>
      <w:rFonts w:ascii="Tahoma" w:hAnsi="Tahoma"/>
      <w:sz w:val="24"/>
      <w:szCs w:val="24"/>
    </w:rPr>
  </w:style>
  <w:style w:type="paragraph" w:styleId="1133">
    <w:name w:val="纯文本1"/>
    <w:basedOn w:val="1012"/>
    <w:next w:val="1133"/>
    <w:link w:val="1012"/>
    <w:qFormat/>
    <w:rPr>
      <w:rFonts w:ascii="宋体" w:hAnsi="Courier New" w:cs="Courier New"/>
    </w:rPr>
  </w:style>
  <w:style w:type="paragraph" w:styleId="1134">
    <w:name w:val="样式1"/>
    <w:basedOn w:val="1012"/>
    <w:next w:val="1134"/>
    <w:link w:val="1012"/>
    <w:pPr>
      <w:numPr>
        <w:ilvl w:val="0"/>
        <w:numId w:val="3"/>
      </w:numPr>
      <w:tabs>
        <w:tab w:val="left" w:pos="709" w:leader="none"/>
      </w:tabs>
    </w:pPr>
    <w:rPr>
      <w:rFonts w:ascii="宋体" w:hAnsi="宋体" w:eastAsia="宋体" w:cs="Times New Roman"/>
      <w:szCs w:val="21"/>
    </w:rPr>
  </w:style>
  <w:style w:type="paragraph" w:styleId="1135">
    <w:name w:val="Char Char Char Char Char Char Char Char"/>
    <w:basedOn w:val="1012"/>
    <w:next w:val="1135"/>
    <w:link w:val="1012"/>
    <w:pPr>
      <w:jc w:val="left"/>
      <w:spacing w:after="160" w:line="240" w:lineRule="exact"/>
      <w:widowControl/>
    </w:pPr>
    <w:rPr>
      <w:rFonts w:ascii="Verdana" w:hAnsi="Verdana" w:eastAsia="宋体" w:cs="Times New Roman"/>
      <w:sz w:val="20"/>
      <w:szCs w:val="20"/>
      <w:lang w:eastAsia="en-US"/>
    </w:rPr>
  </w:style>
  <w:style w:type="paragraph" w:styleId="1136">
    <w:name w:val="标题3"/>
    <w:basedOn w:val="1012"/>
    <w:next w:val="1012"/>
    <w:link w:val="1012"/>
    <w:pPr>
      <w:ind w:firstLine="624"/>
      <w:spacing w:line="590" w:lineRule="atLeast"/>
    </w:pPr>
    <w:rPr>
      <w:rFonts w:ascii="方正黑体_GBK" w:hAnsi="Times New Roman" w:eastAsia="方正黑体_GBK" w:cs="Times New Roman"/>
      <w:sz w:val="32"/>
      <w:szCs w:val="32"/>
    </w:rPr>
  </w:style>
  <w:style w:type="paragraph" w:styleId="1137">
    <w:name w:val="Body Text(ch)"/>
    <w:basedOn w:val="1012"/>
    <w:next w:val="1044"/>
    <w:link w:val="1012"/>
    <w:pPr>
      <w:spacing w:after="120"/>
    </w:pPr>
    <w:rPr>
      <w:rFonts w:ascii="宋体" w:hAnsi="Arial" w:eastAsia="宋体" w:cs="Times New Roman"/>
      <w:bCs/>
      <w:iCs/>
      <w:szCs w:val="24"/>
    </w:rPr>
  </w:style>
  <w:style w:type="paragraph" w:styleId="1138">
    <w:name w:val="正文文本12"/>
    <w:basedOn w:val="1012"/>
    <w:next w:val="1138"/>
    <w:link w:val="1012"/>
    <w:uiPriority w:val="1"/>
    <w:qFormat/>
    <w:pPr>
      <w:ind w:left="120"/>
    </w:pPr>
    <w:rPr>
      <w:rFonts w:ascii="宋体" w:hAnsi="宋体" w:eastAsia="宋体" w:cs="宋体"/>
      <w:sz w:val="21"/>
      <w:szCs w:val="21"/>
      <w:lang w:val="zh-CN" w:eastAsia="zh-CN" w:bidi="zh-CN"/>
    </w:rPr>
  </w:style>
  <w:style w:type="paragraph" w:styleId="1139">
    <w:name w:val="标题 #6"/>
    <w:basedOn w:val="1012"/>
    <w:next w:val="1139"/>
    <w:link w:val="1012"/>
    <w:qFormat/>
    <w:pPr>
      <w:ind w:firstLine="440"/>
      <w:spacing w:line="408" w:lineRule="exact"/>
      <w:shd w:val="clear" w:color="auto" w:fill="ffffff"/>
      <w:outlineLvl w:val="5"/>
    </w:pPr>
    <w:rPr>
      <w:rFonts w:ascii="黑体" w:hAnsi="黑体" w:eastAsia="黑体" w:cs="黑体"/>
      <w:b/>
      <w:bCs/>
      <w:sz w:val="20"/>
      <w:szCs w:val="20"/>
      <w:lang w:val="zh-CN" w:eastAsia="zh-CN" w:bidi="zh-CN"/>
    </w:rPr>
  </w:style>
  <w:style w:type="paragraph" w:styleId="1140">
    <w:name w:val="xl29"/>
    <w:basedOn w:val="1012"/>
    <w:next w:val="1140"/>
    <w:link w:val="101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41">
    <w:name w:val="附录1"/>
    <w:next w:val="1141"/>
    <w:link w:val="1012"/>
    <w:pPr>
      <w:numPr>
        <w:ilvl w:val="0"/>
        <w:numId w:val="2"/>
      </w:numPr>
      <w:spacing w:before="240" w:line="600" w:lineRule="atLeast"/>
      <w:tabs>
        <w:tab w:val="left" w:pos="907" w:leader="none"/>
      </w:tabs>
    </w:pPr>
    <w:rPr>
      <w:b/>
      <w:i/>
      <w:sz w:val="28"/>
      <w:lang w:val="en-US" w:eastAsia="zh-CN" w:bidi="ar-SA"/>
    </w:rPr>
  </w:style>
  <w:style w:type="paragraph" w:styleId="1142">
    <w:name w:val="标题 41"/>
    <w:basedOn w:val="1012"/>
    <w:next w:val="1012"/>
    <w:link w:val="1012"/>
    <w:qFormat/>
    <w:pPr>
      <w:keepLines/>
      <w:keepNext/>
      <w:spacing w:before="120" w:after="120"/>
      <w:outlineLvl w:val="3"/>
    </w:pPr>
    <w:rPr>
      <w:rFonts w:ascii="Arial" w:hAnsi="Arial" w:eastAsia="黑体"/>
      <w:b/>
      <w:sz w:val="28"/>
    </w:rPr>
  </w:style>
  <w:style w:type="paragraph" w:styleId="1143">
    <w:name w:val="图标"/>
    <w:basedOn w:val="1012"/>
    <w:next w:val="1012"/>
    <w:link w:val="101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44">
    <w:name w:val=" Char"/>
    <w:basedOn w:val="1038"/>
    <w:next w:val="1144"/>
    <w:link w:val="1012"/>
    <w:rPr>
      <w:rFonts w:ascii="Tahoma" w:hAnsi="Tahoma"/>
      <w:sz w:val="24"/>
      <w:szCs w:val="24"/>
    </w:rPr>
  </w:style>
  <w:style w:type="paragraph" w:styleId="1145">
    <w:name w:val="正文文本 (9)"/>
    <w:basedOn w:val="1012"/>
    <w:next w:val="1145"/>
    <w:link w:val="1012"/>
    <w:qFormat/>
    <w:pPr>
      <w:ind w:firstLine="440"/>
      <w:spacing w:line="409" w:lineRule="exact"/>
      <w:shd w:val="clear" w:color="auto" w:fill="ffffff"/>
    </w:pPr>
    <w:rPr>
      <w:rFonts w:ascii="黑体" w:hAnsi="黑体" w:eastAsia="黑体" w:cs="黑体"/>
      <w:b/>
      <w:bCs/>
      <w:sz w:val="20"/>
      <w:szCs w:val="20"/>
      <w:lang w:val="zh-CN" w:eastAsia="zh-CN" w:bidi="zh-CN"/>
    </w:rPr>
  </w:style>
  <w:style w:type="paragraph" w:styleId="1146">
    <w:name w:val="Char"/>
    <w:basedOn w:val="1012"/>
    <w:next w:val="1146"/>
    <w:link w:val="1012"/>
    <w:pPr>
      <w:ind w:firstLine="200"/>
      <w:tabs>
        <w:tab w:val="left" w:pos="360" w:leader="none"/>
      </w:tabs>
    </w:pPr>
    <w:rPr>
      <w:rFonts w:ascii="Times New Roman" w:hAnsi="Times New Roman" w:eastAsia="宋体" w:cs="Times New Roman"/>
      <w:sz w:val="28"/>
      <w:szCs w:val="30"/>
    </w:rPr>
  </w:style>
  <w:style w:type="paragraph" w:styleId="1147">
    <w:name w:val="xl28"/>
    <w:basedOn w:val="1012"/>
    <w:next w:val="1147"/>
    <w:link w:val="101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48">
    <w:name w:val=" Char Char Char Char Char Char Char Char"/>
    <w:basedOn w:val="1012"/>
    <w:next w:val="1148"/>
    <w:link w:val="1012"/>
    <w:pPr>
      <w:jc w:val="left"/>
      <w:spacing w:after="160" w:line="240" w:lineRule="exact"/>
      <w:widowControl/>
    </w:pPr>
    <w:rPr>
      <w:rFonts w:ascii="Verdana" w:hAnsi="Verdana" w:eastAsia="宋体" w:cs="Times New Roman"/>
      <w:sz w:val="20"/>
      <w:szCs w:val="20"/>
      <w:lang w:eastAsia="en-US"/>
    </w:rPr>
  </w:style>
  <w:style w:type="paragraph" w:styleId="1149">
    <w:name w:val="font7"/>
    <w:basedOn w:val="1012"/>
    <w:next w:val="1149"/>
    <w:link w:val="1012"/>
    <w:pPr>
      <w:jc w:val="left"/>
      <w:spacing w:before="100" w:beforeAutospacing="1" w:after="100" w:afterAutospacing="1"/>
      <w:widowControl/>
    </w:pPr>
    <w:rPr>
      <w:rFonts w:hint="eastAsia" w:ascii="宋体" w:hAnsi="宋体" w:eastAsia="宋体" w:cs="Times New Roman"/>
      <w:sz w:val="18"/>
      <w:szCs w:val="18"/>
    </w:rPr>
  </w:style>
  <w:style w:type="paragraph" w:styleId="1150">
    <w:name w:val="正文文本 (2)"/>
    <w:basedOn w:val="1012"/>
    <w:next w:val="1150"/>
    <w:link w:val="1012"/>
    <w:qFormat/>
    <w:pPr>
      <w:spacing w:line="469" w:lineRule="exact"/>
      <w:shd w:val="clear" w:color="auto" w:fill="ffffff"/>
    </w:pPr>
    <w:rPr>
      <w:rFonts w:ascii="宋体" w:hAnsi="宋体" w:eastAsia="宋体" w:cs="宋体"/>
      <w:lang w:val="zh-CN" w:eastAsia="zh-CN" w:bidi="zh-CN"/>
    </w:rPr>
  </w:style>
  <w:style w:type="paragraph" w:styleId="1151">
    <w:name w:val="正文文本1"/>
    <w:basedOn w:val="1012"/>
    <w:next w:val="1012"/>
    <w:link w:val="1012"/>
    <w:semiHidden/>
    <w:qFormat/>
    <w:rPr>
      <w:rFonts w:ascii="Arial" w:hAnsi="Arial" w:eastAsia="Arial" w:cs="Arial"/>
      <w:sz w:val="21"/>
      <w:szCs w:val="21"/>
      <w:lang w:val="en-US" w:eastAsia="en-US" w:bidi="ar-SA"/>
    </w:rPr>
  </w:style>
  <w:style w:type="paragraph" w:styleId="1152">
    <w:name w:val="Char Char Char Char"/>
    <w:basedOn w:val="1038"/>
    <w:next w:val="1152"/>
    <w:link w:val="1012"/>
    <w:pPr>
      <w:spacing w:line="360" w:lineRule="auto"/>
    </w:pPr>
    <w:rPr>
      <w:rFonts w:ascii="Tahoma" w:hAnsi="Tahoma"/>
      <w:sz w:val="24"/>
      <w:szCs w:val="24"/>
    </w:rPr>
  </w:style>
  <w:style w:type="paragraph" w:styleId="1153">
    <w:name w:val=" Char Char Char Char Char Char Char Char Char Char"/>
    <w:basedOn w:val="1012"/>
    <w:next w:val="1153"/>
    <w:link w:val="1012"/>
    <w:pPr>
      <w:spacing w:line="360" w:lineRule="auto"/>
    </w:pPr>
    <w:rPr>
      <w:rFonts w:ascii="Times New Roman" w:hAnsi="Times New Roman" w:eastAsia="宋体" w:cs="Times New Roman"/>
      <w:sz w:val="24"/>
      <w:szCs w:val="20"/>
    </w:rPr>
  </w:style>
  <w:style w:type="paragraph" w:styleId="1154">
    <w:name w:val="xl30"/>
    <w:basedOn w:val="1012"/>
    <w:next w:val="1154"/>
    <w:link w:val="1012"/>
    <w:pPr>
      <w:jc w:val="center"/>
      <w:spacing w:before="100" w:beforeAutospacing="1" w:after="100" w:afterAutospacing="1"/>
      <w:widowControl/>
    </w:pPr>
    <w:rPr>
      <w:rFonts w:ascii="宋体" w:hAnsi="宋体" w:eastAsia="宋体" w:cs="Times New Roman"/>
      <w:b/>
      <w:bCs/>
      <w:sz w:val="36"/>
      <w:szCs w:val="36"/>
    </w:rPr>
  </w:style>
  <w:style w:type="paragraph" w:styleId="1155">
    <w:name w:val="普通正文"/>
    <w:basedOn w:val="1012"/>
    <w:next w:val="1155"/>
    <w:link w:val="1012"/>
    <w:pPr>
      <w:ind w:firstLine="480"/>
      <w:jc w:val="left"/>
      <w:spacing w:before="120" w:after="120" w:line="360" w:lineRule="auto"/>
    </w:pPr>
    <w:rPr>
      <w:rFonts w:ascii="Arial" w:hAnsi="Arial" w:eastAsia="宋体" w:cs="Times New Roman"/>
      <w:sz w:val="24"/>
      <w:szCs w:val="24"/>
    </w:rPr>
  </w:style>
  <w:style w:type="paragraph" w:styleId="1156">
    <w:name w:val="font5"/>
    <w:basedOn w:val="1012"/>
    <w:next w:val="1156"/>
    <w:link w:val="1012"/>
    <w:pPr>
      <w:jc w:val="left"/>
      <w:spacing w:before="100" w:beforeAutospacing="1" w:after="100" w:afterAutospacing="1"/>
      <w:widowControl/>
    </w:pPr>
    <w:rPr>
      <w:rFonts w:hint="eastAsia" w:ascii="宋体" w:hAnsi="宋体" w:eastAsia="宋体" w:cs="Times New Roman"/>
      <w:sz w:val="28"/>
      <w:szCs w:val="28"/>
    </w:rPr>
  </w:style>
  <w:style w:type="paragraph" w:styleId="1157">
    <w:name w:val="索引 41"/>
    <w:basedOn w:val="1012"/>
    <w:next w:val="1012"/>
    <w:link w:val="1012"/>
    <w:semiHidden/>
    <w:qFormat/>
    <w:pPr>
      <w:ind w:left="1260"/>
    </w:pPr>
    <w:rPr>
      <w:rFonts w:ascii="Calibri" w:hAnsi="Calibri" w:eastAsia="Calibri" w:cs="宋体"/>
      <w:sz w:val="20"/>
      <w:lang w:val="zh-CN"/>
    </w:rPr>
  </w:style>
  <w:style w:type="paragraph" w:styleId="1158">
    <w:name w:val="正文文本 211"/>
    <w:basedOn w:val="1012"/>
    <w:next w:val="1158"/>
    <w:link w:val="1012"/>
    <w:uiPriority w:val="99"/>
    <w:qFormat/>
    <w:pPr>
      <w:jc w:val="center"/>
    </w:pPr>
    <w:rPr>
      <w:b/>
      <w:bCs/>
      <w:sz w:val="20"/>
      <w:szCs w:val="20"/>
    </w:rPr>
  </w:style>
  <w:style w:type="paragraph" w:styleId="1159">
    <w:name w:val="xl24"/>
    <w:basedOn w:val="1012"/>
    <w:next w:val="1159"/>
    <w:link w:val="10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table" w:styleId="1160">
    <w:name w:val="Table Normal"/>
    <w:next w:val="1160"/>
    <w:link w:val="1012"/>
    <w:qFormat/>
    <w:rPr>
      <w:lang w:val="en-US" w:eastAsia="zh-CN" w:bidi="ar-SA"/>
    </w:rPr>
    <w:tblPr/>
  </w:style>
  <w:style w:type="table" w:styleId="1161">
    <w:name w:val="普通表格1"/>
    <w:next w:val="1161"/>
    <w:link w:val="1012"/>
    <w:uiPriority w:val="99"/>
    <w:unhideWhenUsed/>
    <w:qFormat/>
    <w:rPr>
      <w:lang w:val="en-US" w:eastAsia="zh-CN" w:bidi="ar-SA"/>
    </w:rPr>
    <w:tblPr/>
  </w:style>
  <w:style w:type="table" w:styleId="1162">
    <w:name w:val="网格型1"/>
    <w:basedOn w:val="1161"/>
    <w:next w:val="1162"/>
    <w:link w:val="1012"/>
    <w:qFormat/>
    <w:pPr>
      <w:jc w:val="both"/>
      <w:widowControl w:val="off"/>
    </w:pPr>
    <w:tblPr/>
  </w:style>
  <w:style w:type="character" w:styleId="1163" w:default="1">
    <w:name w:val="Default Paragraph Font"/>
    <w:uiPriority w:val="1"/>
    <w:semiHidden/>
    <w:unhideWhenUsed/>
  </w:style>
  <w:style w:type="numbering" w:styleId="1164" w:default="1">
    <w:name w:val="No List"/>
    <w:uiPriority w:val="99"/>
    <w:semiHidden/>
    <w:unhideWhenUsed/>
  </w:style>
  <w:style w:type="table" w:styleId="11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新世界の卡</dc:creator>
  <cp:lastModifiedBy>张杨</cp:lastModifiedBy>
  <cp:revision>7</cp:revision>
  <dcterms:created xsi:type="dcterms:W3CDTF">2023-03-27T07:28:00Z</dcterms:created>
  <dcterms:modified xsi:type="dcterms:W3CDTF">2026-10-23T09:05:09Z</dcterms:modified>
</cp:coreProperties>
</file>