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Cs/>
          <w:color w:val="auto"/>
          <w:sz w:val="24"/>
          <w:szCs w:val="24"/>
          <w:highlight w:val="none"/>
        </w:rPr>
      </w:pPr>
      <w:r>
        <w:rPr>
          <w:color w:val="auto"/>
          <w:sz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宋体"/>
          <w:bCs/>
          <w:color w:val="auto"/>
          <w:sz w:val="84"/>
          <w:szCs w:val="84"/>
          <w:highlight w:val="none"/>
        </w:rPr>
      </w:pPr>
      <w:r>
        <w:rPr>
          <w:rFonts w:hint="eastAsia" w:ascii="宋体" w:hAnsi="宋体" w:eastAsia="宋体" w:cs="宋体"/>
          <w:bCs/>
          <w:color w:val="auto"/>
          <w:sz w:val="84"/>
          <w:szCs w:val="84"/>
          <w:highlight w:val="none"/>
        </w:rPr>
        <w:t xml:space="preserve">苏州市政府采购</w:t>
      </w:r>
      <w:r/>
    </w:p>
    <w:p>
      <w:pPr>
        <w:jc w:val="center"/>
        <w:spacing w:line="360" w:lineRule="auto"/>
        <w:rPr>
          <w:rFonts w:ascii="宋体" w:hAnsi="宋体" w:eastAsia="宋体" w:cs="宋体"/>
          <w:bCs/>
          <w:color w:val="auto"/>
          <w:sz w:val="32"/>
          <w:szCs w:val="32"/>
          <w:highlight w:val="none"/>
        </w:rPr>
      </w:pPr>
      <w:r>
        <w:rPr>
          <w:rFonts w:hint="eastAsia" w:ascii="宋体" w:hAnsi="宋体" w:eastAsia="宋体" w:cs="宋体"/>
          <w:bCs/>
          <w:color w:val="auto"/>
          <w:sz w:val="84"/>
          <w:szCs w:val="84"/>
          <w:highlight w:val="none"/>
        </w:rPr>
        <w:t xml:space="preserve">竞争性磋商文件</w:t>
      </w:r>
      <w:r/>
    </w:p>
    <w:p>
      <w:pPr>
        <w:jc w:val="center"/>
        <w:spacing w:line="360" w:lineRule="auto"/>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mc:AlternateContent>
          <mc:Choice Requires="wpg">
            <w:drawing>
              <wp:inline xmlns:wp="http://schemas.openxmlformats.org/drawingml/2006/wordprocessingDrawing" distT="0" distB="0" distL="0" distR="0">
                <wp:extent cx="1364615" cy="1370965"/>
                <wp:effectExtent l="0" t="0" r="6985" b="635"/>
                <wp:docPr id="3" name="图片 1" descr="苏州正杰招投标咨询服务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州正杰招投标咨询服务有限公司"/>
                        <pic:cNvPicPr>
                          <a:picLocks noChangeAspect="1"/>
                        </pic:cNvPicPr>
                        <pic:nvPr/>
                      </pic:nvPicPr>
                      <pic:blipFill>
                        <a:blip r:embed="rId15"/>
                        <a:stretch/>
                      </pic:blipFill>
                      <pic:spPr bwMode="auto">
                        <a:xfrm>
                          <a:off x="0" y="0"/>
                          <a:ext cx="1364615" cy="1370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4pt;height:107.9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jc w:val="left"/>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人：苏州市自然资源和规划局</w:t>
      </w:r>
      <w:r/>
    </w:p>
    <w:p>
      <w:pPr>
        <w:jc w:val="left"/>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项目编号：</w:t>
      </w:r>
      <w:bookmarkStart w:id="11" w:name="_GoBack"/>
      <w:r/>
      <w:bookmarkEnd w:id="11"/>
      <w:r>
        <w:rPr>
          <w:rFonts w:hint="eastAsia" w:ascii="宋体" w:hAnsi="宋体" w:eastAsia="宋体" w:cs="宋体"/>
          <w:bCs/>
          <w:color w:val="auto"/>
          <w:sz w:val="30"/>
          <w:szCs w:val="30"/>
          <w:highlight w:val="none"/>
          <w:lang w:eastAsia="zh-CN"/>
        </w:rPr>
        <w:t xml:space="preserve">JSZC-320500-SZZJ-C2026-0030</w:t>
      </w:r>
      <w:r/>
    </w:p>
    <w:p>
      <w:pPr>
        <w:jc w:val="both"/>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项目名称：</w:t>
      </w:r>
      <w:r>
        <w:rPr>
          <w:rFonts w:hint="eastAsia" w:ascii="宋体" w:hAnsi="宋体" w:eastAsia="宋体" w:cs="宋体"/>
          <w:bCs/>
          <w:color w:val="auto"/>
          <w:sz w:val="30"/>
          <w:szCs w:val="30"/>
          <w:highlight w:val="none"/>
          <w:lang w:eastAsia="zh-CN"/>
        </w:rPr>
        <w:t xml:space="preserve">2026年苏州市现代测绘基准体系维护</w:t>
      </w:r>
      <w:r/>
    </w:p>
    <w:p>
      <w:pPr>
        <w:jc w:val="left"/>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采购类别：服务类</w:t>
      </w:r>
      <w:r/>
    </w:p>
    <w:p>
      <w:pPr>
        <w:jc w:val="center"/>
        <w:spacing w:line="360" w:lineRule="auto"/>
        <w:rPr>
          <w:rFonts w:ascii="宋体" w:hAnsi="宋体" w:eastAsia="宋体" w:cs="宋体"/>
          <w:bCs/>
          <w:color w:val="auto"/>
          <w:sz w:val="30"/>
          <w:szCs w:val="30"/>
          <w:highlight w:val="none"/>
        </w:rPr>
      </w:pPr>
      <w:r>
        <w:rPr>
          <w:rFonts w:ascii="宋体" w:hAnsi="宋体" w:eastAsia="宋体" w:cs="宋体"/>
          <w:bCs/>
          <w:color w:val="auto"/>
          <w:sz w:val="30"/>
          <w:szCs w:val="30"/>
          <w:highlight w:val="none"/>
        </w:rPr>
      </w:r>
      <w:r/>
    </w:p>
    <w:p>
      <w:pPr>
        <w:jc w:val="center"/>
        <w:spacing w:line="360" w:lineRule="auto"/>
        <w:rPr>
          <w:rFonts w:ascii="宋体" w:hAnsi="宋体" w:eastAsia="宋体" w:cs="宋体"/>
          <w:bCs/>
          <w:color w:val="auto"/>
          <w:sz w:val="30"/>
          <w:szCs w:val="30"/>
          <w:highlight w:val="none"/>
        </w:rPr>
      </w:pPr>
      <w:r>
        <w:rPr>
          <w:rFonts w:ascii="宋体" w:hAnsi="宋体" w:eastAsia="宋体" w:cs="宋体"/>
          <w:bCs/>
          <w:color w:val="auto"/>
          <w:sz w:val="30"/>
          <w:szCs w:val="30"/>
          <w:highlight w:val="none"/>
        </w:rPr>
      </w:r>
      <w:r/>
    </w:p>
    <w:p>
      <w:pPr>
        <w:jc w:val="center"/>
        <w:spacing w:line="360" w:lineRule="auto"/>
        <w:rPr>
          <w:rFonts w:ascii="宋体" w:hAnsi="宋体" w:eastAsia="宋体" w:cs="宋体"/>
          <w:bCs/>
          <w:color w:val="auto"/>
          <w:sz w:val="30"/>
          <w:szCs w:val="30"/>
          <w:highlight w:val="none"/>
        </w:rPr>
      </w:pPr>
      <w:r>
        <w:rPr>
          <w:rFonts w:ascii="宋体" w:hAnsi="宋体" w:eastAsia="宋体" w:cs="宋体"/>
          <w:bCs/>
          <w:color w:val="auto"/>
          <w:sz w:val="30"/>
          <w:szCs w:val="30"/>
          <w:highlight w:val="none"/>
        </w:rPr>
      </w:r>
      <w:r/>
    </w:p>
    <w:p>
      <w:pPr>
        <w:jc w:val="center"/>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苏州正杰招投标咨询服务有限公司</w:t>
      </w:r>
      <w:r/>
    </w:p>
    <w:p>
      <w:pPr>
        <w:pStyle w:val="913"/>
        <w:ind w:firstLine="0"/>
        <w:jc w:val="center"/>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202</w:t>
      </w:r>
      <w:r>
        <w:rPr>
          <w:rFonts w:hint="eastAsia" w:ascii="宋体" w:hAnsi="宋体" w:eastAsia="宋体" w:cs="宋体"/>
          <w:bCs/>
          <w:color w:val="auto"/>
          <w:sz w:val="30"/>
          <w:szCs w:val="30"/>
          <w:highlight w:val="none"/>
          <w:lang w:val="en-US" w:eastAsia="zh-CN"/>
        </w:rPr>
        <w:t xml:space="preserve">6</w:t>
      </w:r>
      <w:r>
        <w:rPr>
          <w:rFonts w:hint="eastAsia" w:ascii="宋体" w:hAnsi="宋体" w:eastAsia="宋体" w:cs="宋体"/>
          <w:bCs/>
          <w:color w:val="auto"/>
          <w:sz w:val="30"/>
          <w:szCs w:val="30"/>
          <w:highlight w:val="none"/>
        </w:rPr>
        <w:t xml:space="preserve">年</w:t>
      </w:r>
      <w:r>
        <w:rPr>
          <w:rFonts w:hint="eastAsia" w:ascii="宋体" w:hAnsi="宋体" w:eastAsia="宋体" w:cs="宋体"/>
          <w:bCs/>
          <w:color w:val="auto"/>
          <w:sz w:val="30"/>
          <w:szCs w:val="30"/>
          <w:highlight w:val="none"/>
          <w:lang w:val="en-US" w:eastAsia="zh-CN"/>
        </w:rPr>
        <w:t xml:space="preserve">9</w:t>
      </w:r>
      <w:r>
        <w:rPr>
          <w:rFonts w:hint="eastAsia" w:ascii="宋体" w:hAnsi="宋体" w:eastAsia="宋体" w:cs="宋体"/>
          <w:bCs/>
          <w:color w:val="auto"/>
          <w:sz w:val="30"/>
          <w:szCs w:val="30"/>
          <w:highlight w:val="none"/>
        </w:rPr>
        <w:t xml:space="preserve">月</w:t>
      </w:r>
      <w:r/>
    </w:p>
    <w:p>
      <w:pPr>
        <w:pStyle w:val="913"/>
        <w:ind w:firstLine="0"/>
        <w:jc w:val="center"/>
        <w:spacing w:line="360" w:lineRule="auto"/>
        <w:rPr>
          <w:rFonts w:ascii="宋体" w:hAnsi="宋体" w:eastAsia="宋体" w:cs="宋体"/>
          <w:b/>
          <w:color w:val="auto"/>
          <w:sz w:val="32"/>
          <w:szCs w:val="32"/>
          <w:highlight w:val="none"/>
        </w:rPr>
        <w:sectPr>
          <w:headerReference w:type="default" r:id="rId9"/>
          <w:footerReference w:type="default" r:id="rId10"/>
          <w:footnotePr/>
          <w:endnotePr/>
          <w:type w:val="nextPage"/>
          <w:pgSz w:w="11906" w:h="16838" w:orient="portrait"/>
          <w:pgMar w:top="1134" w:right="1134" w:bottom="1134" w:left="1134" w:header="851" w:footer="567" w:gutter="0"/>
          <w:pgNumType w:start="0"/>
          <w:cols w:num="1" w:sep="0" w:space="720" w:equalWidth="1"/>
          <w:docGrid w:linePitch="360"/>
          <w:titlePg/>
        </w:sectPr>
      </w:pPr>
      <w:r>
        <w:rPr>
          <w:rFonts w:ascii="宋体" w:hAnsi="宋体" w:eastAsia="宋体" w:cs="宋体"/>
          <w:b/>
          <w:color w:val="auto"/>
          <w:sz w:val="32"/>
          <w:szCs w:val="32"/>
          <w:highlight w:val="none"/>
        </w:rPr>
      </w:r>
      <w:r/>
    </w:p>
    <w:p>
      <w:pPr>
        <w:pStyle w:val="913"/>
        <w:ind w:firstLine="0"/>
        <w:jc w:val="center"/>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目  录</w:t>
      </w:r>
      <w:r/>
    </w:p>
    <w:p>
      <w:pPr>
        <w:pStyle w:val="913"/>
        <w:ind w:firstLine="0"/>
        <w:jc w:val="center"/>
        <w:spacing w:line="360" w:lineRule="auto"/>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940"/>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TOC \o "1-1"</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bCs/>
          <w:color w:val="auto"/>
          <w:sz w:val="32"/>
          <w:szCs w:val="32"/>
          <w:highlight w:val="none"/>
        </w:rPr>
        <w:t xml:space="preserve">第一章 竞争性磋商邀请函</w:t>
      </w:r>
      <w:r>
        <w:rPr>
          <w:rFonts w:hint="eastAsia" w:ascii="宋体" w:hAnsi="宋体" w:eastAsia="宋体" w:cs="宋体"/>
          <w:bCs/>
          <w:color w:val="auto"/>
          <w:sz w:val="32"/>
          <w:szCs w:val="32"/>
          <w:highlight w:val="none"/>
        </w:rPr>
        <w:tab/>
      </w:r>
      <w:r/>
    </w:p>
    <w:p>
      <w:pPr>
        <w:pStyle w:val="940"/>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第二章 响应须知</w:t>
      </w:r>
      <w:r>
        <w:rPr>
          <w:rFonts w:hint="eastAsia" w:ascii="宋体" w:hAnsi="宋体" w:eastAsia="宋体" w:cs="宋体"/>
          <w:bCs/>
          <w:color w:val="auto"/>
          <w:sz w:val="32"/>
          <w:szCs w:val="32"/>
          <w:highlight w:val="none"/>
        </w:rPr>
        <w:tab/>
      </w:r>
      <w:r/>
    </w:p>
    <w:p>
      <w:pPr>
        <w:pStyle w:val="940"/>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第三章 响应文件格式</w:t>
      </w:r>
      <w:r>
        <w:rPr>
          <w:rFonts w:hint="eastAsia" w:ascii="宋体" w:hAnsi="宋体" w:eastAsia="宋体" w:cs="宋体"/>
          <w:bCs/>
          <w:color w:val="auto"/>
          <w:sz w:val="32"/>
          <w:szCs w:val="32"/>
          <w:highlight w:val="none"/>
        </w:rPr>
        <w:tab/>
      </w:r>
      <w:r/>
    </w:p>
    <w:p>
      <w:pPr>
        <w:pStyle w:val="940"/>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第四章 采购需求</w:t>
      </w:r>
      <w:r>
        <w:rPr>
          <w:rFonts w:hint="eastAsia" w:ascii="宋体" w:hAnsi="宋体" w:eastAsia="宋体" w:cs="宋体"/>
          <w:bCs/>
          <w:color w:val="auto"/>
          <w:sz w:val="32"/>
          <w:szCs w:val="32"/>
          <w:highlight w:val="none"/>
        </w:rPr>
        <w:tab/>
      </w:r>
      <w:r/>
    </w:p>
    <w:p>
      <w:pPr>
        <w:pStyle w:val="940"/>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第五章 合同文本</w:t>
      </w:r>
      <w:r>
        <w:rPr>
          <w:rFonts w:hint="eastAsia" w:ascii="宋体" w:hAnsi="宋体" w:eastAsia="宋体" w:cs="宋体"/>
          <w:bCs/>
          <w:color w:val="auto"/>
          <w:sz w:val="32"/>
          <w:szCs w:val="32"/>
          <w:highlight w:val="none"/>
        </w:rPr>
        <w:tab/>
      </w:r>
      <w:r/>
    </w:p>
    <w:p>
      <w:pPr>
        <w:pStyle w:val="940"/>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第六章 评审方法及评审标准</w:t>
      </w:r>
      <w:r>
        <w:rPr>
          <w:rFonts w:hint="eastAsia" w:ascii="宋体" w:hAnsi="宋体" w:eastAsia="宋体" w:cs="宋体"/>
          <w:bCs/>
          <w:color w:val="auto"/>
          <w:sz w:val="32"/>
          <w:szCs w:val="32"/>
          <w:highlight w:val="none"/>
        </w:rPr>
        <w:tab/>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32"/>
          <w:szCs w:val="32"/>
          <w:highlight w:val="none"/>
        </w:rPr>
        <w:fldChar w:fldCharType="end"/>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898"/>
        <w:ind w:firstLine="1040"/>
        <w:jc w:val="center"/>
        <w:spacing w:line="360" w:lineRule="auto"/>
        <w:rPr>
          <w:rFonts w:ascii="宋体" w:hAnsi="宋体" w:eastAsia="宋体" w:cs="宋体"/>
          <w:b w:val="0"/>
          <w:bCs/>
          <w:color w:val="auto"/>
          <w:sz w:val="52"/>
          <w:szCs w:val="52"/>
          <w:highlight w:val="none"/>
        </w:rPr>
        <w:sectPr>
          <w:footerReference w:type="default" r:id="rId11"/>
          <w:footerReference w:type="first" r:id="rId12"/>
          <w:footnotePr/>
          <w:endnotePr/>
          <w:type w:val="nextPage"/>
          <w:pgSz w:w="11906" w:h="16838" w:orient="portrait"/>
          <w:pgMar w:top="1134" w:right="1134" w:bottom="1134" w:left="1134" w:header="851" w:footer="567" w:gutter="0"/>
          <w:pgNumType w:start="1"/>
          <w:cols w:num="1" w:sep="0" w:space="720" w:equalWidth="1"/>
          <w:docGrid w:linePitch="360"/>
        </w:sectPr>
      </w:pPr>
      <w:r/>
      <w:bookmarkStart w:id="0" w:name="_第一章_谈判邀请函"/>
      <w:r/>
      <w:bookmarkEnd w:id="0"/>
      <w:r/>
      <w:bookmarkStart w:id="1" w:name="_Toc301856546"/>
      <w:r/>
      <w:bookmarkEnd w:id="1"/>
      <w:r/>
      <w:r/>
    </w:p>
    <w:p>
      <w:pPr>
        <w:ind w:firstLine="480"/>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第一章 竞争性磋商邀请函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苏州正杰招投标咨询服务有限公司受苏州市自然资源和规划局的委托，就其所需的</w:t>
      </w:r>
      <w:r>
        <w:rPr>
          <w:rFonts w:hint="eastAsia" w:ascii="宋体" w:hAnsi="宋体" w:eastAsia="宋体" w:cs="宋体"/>
          <w:color w:val="auto"/>
          <w:sz w:val="24"/>
          <w:szCs w:val="24"/>
          <w:highlight w:val="none"/>
          <w:lang w:eastAsia="zh-CN"/>
        </w:rPr>
        <w:t xml:space="preserve">2026年苏州市现代测绘基准体系维护</w:t>
      </w:r>
      <w:r>
        <w:rPr>
          <w:rFonts w:hint="eastAsia" w:ascii="宋体" w:hAnsi="宋体" w:eastAsia="宋体" w:cs="宋体"/>
          <w:color w:val="auto"/>
          <w:sz w:val="24"/>
          <w:szCs w:val="24"/>
          <w:highlight w:val="none"/>
        </w:rPr>
        <w:t xml:space="preserve">项目以竞争性磋商方式组织政府采购，欢迎符合条件的供应商参加。</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JSZC-320500-SZZJ-C2026-0030</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2026年苏州市现代测绘基准体系维护</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壹佰零叁</w:t>
      </w:r>
      <w:r>
        <w:rPr>
          <w:rFonts w:hint="eastAsia" w:ascii="宋体" w:hAnsi="宋体" w:eastAsia="宋体" w:cs="宋体"/>
          <w:color w:val="auto"/>
          <w:sz w:val="24"/>
          <w:szCs w:val="24"/>
          <w:highlight w:val="none"/>
        </w:rPr>
        <w:t xml:space="preserve">万元整（小写：</w:t>
      </w:r>
      <w:r>
        <w:rPr>
          <w:rFonts w:hint="eastAsia" w:ascii="宋体" w:hAnsi="宋体" w:eastAsia="宋体" w:cs="宋体"/>
          <w:color w:val="auto"/>
          <w:sz w:val="24"/>
          <w:szCs w:val="24"/>
          <w:highlight w:val="none"/>
          <w:lang w:val="en-US" w:eastAsia="zh-CN"/>
        </w:rPr>
        <w:t xml:space="preserve">1030000</w:t>
      </w:r>
      <w:r>
        <w:rPr>
          <w:rFonts w:hint="eastAsia" w:ascii="宋体" w:hAnsi="宋体" w:eastAsia="宋体" w:cs="宋体"/>
          <w:color w:val="auto"/>
          <w:sz w:val="24"/>
          <w:szCs w:val="24"/>
          <w:highlight w:val="none"/>
        </w:rPr>
        <w:t xml:space="preserve">.00元）。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1、标的的名称：2026年苏州市现代测绘基准体系维护</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、服务要求：</w:t>
      </w:r>
      <w:r>
        <w:rPr>
          <w:rFonts w:hint="eastAsia" w:ascii="宋体" w:hAnsi="宋体" w:eastAsia="宋体" w:cs="宋体"/>
          <w:i w:val="0"/>
          <w:iCs w:val="0"/>
          <w:caps w:val="0"/>
          <w:color w:val="auto"/>
          <w:spacing w:val="0"/>
          <w:sz w:val="24"/>
          <w:szCs w:val="24"/>
          <w:highlight w:val="none"/>
          <w:shd w:val="clear" w:color="auto" w:fill="auto"/>
        </w:rPr>
        <w:t xml:space="preserve">对市级测量标志进行维护；对苏州市卫星导航基准站进行维护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详见采购文件第四章。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自合同签订之日起至2027年11月30日止。</w:t>
      </w:r>
      <w:r/>
    </w:p>
    <w:p>
      <w:pPr>
        <w:ind w:firstLine="480"/>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、本项目不接受联合体投标。</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3、本项目的特定资格要求：响应单位具有行业主管部门颁发的有效期内的测绘资质证书，且</w:t>
      </w:r>
      <w:r>
        <w:rPr>
          <w:rFonts w:hint="eastAsia" w:ascii="宋体" w:hAnsi="宋体" w:eastAsia="宋体" w:cs="宋体"/>
          <w:color w:val="auto"/>
          <w:sz w:val="24"/>
          <w:szCs w:val="24"/>
          <w:highlight w:val="none"/>
          <w:lang w:eastAsia="zh-CN"/>
        </w:rPr>
        <w:t xml:space="preserve">符合国家有关资质要求，</w:t>
      </w:r>
      <w:r>
        <w:rPr>
          <w:rFonts w:hint="eastAsia" w:ascii="宋体" w:hAnsi="宋体" w:eastAsia="宋体" w:cs="宋体"/>
          <w:color w:val="auto"/>
          <w:sz w:val="24"/>
          <w:szCs w:val="24"/>
          <w:highlight w:val="none"/>
        </w:rPr>
        <w:t xml:space="preserve">专业类别必须包含大地测量。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4、本项目不专门面向中小企业采购。</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三、获取采购文件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时间：自磋商文件公告发布之日起5个工作日。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13"/>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（3）电子投标准备：</w:t>
      </w:r>
      <w:r/>
    </w:p>
    <w:p>
      <w:pPr>
        <w:pStyle w:val="913"/>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13"/>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年10</w:t>
      </w:r>
      <w:r>
        <w:rPr>
          <w:rFonts w:hint="eastAsia" w:ascii="宋体" w:hAnsi="宋体" w:eastAsia="宋体" w:cs="宋体"/>
          <w:b/>
          <w:color w:val="auto"/>
          <w:sz w:val="24"/>
          <w:szCs w:val="24"/>
          <w:highlight w:val="none"/>
        </w:rPr>
        <w:t xml:space="preserve">月10</w:t>
      </w:r>
      <w:r>
        <w:rPr>
          <w:rFonts w:hint="eastAsia" w:ascii="宋体" w:hAnsi="宋体" w:eastAsia="宋体" w:cs="宋体"/>
          <w:b/>
          <w:color w:val="auto"/>
          <w:sz w:val="24"/>
          <w:szCs w:val="24"/>
          <w:highlight w:val="none"/>
        </w:rPr>
        <w:t xml:space="preserve">日13点30分（北京时间）。</w:t>
      </w:r>
      <w:r/>
    </w:p>
    <w:p>
      <w:pPr>
        <w:pStyle w:val="913"/>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67"/>
          <w:rFonts w:hint="eastAsia" w:ascii="宋体" w:hAnsi="宋体" w:eastAsia="宋体" w:cs="宋体"/>
          <w:color w:val="auto"/>
          <w:szCs w:val="24"/>
          <w:highlight w:val="none"/>
        </w:rPr>
        <w:t xml:space="preserve">http：//jszfcg.jsczt.cn/）。</w:t>
      </w:r>
      <w:r>
        <w:rPr>
          <w:rStyle w:val="967"/>
          <w:rFonts w:hint="eastAsia" w:ascii="宋体" w:hAnsi="宋体" w:eastAsia="宋体" w:cs="宋体"/>
          <w:color w:val="auto"/>
          <w:szCs w:val="24"/>
          <w:highlight w:val="none"/>
        </w:rPr>
        <w:fldChar w:fldCharType="end"/>
      </w:r>
      <w:r/>
    </w:p>
    <w:p>
      <w:pPr>
        <w:pStyle w:val="913"/>
        <w:ind w:firstLine="48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、方式：响应文件网上递交，不需要现场参加采购活动。</w:t>
      </w:r>
      <w:r/>
    </w:p>
    <w:p>
      <w:pPr>
        <w:pStyle w:val="913"/>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五、开启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年10</w:t>
      </w:r>
      <w:r>
        <w:rPr>
          <w:rFonts w:hint="eastAsia" w:ascii="宋体" w:hAnsi="宋体" w:eastAsia="宋体" w:cs="宋体"/>
          <w:b/>
          <w:color w:val="auto"/>
          <w:sz w:val="24"/>
          <w:szCs w:val="24"/>
          <w:highlight w:val="none"/>
        </w:rPr>
        <w:t xml:space="preserve">月10</w:t>
      </w:r>
      <w:r>
        <w:rPr>
          <w:rFonts w:hint="eastAsia" w:ascii="宋体" w:hAnsi="宋体" w:eastAsia="宋体" w:cs="宋体"/>
          <w:b/>
          <w:color w:val="auto"/>
          <w:sz w:val="24"/>
          <w:szCs w:val="24"/>
          <w:highlight w:val="none"/>
        </w:rPr>
        <w:t xml:space="preserve">日13点30分（北京时间）。</w:t>
      </w:r>
      <w:r/>
    </w:p>
    <w:p>
      <w:pPr>
        <w:pStyle w:val="913"/>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2、地点：“苏采云”系统（网址：http：//jszfcg.jsczt.cn/）</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3、线上参加开标（开启）会方式：供应商登录</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苏采云</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系统，点击</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开标大厅</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，选择对应项目，点击进入不见面开标系统。</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w:t>
      </w:r>
      <w:r>
        <w:rPr>
          <w:rFonts w:ascii="宋体" w:hAnsi="宋体" w:eastAsia="宋体" w:cs="宋体"/>
          <w:b/>
          <w:bCs/>
          <w:color w:val="auto"/>
          <w:sz w:val="24"/>
          <w:szCs w:val="24"/>
          <w:highlight w:val="none"/>
        </w:rPr>
        <w:t xml:space="preserve">CA</w:t>
      </w:r>
      <w:r>
        <w:rPr>
          <w:rFonts w:hint="eastAsia" w:ascii="宋体" w:hAnsi="宋体" w:eastAsia="宋体" w:cs="宋体"/>
          <w:b/>
          <w:bCs/>
          <w:color w:val="auto"/>
          <w:sz w:val="24"/>
          <w:szCs w:val="24"/>
          <w:highlight w:val="none"/>
        </w:rPr>
        <w:t xml:space="preserve">证书解密电子投标（响应）文件，如在</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苏采云</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系统规定的时间内未能成功解密的视为放弃参与本项目，投标无效。</w:t>
      </w:r>
      <w:r/>
    </w:p>
    <w:p>
      <w:pPr>
        <w:pStyle w:val="913"/>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请供应商确保电脑、系统及其他设备（视频输入输出设备等）无误，且开启直至项目结束始终保持系统在线状态。</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六、公告期限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自本公告发布之日起3个工作日。</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七、其他补充事宜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3、如不同供应商使用同一台电脑制作的电子响应文件的，双方“文件制作机器码”一致的，则其响应文件将被认定为无效响应。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5、政府采购监督电话：0512-68616651。</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八、凡对本次采购提出询问，请按以下方式联系。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1、采购人信息：</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名称：苏州市自然资源和规划局。</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地址：苏州市姑苏区干将西路1018号。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联系方式：电话</w:t>
      </w:r>
      <w:r>
        <w:rPr>
          <w:rFonts w:hint="eastAsia" w:ascii="宋体" w:hAnsi="宋体" w:eastAsia="宋体" w:cs="宋体"/>
          <w:color w:val="auto"/>
          <w:sz w:val="24"/>
          <w:highlight w:val="none"/>
          <w:lang w:val="en-US" w:eastAsia="zh-CN"/>
        </w:rPr>
        <w:t xml:space="preserve">0512—65062877</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名称：苏州正杰招投标咨询服务有限公司。</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联系方式：电话0512-62826523。</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3、项目联系方式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张留晖</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电话：</w:t>
      </w:r>
      <w:r>
        <w:rPr>
          <w:rFonts w:hint="eastAsia" w:ascii="宋体" w:hAnsi="宋体" w:eastAsia="宋体" w:cs="宋体"/>
          <w:color w:val="auto"/>
          <w:sz w:val="24"/>
          <w:highlight w:val="none"/>
          <w:lang w:val="en-US" w:eastAsia="zh-CN"/>
        </w:rPr>
        <w:t xml:space="preserve">0512—65062877</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w:t>
      </w:r>
      <w:r>
        <w:rPr>
          <w:rFonts w:hint="eastAsia" w:ascii="宋体" w:hAnsi="宋体" w:eastAsia="宋体" w:cs="宋体"/>
          <w:color w:val="auto"/>
          <w:sz w:val="24"/>
          <w:szCs w:val="24"/>
          <w:highlight w:val="none"/>
        </w:rPr>
        <w:t xml:space="preserve">徐杰、沈鹰、陈晓梦、刘木兰</w:t>
      </w:r>
      <w:r>
        <w:rPr>
          <w:rFonts w:hint="eastAsia" w:ascii="宋体" w:hAnsi="宋体" w:eastAsia="宋体"/>
          <w:color w:val="auto"/>
          <w:sz w:val="24"/>
          <w:szCs w:val="24"/>
          <w:highlight w:val="none"/>
        </w:rPr>
        <w:t xml:space="preserve">。</w:t>
      </w:r>
      <w:r/>
    </w:p>
    <w:p>
      <w:pPr>
        <w:pStyle w:val="91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olor w:val="auto"/>
          <w:sz w:val="24"/>
          <w:szCs w:val="24"/>
          <w:highlight w:val="none"/>
        </w:rPr>
        <w:t xml:space="preserve">电话：0512-62826523。</w:t>
      </w:r>
      <w:r/>
    </w:p>
    <w:p>
      <w:pPr>
        <w:pStyle w:val="918"/>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8"/>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8"/>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第二章 响应须知</w:t>
      </w:r>
      <w:r/>
    </w:p>
    <w:p>
      <w:pPr>
        <w:pStyle w:val="918"/>
        <w:ind w:firstLine="482"/>
        <w:jc w:val="left"/>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1、总则</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1.1</w:t>
      </w:r>
      <w:r>
        <w:rPr>
          <w:rFonts w:hint="eastAsia" w:ascii="宋体" w:hAnsi="宋体" w:eastAsia="宋体" w:cs="宋体"/>
          <w:b/>
          <w:bCs/>
          <w:color w:val="auto"/>
          <w:sz w:val="24"/>
          <w:szCs w:val="24"/>
          <w:highlight w:val="none"/>
        </w:rPr>
        <w:t xml:space="preserve">响应单位资格要求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w:t>
      </w:r>
      <w:r>
        <w:rPr>
          <w:rFonts w:hint="eastAsia" w:ascii="宋体" w:hAnsi="宋体" w:eastAsia="宋体" w:cs="宋体"/>
          <w:bCs/>
          <w:color w:val="auto"/>
          <w:sz w:val="24"/>
          <w:szCs w:val="24"/>
          <w:highlight w:val="none"/>
        </w:rPr>
        <w:t xml:space="preserve">竞争性磋商邀请函</w:t>
      </w:r>
      <w:r>
        <w:rPr>
          <w:rFonts w:hint="eastAsia" w:ascii="宋体" w:hAnsi="宋体" w:eastAsia="宋体" w:cs="宋体"/>
          <w:color w:val="auto"/>
          <w:sz w:val="24"/>
          <w:szCs w:val="24"/>
          <w:highlight w:val="none"/>
        </w:rPr>
        <w:t xml:space="preserve">中“二、申请人的资格要求”。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1.1.2响应单位不得存在下列情形之一：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w:t>
      </w:r>
      <w:r>
        <w:rPr>
          <w:rFonts w:ascii="宋体" w:hAnsi="宋体" w:eastAsia="宋体" w:cs="宋体"/>
          <w:color w:val="auto"/>
          <w:sz w:val="24"/>
          <w:szCs w:val="24"/>
          <w:highlight w:val="none"/>
        </w:rPr>
        <w:t xml:space="preserve">2017）11号）</w:t>
      </w:r>
      <w:r>
        <w:rPr>
          <w:rFonts w:hint="eastAsia" w:ascii="宋体" w:hAnsi="宋体" w:eastAsia="宋体" w:cs="宋体"/>
          <w:color w:val="auto"/>
          <w:sz w:val="24"/>
          <w:szCs w:val="24"/>
          <w:highlight w:val="none"/>
        </w:rPr>
        <w:t xml:space="preserve">和《</w:t>
      </w:r>
      <w:r>
        <w:rPr>
          <w:rFonts w:ascii="宋体" w:hAnsi="宋体" w:eastAsia="宋体" w:cs="宋体"/>
          <w:color w:val="auto"/>
          <w:sz w:val="24"/>
          <w:szCs w:val="24"/>
          <w:highlight w:val="none"/>
        </w:rPr>
        <w:t xml:space="preserve">关于在政府采购活动中甄别较大数额罚款有关事项的通知</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（苏财购〔2021〕32号）</w:t>
      </w:r>
      <w:r>
        <w:rPr>
          <w:rFonts w:hint="eastAsia" w:ascii="宋体" w:hAnsi="宋体" w:eastAsia="宋体" w:cs="宋体"/>
          <w:color w:val="auto"/>
          <w:sz w:val="24"/>
          <w:szCs w:val="24"/>
          <w:highlight w:val="none"/>
        </w:rPr>
        <w:t xml:space="preserve">文件规定应拒绝的失信信息。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w:t>
      </w:r>
      <w:r>
        <w:rPr>
          <w:rFonts w:hint="eastAsia" w:ascii="宋体" w:hAnsi="宋体" w:eastAsia="宋体" w:cs="宋体"/>
          <w:color w:val="auto"/>
          <w:sz w:val="24"/>
          <w:highlight w:val="none"/>
        </w:rPr>
        <w:t xml:space="preserve">（包含法定代表人为同一个人的两个及两个以上法人，母公司、全资子公司及其控股公司）</w:t>
      </w:r>
      <w:r>
        <w:rPr>
          <w:rFonts w:hint="eastAsia" w:ascii="宋体" w:hAnsi="宋体" w:eastAsia="宋体" w:cs="宋体"/>
          <w:color w:val="auto"/>
          <w:sz w:val="24"/>
          <w:szCs w:val="24"/>
          <w:highlight w:val="none"/>
        </w:rPr>
        <w:t xml:space="preserve">，不得参加同一合同项下的政府采购活动。</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本项目不允许分包或转包。</w:t>
      </w:r>
      <w:r/>
    </w:p>
    <w:p>
      <w:pPr>
        <w:ind w:left="525"/>
        <w:spacing w:line="360" w:lineRule="auto"/>
        <w:tabs>
          <w:tab w:val="left" w:pos="85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1.3.1供应商应自行承担所有准备及参加投标的相关费用。</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 保密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参与采购活动的各方应对采购文件和响应文件中的商业和技术等秘密保密，否则应承担相应的法律责任。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语言文字</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除采购文件有特殊要求外，所有计量均采用中华人民共和国法定计量单位。</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hint="eastAsia"/>
          <w:color w:val="auto"/>
          <w:highlight w:val="none"/>
          <w:lang w:val="en-US" w:eastAsia="zh-CN"/>
        </w:rPr>
      </w:pPr>
      <w:r>
        <w:rPr>
          <w:rFonts w:hint="eastAsia" w:ascii="宋体" w:hAnsi="宋体" w:eastAsia="宋体" w:cs="宋体"/>
          <w:color w:val="auto"/>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1"/>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 xml:space="preserve">最终知识产权归采购单位所属。</w:t>
      </w:r>
      <w:r>
        <w:rPr>
          <w:rFonts w:hint="eastAsia" w:ascii="宋体" w:hAnsi="宋体" w:eastAsia="宋体" w:cs="宋体"/>
          <w:color w:val="auto"/>
          <w:sz w:val="24"/>
          <w:highlight w:val="none"/>
          <w:lang w:val="en-US" w:eastAsia="zh-CN"/>
        </w:rPr>
        <w:t xml:space="preserve">本</w:t>
      </w:r>
      <w:r>
        <w:rPr>
          <w:rFonts w:hint="eastAsia" w:ascii="宋体" w:hAnsi="宋体" w:eastAsia="宋体" w:cs="宋体"/>
          <w:color w:val="auto"/>
          <w:sz w:val="24"/>
          <w:highlight w:val="none"/>
        </w:rPr>
        <w:t xml:space="preserve">项目</w:t>
      </w:r>
      <w:r>
        <w:rPr>
          <w:rFonts w:hint="eastAsia" w:ascii="宋体" w:hAnsi="宋体" w:eastAsia="宋体" w:cs="宋体"/>
          <w:color w:val="auto"/>
          <w:sz w:val="24"/>
          <w:highlight w:val="none"/>
          <w:lang w:val="en-US" w:eastAsia="zh-CN"/>
        </w:rPr>
        <w:t xml:space="preserve">形成的所有</w:t>
      </w:r>
      <w:r>
        <w:rPr>
          <w:rFonts w:hint="eastAsia" w:ascii="宋体" w:hAnsi="宋体" w:eastAsia="宋体" w:cs="宋体"/>
          <w:color w:val="auto"/>
          <w:sz w:val="24"/>
          <w:highlight w:val="none"/>
        </w:rPr>
        <w:t xml:space="preserve">成果（包括但不限于审查报告、评估报告、技术要点汇编、数据分析成果、数据库文件、阶段性成果及其草稿、源程序、底层数据成果等）的全部知识产权（包括但不限于著作权、专利申请权、数据权益等）及相关权益，自产生之日起即全部归属于</w:t>
      </w:r>
      <w:r>
        <w:rPr>
          <w:rFonts w:hint="eastAsia" w:ascii="宋体" w:hAnsi="宋体" w:eastAsia="宋体" w:cs="宋体"/>
          <w:color w:val="auto"/>
          <w:sz w:val="24"/>
          <w:highlight w:val="none"/>
          <w:lang w:val="en-US" w:eastAsia="zh-CN"/>
        </w:rPr>
        <w:t xml:space="preserve">采购单位</w:t>
      </w:r>
      <w:r>
        <w:rPr>
          <w:rFonts w:hint="eastAsia" w:ascii="宋体" w:hAnsi="宋体" w:eastAsia="宋体" w:cs="宋体"/>
          <w:color w:val="auto"/>
          <w:sz w:val="24"/>
          <w:highlight w:val="none"/>
        </w:rPr>
        <w:t xml:space="preserve">所有，</w:t>
      </w:r>
      <w:r>
        <w:rPr>
          <w:rFonts w:hint="eastAsia" w:ascii="宋体" w:hAnsi="宋体" w:eastAsia="宋体" w:cs="宋体"/>
          <w:color w:val="auto"/>
          <w:sz w:val="24"/>
          <w:highlight w:val="none"/>
          <w:lang w:val="en-US" w:eastAsia="zh-CN"/>
        </w:rPr>
        <w:t xml:space="preserve">采购单位</w:t>
      </w:r>
      <w:r>
        <w:rPr>
          <w:rFonts w:hint="eastAsia" w:ascii="宋体" w:hAnsi="宋体" w:eastAsia="宋体" w:cs="宋体"/>
          <w:color w:val="auto"/>
          <w:sz w:val="24"/>
          <w:highlight w:val="none"/>
        </w:rPr>
        <w:t xml:space="preserve">享有完全的、不受限制的专有使用权，可自行决定在任何范围、以任何方式（包括再许可、对外提供、与其他数据整合等）无偿使用、复制、修改、演绎、分发。</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2.采购文件的说明</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2.1采购文件的获取</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见第一章竞争性磋商邀请函</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2.2采购文件的询问</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供应商在收到磋商文件后，若有问题需要询问，应于下载磋商文件后，可通过公告中的联系方式及时提出，采购人或采购代理机构将予以解答。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2.3采购文件的澄清或修改</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2.3.2为保证供应商有足够时间修正响应文件，或出于其他合理原因，采购人或采购代理机构可依法顺延响应截止时间和开启时间。</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2.3.4采购文件的澄清、修改、补充等内容均以苏州市政府采购网上发布的内容为准。</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3.响应文件说明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响应单位应详细阅读采购文件的全部内容，不按采购文件的要求提供的响应文件和资料，其风险由响应单位自行承担，并根据有关条款规定，可能导致响应无效。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3.1磋商保证金：无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3.2响应文件的组成</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bCs/>
          <w:color w:val="auto"/>
          <w:sz w:val="24"/>
          <w:szCs w:val="24"/>
          <w:highlight w:val="none"/>
        </w:rPr>
        <w:t xml:space="preserve">清单报价明细表</w:t>
      </w:r>
      <w:r>
        <w:rPr>
          <w:rFonts w:hint="eastAsia" w:ascii="宋体" w:hAnsi="宋体" w:eastAsia="宋体" w:cs="宋体"/>
          <w:color w:val="auto"/>
          <w:sz w:val="24"/>
          <w:szCs w:val="24"/>
          <w:highlight w:val="none"/>
        </w:rPr>
        <w:t xml:space="preserve">；</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3.2.4资格审查响应文件：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w:t>
      </w:r>
      <w:r>
        <w:rPr>
          <w:rFonts w:hint="eastAsia" w:ascii="宋体" w:hAnsi="宋体" w:eastAsia="宋体"/>
          <w:color w:val="auto"/>
          <w:sz w:val="24"/>
          <w:szCs w:val="24"/>
          <w:highlight w:val="none"/>
        </w:rPr>
        <w:t xml:space="preserve">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w:t>
      </w:r>
      <w:r>
        <w:rPr>
          <w:rFonts w:hint="eastAsia" w:ascii="宋体" w:hAnsi="宋体" w:eastAsia="宋体" w:cs="宋体"/>
          <w:color w:val="auto"/>
          <w:sz w:val="24"/>
          <w:highlight w:val="none"/>
        </w:rPr>
        <w:t xml:space="preserve">响应单位具有行业主管部门颁发的有效期内的测绘资质证书，且</w:t>
      </w:r>
      <w:r>
        <w:rPr>
          <w:rFonts w:hint="eastAsia" w:ascii="宋体" w:hAnsi="宋体" w:eastAsia="宋体" w:cs="宋体"/>
          <w:color w:val="auto"/>
          <w:sz w:val="24"/>
          <w:highlight w:val="none"/>
          <w:lang w:eastAsia="zh-CN"/>
        </w:rPr>
        <w:t xml:space="preserve">符合国家有关资质要求，</w:t>
      </w:r>
      <w:r>
        <w:rPr>
          <w:rFonts w:hint="eastAsia" w:ascii="宋体" w:hAnsi="宋体" w:eastAsia="宋体" w:cs="宋体"/>
          <w:color w:val="auto"/>
          <w:sz w:val="24"/>
          <w:highlight w:val="none"/>
        </w:rPr>
        <w:t xml:space="preserve">专业类别必须包含大地测量</w:t>
      </w:r>
      <w:r>
        <w:rPr>
          <w:rFonts w:hint="eastAsia" w:ascii="宋体" w:hAnsi="宋体" w:eastAsia="宋体" w:cs="宋体"/>
          <w:color w:val="auto"/>
          <w:sz w:val="24"/>
          <w:szCs w:val="24"/>
          <w:highlight w:val="none"/>
        </w:rPr>
        <w:t xml:space="preserve">。</w:t>
      </w:r>
      <w:r/>
    </w:p>
    <w:p>
      <w:pPr>
        <w:ind w:left="5" w:firstLine="520"/>
        <w:spacing w:line="360" w:lineRule="auto"/>
        <w:tabs>
          <w:tab w:val="left" w:pos="851" w:leader="none"/>
        </w:tabs>
        <w:rPr>
          <w:rFonts w:ascii="宋体" w:hAnsi="宋体" w:eastAsia="宋体"/>
          <w:color w:val="auto"/>
          <w:sz w:val="24"/>
          <w:szCs w:val="24"/>
          <w:highlight w:val="none"/>
        </w:rPr>
      </w:pPr>
      <w:r>
        <w:rPr>
          <w:rFonts w:hint="eastAsia" w:ascii="宋体" w:hAnsi="宋体" w:eastAsia="宋体" w:cs="宋体"/>
          <w:b/>
          <w:bCs/>
          <w:color w:val="auto"/>
          <w:sz w:val="24"/>
          <w:szCs w:val="24"/>
          <w:highlight w:val="none"/>
        </w:rPr>
        <w:t xml:space="preserve">3.2.5符合性审查响应文件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3.2.5.1磋商响应函（格式见第三章）；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3.5.5.5未被“信用中国”、“信用江苏”及“中国政府采购网”列入失信被执行人、重大税收违法案件当事人名单、政府采购严重失信行为记录名单的查询记录页面截图</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3.2.5.6《中小企业声明函》或《残疾人福利性单位声明函》或由省级以上监狱管理局、戒毒管理局（含新疆生产建设兵团）出具的属于监狱企业的证明文件；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对属于《节能产品政府采购品目清单》政府强制采购产品的，须提供该产品有效期内的认证等相关证明材料（若有）</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其他有关符合性证明的文件（若有）。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3.2.6综合评审响应文件(见第六章)</w:t>
      </w:r>
      <w:r>
        <w:rPr>
          <w:rFonts w:hint="eastAsia" w:ascii="宋体" w:hAnsi="宋体" w:eastAsia="宋体" w:cs="宋体"/>
          <w:b/>
          <w:bCs/>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3.2.7与本次采购相关的其他证明材料</w:t>
      </w:r>
      <w:r>
        <w:rPr>
          <w:rFonts w:hint="eastAsia" w:ascii="宋体" w:hAnsi="宋体" w:eastAsia="宋体" w:cs="宋体"/>
          <w:color w:val="auto"/>
          <w:sz w:val="24"/>
          <w:szCs w:val="24"/>
          <w:highlight w:val="none"/>
          <w:lang w:eastAsia="zh-CN"/>
        </w:rPr>
        <w:t xml:space="preserve">。</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以上3.2.2-3.2.3项为供应商报价的依据，响应供应商必须提供并加盖电子公章，否则，磋商响应文件将被认定为未实质性响应。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以上3.2.5.1-3.2.5.4为符合性审查必须提供的资料，响应供应商必须提供并加盖电子公章，否则，磋商响应文件将被认定为未实质性响应。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制作电子响应文件时需与响应文件制作软件目录一一对应，将相关资料上传至相应模块。</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color w:val="auto"/>
          <w:highlight w:val="none"/>
        </w:rPr>
      </w:pPr>
      <w:r>
        <w:rPr>
          <w:rFonts w:hint="eastAsia" w:ascii="宋体" w:hAnsi="宋体" w:eastAsia="宋体" w:cs="宋体"/>
          <w:b/>
          <w:color w:val="auto"/>
          <w:sz w:val="24"/>
          <w:szCs w:val="24"/>
          <w:highlight w:val="none"/>
        </w:rPr>
        <w:t xml:space="preserve">如不同供应商使用同一台电脑制作的电子响应文件的，双方“文件制作机器码”一致的，则其响应文件将被认定为无效响应。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3.3响应报价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3.3.1响应报价应包括完成本采购项目全部内容的一切费用，除非合同条款中另有规定，响应单位所报价格在合同实施期间不因市场变化因素而变动。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3.3.2如果采购文件要求分标段投标的，则供应商可以根据自身经营许可范围，选择响应其中部分或者全部标段，但各标段应分别计算填写单价和总价。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3.3.3供应商应对所投项目的全部内容进行报价，只对其中部分内容报价的，其响应无效。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3.3.4一项采购内容只允许一个报价，任何有选择性响应报价的，其响应无效。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3.2.5响应文件报价中的单价和总价全部采用人民币表示，除非另有规定。</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3.3.6任意一次报价（包括首次报价、最后报价）超过磋商文件中规定的预算金额或者最高限价的，其响应文件按无效文件处理。</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3.3.7除因磋商文件修改导致成本增加外，供应商最后报价超过首次报价的（响应文件中的报价），其响应文件按无效文件处理。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3.3.8报价的大写金额和小写金额不一致的，以大写金额为准。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3.3.9单价金额小数点或者百分比有明显错位的，以该次报价总价为准。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3.3.10总价金额与按单价汇总金额不一致的，以单价金额计算结果为准。</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3.4电子响应文件的编制与提交</w:t>
      </w:r>
      <w:r/>
    </w:p>
    <w:p>
      <w:pPr>
        <w:pStyle w:val="909"/>
        <w:numPr>
          <w:ilvl w:val="0"/>
          <w:numId w:val="5"/>
        </w:numPr>
        <w:spacing w:line="360" w:lineRule="auto"/>
        <w:tabs>
          <w:tab w:val="left" w:pos="142" w:leader="none"/>
          <w:tab w:val="left" w:pos="600" w:leader="none"/>
        </w:tabs>
        <w:rPr>
          <w:rFonts w:ascii="宋体" w:hAnsi="宋体" w:eastAsia="宋体" w:cs="宋体"/>
          <w:vanish/>
          <w:color w:val="auto"/>
          <w:sz w:val="24"/>
          <w:szCs w:val="24"/>
          <w:highlight w:val="none"/>
        </w:rPr>
      </w:pPr>
      <w:r>
        <w:rPr>
          <w:rFonts w:ascii="宋体" w:hAnsi="宋体" w:eastAsia="宋体" w:cs="宋体"/>
          <w:vanish/>
          <w:color w:val="auto"/>
          <w:sz w:val="24"/>
          <w:szCs w:val="24"/>
          <w:highlight w:val="none"/>
        </w:rPr>
      </w:r>
      <w:r/>
    </w:p>
    <w:p>
      <w:pPr>
        <w:pStyle w:val="909"/>
        <w:numPr>
          <w:ilvl w:val="0"/>
          <w:numId w:val="5"/>
        </w:numPr>
        <w:spacing w:line="360" w:lineRule="auto"/>
        <w:tabs>
          <w:tab w:val="left" w:pos="142" w:leader="none"/>
          <w:tab w:val="left" w:pos="600" w:leader="none"/>
        </w:tabs>
        <w:rPr>
          <w:rFonts w:ascii="宋体" w:hAnsi="宋体" w:eastAsia="宋体" w:cs="宋体"/>
          <w:vanish/>
          <w:color w:val="auto"/>
          <w:sz w:val="24"/>
          <w:szCs w:val="24"/>
          <w:highlight w:val="none"/>
        </w:rPr>
      </w:pPr>
      <w:r>
        <w:rPr>
          <w:rFonts w:ascii="宋体" w:hAnsi="宋体" w:eastAsia="宋体" w:cs="宋体"/>
          <w:vanish/>
          <w:color w:val="auto"/>
          <w:sz w:val="24"/>
          <w:szCs w:val="24"/>
          <w:highlight w:val="none"/>
        </w:rPr>
      </w:r>
      <w:r/>
    </w:p>
    <w:p>
      <w:pPr>
        <w:pStyle w:val="909"/>
        <w:numPr>
          <w:ilvl w:val="0"/>
          <w:numId w:val="5"/>
        </w:numPr>
        <w:spacing w:line="360" w:lineRule="auto"/>
        <w:tabs>
          <w:tab w:val="left" w:pos="142" w:leader="none"/>
          <w:tab w:val="left" w:pos="600" w:leader="none"/>
        </w:tabs>
        <w:rPr>
          <w:rFonts w:ascii="宋体" w:hAnsi="宋体" w:eastAsia="宋体" w:cs="宋体"/>
          <w:vanish/>
          <w:color w:val="auto"/>
          <w:sz w:val="24"/>
          <w:szCs w:val="24"/>
          <w:highlight w:val="none"/>
        </w:rPr>
      </w:pPr>
      <w:r>
        <w:rPr>
          <w:rFonts w:ascii="宋体" w:hAnsi="宋体" w:eastAsia="宋体" w:cs="宋体"/>
          <w:vanish/>
          <w:color w:val="auto"/>
          <w:sz w:val="24"/>
          <w:szCs w:val="24"/>
          <w:highlight w:val="none"/>
        </w:rPr>
      </w:r>
      <w:r/>
    </w:p>
    <w:p>
      <w:pPr>
        <w:pStyle w:val="909"/>
        <w:numPr>
          <w:ilvl w:val="1"/>
          <w:numId w:val="5"/>
        </w:numPr>
        <w:spacing w:line="360" w:lineRule="auto"/>
        <w:tabs>
          <w:tab w:val="left" w:pos="142" w:leader="none"/>
          <w:tab w:val="left" w:pos="600" w:leader="none"/>
        </w:tabs>
        <w:rPr>
          <w:rFonts w:ascii="宋体" w:hAnsi="宋体" w:eastAsia="宋体" w:cs="宋体"/>
          <w:vanish/>
          <w:color w:val="auto"/>
          <w:sz w:val="24"/>
          <w:szCs w:val="24"/>
          <w:highlight w:val="none"/>
        </w:rPr>
      </w:pPr>
      <w:r>
        <w:rPr>
          <w:rFonts w:ascii="宋体" w:hAnsi="宋体" w:eastAsia="宋体" w:cs="宋体"/>
          <w:vanish/>
          <w:color w:val="auto"/>
          <w:sz w:val="24"/>
          <w:szCs w:val="24"/>
          <w:highlight w:val="none"/>
        </w:rPr>
      </w:r>
      <w:r/>
    </w:p>
    <w:p>
      <w:pPr>
        <w:pStyle w:val="909"/>
        <w:numPr>
          <w:ilvl w:val="1"/>
          <w:numId w:val="5"/>
        </w:numPr>
        <w:spacing w:line="360" w:lineRule="auto"/>
        <w:tabs>
          <w:tab w:val="left" w:pos="142" w:leader="none"/>
          <w:tab w:val="left" w:pos="600" w:leader="none"/>
        </w:tabs>
        <w:rPr>
          <w:rFonts w:ascii="宋体" w:hAnsi="宋体" w:eastAsia="宋体" w:cs="宋体"/>
          <w:vanish/>
          <w:color w:val="auto"/>
          <w:sz w:val="24"/>
          <w:szCs w:val="24"/>
          <w:highlight w:val="none"/>
        </w:rPr>
      </w:pPr>
      <w:r>
        <w:rPr>
          <w:rFonts w:ascii="宋体" w:hAnsi="宋体" w:eastAsia="宋体" w:cs="宋体"/>
          <w:vanish/>
          <w:color w:val="auto"/>
          <w:sz w:val="24"/>
          <w:szCs w:val="24"/>
          <w:highlight w:val="none"/>
        </w:rPr>
      </w:r>
      <w:r/>
    </w:p>
    <w:p>
      <w:pPr>
        <w:pStyle w:val="909"/>
        <w:numPr>
          <w:ilvl w:val="1"/>
          <w:numId w:val="5"/>
        </w:numPr>
        <w:spacing w:line="360" w:lineRule="auto"/>
        <w:tabs>
          <w:tab w:val="left" w:pos="142" w:leader="none"/>
          <w:tab w:val="left" w:pos="600" w:leader="none"/>
        </w:tabs>
        <w:rPr>
          <w:rFonts w:ascii="宋体" w:hAnsi="宋体" w:eastAsia="宋体" w:cs="宋体"/>
          <w:vanish/>
          <w:color w:val="auto"/>
          <w:sz w:val="24"/>
          <w:szCs w:val="24"/>
          <w:highlight w:val="none"/>
        </w:rPr>
      </w:pPr>
      <w:r>
        <w:rPr>
          <w:rFonts w:ascii="宋体" w:hAnsi="宋体" w:eastAsia="宋体" w:cs="宋体"/>
          <w:vanish/>
          <w:color w:val="auto"/>
          <w:sz w:val="24"/>
          <w:szCs w:val="24"/>
          <w:highlight w:val="none"/>
        </w:rPr>
      </w:r>
      <w:r/>
    </w:p>
    <w:p>
      <w:pPr>
        <w:pStyle w:val="909"/>
        <w:numPr>
          <w:ilvl w:val="1"/>
          <w:numId w:val="5"/>
        </w:numPr>
        <w:spacing w:line="360" w:lineRule="auto"/>
        <w:tabs>
          <w:tab w:val="left" w:pos="142" w:leader="none"/>
          <w:tab w:val="left" w:pos="600" w:leader="none"/>
        </w:tabs>
        <w:rPr>
          <w:rFonts w:ascii="宋体" w:hAnsi="宋体" w:eastAsia="宋体" w:cs="宋体"/>
          <w:vanish/>
          <w:color w:val="auto"/>
          <w:sz w:val="24"/>
          <w:szCs w:val="24"/>
          <w:highlight w:val="none"/>
        </w:rPr>
      </w:pPr>
      <w:r>
        <w:rPr>
          <w:rFonts w:ascii="宋体" w:hAnsi="宋体" w:eastAsia="宋体" w:cs="宋体"/>
          <w:vanish/>
          <w:color w:val="auto"/>
          <w:sz w:val="24"/>
          <w:szCs w:val="24"/>
          <w:highlight w:val="none"/>
        </w:rPr>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响应文件编制要求：本项目为网上招投标项目，请供应商插入CA证书登陆“苏采云”系统下载客户端（参与项目页面可下载客户端及客户端使用说明），在客户端编制电子响应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3.4.3响应文件未按照磋商文件要求加盖CA电子公章的，响应无效。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3.5响应文件的开启（解密）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bookmarkStart w:id="2" w:name="_Hlk154589874"/>
      <w:r>
        <w:rPr>
          <w:rFonts w:hint="eastAsia" w:ascii="宋体" w:hAnsi="宋体" w:eastAsia="宋体" w:cs="宋体"/>
          <w:b/>
          <w:bCs/>
          <w:color w:val="auto"/>
          <w:sz w:val="24"/>
          <w:szCs w:val="24"/>
          <w:highlight w:val="none"/>
        </w:rPr>
        <w:t xml:space="preserve">3.5.3供应商在苏采云系统规定的时间内未成功解密电子响应文件的，响应无效。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bookmarkEnd w:id="2"/>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4.磋商程序</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4.1磋商小组</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4.1.1采购代理机构负责组织评审工作；磋商小组由相关专家及采购人代表组成，负责具体评审事务，并独立履行法律、法规规定的职责。</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4.1.2磋商小组与参加采购活动的供应商存在下列利害关系之一的，应当回避：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4.1.4磋商小组成员应当按照客观、公正、审慎的原则，根据采购文件规定的评审程序、评审方法和评审标准进行独立评审。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4.2资格审查</w:t>
      </w:r>
      <w:r/>
    </w:p>
    <w:p>
      <w:pPr>
        <w:pStyle w:val="90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4.2.1由磋商小组按磋商文件的资格条件进行资格性审查，</w:t>
      </w:r>
      <w:r>
        <w:rPr>
          <w:rFonts w:hint="eastAsia" w:ascii="宋体" w:hAnsi="宋体" w:eastAsia="宋体" w:cs="宋体"/>
          <w:b/>
          <w:color w:val="auto"/>
          <w:sz w:val="24"/>
          <w:szCs w:val="24"/>
          <w:highlight w:val="none"/>
        </w:rPr>
        <w:t xml:space="preserve">未通过资格审查的响应无效。</w:t>
      </w:r>
      <w:r/>
    </w:p>
    <w:p>
      <w:pPr>
        <w:pStyle w:val="90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（1）查询时间：响应文件递交截止时间。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（2）查询渠道：通过“信用中国”及“中国政府采购网” 上的信用信息查询供应商的信用记录。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rPr>
        <w:t xml:space="preserve">信用记录属于应依法拒绝供应商参加政府采购的失信信息，存在此类失信信息</w:t>
      </w:r>
      <w:r>
        <w:rPr>
          <w:rFonts w:hint="eastAsia" w:ascii="宋体" w:hAnsi="宋体" w:eastAsia="宋体" w:cs="宋体"/>
          <w:b/>
          <w:color w:val="auto"/>
          <w:sz w:val="24"/>
          <w:szCs w:val="24"/>
          <w:highlight w:val="none"/>
        </w:rPr>
        <w:t xml:space="preserve">的供应商的响应文件应按无效文件处理。</w:t>
      </w:r>
      <w:r/>
    </w:p>
    <w:p>
      <w:pPr>
        <w:pStyle w:val="90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4.3磋商</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auto"/>
          <w:sz w:val="24"/>
          <w:szCs w:val="24"/>
          <w:highlight w:val="none"/>
          <w:lang w:val="zh-CN"/>
        </w:rPr>
        <w:t xml:space="preserve">具体操作方式见《操作手册》</w:t>
      </w:r>
      <w:r>
        <w:rPr>
          <w:rFonts w:hint="eastAsia" w:ascii="宋体" w:hAnsi="宋体" w:eastAsia="宋体" w:cs="宋体"/>
          <w:color w:val="auto"/>
          <w:sz w:val="24"/>
          <w:szCs w:val="24"/>
          <w:highlight w:val="none"/>
        </w:rPr>
        <w:t xml:space="preserve">。</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w:t>
      </w:r>
      <w:r>
        <w:rPr>
          <w:rFonts w:hint="eastAsia" w:ascii="宋体" w:hAnsi="宋体" w:eastAsia="宋体" w:cs="宋体"/>
          <w:color w:val="auto"/>
          <w:sz w:val="24"/>
          <w:szCs w:val="24"/>
          <w:highlight w:val="none"/>
          <w:lang w:val="zh-CN"/>
        </w:rPr>
        <w:t xml:space="preserve">磋商小组认为有必要与供应商进行磋商的，</w:t>
      </w:r>
      <w:r>
        <w:rPr>
          <w:rFonts w:hint="eastAsia" w:ascii="宋体" w:hAnsi="宋体" w:eastAsia="宋体" w:cs="宋体"/>
          <w:color w:val="auto"/>
          <w:sz w:val="24"/>
          <w:szCs w:val="24"/>
          <w:highlight w:val="none"/>
        </w:rPr>
        <w:t xml:space="preserve">磋商供应商按顺序进行磋商。磋商小组所有成员应当集中与单一供应商分别进行磋商，并给予所有参加磋商的供应商平等的磋商机会。</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auto"/>
          <w:sz w:val="24"/>
          <w:szCs w:val="24"/>
          <w:highlight w:val="none"/>
          <w:lang w:val="zh-CN"/>
        </w:rPr>
        <w:t xml:space="preserve">未按要求重新提交响应文件的按响应无效处理。</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4.4澄清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4.4.1本项目采用线上澄清。</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w:t>
      </w:r>
      <w:r>
        <w:rPr>
          <w:rFonts w:hint="eastAsia" w:ascii="宋体" w:hAnsi="宋体" w:eastAsia="宋体" w:cs="宋体"/>
          <w:color w:val="auto"/>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4.4.3接到磋商小组澄清、说明和更正要求的供应商如未按规定做出澄清、说明和更正，其风险由供应商自行承担。</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4.5最后报价</w:t>
      </w:r>
      <w:r/>
    </w:p>
    <w:p>
      <w:pPr>
        <w:ind w:left="5" w:firstLine="518"/>
        <w:spacing w:line="360" w:lineRule="auto"/>
        <w:tabs>
          <w:tab w:val="left" w:pos="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4.5.1磋商结束后，磋商小组应当要求所有继续参加磋商的供应商在规定时间内提交最后报价（</w:t>
      </w:r>
      <w:r>
        <w:rPr>
          <w:rFonts w:hint="eastAsia" w:ascii="宋体" w:hAnsi="宋体" w:eastAsia="宋体" w:cs="宋体"/>
          <w:b/>
          <w:color w:val="auto"/>
          <w:sz w:val="24"/>
          <w:szCs w:val="24"/>
          <w:highlight w:val="none"/>
        </w:rPr>
        <w:t xml:space="preserve">除因磋商文件修改导致成本增加，最后报价不得超过一次报价，否则为无效响应报价，因供应商自身原因导致线上报价失败的后果由供应商自行承担。供应商未在磋商小组规定的时间内在苏采云系统中提交最后报价的视为放弃磋商，其响应文件按无效响应处理</w:t>
      </w:r>
      <w:r>
        <w:rPr>
          <w:rFonts w:hint="eastAsia" w:ascii="宋体" w:hAnsi="宋体" w:eastAsia="宋体" w:cs="宋体"/>
          <w:color w:val="auto"/>
          <w:sz w:val="24"/>
          <w:szCs w:val="24"/>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auto"/>
          <w:sz w:val="24"/>
          <w:szCs w:val="24"/>
          <w:highlight w:val="none"/>
          <w:lang w:val="zh-CN"/>
        </w:rPr>
        <w:t xml:space="preserve">最后报价是供应商响应文件的有效组成部分。</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auto"/>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auto"/>
          <w:sz w:val="24"/>
          <w:szCs w:val="24"/>
          <w:highlight w:val="none"/>
        </w:rPr>
        <w:t xml:space="preserve">已提交响应文件的供应商，在提交最后报价之前，可以根据磋商情况退出磋商，并在苏采云系统中提交“退出磋商函”并加盖CA电子公章。</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w:t>
      </w:r>
      <w:r>
        <w:rPr>
          <w:rFonts w:ascii="宋体" w:hAnsi="宋体" w:eastAsia="宋体" w:cs="宋体"/>
          <w:color w:val="auto"/>
          <w:sz w:val="24"/>
          <w:szCs w:val="24"/>
          <w:highlight w:val="none"/>
        </w:rPr>
        <w:t xml:space="preserve">评审过程中出现下列情形之一的，评审委员会</w:t>
      </w:r>
      <w:r>
        <w:rPr>
          <w:rFonts w:hint="eastAsia" w:ascii="宋体" w:hAnsi="宋体" w:eastAsia="宋体" w:cs="宋体"/>
          <w:color w:val="auto"/>
          <w:sz w:val="24"/>
          <w:szCs w:val="24"/>
          <w:highlight w:val="none"/>
        </w:rPr>
        <w:t xml:space="preserve">（磋商小组）</w:t>
      </w:r>
      <w:r>
        <w:rPr>
          <w:rFonts w:ascii="宋体" w:hAnsi="宋体" w:eastAsia="宋体" w:cs="宋体"/>
          <w:color w:val="auto"/>
          <w:sz w:val="24"/>
          <w:szCs w:val="24"/>
          <w:highlight w:val="none"/>
        </w:rPr>
        <w:t xml:space="preserve">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④评审委员会</w:t>
      </w:r>
      <w:r>
        <w:rPr>
          <w:rFonts w:hint="eastAsia" w:ascii="宋体" w:hAnsi="宋体" w:eastAsia="宋体" w:cs="宋体"/>
          <w:color w:val="auto"/>
          <w:sz w:val="24"/>
          <w:szCs w:val="24"/>
          <w:highlight w:val="none"/>
        </w:rPr>
        <w:t xml:space="preserve">（磋商小组）</w:t>
      </w:r>
      <w:r>
        <w:rPr>
          <w:rFonts w:ascii="宋体" w:hAnsi="宋体" w:eastAsia="宋体" w:cs="宋体"/>
          <w:color w:val="auto"/>
          <w:sz w:val="24"/>
          <w:szCs w:val="24"/>
          <w:highlight w:val="none"/>
        </w:rPr>
        <w:t xml:space="preserve">基于专业判断，认为供应商报价过低，有可能影响产品质量或者不能诚信履约的其他情形</w:t>
      </w:r>
      <w:r>
        <w:rPr>
          <w:rFonts w:hint="eastAsia" w:ascii="宋体" w:hAnsi="宋体" w:eastAsia="宋体" w:cs="宋体"/>
          <w:color w:val="auto"/>
          <w:sz w:val="24"/>
          <w:szCs w:val="24"/>
          <w:highlight w:val="none"/>
        </w:rPr>
        <w:t xml:space="preserve">。</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p>
    <w:p>
      <w:pPr>
        <w:pStyle w:val="90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4.5.6异常低价投标（响应）审查的启动原因、审查意见和审查结果应当在评审报告中记录，并随供应商提供的相关书面说明及证明材料等一并归档。</w:t>
      </w:r>
      <w:r/>
    </w:p>
    <w:p>
      <w:pPr>
        <w:pStyle w:val="90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p>
    <w:p>
      <w:pPr>
        <w:pStyle w:val="909"/>
        <w:ind w:left="42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4.5.8未在规定时间提交最后报价的，响应文件按无效处理。</w:t>
      </w:r>
      <w:r/>
    </w:p>
    <w:p>
      <w:pPr>
        <w:pStyle w:val="909"/>
        <w:ind w:left="42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4.5.9在规定时间内提交最后报价的供应商少于3家的，项目终止。</w:t>
      </w:r>
      <w:r/>
    </w:p>
    <w:p>
      <w:pPr>
        <w:pStyle w:val="9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4.5.10如磋商过程中出现本磋商文件未尽事宜，由磋商小组根据政府采购有关法律、法规讨论决定。</w:t>
      </w:r>
      <w:r/>
    </w:p>
    <w:p>
      <w:pPr>
        <w:ind w:left="525"/>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5.成交</w:t>
      </w:r>
      <w:r/>
    </w:p>
    <w:p>
      <w:pPr>
        <w:pStyle w:val="90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p>
    <w:p>
      <w:pPr>
        <w:pStyle w:val="9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5.2本项目由采购人书面授权磋商小组直接确定成交供应商，并将结果通知所有参加磋商的供应商。</w:t>
      </w:r>
      <w:r/>
    </w:p>
    <w:p>
      <w:pPr>
        <w:pStyle w:val="9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5.3采购人或者采购代理机构应当在成交供应商确定后2个工作日内，在政府采购信息媒体上发布成交结果，成交公告期限为1个工作日。</w:t>
      </w:r>
      <w:r/>
    </w:p>
    <w:p>
      <w:pPr>
        <w:pStyle w:val="9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5.4采购人或采购代理机构根据相关规定发布成交公告，成交公告发出的同时应当向成交供应商发出《成交通知书》</w:t>
      </w:r>
      <w:bookmarkStart w:id="3" w:name="_Hlk132385577"/>
      <w:r/>
      <w:bookmarkStart w:id="4" w:name="_Hlk132389804"/>
      <w:r/>
      <w:bookmarkStart w:id="5" w:name="_Hlk132385599"/>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auto"/>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90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5.5成交通知书发出后，采购人不得违法改变成交结果，成交供应商无正当理由不得放弃成交。</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6、履约保证金：无</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7、项目终止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出现下列情形之一的，采购人或者采购代理机构应当终止竞争性磋商采购活动，发布项目终止公告并说明原因，重新开展采购活动：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项目终止后，采购代理机构应当将项目终止的理由告知所有供应商。</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8.1采购人应当自成交通知书发出之日起15日内（最迟30日内</w:t>
      </w:r>
      <w:r>
        <w:rPr>
          <w:rFonts w:hint="eastAsia"/>
          <w:color w:val="auto"/>
          <w:szCs w:val="21"/>
          <w:highlight w:val="none"/>
        </w:rPr>
        <w:t xml:space="preserve">）</w:t>
      </w:r>
      <w:r>
        <w:rPr>
          <w:rFonts w:hint="eastAsia" w:ascii="宋体" w:hAnsi="宋体" w:eastAsia="宋体" w:cs="宋体"/>
          <w:color w:val="auto"/>
          <w:sz w:val="24"/>
          <w:szCs w:val="24"/>
          <w:highlight w:val="none"/>
        </w:rPr>
        <w:t xml:space="preserve">，按照采购文件及响应文件规定与成交单位签订书面合同。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采购人不得向成交供应商提出任何不合理的要求作为签订合同的条件，不得与成交供应商私下订立背离合同实质性内容的协议。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8.5成交供应商无正当理由不得放弃成交。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10、响应文件的有效期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10.1响应文件的有效期自提交响应文件的截止之日起九十天，响应文件应保持有效。响应文件的有效期不明确或短于上述规定期限的，响应文件无效。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numPr>
          <w:ilvl w:val="0"/>
          <w:numId w:val="6"/>
        </w:numPr>
        <w:ind w:firstLine="520"/>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代理服务费：</w:t>
      </w:r>
      <w:r>
        <w:rPr>
          <w:rFonts w:ascii="宋体" w:hAnsi="宋体" w:eastAsia="宋体" w:cs="宋体"/>
          <w:color w:val="auto"/>
          <w:sz w:val="24"/>
          <w:szCs w:val="24"/>
          <w:highlight w:val="none"/>
        </w:rPr>
        <w:t xml:space="preserve">本项目预算金额已涵盖代理服务费，各供应商所投报价须包含代理服务费在内全部费用，该费用统一由成交供应商负责支付。</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eastAsia="宋体"/>
          <w:color w:val="auto"/>
          <w:highlight w:val="none"/>
        </w:rPr>
      </w:pPr>
      <w:r>
        <w:rPr>
          <w:rFonts w:hint="eastAsia" w:ascii="宋体" w:hAnsi="宋体" w:eastAsia="宋体" w:cs="宋体"/>
          <w:bCs/>
          <w:color w:val="auto"/>
          <w:sz w:val="24"/>
          <w:szCs w:val="24"/>
          <w:highlight w:val="none"/>
        </w:rPr>
        <w:t xml:space="preserve">本项目代理服务费（人民币）：</w:t>
      </w:r>
      <w:r>
        <w:rPr>
          <w:rFonts w:hint="eastAsia" w:ascii="宋体" w:hAnsi="宋体" w:eastAsia="宋体" w:cs="宋体"/>
          <w:bCs/>
          <w:color w:val="auto"/>
          <w:sz w:val="24"/>
          <w:szCs w:val="24"/>
          <w:highlight w:val="none"/>
          <w:lang w:val="en-US" w:eastAsia="zh-CN"/>
        </w:rPr>
        <w:t xml:space="preserve">15330</w:t>
      </w:r>
      <w:r>
        <w:rPr>
          <w:rFonts w:hint="eastAsia" w:ascii="宋体" w:hAnsi="宋体" w:eastAsia="宋体" w:cs="宋体"/>
          <w:bCs/>
          <w:color w:val="auto"/>
          <w:sz w:val="24"/>
          <w:szCs w:val="24"/>
          <w:highlight w:val="none"/>
        </w:rPr>
        <w:t xml:space="preserve">.00元。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11.3代理服务费在领取中标通知书时一次性付清，该费用包含在投标报价中。</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如果未按上述规定缴纳中标服务费，采购代理机构将保留诉讼的权利。</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其他事项</w:t>
      </w:r>
      <w:r/>
    </w:p>
    <w:p>
      <w:pPr>
        <w:ind w:firstLine="51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按《中华人民共和国政府采购法》及其他有关法律法规的规定执行。</w:t>
      </w:r>
      <w:r/>
    </w:p>
    <w:p>
      <w:pPr>
        <w:pStyle w:val="913"/>
        <w:ind w:firstLine="0"/>
        <w:jc w:val="center"/>
        <w:spacing w:line="360" w:lineRule="auto"/>
        <w:rPr>
          <w:rFonts w:ascii="宋体" w:hAnsi="宋体" w:eastAsia="宋体" w:cs="宋体"/>
          <w:b/>
          <w:color w:val="auto"/>
          <w:szCs w:val="24"/>
          <w:highlight w:val="none"/>
          <w:lang w:val="zh-CN"/>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第三章  </w:t>
      </w:r>
      <w:r>
        <w:rPr>
          <w:rFonts w:hint="eastAsia" w:ascii="宋体" w:hAnsi="宋体" w:eastAsia="宋体" w:cs="宋体"/>
          <w:b/>
          <w:color w:val="auto"/>
          <w:szCs w:val="24"/>
          <w:highlight w:val="none"/>
          <w:lang w:val="zh-CN"/>
        </w:rPr>
        <w:t xml:space="preserve">响应文件格式</w:t>
      </w:r>
      <w:r/>
    </w:p>
    <w:p>
      <w:pPr>
        <w:pStyle w:val="913"/>
        <w:ind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1、磋商响应函</w:t>
      </w:r>
      <w:r/>
    </w:p>
    <w:p>
      <w:pPr>
        <w:pStyle w:val="101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101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我们收到贵公司号采购文件，经仔细阅读和研究，我们决定参加采购活动。</w:t>
      </w:r>
      <w:r/>
    </w:p>
    <w:p>
      <w:pPr>
        <w:pStyle w:val="1014"/>
        <w:spacing w:line="360" w:lineRule="auto"/>
        <w:rPr>
          <w:rFonts w:ascii="Times New Roman" w:hAnsi="宋体" w:eastAsia="宋体" w:cs="宋体"/>
          <w:color w:val="auto"/>
          <w:sz w:val="24"/>
          <w:szCs w:val="24"/>
          <w:highlight w:val="none"/>
        </w:rPr>
      </w:pPr>
      <w:r>
        <w:rPr>
          <w:rFonts w:hint="eastAsia" w:hAnsi="宋体" w:eastAsia="宋体" w:cs="宋体"/>
          <w:color w:val="auto"/>
          <w:sz w:val="24"/>
          <w:szCs w:val="24"/>
          <w:highlight w:val="none"/>
        </w:rPr>
        <w:t xml:space="preserve">    1、我们愿意按照采购文件的一切要求，提供完成该项目的全部内容，我们的报价包括</w:t>
      </w:r>
      <w:r>
        <w:rPr>
          <w:rFonts w:hint="eastAsia" w:hAnsi="宋体" w:eastAsia="宋体" w:cs="宋体"/>
          <w:color w:val="auto"/>
          <w:sz w:val="24"/>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hAnsi="宋体" w:eastAsia="宋体" w:cs="宋体"/>
          <w:color w:val="auto"/>
          <w:sz w:val="24"/>
          <w:szCs w:val="24"/>
          <w:highlight w:val="none"/>
        </w:rPr>
        <w:t xml:space="preserve">。</w:t>
      </w:r>
      <w:r/>
    </w:p>
    <w:p>
      <w:pPr>
        <w:pStyle w:val="101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2、如果我们的响应文件被接受，我们将严格履行采购文件中规定的每一项要求，按期、按质、按量履行合同的义务。</w:t>
      </w:r>
      <w:r/>
    </w:p>
    <w:p>
      <w:pPr>
        <w:pStyle w:val="101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3、我们同意按采购文件规定，响应文件有效期限为自</w:t>
      </w:r>
      <w:r>
        <w:rPr>
          <w:rFonts w:hint="eastAsia" w:hAnsi="宋体" w:eastAsia="宋体" w:cs="宋体"/>
          <w:bCs/>
          <w:color w:val="auto"/>
          <w:sz w:val="24"/>
          <w:szCs w:val="24"/>
          <w:highlight w:val="none"/>
          <w:lang w:val="zh-CN"/>
        </w:rPr>
        <w:t xml:space="preserve">响应文件提交截止之日</w:t>
      </w:r>
      <w:r>
        <w:rPr>
          <w:rFonts w:hint="eastAsia" w:hAnsi="宋体" w:eastAsia="宋体" w:cs="宋体"/>
          <w:color w:val="auto"/>
          <w:sz w:val="24"/>
          <w:szCs w:val="24"/>
          <w:highlight w:val="none"/>
        </w:rPr>
        <w:t xml:space="preserve">起</w:t>
      </w:r>
      <w:r>
        <w:rPr>
          <w:rFonts w:hint="eastAsia"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rPr>
        <w:t xml:space="preserve">天。如果我们在开标后规定的有效期内撤回，我们愿承担一切责任。</w:t>
      </w:r>
      <w:r/>
    </w:p>
    <w:p>
      <w:pPr>
        <w:pStyle w:val="101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p>
    <w:p>
      <w:pPr>
        <w:pStyle w:val="101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5、我们认为你们有权决定供应商，还认为你们有权接受或拒绝所有的供应商。</w:t>
      </w:r>
      <w:r/>
    </w:p>
    <w:p>
      <w:pPr>
        <w:pStyle w:val="101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6、我们愿意遵守采购文件中所列的收费标准。</w:t>
      </w:r>
      <w:r/>
    </w:p>
    <w:p>
      <w:pPr>
        <w:pStyle w:val="101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7、我们承诺本响应文件在磋商开始后的全过程中保持有效，不作任何更改和变动。我们同意</w:t>
      </w:r>
      <w:r>
        <w:rPr>
          <w:rFonts w:hint="eastAsia" w:hAnsi="宋体" w:eastAsia="宋体" w:cs="宋体"/>
          <w:color w:val="auto"/>
          <w:sz w:val="24"/>
          <w:szCs w:val="24"/>
          <w:highlight w:val="none"/>
          <w:lang w:val="zh-CN"/>
        </w:rPr>
        <w:t xml:space="preserve">成交</w:t>
      </w:r>
      <w:r>
        <w:rPr>
          <w:rFonts w:hint="eastAsia" w:hAnsi="宋体" w:eastAsia="宋体" w:cs="宋体"/>
          <w:color w:val="auto"/>
          <w:sz w:val="24"/>
          <w:szCs w:val="24"/>
          <w:highlight w:val="none"/>
        </w:rPr>
        <w:t xml:space="preserve">后若不履行响应文件的内容要求和各项承诺及义务的即被视为违约，我们愿承担一切责任。</w:t>
      </w:r>
      <w:r/>
    </w:p>
    <w:p>
      <w:pPr>
        <w:pStyle w:val="101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8、</w:t>
      </w:r>
      <w:r>
        <w:rPr>
          <w:rFonts w:hint="eastAsia" w:hAnsi="宋体" w:eastAsia="宋体" w:cs="宋体"/>
          <w:color w:val="auto"/>
          <w:sz w:val="24"/>
          <w:szCs w:val="24"/>
          <w:highlight w:val="none"/>
          <w:lang w:val="en-US" w:eastAsia="zh-CN"/>
        </w:rPr>
        <w:t xml:space="preserve">我们</w:t>
      </w:r>
      <w:r>
        <w:rPr>
          <w:rFonts w:ascii="宋体" w:hAnsi="宋体" w:eastAsia="宋体" w:cs="宋体"/>
          <w:color w:val="auto"/>
          <w:sz w:val="24"/>
          <w:szCs w:val="24"/>
          <w:highlight w:val="none"/>
        </w:rPr>
        <w:t xml:space="preserve">承诺，本</w:t>
      </w:r>
      <w:r>
        <w:rPr>
          <w:rFonts w:hint="eastAsia" w:ascii="宋体" w:hAnsi="宋体" w:eastAsia="宋体" w:cs="宋体"/>
          <w:color w:val="auto"/>
          <w:sz w:val="24"/>
          <w:szCs w:val="24"/>
          <w:highlight w:val="none"/>
          <w:lang w:val="en-US" w:eastAsia="zh-CN"/>
        </w:rPr>
        <w:t xml:space="preserve">项目</w:t>
      </w:r>
      <w:r>
        <w:rPr>
          <w:rFonts w:ascii="宋体" w:hAnsi="宋体" w:eastAsia="宋体" w:cs="宋体"/>
          <w:color w:val="auto"/>
          <w:sz w:val="24"/>
          <w:szCs w:val="24"/>
          <w:highlight w:val="none"/>
        </w:rPr>
        <w:t xml:space="preserve">报价已足额包含代理服务费，若</w:t>
      </w:r>
      <w:r>
        <w:rPr>
          <w:rFonts w:hint="eastAsia" w:ascii="宋体" w:hAnsi="宋体" w:eastAsia="宋体" w:cs="宋体"/>
          <w:color w:val="auto"/>
          <w:sz w:val="24"/>
          <w:szCs w:val="24"/>
          <w:highlight w:val="none"/>
          <w:lang w:val="en-US" w:eastAsia="zh-CN"/>
        </w:rPr>
        <w:t xml:space="preserve">我们</w:t>
      </w:r>
      <w:r>
        <w:rPr>
          <w:rFonts w:ascii="宋体" w:hAnsi="宋体" w:eastAsia="宋体" w:cs="宋体"/>
          <w:color w:val="auto"/>
          <w:sz w:val="24"/>
          <w:szCs w:val="24"/>
          <w:highlight w:val="none"/>
        </w:rPr>
        <w:t xml:space="preserve">成交，将依照采购文件规定，代采购人完成该笔费用支付。</w:t>
      </w:r>
      <w:r/>
    </w:p>
    <w:p>
      <w:pPr>
        <w:pStyle w:val="101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p>
    <w:p>
      <w:pPr>
        <w:pStyle w:val="101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rPr>
          <w:rFonts w:hint="default" w:hAnsi="宋体" w:eastAsia="宋体" w:cs="宋体"/>
          <w:color w:val="auto"/>
          <w:sz w:val="24"/>
          <w:szCs w:val="24"/>
          <w:highlight w:val="none"/>
          <w:lang w:val="en-US"/>
        </w:rPr>
        <w:t xml:space="preserve">10</w:t>
      </w:r>
      <w:r>
        <w:rPr>
          <w:rFonts w:hint="eastAsia" w:hAnsi="宋体" w:eastAsia="宋体" w:cs="宋体"/>
          <w:color w:val="auto"/>
          <w:sz w:val="24"/>
          <w:szCs w:val="24"/>
          <w:highlight w:val="none"/>
        </w:rPr>
        <w:t xml:space="preserve">、与本次磋商有关的通讯地址：</w:t>
      </w:r>
      <w:r/>
    </w:p>
    <w:p>
      <w:pPr>
        <w:pStyle w:val="101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101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101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13"/>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供应商：（单位盖章）</w:t>
      </w:r>
      <w:r/>
    </w:p>
    <w:p>
      <w:pPr>
        <w:pStyle w:val="913"/>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法定代表人或代理人：（签字或盖章）</w:t>
      </w:r>
      <w:r/>
    </w:p>
    <w:p>
      <w:pPr>
        <w:pStyle w:val="913"/>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ascii="宋体" w:hAnsi="宋体" w:eastAsia="宋体" w:cs="宋体"/>
          <w:b/>
          <w:color w:val="auto"/>
          <w:sz w:val="24"/>
          <w:szCs w:val="24"/>
          <w:highlight w:val="none"/>
          <w:lang w:val="zh-CN"/>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2、</w:t>
      </w:r>
      <w:r>
        <w:rPr>
          <w:rFonts w:hint="eastAsia" w:ascii="宋体" w:hAnsi="宋体" w:eastAsia="宋体" w:cs="宋体"/>
          <w:b/>
          <w:color w:val="auto"/>
          <w:sz w:val="24"/>
          <w:szCs w:val="24"/>
          <w:highlight w:val="none"/>
          <w:lang w:val="zh-CN"/>
        </w:rPr>
        <w:t xml:space="preserve">法定代表人授权委托书</w:t>
      </w:r>
      <w:r/>
    </w:p>
    <w:p>
      <w:pPr>
        <w:pStyle w:val="913"/>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37"/>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本授权委托书声明：我（姓名）系（</w:t>
      </w:r>
      <w:r>
        <w:rPr>
          <w:rFonts w:hint="eastAsia" w:hAnsi="宋体" w:eastAsia="宋体" w:cs="宋体"/>
          <w:color w:val="auto"/>
          <w:sz w:val="24"/>
          <w:szCs w:val="24"/>
          <w:highlight w:val="none"/>
        </w:rPr>
        <w:t xml:space="preserve">供应商</w:t>
      </w:r>
      <w:r>
        <w:rPr>
          <w:rFonts w:hAnsi="宋体" w:eastAsia="宋体" w:cs="宋体"/>
          <w:color w:val="auto"/>
          <w:sz w:val="24"/>
          <w:szCs w:val="24"/>
          <w:highlight w:val="none"/>
        </w:rPr>
        <w:t xml:space="preserve">名称）的法定代表人，现授权委托（姓名为我公司代理人，以本公司的名义参加（采购人名称）组织实施的编号为</w:t>
      </w:r>
      <w:r>
        <w:rPr>
          <w:rFonts w:hint="eastAsia" w:hAnsi="宋体" w:eastAsia="宋体" w:cs="宋体"/>
          <w:color w:val="auto"/>
          <w:sz w:val="24"/>
          <w:szCs w:val="24"/>
          <w:highlight w:val="none"/>
          <w:u w:val="single"/>
          <w:lang w:val="en-US" w:eastAsia="zh-CN"/>
        </w:rPr>
        <w:t xml:space="preserve">   </w:t>
      </w:r>
      <w:r>
        <w:rPr>
          <w:rFonts w:hAnsi="宋体" w:eastAsia="宋体" w:cs="宋体"/>
          <w:color w:val="auto"/>
          <w:sz w:val="24"/>
          <w:szCs w:val="24"/>
          <w:highlight w:val="none"/>
        </w:rPr>
        <w:t xml:space="preserve">号的采购活动。代理人在投标、开标、评标、合同订立和履行过程中所签署的一切文件和处理与这有关的一切事务，我均予以承认。</w:t>
      </w:r>
      <w:r/>
    </w:p>
    <w:p>
      <w:pPr>
        <w:pStyle w:val="1037"/>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1037"/>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代理人无转委托权。特此委托。</w:t>
      </w:r>
      <w:r/>
    </w:p>
    <w:p>
      <w:pPr>
        <w:pStyle w:val="1037"/>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   </w:t>
      </w:r>
      <w:r/>
    </w:p>
    <w:p>
      <w:pPr>
        <w:pStyle w:val="953"/>
        <w:ind w:firstLine="480"/>
        <w:jc w:val="both"/>
        <w:spacing w:line="360" w:lineRule="auto"/>
        <w:rPr>
          <w:rFonts w:hint="default" w:cs="宋体"/>
          <w:color w:val="auto"/>
          <w:highlight w:val="none"/>
        </w:rPr>
      </w:pPr>
      <w:r>
        <w:rPr>
          <w:rFonts w:cs="宋体"/>
          <w:color w:val="auto"/>
          <w:highlight w:val="none"/>
        </w:rPr>
        <w:t xml:space="preserve">投标人（单位盖章）：</w:t>
      </w:r>
      <w:r/>
    </w:p>
    <w:p>
      <w:pPr>
        <w:pStyle w:val="953"/>
        <w:ind w:firstLine="480"/>
        <w:jc w:val="both"/>
        <w:spacing w:line="360" w:lineRule="auto"/>
        <w:rPr>
          <w:rFonts w:hint="default" w:cs="宋体"/>
          <w:color w:val="auto"/>
          <w:highlight w:val="none"/>
        </w:rPr>
      </w:pPr>
      <w:r>
        <w:rPr>
          <w:rFonts w:cs="宋体"/>
          <w:color w:val="auto"/>
          <w:highlight w:val="none"/>
        </w:rPr>
        <w:t xml:space="preserve">法定代表人（签字或盖章）：</w:t>
      </w:r>
      <w:r/>
    </w:p>
    <w:p>
      <w:pPr>
        <w:pStyle w:val="953"/>
        <w:ind w:firstLine="480"/>
        <w:jc w:val="both"/>
        <w:spacing w:line="360" w:lineRule="auto"/>
        <w:rPr>
          <w:rFonts w:hint="default" w:cs="宋体"/>
          <w:color w:val="auto"/>
          <w:highlight w:val="none"/>
        </w:rPr>
      </w:pPr>
      <w:r>
        <w:rPr>
          <w:rFonts w:cs="宋体"/>
          <w:color w:val="auto"/>
          <w:highlight w:val="none"/>
        </w:rPr>
        <w:t xml:space="preserve">代理人（签字或盖章）：</w:t>
      </w:r>
      <w:r/>
    </w:p>
    <w:p>
      <w:pPr>
        <w:pStyle w:val="953"/>
        <w:ind w:firstLine="480"/>
        <w:jc w:val="both"/>
        <w:spacing w:line="360" w:lineRule="auto"/>
        <w:rPr>
          <w:rFonts w:hint="default" w:cs="宋体"/>
          <w:color w:val="auto"/>
          <w:highlight w:val="none"/>
        </w:rPr>
      </w:pPr>
      <w:r>
        <w:rPr>
          <w:rFonts w:cs="宋体"/>
          <w:color w:val="auto"/>
          <w:highlight w:val="none"/>
        </w:rPr>
        <w:t xml:space="preserve">日 期： </w:t>
      </w:r>
      <w:r/>
    </w:p>
    <w:p>
      <w:pPr>
        <w:ind w:firstLine="525"/>
        <w:jc w:val="center"/>
        <w:spacing w:line="360" w:lineRule="auto"/>
        <w:rPr>
          <w:rFonts w:ascii="宋体" w:hAnsi="宋体"/>
          <w:color w:val="auto"/>
          <w:szCs w:val="21"/>
          <w:highlight w:val="none"/>
        </w:rPr>
      </w:pPr>
      <w:r>
        <w:rPr>
          <w:rFonts w:ascii="宋体" w:hAnsi="宋体"/>
          <w:color w:val="auto"/>
          <w:szCs w:val="21"/>
          <w:highlight w:val="none"/>
        </w:rPr>
      </w:r>
      <w:r/>
    </w:p>
    <w:p>
      <w:pPr>
        <w:pStyle w:val="913"/>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13"/>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18"/>
        <w:rPr>
          <w:rFonts w:ascii="宋体" w:hAnsi="宋体" w:eastAsia="宋体" w:cs="宋体"/>
          <w:color w:val="auto"/>
          <w:szCs w:val="24"/>
          <w:highlight w:val="none"/>
        </w:rPr>
      </w:pPr>
      <w:r>
        <w:rPr>
          <w:rFonts w:ascii="宋体" w:hAnsi="宋体" w:eastAsia="宋体" w:cs="宋体"/>
          <w:color w:val="auto"/>
          <w:szCs w:val="24"/>
          <w:highlight w:val="none"/>
        </w:rPr>
      </w:r>
      <w:r/>
    </w:p>
    <w:p>
      <w:pPr>
        <w:pStyle w:val="913"/>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18"/>
        <w:rPr>
          <w:rFonts w:ascii="宋体" w:hAnsi="宋体" w:eastAsia="宋体" w:cs="宋体"/>
          <w:color w:val="auto"/>
          <w:szCs w:val="24"/>
          <w:highlight w:val="none"/>
        </w:rPr>
      </w:pPr>
      <w:r>
        <w:rPr>
          <w:rFonts w:ascii="宋体" w:hAnsi="宋体" w:eastAsia="宋体" w:cs="宋体"/>
          <w:color w:val="auto"/>
          <w:szCs w:val="24"/>
          <w:highlight w:val="none"/>
        </w:rPr>
      </w:r>
      <w:r/>
    </w:p>
    <w:p>
      <w:pPr>
        <w:pStyle w:val="913"/>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18"/>
        <w:rPr>
          <w:rFonts w:ascii="宋体" w:hAnsi="宋体" w:eastAsia="宋体" w:cs="宋体"/>
          <w:color w:val="auto"/>
          <w:szCs w:val="24"/>
          <w:highlight w:val="none"/>
        </w:rPr>
      </w:pPr>
      <w:r>
        <w:rPr>
          <w:rFonts w:ascii="宋体" w:hAnsi="宋体" w:eastAsia="宋体" w:cs="宋体"/>
          <w:color w:val="auto"/>
          <w:szCs w:val="24"/>
          <w:highlight w:val="none"/>
        </w:rPr>
      </w:r>
      <w:r/>
    </w:p>
    <w:p>
      <w:pPr>
        <w:pStyle w:val="913"/>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18"/>
        <w:rPr>
          <w:rFonts w:ascii="宋体" w:hAnsi="宋体" w:eastAsia="宋体" w:cs="宋体"/>
          <w:color w:val="auto"/>
          <w:szCs w:val="24"/>
          <w:highlight w:val="none"/>
        </w:rPr>
      </w:pPr>
      <w:r>
        <w:rPr>
          <w:rFonts w:ascii="宋体" w:hAnsi="宋体" w:eastAsia="宋体" w:cs="宋体"/>
          <w:color w:val="auto"/>
          <w:szCs w:val="24"/>
          <w:highlight w:val="none"/>
        </w:rPr>
      </w:r>
      <w:r/>
    </w:p>
    <w:p>
      <w:pPr>
        <w:pStyle w:val="913"/>
        <w:rPr>
          <w:color w:val="auto"/>
          <w:highlight w:val="none"/>
        </w:rPr>
      </w:pPr>
      <w:r>
        <w:rPr>
          <w:color w:val="auto"/>
          <w:highlight w:val="none"/>
        </w:rPr>
      </w:r>
      <w:r/>
    </w:p>
    <w:p>
      <w:pPr>
        <w:pStyle w:val="913"/>
        <w:ind w:right="420"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3、关于资格文件的声明函</w:t>
      </w:r>
      <w:r/>
    </w:p>
    <w:p>
      <w:pPr>
        <w:pStyle w:val="913"/>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苏州正杰招投标咨询服务有限公司：</w:t>
      </w:r>
      <w:r/>
    </w:p>
    <w:p>
      <w:pPr>
        <w:pStyle w:val="913"/>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_________号的采购活动进行响应。本公司所提交的商务、技术及报价文件中所有关于资格的文件、证明和陈述均是真实的、准确的和有效的。若与事实情况不符，本公司愿意承担由此而产生的一切后果。</w:t>
      </w:r>
      <w:r/>
    </w:p>
    <w:p>
      <w:pPr>
        <w:pStyle w:val="913"/>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供应商：（单位盖章）</w:t>
      </w:r>
      <w:r/>
    </w:p>
    <w:p>
      <w:pPr>
        <w:pStyle w:val="913"/>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13"/>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13"/>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13"/>
        <w:ind w:right="420"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4、开标一览表</w:t>
      </w:r>
      <w:r/>
    </w:p>
    <w:p>
      <w:pPr>
        <w:jc w:val="cente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w:t>
      </w:r>
      <w:r/>
    </w:p>
    <w:tbl>
      <w:tblPr>
        <w:tblStyle w:val="958"/>
        <w:tblW w:w="99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2462"/>
        <w:gridCol w:w="2334"/>
        <w:gridCol w:w="2900"/>
        <w:gridCol w:w="1550"/>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4" w:type="dxa"/>
            <w:textDirection w:val="lrTb"/>
            <w:noWrap w:val="false"/>
          </w:tcPr>
          <w:p>
            <w:pPr>
              <w:jc w:val="center"/>
              <w:spacing w:line="3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标号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4"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6"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bl>
    <w:p>
      <w:pPr>
        <w:spacing w:before="240" w:after="240"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20"/>
        <w:spacing w:line="6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供应商：（单位盖章）</w:t>
      </w:r>
      <w:r/>
    </w:p>
    <w:p>
      <w:pPr>
        <w:pStyle w:val="976"/>
        <w:rPr>
          <w:color w:val="auto"/>
          <w:highlight w:val="none"/>
        </w:rPr>
      </w:pPr>
      <w:r>
        <w:rPr>
          <w:color w:val="auto"/>
          <w:highlight w:val="none"/>
        </w:rPr>
      </w:r>
      <w:r/>
    </w:p>
    <w:p>
      <w:pPr>
        <w:ind w:firstLine="420"/>
        <w:spacing w:line="6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法定代表人或代理人：（签字或盖章）</w:t>
      </w:r>
      <w:r/>
    </w:p>
    <w:p>
      <w:pPr>
        <w:pStyle w:val="976"/>
        <w:rPr>
          <w:color w:val="auto"/>
          <w:highlight w:val="none"/>
        </w:rPr>
      </w:pPr>
      <w:r>
        <w:rPr>
          <w:color w:val="auto"/>
          <w:highlight w:val="none"/>
        </w:rPr>
      </w:r>
      <w:r/>
    </w:p>
    <w:p>
      <w:pPr>
        <w:ind w:firstLine="420"/>
        <w:spacing w:line="6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left="420" w:firstLine="420"/>
        <w:spacing w:after="12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pStyle w:val="926"/>
        <w:spacing w:line="360" w:lineRule="auto"/>
        <w:rPr>
          <w:rFonts w:hAnsi="宋体" w:eastAsia="宋体" w:cs="宋体"/>
          <w:color w:val="auto"/>
          <w:sz w:val="24"/>
          <w:szCs w:val="24"/>
          <w:highlight w:val="none"/>
          <w:lang w:val="zh-CN"/>
        </w:rPr>
      </w:pPr>
      <w:r>
        <w:rPr>
          <w:rFonts w:hAnsi="宋体" w:eastAsia="宋体" w:cs="宋体"/>
          <w:color w:val="auto"/>
          <w:sz w:val="24"/>
          <w:szCs w:val="24"/>
          <w:highlight w:val="none"/>
          <w:lang w:val="zh-CN"/>
        </w:rPr>
      </w:r>
      <w:r/>
    </w:p>
    <w:p>
      <w:pPr>
        <w:pStyle w:val="1045"/>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045"/>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045"/>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913"/>
        <w:ind w:right="420" w:firstLine="0"/>
        <w:spacing w:line="360" w:lineRule="auto"/>
        <w:rPr>
          <w:rFonts w:ascii="宋体" w:hAnsi="宋体" w:eastAsia="宋体" w:cs="宋体"/>
          <w:b/>
          <w:color w:val="auto"/>
          <w:szCs w:val="24"/>
          <w:highlight w:val="none"/>
          <w:lang w:val="zh-CN"/>
        </w:rPr>
      </w:pPr>
      <w:r>
        <w:rPr>
          <w:rFonts w:hint="eastAsia" w:hAnsi="宋体" w:eastAsia="宋体" w:cs="宋体"/>
          <w:b/>
          <w:bCs/>
          <w:color w:val="auto"/>
          <w:szCs w:val="24"/>
          <w:highlight w:val="none"/>
        </w:rPr>
        <w:br w:type="page" w:clear="all"/>
      </w:r>
      <w:r>
        <w:rPr>
          <w:rFonts w:hint="eastAsia" w:ascii="宋体" w:hAnsi="宋体" w:eastAsia="宋体" w:cs="宋体"/>
          <w:b/>
          <w:bCs/>
          <w:color w:val="auto"/>
          <w:szCs w:val="24"/>
          <w:highlight w:val="none"/>
        </w:rPr>
        <w:t xml:space="preserve">5、</w:t>
      </w:r>
      <w:r>
        <w:rPr>
          <w:rFonts w:hint="eastAsia" w:ascii="宋体" w:hAnsi="宋体" w:eastAsia="宋体" w:cs="宋体"/>
          <w:b/>
          <w:bCs/>
          <w:color w:val="auto"/>
          <w:szCs w:val="24"/>
          <w:highlight w:val="none"/>
          <w:lang w:val="zh-CN"/>
        </w:rPr>
        <w:t xml:space="preserve">中小企业声明函</w:t>
      </w:r>
      <w:r/>
    </w:p>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苏州正杰招投标咨询服务有限公司</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val="zh-CN"/>
        </w:rPr>
        <w:t xml:space="preserve">（单位名称）</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（招标文件中明确的所属行业）</w:t>
      </w:r>
      <w:r>
        <w:rPr>
          <w:rFonts w:hint="eastAsia" w:ascii="宋体" w:hAnsi="宋体" w:eastAsia="宋体" w:cs="宋体"/>
          <w:color w:val="auto"/>
          <w:sz w:val="24"/>
          <w:szCs w:val="24"/>
          <w:highlight w:val="none"/>
          <w:lang w:val="zh-CN"/>
        </w:rPr>
        <w:t xml:space="preserve">；承建（承接）企业为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（中型企业、小型企业、微型企业）</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w:t>
      </w:r>
      <w:r>
        <w:rPr>
          <w:rFonts w:hint="eastAsia" w:ascii="宋体" w:hAnsi="宋体" w:eastAsia="宋体" w:cs="宋体"/>
          <w:color w:val="auto"/>
          <w:sz w:val="24"/>
          <w:szCs w:val="24"/>
          <w:highlight w:val="none"/>
          <w:lang w:val="zh-CN"/>
        </w:rPr>
        <w:t xml:space="preserve">；承建（承接）企业为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（中型企业、小型企业、微型企业）</w:t>
      </w:r>
      <w:r>
        <w:rPr>
          <w:rFonts w:hint="eastAsia" w:ascii="宋体" w:hAnsi="宋体" w:eastAsia="宋体" w:cs="宋体"/>
          <w:color w:val="auto"/>
          <w:sz w:val="24"/>
          <w:szCs w:val="24"/>
          <w:highlight w:val="none"/>
          <w:lang w:val="zh-CN"/>
        </w:rPr>
        <w:t xml:space="preserve">；</w:t>
      </w:r>
      <w:r/>
    </w:p>
    <w:p>
      <w:pPr>
        <w:ind w:firstLine="7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7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7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firstLine="49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企业名称（盖章）：</w:t>
      </w:r>
      <w:r/>
    </w:p>
    <w:p>
      <w:pPr>
        <w:ind w:firstLine="49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5、成交供应商为中小企业的，《中小企业声明函》将随成交结果同时公告。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附：中小企业划型标准规定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440" w:lineRule="exact"/>
        <w:rPr>
          <w:rFonts w:ascii="宋体" w:hAnsi="宋体" w:eastAsia="宋体" w:cs="宋体"/>
          <w:b/>
          <w:bCs/>
          <w:color w:val="auto"/>
          <w:sz w:val="24"/>
          <w:szCs w:val="24"/>
          <w:highlight w:val="none"/>
        </w:rPr>
        <w:outlineLvl w:val="0"/>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6、残疾人福利性单位声明函</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13"/>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w:t>
      </w:r>
      <w:r/>
    </w:p>
    <w:p>
      <w:pPr>
        <w:pStyle w:val="913"/>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13"/>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7、服务和商务偏离表</w:t>
      </w:r>
      <w:r/>
    </w:p>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服务条款偏离表</w:t>
      </w:r>
      <w:r/>
    </w:p>
    <w:p>
      <w:pPr>
        <w:spacing w:line="38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单位名称（盖章）：                      </w:t>
      </w:r>
      <w:r/>
    </w:p>
    <w:tbl>
      <w:tblPr>
        <w:tblStyle w:val="9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613"/>
        <w:gridCol w:w="1819"/>
        <w:gridCol w:w="1623"/>
        <w:gridCol w:w="1935"/>
        <w:gridCol w:w="1804"/>
      </w:tblGrid>
      <w:tr>
        <w:trPr>
          <w:trHeight w:val="6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before="240" w:after="24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响应人应对照采购文件要求，所提供的服务与采购文件的规定有偏离的，应在此表中申明与采购要求的偏差和例外。未在上表中说明的，如在响应文件其他内容中已有文字说明的，则以已有文字说明为准，否则，将被认为完全响应采购文件的规定。</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供应商：（单位盖章）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法定代表人或代理人：（签字或盖章）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商务条款偏离表</w:t>
      </w:r>
      <w:r/>
    </w:p>
    <w:p>
      <w:pPr>
        <w:spacing w:line="38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单位名称（盖章）：  </w:t>
      </w:r>
      <w:r/>
    </w:p>
    <w:tbl>
      <w:tblPr>
        <w:tblStyle w:val="9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2780"/>
        <w:gridCol w:w="2065"/>
        <w:gridCol w:w="1755"/>
        <w:gridCol w:w="2066"/>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0"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备注</w:t>
            </w:r>
            <w:r/>
          </w:p>
        </w:tc>
      </w:tr>
      <w:tr>
        <w:trPr>
          <w:trHeight w:val="3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ind w:firstLine="24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before="240" w:after="24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响应人的响应文件（除服务要求部分）与采购文件规定的有偏离的，应在此表中说明。未在上表中说明的，如在响应文件其他内容中已有文字说明的，则以已有文字说明为准，否则，将被认为完全响应采购文件的规定。</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供应商：（单位盖章）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法定代表人或代理人：（签字或盖章）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第四章 采购需求</w:t>
      </w:r>
      <w:r/>
    </w:p>
    <w:p>
      <w:pPr>
        <w:ind w:firstLine="480"/>
        <w:spacing w:line="360" w:lineRule="auto"/>
        <w:rPr>
          <w:rFonts w:ascii="宋体" w:hAnsi="宋体" w:eastAsia="宋体" w:cs="宋体"/>
          <w:color w:val="auto"/>
          <w:sz w:val="24"/>
          <w:szCs w:val="24"/>
          <w:highlight w:val="none"/>
        </w:rPr>
      </w:pPr>
      <w:r/>
      <w:bookmarkStart w:id="6" w:name="_Toc13642116"/>
      <w:r>
        <w:rPr>
          <w:rFonts w:hint="eastAsia" w:ascii="宋体" w:hAnsi="宋体" w:eastAsia="宋体" w:cs="宋体"/>
          <w:bCs/>
          <w:color w:val="auto"/>
          <w:sz w:val="24"/>
          <w:szCs w:val="24"/>
          <w:highlight w:val="none"/>
        </w:rPr>
        <w:t xml:space="preserve">苏州正杰招投标咨询服务有限公司受苏州市自然资源和规划局的委托，就其所需的</w:t>
      </w:r>
      <w:r>
        <w:rPr>
          <w:rFonts w:hint="eastAsia" w:ascii="宋体" w:hAnsi="宋体" w:eastAsia="宋体" w:cs="宋体"/>
          <w:color w:val="auto"/>
          <w:sz w:val="24"/>
          <w:szCs w:val="24"/>
          <w:highlight w:val="none"/>
          <w:lang w:eastAsia="zh-CN"/>
        </w:rPr>
        <w:t xml:space="preserve">2026年苏州市现代测绘基准体系维护</w:t>
      </w:r>
      <w:r>
        <w:rPr>
          <w:rFonts w:hint="eastAsia" w:ascii="宋体" w:hAnsi="宋体" w:eastAsia="宋体" w:cs="宋体"/>
          <w:color w:val="auto"/>
          <w:sz w:val="24"/>
          <w:szCs w:val="24"/>
          <w:highlight w:val="none"/>
        </w:rPr>
        <w:t xml:space="preserve">项目</w:t>
      </w:r>
      <w:r>
        <w:rPr>
          <w:rFonts w:hint="eastAsia" w:ascii="宋体" w:hAnsi="宋体" w:eastAsia="宋体" w:cs="宋体"/>
          <w:bCs/>
          <w:color w:val="auto"/>
          <w:sz w:val="24"/>
          <w:szCs w:val="24"/>
          <w:highlight w:val="none"/>
        </w:rPr>
        <w:t xml:space="preserve">以竞争性磋商方式组织政府采购，欢迎符合条件的供应商参加</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一、采购编号：</w:t>
      </w:r>
      <w:r>
        <w:rPr>
          <w:rFonts w:hint="eastAsia" w:ascii="宋体" w:hAnsi="宋体" w:eastAsia="宋体" w:cs="宋体"/>
          <w:b/>
          <w:bCs/>
          <w:color w:val="auto"/>
          <w:sz w:val="24"/>
          <w:szCs w:val="24"/>
          <w:highlight w:val="none"/>
          <w:lang w:eastAsia="zh-CN"/>
        </w:rPr>
        <w:t xml:space="preserve">JSZC-320500-SZZJ-C2026-0030</w:t>
      </w:r>
      <w:r>
        <w:rPr>
          <w:rFonts w:hint="eastAsia" w:ascii="宋体" w:hAnsi="宋体" w:eastAsia="宋体" w:cs="宋体"/>
          <w:b/>
          <w:bCs/>
          <w:color w:val="auto"/>
          <w:sz w:val="24"/>
          <w:szCs w:val="24"/>
          <w:highlight w:val="none"/>
        </w:rPr>
        <w:t xml:space="preserve">号。</w:t>
      </w:r>
      <w:r/>
    </w:p>
    <w:p>
      <w:pPr>
        <w:ind w:firstLine="482"/>
        <w:spacing w:line="360" w:lineRule="auto"/>
        <w:tabs>
          <w:tab w:val="left" w:pos="567"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二、采购需求：</w:t>
      </w:r>
      <w:bookmarkEnd w:id="6"/>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（一）项目背景</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苏州市人民政府办公室《关于印发苏州市“十三五”基础测绘规划的通知》（苏府办[2017]129号）文件要求，从2019年开始，苏州市自然资源和规划局牵头实施基础测绘规划的重点工程之一“测绘基准升级改造工程”。2019年-2021年已完成苏州市现代测绘基准体系维护与升级工程建设工作，主要完成了整体方案的研究，建立了苏州全市域城市平面坐标系统（苏州2000坐标系）及新一代高程基准体系，并建立了新旧坐标系统的转换关系、苏州市B级GNSS控制网布测、苏州市高等级水准网布测、苏州市区似大地水准面精化工作。</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eastAsia="宋体" w:cs="宋体"/>
          <w:b w:val="0"/>
          <w:bCs w:val="0"/>
          <w:color w:val="auto"/>
          <w:sz w:val="24"/>
          <w:szCs w:val="24"/>
          <w:highlight w:val="none"/>
          <w:lang w:val="en-US" w:eastAsia="zh-CN"/>
        </w:rPr>
        <w:t xml:space="preserve">苏州基础测绘规划</w:t>
      </w:r>
      <w:r>
        <w:rPr>
          <w:rFonts w:hint="eastAsia" w:ascii="宋体" w:hAnsi="宋体" w:eastAsia="宋体" w:cs="宋体"/>
          <w:b w:val="0"/>
          <w:bCs w:val="0"/>
          <w:color w:val="auto"/>
          <w:sz w:val="24"/>
          <w:szCs w:val="24"/>
          <w:highlight w:val="none"/>
        </w:rPr>
        <w:t xml:space="preserve">文件要求，开展包括测量标志普查维护、卫星导航定位基准站网（CORS)运行维护等现代测绘基准体系维护工作，提升测绘基准服务能力，为全市测绘地理信息工作提供高精度、稳定的空间基准服务支撑。</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1、标志维护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1.1对苏州市区范围内B级GNSS控制点、一二等水准点等城市控制点标志进行现场查勘。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1.2根据现场查勘结果，对遭到破坏和损坏的城市控制点标志进行复建和维修。</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2、CORS站网的维护升级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2.1基准站维护：对SZ-CORS的</w:t>
      </w:r>
      <w:r>
        <w:rPr>
          <w:rFonts w:hint="eastAsia" w:ascii="宋体" w:hAnsi="宋体" w:eastAsia="宋体" w:cs="宋体"/>
          <w:color w:val="auto"/>
          <w:sz w:val="24"/>
          <w:szCs w:val="24"/>
          <w:highlight w:val="none"/>
          <w:lang w:val="en-US" w:eastAsia="zh-CN"/>
        </w:rPr>
        <w:t xml:space="preserve">基准站</w:t>
      </w:r>
      <w:r>
        <w:rPr>
          <w:rFonts w:hint="eastAsia" w:ascii="宋体" w:hAnsi="宋体" w:eastAsia="宋体" w:cs="宋体"/>
          <w:color w:val="auto"/>
          <w:sz w:val="24"/>
          <w:szCs w:val="24"/>
          <w:highlight w:val="none"/>
          <w:lang w:val="en-US" w:eastAsia="zh-CN" w:bidi="ar-SA"/>
        </w:rPr>
        <w:t xml:space="preserve">定期进行接收机、UPS电源检测、网络等进行运行监控、仪器年检、维护、更新、清洁工作</w:t>
      </w:r>
      <w:r>
        <w:rPr>
          <w:rFonts w:hint="eastAsia" w:ascii="宋体" w:hAnsi="宋体" w:eastAsia="宋体" w:cs="宋体"/>
          <w:color w:val="auto"/>
          <w:sz w:val="24"/>
          <w:szCs w:val="24"/>
          <w:highlight w:val="none"/>
        </w:rPr>
        <w:t xml:space="preserve">，并定期实施基准站现场清洁、接收机检查、天线高复核、用电安全排查、电阻测量、防雷检测、仪器检定等工作，针对特殊突发情况进行系统应急维护。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2.2控制中心维护：</w:t>
      </w:r>
      <w:r>
        <w:rPr>
          <w:rFonts w:hint="eastAsia" w:ascii="宋体" w:hAnsi="宋体" w:eastAsia="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rPr>
        <w:t xml:space="preserve">对控制中心各计算机的软件、硬件、网络、通讯设备、安全设备等进行更新、维护。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2.3数据管理：对各基准站GNSS数据和用户信息数据进行备份、归档。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2.4用户服务：将入网用户提供账号注册服务，并提供相关的软硬件配置指导及服务。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2.5基准站坐标复测及分析：对基准站网进行坐标复测，并根据各基站坐标的变化量进行分析处理。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3、测绘基准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bookmarkStart w:id="7" w:name="_Toc263104924"/>
      <w:r/>
      <w:bookmarkStart w:id="8" w:name="_Toc471045517"/>
      <w:r/>
      <w:bookmarkStart w:id="9" w:name="_Toc366066537"/>
      <w:r>
        <w:rPr>
          <w:rFonts w:hint="eastAsia" w:ascii="宋体" w:hAnsi="宋体" w:eastAsia="宋体" w:cs="宋体"/>
          <w:color w:val="auto"/>
          <w:sz w:val="24"/>
          <w:szCs w:val="24"/>
          <w:highlight w:val="none"/>
        </w:rPr>
        <w:t xml:space="preserve">平面</w:t>
      </w:r>
      <w:bookmarkEnd w:id="7"/>
      <w:r>
        <w:rPr>
          <w:rFonts w:hint="eastAsia" w:ascii="宋体" w:hAnsi="宋体" w:eastAsia="宋体" w:cs="宋体"/>
          <w:color w:val="auto"/>
          <w:sz w:val="24"/>
          <w:szCs w:val="24"/>
          <w:highlight w:val="none"/>
        </w:rPr>
        <w:t xml:space="preserve">坐标系</w:t>
      </w:r>
      <w:bookmarkEnd w:id="8"/>
      <w:r/>
      <w:bookmarkEnd w:id="9"/>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（1）“苏州2000坐标系”。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3.2高程系统与基准：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（1）高程系统：正常高系统。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（2）高程基准：1985国家高程基准。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4、引用文件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CJJ/T 8—2011《城市测量规范》；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"http://www.csres.com/detail/361094.html" \t "http://www.csres.com/detail/_blank"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GB 50026-2020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《工程测量标准》；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CJJ/T 73—2010《卫星定位城市测量技术规程》；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GB/T 24356—2009 《测绘成果质量检查与验收》；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GB 50174-2008 《电子信息系统机房设计规范》；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GB 17859-1999《计算机信息系统安全保护等级划分准则》；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 GB/T 3482-2008《电子设备雷击试验方法》；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 GB 50343-2012《建筑物电子信息系统防雷技术规范》；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 GB/T 24356-2009 《测绘成果质量检查与验收》。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5、成果提供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5.1测量标志的普查维护成果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（1）点之记；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（2）点位写真（近景、远景照片）；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（3）平面概略坐标成果表；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（4）测量标志委托保管书；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（5）技术设计书、技术总结等文档资料；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（6）其他相关成果。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CORS站网的维护升级成果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（1）基准站维护资料；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（2）控制中心维护资料；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（3）用户服务资料；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（4）基准站坐标复测及分析处理资料；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（5）数据管理资料；</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（6）技术设计书、技术总结等文档资料。</w:t>
      </w:r>
      <w:r/>
    </w:p>
    <w:p>
      <w:pPr>
        <w:ind w:firstLine="480"/>
        <w:jc w:val="left"/>
        <w:spacing w:line="360" w:lineRule="auto"/>
        <w:rPr>
          <w:rFonts w:hint="eastAsia" w:ascii="宋体" w:hAnsi="宋体" w:eastAsia="宋体" w:cs="宋体"/>
          <w:b w:val="0"/>
          <w:bCs w:val="0"/>
          <w:color w:val="auto"/>
          <w:sz w:val="24"/>
          <w:szCs w:val="24"/>
          <w:highlight w:val="none"/>
          <w:lang w:val="en-US" w:eastAsia="zh-CN"/>
        </w:rPr>
      </w:pPr>
      <w:r/>
      <w:bookmarkStart w:id="10" w:name="OLE_LINK2"/>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人员基本要求：</w:t>
      </w:r>
      <w:r/>
    </w:p>
    <w:p>
      <w:pPr>
        <w:ind w:firstLine="480"/>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为确保工作的有序开展，服务单位需指派具有丰富经验的技术人员提供服务，提供服务团队不少于</w:t>
      </w:r>
      <w:r>
        <w:rPr>
          <w:rFonts w:hint="default"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人，其中项目经理1人、技术负责人1人、质量负责人1人，其他服务人员(项目经理除外)不少于</w:t>
      </w:r>
      <w:r>
        <w:rPr>
          <w:rFonts w:hint="default"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人(含</w:t>
      </w:r>
      <w:r>
        <w:rPr>
          <w:rFonts w:hint="default"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人)。</w:t>
      </w:r>
      <w:bookmarkEnd w:id="10"/>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成果</w:t>
      </w:r>
      <w:r>
        <w:rPr>
          <w:rFonts w:hint="eastAsia" w:ascii="宋体" w:hAnsi="宋体" w:eastAsia="宋体" w:cs="宋体"/>
          <w:b/>
          <w:bCs/>
          <w:color w:val="auto"/>
          <w:sz w:val="24"/>
          <w:szCs w:val="24"/>
          <w:highlight w:val="none"/>
        </w:rPr>
        <w:t xml:space="preserve">最终知识产权归采购单位所属。</w:t>
      </w:r>
      <w:r/>
    </w:p>
    <w:p>
      <w:pPr>
        <w:ind w:firstLine="482"/>
        <w:spacing w:line="360" w:lineRule="auto"/>
        <w:tabs>
          <w:tab w:val="left" w:pos="567"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三、有关说明：</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2、供应商须在项目实施前把详细的实施方案报送采购人审批，经批准同意后方可以组织实施。在项目实施期间供应商应遵守项目现场及采购人的各项规章制度。</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3、供应商在项目实施期间应无条件的接受采购人的监督管理，提出的质量问题要及时整改，整改完毕后通知采购人检查验收，合格后书面报送采购人备案。</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5、与本次采购项目有关的质量、安全问题均由供应商负责，相关的人员、财产责任风险均由供应商承担。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次采购人拟采购的产品均不属于《节能产品政府采购品目清单》范围内的政府强制采购产品，也均不属于《节能产品政府采购品目清单》、《环境标志产品政府采购品目清单》范围内优先采购的产品（不包含政府强制采购产品）。</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p>
    <w:p>
      <w:pPr>
        <w:ind w:firstLine="482"/>
        <w:spacing w:line="360" w:lineRule="auto"/>
        <w:tabs>
          <w:tab w:val="left" w:pos="567"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四、综合要求：</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、若采购文件中涉及品牌或品牌导向，则仅作参考。</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、响应文件须如实进行响应，量化指标必须列明具体数值。供应商在其响应文件中对于采购文件要求提供的货物或服务情况均须进行完整的阐述和说明。</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、供应商须在响应报价中对所要采购的全部内容进行报价，只投其中部分内容者，其响应文件将被拒绝，采购人除支付本次采购项目的成交金额外不再</w:t>
      </w:r>
      <w:r>
        <w:rPr>
          <w:rFonts w:hint="eastAsia" w:ascii="宋体" w:hAnsi="宋体" w:eastAsia="宋体" w:cs="宋体"/>
          <w:color w:val="auto"/>
          <w:sz w:val="24"/>
          <w:szCs w:val="24"/>
          <w:highlight w:val="none"/>
          <w:lang w:val="en-US" w:eastAsia="zh-CN"/>
        </w:rPr>
        <w:t xml:space="preserve">对供应商</w:t>
      </w:r>
      <w:r>
        <w:rPr>
          <w:rFonts w:hint="eastAsia" w:ascii="宋体" w:hAnsi="宋体" w:eastAsia="宋体" w:cs="宋体"/>
          <w:color w:val="auto"/>
          <w:sz w:val="24"/>
          <w:szCs w:val="24"/>
          <w:highlight w:val="none"/>
        </w:rPr>
        <w:t xml:space="preserve">承担其他任何费用。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5、项目地点：采购人指定地点（苏州大市范围内）。</w:t>
      </w:r>
      <w:r/>
    </w:p>
    <w:p>
      <w:pPr>
        <w:ind w:firstLine="480"/>
        <w:spacing w:line="360" w:lineRule="auto"/>
        <w:rPr>
          <w:rFonts w:hint="eastAsia"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服务要求：</w:t>
      </w: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在接到采购人修正报告的服务要求时，须及时响应和解决。在</w:t>
      </w:r>
      <w:r>
        <w:rPr>
          <w:rFonts w:hint="eastAsia" w:ascii="宋体" w:hAnsi="宋体" w:eastAsia="宋体" w:cs="宋体"/>
          <w:color w:val="auto"/>
          <w:sz w:val="24"/>
          <w:szCs w:val="24"/>
          <w:highlight w:val="none"/>
          <w:lang w:val="zh-CN"/>
        </w:rPr>
        <w:t xml:space="preserve">2小时内必须响应（电话或远程服务），紧急情况下按照采购人需求，予以修正和解决采购人提出的服务要求。</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验收要求：按国家相关法律法规、行业相关标准及采购文件要求和成交单位的承诺进行验收。</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、凡涉及本项目的补充说明和修改，均以苏州政府采购网上发布的信息为准。</w:t>
      </w:r>
      <w:r/>
    </w:p>
    <w:p>
      <w:pPr>
        <w:pStyle w:val="918"/>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8"/>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8"/>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8"/>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8"/>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8"/>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3"/>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899"/>
        <w:rPr>
          <w:rFonts w:eastAsia="宋体" w:cs="宋体"/>
          <w:bCs/>
          <w:color w:val="auto"/>
          <w:sz w:val="24"/>
          <w:szCs w:val="24"/>
          <w:highlight w:val="none"/>
        </w:rPr>
      </w:pPr>
      <w:r>
        <w:rPr>
          <w:rFonts w:eastAsia="宋体" w:cs="宋体"/>
          <w:bCs/>
          <w:color w:val="auto"/>
          <w:sz w:val="24"/>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899"/>
        <w:rPr>
          <w:rFonts w:eastAsia="宋体" w:cs="宋体"/>
          <w:bCs/>
          <w:color w:val="auto"/>
          <w:sz w:val="24"/>
          <w:szCs w:val="24"/>
          <w:highlight w:val="none"/>
        </w:rPr>
      </w:pPr>
      <w:r>
        <w:rPr>
          <w:rFonts w:eastAsia="宋体" w:cs="宋体"/>
          <w:bCs/>
          <w:color w:val="auto"/>
          <w:sz w:val="24"/>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899"/>
        <w:rPr>
          <w:rFonts w:eastAsia="宋体" w:cs="宋体"/>
          <w:bCs/>
          <w:color w:val="auto"/>
          <w:sz w:val="24"/>
          <w:szCs w:val="24"/>
          <w:highlight w:val="none"/>
        </w:rPr>
      </w:pPr>
      <w:r>
        <w:rPr>
          <w:rFonts w:eastAsia="宋体" w:cs="宋体"/>
          <w:bCs/>
          <w:color w:val="auto"/>
          <w:sz w:val="24"/>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899"/>
        <w:rPr>
          <w:rFonts w:eastAsia="宋体" w:cs="宋体"/>
          <w:bCs/>
          <w:color w:val="auto"/>
          <w:sz w:val="24"/>
          <w:szCs w:val="24"/>
          <w:highlight w:val="none"/>
        </w:rPr>
      </w:pPr>
      <w:r>
        <w:rPr>
          <w:rFonts w:eastAsia="宋体" w:cs="宋体"/>
          <w:bCs/>
          <w:color w:val="auto"/>
          <w:sz w:val="24"/>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899"/>
        <w:rPr>
          <w:rFonts w:eastAsia="宋体" w:cs="宋体"/>
          <w:bCs/>
          <w:color w:val="auto"/>
          <w:sz w:val="24"/>
          <w:szCs w:val="24"/>
          <w:highlight w:val="none"/>
        </w:rPr>
      </w:pPr>
      <w:r>
        <w:rPr>
          <w:rFonts w:eastAsia="宋体" w:cs="宋体"/>
          <w:bCs/>
          <w:color w:val="auto"/>
          <w:sz w:val="24"/>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74"/>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75"/>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75"/>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75"/>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75"/>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75"/>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75"/>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75"/>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75"/>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75"/>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8"/>
        <w:jc w:val="center"/>
        <w:spacing w:line="360" w:lineRule="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第五章 合同主要条款</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                       </w:t>
      </w:r>
      <w:r/>
    </w:p>
    <w:p>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项目编号：</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乙方（成交供应商）：</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pStyle w:val="976"/>
        <w:rPr>
          <w:color w:val="auto"/>
          <w:highlight w:val="none"/>
        </w:rPr>
      </w:pP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  项目(项目名称)经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竞争性磋商方式进行采购，并依法确定乙方为成交供应商。根据《中华人民共和国民法典》和《中华人民共和国政府采购法》等有关法律法规，为明确采购人（甲方）和成交供应商（乙方）采购过程中的权利、义务和经济责任，双方遵循平等、自愿、公平和诚实信用原则，经友好协商，同意按照下面的条款和条件订立本合同，以资共同遵守。</w:t>
      </w:r>
      <w:r/>
    </w:p>
    <w:p>
      <w:pPr>
        <w:numPr>
          <w:ilvl w:val="0"/>
          <w:numId w:val="7"/>
        </w:num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项目名称：</w:t>
      </w:r>
      <w:r/>
    </w:p>
    <w:p>
      <w:pPr>
        <w:numPr>
          <w:ilvl w:val="0"/>
          <w:numId w:val="0"/>
        </w:num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 xml:space="preserve">2026年苏州市现代测绘基准体系维护。</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二、下列文件为本合同不可分割部分：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（一）成交通知书；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（二）本项目采购文件；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（三）乙方中标的响应文件；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（四）乙方在招投标过程中所作的其它承诺、声明、书面澄清等。</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b/>
          <w:color w:val="auto"/>
          <w:sz w:val="24"/>
          <w:highlight w:val="none"/>
          <w:lang w:eastAsia="zh-CN"/>
        </w:rPr>
        <w:t xml:space="preserve">合同履行期限与合同</w:t>
      </w:r>
      <w:r>
        <w:rPr>
          <w:rFonts w:hint="eastAsia" w:ascii="宋体" w:hAnsi="宋体" w:eastAsia="宋体" w:cs="宋体"/>
          <w:b/>
          <w:color w:val="auto"/>
          <w:sz w:val="24"/>
          <w:highlight w:val="none"/>
        </w:rPr>
        <w:t xml:space="preserve">金额：</w:t>
      </w:r>
      <w:r/>
    </w:p>
    <w:p>
      <w:pPr>
        <w:ind w:firstLine="480"/>
        <w:jc w:val="left"/>
        <w:spacing w:line="360" w:lineRule="auto"/>
        <w:rPr>
          <w:rFonts w:hint="eastAsia" w:ascii="宋体" w:hAnsi="宋体" w:eastAsia="宋体" w:cs="宋体"/>
          <w:b/>
          <w:bCs/>
          <w:color w:val="auto"/>
          <w:sz w:val="24"/>
          <w:highlight w:val="none"/>
          <w:u w:val="single"/>
          <w:lang w:eastAsia="zh-CN"/>
        </w:rPr>
      </w:pPr>
      <w:r>
        <w:rPr>
          <w:rFonts w:hint="eastAsia" w:ascii="宋体" w:hAnsi="宋体" w:eastAsia="宋体" w:cs="宋体"/>
          <w:b w:val="0"/>
          <w:bCs w:val="0"/>
          <w:color w:val="auto"/>
          <w:sz w:val="24"/>
          <w:highlight w:val="none"/>
        </w:rPr>
        <w:t xml:space="preserve">1、</w:t>
      </w:r>
      <w:r>
        <w:rPr>
          <w:rFonts w:hint="eastAsia" w:ascii="宋体" w:hAnsi="宋体" w:eastAsia="宋体" w:cs="宋体"/>
          <w:color w:val="auto"/>
          <w:sz w:val="24"/>
          <w:szCs w:val="20"/>
          <w:highlight w:val="none"/>
        </w:rPr>
        <w:t xml:space="preserve">合同履行期限：</w:t>
      </w:r>
      <w:r>
        <w:rPr>
          <w:rFonts w:hint="eastAsia" w:ascii="宋体" w:hAnsi="宋体" w:eastAsia="宋体" w:cs="宋体"/>
          <w:color w:val="auto"/>
          <w:sz w:val="24"/>
          <w:szCs w:val="20"/>
          <w:highlight w:val="none"/>
          <w:lang w:val="en-US" w:eastAsia="zh-CN"/>
        </w:rPr>
        <w:t xml:space="preserve">自合同签订之日起至2027年11月30日止</w:t>
      </w:r>
      <w:r>
        <w:rPr>
          <w:rFonts w:hint="eastAsia" w:ascii="宋体" w:hAnsi="宋体" w:eastAsia="宋体" w:cs="宋体"/>
          <w:bCs w:val="0"/>
          <w:color w:val="auto"/>
          <w:sz w:val="24"/>
          <w:highlight w:val="none"/>
          <w:lang w:eastAsia="zh-CN"/>
        </w:rPr>
        <w:t xml:space="preserve">。</w:t>
      </w:r>
      <w:r/>
    </w:p>
    <w:p>
      <w:pPr>
        <w:ind w:firstLine="480"/>
        <w:spacing w:line="360" w:lineRule="auto"/>
        <w:widowControl/>
        <w:tabs>
          <w:tab w:val="left" w:pos="420" w:leader="none"/>
          <w:tab w:val="left" w:pos="5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2、合同金额为人民币（大写）：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元整（¥</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rPr>
        <w:t xml:space="preserve">，包括</w:t>
      </w:r>
      <w:r>
        <w:rPr>
          <w:rFonts w:hint="eastAsia" w:ascii="宋体" w:hAnsi="宋体" w:eastAsia="宋体" w:cs="宋体"/>
          <w:color w:val="auto"/>
          <w:sz w:val="24"/>
          <w:highlight w:val="none"/>
          <w:lang w:eastAsia="zh-CN"/>
        </w:rPr>
        <w:t xml:space="preserve">代理服务费、项目验收专家评审费、</w:t>
      </w:r>
      <w:r>
        <w:rPr>
          <w:rFonts w:hint="eastAsia" w:ascii="宋体" w:hAnsi="宋体" w:eastAsia="宋体" w:cs="宋体"/>
          <w:color w:val="auto"/>
          <w:sz w:val="24"/>
          <w:highlight w:val="none"/>
        </w:rPr>
        <w:t xml:space="preserve">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乙方自行承担。</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四、合同</w:t>
      </w:r>
      <w:r>
        <w:rPr>
          <w:rFonts w:hint="eastAsia" w:ascii="宋体" w:hAnsi="宋体" w:eastAsia="宋体" w:cs="宋体"/>
          <w:b/>
          <w:color w:val="auto"/>
          <w:sz w:val="24"/>
          <w:highlight w:val="none"/>
          <w:lang w:val="en-US" w:eastAsia="zh-CN"/>
        </w:rPr>
        <w:t xml:space="preserve">金额</w:t>
      </w:r>
      <w:r>
        <w:rPr>
          <w:rFonts w:hint="eastAsia" w:ascii="宋体" w:hAnsi="宋体" w:eastAsia="宋体" w:cs="宋体"/>
          <w:b/>
          <w:color w:val="auto"/>
          <w:sz w:val="24"/>
          <w:highlight w:val="none"/>
        </w:rPr>
        <w:t xml:space="preserve">的支付及付款方式：</w:t>
      </w:r>
      <w:r/>
    </w:p>
    <w:p>
      <w:pPr>
        <w:ind w:firstLine="480"/>
        <w:jc w:val="left"/>
        <w:spacing w:line="360" w:lineRule="auto"/>
        <w:widowControl/>
        <w:tabs>
          <w:tab w:val="left" w:pos="420" w:leader="none"/>
          <w:tab w:val="left" w:pos="540" w:leader="none"/>
        </w:tabs>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1、支付步骤：签订合同</w:t>
      </w:r>
      <w:r>
        <w:rPr>
          <w:rFonts w:hint="eastAsia" w:ascii="宋体" w:hAnsi="宋体" w:eastAsia="宋体" w:cs="宋体"/>
          <w:color w:val="auto"/>
          <w:sz w:val="24"/>
          <w:highlight w:val="none"/>
          <w:lang w:eastAsia="zh-CN"/>
        </w:rPr>
        <w:t xml:space="preserve">之日起</w:t>
      </w:r>
      <w:r>
        <w:rPr>
          <w:rFonts w:hint="eastAsia" w:ascii="宋体" w:hAnsi="宋体" w:eastAsia="宋体" w:cs="宋体"/>
          <w:color w:val="auto"/>
          <w:sz w:val="24"/>
          <w:highlight w:val="none"/>
        </w:rPr>
        <w:t xml:space="preserve">60日内支付合同金额的</w:t>
      </w:r>
      <w:r>
        <w:rPr>
          <w:rFonts w:hint="eastAsia" w:ascii="宋体" w:hAnsi="宋体" w:eastAsia="宋体" w:cs="宋体"/>
          <w:color w:val="auto"/>
          <w:sz w:val="24"/>
          <w:highlight w:val="none"/>
          <w:lang w:val="en-US" w:eastAsia="zh-CN"/>
        </w:rPr>
        <w:t xml:space="preserve">40</w:t>
      </w:r>
      <w:r>
        <w:rPr>
          <w:rFonts w:hint="eastAsia" w:ascii="宋体" w:hAnsi="宋体" w:eastAsia="宋体" w:cs="宋体"/>
          <w:color w:val="auto"/>
          <w:sz w:val="24"/>
          <w:highlight w:val="none"/>
        </w:rPr>
        <w:t xml:space="preserve">%作为预付款；完成合同约定的事项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提交最终成果经验收通过后60日内支付余款。</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2、甲方除支付上述费用外不再承担其它任何费用（包括个人），服务人员的薪金、福利、休假日补贴等由乙方给付，与甲方无关。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3、乙方要求付款之前应提供合格的发票，否则甲方有权延期支付，而不承担违约责任。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4、付款方式：银行汇票或转账。</w:t>
      </w:r>
      <w:r/>
    </w:p>
    <w:p>
      <w:pPr>
        <w:ind w:firstLine="480"/>
        <w:spacing w:line="360" w:lineRule="auto"/>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受托方收款账户： </w:t>
      </w:r>
      <w:r/>
    </w:p>
    <w:p>
      <w:pPr>
        <w:ind w:firstLine="480"/>
        <w:spacing w:line="360" w:lineRule="auto"/>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单位名称： </w:t>
      </w:r>
      <w:r/>
    </w:p>
    <w:p>
      <w:pPr>
        <w:ind w:firstLine="480"/>
        <w:spacing w:line="360" w:lineRule="auto"/>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开户银行：  </w:t>
      </w:r>
      <w:r/>
    </w:p>
    <w:p>
      <w:pPr>
        <w:ind w:firstLine="480"/>
        <w:spacing w:line="360" w:lineRule="auto"/>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银行账号：  </w:t>
      </w:r>
      <w:r/>
    </w:p>
    <w:p>
      <w:pPr>
        <w:ind w:firstLine="480"/>
        <w:spacing w:line="360" w:lineRule="auto"/>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数字人民币账号：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5、根据国家现行税法对甲方征收的与本合同有关的税费均由甲方承担；根据国家现行税法对乙方征收的与本合同有关的一切税费均由乙方承担。</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五、采购需求：详见招标文件要求。</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六、履约验收</w:t>
      </w:r>
      <w:r>
        <w:rPr>
          <w:rFonts w:hint="eastAsia" w:ascii="宋体" w:hAnsi="宋体" w:eastAsia="宋体" w:cs="宋体"/>
          <w:b/>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验收时间：全部服务内容完成后，甲方5个工作日内启动履约验收程序。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验收内容：包括服务质量、服务进度、人员和设备配备情况、行业和安全标准、项目需求和服务承诺、合同履约时间地点和方式等。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验收方式为书面审核。</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甲方是履约验收工作的责任主体，成立验收小组负责采购项目履约验收具体工作。乙方参照验收内容，书面提供工作报告、附加增值服务（如有）及其合规性、完整性等材料。</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履约验收合格后，根据本合同约定进行结算；存在异议的，甲乙双方协商解决，或通过法律途径解决。</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、安全生产：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应根据《测绘作业人员安全规范》(CH 1016-2008)的要求，严格执行各项安全生产规定，落实安全生产责任制度，制定和完善安全保障与应急预案，完善安全生产条件，加强对作业人员的安全生产知识教育培训，确保作业人员的人身财产安全和调查工作的安全顺利开展。若因乙方未遵守国家及地方有关安全生产的法律、法规、规章、标准和规范，或未履行安全生产管理职责、未落实安全生产保障措施等原因，导致出现任何安全生产问题均由乙方承担全部责任，与甲方无关。乙方应承担因安全生产问题产生的一切直接和间接经济损失。</w:t>
      </w:r>
      <w:r/>
    </w:p>
    <w:p>
      <w:pPr>
        <w:pStyle w:val="974"/>
        <w:numPr>
          <w:ilvl w:val="-1"/>
          <w:numId w:val="0"/>
        </w:numPr>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保密条款及知识产权：</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保密条款</w:t>
      </w:r>
      <w:r>
        <w:rPr>
          <w:rFonts w:hint="eastAsia" w:ascii="宋体" w:hAnsi="宋体" w:cs="宋体"/>
          <w:b/>
          <w:bCs/>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及其工作人员在工作期间必须遵守</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相关保密</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，必须保证档案内容与档案载体、信息数据的安全和保密。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在工作中必须与</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做好档案材料及数据的安全交接。</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3、项目所涉及的各种档案信息数据、影像、资料所有权归属</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，所有信息数据、纸质资料、影像资料、存储介质资料及各种清单等在项目结束时必须移交</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工作人员不得私自以任何形式将档案资料带出指定工作现场。不得以任何形式对档案内容及信息进行复制、泄漏、传播。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5、以上保密规定如有违反，视为乙方违约，甲方有权追究乙方相关法律责任。乙方及其工作人员违反保密要求的，甲方有权立即单方解除合同，乙方退还甲方全部款项，并支付甲方合同总金额30%。</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6、保密义务不因本合同的变更、解除或终止而失效。乙方及其工作人员在合同终止后仍应对其在合同履行过程中知悉的甲方信息承担保密义务。</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知识产权：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1、乙方</w:t>
      </w:r>
      <w:r>
        <w:rPr>
          <w:rFonts w:hint="eastAsia" w:ascii="宋体" w:hAnsi="宋体" w:eastAsia="宋体" w:cs="宋体"/>
          <w:color w:val="auto"/>
          <w:sz w:val="24"/>
          <w:szCs w:val="24"/>
          <w:highlight w:val="none"/>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承担所有相关责任。</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最终知识产权归</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所属。</w:t>
      </w:r>
      <w:r>
        <w:rPr>
          <w:rFonts w:hint="eastAsia" w:ascii="宋体" w:hAnsi="宋体" w:eastAsia="宋体" w:cs="宋体"/>
          <w:color w:val="auto"/>
          <w:sz w:val="24"/>
          <w:highlight w:val="none"/>
        </w:rPr>
        <w:t xml:space="preserve">乙方履行本合同过程中形成的所有项目成果（包括但不限于审查报告、评估报告、技术要点汇编、数据分析成果、数据库文件、阶段性成果及其草稿、源程序、底层数据成果等）的全部知识产权（包括但不限于著作权、专利申请权、数据权益等）及相关权益，自产生之日起即全部归属于甲方所有，甲方享有完全的、不受限制的专有使用权，可自行决定在任何范围、以任何方式（包括再许可、对外提供、与其他数据整合等）无偿使用、复制、修改、演绎、分发。</w:t>
      </w:r>
      <w:r>
        <w:rPr>
          <w:rFonts w:hint="eastAsia" w:ascii="宋体" w:hAnsi="宋体" w:eastAsia="宋体" w:cs="宋体"/>
          <w:color w:val="auto"/>
          <w:sz w:val="24"/>
          <w:highlight w:val="none"/>
          <w:lang w:val="en-US" w:eastAsia="zh-CN"/>
        </w:rPr>
        <w:t xml:space="preserve">未经甲方书面同意，乙方不得向任何第三方披露。</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九</w:t>
      </w:r>
      <w:r>
        <w:rPr>
          <w:rFonts w:hint="eastAsia" w:ascii="宋体" w:hAnsi="宋体" w:eastAsia="宋体" w:cs="宋体"/>
          <w:b/>
          <w:color w:val="auto"/>
          <w:sz w:val="24"/>
          <w:highlight w:val="none"/>
        </w:rPr>
        <w:t xml:space="preserve">、违约责任</w:t>
      </w:r>
      <w:r>
        <w:rPr>
          <w:rFonts w:hint="eastAsia" w:ascii="宋体" w:hAnsi="宋体" w:eastAsia="宋体" w:cs="宋体"/>
          <w:b/>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1、甲方违约责任及违约金支付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甲方无故逾期付款的，应以逾期未付款项为计算基数，自逾期之日起，按照违约行为发生时全国银行间同业拆借中心受权公布1年期贷款市场报价利率（LPR）的标准，向乙方支付逾期付款利息损失，但逾期付款利息损失总额不超过逾期付款金额的5%。</w:t>
      </w:r>
      <w:r>
        <w:rPr>
          <w:rFonts w:hint="eastAsia" w:ascii="宋体" w:hAnsi="宋体" w:eastAsia="宋体" w:cs="宋体"/>
          <w:color w:val="auto"/>
          <w:sz w:val="24"/>
          <w:highlight w:val="none"/>
          <w:lang w:val="zh-CN"/>
        </w:rPr>
        <w:t xml:space="preserve">如因财政资金的下达、拨付问题导致付款延迟的，不视为甲方违约，乙方不能据此追究甲方的违约责任。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2、乙方违约责任及违约金支付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2.1乙方不能按约履行或履行不满足合同要求的，经甲方催告后未在催告时间内提供符合约定服务的，甲方有权单方解除合同，乙方应退还已付款项，并按照</w:t>
      </w:r>
      <w:r>
        <w:rPr>
          <w:rFonts w:hint="eastAsia" w:ascii="宋体" w:hAnsi="宋体" w:eastAsia="宋体" w:cs="宋体"/>
          <w:color w:val="auto"/>
          <w:sz w:val="24"/>
          <w:highlight w:val="none"/>
          <w:lang w:val="en-US" w:eastAsia="zh-CN"/>
        </w:rPr>
        <w:t xml:space="preserve">合同总金额的</w:t>
      </w:r>
      <w:r>
        <w:rPr>
          <w:rFonts w:hint="eastAsia" w:ascii="宋体" w:hAnsi="宋体" w:eastAsia="宋体" w:cs="宋体"/>
          <w:color w:val="auto"/>
          <w:sz w:val="24"/>
          <w:highlight w:val="none"/>
          <w:u w:val="single"/>
          <w:lang w:val="en-US" w:eastAsia="zh-CN"/>
        </w:rPr>
        <w:t xml:space="preserve">30</w:t>
      </w:r>
      <w:r>
        <w:rPr>
          <w:rFonts w:hint="eastAsia" w:ascii="宋体" w:hAnsi="宋体" w:eastAsia="宋体" w:cs="宋体"/>
          <w:color w:val="auto"/>
          <w:sz w:val="24"/>
          <w:highlight w:val="none"/>
          <w:lang w:val="en-US" w:eastAsia="zh-CN"/>
        </w:rPr>
        <w:t xml:space="preserve">%向甲方支付违约金，违约金不足以补偿损失的甲方有权要求乙方补足。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2.2乙方违反保密要求的，甲方有权立即单方解除合同，乙方退还甲方全部款项，并支付甲方合同总金额30%违约金，违约金不足以补偿甲方损失的，乙方仍应补偿甲方所受损失。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2.3乙方逾期交付的，每逾期一天，应以本合同金额为计算基数，自逾期之日起，</w:t>
      </w:r>
      <w:r>
        <w:rPr>
          <w:rFonts w:hint="eastAsia" w:ascii="宋体" w:hAnsi="宋体" w:eastAsia="宋体" w:cs="宋体"/>
          <w:color w:val="auto"/>
          <w:sz w:val="24"/>
          <w:highlight w:val="none"/>
          <w:lang w:val="en-US" w:eastAsia="zh-CN"/>
        </w:rPr>
        <w:t xml:space="preserve">每逾期一天</w:t>
      </w:r>
      <w:r>
        <w:rPr>
          <w:rFonts w:hint="eastAsia" w:ascii="宋体" w:hAnsi="宋体" w:eastAsia="宋体" w:cs="宋体"/>
          <w:color w:val="auto"/>
          <w:sz w:val="24"/>
          <w:highlight w:val="none"/>
        </w:rPr>
        <w:t xml:space="preserve">按照</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的标准，向甲方支付逾期交付违约金，直至甲方验收合格之日。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乙方必须自己完成合同内容，不得自行分包、转包或者转让</w:t>
      </w:r>
      <w:r>
        <w:rPr>
          <w:rFonts w:hint="eastAsia" w:ascii="宋体" w:hAnsi="宋体" w:eastAsia="宋体" w:cs="宋体"/>
          <w:color w:val="auto"/>
          <w:sz w:val="24"/>
          <w:highlight w:val="none"/>
          <w:lang w:val="en-US" w:eastAsia="zh-CN"/>
        </w:rPr>
        <w:t xml:space="preserve">合同</w:t>
      </w:r>
      <w:r>
        <w:rPr>
          <w:rFonts w:hint="eastAsia" w:ascii="宋体" w:hAnsi="宋体" w:eastAsia="宋体" w:cs="宋体"/>
          <w:color w:val="auto"/>
          <w:sz w:val="24"/>
          <w:highlight w:val="none"/>
        </w:rPr>
        <w:t xml:space="preserve">，否则甲方有权单方解除合同且乙方须立即返还甲方已支付的款项，同时乙方向甲方支付合同价款</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%的违约金</w:t>
      </w:r>
      <w:r>
        <w:rPr>
          <w:rFonts w:hint="eastAsia" w:ascii="宋体" w:hAnsi="宋体" w:eastAsia="宋体" w:cs="宋体"/>
          <w:color w:val="auto"/>
          <w:sz w:val="24"/>
          <w:szCs w:val="20"/>
          <w:highlight w:val="none"/>
        </w:rPr>
        <w:t xml:space="preserve">，且由此造成甲方的损失由乙方予以赔偿（包括但不限于诉讼费、合理律师费等）</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在合同生效后，乙方无故要求解除合同的，应向甲方偿付合同价款30%的违约金，违约金不足以补偿损失的，甲方有权要求乙方补足。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乙方应执行国家有关规定（如最低工资标准和其他规定），负责乙方员工的生病、事故、伤残、死亡和劳务纠纷，甲方不承担任何相关责任。乙方尤其负有对自己员工的安全责任，甲方不承担任何相关责任。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 乙方履约过程中给任何第三方造成的损失或对第三方侵权的，乙方应自行承担相关责任；给甲方造成损失的，甲方有权予以追偿。</w:t>
      </w:r>
      <w:r/>
    </w:p>
    <w:p>
      <w:pPr>
        <w:ind w:firstLine="480"/>
        <w:spacing w:line="360" w:lineRule="auto"/>
        <w:rPr>
          <w:rFonts w:hint="eastAsia" w:ascii="宋体" w:hAnsi="宋体" w:eastAsia="楷体_GB2312"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乙方应向甲方的支付的违约金，以及甲方应乙方违约而被迫垫付的费用或者发生的损失</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十</w:t>
      </w:r>
      <w:r>
        <w:rPr>
          <w:rFonts w:hint="eastAsia" w:ascii="宋体" w:hAnsi="宋体" w:eastAsia="宋体" w:cs="宋体"/>
          <w:b/>
          <w:color w:val="auto"/>
          <w:sz w:val="24"/>
          <w:highlight w:val="none"/>
        </w:rPr>
        <w:t xml:space="preserve">、不可抗力</w:t>
      </w:r>
      <w:r>
        <w:rPr>
          <w:rFonts w:hint="eastAsia" w:ascii="宋体" w:hAnsi="宋体" w:eastAsia="宋体" w:cs="宋体"/>
          <w:b/>
          <w:color w:val="auto"/>
          <w:sz w:val="24"/>
          <w:highlight w:val="none"/>
          <w:lang w:eastAsia="zh-CN"/>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因不可抗力不能履行合同的，根据不可抗力的影响，部分或者全部免除责任。但合同一方延迟履行后发生不可抗力的，不能免除责任。</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合同一方因不可抗力不能履行合同的，应当及时通知对方，以减轻可能给对方造成的损失，并应当在合理期限内提供证明。</w:t>
      </w:r>
      <w:r/>
    </w:p>
    <w:p>
      <w:pPr>
        <w:ind w:firstLine="482"/>
        <w:spacing w:line="360" w:lineRule="auto"/>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十一</w:t>
      </w:r>
      <w:r>
        <w:rPr>
          <w:rFonts w:hint="eastAsia" w:ascii="宋体" w:hAnsi="宋体" w:eastAsia="宋体" w:cs="宋体"/>
          <w:b/>
          <w:bCs w:val="0"/>
          <w:color w:val="auto"/>
          <w:sz w:val="24"/>
          <w:highlight w:val="none"/>
        </w:rPr>
        <w:t xml:space="preserve">、联合体就采购合同约定的事项承担连带责任。联合体成员之间发生的法律纠纷与甲方无关。</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十二</w:t>
      </w:r>
      <w:r>
        <w:rPr>
          <w:rFonts w:hint="eastAsia" w:ascii="宋体" w:hAnsi="宋体" w:eastAsia="宋体" w:cs="宋体"/>
          <w:b/>
          <w:color w:val="auto"/>
          <w:sz w:val="24"/>
          <w:highlight w:val="none"/>
        </w:rPr>
        <w:t xml:space="preserve">、合同修改：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甲方和乙方都不得擅自变更本合同，但合同继续履行将损害国家和社会公共利益的除外。</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、转包和分包：</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乙方必须自己完成合同内容，合同不得转包、分包或转让合同，否则，甲方有权按乙方违约处理。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、合同的解除：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1、有下列情形之一，合同一方可以解除合同：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（1）因不可抗力致使不能实现合同目的；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（2）因合同一方违约导致合同不能履行，另一方有权解除合同。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（3）在履行本协议过程中，出现继续履行将损害国家利益、社会公共利益的；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）其他合同约定的解除情形。</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2、合同解除异议权的行使期间：自解除通知到达对方之日起30日内。</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、争议解决办法：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因本合同或与本合同有关的一切事项发生争议，由双方友好协商解决。协商不成的，任何一方均可向甲方所在地有管辖权的人民法院起诉。</w:t>
      </w:r>
      <w:r/>
    </w:p>
    <w:p>
      <w:pPr>
        <w:pStyle w:val="931"/>
        <w:ind w:firstLine="482"/>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、合同生效及其他：</w:t>
      </w:r>
      <w:r/>
    </w:p>
    <w:p>
      <w:pPr>
        <w:pStyle w:val="931"/>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1、本合同经甲乙双方签字盖章后生效。</w:t>
      </w:r>
      <w:r/>
    </w:p>
    <w:p>
      <w:pPr>
        <w:pStyle w:val="931"/>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2、本合同第二条约定下列文件为本合同不可分割部分：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（一）成交通知书；</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（二）磋商响应文件； </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（三）乙方中标的响应文件；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（四）乙方在招投标过程中所作的其它承诺、声明、书面澄清等。</w:t>
      </w:r>
      <w:r/>
    </w:p>
    <w:p>
      <w:pPr>
        <w:pStyle w:val="931"/>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3、乙方承诺履约人员与响应文件中提供的人员资质相符。</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、未尽事宜：</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本合同未尽事宜应按照《中华人民共和国民法典》《中华人民共和国政府采购法》等相关法律法规之规定解释。              </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、附则：</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本合同一式伍份，甲、乙方各贰份，</w:t>
      </w:r>
      <w:r>
        <w:rPr>
          <w:rFonts w:hint="eastAsia" w:ascii="宋体" w:hAnsi="宋体" w:eastAsia="宋体" w:cs="宋体"/>
          <w:bCs/>
          <w:color w:val="auto"/>
          <w:sz w:val="24"/>
          <w:szCs w:val="22"/>
          <w:highlight w:val="none"/>
        </w:rPr>
        <w:t xml:space="preserve">采购</w:t>
      </w:r>
      <w:r>
        <w:rPr>
          <w:rFonts w:hint="eastAsia" w:ascii="宋体" w:hAnsi="宋体" w:eastAsia="宋体" w:cs="宋体"/>
          <w:color w:val="auto"/>
          <w:sz w:val="24"/>
          <w:highlight w:val="none"/>
        </w:rPr>
        <w:t xml:space="preserve">代理机构壹份。</w:t>
      </w:r>
      <w:r/>
    </w:p>
    <w:p>
      <w:pPr>
        <w:pStyle w:val="977"/>
        <w:ind w:firstLine="480"/>
        <w:rPr>
          <w:rFonts w:hAnsi="宋体" w:cs="宋体"/>
          <w:color w:val="auto"/>
          <w:highlight w:val="none"/>
        </w:rPr>
      </w:pPr>
      <w:r>
        <w:rPr>
          <w:rFonts w:hAnsi="宋体" w:cs="宋体"/>
          <w:color w:val="auto"/>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                             乙方：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法定代表人（授权代表）：           法定代表人（授权代表）：    </w:t>
      </w:r>
      <w:r/>
    </w:p>
    <w:p>
      <w:pPr>
        <w:pStyle w:val="918"/>
        <w:ind w:firstLine="480"/>
        <w:jc w:val="both"/>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签约日期：                         签约日期：    </w:t>
      </w:r>
      <w:r>
        <w:rPr>
          <w:rFonts w:hint="eastAsia" w:hAnsi="宋体" w:cs="宋体"/>
          <w:bCs/>
          <w:color w:val="auto"/>
          <w:sz w:val="24"/>
          <w:highlight w:val="none"/>
        </w:rPr>
        <w:tab/>
      </w: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第六章 评审方法及评审标准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一、评审方法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1、本次评审方法采用综合评分法，即在满足磋商文件实质性要求前提下，按照磋商文件中规定的评审标准和各项因素进行综合评审，以评审总得分最高的供应商作为成交候选人。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（权重），技术与质量及其它占</w:t>
      </w:r>
      <w:r>
        <w:rPr>
          <w:rFonts w:hint="eastAsia" w:ascii="宋体" w:hAnsi="宋体" w:eastAsia="宋体" w:cs="宋体"/>
          <w:strike w:val="0"/>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（权重）。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6、磋商小组对最后报价进行复核，报价以大写为准。</w:t>
      </w:r>
      <w:r/>
    </w:p>
    <w:p>
      <w:pPr>
        <w:ind w:firstLine="422"/>
        <w:spacing w:line="360" w:lineRule="auto"/>
        <w:tabs>
          <w:tab w:val="left" w:pos="567" w:leader="none"/>
        </w:tabs>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二、评分标准：</w:t>
      </w:r>
      <w:r/>
    </w:p>
    <w:p>
      <w:pPr>
        <w:ind w:firstLine="420"/>
        <w:spacing w:line="360" w:lineRule="auto"/>
        <w:tabs>
          <w:tab w:val="left" w:pos="567" w:leader="none"/>
        </w:tabs>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（一）价格分（</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第一步：磋商报价低于或等于财政预算价格的，为有效磋商报价。超出财政预算的磋商报价文件为未实质性响应文件，不参与评审。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磋商报价得分=（磋商基准价/最后磋商报价）×价格权值×100%</w:t>
      </w:r>
      <w:r/>
    </w:p>
    <w:p>
      <w:pPr>
        <w:ind w:firstLine="420"/>
        <w:spacing w:line="360" w:lineRule="auto"/>
        <w:tabs>
          <w:tab w:val="left" w:pos="567" w:leader="none"/>
        </w:tabs>
        <w:rPr>
          <w:rFonts w:hint="eastAsia" w:ascii="宋体" w:hAnsi="宋体" w:eastAsia="宋体" w:cs="宋体"/>
          <w:b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rPr>
        <w:t xml:space="preserve">（二）项目实施方案（</w:t>
      </w:r>
      <w:r>
        <w:rPr>
          <w:rFonts w:hint="eastAsia" w:ascii="宋体" w:hAnsi="宋体" w:eastAsia="宋体" w:cs="宋体"/>
          <w:b w:val="0"/>
          <w:color w:val="auto"/>
          <w:sz w:val="24"/>
          <w:szCs w:val="24"/>
          <w:highlight w:val="none"/>
          <w:lang w:val="en-US" w:eastAsia="zh-CN"/>
        </w:rPr>
        <w:t xml:space="preserve">48</w:t>
      </w:r>
      <w:r>
        <w:rPr>
          <w:rFonts w:hint="eastAsia" w:ascii="宋体" w:hAnsi="宋体" w:eastAsia="宋体" w:cs="宋体"/>
          <w:b w:val="0"/>
          <w:color w:val="auto"/>
          <w:sz w:val="24"/>
          <w:szCs w:val="24"/>
          <w:highlight w:val="none"/>
        </w:rPr>
        <w:t xml:space="preserve">分）</w:t>
      </w:r>
      <w:r/>
    </w:p>
    <w:p>
      <w:pPr>
        <w:ind w:firstLine="480"/>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1.项目整体理解（</w:t>
      </w: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①项目背景及需求分析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②服务要求契合度</w:t>
      </w:r>
      <w:r>
        <w:rPr>
          <w:rFonts w:hint="eastAsia" w:ascii="宋体" w:hAnsi="宋体" w:eastAsia="宋体" w:cs="宋体"/>
          <w:bCs/>
          <w:color w:val="auto"/>
          <w:sz w:val="24"/>
          <w:szCs w:val="24"/>
          <w:highlight w:val="none"/>
          <w:lang w:eastAsia="zh-TW"/>
        </w:rPr>
        <w:t xml:space="preserve">及自身承担项目所具备优势比较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上述每项应逐条叙述，内容完整，条理清晰，每项得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分；内容有一定合理性、可行性的得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分；每项叙述内容与采购需求偏差较大或未作完整叙述的不得分。最高得</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p>
    <w:p>
      <w:pPr>
        <w:ind w:firstLine="480"/>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2.技术方案（</w:t>
      </w: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1 \* GB3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标志维护方案（</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2 \* GB3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CORS站网维护方案（</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上述每项应逐条叙述，内容完整，条理清晰，每项得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分；内容有一定合理性、可行性的得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分；每项叙述内容与采购需求偏差较大或未作完整叙述的不得分。最高得</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p>
    <w:p>
      <w:pPr>
        <w:ind w:firstLine="480"/>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3.项目组织管理方案（15分）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①项目组织管理（3分）；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②项目进度安排（3分）；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③项目质量保障（3分）；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④安全及及风险防范措施（3分）；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⑤售后服务措施（3分）。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上述每项应逐条叙述，内容完整，条理清晰，每项得3分；内容有一定合理性、可行性的得1.5分；每项叙述内容与采购需求偏差较大或未作完整叙述的不得分。最高得15分。</w:t>
      </w:r>
      <w:r/>
    </w:p>
    <w:p>
      <w:pPr>
        <w:ind w:firstLine="480"/>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4.数据资料保密措施（9分）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①人员管理及现场管理（3分）；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②保密制度（3分）；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③资料交接（3分）。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上述每项应逐条叙述，内容完整，条理清晰，每项得3分；内容有一定合理性、可行性的得1.5分；每项叙述内容与采购需求偏差较大或未作完整叙述的不得分。最高得9分。</w:t>
      </w:r>
      <w:r/>
    </w:p>
    <w:p>
      <w:pPr>
        <w:ind w:firstLine="480"/>
        <w:spacing w:line="360" w:lineRule="auto"/>
        <w:tabs>
          <w:tab w:val="left" w:pos="567" w:leader="none"/>
        </w:tabs>
        <w:rPr>
          <w:rFonts w:hint="eastAsia" w:ascii="宋体" w:hAnsi="宋体" w:eastAsia="宋体" w:cs="宋体"/>
          <w:b/>
          <w:color w:val="auto"/>
          <w:sz w:val="24"/>
          <w:szCs w:val="24"/>
          <w:highlight w:val="none"/>
          <w:lang w:eastAsia="zh-TW"/>
        </w:rPr>
      </w:pPr>
      <w:r>
        <w:rPr>
          <w:rFonts w:hint="eastAsia" w:ascii="宋体" w:hAnsi="宋体" w:eastAsia="宋体" w:cs="宋体"/>
          <w:b/>
          <w:bCs/>
          <w:color w:val="auto"/>
          <w:sz w:val="24"/>
          <w:szCs w:val="24"/>
          <w:highlight w:val="none"/>
          <w:lang w:eastAsia="zh-TW"/>
        </w:rPr>
        <w:t xml:space="preserve">（</w:t>
      </w: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eastAsia="zh-TW"/>
        </w:rPr>
        <w:t xml:space="preserve">）项目人员方案（</w:t>
      </w:r>
      <w:r>
        <w:rPr>
          <w:rFonts w:hint="eastAsia" w:ascii="宋体" w:hAnsi="宋体" w:eastAsia="宋体" w:cs="宋体"/>
          <w:b/>
          <w:bCs/>
          <w:color w:val="auto"/>
          <w:sz w:val="24"/>
          <w:szCs w:val="24"/>
          <w:highlight w:val="none"/>
        </w:rPr>
        <w:t xml:space="preserve">24</w:t>
      </w:r>
      <w:r>
        <w:rPr>
          <w:rFonts w:hint="eastAsia" w:ascii="宋体" w:hAnsi="宋体" w:eastAsia="宋体" w:cs="宋体"/>
          <w:b/>
          <w:bCs/>
          <w:color w:val="auto"/>
          <w:sz w:val="24"/>
          <w:szCs w:val="24"/>
          <w:highlight w:val="none"/>
          <w:lang w:eastAsia="zh-TW"/>
        </w:rPr>
        <w:t xml:space="preserve">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1.项目负责人（6分）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①具有正高级工程师职称的得2分；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②具有注册测绘师证书的得2分；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③具有测绘主管部门颁发的涉密成果管理人员岗位培训合格证书的得2分。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2.技术负责人（不含项目负责人）（6分）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①具有高级工程师职称的得2分；；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②具有注册测绘师证书的得2分；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③具有测绘主管部门颁发的涉密成果管理人员岗位培训合格证书的得2分。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3.质量负责人（不含项目负责人、技术负责人）（6分）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①具有高级工程师职称的得2分；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②具有注册测绘师证书的得2分；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③具有测绘主管部门颁发的涉密成果管理人员岗位培训合格证书的得2分。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4.项目其他人员（6分）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①具有中级及以上工程师职称的，每提供一人得1分，本项最高得3分；</w:t>
      </w:r>
      <w:r/>
    </w:p>
    <w:p>
      <w:pPr>
        <w:ind w:firstLine="480"/>
        <w:spacing w:line="360" w:lineRule="auto"/>
        <w:tabs>
          <w:tab w:val="left" w:pos="567" w:leader="none"/>
        </w:tabs>
        <w:rPr>
          <w:rFonts w:hint="eastAsia" w:ascii="宋体" w:hAnsi="宋体" w:eastAsia="宋体" w:cs="宋体"/>
          <w:bCs/>
          <w:color w:val="auto"/>
          <w:sz w:val="24"/>
          <w:szCs w:val="24"/>
          <w:highlight w:val="none"/>
          <w:lang w:eastAsia="zh-TW"/>
        </w:rPr>
      </w:pPr>
      <w:r>
        <w:rPr>
          <w:rFonts w:hint="eastAsia" w:ascii="宋体" w:hAnsi="宋体" w:eastAsia="宋体" w:cs="宋体"/>
          <w:bCs/>
          <w:color w:val="auto"/>
          <w:sz w:val="24"/>
          <w:szCs w:val="24"/>
          <w:highlight w:val="none"/>
          <w:lang w:eastAsia="zh-TW"/>
        </w:rPr>
        <w:t xml:space="preserve">②具有注册测绘师证书的，每提供一人得1分，本项最高得3分。</w:t>
      </w:r>
      <w:r/>
    </w:p>
    <w:p>
      <w:pPr>
        <w:ind w:firstLine="480"/>
        <w:spacing w:line="360" w:lineRule="auto"/>
        <w:tabs>
          <w:tab w:val="left" w:pos="567" w:leader="none"/>
        </w:tabs>
        <w:rPr>
          <w:rFonts w:hint="eastAsia" w:ascii="宋体" w:hAnsi="宋体" w:eastAsia="宋体" w:cs="宋体"/>
          <w:b/>
          <w:color w:val="auto"/>
          <w:sz w:val="24"/>
          <w:szCs w:val="24"/>
          <w:highlight w:val="none"/>
          <w:lang w:eastAsia="zh-TW"/>
        </w:rPr>
      </w:pPr>
      <w:r>
        <w:rPr>
          <w:rFonts w:hint="eastAsia" w:ascii="宋体" w:hAnsi="宋体" w:eastAsia="宋体" w:cs="宋体"/>
          <w:b/>
          <w:color w:val="auto"/>
          <w:sz w:val="24"/>
          <w:szCs w:val="24"/>
          <w:highlight w:val="none"/>
        </w:rPr>
        <w:t xml:space="preserve">注：上述人员不得重复，响应文件中提供以上人员证书、证明文件复印件并加盖响应单位公章；提供响应单位为该员工缴纳最近一期的社保证明复印件，不提供相关证明不得分。</w:t>
      </w:r>
      <w:r/>
    </w:p>
    <w:p>
      <w:pPr>
        <w:ind w:firstLine="480"/>
        <w:pageBreakBefore w:val="0"/>
        <w:spacing w:line="360" w:lineRule="auto"/>
        <w:widowControl w:val="off"/>
        <w:tabs>
          <w:tab w:val="left" w:pos="567"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color w:val="auto"/>
          <w:sz w:val="24"/>
          <w:szCs w:val="24"/>
          <w:highlight w:val="none"/>
        </w:rPr>
        <w:t xml:space="preserve">（四）响应单位综合实力比较（</w:t>
      </w:r>
      <w:r>
        <w:rPr>
          <w:rFonts w:hint="eastAsia" w:ascii="宋体" w:hAnsi="宋体" w:eastAsia="宋体" w:cs="宋体"/>
          <w:b/>
          <w:bCs/>
          <w:color w:val="auto"/>
          <w:sz w:val="24"/>
          <w:szCs w:val="24"/>
          <w:highlight w:val="none"/>
          <w:lang w:val="en-US" w:eastAsia="zh-CN"/>
        </w:rPr>
        <w:t xml:space="preserve">18</w:t>
      </w:r>
      <w:r>
        <w:rPr>
          <w:rFonts w:hint="eastAsia" w:ascii="宋体" w:hAnsi="宋体" w:eastAsia="宋体" w:cs="宋体"/>
          <w:b/>
          <w:bCs/>
          <w:color w:val="auto"/>
          <w:sz w:val="24"/>
          <w:szCs w:val="24"/>
          <w:highlight w:val="none"/>
        </w:rPr>
        <w:t xml:space="preserve">分）</w:t>
      </w:r>
      <w:r/>
    </w:p>
    <w:p>
      <w:pPr>
        <w:ind w:firstLine="480"/>
        <w:pageBreakBefore w:val="0"/>
        <w:spacing w:line="360" w:lineRule="auto"/>
        <w:widowControl w:val="off"/>
        <w:tabs>
          <w:tab w:val="left" w:pos="567"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响应单位响应单位提供包括但不限于：坐标转换类、控制测量类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似大地水准面处理类等与本项目相关的计算机软件著作权，有一</w:t>
      </w:r>
      <w:r>
        <w:rPr>
          <w:rFonts w:hint="eastAsia" w:ascii="宋体" w:hAnsi="宋体" w:eastAsia="宋体" w:cs="宋体"/>
          <w:bCs/>
          <w:color w:val="auto"/>
          <w:sz w:val="24"/>
          <w:szCs w:val="24"/>
          <w:highlight w:val="none"/>
          <w:lang w:eastAsia="zh-CN"/>
        </w:rPr>
        <w:t xml:space="preserve">个</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80"/>
        <w:pageBreakBefore w:val="0"/>
        <w:spacing w:line="360" w:lineRule="auto"/>
        <w:widowControl w:val="off"/>
        <w:tabs>
          <w:tab w:val="left" w:pos="567" w:leader="none"/>
        </w:tabs>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注：响应文件中提供</w:t>
      </w:r>
      <w:r>
        <w:rPr>
          <w:rFonts w:hint="eastAsia" w:ascii="宋体" w:hAnsi="宋体" w:eastAsia="宋体" w:cs="宋体"/>
          <w:b/>
          <w:bCs/>
          <w:color w:val="auto"/>
          <w:sz w:val="24"/>
          <w:szCs w:val="24"/>
          <w:highlight w:val="none"/>
          <w:lang w:val="en-US" w:eastAsia="zh-CN"/>
        </w:rPr>
        <w:t xml:space="preserve">对应</w:t>
      </w:r>
      <w:r>
        <w:rPr>
          <w:rFonts w:hint="eastAsia" w:ascii="宋体" w:hAnsi="宋体" w:eastAsia="宋体" w:cs="宋体"/>
          <w:b/>
          <w:bCs/>
          <w:color w:val="auto"/>
          <w:sz w:val="24"/>
          <w:szCs w:val="24"/>
          <w:highlight w:val="none"/>
          <w:lang w:val="zh-CN"/>
        </w:rPr>
        <w:t xml:space="preserve">证书复印件</w:t>
      </w:r>
      <w:r>
        <w:rPr>
          <w:rFonts w:hint="eastAsia" w:ascii="宋体" w:hAnsi="宋体" w:eastAsia="宋体" w:cs="宋体"/>
          <w:b/>
          <w:bCs w:val="0"/>
          <w:color w:val="auto"/>
          <w:sz w:val="24"/>
          <w:szCs w:val="24"/>
          <w:highlight w:val="none"/>
          <w:lang w:val="en-US" w:eastAsia="zh-CN"/>
        </w:rPr>
        <w:t xml:space="preserve">并加盖响应单位公章</w:t>
      </w:r>
      <w:r>
        <w:rPr>
          <w:rFonts w:hint="eastAsia" w:ascii="宋体" w:hAnsi="宋体" w:eastAsia="宋体" w:cs="宋体"/>
          <w:b/>
          <w:bCs/>
          <w:color w:val="auto"/>
          <w:sz w:val="24"/>
          <w:szCs w:val="24"/>
          <w:highlight w:val="none"/>
          <w:lang w:val="zh-CN"/>
        </w:rPr>
        <w:t xml:space="preserve">。材料不提供或提供不全或无法认定的，对应评分项不得分。</w:t>
      </w:r>
      <w:r/>
    </w:p>
    <w:p>
      <w:pPr>
        <w:ind w:firstLine="480"/>
        <w:pageBreakBefore w:val="0"/>
        <w:spacing w:line="360" w:lineRule="auto"/>
        <w:widowControl w:val="off"/>
        <w:tabs>
          <w:tab w:val="left" w:pos="567" w:leader="none"/>
        </w:tabs>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eastAsia="zh-TW"/>
        </w:rPr>
        <w:t xml:space="preserve">响应单位承担的测绘（地理信息）类项目获得过市级及以上奖项的，</w:t>
      </w:r>
      <w:r>
        <w:rPr>
          <w:rFonts w:hint="eastAsia" w:ascii="宋体" w:hAnsi="宋体" w:eastAsia="宋体" w:cs="宋体"/>
          <w:bCs/>
          <w:color w:val="auto"/>
          <w:sz w:val="24"/>
          <w:szCs w:val="24"/>
          <w:highlight w:val="none"/>
          <w:lang w:val="zh-CN"/>
        </w:rPr>
        <w:t xml:space="preserve">每提供一个得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w:t>
      </w:r>
      <w:r>
        <w:rPr>
          <w:rFonts w:hint="eastAsia" w:ascii="宋体" w:hAnsi="宋体" w:eastAsia="宋体" w:cs="宋体"/>
          <w:bCs/>
          <w:color w:val="auto"/>
          <w:sz w:val="24"/>
          <w:szCs w:val="24"/>
          <w:highlight w:val="none"/>
          <w:lang w:val="zh-CN" w:eastAsia="zh-CN"/>
        </w:rPr>
        <w:t xml:space="preserve">本项</w:t>
      </w:r>
      <w:r>
        <w:rPr>
          <w:rFonts w:hint="eastAsia" w:ascii="宋体" w:hAnsi="宋体" w:eastAsia="宋体" w:cs="宋体"/>
          <w:bCs/>
          <w:color w:val="auto"/>
          <w:sz w:val="24"/>
          <w:szCs w:val="24"/>
          <w:highlight w:val="none"/>
          <w:lang w:val="zh-CN"/>
        </w:rPr>
        <w:t xml:space="preserve">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rPr>
        <w:t xml:space="preserve">分。</w:t>
      </w:r>
      <w:r/>
    </w:p>
    <w:p>
      <w:pPr>
        <w:ind w:firstLine="480"/>
        <w:pageBreakBefore w:val="0"/>
        <w:spacing w:line="360" w:lineRule="auto"/>
        <w:widowControl w:val="off"/>
        <w:tabs>
          <w:tab w:val="left" w:pos="567" w:leader="none"/>
        </w:tabs>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注：响应文件中提供相关证明材料复印件并加盖响应单位公章</w:t>
      </w:r>
      <w:r>
        <w:rPr>
          <w:rFonts w:hint="eastAsia" w:ascii="宋体" w:hAnsi="宋体" w:eastAsia="宋体" w:cs="宋体"/>
          <w:b/>
          <w:bCs w:val="0"/>
          <w:color w:val="auto"/>
          <w:sz w:val="24"/>
          <w:szCs w:val="24"/>
          <w:highlight w:val="none"/>
          <w:lang w:val="zh-CN"/>
        </w:rPr>
        <w:t xml:space="preserve">。材料不提供或提供不全或无法认定的，对应评分项不得分。</w:t>
      </w:r>
      <w:r/>
    </w:p>
    <w:p>
      <w:pPr>
        <w:ind w:firstLine="480"/>
        <w:pageBreakBefore w:val="0"/>
        <w:spacing w:line="360" w:lineRule="auto"/>
        <w:widowControl w:val="off"/>
        <w:tabs>
          <w:tab w:val="left" w:pos="567"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eastAsia="zh-CN"/>
        </w:rPr>
        <w:t xml:space="preserve">响应单位承担过类似</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zh-CN" w:eastAsia="zh-CN"/>
        </w:rPr>
        <w:t xml:space="preserve">业绩的，每提供一份得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分，最高得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eastAsia="zh-CN"/>
        </w:rPr>
        <w:t xml:space="preserve">分。</w:t>
      </w:r>
      <w:r/>
    </w:p>
    <w:p>
      <w:pPr>
        <w:ind w:firstLine="480"/>
        <w:spacing w:line="360" w:lineRule="auto"/>
        <w:tabs>
          <w:tab w:val="left" w:pos="567" w:leader="none"/>
        </w:tabs>
        <w:rPr>
          <w:rStyle w:val="1093"/>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注：响应文件中提供</w:t>
      </w:r>
      <w:r>
        <w:rPr>
          <w:rFonts w:hint="eastAsia" w:ascii="宋体" w:hAnsi="宋体" w:eastAsia="宋体" w:cs="宋体"/>
          <w:b/>
          <w:color w:val="auto"/>
          <w:sz w:val="24"/>
          <w:szCs w:val="24"/>
          <w:highlight w:val="none"/>
          <w:lang w:eastAsia="zh-CN"/>
        </w:rPr>
        <w:t xml:space="preserve">的</w:t>
      </w:r>
      <w:r>
        <w:rPr>
          <w:rFonts w:hint="eastAsia" w:ascii="宋体" w:hAnsi="宋体" w:eastAsia="宋体" w:cs="宋体"/>
          <w:b/>
          <w:color w:val="auto"/>
          <w:sz w:val="24"/>
          <w:szCs w:val="24"/>
          <w:highlight w:val="none"/>
        </w:rPr>
        <w:t xml:space="preserve">合同扫描件并加盖响应单位公章</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上述时间均以合同签订日期为准，成交通知书、合同扫描件不能反映上述合同范围的，须同时提供由原采购人或建设单位出具的加盖公章的证明材料。</w:t>
      </w:r>
      <w:r/>
    </w:p>
    <w:p>
      <w:pPr>
        <w:ind w:firstLine="482"/>
        <w:spacing w:line="360" w:lineRule="auto"/>
        <w:rPr>
          <w:rStyle w:val="1093"/>
          <w:rFonts w:ascii="宋体" w:hAnsi="宋体" w:eastAsia="宋体" w:cs="宋体"/>
          <w:b/>
          <w:color w:val="auto"/>
          <w:sz w:val="24"/>
          <w:szCs w:val="24"/>
          <w:highlight w:val="none"/>
        </w:rPr>
      </w:pPr>
      <w:r>
        <w:rPr>
          <w:rStyle w:val="1093"/>
          <w:rFonts w:hint="eastAsia" w:ascii="宋体" w:hAnsi="宋体" w:eastAsia="宋体" w:cs="宋体"/>
          <w:b/>
          <w:color w:val="auto"/>
          <w:sz w:val="24"/>
          <w:szCs w:val="24"/>
          <w:highlight w:val="none"/>
        </w:rPr>
        <w:t xml:space="preserve">三、政府采购政策： </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1、针对中小型企业的评审加分：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（1）本项目不专门面向中小企业采购。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bCs w:val="0"/>
          <w:color w:val="auto"/>
          <w:sz w:val="24"/>
          <w:szCs w:val="24"/>
          <w:highlight w:val="none"/>
          <w:u w:val="single"/>
          <w:lang w:eastAsia="zh-CN"/>
        </w:rPr>
        <w:t xml:space="preserve">其他未列明行业</w:t>
      </w:r>
      <w:r>
        <w:rPr>
          <w:rFonts w:hint="eastAsia" w:ascii="宋体" w:hAnsi="宋体" w:eastAsia="宋体" w:cs="宋体"/>
          <w:b/>
          <w:bCs/>
          <w:color w:val="auto"/>
          <w:sz w:val="24"/>
          <w:szCs w:val="24"/>
          <w:highlight w:val="none"/>
          <w:u w:val="singl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（4）中小企业参加政府采购活动，应当出具《政府采购促进中小企业发展管理办法》附件规定《中小企业声明函》，</w:t>
      </w:r>
      <w:r>
        <w:rPr>
          <w:rFonts w:hint="eastAsia" w:ascii="宋体" w:hAnsi="宋体" w:eastAsia="宋体" w:cs="宋体"/>
          <w:color w:val="auto"/>
          <w:sz w:val="24"/>
          <w:szCs w:val="24"/>
          <w:highlight w:val="none"/>
        </w:rPr>
        <w:t xml:space="preserve">对其报价给予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的扣除，</w:t>
      </w:r>
      <w:r>
        <w:rPr>
          <w:rFonts w:hint="eastAsia" w:ascii="宋体" w:hAnsi="宋体" w:eastAsia="宋体" w:cs="宋体"/>
          <w:color w:val="auto"/>
          <w:sz w:val="24"/>
          <w:szCs w:val="24"/>
          <w:highlight w:val="none"/>
        </w:rPr>
        <w:t xml:space="preserve">扣除后的价格参与价格评审</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20％的扣除，</w:t>
      </w:r>
      <w:r>
        <w:rPr>
          <w:rFonts w:hint="eastAsia" w:ascii="宋体" w:hAnsi="宋体" w:eastAsia="宋体" w:cs="宋体"/>
          <w:color w:val="auto"/>
          <w:sz w:val="24"/>
          <w:szCs w:val="24"/>
          <w:highlight w:val="none"/>
        </w:rPr>
        <w:t xml:space="preserve">扣除后的价格参与价格评审</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根据供应商提供的《残疾人福利性单位声明函》对其报价给予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的扣除，扣除后的价格参与价格评审。</w:t>
      </w:r>
      <w:r/>
    </w:p>
    <w:p>
      <w:pPr>
        <w:ind w:firstLine="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5、上述针对中小型企业、监狱企业和残疾人福利性单位的评审加分政策不重复享受。</w:t>
      </w:r>
      <w:r/>
    </w:p>
    <w:p>
      <w:pPr>
        <w:ind w:firstLine="48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（全文完）</w:t>
      </w:r>
      <w:r/>
    </w:p>
    <w:sectPr>
      <w:footerReference w:type="default" r:id="rId13"/>
      <w:footnotePr/>
      <w:endnotePr/>
      <w:type w:val="nextPage"/>
      <w:pgSz w:w="11906" w:h="16838" w:orient="portrait"/>
      <w:pgMar w:top="1134" w:right="1134" w:bottom="1134" w:left="1134" w:header="851"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微软雅黑">
    <w:panose1 w:val="020B0503020204020204"/>
  </w:font>
  <w:font w:name="Batang">
    <w:panose1 w:val="02010600040101010101"/>
  </w:font>
  <w:font w:name="Courier New">
    <w:panose1 w:val="02070309020205020404"/>
  </w:font>
  <w:font w:name="方正仿宋简体">
    <w:panose1 w:val="020B0503020202020204"/>
  </w:font>
  <w:font w:name="Tahoma">
    <w:panose1 w:val="020B060403050404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7"/>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right="360"/>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5095" cy="13779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25095" cy="137795"/>
                      </a:xfrm>
                      <a:prstGeom prst="rect">
                        <a:avLst/>
                      </a:prstGeom>
                      <a:noFill/>
                      <a:ln w="15875">
                        <a:noFill/>
                      </a:ln>
                    </wps:spPr>
                    <wps:txbx>
                      <w:txbxContent>
                        <w:p>
                          <w:pPr>
                            <w:pStyle w:val="937"/>
                          </w:pPr>
                          <w:r>
                            <w:fldChar w:fldCharType="begin"/>
                          </w:r>
                          <w:r>
                            <w:instrText xml:space="preserve"> PAGE  \* MERGEFORMAT </w:instrText>
                          </w:r>
                          <w:r>
                            <w:fldChar w:fldCharType="separate"/>
                          </w:r>
                          <w:r>
                            <w:t xml:space="preserve">43</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8pt;height:10.8pt;mso-wrap-distance-left:9.0pt;mso-wrap-distance-top:0.0pt;mso-wrap-distance-right:9.0pt;mso-wrap-distance-bottom:0.0pt;visibility:visible;" filled="f" stroked="f" strokeweight="1.25pt">
              <v:textbox inset="0,0,0,0">
                <w:txbxContent>
                  <w:p>
                    <w:pPr>
                      <w:pStyle w:val="937"/>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left"/>
      <w:rPr>
        <w:rFonts w:ascii="宋体" w:hAnsi="宋体" w:cs="宋体"/>
      </w:rPr>
    </w:pPr>
    <w:r>
      <w:rPr>
        <w:rFonts w:hint="eastAsia" w:ascii="宋体" w:hAnsi="宋体" w:cs="宋体"/>
      </w:rPr>
      <w:t xml:space="preserve">苏州正杰招投标咨询服务有限公司                                                                    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2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
  </w:num>
  <w:num w:numId="2">
    <w:abstractNumId w:val="1"/>
  </w:num>
  <w:num w:numId="3">
    <w:abstractNumId w:val="3"/>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07"/>
    <w:link w:val="898"/>
    <w:uiPriority w:val="9"/>
    <w:rPr>
      <w:rFonts w:ascii="Arial" w:hAnsi="Arial" w:eastAsia="Arial" w:cs="Arial"/>
      <w:sz w:val="40"/>
      <w:szCs w:val="40"/>
    </w:rPr>
  </w:style>
  <w:style w:type="character" w:styleId="747">
    <w:name w:val="Heading 2 Char"/>
    <w:basedOn w:val="907"/>
    <w:link w:val="899"/>
    <w:uiPriority w:val="9"/>
    <w:rPr>
      <w:rFonts w:ascii="Arial" w:hAnsi="Arial" w:eastAsia="Arial" w:cs="Arial"/>
      <w:sz w:val="34"/>
    </w:rPr>
  </w:style>
  <w:style w:type="character" w:styleId="748">
    <w:name w:val="Heading 3 Char"/>
    <w:basedOn w:val="907"/>
    <w:link w:val="900"/>
    <w:uiPriority w:val="9"/>
    <w:rPr>
      <w:rFonts w:ascii="Arial" w:hAnsi="Arial" w:eastAsia="Arial" w:cs="Arial"/>
      <w:sz w:val="30"/>
      <w:szCs w:val="30"/>
    </w:rPr>
  </w:style>
  <w:style w:type="character" w:styleId="749">
    <w:name w:val="Heading 4 Char"/>
    <w:basedOn w:val="907"/>
    <w:link w:val="901"/>
    <w:uiPriority w:val="9"/>
    <w:rPr>
      <w:rFonts w:ascii="Arial" w:hAnsi="Arial" w:eastAsia="Arial" w:cs="Arial"/>
      <w:b/>
      <w:bCs/>
      <w:sz w:val="26"/>
      <w:szCs w:val="26"/>
    </w:rPr>
  </w:style>
  <w:style w:type="character" w:styleId="750">
    <w:name w:val="Heading 5 Char"/>
    <w:basedOn w:val="907"/>
    <w:link w:val="902"/>
    <w:uiPriority w:val="9"/>
    <w:rPr>
      <w:rFonts w:ascii="Arial" w:hAnsi="Arial" w:eastAsia="Arial" w:cs="Arial"/>
      <w:b/>
      <w:bCs/>
      <w:sz w:val="24"/>
      <w:szCs w:val="24"/>
    </w:rPr>
  </w:style>
  <w:style w:type="character" w:styleId="751">
    <w:name w:val="Heading 6 Char"/>
    <w:basedOn w:val="907"/>
    <w:link w:val="903"/>
    <w:uiPriority w:val="9"/>
    <w:rPr>
      <w:rFonts w:ascii="Arial" w:hAnsi="Arial" w:eastAsia="Arial" w:cs="Arial"/>
      <w:b/>
      <w:bCs/>
      <w:sz w:val="22"/>
      <w:szCs w:val="22"/>
    </w:rPr>
  </w:style>
  <w:style w:type="character" w:styleId="752">
    <w:name w:val="Heading 7 Char"/>
    <w:basedOn w:val="907"/>
    <w:link w:val="904"/>
    <w:uiPriority w:val="9"/>
    <w:rPr>
      <w:rFonts w:ascii="Arial" w:hAnsi="Arial" w:eastAsia="Arial" w:cs="Arial"/>
      <w:b/>
      <w:bCs/>
      <w:i/>
      <w:iCs/>
      <w:sz w:val="22"/>
      <w:szCs w:val="22"/>
    </w:rPr>
  </w:style>
  <w:style w:type="character" w:styleId="753">
    <w:name w:val="Heading 8 Char"/>
    <w:basedOn w:val="907"/>
    <w:link w:val="905"/>
    <w:uiPriority w:val="9"/>
    <w:rPr>
      <w:rFonts w:ascii="Arial" w:hAnsi="Arial" w:eastAsia="Arial" w:cs="Arial"/>
      <w:i/>
      <w:iCs/>
      <w:sz w:val="22"/>
      <w:szCs w:val="22"/>
    </w:rPr>
  </w:style>
  <w:style w:type="character" w:styleId="754">
    <w:name w:val="Heading 9 Char"/>
    <w:basedOn w:val="907"/>
    <w:link w:val="906"/>
    <w:uiPriority w:val="9"/>
    <w:rPr>
      <w:rFonts w:ascii="Arial" w:hAnsi="Arial" w:eastAsia="Arial" w:cs="Arial"/>
      <w:i/>
      <w:iCs/>
      <w:sz w:val="21"/>
      <w:szCs w:val="21"/>
    </w:rPr>
  </w:style>
  <w:style w:type="paragraph" w:styleId="755">
    <w:name w:val="Title"/>
    <w:basedOn w:val="897"/>
    <w:next w:val="897"/>
    <w:link w:val="756"/>
    <w:uiPriority w:val="10"/>
    <w:qFormat/>
    <w:pPr>
      <w:contextualSpacing/>
      <w:spacing w:before="300" w:after="200"/>
    </w:pPr>
    <w:rPr>
      <w:sz w:val="48"/>
      <w:szCs w:val="48"/>
    </w:rPr>
  </w:style>
  <w:style w:type="character" w:styleId="756">
    <w:name w:val="Title Char"/>
    <w:basedOn w:val="907"/>
    <w:link w:val="755"/>
    <w:uiPriority w:val="10"/>
    <w:rPr>
      <w:sz w:val="48"/>
      <w:szCs w:val="48"/>
    </w:rPr>
  </w:style>
  <w:style w:type="paragraph" w:styleId="757">
    <w:name w:val="Subtitle"/>
    <w:basedOn w:val="897"/>
    <w:next w:val="897"/>
    <w:link w:val="758"/>
    <w:uiPriority w:val="11"/>
    <w:qFormat/>
    <w:pPr>
      <w:spacing w:before="200" w:after="200"/>
    </w:pPr>
    <w:rPr>
      <w:sz w:val="24"/>
      <w:szCs w:val="24"/>
    </w:rPr>
  </w:style>
  <w:style w:type="character" w:styleId="758">
    <w:name w:val="Subtitle Char"/>
    <w:basedOn w:val="907"/>
    <w:link w:val="757"/>
    <w:uiPriority w:val="11"/>
    <w:rPr>
      <w:sz w:val="24"/>
      <w:szCs w:val="24"/>
    </w:rPr>
  </w:style>
  <w:style w:type="paragraph" w:styleId="759">
    <w:name w:val="Quote"/>
    <w:basedOn w:val="897"/>
    <w:next w:val="897"/>
    <w:link w:val="760"/>
    <w:uiPriority w:val="29"/>
    <w:qFormat/>
    <w:pPr>
      <w:ind w:left="720" w:right="720"/>
    </w:pPr>
    <w:rPr>
      <w:i/>
    </w:rPr>
  </w:style>
  <w:style w:type="character" w:styleId="760">
    <w:name w:val="Quote Char"/>
    <w:link w:val="759"/>
    <w:uiPriority w:val="29"/>
    <w:rPr>
      <w:i/>
    </w:rPr>
  </w:style>
  <w:style w:type="paragraph" w:styleId="761">
    <w:name w:val="Intense Quote"/>
    <w:basedOn w:val="897"/>
    <w:next w:val="897"/>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07"/>
    <w:link w:val="939"/>
    <w:uiPriority w:val="99"/>
  </w:style>
  <w:style w:type="character" w:styleId="764">
    <w:name w:val="Footer Char"/>
    <w:basedOn w:val="907"/>
    <w:link w:val="937"/>
    <w:uiPriority w:val="99"/>
  </w:style>
  <w:style w:type="paragraph" w:styleId="765">
    <w:name w:val="Caption"/>
    <w:basedOn w:val="897"/>
    <w:next w:val="897"/>
    <w:uiPriority w:val="35"/>
    <w:semiHidden/>
    <w:unhideWhenUsed/>
    <w:qFormat/>
    <w:pPr>
      <w:spacing w:line="276" w:lineRule="auto"/>
    </w:pPr>
    <w:rPr>
      <w:b/>
      <w:bCs/>
      <w:color w:val="4f81bd" w:themeColor="accent1"/>
      <w:sz w:val="18"/>
      <w:szCs w:val="18"/>
    </w:rPr>
  </w:style>
  <w:style w:type="character" w:styleId="766">
    <w:name w:val="Caption Char"/>
    <w:basedOn w:val="765"/>
    <w:link w:val="937"/>
    <w:uiPriority w:val="99"/>
  </w:style>
  <w:style w:type="table" w:styleId="767">
    <w:name w:val="Table Grid Light"/>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3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9">
    <w:name w:val="List Table 3 - Accent 3"/>
    <w:basedOn w:val="9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0">
    <w:name w:val="List Table 3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1">
    <w:name w:val="List Table 3 - Accent 5"/>
    <w:basedOn w:val="9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2">
    <w:name w:val="List Table 3 - Accent 6"/>
    <w:basedOn w:val="9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3">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4 - Accent 2"/>
    <w:basedOn w:val="9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6">
    <w:name w:val="List Table 4 - Accent 3"/>
    <w:basedOn w:val="9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7">
    <w:name w:val="List Table 4 - Accent 4"/>
    <w:basedOn w:val="9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8">
    <w:name w:val="List Table 4 - Accent 5"/>
    <w:basedOn w:val="9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9">
    <w:name w:val="List Table 4 - Accent 6"/>
    <w:basedOn w:val="9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0">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9">
    <w:name w:val="List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0">
    <w:name w:val="List Table 6 Colorful - Accent 3"/>
    <w:basedOn w:val="9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1">
    <w:name w:val="List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2">
    <w:name w:val="List Table 6 Colorful - Accent 5"/>
    <w:basedOn w:val="9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3">
    <w:name w:val="List Table 6 Colorful - Accent 6"/>
    <w:basedOn w:val="9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4">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6">
    <w:name w:val="List Table 7 Colorful - Accent 2"/>
    <w:basedOn w:val="9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7">
    <w:name w:val="List Table 7 Colorful - Accent 3"/>
    <w:basedOn w:val="9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8">
    <w:name w:val="List Table 7 Colorful - Accent 4"/>
    <w:basedOn w:val="9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9">
    <w:name w:val="List Table 7 Colorful - Accent 5"/>
    <w:basedOn w:val="9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0">
    <w:name w:val="List Table 7 Colorful - Accent 6"/>
    <w:basedOn w:val="9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1">
    <w:name w:val="Lined - Accent"/>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Lined - Accent 2"/>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Lined - Accent 3"/>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Lined - Accent 4"/>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Lined - Accent 5"/>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Lined - Accent 6"/>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amp; Lined - Accent"/>
    <w:basedOn w:val="9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Bordered &amp; Lined - Accent 2"/>
    <w:basedOn w:val="9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Bordered &amp; Lined - Accent 3"/>
    <w:basedOn w:val="9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Bordered &amp; Lined - Accent 4"/>
    <w:basedOn w:val="9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Bordered &amp; Lined - Accent 5"/>
    <w:basedOn w:val="9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Bordered &amp; Lined - Accent 6"/>
    <w:basedOn w:val="9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w:basedOn w:val="9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2">
    <w:name w:val="Footnote Text Char"/>
    <w:link w:val="944"/>
    <w:uiPriority w:val="99"/>
    <w:rPr>
      <w:sz w:val="18"/>
    </w:rPr>
  </w:style>
  <w:style w:type="paragraph" w:styleId="893">
    <w:name w:val="endnote text"/>
    <w:basedOn w:val="89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basedOn w:val="907"/>
    <w:uiPriority w:val="99"/>
    <w:semiHidden/>
    <w:unhideWhenUsed/>
    <w:rPr>
      <w:vertAlign w:val="superscript"/>
    </w:rPr>
  </w:style>
  <w:style w:type="paragraph" w:styleId="896">
    <w:name w:val="TOC Heading"/>
    <w:uiPriority w:val="39"/>
    <w:unhideWhenUsed/>
  </w:style>
  <w:style w:type="paragraph" w:styleId="897"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98">
    <w:name w:val="Heading 1"/>
    <w:basedOn w:val="909"/>
    <w:next w:val="897"/>
    <w:link w:val="978"/>
    <w:uiPriority w:val="0"/>
    <w:qFormat/>
    <w:pPr>
      <w:keepLines/>
      <w:keepNext/>
      <w:spacing w:before="340" w:after="330" w:line="578" w:lineRule="auto"/>
      <w:outlineLvl w:val="0"/>
    </w:pPr>
    <w:rPr>
      <w:b/>
      <w:sz w:val="44"/>
    </w:rPr>
  </w:style>
  <w:style w:type="paragraph" w:styleId="899">
    <w:name w:val="Heading 2"/>
    <w:basedOn w:val="897"/>
    <w:next w:val="897"/>
    <w:link w:val="979"/>
    <w:uiPriority w:val="0"/>
    <w:qFormat/>
    <w:pPr>
      <w:jc w:val="left"/>
      <w:keepLines/>
      <w:keepNext/>
      <w:outlineLvl w:val="1"/>
    </w:pPr>
    <w:rPr>
      <w:rFonts w:ascii="宋体" w:hAnsi="宋体"/>
      <w:b/>
    </w:rPr>
  </w:style>
  <w:style w:type="paragraph" w:styleId="900">
    <w:name w:val="Heading 3"/>
    <w:basedOn w:val="897"/>
    <w:next w:val="897"/>
    <w:link w:val="980"/>
    <w:uiPriority w:val="0"/>
    <w:qFormat/>
    <w:pPr>
      <w:jc w:val="left"/>
      <w:keepLines/>
      <w:keepNext/>
      <w:outlineLvl w:val="2"/>
    </w:pPr>
    <w:rPr>
      <w:b/>
    </w:rPr>
  </w:style>
  <w:style w:type="paragraph" w:styleId="901">
    <w:name w:val="Heading 4"/>
    <w:basedOn w:val="897"/>
    <w:next w:val="897"/>
    <w:link w:val="981"/>
    <w:uiPriority w:val="0"/>
    <w:qFormat/>
    <w:pPr>
      <w:keepLines/>
      <w:keepNext/>
      <w:spacing w:before="280" w:after="290" w:line="376" w:lineRule="auto"/>
      <w:outlineLvl w:val="3"/>
    </w:pPr>
    <w:rPr>
      <w:rFonts w:ascii="Arial" w:hAnsi="Arial" w:eastAsia="黑体"/>
      <w:b/>
      <w:bCs/>
      <w:sz w:val="28"/>
      <w:szCs w:val="28"/>
    </w:rPr>
  </w:style>
  <w:style w:type="paragraph" w:styleId="902">
    <w:name w:val="Heading 5"/>
    <w:basedOn w:val="897"/>
    <w:next w:val="897"/>
    <w:link w:val="982"/>
    <w:uiPriority w:val="0"/>
    <w:qFormat/>
    <w:pPr>
      <w:jc w:val="left"/>
      <w:keepLines/>
      <w:keepNext/>
      <w:spacing w:before="280" w:after="290" w:line="376" w:lineRule="atLeast"/>
      <w:outlineLvl w:val="4"/>
    </w:pPr>
    <w:rPr>
      <w:rFonts w:ascii="宋体" w:hAnsi="Tms Rmn" w:eastAsia="宋体"/>
      <w:b/>
      <w:sz w:val="28"/>
    </w:rPr>
  </w:style>
  <w:style w:type="paragraph" w:styleId="903">
    <w:name w:val="Heading 6"/>
    <w:basedOn w:val="897"/>
    <w:next w:val="897"/>
    <w:link w:val="983"/>
    <w:uiPriority w:val="0"/>
    <w:qFormat/>
    <w:pPr>
      <w:jc w:val="left"/>
      <w:keepLines/>
      <w:keepNext/>
      <w:spacing w:before="240" w:after="64" w:line="320" w:lineRule="atLeast"/>
      <w:outlineLvl w:val="5"/>
    </w:pPr>
    <w:rPr>
      <w:rFonts w:ascii="黑体" w:hAnsi="Tms Rmn" w:eastAsia="黑体"/>
      <w:b/>
      <w:sz w:val="24"/>
    </w:rPr>
  </w:style>
  <w:style w:type="paragraph" w:styleId="904">
    <w:name w:val="Heading 7"/>
    <w:basedOn w:val="897"/>
    <w:next w:val="897"/>
    <w:link w:val="984"/>
    <w:uiPriority w:val="0"/>
    <w:qFormat/>
    <w:pPr>
      <w:jc w:val="left"/>
      <w:keepLines/>
      <w:keepNext/>
      <w:spacing w:before="240" w:after="64" w:line="320" w:lineRule="atLeast"/>
      <w:outlineLvl w:val="6"/>
    </w:pPr>
    <w:rPr>
      <w:rFonts w:ascii="宋体" w:hAnsi="Tms Rmn" w:eastAsia="宋体"/>
      <w:b/>
      <w:sz w:val="24"/>
    </w:rPr>
  </w:style>
  <w:style w:type="paragraph" w:styleId="905">
    <w:name w:val="Heading 8"/>
    <w:basedOn w:val="897"/>
    <w:next w:val="897"/>
    <w:link w:val="985"/>
    <w:uiPriority w:val="0"/>
    <w:qFormat/>
    <w:pPr>
      <w:keepLines/>
      <w:keepNext/>
      <w:spacing w:before="240" w:after="64" w:line="320" w:lineRule="auto"/>
      <w:outlineLvl w:val="7"/>
    </w:pPr>
    <w:rPr>
      <w:rFonts w:ascii="Arial" w:hAnsi="Arial" w:eastAsia="黑体"/>
      <w:sz w:val="24"/>
      <w:szCs w:val="24"/>
    </w:rPr>
  </w:style>
  <w:style w:type="paragraph" w:styleId="906">
    <w:name w:val="Heading 9"/>
    <w:basedOn w:val="897"/>
    <w:next w:val="897"/>
    <w:link w:val="986"/>
    <w:uiPriority w:val="0"/>
    <w:qFormat/>
    <w:pPr>
      <w:keepLines/>
      <w:keepNext/>
      <w:spacing w:before="240" w:after="64" w:line="320" w:lineRule="auto"/>
      <w:outlineLvl w:val="8"/>
    </w:pPr>
    <w:rPr>
      <w:rFonts w:ascii="Arial" w:hAnsi="Arial" w:eastAsia="黑体"/>
      <w:sz w:val="24"/>
      <w:szCs w:val="21"/>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List Paragraph"/>
    <w:basedOn w:val="897"/>
    <w:uiPriority w:val="0"/>
    <w:qFormat/>
    <w:pPr>
      <w:ind w:firstLine="420"/>
    </w:pPr>
  </w:style>
  <w:style w:type="paragraph" w:styleId="910">
    <w:name w:val="toc 7"/>
    <w:basedOn w:val="898"/>
    <w:next w:val="897"/>
    <w:uiPriority w:val="0"/>
    <w:qFormat/>
    <w:pPr>
      <w:ind w:left="2520"/>
    </w:pPr>
  </w:style>
  <w:style w:type="paragraph" w:styleId="911">
    <w:name w:val="index 8"/>
    <w:basedOn w:val="897"/>
    <w:next w:val="897"/>
    <w:uiPriority w:val="0"/>
    <w:qFormat/>
    <w:pPr>
      <w:ind w:left="2940"/>
    </w:pPr>
  </w:style>
  <w:style w:type="paragraph" w:styleId="912">
    <w:name w:val="List Number"/>
    <w:basedOn w:val="897"/>
    <w:uiPriority w:val="0"/>
    <w:qFormat/>
    <w:pPr>
      <w:ind w:left="1125" w:hanging="555"/>
      <w:tabs>
        <w:tab w:val="left" w:pos="1125" w:leader="none"/>
      </w:tabs>
    </w:pPr>
    <w:rPr>
      <w:rFonts w:eastAsia="宋体"/>
      <w:sz w:val="21"/>
      <w:szCs w:val="24"/>
    </w:rPr>
  </w:style>
  <w:style w:type="paragraph" w:styleId="913">
    <w:name w:val="Normal Indent"/>
    <w:basedOn w:val="897"/>
    <w:next w:val="897"/>
    <w:link w:val="987"/>
    <w:uiPriority w:val="0"/>
    <w:qFormat/>
    <w:pPr>
      <w:ind w:firstLine="420"/>
      <w:jc w:val="left"/>
    </w:pPr>
    <w:rPr>
      <w:sz w:val="24"/>
    </w:rPr>
  </w:style>
  <w:style w:type="paragraph" w:styleId="914">
    <w:name w:val="index 5"/>
    <w:basedOn w:val="897"/>
    <w:next w:val="897"/>
    <w:uiPriority w:val="0"/>
    <w:qFormat/>
    <w:pPr>
      <w:ind w:left="1680"/>
    </w:pPr>
  </w:style>
  <w:style w:type="paragraph" w:styleId="915">
    <w:name w:val="Document Map"/>
    <w:basedOn w:val="897"/>
    <w:link w:val="988"/>
    <w:uiPriority w:val="0"/>
    <w:qFormat/>
    <w:pPr>
      <w:shd w:val="clear" w:color="auto" w:fill="000080"/>
    </w:pPr>
    <w:rPr>
      <w:rFonts w:eastAsia="宋体"/>
      <w:sz w:val="24"/>
      <w:shd w:val="clear" w:color="auto" w:fill="000080"/>
    </w:rPr>
  </w:style>
  <w:style w:type="paragraph" w:styleId="916">
    <w:name w:val="annotation text"/>
    <w:basedOn w:val="897"/>
    <w:link w:val="989"/>
    <w:uiPriority w:val="0"/>
    <w:qFormat/>
    <w:pPr>
      <w:jc w:val="left"/>
    </w:pPr>
  </w:style>
  <w:style w:type="paragraph" w:styleId="917">
    <w:name w:val="index 6"/>
    <w:basedOn w:val="897"/>
    <w:next w:val="897"/>
    <w:uiPriority w:val="0"/>
    <w:qFormat/>
    <w:pPr>
      <w:ind w:left="2100"/>
    </w:pPr>
  </w:style>
  <w:style w:type="paragraph" w:styleId="918">
    <w:name w:val="Body Text"/>
    <w:basedOn w:val="897"/>
    <w:link w:val="990"/>
    <w:uiPriority w:val="0"/>
    <w:qFormat/>
    <w:pPr>
      <w:spacing w:line="400" w:lineRule="exact"/>
    </w:pPr>
    <w:rPr>
      <w:rFonts w:ascii="楷体_GB2312"/>
      <w:sz w:val="28"/>
    </w:rPr>
  </w:style>
  <w:style w:type="paragraph" w:styleId="919">
    <w:name w:val="Body Text Indent"/>
    <w:basedOn w:val="897"/>
    <w:next w:val="897"/>
    <w:link w:val="991"/>
    <w:uiPriority w:val="0"/>
    <w:qFormat/>
    <w:pPr>
      <w:ind w:left="570"/>
      <w:spacing w:line="520" w:lineRule="exact"/>
    </w:pPr>
    <w:rPr>
      <w:rFonts w:ascii="方正仿宋简体" w:hAnsi="创艺简仿宋" w:eastAsia="方正仿宋简体"/>
      <w:sz w:val="24"/>
    </w:rPr>
  </w:style>
  <w:style w:type="paragraph" w:styleId="920">
    <w:name w:val="List Number 3"/>
    <w:basedOn w:val="898"/>
    <w:next w:val="897"/>
    <w:uiPriority w:val="99"/>
    <w:unhideWhenUsed/>
    <w:qFormat/>
    <w:pPr>
      <w:numPr>
        <w:ilvl w:val="0"/>
        <w:numId w:val="1"/>
      </w:numPr>
    </w:pPr>
  </w:style>
  <w:style w:type="paragraph" w:styleId="921">
    <w:name w:val="List 2"/>
    <w:basedOn w:val="898"/>
    <w:next w:val="910"/>
    <w:uiPriority w:val="0"/>
    <w:qFormat/>
    <w:pPr>
      <w:ind w:left="100" w:firstLine="3640"/>
      <w:spacing w:before="0" w:after="0" w:line="240" w:lineRule="auto"/>
    </w:pPr>
  </w:style>
  <w:style w:type="paragraph" w:styleId="922">
    <w:name w:val="Block Text"/>
    <w:basedOn w:val="897"/>
    <w:uiPriority w:val="0"/>
    <w:qFormat/>
    <w:pPr>
      <w:ind w:left="630" w:right="-609" w:firstLine="420"/>
      <w:spacing w:line="360" w:lineRule="auto"/>
    </w:pPr>
    <w:rPr>
      <w:rFonts w:ascii="仿宋_GB2312" w:eastAsia="仿宋_GB2312"/>
      <w:sz w:val="21"/>
    </w:rPr>
  </w:style>
  <w:style w:type="paragraph" w:styleId="923">
    <w:name w:val="index 4"/>
    <w:basedOn w:val="897"/>
    <w:next w:val="897"/>
    <w:uiPriority w:val="0"/>
    <w:qFormat/>
    <w:pPr>
      <w:ind w:left="1260"/>
    </w:pPr>
  </w:style>
  <w:style w:type="paragraph" w:styleId="924">
    <w:name w:val="toc 5"/>
    <w:basedOn w:val="897"/>
    <w:next w:val="897"/>
    <w:uiPriority w:val="0"/>
    <w:qFormat/>
    <w:pPr>
      <w:ind w:left="1680"/>
    </w:pPr>
  </w:style>
  <w:style w:type="paragraph" w:styleId="925">
    <w:name w:val="toc 3"/>
    <w:basedOn w:val="897"/>
    <w:next w:val="897"/>
    <w:uiPriority w:val="0"/>
    <w:qFormat/>
    <w:pPr>
      <w:ind w:left="840"/>
    </w:pPr>
  </w:style>
  <w:style w:type="paragraph" w:styleId="926">
    <w:name w:val="Plain Text"/>
    <w:basedOn w:val="897"/>
    <w:link w:val="992"/>
    <w:uiPriority w:val="0"/>
    <w:qFormat/>
    <w:rPr>
      <w:rFonts w:ascii="宋体" w:hAnsi="Courier New"/>
    </w:rPr>
  </w:style>
  <w:style w:type="paragraph" w:styleId="927">
    <w:name w:val="List Bullet 5"/>
    <w:basedOn w:val="898"/>
    <w:next w:val="928"/>
    <w:uiPriority w:val="99"/>
    <w:unhideWhenUsed/>
    <w:qFormat/>
    <w:pPr>
      <w:numPr>
        <w:ilvl w:val="0"/>
        <w:numId w:val="2"/>
      </w:numPr>
    </w:pPr>
  </w:style>
  <w:style w:type="paragraph" w:styleId="928" w:customStyle="1">
    <w:name w:val="正文首行缩进1"/>
    <w:next w:val="929"/>
    <w:uiPriority w:val="0"/>
    <w:qFormat/>
    <w:pPr>
      <w:ind w:left="420" w:firstLine="2724"/>
      <w:spacing w:after="120" w:line="360" w:lineRule="auto"/>
    </w:pPr>
    <w:rPr>
      <w:rFonts w:ascii="Calibri" w:hAnsi="Calibri" w:eastAsia="宋体" w:cs="Times New Roman"/>
      <w:lang w:val="en-US" w:eastAsia="zh-CN" w:bidi="ar-SA"/>
    </w:rPr>
  </w:style>
  <w:style w:type="paragraph" w:styleId="929" w:customStyle="1">
    <w:name w:val="列表编号 311"/>
    <w:basedOn w:val="930"/>
    <w:next w:val="897"/>
    <w:uiPriority w:val="99"/>
    <w:unhideWhenUsed/>
    <w:qFormat/>
    <w:pPr>
      <w:numPr>
        <w:ilvl w:val="0"/>
        <w:numId w:val="3"/>
      </w:numPr>
    </w:pPr>
  </w:style>
  <w:style w:type="paragraph" w:styleId="930" w:customStyle="1">
    <w:name w:val="标题 111"/>
    <w:basedOn w:val="931"/>
    <w:next w:val="897"/>
    <w:uiPriority w:val="9"/>
    <w:qFormat/>
    <w:pPr>
      <w:jc w:val="left"/>
      <w:keepLines/>
      <w:keepNext/>
      <w:outlineLvl w:val="0"/>
    </w:pPr>
    <w:rPr>
      <w:b/>
      <w:bCs/>
      <w:sz w:val="30"/>
      <w:szCs w:val="44"/>
    </w:rPr>
  </w:style>
  <w:style w:type="paragraph" w:styleId="931" w:customStyle="1">
    <w:name w:val="列出段落1"/>
    <w:basedOn w:val="897"/>
    <w:uiPriority w:val="34"/>
    <w:qFormat/>
    <w:pPr>
      <w:ind w:firstLine="420"/>
    </w:pPr>
  </w:style>
  <w:style w:type="paragraph" w:styleId="932">
    <w:name w:val="toc 8"/>
    <w:basedOn w:val="897"/>
    <w:next w:val="897"/>
    <w:uiPriority w:val="0"/>
    <w:qFormat/>
    <w:pPr>
      <w:ind w:left="2940"/>
    </w:pPr>
  </w:style>
  <w:style w:type="paragraph" w:styleId="933">
    <w:name w:val="index 3"/>
    <w:basedOn w:val="897"/>
    <w:next w:val="897"/>
    <w:uiPriority w:val="0"/>
    <w:qFormat/>
    <w:pPr>
      <w:ind w:left="840"/>
    </w:pPr>
  </w:style>
  <w:style w:type="paragraph" w:styleId="934">
    <w:name w:val="Date"/>
    <w:basedOn w:val="897"/>
    <w:next w:val="897"/>
    <w:link w:val="993"/>
    <w:uiPriority w:val="0"/>
    <w:qFormat/>
    <w:rPr>
      <w:rFonts w:ascii="宋体" w:hAnsi="宋体"/>
      <w:sz w:val="24"/>
    </w:rPr>
  </w:style>
  <w:style w:type="paragraph" w:styleId="935">
    <w:name w:val="Body Text Indent 2"/>
    <w:basedOn w:val="897"/>
    <w:link w:val="994"/>
    <w:uiPriority w:val="0"/>
    <w:qFormat/>
    <w:pPr>
      <w:ind w:firstLine="502"/>
      <w:spacing w:line="360" w:lineRule="auto"/>
      <w:tabs>
        <w:tab w:val="left" w:pos="0" w:leader="none"/>
      </w:tabs>
    </w:pPr>
    <w:rPr>
      <w:rFonts w:ascii="宋体" w:eastAsia="宋体"/>
      <w:b/>
      <w:bCs/>
      <w:sz w:val="24"/>
    </w:rPr>
  </w:style>
  <w:style w:type="paragraph" w:styleId="936">
    <w:name w:val="Balloon Text"/>
    <w:basedOn w:val="897"/>
    <w:link w:val="995"/>
    <w:uiPriority w:val="0"/>
    <w:qFormat/>
    <w:rPr>
      <w:sz w:val="18"/>
      <w:szCs w:val="18"/>
    </w:rPr>
  </w:style>
  <w:style w:type="paragraph" w:styleId="937">
    <w:name w:val="Footer"/>
    <w:basedOn w:val="897"/>
    <w:link w:val="996"/>
    <w:uiPriority w:val="99"/>
    <w:qFormat/>
    <w:pPr>
      <w:jc w:val="left"/>
      <w:tabs>
        <w:tab w:val="center" w:pos="4153" w:leader="none"/>
        <w:tab w:val="right" w:pos="8306" w:leader="none"/>
      </w:tabs>
    </w:pPr>
    <w:rPr>
      <w:rFonts w:ascii="Tahoma" w:hAnsi="Tahoma" w:eastAsia="宋体"/>
      <w:sz w:val="18"/>
      <w:szCs w:val="18"/>
    </w:rPr>
  </w:style>
  <w:style w:type="paragraph" w:styleId="938">
    <w:name w:val="envelope return"/>
    <w:basedOn w:val="897"/>
    <w:uiPriority w:val="0"/>
    <w:qFormat/>
    <w:rPr>
      <w:rFonts w:ascii="Arial" w:hAnsi="Arial"/>
    </w:rPr>
  </w:style>
  <w:style w:type="paragraph" w:styleId="939">
    <w:name w:val="Header"/>
    <w:basedOn w:val="897"/>
    <w:link w:val="997"/>
    <w:uiPriority w:val="0"/>
    <w:qFormat/>
    <w:pPr>
      <w:jc w:val="center"/>
      <w:tabs>
        <w:tab w:val="center" w:pos="4153" w:leader="none"/>
        <w:tab w:val="right" w:pos="8306" w:leader="none"/>
      </w:tabs>
      <w:pBdr>
        <w:bottom w:val="single" w:color="auto" w:sz="6" w:space="1"/>
      </w:pBdr>
    </w:pPr>
    <w:rPr>
      <w:rFonts w:ascii="Tahoma" w:hAnsi="Tahoma" w:eastAsia="宋体"/>
      <w:sz w:val="18"/>
      <w:szCs w:val="18"/>
    </w:rPr>
  </w:style>
  <w:style w:type="paragraph" w:styleId="940">
    <w:name w:val="toc 1"/>
    <w:basedOn w:val="897"/>
    <w:next w:val="897"/>
    <w:uiPriority w:val="0"/>
    <w:qFormat/>
    <w:pPr>
      <w:ind w:firstLine="751"/>
      <w:jc w:val="left"/>
      <w:spacing w:line="360" w:lineRule="auto"/>
      <w:tabs>
        <w:tab w:val="right" w:pos="9538" w:leader="dot"/>
      </w:tabs>
    </w:pPr>
    <w:rPr>
      <w:sz w:val="24"/>
    </w:rPr>
  </w:style>
  <w:style w:type="paragraph" w:styleId="941">
    <w:name w:val="toc 4"/>
    <w:basedOn w:val="897"/>
    <w:next w:val="897"/>
    <w:uiPriority w:val="0"/>
    <w:qFormat/>
    <w:pPr>
      <w:ind w:left="1260"/>
    </w:pPr>
  </w:style>
  <w:style w:type="paragraph" w:styleId="942">
    <w:name w:val="index heading"/>
    <w:basedOn w:val="897"/>
    <w:next w:val="943"/>
    <w:uiPriority w:val="0"/>
    <w:qFormat/>
  </w:style>
  <w:style w:type="paragraph" w:styleId="943">
    <w:name w:val="index 1"/>
    <w:basedOn w:val="897"/>
    <w:next w:val="897"/>
    <w:uiPriority w:val="0"/>
    <w:qFormat/>
  </w:style>
  <w:style w:type="paragraph" w:styleId="944">
    <w:name w:val="footnote text"/>
    <w:basedOn w:val="897"/>
    <w:link w:val="998"/>
    <w:uiPriority w:val="0"/>
    <w:qFormat/>
    <w:pPr>
      <w:jc w:val="left"/>
    </w:pPr>
    <w:rPr>
      <w:sz w:val="18"/>
    </w:rPr>
  </w:style>
  <w:style w:type="paragraph" w:styleId="945">
    <w:name w:val="toc 6"/>
    <w:basedOn w:val="897"/>
    <w:next w:val="897"/>
    <w:uiPriority w:val="0"/>
    <w:qFormat/>
    <w:pPr>
      <w:ind w:left="2100"/>
    </w:pPr>
  </w:style>
  <w:style w:type="paragraph" w:styleId="946">
    <w:name w:val="Body Text Indent 3"/>
    <w:basedOn w:val="897"/>
    <w:link w:val="999"/>
    <w:uiPriority w:val="0"/>
    <w:qFormat/>
    <w:pPr>
      <w:ind w:firstLine="617"/>
      <w:spacing w:line="360" w:lineRule="auto"/>
    </w:pPr>
    <w:rPr>
      <w:rFonts w:eastAsia="宋体"/>
      <w:sz w:val="24"/>
      <w:szCs w:val="24"/>
    </w:rPr>
  </w:style>
  <w:style w:type="paragraph" w:styleId="947">
    <w:name w:val="index 7"/>
    <w:basedOn w:val="897"/>
    <w:next w:val="897"/>
    <w:uiPriority w:val="0"/>
    <w:qFormat/>
    <w:pPr>
      <w:ind w:left="2520"/>
    </w:pPr>
  </w:style>
  <w:style w:type="paragraph" w:styleId="948">
    <w:name w:val="index 9"/>
    <w:basedOn w:val="897"/>
    <w:next w:val="897"/>
    <w:uiPriority w:val="0"/>
    <w:qFormat/>
    <w:pPr>
      <w:ind w:left="3360"/>
    </w:pPr>
  </w:style>
  <w:style w:type="paragraph" w:styleId="949">
    <w:name w:val="table of figures"/>
    <w:basedOn w:val="897"/>
    <w:next w:val="897"/>
    <w:uiPriority w:val="0"/>
    <w:qFormat/>
    <w:pPr>
      <w:ind w:left="420" w:hanging="420"/>
      <w:jc w:val="left"/>
    </w:pPr>
    <w:rPr>
      <w:smallCaps/>
      <w:sz w:val="24"/>
    </w:rPr>
  </w:style>
  <w:style w:type="paragraph" w:styleId="950">
    <w:name w:val="toc 2"/>
    <w:basedOn w:val="897"/>
    <w:next w:val="897"/>
    <w:uiPriority w:val="0"/>
    <w:qFormat/>
    <w:pPr>
      <w:ind w:left="420"/>
    </w:pPr>
  </w:style>
  <w:style w:type="paragraph" w:styleId="951">
    <w:name w:val="toc 9"/>
    <w:basedOn w:val="897"/>
    <w:next w:val="897"/>
    <w:uiPriority w:val="0"/>
    <w:qFormat/>
    <w:pPr>
      <w:ind w:left="3360"/>
    </w:pPr>
  </w:style>
  <w:style w:type="paragraph" w:styleId="952">
    <w:name w:val="HTML Preformatted"/>
    <w:basedOn w:val="897"/>
    <w:link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53">
    <w:name w:val="Normal (Web)"/>
    <w:basedOn w:val="897"/>
    <w:next w:val="921"/>
    <w:uiPriority w:val="99"/>
    <w:qFormat/>
    <w:pPr>
      <w:jc w:val="left"/>
      <w:spacing w:before="100" w:beforeAutospacing="1" w:after="100" w:afterAutospacing="1"/>
      <w:widowControl/>
    </w:pPr>
    <w:rPr>
      <w:rFonts w:hint="eastAsia" w:ascii="宋体" w:hAnsi="宋体" w:eastAsia="宋体"/>
      <w:sz w:val="24"/>
      <w:szCs w:val="24"/>
    </w:rPr>
  </w:style>
  <w:style w:type="paragraph" w:styleId="954">
    <w:name w:val="index 2"/>
    <w:basedOn w:val="897"/>
    <w:next w:val="897"/>
    <w:uiPriority w:val="0"/>
    <w:qFormat/>
    <w:pPr>
      <w:ind w:left="420"/>
    </w:pPr>
  </w:style>
  <w:style w:type="paragraph" w:styleId="955">
    <w:name w:val="annotation subject"/>
    <w:basedOn w:val="916"/>
    <w:next w:val="916"/>
    <w:link w:val="1001"/>
    <w:uiPriority w:val="0"/>
    <w:qFormat/>
    <w:rPr>
      <w:b/>
      <w:bCs/>
    </w:rPr>
  </w:style>
  <w:style w:type="paragraph" w:styleId="956">
    <w:name w:val="Body Text First Indent"/>
    <w:basedOn w:val="918"/>
    <w:link w:val="1002"/>
    <w:uiPriority w:val="0"/>
    <w:qFormat/>
    <w:pPr>
      <w:ind w:firstLine="420"/>
      <w:spacing w:after="120" w:line="240" w:lineRule="auto"/>
    </w:pPr>
    <w:rPr>
      <w:rFonts w:ascii="Times New Roman"/>
      <w:sz w:val="26"/>
    </w:rPr>
  </w:style>
  <w:style w:type="paragraph" w:styleId="957">
    <w:name w:val="Body Text First Indent 2"/>
    <w:basedOn w:val="919"/>
    <w:uiPriority w:val="0"/>
    <w:qFormat/>
    <w:pPr>
      <w:ind w:firstLine="420"/>
    </w:pPr>
  </w:style>
  <w:style w:type="table" w:styleId="958">
    <w:name w:val="Table Grid"/>
    <w:basedOn w:val="908"/>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9">
    <w:name w:val="Strong"/>
    <w:basedOn w:val="907"/>
    <w:uiPriority w:val="0"/>
    <w:qFormat/>
    <w:rPr>
      <w:rFonts w:ascii="Tahoma" w:hAnsi="Tahoma" w:eastAsia="宋体"/>
      <w:b/>
      <w:sz w:val="24"/>
    </w:rPr>
  </w:style>
  <w:style w:type="character" w:styleId="960">
    <w:name w:val="page number"/>
    <w:uiPriority w:val="0"/>
    <w:qFormat/>
  </w:style>
  <w:style w:type="character" w:styleId="961">
    <w:name w:val="FollowedHyperlink"/>
    <w:uiPriority w:val="0"/>
    <w:qFormat/>
    <w:rPr>
      <w:color w:val="800080"/>
      <w:u w:val="none"/>
    </w:rPr>
  </w:style>
  <w:style w:type="character" w:styleId="962">
    <w:name w:val="Emphasis"/>
    <w:uiPriority w:val="20"/>
    <w:qFormat/>
    <w:rPr>
      <w:b/>
      <w:bCs/>
    </w:rPr>
  </w:style>
  <w:style w:type="character" w:styleId="963">
    <w:name w:val="HTML Definition"/>
    <w:uiPriority w:val="99"/>
    <w:unhideWhenUsed/>
    <w:qFormat/>
  </w:style>
  <w:style w:type="character" w:styleId="964">
    <w:name w:val="HTML Typewriter"/>
    <w:uiPriority w:val="99"/>
    <w:unhideWhenUsed/>
    <w:qFormat/>
    <w:rPr>
      <w:rFonts w:hint="default" w:ascii="monospace" w:hAnsi="monospace" w:eastAsia="monospace" w:cs="monospace"/>
      <w:sz w:val="20"/>
    </w:rPr>
  </w:style>
  <w:style w:type="character" w:styleId="965">
    <w:name w:val="HTML Acronym"/>
    <w:uiPriority w:val="99"/>
    <w:unhideWhenUsed/>
    <w:qFormat/>
  </w:style>
  <w:style w:type="character" w:styleId="966">
    <w:name w:val="HTML Variable"/>
    <w:uiPriority w:val="99"/>
    <w:unhideWhenUsed/>
    <w:qFormat/>
  </w:style>
  <w:style w:type="character" w:styleId="967">
    <w:name w:val="Hyperlink"/>
    <w:uiPriority w:val="0"/>
    <w:qFormat/>
    <w:rPr>
      <w:color w:val="0000ff"/>
      <w:u w:val="none"/>
    </w:rPr>
  </w:style>
  <w:style w:type="character" w:styleId="968">
    <w:name w:val="HTML Code"/>
    <w:uiPriority w:val="99"/>
    <w:unhideWhenUsed/>
    <w:qFormat/>
    <w:rPr>
      <w:rFonts w:hint="default" w:ascii="monospace" w:hAnsi="monospace" w:eastAsia="monospace" w:cs="monospace"/>
      <w:sz w:val="20"/>
    </w:rPr>
  </w:style>
  <w:style w:type="character" w:styleId="969">
    <w:name w:val="annotation reference"/>
    <w:uiPriority w:val="0"/>
    <w:qFormat/>
    <w:rPr>
      <w:sz w:val="21"/>
      <w:szCs w:val="21"/>
    </w:rPr>
  </w:style>
  <w:style w:type="character" w:styleId="970">
    <w:name w:val="HTML Cite"/>
    <w:uiPriority w:val="99"/>
    <w:unhideWhenUsed/>
    <w:qFormat/>
  </w:style>
  <w:style w:type="character" w:styleId="971">
    <w:name w:val="footnote reference"/>
    <w:uiPriority w:val="0"/>
    <w:qFormat/>
    <w:rPr>
      <w:vertAlign w:val="superscript"/>
    </w:rPr>
  </w:style>
  <w:style w:type="character" w:styleId="972">
    <w:name w:val="HTML Keyboard"/>
    <w:uiPriority w:val="99"/>
    <w:unhideWhenUsed/>
    <w:qFormat/>
    <w:rPr>
      <w:rFonts w:ascii="monospace" w:hAnsi="monospace" w:eastAsia="monospace" w:cs="monospace"/>
      <w:sz w:val="20"/>
    </w:rPr>
  </w:style>
  <w:style w:type="character" w:styleId="973">
    <w:name w:val="HTML Sample"/>
    <w:uiPriority w:val="99"/>
    <w:unhideWhenUsed/>
    <w:qFormat/>
    <w:rPr>
      <w:rFonts w:hint="default" w:ascii="monospace" w:hAnsi="monospace" w:eastAsia="monospace" w:cs="monospace"/>
    </w:rPr>
  </w:style>
  <w:style w:type="paragraph" w:styleId="974" w:customStyle="1">
    <w:name w:val="彩色列表1"/>
    <w:basedOn w:val="897"/>
    <w:next w:val="975"/>
    <w:uiPriority w:val="34"/>
    <w:qFormat/>
    <w:pPr>
      <w:ind w:firstLine="420"/>
      <w:spacing w:line="360" w:lineRule="auto"/>
    </w:pPr>
    <w:rPr>
      <w:rFonts w:ascii="Calibri" w:hAnsi="Calibri"/>
      <w:sz w:val="20"/>
      <w:szCs w:val="20"/>
    </w:rPr>
  </w:style>
  <w:style w:type="paragraph" w:styleId="975" w:customStyle="1">
    <w:name w:val="批注文字1"/>
    <w:basedOn w:val="897"/>
    <w:uiPriority w:val="99"/>
    <w:qFormat/>
    <w:pPr>
      <w:jc w:val="left"/>
    </w:pPr>
  </w:style>
  <w:style w:type="paragraph" w:styleId="976" w:customStyle="1">
    <w:name w:val="正文文本缩进1"/>
    <w:basedOn w:val="897"/>
    <w:next w:val="897"/>
    <w:uiPriority w:val="99"/>
    <w:qFormat/>
    <w:pPr>
      <w:ind w:left="420"/>
      <w:spacing w:after="120"/>
    </w:pPr>
    <w:rPr>
      <w:sz w:val="24"/>
    </w:rPr>
  </w:style>
  <w:style w:type="paragraph" w:styleId="977" w:customStyle="1">
    <w:name w:val="段"/>
    <w:next w:val="897"/>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978" w:customStyle="1">
    <w:name w:val="标题 1 Char"/>
    <w:link w:val="898"/>
    <w:uiPriority w:val="0"/>
    <w:qFormat/>
    <w:rPr>
      <w:rFonts w:ascii="Times New Roman" w:hAnsi="Times New Roman" w:eastAsia="楷体_GB2312" w:cs="Times New Roman"/>
      <w:b/>
      <w:sz w:val="44"/>
      <w:szCs w:val="20"/>
    </w:rPr>
  </w:style>
  <w:style w:type="character" w:styleId="979" w:customStyle="1">
    <w:name w:val="标题 2 Char"/>
    <w:link w:val="899"/>
    <w:uiPriority w:val="0"/>
    <w:qFormat/>
    <w:rPr>
      <w:rFonts w:ascii="宋体" w:hAnsi="宋体" w:eastAsia="楷体_GB2312" w:cs="Times New Roman"/>
      <w:b/>
      <w:sz w:val="26"/>
      <w:szCs w:val="20"/>
    </w:rPr>
  </w:style>
  <w:style w:type="character" w:styleId="980" w:customStyle="1">
    <w:name w:val="标题 3 Char"/>
    <w:link w:val="900"/>
    <w:uiPriority w:val="0"/>
    <w:qFormat/>
    <w:rPr>
      <w:rFonts w:ascii="Times New Roman" w:hAnsi="Times New Roman" w:eastAsia="楷体_GB2312" w:cs="Times New Roman"/>
      <w:b/>
      <w:sz w:val="26"/>
      <w:szCs w:val="20"/>
    </w:rPr>
  </w:style>
  <w:style w:type="character" w:styleId="981" w:customStyle="1">
    <w:name w:val="标题 4 Char"/>
    <w:link w:val="901"/>
    <w:uiPriority w:val="0"/>
    <w:qFormat/>
    <w:rPr>
      <w:rFonts w:ascii="Arial" w:hAnsi="Arial" w:eastAsia="黑体" w:cs="Times New Roman"/>
      <w:b/>
      <w:bCs/>
      <w:sz w:val="28"/>
      <w:szCs w:val="28"/>
    </w:rPr>
  </w:style>
  <w:style w:type="character" w:styleId="982" w:customStyle="1">
    <w:name w:val="标题 5 Char"/>
    <w:link w:val="902"/>
    <w:uiPriority w:val="0"/>
    <w:qFormat/>
    <w:rPr>
      <w:rFonts w:ascii="宋体" w:hAnsi="Tms Rmn" w:eastAsia="宋体" w:cs="Times New Roman"/>
      <w:b/>
      <w:sz w:val="28"/>
      <w:szCs w:val="20"/>
    </w:rPr>
  </w:style>
  <w:style w:type="character" w:styleId="983" w:customStyle="1">
    <w:name w:val="标题 6 Char"/>
    <w:link w:val="903"/>
    <w:uiPriority w:val="0"/>
    <w:qFormat/>
    <w:rPr>
      <w:rFonts w:ascii="黑体" w:hAnsi="Tms Rmn" w:eastAsia="黑体" w:cs="Times New Roman"/>
      <w:b/>
      <w:sz w:val="24"/>
      <w:szCs w:val="20"/>
    </w:rPr>
  </w:style>
  <w:style w:type="character" w:styleId="984" w:customStyle="1">
    <w:name w:val="标题 7 Char"/>
    <w:link w:val="904"/>
    <w:uiPriority w:val="0"/>
    <w:qFormat/>
    <w:rPr>
      <w:rFonts w:ascii="宋体" w:hAnsi="Tms Rmn" w:eastAsia="宋体" w:cs="Times New Roman"/>
      <w:b/>
      <w:sz w:val="24"/>
      <w:szCs w:val="20"/>
    </w:rPr>
  </w:style>
  <w:style w:type="character" w:styleId="985" w:customStyle="1">
    <w:name w:val="标题 8 Char"/>
    <w:link w:val="905"/>
    <w:uiPriority w:val="0"/>
    <w:qFormat/>
    <w:rPr>
      <w:rFonts w:ascii="Arial" w:hAnsi="Arial" w:eastAsia="黑体" w:cs="Times New Roman"/>
      <w:sz w:val="24"/>
      <w:szCs w:val="24"/>
    </w:rPr>
  </w:style>
  <w:style w:type="character" w:styleId="986" w:customStyle="1">
    <w:name w:val="标题 9 Char"/>
    <w:link w:val="906"/>
    <w:uiPriority w:val="0"/>
    <w:qFormat/>
    <w:rPr>
      <w:rFonts w:ascii="Arial" w:hAnsi="Arial" w:eastAsia="黑体" w:cs="Times New Roman"/>
      <w:sz w:val="24"/>
      <w:szCs w:val="21"/>
    </w:rPr>
  </w:style>
  <w:style w:type="character" w:styleId="987" w:customStyle="1">
    <w:name w:val="正文缩进 Char"/>
    <w:link w:val="913"/>
    <w:uiPriority w:val="0"/>
    <w:qFormat/>
    <w:rPr>
      <w:rFonts w:eastAsia="楷体_GB2312"/>
      <w:sz w:val="24"/>
    </w:rPr>
  </w:style>
  <w:style w:type="character" w:styleId="988" w:customStyle="1">
    <w:name w:val="文档结构图 Char"/>
    <w:link w:val="915"/>
    <w:uiPriority w:val="0"/>
    <w:qFormat/>
    <w:rPr>
      <w:rFonts w:ascii="Times New Roman" w:hAnsi="Times New Roman" w:eastAsia="宋体" w:cs="Times New Roman"/>
      <w:sz w:val="24"/>
      <w:szCs w:val="20"/>
      <w:shd w:val="clear" w:color="auto" w:fill="000080"/>
    </w:rPr>
  </w:style>
  <w:style w:type="character" w:styleId="989" w:customStyle="1">
    <w:name w:val="批注文字 Char"/>
    <w:link w:val="916"/>
    <w:uiPriority w:val="0"/>
    <w:qFormat/>
    <w:rPr>
      <w:rFonts w:ascii="Times New Roman" w:hAnsi="Times New Roman" w:eastAsia="楷体_GB2312" w:cs="Times New Roman"/>
      <w:sz w:val="26"/>
      <w:szCs w:val="20"/>
    </w:rPr>
  </w:style>
  <w:style w:type="character" w:styleId="990" w:customStyle="1">
    <w:name w:val="正文文本 Char"/>
    <w:link w:val="918"/>
    <w:uiPriority w:val="0"/>
    <w:qFormat/>
    <w:rPr>
      <w:rFonts w:ascii="楷体_GB2312" w:hAnsi="Times New Roman" w:eastAsia="楷体_GB2312" w:cs="Times New Roman"/>
      <w:sz w:val="28"/>
      <w:szCs w:val="20"/>
    </w:rPr>
  </w:style>
  <w:style w:type="character" w:styleId="991" w:customStyle="1">
    <w:name w:val="正文文本缩进 Char"/>
    <w:link w:val="919"/>
    <w:uiPriority w:val="0"/>
    <w:qFormat/>
    <w:rPr>
      <w:rFonts w:ascii="方正仿宋简体" w:hAnsi="创艺简仿宋" w:eastAsia="方正仿宋简体" w:cs="Times New Roman"/>
      <w:sz w:val="24"/>
      <w:szCs w:val="20"/>
    </w:rPr>
  </w:style>
  <w:style w:type="character" w:styleId="992" w:customStyle="1">
    <w:name w:val="纯文本 Char"/>
    <w:link w:val="926"/>
    <w:uiPriority w:val="0"/>
    <w:qFormat/>
    <w:rPr>
      <w:rFonts w:ascii="宋体" w:hAnsi="Courier New" w:eastAsia="楷体_GB2312"/>
      <w:sz w:val="26"/>
    </w:rPr>
  </w:style>
  <w:style w:type="character" w:styleId="993" w:customStyle="1">
    <w:name w:val="日期 Char"/>
    <w:link w:val="934"/>
    <w:uiPriority w:val="0"/>
    <w:qFormat/>
    <w:rPr>
      <w:rFonts w:ascii="宋体" w:hAnsi="宋体" w:eastAsia="楷体_GB2312" w:cs="Times New Roman"/>
      <w:sz w:val="24"/>
      <w:szCs w:val="20"/>
    </w:rPr>
  </w:style>
  <w:style w:type="character" w:styleId="994" w:customStyle="1">
    <w:name w:val="正文文本缩进 2 Char"/>
    <w:link w:val="935"/>
    <w:uiPriority w:val="0"/>
    <w:qFormat/>
    <w:rPr>
      <w:rFonts w:ascii="宋体" w:hAnsi="Times New Roman" w:eastAsia="宋体" w:cs="Times New Roman"/>
      <w:b/>
      <w:bCs/>
      <w:sz w:val="24"/>
      <w:szCs w:val="20"/>
    </w:rPr>
  </w:style>
  <w:style w:type="character" w:styleId="995" w:customStyle="1">
    <w:name w:val="批注框文本 Char"/>
    <w:link w:val="936"/>
    <w:uiPriority w:val="0"/>
    <w:qFormat/>
    <w:rPr>
      <w:rFonts w:ascii="Times New Roman" w:hAnsi="Times New Roman" w:eastAsia="楷体_GB2312" w:cs="Times New Roman"/>
      <w:sz w:val="18"/>
      <w:szCs w:val="18"/>
    </w:rPr>
  </w:style>
  <w:style w:type="character" w:styleId="996" w:customStyle="1">
    <w:name w:val="页脚 Char"/>
    <w:link w:val="937"/>
    <w:uiPriority w:val="99"/>
    <w:qFormat/>
    <w:rPr>
      <w:rFonts w:ascii="Tahoma" w:hAnsi="Tahoma" w:eastAsia="宋体"/>
      <w:sz w:val="18"/>
      <w:szCs w:val="18"/>
    </w:rPr>
  </w:style>
  <w:style w:type="character" w:styleId="997" w:customStyle="1">
    <w:name w:val="页眉 Char"/>
    <w:link w:val="939"/>
    <w:uiPriority w:val="0"/>
    <w:qFormat/>
    <w:rPr>
      <w:rFonts w:ascii="Tahoma" w:hAnsi="Tahoma" w:eastAsia="宋体"/>
      <w:sz w:val="18"/>
      <w:szCs w:val="18"/>
    </w:rPr>
  </w:style>
  <w:style w:type="character" w:styleId="998" w:customStyle="1">
    <w:name w:val="脚注文本 Char"/>
    <w:link w:val="944"/>
    <w:uiPriority w:val="0"/>
    <w:qFormat/>
    <w:rPr>
      <w:rFonts w:ascii="Times New Roman" w:hAnsi="Times New Roman" w:eastAsia="楷体_GB2312" w:cs="Times New Roman"/>
      <w:sz w:val="18"/>
      <w:szCs w:val="20"/>
    </w:rPr>
  </w:style>
  <w:style w:type="character" w:styleId="999" w:customStyle="1">
    <w:name w:val="正文文本缩进 3 Char"/>
    <w:link w:val="946"/>
    <w:uiPriority w:val="0"/>
    <w:qFormat/>
    <w:rPr>
      <w:rFonts w:ascii="Times New Roman" w:hAnsi="Times New Roman" w:eastAsia="宋体" w:cs="Times New Roman"/>
      <w:sz w:val="24"/>
      <w:szCs w:val="24"/>
    </w:rPr>
  </w:style>
  <w:style w:type="character" w:styleId="1000" w:customStyle="1">
    <w:name w:val="HTML 预设格式 Char"/>
    <w:link w:val="952"/>
    <w:uiPriority w:val="0"/>
    <w:qFormat/>
    <w:rPr>
      <w:rFonts w:ascii="黑体" w:hAnsi="Courier New" w:eastAsia="黑体" w:cs="楷体_GB2312"/>
      <w:sz w:val="20"/>
      <w:szCs w:val="20"/>
    </w:rPr>
  </w:style>
  <w:style w:type="character" w:styleId="1001" w:customStyle="1">
    <w:name w:val="批注主题 Char"/>
    <w:link w:val="955"/>
    <w:uiPriority w:val="0"/>
    <w:qFormat/>
    <w:rPr>
      <w:rFonts w:ascii="Times New Roman" w:hAnsi="Times New Roman" w:eastAsia="楷体_GB2312" w:cs="Times New Roman"/>
      <w:b/>
      <w:bCs/>
      <w:sz w:val="26"/>
      <w:szCs w:val="20"/>
    </w:rPr>
  </w:style>
  <w:style w:type="character" w:styleId="1002" w:customStyle="1">
    <w:name w:val="正文首行缩进 Char"/>
    <w:link w:val="956"/>
    <w:uiPriority w:val="0"/>
    <w:qFormat/>
    <w:rPr>
      <w:rFonts w:ascii="Times New Roman" w:hAnsi="Times New Roman" w:eastAsia="楷体_GB2312" w:cs="Times New Roman"/>
      <w:sz w:val="26"/>
      <w:szCs w:val="20"/>
    </w:rPr>
  </w:style>
  <w:style w:type="character" w:styleId="1003" w:customStyle="1">
    <w:name w:val="font121"/>
    <w:uiPriority w:val="0"/>
    <w:qFormat/>
    <w:rPr>
      <w:rFonts w:hint="default" w:ascii="微软雅黑" w:hAnsi="微软雅黑" w:eastAsia="微软雅黑" w:cs="微软雅黑"/>
      <w:color w:val="000000"/>
      <w:sz w:val="21"/>
      <w:szCs w:val="21"/>
      <w:u w:val="none"/>
    </w:rPr>
  </w:style>
  <w:style w:type="character" w:styleId="1004" w:customStyle="1">
    <w:name w:val="font91"/>
    <w:uiPriority w:val="0"/>
    <w:qFormat/>
    <w:rPr>
      <w:rFonts w:hint="default" w:ascii="微软雅黑" w:hAnsi="微软雅黑" w:eastAsia="微软雅黑" w:cs="微软雅黑"/>
      <w:color w:val="ff0000"/>
      <w:sz w:val="21"/>
      <w:szCs w:val="21"/>
      <w:u w:val="none"/>
    </w:rPr>
  </w:style>
  <w:style w:type="character" w:styleId="1005" w:customStyle="1">
    <w:name w:val="font191"/>
    <w:uiPriority w:val="0"/>
    <w:qFormat/>
    <w:rPr>
      <w:rFonts w:hint="eastAsia" w:ascii="宋体" w:hAnsi="宋体" w:eastAsia="宋体" w:cs="宋体"/>
      <w:color w:val="000000"/>
      <w:sz w:val="21"/>
      <w:szCs w:val="21"/>
      <w:u w:val="none"/>
    </w:rPr>
  </w:style>
  <w:style w:type="character" w:styleId="1006" w:customStyle="1">
    <w:name w:val="纯文本 Char1"/>
    <w:uiPriority w:val="0"/>
    <w:qFormat/>
    <w:rPr>
      <w:rFonts w:ascii="宋体" w:hAnsi="Courier New" w:eastAsia="宋体" w:cs="Courier New"/>
      <w:sz w:val="24"/>
      <w:szCs w:val="21"/>
    </w:rPr>
  </w:style>
  <w:style w:type="character" w:styleId="1007" w:customStyle="1">
    <w:name w:val="font161"/>
    <w:uiPriority w:val="0"/>
    <w:qFormat/>
    <w:rPr>
      <w:rFonts w:hint="eastAsia" w:ascii="宋体" w:hAnsi="宋体" w:eastAsia="宋体" w:cs="宋体"/>
      <w:color w:val="333333"/>
      <w:sz w:val="20"/>
      <w:szCs w:val="20"/>
      <w:u w:val="none"/>
    </w:rPr>
  </w:style>
  <w:style w:type="character" w:styleId="1008" w:customStyle="1">
    <w:name w:val="font51"/>
    <w:uiPriority w:val="0"/>
    <w:qFormat/>
    <w:rPr>
      <w:rFonts w:hint="default" w:ascii="Times New Roman" w:hAnsi="Times New Roman" w:eastAsia="宋体" w:cs="Times New Roman"/>
      <w:color w:val="000000"/>
      <w:sz w:val="21"/>
      <w:szCs w:val="21"/>
      <w:u w:val="none"/>
    </w:rPr>
  </w:style>
  <w:style w:type="character" w:styleId="1009" w:customStyle="1">
    <w:name w:val="font101"/>
    <w:uiPriority w:val="0"/>
    <w:qFormat/>
    <w:rPr>
      <w:rFonts w:hint="eastAsia" w:ascii="宋体" w:hAnsi="宋体" w:eastAsia="宋体" w:cs="宋体"/>
      <w:color w:val="000000"/>
      <w:sz w:val="21"/>
      <w:szCs w:val="21"/>
      <w:u w:val="none"/>
    </w:rPr>
  </w:style>
  <w:style w:type="character" w:styleId="1010" w:customStyle="1">
    <w:name w:val="font151"/>
    <w:uiPriority w:val="0"/>
    <w:qFormat/>
    <w:rPr>
      <w:rFonts w:hint="default" w:ascii="Times New Roman" w:hAnsi="Times New Roman" w:eastAsia="宋体" w:cs="Times New Roman"/>
      <w:color w:val="dd0806"/>
      <w:sz w:val="21"/>
      <w:szCs w:val="21"/>
      <w:u w:val="none"/>
    </w:rPr>
  </w:style>
  <w:style w:type="character" w:styleId="1011" w:customStyle="1">
    <w:name w:val="font31"/>
    <w:uiPriority w:val="0"/>
    <w:qFormat/>
    <w:rPr>
      <w:rFonts w:ascii="微软雅黑" w:hAnsi="微软雅黑" w:eastAsia="微软雅黑" w:cs="微软雅黑"/>
      <w:color w:val="000000"/>
      <w:sz w:val="21"/>
      <w:szCs w:val="21"/>
      <w:u w:val="none"/>
    </w:rPr>
  </w:style>
  <w:style w:type="character" w:styleId="1012" w:customStyle="1">
    <w:name w:val="mini-outputtext1"/>
    <w:uiPriority w:val="0"/>
    <w:qFormat/>
  </w:style>
  <w:style w:type="character" w:styleId="1013" w:customStyle="1">
    <w:name w:val="Plain Text Char1"/>
    <w:link w:val="1014"/>
    <w:uiPriority w:val="0"/>
    <w:qFormat/>
    <w:rPr>
      <w:rFonts w:ascii="宋体" w:hAnsi="Courier New" w:eastAsia="楷体_GB2312"/>
      <w:sz w:val="26"/>
    </w:rPr>
  </w:style>
  <w:style w:type="paragraph" w:styleId="1014" w:customStyle="1">
    <w:name w:val="纯文本1"/>
    <w:basedOn w:val="897"/>
    <w:link w:val="1013"/>
    <w:uiPriority w:val="0"/>
    <w:qFormat/>
    <w:rPr>
      <w:rFonts w:ascii="宋体" w:hAnsi="Courier New"/>
    </w:rPr>
  </w:style>
  <w:style w:type="character" w:styleId="1015" w:customStyle="1">
    <w:name w:val="font71"/>
    <w:uiPriority w:val="0"/>
    <w:qFormat/>
    <w:rPr>
      <w:rFonts w:hint="default" w:ascii="Times New Roman" w:hAnsi="Times New Roman" w:eastAsia="宋体" w:cs="Times New Roman"/>
      <w:color w:val="000000"/>
      <w:sz w:val="21"/>
      <w:szCs w:val="21"/>
      <w:u w:val="none"/>
    </w:rPr>
  </w:style>
  <w:style w:type="character" w:styleId="1016" w:customStyle="1">
    <w:name w:val="批注文字 字符"/>
    <w:uiPriority w:val="0"/>
    <w:qFormat/>
    <w:rPr>
      <w:rFonts w:ascii="Times New Roman" w:hAnsi="Times New Roman" w:eastAsia="楷体_GB2312" w:cs="Times New Roman"/>
      <w:sz w:val="26"/>
      <w:szCs w:val="20"/>
    </w:rPr>
  </w:style>
  <w:style w:type="character" w:styleId="1017" w:customStyle="1">
    <w:name w:val="font81"/>
    <w:uiPriority w:val="0"/>
    <w:qFormat/>
    <w:rPr>
      <w:rFonts w:ascii="微软雅黑" w:hAnsi="微软雅黑" w:eastAsia="微软雅黑" w:cs="微软雅黑"/>
      <w:color w:val="000000"/>
      <w:sz w:val="21"/>
      <w:szCs w:val="21"/>
      <w:u w:val="none"/>
    </w:rPr>
  </w:style>
  <w:style w:type="character" w:styleId="1018"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019" w:customStyle="1">
    <w:name w:val="apple-style-span"/>
    <w:uiPriority w:val="0"/>
    <w:qFormat/>
  </w:style>
  <w:style w:type="character" w:styleId="1020" w:customStyle="1">
    <w:name w:val="font21"/>
    <w:uiPriority w:val="0"/>
    <w:qFormat/>
    <w:rPr>
      <w:rFonts w:hint="eastAsia" w:ascii="宋体" w:hAnsi="宋体" w:eastAsia="宋体" w:cs="宋体"/>
      <w:b/>
      <w:color w:val="000000"/>
      <w:sz w:val="22"/>
      <w:szCs w:val="22"/>
      <w:u w:val="none"/>
    </w:rPr>
  </w:style>
  <w:style w:type="character" w:styleId="1021" w:customStyle="1">
    <w:name w:val="hover2"/>
    <w:uiPriority w:val="0"/>
    <w:qFormat/>
    <w:rPr>
      <w:color w:val="2590eb"/>
    </w:rPr>
  </w:style>
  <w:style w:type="character" w:styleId="1022" w:customStyle="1">
    <w:name w:val="font171"/>
    <w:uiPriority w:val="0"/>
    <w:qFormat/>
    <w:rPr>
      <w:rFonts w:hint="default" w:ascii="微软雅黑" w:hAnsi="微软雅黑" w:eastAsia="微软雅黑" w:cs="微软雅黑"/>
      <w:color w:val="000000"/>
      <w:sz w:val="21"/>
      <w:szCs w:val="21"/>
      <w:u w:val="none"/>
    </w:rPr>
  </w:style>
  <w:style w:type="character" w:styleId="1023" w:customStyle="1">
    <w:name w:val="font01"/>
    <w:uiPriority w:val="0"/>
    <w:qFormat/>
    <w:rPr>
      <w:rFonts w:hint="eastAsia" w:ascii="宋体" w:hAnsi="宋体" w:eastAsia="宋体" w:cs="宋体"/>
      <w:color w:val="333333"/>
      <w:sz w:val="24"/>
      <w:szCs w:val="24"/>
      <w:u w:val="none"/>
    </w:rPr>
  </w:style>
  <w:style w:type="character" w:styleId="1024" w:customStyle="1">
    <w:name w:val="font131"/>
    <w:uiPriority w:val="0"/>
    <w:qFormat/>
    <w:rPr>
      <w:rFonts w:hint="default" w:ascii="Times New Roman" w:hAnsi="Times New Roman" w:eastAsia="宋体" w:cs="Times New Roman"/>
      <w:color w:val="333333"/>
      <w:sz w:val="20"/>
      <w:szCs w:val="20"/>
      <w:u w:val="none"/>
    </w:rPr>
  </w:style>
  <w:style w:type="character" w:styleId="1025" w:customStyle="1">
    <w:name w:val="font11"/>
    <w:uiPriority w:val="0"/>
    <w:qFormat/>
    <w:rPr>
      <w:rFonts w:hint="eastAsia" w:ascii="宋体" w:hAnsi="宋体" w:eastAsia="宋体" w:cs="宋体"/>
      <w:color w:val="000000"/>
      <w:sz w:val="24"/>
      <w:szCs w:val="24"/>
      <w:u w:val="none"/>
    </w:rPr>
  </w:style>
  <w:style w:type="character" w:styleId="1026" w:customStyle="1">
    <w:name w:val="hover1"/>
    <w:uiPriority w:val="0"/>
    <w:qFormat/>
    <w:rPr>
      <w:color w:val="2590eb"/>
    </w:rPr>
  </w:style>
  <w:style w:type="character" w:styleId="1027" w:customStyle="1">
    <w:name w:val="无间隔 Char"/>
    <w:link w:val="1028"/>
    <w:uiPriority w:val="0"/>
    <w:qFormat/>
    <w:rPr>
      <w:sz w:val="22"/>
      <w:szCs w:val="22"/>
      <w:lang w:val="en-US" w:eastAsia="en-US" w:bidi="ar-SA"/>
    </w:rPr>
  </w:style>
  <w:style w:type="paragraph" w:styleId="1028">
    <w:name w:val="No Spacing"/>
    <w:link w:val="1027"/>
    <w:uiPriority w:val="0"/>
    <w:qFormat/>
    <w:rPr>
      <w:rFonts w:ascii="Times New Roman" w:hAnsi="Times New Roman" w:eastAsia="宋体" w:cs="Times New Roman"/>
      <w:sz w:val="22"/>
      <w:szCs w:val="22"/>
      <w:lang w:val="en-US" w:eastAsia="en-US" w:bidi="ar-SA"/>
    </w:rPr>
  </w:style>
  <w:style w:type="character" w:styleId="1029" w:customStyle="1">
    <w:name w:val="hover"/>
    <w:uiPriority w:val="0"/>
    <w:qFormat/>
  </w:style>
  <w:style w:type="character" w:styleId="1030" w:customStyle="1">
    <w:name w:val="font61"/>
    <w:uiPriority w:val="0"/>
    <w:qFormat/>
    <w:rPr>
      <w:rFonts w:ascii="Batang" w:hAnsi="Batang" w:eastAsia="Batang" w:cs="Batang"/>
      <w:color w:val="000000"/>
      <w:sz w:val="21"/>
      <w:szCs w:val="21"/>
      <w:u w:val="none"/>
    </w:rPr>
  </w:style>
  <w:style w:type="character" w:styleId="1031" w:customStyle="1">
    <w:name w:val="表正文"/>
    <w:uiPriority w:val="0"/>
    <w:qFormat/>
    <w:rPr>
      <w:rFonts w:ascii="楷体_GB2312" w:hAnsi="Tahoma" w:eastAsia="宋体"/>
      <w:sz w:val="21"/>
      <w:lang w:val="en-US" w:eastAsia="zh-CN" w:bidi="ar-SA"/>
    </w:rPr>
  </w:style>
  <w:style w:type="character" w:styleId="1032"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033"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034" w:customStyle="1">
    <w:name w:val="font41"/>
    <w:uiPriority w:val="0"/>
    <w:qFormat/>
    <w:rPr>
      <w:rFonts w:hint="eastAsia" w:ascii="宋体" w:hAnsi="宋体" w:eastAsia="宋体" w:cs="宋体"/>
      <w:color w:val="000000"/>
      <w:sz w:val="18"/>
      <w:szCs w:val="18"/>
      <w:u w:val="none"/>
    </w:rPr>
  </w:style>
  <w:style w:type="paragraph" w:styleId="1035" w:customStyle="1">
    <w:name w:val="xl5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6" w:customStyle="1">
    <w:name w:val="Char Char Char1 Char Char Char Char"/>
    <w:basedOn w:val="897"/>
    <w:uiPriority w:val="0"/>
    <w:qFormat/>
    <w:pPr>
      <w:jc w:val="left"/>
      <w:spacing w:after="160" w:line="240" w:lineRule="exact"/>
      <w:widowControl/>
    </w:pPr>
    <w:rPr>
      <w:rFonts w:eastAsia="宋体"/>
      <w:sz w:val="24"/>
      <w:szCs w:val="24"/>
    </w:rPr>
  </w:style>
  <w:style w:type="paragraph" w:styleId="1037" w:customStyle="1">
    <w:name w:val="纯文本4"/>
    <w:basedOn w:val="897"/>
    <w:uiPriority w:val="0"/>
    <w:qFormat/>
    <w:rPr>
      <w:rFonts w:ascii="宋体" w:hAnsi="Courier New"/>
    </w:rPr>
  </w:style>
  <w:style w:type="paragraph" w:styleId="1038" w:customStyle="1">
    <w:name w:val="Char Char1 Char Char Char Char Char Char Char Char Char Char Char Char Char Char Char Char"/>
    <w:basedOn w:val="897"/>
    <w:uiPriority w:val="0"/>
    <w:qFormat/>
    <w:pPr>
      <w:jc w:val="left"/>
      <w:spacing w:after="160" w:line="240" w:lineRule="exact"/>
      <w:widowControl/>
    </w:pPr>
    <w:rPr>
      <w:rFonts w:ascii="Verdana" w:hAnsi="Verdana" w:eastAsia="宋体"/>
      <w:sz w:val="20"/>
      <w:lang w:eastAsia="en-US"/>
    </w:rPr>
  </w:style>
  <w:style w:type="paragraph" w:styleId="1039" w:customStyle="1">
    <w:name w:val="msolistparagraph"/>
    <w:basedOn w:val="897"/>
    <w:uiPriority w:val="0"/>
    <w:qFormat/>
    <w:pPr>
      <w:ind w:firstLine="420"/>
    </w:pPr>
    <w:rPr>
      <w:szCs w:val="21"/>
    </w:rPr>
  </w:style>
  <w:style w:type="paragraph" w:styleId="1040" w:customStyle="1">
    <w:name w:val="xl6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1" w:customStyle="1">
    <w:name w:val="xl6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2" w:customStyle="1">
    <w:name w:val="纯文本2"/>
    <w:basedOn w:val="897"/>
    <w:uiPriority w:val="0"/>
    <w:qFormat/>
    <w:rPr>
      <w:rFonts w:ascii="宋体" w:hAnsi="Courier New"/>
      <w:sz w:val="28"/>
    </w:rPr>
  </w:style>
  <w:style w:type="paragraph" w:styleId="1043" w:customStyle="1">
    <w:name w:val="分标题"/>
    <w:basedOn w:val="897"/>
    <w:next w:val="913"/>
    <w:uiPriority w:val="0"/>
    <w:qFormat/>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44" w:customStyle="1">
    <w:name w:val="xl47"/>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5" w:customStyle="1">
    <w:name w:val="纯文本21"/>
    <w:basedOn w:val="897"/>
    <w:uiPriority w:val="0"/>
    <w:qFormat/>
    <w:rPr>
      <w:rFonts w:ascii="宋体" w:hAnsi="Courier New"/>
      <w:sz w:val="28"/>
    </w:rPr>
  </w:style>
  <w:style w:type="paragraph" w:styleId="1046" w:customStyle="1">
    <w:name w:val="+正文"/>
    <w:basedOn w:val="897"/>
    <w:uiPriority w:val="0"/>
    <w:qFormat/>
    <w:pPr>
      <w:ind w:firstLine="200"/>
      <w:spacing w:line="360" w:lineRule="auto"/>
    </w:pPr>
    <w:rPr>
      <w:rFonts w:eastAsia="宋体"/>
      <w:sz w:val="24"/>
      <w:szCs w:val="28"/>
    </w:rPr>
  </w:style>
  <w:style w:type="paragraph" w:styleId="1047" w:customStyle="1">
    <w:name w:val="000左齐平"/>
    <w:basedOn w:val="897"/>
    <w:uiPriority w:val="0"/>
    <w:qFormat/>
    <w:pPr>
      <w:jc w:val="left"/>
    </w:pPr>
    <w:rPr>
      <w:color w:val="000000"/>
    </w:rPr>
  </w:style>
  <w:style w:type="paragraph" w:styleId="1048" w:customStyle="1">
    <w:name w:val="xl5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9" w:customStyle="1">
    <w:name w:val="xl6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0" w:customStyle="1">
    <w:name w:val="并列样式"/>
    <w:basedOn w:val="897"/>
    <w:next w:val="897"/>
    <w:uiPriority w:val="0"/>
    <w:qFormat/>
    <w:pPr>
      <w:ind w:left="839" w:hanging="419"/>
      <w:spacing w:before="120" w:after="120" w:line="360" w:lineRule="exact"/>
      <w:tabs>
        <w:tab w:val="left" w:pos="839" w:leader="none"/>
      </w:tabs>
    </w:pPr>
    <w:rPr>
      <w:rFonts w:eastAsia="宋体"/>
      <w:sz w:val="24"/>
    </w:rPr>
  </w:style>
  <w:style w:type="paragraph" w:styleId="1051" w:customStyle="1">
    <w:name w:val="xl6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2"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053" w:customStyle="1">
    <w:name w:val="Char Char1 Char Char Char Char Char Char Char"/>
    <w:basedOn w:val="897"/>
    <w:uiPriority w:val="0"/>
    <w:qFormat/>
  </w:style>
  <w:style w:type="paragraph" w:styleId="1054"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055" w:customStyle="1">
    <w:name w:val="xl45"/>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6" w:customStyle="1">
    <w:name w:val="xl53"/>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7" w:customStyle="1">
    <w:name w:val="节标题"/>
    <w:basedOn w:val="897"/>
    <w:next w:val="913"/>
    <w:uiPriority w:val="0"/>
    <w:qFormat/>
    <w:pPr>
      <w:ind w:left="420" w:hanging="420"/>
      <w:spacing w:before="120" w:after="120" w:line="360" w:lineRule="exact"/>
      <w:tabs>
        <w:tab w:val="left" w:pos="420" w:leader="none"/>
      </w:tabs>
      <w:outlineLvl w:val="1"/>
    </w:pPr>
    <w:rPr>
      <w:rFonts w:eastAsia="宋体"/>
      <w:b/>
      <w:bCs/>
      <w:sz w:val="28"/>
    </w:rPr>
  </w:style>
  <w:style w:type="paragraph" w:styleId="1058" w:customStyle="1">
    <w:name w:val="Andy_正文"/>
    <w:basedOn w:val="897"/>
    <w:uiPriority w:val="0"/>
    <w:qFormat/>
    <w:pPr>
      <w:ind w:firstLine="480"/>
      <w:spacing w:line="360" w:lineRule="auto"/>
    </w:pPr>
    <w:rPr>
      <w:rFonts w:ascii="Calibri" w:hAnsi="Calibri" w:eastAsia="宋体"/>
      <w:sz w:val="24"/>
      <w:szCs w:val="24"/>
    </w:rPr>
  </w:style>
  <w:style w:type="paragraph" w:styleId="1059" w:customStyle="1">
    <w:name w:val="xl51"/>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0" w:customStyle="1">
    <w:name w:val="_Style 12"/>
    <w:basedOn w:val="915"/>
    <w:uiPriority w:val="0"/>
    <w:qFormat/>
    <w:pPr>
      <w:jc w:val="left"/>
      <w:spacing w:line="360" w:lineRule="auto"/>
      <w:widowControl/>
    </w:pPr>
  </w:style>
  <w:style w:type="paragraph" w:styleId="1061" w:customStyle="1">
    <w:name w:val="_Style 158"/>
    <w:uiPriority w:val="99"/>
    <w:unhideWhenUsed/>
    <w:qFormat/>
    <w:rPr>
      <w:rFonts w:ascii="Times New Roman" w:hAnsi="Times New Roman" w:eastAsia="楷体_GB2312" w:cs="Times New Roman"/>
      <w:sz w:val="26"/>
      <w:lang w:val="en-US" w:eastAsia="zh-CN" w:bidi="ar-SA"/>
    </w:rPr>
  </w:style>
  <w:style w:type="paragraph" w:styleId="1062" w:customStyle="1">
    <w:name w:val="Default"/>
    <w:next w:val="1063"/>
    <w:uiPriority w:val="0"/>
    <w:qFormat/>
    <w:pPr>
      <w:widowControl w:val="off"/>
    </w:pPr>
    <w:rPr>
      <w:rFonts w:ascii="宋体" w:hAnsi="Calibri" w:eastAsia="宋体" w:cs="宋体"/>
      <w:color w:val="000000"/>
      <w:sz w:val="24"/>
      <w:szCs w:val="24"/>
      <w:lang w:val="en-US" w:eastAsia="zh-CN" w:bidi="ar-SA"/>
    </w:rPr>
  </w:style>
  <w:style w:type="paragraph" w:styleId="1063" w:customStyle="1">
    <w:name w:val="列表项目符号 511"/>
    <w:basedOn w:val="930"/>
    <w:next w:val="928"/>
    <w:uiPriority w:val="0"/>
    <w:qFormat/>
    <w:pPr>
      <w:numPr>
        <w:ilvl w:val="0"/>
        <w:numId w:val="4"/>
      </w:numPr>
    </w:pPr>
  </w:style>
  <w:style w:type="paragraph" w:styleId="1064" w:customStyle="1">
    <w:name w:val="xl57"/>
    <w:basedOn w:val="89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5" w:customStyle="1">
    <w:name w:val="xl49"/>
    <w:basedOn w:val="897"/>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66" w:customStyle="1">
    <w:name w:val="Char Char Char"/>
    <w:basedOn w:val="897"/>
    <w:uiPriority w:val="0"/>
    <w:qFormat/>
    <w:rPr>
      <w:rFonts w:ascii="Tahoma" w:hAnsi="Tahoma" w:eastAsia="宋体"/>
      <w:sz w:val="24"/>
    </w:rPr>
  </w:style>
  <w:style w:type="paragraph" w:styleId="1067" w:customStyle="1">
    <w:name w:val="xl5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8" w:customStyle="1">
    <w:name w:val="xl6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69" w:customStyle="1">
    <w:name w:val="Char Char Char Char Char Char Char"/>
    <w:basedOn w:val="897"/>
    <w:uiPriority w:val="0"/>
    <w:qFormat/>
    <w:pPr>
      <w:ind w:left="432" w:hanging="432"/>
      <w:tabs>
        <w:tab w:val="left" w:pos="432" w:leader="none"/>
      </w:tabs>
    </w:pPr>
    <w:rPr>
      <w:rFonts w:ascii="Tahoma" w:hAnsi="Tahoma" w:eastAsia="宋体"/>
      <w:sz w:val="24"/>
    </w:rPr>
  </w:style>
  <w:style w:type="paragraph" w:styleId="1070" w:customStyle="1">
    <w:name w:val="font5"/>
    <w:basedOn w:val="897"/>
    <w:uiPriority w:val="0"/>
    <w:qFormat/>
    <w:pPr>
      <w:jc w:val="left"/>
      <w:spacing w:before="100" w:beforeAutospacing="1" w:after="100" w:afterAutospacing="1"/>
      <w:widowControl/>
    </w:pPr>
    <w:rPr>
      <w:rFonts w:hint="eastAsia" w:ascii="宋体" w:hAnsi="宋体" w:eastAsia="宋体"/>
      <w:sz w:val="18"/>
      <w:szCs w:val="18"/>
    </w:rPr>
  </w:style>
  <w:style w:type="paragraph" w:styleId="1071" w:customStyle="1">
    <w:name w:val="Char"/>
    <w:basedOn w:val="897"/>
    <w:uiPriority w:val="0"/>
    <w:qFormat/>
    <w:rPr>
      <w:rFonts w:ascii="Tahoma" w:hAnsi="Tahoma" w:eastAsia="宋体"/>
      <w:sz w:val="24"/>
    </w:rPr>
  </w:style>
  <w:style w:type="paragraph" w:styleId="1072" w:customStyle="1">
    <w:name w:val="Blockquote"/>
    <w:basedOn w:val="897"/>
    <w:uiPriority w:val="0"/>
    <w:qFormat/>
    <w:pPr>
      <w:ind w:left="360" w:right="360"/>
      <w:jc w:val="left"/>
      <w:spacing w:before="100" w:after="100"/>
    </w:pPr>
    <w:rPr>
      <w:sz w:val="24"/>
    </w:rPr>
  </w:style>
  <w:style w:type="paragraph" w:styleId="1073" w:customStyle="1">
    <w:name w:val="Char Char Char Char Char Char Char Char Char1 Char"/>
    <w:basedOn w:val="915"/>
    <w:uiPriority w:val="0"/>
    <w:qFormat/>
    <w:pPr>
      <w:spacing w:line="360" w:lineRule="auto"/>
    </w:pPr>
    <w:rPr>
      <w:rFonts w:ascii="Tahoma" w:hAnsi="Tahoma"/>
      <w:szCs w:val="24"/>
    </w:rPr>
  </w:style>
  <w:style w:type="paragraph" w:styleId="1074" w:customStyle="1">
    <w:name w:val="font6"/>
    <w:basedOn w:val="897"/>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75" w:customStyle="1">
    <w:name w:val="xl46"/>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6" w:customStyle="1">
    <w:name w:val="xl58"/>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7" w:customStyle="1">
    <w:name w:val="_Style 1"/>
    <w:basedOn w:val="897"/>
    <w:uiPriority w:val="34"/>
    <w:qFormat/>
    <w:pPr>
      <w:ind w:firstLine="420"/>
    </w:pPr>
    <w:rPr>
      <w:rFonts w:ascii="Calibri" w:hAnsi="Calibri"/>
      <w:szCs w:val="22"/>
    </w:rPr>
  </w:style>
  <w:style w:type="paragraph" w:styleId="1078" w:customStyle="1">
    <w:name w:val="xl6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9" w:customStyle="1">
    <w:name w:val="列出段落11"/>
    <w:basedOn w:val="897"/>
    <w:uiPriority w:val="0"/>
    <w:qFormat/>
    <w:pPr>
      <w:ind w:firstLine="420"/>
    </w:pPr>
  </w:style>
  <w:style w:type="paragraph" w:styleId="1080" w:customStyle="1">
    <w:name w:val="xl55"/>
    <w:basedOn w:val="89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1" w:customStyle="1">
    <w:name w:val="xl5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2" w:customStyle="1">
    <w:name w:val="xl6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3" w:customStyle="1">
    <w:name w:val="分层标题"/>
    <w:basedOn w:val="897"/>
    <w:next w:val="913"/>
    <w:uiPriority w:val="0"/>
    <w:qFormat/>
    <w:pPr>
      <w:ind w:left="709" w:hanging="709"/>
      <w:spacing w:before="120" w:after="120" w:line="360" w:lineRule="exact"/>
      <w:tabs>
        <w:tab w:val="left" w:pos="1080" w:leader="none"/>
      </w:tabs>
      <w:outlineLvl w:val="4"/>
    </w:pPr>
    <w:rPr>
      <w:rFonts w:eastAsia="宋体"/>
      <w:b/>
      <w:sz w:val="24"/>
      <w:szCs w:val="24"/>
    </w:rPr>
  </w:style>
  <w:style w:type="paragraph" w:styleId="1084" w:customStyle="1">
    <w:name w:val="xl5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5" w:customStyle="1">
    <w:name w:val="xl48"/>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6" w:customStyle="1">
    <w:name w:val="正文样式"/>
    <w:basedOn w:val="897"/>
    <w:uiPriority w:val="0"/>
    <w:qFormat/>
    <w:pPr>
      <w:ind w:firstLine="584"/>
    </w:pPr>
    <w:rPr>
      <w:rFonts w:ascii="仿宋_GB2312" w:eastAsia="仿宋_GB2312"/>
      <w:spacing w:val="-4"/>
      <w:sz w:val="30"/>
      <w:szCs w:val="30"/>
    </w:rPr>
  </w:style>
  <w:style w:type="paragraph" w:styleId="1087" w:customStyle="1">
    <w:name w:val="纯文本11"/>
    <w:basedOn w:val="897"/>
    <w:uiPriority w:val="99"/>
    <w:qFormat/>
    <w:rPr>
      <w:rFonts w:ascii="宋体" w:hAnsi="Courier New" w:eastAsia="宋体"/>
      <w:sz w:val="21"/>
      <w:szCs w:val="22"/>
    </w:rPr>
  </w:style>
  <w:style w:type="paragraph" w:styleId="1088" w:customStyle="1">
    <w:name w:val="首行缩进"/>
    <w:basedOn w:val="897"/>
    <w:uiPriority w:val="0"/>
    <w:qFormat/>
    <w:pPr>
      <w:ind w:firstLine="480"/>
    </w:pPr>
    <w:rPr>
      <w:lang w:val="zh-CN"/>
    </w:rPr>
  </w:style>
  <w:style w:type="paragraph" w:styleId="1089" w:customStyle="1">
    <w:name w:val="默认段落字体 Para Char Char Char Char Char Char Char"/>
    <w:basedOn w:val="897"/>
    <w:uiPriority w:val="0"/>
    <w:qFormat/>
    <w:pPr>
      <w:spacing w:line="360" w:lineRule="auto"/>
    </w:pPr>
    <w:rPr>
      <w:rFonts w:ascii="Tahoma" w:hAnsi="Tahoma" w:eastAsia="宋体"/>
      <w:sz w:val="24"/>
    </w:rPr>
  </w:style>
  <w:style w:type="paragraph" w:styleId="1090" w:customStyle="1">
    <w:name w:val="批注框文本1"/>
    <w:basedOn w:val="897"/>
    <w:uiPriority w:val="0"/>
    <w:semiHidden/>
    <w:qFormat/>
    <w:rPr>
      <w:sz w:val="18"/>
      <w:szCs w:val="18"/>
    </w:rPr>
  </w:style>
  <w:style w:type="paragraph" w:styleId="1091" w:customStyle="1">
    <w:name w:val="p0"/>
    <w:basedOn w:val="897"/>
    <w:uiPriority w:val="0"/>
    <w:qFormat/>
    <w:rPr>
      <w:rFonts w:hint="eastAsia"/>
    </w:rPr>
  </w:style>
  <w:style w:type="paragraph" w:styleId="1092" w:customStyle="1">
    <w:name w:val="小四 段落 宋体 Char"/>
    <w:basedOn w:val="912"/>
    <w:uiPriority w:val="0"/>
    <w:qFormat/>
    <w:pPr>
      <w:ind w:left="0" w:right="-33" w:firstLine="480"/>
      <w:jc w:val="left"/>
      <w:spacing w:line="360" w:lineRule="auto"/>
      <w:tabs>
        <w:tab w:val="clear" w:pos="1125" w:leader="none"/>
      </w:tabs>
    </w:pPr>
    <w:rPr>
      <w:sz w:val="24"/>
    </w:rPr>
  </w:style>
  <w:style w:type="character" w:styleId="1093" w:customStyle="1">
    <w:name w:val="NormalCharacter"/>
    <w:uiPriority w:val="0"/>
    <w:semiHidden/>
    <w:qFormat/>
  </w:style>
  <w:style w:type="paragraph" w:styleId="1094" w:customStyle="1">
    <w:name w:val="纯文本3"/>
    <w:basedOn w:val="897"/>
    <w:uiPriority w:val="0"/>
    <w:qFormat/>
    <w:rPr>
      <w:rFonts w:ascii="宋体" w:hAnsi="Courier New"/>
      <w:sz w:val="21"/>
    </w:rPr>
  </w:style>
  <w:style w:type="paragraph" w:styleId="1095" w:customStyle="1">
    <w:name w:val="列出段落2"/>
    <w:basedOn w:val="897"/>
    <w:uiPriority w:val="34"/>
    <w:qFormat/>
    <w:pPr>
      <w:ind w:firstLine="420"/>
    </w:pPr>
    <w:rPr>
      <w:rFonts w:ascii="宋体" w:hAnsi="宋体"/>
      <w:sz w:val="24"/>
      <w:szCs w:val="24"/>
    </w:rPr>
  </w:style>
  <w:style w:type="paragraph" w:styleId="1096" w:customStyle="1">
    <w:name w:val="Normal_0"/>
    <w:next w:val="1097"/>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097" w:customStyle="1">
    <w:name w:val="首行缩进_0"/>
    <w:basedOn w:val="1096"/>
    <w:uiPriority w:val="0"/>
    <w:qFormat/>
    <w:pPr>
      <w:ind w:firstLine="480"/>
      <w:jc w:val="left"/>
      <w:spacing w:line="360" w:lineRule="auto"/>
    </w:pPr>
    <w:rPr>
      <w:rFonts w:ascii="宋体" w:hAnsi="宋体"/>
      <w:sz w:val="24"/>
    </w:rPr>
  </w:style>
  <w:style w:type="paragraph" w:styleId="1098" w:customStyle="1">
    <w:name w:val="标题 21"/>
    <w:basedOn w:val="897"/>
    <w:next w:val="897"/>
    <w:uiPriority w:val="0"/>
    <w:qFormat/>
    <w:pPr>
      <w:keepLines/>
      <w:keepNext/>
      <w:spacing w:before="260" w:after="260" w:line="413" w:lineRule="auto"/>
      <w:outlineLvl w:val="1"/>
    </w:pPr>
    <w:rPr>
      <w:rFonts w:ascii="Arial" w:hAnsi="Arial" w:eastAsia="黑体"/>
      <w:b/>
      <w:sz w:val="32"/>
    </w:rPr>
  </w:style>
  <w:style w:type="paragraph" w:styleId="1099" w:customStyle="1">
    <w:name w:val="正文缩进11"/>
    <w:basedOn w:val="897"/>
    <w:next w:val="897"/>
    <w:uiPriority w:val="0"/>
    <w:qFormat/>
    <w:pPr>
      <w:ind w:firstLine="420"/>
      <w:jc w:val="left"/>
    </w:pPr>
    <w:rPr>
      <w:sz w:val="24"/>
    </w:rPr>
  </w:style>
  <w:style w:type="character" w:styleId="1100" w:customStyle="1">
    <w:name w:val="NormalCharacter1"/>
    <w:uiPriority w:val="0"/>
    <w:semiHidden/>
    <w:qFormat/>
    <w:rPr>
      <w:rFonts w:ascii="Times New Roman" w:hAnsi="Times New Roman" w:eastAsia="楷体_GB2312" w:cs="Times New Roman"/>
      <w:sz w:val="26"/>
      <w:lang w:val="en-US" w:eastAsia="zh-CN" w:bidi="ar-SA"/>
    </w:rPr>
  </w:style>
  <w:style w:type="paragraph" w:styleId="1101" w:customStyle="1">
    <w:name w:val="修订1"/>
    <w:hidden/>
    <w:uiPriority w:val="99"/>
    <w:semiHidden/>
    <w:qFormat/>
    <w:rPr>
      <w:rFonts w:ascii="Times New Roman" w:hAnsi="Times New Roman" w:eastAsia="楷体_GB2312" w:cs="Times New Roman"/>
      <w:sz w:val="26"/>
      <w:lang w:val="en-US" w:eastAsia="zh-CN" w:bidi="ar-SA"/>
    </w:rPr>
  </w:style>
  <w:style w:type="paragraph" w:styleId="1102" w:customStyle="1">
    <w:name w:val="正文缩进1"/>
    <w:basedOn w:val="897"/>
    <w:uiPriority w:val="99"/>
    <w:qFormat/>
    <w:pPr>
      <w:ind w:firstLine="420"/>
    </w:pPr>
    <w:rPr>
      <w:szCs w:val="20"/>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沈鹰</cp:lastModifiedBy>
  <cp:revision>4</cp:revision>
  <dcterms:created xsi:type="dcterms:W3CDTF">2025-10-17T07:33:00Z</dcterms:created>
  <dcterms:modified xsi:type="dcterms:W3CDTF">2026-09-22T02:38:37Z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BA8252772D6445D0AF3898145EC08BC5_13</vt:lpwstr>
  </property>
  <property fmtid="{D5CDD505-2E9C-101B-9397-08002B2CF9AE}" pid="4" name="KSOTemplateDocerSaveRecord">
    <vt:lpwstr>eyJoZGlkIjoiZTg1ZjBiYjczODk3ZDAxZTcxNzhmZTc1ZjVmOWU3NDAiLCJ1c2VySWQiOiI0MTgxMDg2MzUifQ==</vt:lpwstr>
  </property>
</Properties>
</file>