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896"/>
      </w:pPr>
      <w:r/>
      <w:r/>
    </w:p>
    <w:p>
      <w:pPr>
        <w:pStyle w:val="907"/>
        <w:jc w:val="center"/>
        <w:rPr>
          <w:rFonts w:eastAsia="黑体"/>
          <w:b/>
          <w:bCs/>
          <w:sz w:val="84"/>
        </w:rPr>
      </w:pPr>
      <w:r>
        <w:rPr>
          <w:rFonts w:hint="eastAsia" w:eastAsia="黑体"/>
          <w:b/>
          <w:bCs/>
          <w:sz w:val="84"/>
        </w:rPr>
        <w:t xml:space="preserve">招　标　文　件</w:t>
      </w:r>
      <w:r/>
    </w:p>
    <w:p>
      <w:pPr>
        <w:ind w:firstLine="1506"/>
        <w:spacing w:line="360" w:lineRule="auto"/>
        <w:rPr>
          <w:b/>
          <w:sz w:val="30"/>
          <w:szCs w:val="30"/>
          <w:u w:val="single"/>
        </w:rPr>
      </w:pPr>
      <w:r>
        <w:rPr>
          <w:rFonts w:hint="eastAsia"/>
          <w:b/>
          <w:sz w:val="30"/>
          <w:szCs w:val="30"/>
        </w:rPr>
        <w:t xml:space="preserve">项目名称：</w:t>
      </w:r>
      <w:r>
        <w:rPr>
          <w:rFonts w:hint="eastAsia"/>
          <w:b/>
          <w:sz w:val="32"/>
          <w:szCs w:val="32"/>
          <w:lang w:eastAsia="zh-CN"/>
        </w:rPr>
        <w:t xml:space="preserve">丹桂农事服务中心育秧中心建设项目</w:t>
      </w:r>
      <w:r>
        <w:rPr>
          <w:rFonts w:hint="eastAsia"/>
          <w:b/>
          <w:sz w:val="32"/>
          <w:szCs w:val="32"/>
        </w:rPr>
        <w:t xml:space="preserve"> </w:t>
      </w:r>
      <w:r/>
    </w:p>
    <w:p>
      <w:pPr>
        <w:ind w:firstLine="1506"/>
        <w:spacing w:line="360" w:lineRule="auto"/>
        <w:rPr>
          <w:b/>
          <w:sz w:val="30"/>
          <w:szCs w:val="30"/>
        </w:rPr>
      </w:pPr>
      <w:r>
        <w:rPr>
          <w:rFonts w:hint="eastAsia"/>
          <w:b/>
          <w:sz w:val="30"/>
          <w:szCs w:val="30"/>
        </w:rPr>
        <w:t xml:space="preserve">项目编号：</w:t>
      </w:r>
      <w:r>
        <w:rPr>
          <w:rFonts w:hint="eastAsia"/>
          <w:b/>
          <w:sz w:val="32"/>
          <w:szCs w:val="32"/>
          <w:lang w:eastAsia="zh-CN"/>
        </w:rPr>
        <w:t xml:space="preserve">JSZC-320115-JYCS-G2026-0006</w:t>
      </w:r>
      <w:r>
        <w:rPr>
          <w:rFonts w:hint="eastAsia"/>
          <w:b/>
          <w:sz w:val="30"/>
          <w:szCs w:val="30"/>
        </w:rPr>
        <w:t xml:space="preserve">              </w:t>
      </w:r>
      <w:r/>
    </w:p>
    <w:p>
      <w:pPr>
        <w:jc w:val="center"/>
        <w:rPr>
          <w:b/>
          <w:color w:val="ff0000"/>
          <w:sz w:val="30"/>
          <w:szCs w:val="30"/>
        </w:rPr>
      </w:pPr>
      <w:r>
        <w:rPr>
          <w:b/>
          <w:color w:val="ff0000"/>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11"/>
        <w:rPr>
          <w:rFonts w:hint="eastAsia"/>
        </w:rPr>
      </w:pPr>
      <w:r>
        <w:rPr>
          <w:rFonts w:hint="eastAsia"/>
        </w:rPr>
      </w:r>
      <w:r/>
    </w:p>
    <w:p>
      <w:r/>
      <w:r/>
    </w:p>
    <w:p>
      <w:pPr>
        <w:pStyle w:val="711"/>
        <w:rPr>
          <w:rFonts w:hint="eastAsia"/>
        </w:rPr>
      </w:pPr>
      <w:r>
        <w:rPr>
          <w:rFonts w:hint="eastAsia"/>
        </w:rPr>
      </w:r>
      <w:r/>
    </w:p>
    <w:p>
      <w:pPr>
        <w:pStyle w:val="711"/>
        <w:rPr>
          <w:rFonts w:hint="eastAsia"/>
        </w:rPr>
      </w:pPr>
      <w:r>
        <w:rPr>
          <w:rFonts w:hint="eastAsia"/>
        </w:rPr>
      </w:r>
      <w:r/>
    </w:p>
    <w:p>
      <w:r/>
      <w:r/>
    </w:p>
    <w:p>
      <w:pPr>
        <w:pStyle w:val="711"/>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07"/>
        <w:ind w:firstLine="0"/>
        <w:jc w:val="center"/>
        <w:rPr>
          <w:b/>
          <w:bCs/>
          <w:sz w:val="32"/>
        </w:rPr>
      </w:pPr>
      <w:r>
        <w:rPr>
          <w:rFonts w:hint="eastAsia"/>
          <w:b/>
          <w:bCs/>
          <w:sz w:val="32"/>
        </w:rPr>
        <w:t xml:space="preserve">江苏金永诚建设投资管理咨询有限公司</w:t>
      </w:r>
      <w:r/>
    </w:p>
    <w:p>
      <w:pPr>
        <w:jc w:val="center"/>
        <w:rPr>
          <w:b/>
          <w:sz w:val="32"/>
          <w:szCs w:val="32"/>
        </w:rPr>
      </w:pPr>
      <w:r>
        <w:rPr>
          <w:rFonts w:hint="eastAsia"/>
          <w:b/>
          <w:sz w:val="32"/>
          <w:szCs w:val="32"/>
        </w:rPr>
        <w:t xml:space="preserve">20</w:t>
      </w:r>
      <w:r>
        <w:rPr>
          <w:b/>
          <w:sz w:val="32"/>
          <w:szCs w:val="32"/>
        </w:rPr>
        <w:t xml:space="preserve">2</w:t>
      </w:r>
      <w:r>
        <w:rPr>
          <w:rFonts w:hint="eastAsia"/>
          <w:b/>
          <w:sz w:val="32"/>
          <w:szCs w:val="32"/>
        </w:rPr>
        <w:t xml:space="preserve">6年</w:t>
      </w:r>
      <w:r>
        <w:rPr>
          <w:rFonts w:hint="eastAsia"/>
          <w:b/>
          <w:sz w:val="32"/>
          <w:szCs w:val="32"/>
          <w:lang w:val="en-US" w:eastAsia="zh-CN"/>
        </w:rPr>
        <w:t xml:space="preserve">10</w:t>
      </w:r>
      <w:r>
        <w:rPr>
          <w:rFonts w:hint="eastAsia"/>
          <w:b/>
          <w:sz w:val="32"/>
          <w:szCs w:val="32"/>
        </w:rPr>
        <w:t xml:space="preserve">月</w:t>
      </w:r>
      <w:r/>
    </w:p>
    <w:p>
      <w:pPr>
        <w:jc w:val="left"/>
        <w:spacing w:before="120" w:after="120" w:line="360" w:lineRule="auto"/>
        <w:rPr>
          <w:rFonts w:ascii="Arial" w:hAnsi="Arial"/>
          <w:sz w:val="24"/>
          <w:szCs w:val="24"/>
        </w:rPr>
      </w:pPr>
      <w:r>
        <w:rPr>
          <w:rFonts w:hint="eastAsia" w:ascii="Arial" w:hAnsi="Arial"/>
          <w:sz w:val="24"/>
          <w:szCs w:val="24"/>
        </w:rPr>
        <w:t xml:space="preserve">                        </w:t>
      </w:r>
      <w:r/>
    </w:p>
    <w:p>
      <w:pPr>
        <w:pStyle w:val="711"/>
        <w:rPr>
          <w:rFonts w:hint="eastAsia"/>
          <w:u w:val="single"/>
        </w:rPr>
      </w:pPr>
      <w:r>
        <w:br w:type="page" w:clear="all"/>
      </w:r>
      <w:r/>
    </w:p>
    <w:p>
      <w:pPr>
        <w:jc w:val="center"/>
        <w:spacing w:line="360" w:lineRule="auto"/>
        <w:rPr>
          <w:rFonts w:ascii="黑体" w:hAnsi="Arial" w:eastAsia="黑体"/>
          <w:b/>
          <w:sz w:val="44"/>
          <w:szCs w:val="21"/>
        </w:rPr>
        <w:outlineLvl w:val="0"/>
      </w:pPr>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b/>
          <w:sz w:val="44"/>
          <w:szCs w:val="21"/>
        </w:rPr>
        <w:t xml:space="preserve">总  目  录</w:t>
      </w:r>
      <w:r/>
    </w:p>
    <w:p>
      <w:pPr>
        <w:spacing w:line="36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投标邀请…………………………………… 3</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投标人须知………………………………… 7</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rPr>
          <w:rFonts w:ascii="黑体" w:hAnsi="宋体" w:eastAsia="黑体"/>
          <w:sz w:val="36"/>
          <w:szCs w:val="21"/>
        </w:rPr>
        <w:t xml:space="preserve">1</w:t>
      </w:r>
      <w:r>
        <w:rPr>
          <w:rFonts w:hint="eastAsia" w:ascii="黑体" w:hAnsi="宋体" w:eastAsia="黑体"/>
          <w:sz w:val="36"/>
          <w:szCs w:val="21"/>
        </w:rPr>
        <w:t xml:space="preserve">8</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采购需求……………………………………2</w:t>
      </w:r>
      <w:r>
        <w:rPr>
          <w:rFonts w:ascii="黑体" w:hAnsi="宋体" w:eastAsia="黑体"/>
          <w:sz w:val="36"/>
          <w:szCs w:val="21"/>
        </w:rPr>
        <w:t xml:space="preserve">9</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评标方法与评标标准………………………49</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投标文件格式………………………………52</w:t>
      </w:r>
      <w:r/>
    </w:p>
    <w:p>
      <w:pPr>
        <w:rPr>
          <w:rFonts w:ascii="黑体" w:hAnsi="Arial" w:eastAsia="黑体"/>
          <w:b/>
          <w:sz w:val="44"/>
          <w:szCs w:val="21"/>
        </w:rPr>
      </w:pPr>
      <w:r>
        <w:rPr>
          <w:rFonts w:ascii="黑体" w:hAnsi="Arial" w:eastAsia="黑体"/>
          <w:b/>
          <w:sz w:val="44"/>
          <w:szCs w:val="21"/>
        </w:rPr>
      </w:r>
      <w:r/>
    </w:p>
    <w:p>
      <w:pPr>
        <w:pStyle w:val="711"/>
        <w:rPr>
          <w:rFonts w:hint="eastAsia"/>
        </w:rPr>
      </w:pPr>
      <w:r>
        <w:rPr>
          <w:rFonts w:hint="eastAsia"/>
        </w:rPr>
      </w:r>
      <w:bookmarkEnd w:id="0"/>
      <w:r/>
    </w:p>
    <w:p>
      <w:pPr>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35393790"/>
      <w:r/>
      <w:bookmarkStart w:id="7" w:name="_Toc28359079"/>
      <w:r/>
      <w:bookmarkStart w:id="8" w:name="_Toc38985263"/>
      <w:r/>
      <w:bookmarkStart w:id="9" w:name="_Toc35393621"/>
      <w:r/>
      <w:bookmarkStart w:id="10" w:name="_Toc28359002"/>
      <w:r/>
      <w:bookmarkStart w:id="11" w:name="_Hlk24379207"/>
      <w:r>
        <w:rPr>
          <w:rFonts w:hint="eastAsia" w:ascii="宋体" w:hAnsi="宋体"/>
          <w:sz w:val="24"/>
          <w:szCs w:val="24"/>
        </w:rPr>
        <w:t xml:space="preserve">受</w:t>
      </w:r>
      <w:r>
        <w:rPr>
          <w:rFonts w:hint="eastAsia" w:ascii="宋体" w:hAnsi="宋体"/>
          <w:color w:val="ff0000"/>
          <w:sz w:val="24"/>
          <w:szCs w:val="24"/>
        </w:rPr>
        <w:t xml:space="preserve">南京市江宁区人民政府湖熟街道办事处、</w:t>
      </w:r>
      <w:r>
        <w:rPr>
          <w:rFonts w:hint="eastAsia" w:ascii="宋体" w:hAnsi="宋体"/>
          <w:color w:val="ff0000"/>
          <w:sz w:val="24"/>
          <w:szCs w:val="24"/>
          <w:lang w:eastAsia="zh-CN"/>
        </w:rPr>
        <w:t xml:space="preserve">江苏省南京市江宁区湖熟街道丹桂村村民委员会</w:t>
      </w:r>
      <w:r>
        <w:rPr>
          <w:rFonts w:hint="eastAsia" w:ascii="宋体" w:hAnsi="宋体"/>
          <w:color w:val="ff0000"/>
          <w:sz w:val="24"/>
          <w:szCs w:val="24"/>
        </w:rPr>
        <w:t xml:space="preserve">（采购单位</w:t>
      </w:r>
      <w:r>
        <w:rPr>
          <w:rFonts w:hint="eastAsia" w:ascii="宋体" w:hAnsi="宋体"/>
          <w:sz w:val="24"/>
          <w:szCs w:val="24"/>
        </w:rPr>
        <w:t xml:space="preserve">）委托，江苏金永诚建设投资管理咨询有限公司（以下简称“代理机构”）就</w:t>
      </w:r>
      <w:r>
        <w:rPr>
          <w:rFonts w:hint="eastAsia" w:ascii="宋体" w:hAnsi="宋体"/>
          <w:sz w:val="24"/>
          <w:szCs w:val="24"/>
          <w:lang w:eastAsia="zh-CN"/>
        </w:rPr>
        <w:t xml:space="preserve">丹桂农事服务中心育秧中心建设项目</w:t>
      </w:r>
      <w:r>
        <w:rPr>
          <w:rFonts w:hint="eastAsia" w:ascii="宋体" w:hAnsi="宋体"/>
          <w:sz w:val="24"/>
          <w:szCs w:val="24"/>
        </w:rPr>
        <w:t xml:space="preserve">（项目名称）进行公开招标采购，欢迎符合条件的供应商投标。</w:t>
      </w:r>
      <w:r/>
    </w:p>
    <w:p>
      <w:pPr>
        <w:pStyle w:val="6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p>
    <w:p>
      <w:pPr>
        <w:ind w:firstLine="480"/>
        <w:spacing w:line="264" w:lineRule="auto"/>
        <w:rPr>
          <w:rFonts w:hint="eastAsia" w:ascii="宋体" w:hAnsi="宋体" w:eastAsia="宋体"/>
          <w:sz w:val="24"/>
          <w:szCs w:val="24"/>
          <w:lang w:eastAsia="zh-CN"/>
        </w:rPr>
      </w:pPr>
      <w:r/>
      <w:bookmarkStart w:id="12" w:name="_Toc35393622"/>
      <w:r/>
      <w:bookmarkStart w:id="13" w:name="_Toc28359003"/>
      <w:r/>
      <w:bookmarkStart w:id="14" w:name="_Toc38985264"/>
      <w:r/>
      <w:bookmarkStart w:id="15" w:name="_Toc28359080"/>
      <w:r/>
      <w:bookmarkStart w:id="16" w:name="_Toc35393791"/>
      <w:r>
        <w:rPr>
          <w:rFonts w:hint="eastAsia" w:ascii="宋体" w:hAnsi="宋体"/>
          <w:sz w:val="24"/>
          <w:szCs w:val="24"/>
        </w:rPr>
        <w:t xml:space="preserve">1.项目编号：</w:t>
      </w:r>
      <w:r>
        <w:rPr>
          <w:rFonts w:hint="eastAsia" w:ascii="宋体" w:hAnsi="宋体"/>
          <w:sz w:val="24"/>
          <w:szCs w:val="24"/>
          <w:lang w:eastAsia="zh-CN"/>
        </w:rPr>
        <w:t xml:space="preserve">JSZC-320115-JYCS-G2026-0006</w:t>
      </w:r>
      <w:r/>
    </w:p>
    <w:p>
      <w:pPr>
        <w:ind w:firstLine="480"/>
        <w:spacing w:line="264"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丹桂农事服务中心育秧中心建设项目</w:t>
      </w:r>
      <w:r/>
    </w:p>
    <w:p>
      <w:pPr>
        <w:ind w:firstLine="480"/>
        <w:spacing w:line="264" w:lineRule="auto"/>
        <w:rPr>
          <w:rFonts w:hint="eastAsia" w:ascii="宋体" w:hAnsi="宋体"/>
          <w:color w:val="ff0000"/>
          <w:sz w:val="24"/>
          <w:szCs w:val="24"/>
        </w:rPr>
      </w:pPr>
      <w:r>
        <w:rPr>
          <w:rFonts w:hint="eastAsia" w:ascii="宋体" w:hAnsi="宋体"/>
          <w:sz w:val="24"/>
          <w:szCs w:val="24"/>
        </w:rPr>
        <w:t xml:space="preserve">3.预算金额：</w:t>
      </w:r>
      <w:r>
        <w:rPr>
          <w:rFonts w:hint="eastAsia" w:ascii="宋体" w:hAnsi="宋体"/>
          <w:color w:val="ff0000"/>
          <w:sz w:val="24"/>
          <w:szCs w:val="24"/>
        </w:rPr>
        <w:t xml:space="preserve">2</w:t>
      </w:r>
      <w:r>
        <w:rPr>
          <w:rFonts w:hint="eastAsia" w:ascii="宋体" w:hAnsi="宋体"/>
          <w:color w:val="ff0000"/>
          <w:sz w:val="24"/>
          <w:szCs w:val="24"/>
          <w:lang w:val="en-US" w:eastAsia="zh-CN"/>
        </w:rPr>
        <w:t xml:space="preserve">3</w:t>
      </w:r>
      <w:r>
        <w:rPr>
          <w:rFonts w:hint="eastAsia" w:ascii="宋体" w:hAnsi="宋体"/>
          <w:color w:val="ff0000"/>
          <w:sz w:val="24"/>
          <w:szCs w:val="24"/>
        </w:rPr>
        <w:t xml:space="preserve">0万元</w:t>
      </w:r>
      <w:r/>
    </w:p>
    <w:p>
      <w:pPr>
        <w:ind w:firstLine="480"/>
        <w:spacing w:line="264" w:lineRule="auto"/>
        <w:rPr>
          <w:rFonts w:hint="eastAsia" w:ascii="宋体" w:hAnsi="宋体"/>
          <w:sz w:val="24"/>
          <w:szCs w:val="24"/>
        </w:rPr>
      </w:pPr>
      <w:r>
        <w:rPr>
          <w:rFonts w:hint="eastAsia" w:ascii="宋体" w:hAnsi="宋体"/>
          <w:color w:val="ff0000"/>
          <w:sz w:val="24"/>
          <w:szCs w:val="24"/>
        </w:rPr>
        <w:t xml:space="preserve">4.最高限价：2</w:t>
      </w:r>
      <w:r>
        <w:rPr>
          <w:rFonts w:hint="eastAsia" w:ascii="宋体" w:hAnsi="宋体"/>
          <w:color w:val="ff0000"/>
          <w:sz w:val="24"/>
          <w:szCs w:val="24"/>
          <w:lang w:val="en-US" w:eastAsia="zh-CN"/>
        </w:rPr>
        <w:t xml:space="preserve">24.76</w:t>
      </w:r>
      <w:r>
        <w:rPr>
          <w:rFonts w:hint="eastAsia" w:ascii="宋体" w:hAnsi="宋体"/>
          <w:color w:val="ff0000"/>
          <w:sz w:val="24"/>
          <w:szCs w:val="24"/>
        </w:rPr>
        <w:t xml:space="preserve">万元（投标报价超过最高限价作无效标处理）</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w:t>
      </w:r>
      <w:bookmarkStart w:id="17" w:name="OLE_LINK11"/>
      <w:r>
        <w:rPr>
          <w:rFonts w:hint="eastAsia" w:ascii="宋体" w:hAnsi="宋体"/>
          <w:sz w:val="24"/>
          <w:szCs w:val="24"/>
          <w:lang w:eastAsia="zh-CN"/>
        </w:rPr>
        <w:t xml:space="preserve">丹桂农事服务中心育秧中心建设项目</w:t>
      </w:r>
      <w:r>
        <w:rPr>
          <w:rFonts w:hint="eastAsia" w:ascii="宋体" w:hAnsi="宋体"/>
          <w:sz w:val="24"/>
          <w:szCs w:val="24"/>
        </w:rPr>
        <w:t xml:space="preserve">，详细内容见本招标文件第四章。</w:t>
      </w:r>
      <w:bookmarkEnd w:id="17"/>
      <w:r/>
      <w:r/>
    </w:p>
    <w:p>
      <w:pPr>
        <w:ind w:firstLine="480"/>
        <w:spacing w:line="264" w:lineRule="auto"/>
        <w:rPr>
          <w:rFonts w:hint="eastAsia" w:ascii="宋体" w:hAnsi="宋体"/>
          <w:sz w:val="24"/>
          <w:szCs w:val="24"/>
        </w:rPr>
      </w:pPr>
      <w:r>
        <w:rPr>
          <w:rFonts w:hint="eastAsia" w:ascii="宋体" w:hAnsi="宋体"/>
          <w:sz w:val="24"/>
          <w:szCs w:val="24"/>
        </w:rPr>
        <w:t xml:space="preserve">6.合同履行期限：</w:t>
      </w:r>
      <w:bookmarkStart w:id="18" w:name="OLE_LINK12"/>
      <w:r>
        <w:rPr>
          <w:rFonts w:hint="eastAsia" w:ascii="宋体" w:hAnsi="宋体"/>
          <w:sz w:val="24"/>
          <w:szCs w:val="24"/>
          <w:highlight w:val="none"/>
        </w:rPr>
        <w:t xml:space="preserve">合同签订后</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0天内交货</w:t>
      </w:r>
      <w:bookmarkEnd w:id="18"/>
      <w:r>
        <w:rPr>
          <w:rFonts w:hint="eastAsia" w:ascii="宋体" w:hAnsi="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p>
    <w:p>
      <w:pPr>
        <w:pStyle w:val="6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9" w:name="_Toc38985265"/>
      <w:r/>
      <w:bookmarkStart w:id="20" w:name="_Toc28359081"/>
      <w:r/>
      <w:bookmarkStart w:id="21" w:name="_Toc35393623"/>
      <w:r/>
      <w:bookmarkStart w:id="22" w:name="_Toc28359004"/>
      <w:r/>
      <w:bookmarkStart w:id="23" w:name="_Toc35393792"/>
      <w:r>
        <w:rPr>
          <w:rFonts w:hint="eastAsia" w:ascii="宋体" w:hAnsi="宋体" w:cs="宋体"/>
          <w:sz w:val="24"/>
          <w:szCs w:val="24"/>
        </w:rPr>
        <w:t xml:space="preserve">（一）通用资格要求</w:t>
      </w:r>
      <w:r/>
    </w:p>
    <w:p>
      <w:pPr>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200"/>
        <w:jc w:val="left"/>
        <w:spacing w:line="440" w:lineRule="exact"/>
        <w:rPr>
          <w:rFonts w:hint="eastAsia" w:ascii="宋体" w:hAnsi="宋体"/>
          <w:sz w:val="24"/>
          <w:szCs w:val="24"/>
        </w:rPr>
      </w:pPr>
      <w:r>
        <w:rPr>
          <w:rFonts w:hint="eastAsia" w:ascii="宋体" w:hAnsi="宋体"/>
          <w:sz w:val="24"/>
          <w:szCs w:val="24"/>
        </w:rPr>
        <w:t xml:space="preserve">（1）</w:t>
      </w:r>
      <w:bookmarkStart w:id="24" w:name="OLE_LINK7"/>
      <w:r>
        <w:rPr>
          <w:rFonts w:hint="eastAsia" w:ascii="宋体" w:hAnsi="宋体"/>
          <w:sz w:val="24"/>
          <w:szCs w:val="24"/>
        </w:rPr>
        <w:t xml:space="preserve">具有独立承担民事责任的能力（提供法人或者其他组织的营业执照，供应商为自然人的提供自然人的身份证）；</w:t>
      </w:r>
      <w:bookmarkEnd w:id="24"/>
      <w:r/>
      <w:r/>
    </w:p>
    <w:p>
      <w:pPr>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p>
    <w:p>
      <w:pPr>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p>
    <w:p>
      <w:pPr>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p>
    <w:p>
      <w:pPr>
        <w:ind w:firstLine="200"/>
        <w:jc w:val="left"/>
        <w:spacing w:line="440" w:lineRule="exact"/>
        <w:rPr>
          <w:rFonts w:hint="eastAsia"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p>
    <w:p>
      <w:pPr>
        <w:ind w:firstLine="480"/>
        <w:spacing w:line="264" w:lineRule="auto"/>
        <w:rPr>
          <w:rFonts w:hint="eastAsia" w:ascii="宋体" w:hAnsi="宋体"/>
          <w:sz w:val="24"/>
          <w:szCs w:val="24"/>
          <w:lang w:val="zh-CN"/>
        </w:rPr>
      </w:pPr>
      <w:r>
        <w:rPr>
          <w:rFonts w:hint="eastAsia" w:ascii="宋体" w:hAnsi="宋体"/>
          <w:sz w:val="24"/>
          <w:szCs w:val="24"/>
        </w:rPr>
        <w:t xml:space="preserve">2.落实政府采购政策需满足的资格要求：</w:t>
      </w:r>
      <w:r/>
    </w:p>
    <w:p>
      <w:pPr>
        <w:ind w:firstLine="480"/>
        <w:spacing w:line="264" w:lineRule="auto"/>
        <w:rPr>
          <w:rFonts w:hint="eastAsia" w:ascii="宋体" w:hAnsi="宋体"/>
          <w:color w:val="ff0000"/>
          <w:sz w:val="24"/>
          <w:szCs w:val="24"/>
          <w:lang w:val="zh-CN"/>
        </w:rPr>
      </w:pPr>
      <w:r/>
      <w:bookmarkStart w:id="25" w:name="OLE_LINK13"/>
      <w:r>
        <w:rPr>
          <w:rFonts w:hint="eastAsia" w:ascii="宋体" w:hAnsi="宋体"/>
          <w:color w:val="ff0000"/>
          <w:sz w:val="24"/>
          <w:szCs w:val="24"/>
          <w:lang w:val="zh-CN"/>
        </w:rPr>
        <w:t xml:space="preserve">如属于专门面向中小企业采购的项目，供应商应为中小微企业、监狱企业、残疾人福利性单位</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本项目按照采用以下第( 1 )种方式落实政府采购促进中小企业发展的要求:</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（1）本项目整体专门面向中小企业采购。</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（2）本项目整体专门面向小微企业采购。</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（4）本项目为非预留份额的采购项目或采购包，执行价格扣除优惠政策，具体详见采购文件。</w:t>
      </w:r>
      <w:bookmarkEnd w:id="25"/>
      <w:r/>
    </w:p>
    <w:p>
      <w:pPr>
        <w:ind w:firstLine="480"/>
        <w:spacing w:line="264" w:lineRule="auto"/>
        <w:rPr>
          <w:rFonts w:hint="eastAsia" w:ascii="宋体" w:hAnsi="宋体"/>
          <w:sz w:val="24"/>
          <w:szCs w:val="24"/>
          <w:lang w:val="zh-CN"/>
        </w:rPr>
      </w:pPr>
      <w:r/>
      <w:bookmarkStart w:id="26" w:name="OLE_LINK14"/>
      <w:r>
        <w:rPr>
          <w:rFonts w:hint="eastAsia" w:ascii="宋体" w:hAnsi="宋体"/>
          <w:sz w:val="24"/>
          <w:szCs w:val="24"/>
          <w:lang w:val="zh-CN"/>
        </w:rPr>
        <w:t xml:space="preserve">本项目采购标的对应的中小企业划分标准所属行业为：工业。</w:t>
      </w:r>
      <w:bookmarkEnd w:id="26"/>
      <w:r/>
    </w:p>
    <w:p>
      <w:pPr>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（二）本项目特定资格要求：无</w:t>
      </w:r>
      <w:r>
        <w:rPr>
          <w:rFonts w:hint="eastAsia" w:ascii="宋体" w:hAnsi="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spacing w:line="264"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6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9"/>
      <w:r/>
      <w:bookmarkEnd w:id="20"/>
      <w:r/>
      <w:bookmarkEnd w:id="21"/>
      <w:r/>
      <w:bookmarkEnd w:id="22"/>
      <w:r/>
      <w:bookmarkEnd w:id="23"/>
      <w:r/>
      <w:r/>
    </w:p>
    <w:p>
      <w:pPr>
        <w:ind w:firstLine="480"/>
        <w:spacing w:line="264" w:lineRule="auto"/>
        <w:rPr>
          <w:rFonts w:hint="eastAsia" w:ascii="宋体" w:hAnsi="宋体" w:cs="宋体"/>
          <w:sz w:val="24"/>
          <w:szCs w:val="24"/>
        </w:rPr>
      </w:pPr>
      <w:r/>
      <w:bookmarkStart w:id="27" w:name="_Toc28359005"/>
      <w:r/>
      <w:bookmarkStart w:id="28" w:name="_Toc28359082"/>
      <w:r/>
      <w:bookmarkStart w:id="29" w:name="_Toc38985266"/>
      <w:r/>
      <w:bookmarkStart w:id="30" w:name="_Toc35393793"/>
      <w:r/>
      <w:bookmarkStart w:id="31" w:name="_Toc35393624"/>
      <w:r>
        <w:rPr>
          <w:rFonts w:hint="eastAsia" w:ascii="宋体" w:hAnsi="宋体" w:cs="宋体"/>
          <w:sz w:val="24"/>
          <w:szCs w:val="24"/>
        </w:rPr>
        <w:t xml:space="preserve">1.时间：自招标文件公告发布之日起5工作日。</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6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7"/>
      <w:r/>
      <w:bookmarkEnd w:id="28"/>
      <w:r>
        <w:rPr>
          <w:rFonts w:hint="eastAsia" w:ascii="方正黑体_GBK" w:hAnsi="方正黑体_GBK" w:eastAsia="方正黑体_GBK" w:cs="方正黑体_GBK"/>
          <w:b w:val="0"/>
          <w:bCs w:val="0"/>
          <w:sz w:val="30"/>
          <w:szCs w:val="30"/>
        </w:rPr>
        <w:t xml:space="preserve">截止时间、开标时间和地点</w:t>
      </w:r>
      <w:bookmarkEnd w:id="29"/>
      <w:r/>
      <w:bookmarkEnd w:id="30"/>
      <w:r/>
      <w:bookmarkEnd w:id="31"/>
      <w:r/>
      <w:r/>
    </w:p>
    <w:p>
      <w:pPr>
        <w:ind w:firstLine="480"/>
        <w:spacing w:line="264" w:lineRule="auto"/>
        <w:rPr>
          <w:rFonts w:hint="eastAsia" w:ascii="宋体" w:hAnsi="宋体"/>
          <w:bCs/>
          <w:sz w:val="24"/>
          <w:szCs w:val="24"/>
          <w:u w:val="single"/>
        </w:rPr>
      </w:pPr>
      <w:r/>
      <w:bookmarkStart w:id="32" w:name="_Toc28359084"/>
      <w:r/>
      <w:bookmarkStart w:id="33" w:name="_Toc35393625"/>
      <w:r/>
      <w:bookmarkStart w:id="34" w:name="_Toc35393794"/>
      <w:r/>
      <w:bookmarkStart w:id="35" w:name="_Toc38985267"/>
      <w:r/>
      <w:bookmarkStart w:id="36"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lang w:val="en-US" w:eastAsia="zh-CN"/>
        </w:rPr>
        <w:t xml:space="preserve">11</w:t>
      </w:r>
      <w:r>
        <w:rPr>
          <w:rFonts w:hint="eastAsia" w:ascii="宋体" w:hAnsi="宋体"/>
          <w:bCs/>
          <w:sz w:val="24"/>
          <w:szCs w:val="24"/>
        </w:rPr>
        <w:t xml:space="preserve">月</w:t>
      </w:r>
      <w:r>
        <w:rPr>
          <w:rFonts w:hint="eastAsia" w:ascii="宋体" w:hAnsi="宋体"/>
          <w:bCs/>
          <w:sz w:val="24"/>
          <w:szCs w:val="24"/>
          <w:lang w:val="en-US" w:eastAsia="zh-CN"/>
        </w:rPr>
        <w:t xml:space="preserve">10</w:t>
      </w:r>
      <w:r>
        <w:rPr>
          <w:rFonts w:hint="eastAsia" w:ascii="宋体" w:hAnsi="宋体"/>
          <w:bCs/>
          <w:sz w:val="24"/>
          <w:szCs w:val="24"/>
        </w:rPr>
        <w:t xml:space="preserve">日</w:t>
      </w:r>
      <w:r>
        <w:rPr>
          <w:rFonts w:ascii="宋体" w:hAnsi="宋体" w:cs="宋体"/>
          <w:sz w:val="24"/>
          <w:szCs w:val="24"/>
        </w:rPr>
        <w:t xml:space="preserve">14</w:t>
      </w:r>
      <w:r>
        <w:rPr>
          <w:rFonts w:hint="eastAsia"/>
          <w:bCs/>
          <w:sz w:val="24"/>
          <w:szCs w:val="24"/>
        </w:rPr>
        <w:t xml:space="preserve">时</w:t>
      </w:r>
      <w:r>
        <w:rPr>
          <w:rFonts w:ascii="宋体" w:hAnsi="宋体" w:cs="宋体"/>
          <w:sz w:val="24"/>
          <w:szCs w:val="24"/>
        </w:rPr>
        <w:t xml:space="preserve">30</w:t>
      </w:r>
      <w:r>
        <w:rPr>
          <w:rFonts w:hint="eastAsia" w:ascii="宋体" w:hAnsi="宋体"/>
          <w:bCs/>
          <w:sz w:val="24"/>
          <w:szCs w:val="24"/>
        </w:rPr>
        <w:t xml:space="preserve">分（北京时间）。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2"/>
      <w:r/>
      <w:bookmarkEnd w:id="33"/>
      <w:r/>
      <w:bookmarkEnd w:id="34"/>
      <w:r/>
      <w:bookmarkEnd w:id="35"/>
      <w:r/>
      <w:bookmarkEnd w:id="36"/>
      <w:r/>
      <w:r/>
    </w:p>
    <w:p>
      <w:pPr>
        <w:ind w:firstLine="480"/>
        <w:spacing w:line="264" w:lineRule="auto"/>
        <w:rPr>
          <w:rFonts w:hint="eastAsia" w:ascii="宋体" w:hAnsi="宋体" w:cs="宋体"/>
          <w:sz w:val="24"/>
          <w:szCs w:val="24"/>
        </w:rPr>
      </w:pPr>
      <w:r/>
      <w:bookmarkStart w:id="37" w:name="_Toc35393795"/>
      <w:r/>
      <w:bookmarkStart w:id="38" w:name="_Toc35393626"/>
      <w:r/>
      <w:bookmarkStart w:id="39" w:name="_Toc38985268"/>
      <w:r>
        <w:rPr>
          <w:rFonts w:hint="eastAsia" w:ascii="宋体" w:hAnsi="宋体" w:cs="宋体"/>
          <w:sz w:val="24"/>
          <w:szCs w:val="24"/>
        </w:rPr>
        <w:t xml:space="preserve">公告期限为自本公告发布之日起5个工作日。</w:t>
      </w:r>
      <w:r/>
    </w:p>
    <w:p>
      <w:pPr>
        <w:pStyle w:val="655"/>
        <w:ind w:firstLine="498"/>
        <w:spacing w:before="145" w:after="145" w:line="264" w:lineRule="auto"/>
      </w:pPr>
      <w:r>
        <w:rPr>
          <w:rFonts w:hint="eastAsia"/>
        </w:rPr>
        <w:t xml:space="preserve">六、其他事宜</w:t>
      </w:r>
      <w:bookmarkEnd w:id="37"/>
      <w:r/>
      <w:bookmarkEnd w:id="38"/>
      <w:r/>
      <w:bookmarkEnd w:id="39"/>
      <w:r/>
      <w:r/>
    </w:p>
    <w:p>
      <w:pPr>
        <w:ind w:firstLine="480"/>
        <w:spacing w:line="264" w:lineRule="auto"/>
        <w:tabs>
          <w:tab w:val="left" w:pos="900" w:leader="none"/>
        </w:tabs>
        <w:rPr>
          <w:rFonts w:hint="eastAsia" w:ascii="宋体" w:hAnsi="宋体"/>
          <w:bCs/>
          <w:sz w:val="24"/>
          <w:szCs w:val="24"/>
        </w:rPr>
      </w:pPr>
      <w:r/>
      <w:bookmarkStart w:id="40" w:name="_Toc28359008"/>
      <w:r/>
      <w:bookmarkStart w:id="41" w:name="_Toc35393627"/>
      <w:r/>
      <w:bookmarkStart w:id="42" w:name="_Toc28359085"/>
      <w:r/>
      <w:bookmarkStart w:id="43" w:name="_Toc35393796"/>
      <w:r/>
      <w:bookmarkStart w:id="44"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hint="eastAsia" w:ascii="仿宋" w:hAnsi="仿宋" w:eastAsia="仿宋"/>
          <w:color w:val="000000"/>
          <w:sz w:val="28"/>
          <w:szCs w:val="28"/>
          <w:shd w:val="clear" w:color="auto" w:fill="ffffff"/>
        </w:rPr>
        <w:t xml:space="preserve"> </w:t>
      </w:r>
      <w:r>
        <w:rPr>
          <w:rFonts w:hint="eastAsia" w:ascii="宋体" w:hAnsi="宋体" w:cs="宋体"/>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708"/>
          <w:rFonts w:hint="eastAsia" w:ascii="宋体" w:hAnsi="宋体" w:cs="宋体"/>
          <w:sz w:val="24"/>
          <w:szCs w:val="24"/>
        </w:rPr>
        <w:t xml:space="preserve">下载地址</w:t>
      </w:r>
      <w:r>
        <w:rPr>
          <w:rStyle w:val="708"/>
          <w:rFonts w:hint="eastAsia" w:ascii="宋体" w:hAnsi="宋体" w:cs="宋体"/>
          <w:sz w:val="24"/>
          <w:szCs w:val="24"/>
        </w:rPr>
        <w:fldChar w:fldCharType="end"/>
      </w:r>
      <w:r>
        <w:rPr>
          <w:rFonts w:hint="eastAsia" w:ascii="宋体" w:hAnsi="宋体" w:cs="宋体"/>
          <w:sz w:val="24"/>
          <w:szCs w:val="24"/>
        </w:rPr>
        <w:t xml:space="preserve">（CTRL+鼠标左键）。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w:t>
      </w:r>
      <w:r>
        <w:rPr>
          <w:rFonts w:hint="eastAsia" w:ascii="宋体" w:hAnsi="宋体" w:cs="宋体"/>
          <w:sz w:val="24"/>
          <w:szCs w:val="24"/>
        </w:rPr>
        <w:t xml:space="preserve">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w:t>
      </w:r>
      <w:r>
        <w:rPr>
          <w:rFonts w:hint="eastAsia" w:ascii="宋体" w:hAnsi="宋体" w:cs="宋体"/>
          <w:sz w:val="24"/>
          <w:szCs w:val="24"/>
          <w:lang w:val="en-US" w:eastAsia="zh-CN"/>
        </w:rPr>
        <w:t xml:space="preserve">自行打印</w:t>
      </w:r>
      <w:r>
        <w:rPr>
          <w:rFonts w:hint="eastAsia" w:ascii="宋体" w:hAnsi="宋体" w:cs="宋体"/>
          <w:sz w:val="24"/>
          <w:szCs w:val="24"/>
        </w:rPr>
        <w:t xml:space="preserve">本单位《南京市政府采购供应商信用记录表暨信用承诺书》，由法人签字并盖单位公章，随响应文件一并递交。</w:t>
      </w:r>
      <w:r/>
    </w:p>
    <w:p>
      <w:pPr>
        <w:pStyle w:val="711"/>
        <w:ind w:firstLine="480"/>
        <w:rPr>
          <w:rFonts w:hint="eastAsia"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w:t>
      </w:r>
      <w:r/>
    </w:p>
    <w:p>
      <w:pPr>
        <w:pStyle w:val="711"/>
        <w:ind w:firstLine="480"/>
        <w:rPr>
          <w:rFonts w:hint="eastAsia" w:cs="宋体"/>
          <w:sz w:val="24"/>
          <w:szCs w:val="24"/>
        </w:rPr>
      </w:pPr>
      <w:r>
        <w:rPr>
          <w:rFonts w:hint="eastAsia" w:cs="宋体"/>
          <w:sz w:val="24"/>
          <w:szCs w:val="24"/>
        </w:rPr>
        <w:t xml:space="preserve">（1）符合国家相关规定的财务状况报告； </w:t>
      </w:r>
      <w:r/>
    </w:p>
    <w:p>
      <w:pPr>
        <w:pStyle w:val="711"/>
        <w:ind w:firstLine="480"/>
        <w:rPr>
          <w:rFonts w:hint="eastAsia" w:cs="宋体"/>
          <w:sz w:val="24"/>
          <w:szCs w:val="24"/>
        </w:rPr>
      </w:pPr>
      <w:r>
        <w:rPr>
          <w:rFonts w:hint="eastAsia" w:cs="宋体"/>
          <w:sz w:val="24"/>
          <w:szCs w:val="24"/>
        </w:rPr>
        <w:t xml:space="preserve">（2）依法缴纳税收的证明材料； </w:t>
      </w:r>
      <w:r/>
    </w:p>
    <w:p>
      <w:pPr>
        <w:pStyle w:val="711"/>
        <w:ind w:firstLine="480"/>
        <w:rPr>
          <w:rFonts w:hint="eastAsia" w:cs="宋体"/>
          <w:sz w:val="24"/>
          <w:szCs w:val="24"/>
        </w:rPr>
      </w:pPr>
      <w:r>
        <w:rPr>
          <w:rFonts w:hint="eastAsia" w:cs="宋体"/>
          <w:sz w:val="24"/>
          <w:szCs w:val="24"/>
        </w:rPr>
        <w:t xml:space="preserve">（3）依法缴纳社会保障资金的证明材料； </w:t>
      </w:r>
      <w:r/>
    </w:p>
    <w:p>
      <w:pPr>
        <w:pStyle w:val="711"/>
        <w:ind w:firstLine="480"/>
        <w:rPr>
          <w:rFonts w:hint="eastAsia" w:cs="宋体"/>
          <w:sz w:val="24"/>
          <w:szCs w:val="24"/>
        </w:rPr>
      </w:pPr>
      <w:r>
        <w:rPr>
          <w:rFonts w:hint="eastAsia" w:cs="宋体"/>
          <w:sz w:val="24"/>
          <w:szCs w:val="24"/>
        </w:rPr>
        <w:t xml:space="preserve">（4）具备履行政府采购合同所必需的设备和专业技术能力的证明材料； </w:t>
      </w:r>
      <w:r/>
    </w:p>
    <w:p>
      <w:pPr>
        <w:pStyle w:val="711"/>
        <w:ind w:firstLine="480"/>
        <w:rPr>
          <w:rFonts w:hint="eastAsia" w:cs="宋体"/>
          <w:sz w:val="24"/>
          <w:szCs w:val="24"/>
        </w:rPr>
      </w:pPr>
      <w:r>
        <w:rPr>
          <w:rFonts w:hint="eastAsia" w:cs="宋体"/>
          <w:sz w:val="24"/>
          <w:szCs w:val="24"/>
        </w:rPr>
        <w:t xml:space="preserve">（5）参加政府采购活动前三年内在经营活动中没有重大违法记录的证明材料； </w:t>
      </w:r>
      <w:r/>
    </w:p>
    <w:p>
      <w:pPr>
        <w:pStyle w:val="711"/>
        <w:ind w:firstLine="480"/>
        <w:rPr>
          <w:rFonts w:hint="eastAsia" w:cs="宋体"/>
          <w:sz w:val="24"/>
          <w:szCs w:val="24"/>
        </w:rPr>
      </w:pPr>
      <w:r>
        <w:rPr>
          <w:rFonts w:hint="eastAsia" w:cs="宋体"/>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711"/>
        <w:ind w:firstLine="480"/>
        <w:rPr>
          <w:rFonts w:hint="eastAsia" w:cs="宋体"/>
          <w:sz w:val="24"/>
          <w:szCs w:val="24"/>
        </w:rPr>
      </w:pPr>
      <w:r>
        <w:rPr>
          <w:rFonts w:hint="eastAsia" w:cs="宋体"/>
          <w:sz w:val="24"/>
          <w:szCs w:val="24"/>
        </w:rPr>
        <w:t xml:space="preserve">（1）供应商被列入严重失信主体名单； </w:t>
      </w:r>
      <w:r/>
    </w:p>
    <w:p>
      <w:pPr>
        <w:pStyle w:val="711"/>
        <w:ind w:firstLine="480"/>
        <w:rPr>
          <w:rFonts w:hint="eastAsia" w:cs="宋体"/>
          <w:sz w:val="24"/>
          <w:szCs w:val="24"/>
        </w:rPr>
      </w:pPr>
      <w:r>
        <w:rPr>
          <w:rFonts w:hint="eastAsia" w:cs="宋体"/>
          <w:sz w:val="24"/>
          <w:szCs w:val="24"/>
        </w:rPr>
        <w:t xml:space="preserve">（2）被相关监管部门作出行政处罚且尚在处罚有效期内； </w:t>
      </w:r>
      <w:r/>
    </w:p>
    <w:p>
      <w:pPr>
        <w:pStyle w:val="711"/>
        <w:ind w:firstLine="480"/>
        <w:rPr>
          <w:rFonts w:hint="eastAsia" w:cs="宋体"/>
          <w:sz w:val="24"/>
          <w:szCs w:val="24"/>
        </w:rPr>
      </w:pPr>
      <w:r>
        <w:rPr>
          <w:rFonts w:hint="eastAsia" w:cs="宋体"/>
          <w:sz w:val="24"/>
          <w:szCs w:val="24"/>
        </w:rPr>
        <w:t xml:space="preserve">（3）其他法律、行政法规规定的不适用信用承诺的情形。 供应商对信用承诺内容的真实性、合法性、有效性负责。如作出虚假信用承诺，视同为“提供虚假材料谋取中标、成交”的违法行为。</w:t>
      </w:r>
      <w:r/>
    </w:p>
    <w:p>
      <w:pPr>
        <w:pStyle w:val="655"/>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0"/>
      <w:r/>
      <w:bookmarkEnd w:id="41"/>
      <w:r/>
      <w:bookmarkEnd w:id="42"/>
      <w:r/>
      <w:bookmarkEnd w:id="43"/>
      <w:r/>
      <w:bookmarkEnd w:id="44"/>
      <w:r/>
      <w:r/>
    </w:p>
    <w:p>
      <w:pPr>
        <w:ind w:firstLine="480"/>
        <w:spacing w:line="360" w:lineRule="auto"/>
        <w:rPr>
          <w:rFonts w:hint="eastAsia" w:ascii="宋体" w:hAnsi="宋体"/>
          <w:sz w:val="24"/>
          <w:szCs w:val="24"/>
        </w:rPr>
      </w:pPr>
      <w:r>
        <w:rPr>
          <w:rFonts w:hint="eastAsia" w:ascii="宋体" w:hAnsi="宋体"/>
          <w:sz w:val="24"/>
          <w:szCs w:val="24"/>
        </w:rPr>
        <w:t xml:space="preserve">1.采购人</w:t>
      </w:r>
      <w:r/>
    </w:p>
    <w:p>
      <w:pPr>
        <w:ind w:firstLine="480"/>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color w:val="ff0000"/>
          <w:sz w:val="24"/>
          <w:szCs w:val="24"/>
        </w:rPr>
        <w:t xml:space="preserve">南京市江宁区人民政府湖熟街道办事处、</w:t>
      </w:r>
      <w:r>
        <w:rPr>
          <w:rFonts w:hint="eastAsia" w:ascii="宋体" w:hAnsi="宋体"/>
          <w:color w:val="ff0000"/>
          <w:sz w:val="24"/>
          <w:szCs w:val="24"/>
          <w:lang w:eastAsia="zh-CN"/>
        </w:rPr>
        <w:t xml:space="preserve">江苏省南京市江宁区湖熟街道丹桂村村民委员会</w:t>
      </w:r>
      <w:r>
        <w:rPr>
          <w:rFonts w:hint="eastAsia" w:ascii="宋体" w:hAnsi="宋体"/>
          <w:color w:val="ff0000"/>
          <w:sz w:val="24"/>
          <w:szCs w:val="24"/>
        </w:rPr>
        <w:t xml:space="preserve"> </w:t>
      </w:r>
      <w:r>
        <w:rPr>
          <w:rFonts w:hint="eastAsia" w:ascii="宋体" w:hAnsi="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南京市江宁区湖熟街道</w:t>
      </w:r>
      <w:r>
        <w:rPr>
          <w:rFonts w:hint="eastAsia" w:ascii="宋体" w:hAnsi="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顾</w:t>
      </w:r>
      <w:r>
        <w:rPr>
          <w:rFonts w:hint="eastAsia" w:ascii="宋体" w:hAnsi="宋体"/>
          <w:sz w:val="24"/>
          <w:szCs w:val="24"/>
        </w:rPr>
        <w:t xml:space="preserve">工</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bookmarkStart w:id="45" w:name="_Toc28359086"/>
      <w:r/>
      <w:bookmarkStart w:id="46" w:name="_Toc28359009"/>
      <w:r>
        <w:rPr>
          <w:rFonts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2.代理机构</w:t>
      </w:r>
      <w:bookmarkEnd w:id="45"/>
      <w:r/>
      <w:bookmarkEnd w:id="46"/>
      <w:r/>
      <w:r/>
    </w:p>
    <w:p>
      <w:pPr>
        <w:ind w:firstLine="480"/>
        <w:spacing w:line="360" w:lineRule="auto"/>
        <w:rPr>
          <w:rFonts w:hint="eastAsia" w:ascii="宋体" w:hAnsi="宋体"/>
          <w:sz w:val="24"/>
          <w:szCs w:val="24"/>
        </w:rPr>
      </w:pPr>
      <w:r>
        <w:rPr>
          <w:rFonts w:hint="eastAsia" w:ascii="宋体" w:hAnsi="宋体"/>
          <w:sz w:val="24"/>
          <w:szCs w:val="24"/>
        </w:rPr>
        <w:t xml:space="preserve">名  称：江苏金永诚建设投资管理咨询有限公司</w:t>
      </w:r>
      <w:r/>
    </w:p>
    <w:p>
      <w:pPr>
        <w:ind w:firstLine="480"/>
        <w:spacing w:line="360" w:lineRule="auto"/>
        <w:rPr>
          <w:rFonts w:hint="eastAsia" w:ascii="宋体" w:hAnsi="宋体"/>
          <w:sz w:val="24"/>
          <w:szCs w:val="24"/>
        </w:rPr>
      </w:pPr>
      <w:r>
        <w:rPr>
          <w:rFonts w:hint="eastAsia" w:ascii="宋体" w:hAnsi="宋体"/>
          <w:sz w:val="24"/>
          <w:szCs w:val="24"/>
        </w:rPr>
        <w:t xml:space="preserve">地　址：</w:t>
      </w:r>
      <w:r>
        <w:rPr>
          <w:rFonts w:ascii="宋体" w:hAnsi="宋体"/>
          <w:sz w:val="24"/>
          <w:szCs w:val="24"/>
        </w:rPr>
        <w:t xml:space="preserve">南京市江宁区万安东路28号金建大厦1206室</w:t>
      </w:r>
      <w:r>
        <w:rPr>
          <w:rFonts w:hint="eastAsia" w:ascii="宋体" w:hAnsi="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联系人：夏工</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15651036188</w:t>
      </w:r>
      <w:r>
        <w:rPr>
          <w:rFonts w:hint="eastAsia" w:ascii="宋体" w:hAnsi="宋体"/>
          <w:sz w:val="24"/>
          <w:szCs w:val="24"/>
        </w:rPr>
        <w:t xml:space="preserve"> </w:t>
      </w:r>
      <w:bookmarkEnd w:id="1"/>
      <w:bookmarkEnd w:id="2"/>
      <w:bookmarkEnd w:id="3"/>
      <w:bookmarkEnd w:id="4"/>
      <w:bookmarkEnd w:id="5"/>
      <w:r/>
    </w:p>
    <w:p>
      <w:pPr>
        <w:ind w:right="840"/>
        <w:jc w:val="center"/>
        <w:rPr>
          <w:rFonts w:hint="eastAsia" w:ascii="方正小标宋简体" w:hAnsi="方正小标宋简体" w:eastAsia="方正小标宋简体" w:cs="方正小标宋简体"/>
          <w:sz w:val="36"/>
          <w:szCs w:val="36"/>
        </w:rPr>
      </w:pPr>
      <w:r/>
      <w:bookmarkStart w:id="47" w:name="_Toc120614211"/>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w:t>
      </w:r>
      <w:bookmarkEnd w:id="47"/>
      <w:r/>
      <w:bookmarkStart w:id="48" w:name="_Toc120614213"/>
      <w:r/>
      <w:bookmarkStart w:id="49" w:name="_Toc20823274"/>
      <w:r/>
      <w:bookmarkStart w:id="50" w:name="_Toc513029202"/>
      <w:r/>
      <w:bookmarkStart w:id="51" w:name="_Toc16938518"/>
      <w:r>
        <w:rPr>
          <w:rFonts w:hint="eastAsia" w:ascii="方正小标宋简体" w:hAnsi="方正小标宋简体" w:eastAsia="方正小标宋简体" w:cs="方正小标宋简体"/>
          <w:sz w:val="36"/>
          <w:szCs w:val="36"/>
        </w:rPr>
        <w:t xml:space="preserve">投标人须知</w:t>
      </w:r>
      <w:bookmarkEnd w:id="48"/>
      <w:r/>
      <w:bookmarkEnd w:id="49"/>
      <w:r/>
      <w:bookmarkEnd w:id="50"/>
      <w:r/>
      <w:bookmarkEnd w:id="51"/>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52" w:name="_Toc120614214"/>
      <w:r/>
      <w:bookmarkStart w:id="53" w:name="_Toc16938519"/>
      <w:r/>
      <w:bookmarkStart w:id="54" w:name="_Toc513029203"/>
      <w:r/>
      <w:bookmarkStart w:id="55" w:name="_Toc20823275"/>
      <w:r/>
      <w:bookmarkStart w:id="56" w:name="_Toc20823314"/>
      <w:r/>
      <w:bookmarkStart w:id="57" w:name="_Toc120614221"/>
      <w:r/>
      <w:bookmarkStart w:id="58" w:name="_Toc513029242"/>
      <w:r/>
      <w:bookmarkStart w:id="59" w:name="_Toc16938558"/>
      <w:r/>
      <w:bookmarkStart w:id="60" w:name="_Toc479757207"/>
      <w:r>
        <w:rPr>
          <w:rFonts w:hint="eastAsia" w:ascii="方正黑体_GBK" w:hAnsi="方正黑体_GBK" w:eastAsia="方正黑体_GBK" w:cs="方正黑体_GBK"/>
          <w:b w:val="0"/>
          <w:bCs w:val="0"/>
          <w:sz w:val="30"/>
          <w:szCs w:val="30"/>
        </w:rPr>
        <w:t xml:space="preserve">一、总则</w:t>
      </w:r>
      <w:bookmarkEnd w:id="52"/>
      <w:r/>
      <w:bookmarkEnd w:id="53"/>
      <w:r/>
      <w:bookmarkEnd w:id="54"/>
      <w:r/>
      <w:bookmarkEnd w:id="55"/>
      <w:r/>
      <w:r/>
    </w:p>
    <w:p>
      <w:pPr>
        <w:pStyle w:val="656"/>
        <w:ind w:firstLine="420"/>
        <w:spacing w:before="0" w:after="0" w:line="240" w:lineRule="auto"/>
        <w:rPr>
          <w:rFonts w:hint="eastAsia" w:ascii="方正楷体_GBK" w:hAnsi="方正楷体_GBK" w:eastAsia="方正楷体_GBK" w:cs="方正楷体_GBK"/>
        </w:rPr>
      </w:pPr>
      <w:r/>
      <w:bookmarkStart w:id="61" w:name="_Hlt16619475"/>
      <w:r/>
      <w:bookmarkEnd w:id="61"/>
      <w:r/>
      <w:bookmarkStart w:id="62" w:name="_Toc458694821"/>
      <w:r/>
      <w:bookmarkStart w:id="63" w:name="_Toc513029204"/>
      <w:r/>
      <w:bookmarkStart w:id="64" w:name="_Toc16938520"/>
      <w:r/>
      <w:bookmarkStart w:id="65" w:name="_Toc20823276"/>
      <w:r>
        <w:rPr>
          <w:rFonts w:hint="eastAsia" w:ascii="方正楷体_GBK" w:hAnsi="方正楷体_GBK" w:eastAsia="方正楷体_GBK" w:cs="方正楷体_GBK"/>
        </w:rPr>
        <w:t xml:space="preserve">1</w:t>
      </w:r>
      <w:bookmarkEnd w:id="62"/>
      <w:r>
        <w:rPr>
          <w:rFonts w:hint="eastAsia" w:ascii="方正楷体_GBK" w:hAnsi="方正楷体_GBK" w:eastAsia="方正楷体_GBK" w:cs="方正楷体_GBK"/>
        </w:rPr>
        <w:t xml:space="preserve">.招标方式</w:t>
      </w:r>
      <w:bookmarkEnd w:id="63"/>
      <w:r/>
      <w:bookmarkEnd w:id="64"/>
      <w:r/>
      <w:bookmarkEnd w:id="65"/>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56"/>
        <w:ind w:firstLine="420"/>
        <w:spacing w:before="0" w:after="0" w:line="240" w:lineRule="auto"/>
        <w:rPr>
          <w:rFonts w:hint="eastAsia" w:ascii="方正楷体_GBK" w:hAnsi="方正楷体_GBK" w:eastAsia="方正楷体_GBK" w:cs="方正楷体_GBK"/>
        </w:rPr>
      </w:pPr>
      <w:r/>
      <w:bookmarkStart w:id="66" w:name="_Toc20823277"/>
      <w:r/>
      <w:bookmarkStart w:id="67" w:name="_Toc513029205"/>
      <w:r/>
      <w:bookmarkStart w:id="68" w:name="_Toc16938521"/>
      <w:r>
        <w:rPr>
          <w:rFonts w:hint="eastAsia" w:ascii="方正楷体_GBK" w:hAnsi="方正楷体_GBK" w:eastAsia="方正楷体_GBK" w:cs="方正楷体_GBK"/>
        </w:rPr>
        <w:t xml:space="preserve">2.合格的投标人</w:t>
      </w:r>
      <w:bookmarkEnd w:id="66"/>
      <w:r/>
      <w:bookmarkEnd w:id="67"/>
      <w:r/>
      <w:bookmarkEnd w:id="68"/>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656"/>
        <w:ind w:firstLine="420"/>
        <w:spacing w:before="0" w:after="0" w:line="240" w:lineRule="auto"/>
        <w:rPr>
          <w:rFonts w:hint="eastAsia" w:ascii="方正楷体_GBK" w:hAnsi="方正楷体_GBK" w:eastAsia="方正楷体_GBK" w:cs="方正楷体_GBK"/>
        </w:rPr>
      </w:pPr>
      <w:r/>
      <w:bookmarkStart w:id="69" w:name="_Toc20823278"/>
      <w:r/>
      <w:bookmarkStart w:id="70" w:name="_Toc16938522"/>
      <w:r/>
      <w:bookmarkStart w:id="71" w:name="_Toc513029206"/>
      <w:r>
        <w:rPr>
          <w:rFonts w:hint="eastAsia" w:ascii="方正楷体_GBK" w:hAnsi="方正楷体_GBK" w:eastAsia="方正楷体_GBK" w:cs="方正楷体_GBK"/>
        </w:rPr>
        <w:t xml:space="preserve">3.适用法律</w:t>
      </w:r>
      <w:bookmarkEnd w:id="69"/>
      <w:r/>
      <w:bookmarkEnd w:id="70"/>
      <w:r/>
      <w:bookmarkEnd w:id="71"/>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656"/>
        <w:ind w:firstLine="420"/>
        <w:spacing w:before="0" w:after="0" w:line="240" w:lineRule="auto"/>
        <w:rPr>
          <w:rFonts w:hint="eastAsia" w:ascii="方正楷体_GBK" w:hAnsi="方正楷体_GBK" w:eastAsia="方正楷体_GBK" w:cs="方正楷体_GBK"/>
        </w:rPr>
      </w:pPr>
      <w:r/>
      <w:bookmarkStart w:id="72" w:name="_Toc513029207"/>
      <w:r/>
      <w:bookmarkStart w:id="73" w:name="_Toc20823279"/>
      <w:r/>
      <w:bookmarkStart w:id="74" w:name="_Toc462564067"/>
      <w:r/>
      <w:bookmarkStart w:id="75" w:name="_Toc16938523"/>
      <w:r>
        <w:rPr>
          <w:rFonts w:hint="eastAsia" w:ascii="方正楷体_GBK" w:hAnsi="方正楷体_GBK" w:eastAsia="方正楷体_GBK" w:cs="方正楷体_GBK"/>
        </w:rPr>
        <w:t xml:space="preserve">4.投标费用</w:t>
      </w:r>
      <w:bookmarkEnd w:id="72"/>
      <w:r/>
      <w:bookmarkEnd w:id="73"/>
      <w:r/>
      <w:bookmarkEnd w:id="74"/>
      <w:r/>
      <w:bookmarkEnd w:id="75"/>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sz w:val="24"/>
        </w:rPr>
      </w:pPr>
      <w:r>
        <w:rPr>
          <w:rFonts w:hint="eastAsia" w:ascii="宋体" w:hAnsi="宋体"/>
          <w:sz w:val="24"/>
        </w:rPr>
        <w:t xml:space="preserve">4.2 招标代理服务费以中标金额为基数，按计价格（2002）1980号文标准费率60%计算；编制工程量清单及控制价按苏价服（2004）383号文标准的60%计算；不足4000元按4000元计取；上述费用均由成交供应商一次性支付。无论是否将该费用在报价中列明，均视为已含在总价中。</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76" w:name="_Toc20823281"/>
      <w:r/>
      <w:bookmarkStart w:id="77" w:name="_Toc120614215"/>
      <w:r/>
      <w:bookmarkStart w:id="78" w:name="_Toc16938525"/>
      <w:r/>
      <w:bookmarkStart w:id="79" w:name="_Toc513029209"/>
      <w:r>
        <w:rPr>
          <w:rFonts w:hint="eastAsia" w:ascii="方正黑体_GBK" w:hAnsi="方正黑体_GBK" w:eastAsia="方正黑体_GBK" w:cs="方正黑体_GBK"/>
          <w:b w:val="0"/>
          <w:bCs w:val="0"/>
          <w:sz w:val="30"/>
          <w:szCs w:val="30"/>
        </w:rPr>
        <w:t xml:space="preserve">二、招标文件</w:t>
      </w:r>
      <w:bookmarkEnd w:id="76"/>
      <w:r/>
      <w:bookmarkEnd w:id="77"/>
      <w:r/>
      <w:bookmarkEnd w:id="78"/>
      <w:r/>
      <w:bookmarkEnd w:id="79"/>
      <w:r/>
      <w:r/>
    </w:p>
    <w:p>
      <w:pPr>
        <w:pStyle w:val="656"/>
        <w:ind w:firstLine="420"/>
        <w:spacing w:before="0" w:after="0" w:line="240" w:lineRule="auto"/>
        <w:rPr>
          <w:rFonts w:hint="eastAsia" w:ascii="方正楷体_GBK" w:hAnsi="方正楷体_GBK" w:eastAsia="方正楷体_GBK" w:cs="方正楷体_GBK"/>
        </w:rPr>
      </w:pPr>
      <w:r/>
      <w:bookmarkStart w:id="80" w:name="_Toc16938526"/>
      <w:r/>
      <w:bookmarkStart w:id="81" w:name="_Toc20823282"/>
      <w:r/>
      <w:bookmarkStart w:id="82" w:name="_Toc513029210"/>
      <w:r>
        <w:rPr>
          <w:rFonts w:hint="eastAsia" w:ascii="方正楷体_GBK" w:hAnsi="方正楷体_GBK" w:eastAsia="方正楷体_GBK" w:cs="方正楷体_GBK"/>
        </w:rPr>
        <w:t xml:space="preserve">6.招标文件构成</w:t>
      </w:r>
      <w:bookmarkEnd w:id="80"/>
      <w:r/>
      <w:bookmarkEnd w:id="81"/>
      <w:r/>
      <w:bookmarkEnd w:id="82"/>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6"/>
        <w:ind w:firstLine="420"/>
        <w:spacing w:before="0" w:after="0" w:line="240" w:lineRule="auto"/>
        <w:rPr>
          <w:rFonts w:hint="eastAsia" w:ascii="方正楷体_GBK" w:hAnsi="方正楷体_GBK" w:eastAsia="方正楷体_GBK" w:cs="方正楷体_GBK"/>
        </w:rPr>
      </w:pPr>
      <w:r/>
      <w:bookmarkStart w:id="83" w:name="_Toc16938527"/>
      <w:r/>
      <w:bookmarkStart w:id="84" w:name="_Toc462564070"/>
      <w:r/>
      <w:bookmarkStart w:id="85" w:name="_Toc20823283"/>
      <w:r/>
      <w:bookmarkStart w:id="86" w:name="_Toc513029211"/>
      <w:r>
        <w:rPr>
          <w:rFonts w:hint="eastAsia" w:ascii="方正楷体_GBK" w:hAnsi="方正楷体_GBK" w:eastAsia="方正楷体_GBK" w:cs="方正楷体_GBK"/>
        </w:rPr>
        <w:t xml:space="preserve">7.招标文件的澄清</w:t>
      </w:r>
      <w:bookmarkEnd w:id="83"/>
      <w:r/>
      <w:bookmarkEnd w:id="84"/>
      <w:r/>
      <w:bookmarkEnd w:id="85"/>
      <w:r/>
      <w:bookmarkEnd w:id="86"/>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任何要求对招标文件进行澄清的投标人，应在投标截止期十日前按招标公告中的通讯地址，以书面形式通知代理机构。</w:t>
      </w:r>
      <w:r/>
    </w:p>
    <w:p>
      <w:pPr>
        <w:pStyle w:val="656"/>
        <w:ind w:firstLine="420"/>
        <w:spacing w:before="0" w:after="0" w:line="240" w:lineRule="auto"/>
        <w:rPr>
          <w:rFonts w:hint="eastAsia" w:ascii="方正楷体_GBK" w:hAnsi="方正楷体_GBK" w:eastAsia="方正楷体_GBK" w:cs="方正楷体_GBK"/>
        </w:rPr>
      </w:pPr>
      <w:r/>
      <w:bookmarkStart w:id="87" w:name="_Toc16938528"/>
      <w:r/>
      <w:bookmarkStart w:id="88" w:name="_Toc513029212"/>
      <w:r/>
      <w:bookmarkStart w:id="89" w:name="_Toc20823284"/>
      <w:r/>
      <w:bookmarkStart w:id="90" w:name="_Toc462564071"/>
      <w:r>
        <w:rPr>
          <w:rFonts w:hint="eastAsia" w:ascii="方正楷体_GBK" w:hAnsi="方正楷体_GBK" w:eastAsia="方正楷体_GBK" w:cs="方正楷体_GBK"/>
        </w:rPr>
        <w:t xml:space="preserve">8.招标文件的修改</w:t>
      </w:r>
      <w:bookmarkEnd w:id="87"/>
      <w:r/>
      <w:bookmarkEnd w:id="88"/>
      <w:r/>
      <w:bookmarkEnd w:id="89"/>
      <w:r/>
      <w:bookmarkEnd w:id="90"/>
      <w:r/>
      <w:r/>
    </w:p>
    <w:p>
      <w:pPr>
        <w:ind w:firstLine="420"/>
        <w:rPr>
          <w:rFonts w:hint="eastAsia" w:ascii="宋体" w:hAnsi="宋体"/>
          <w:sz w:val="24"/>
        </w:rPr>
      </w:pPr>
      <w:r/>
      <w:bookmarkStart w:id="91" w:name="_Toc20823285"/>
      <w:r/>
      <w:bookmarkStart w:id="92" w:name="_Toc16938529"/>
      <w:r/>
      <w:bookmarkStart w:id="93" w:name="_Toc462564072"/>
      <w:r/>
      <w:bookmarkStart w:id="94" w:name="_Toc120614216"/>
      <w:r/>
      <w:bookmarkStart w:id="95" w:name="_Toc513029213"/>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代理机构有权按照法定的要求推迟投标截止日期和开标日期，并在原公告媒体发布更正公告。</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1"/>
      <w:r/>
      <w:bookmarkEnd w:id="92"/>
      <w:r/>
      <w:bookmarkEnd w:id="93"/>
      <w:r/>
      <w:bookmarkEnd w:id="94"/>
      <w:r/>
      <w:bookmarkEnd w:id="95"/>
      <w:r/>
      <w:r/>
    </w:p>
    <w:p>
      <w:pPr>
        <w:pStyle w:val="656"/>
        <w:ind w:firstLine="420"/>
        <w:spacing w:before="0" w:after="0" w:line="240" w:lineRule="auto"/>
        <w:rPr>
          <w:rFonts w:hint="eastAsia" w:ascii="方正楷体_GBK" w:hAnsi="方正楷体_GBK" w:eastAsia="方正楷体_GBK" w:cs="方正楷体_GBK"/>
        </w:rPr>
      </w:pPr>
      <w:r/>
      <w:bookmarkStart w:id="96" w:name="_Toc513029214"/>
      <w:r/>
      <w:bookmarkStart w:id="97" w:name="_Toc20823286"/>
      <w:r/>
      <w:bookmarkStart w:id="98" w:name="_Toc16938530"/>
      <w:r/>
      <w:bookmarkStart w:id="99" w:name="_Toc462564073"/>
      <w:r>
        <w:rPr>
          <w:rFonts w:hint="eastAsia" w:ascii="方正楷体_GBK" w:hAnsi="方正楷体_GBK" w:eastAsia="方正楷体_GBK" w:cs="方正楷体_GBK"/>
        </w:rPr>
        <w:t xml:space="preserve">9.投标文件的语言及度量衡单位</w:t>
      </w:r>
      <w:bookmarkEnd w:id="96"/>
      <w:r/>
      <w:bookmarkEnd w:id="97"/>
      <w:r/>
      <w:bookmarkEnd w:id="98"/>
      <w:r/>
      <w:bookmarkEnd w:id="99"/>
      <w:r/>
      <w:r/>
    </w:p>
    <w:p>
      <w:pPr>
        <w:ind w:firstLine="420"/>
        <w:rPr>
          <w:rFonts w:hint="eastAsia" w:ascii="宋体" w:hAnsi="宋体"/>
          <w:sz w:val="24"/>
        </w:rPr>
      </w:pPr>
      <w:r>
        <w:rPr>
          <w:rFonts w:hint="eastAsia" w:ascii="宋体" w:hAnsi="宋体"/>
          <w:sz w:val="24"/>
        </w:rPr>
        <w:t xml:space="preserve">9.1 投标人提交的投标文件以及投标人与代理机构就有关投标的所有来往通知、函件和文件均应使用简体中文。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56"/>
        <w:ind w:firstLine="420"/>
        <w:spacing w:before="0" w:after="0" w:line="240" w:lineRule="auto"/>
        <w:rPr>
          <w:rFonts w:hint="eastAsia" w:ascii="方正楷体_GBK" w:hAnsi="方正楷体_GBK" w:eastAsia="方正楷体_GBK" w:cs="方正楷体_GBK"/>
        </w:rPr>
      </w:pPr>
      <w:r/>
      <w:bookmarkStart w:id="100" w:name="_Toc513029215"/>
      <w:r/>
      <w:bookmarkStart w:id="101" w:name="_Toc16938531"/>
      <w:r/>
      <w:bookmarkStart w:id="102" w:name="_Toc20823287"/>
      <w:r/>
      <w:bookmarkStart w:id="103" w:name="_Toc462564074"/>
      <w:r>
        <w:rPr>
          <w:rFonts w:hint="eastAsia" w:ascii="方正楷体_GBK" w:hAnsi="方正楷体_GBK" w:eastAsia="方正楷体_GBK" w:cs="方正楷体_GBK"/>
        </w:rPr>
        <w:t xml:space="preserve">10.投标文件构成</w:t>
      </w:r>
      <w:bookmarkEnd w:id="100"/>
      <w:r/>
      <w:bookmarkEnd w:id="101"/>
      <w:r/>
      <w:bookmarkEnd w:id="102"/>
      <w:r/>
      <w:bookmarkEnd w:id="103"/>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56"/>
        <w:ind w:firstLine="420"/>
        <w:spacing w:before="0" w:after="0" w:line="240" w:lineRule="auto"/>
        <w:rPr>
          <w:rFonts w:hint="eastAsia" w:ascii="方正楷体_GBK" w:hAnsi="方正楷体_GBK" w:eastAsia="方正楷体_GBK" w:cs="方正楷体_GBK"/>
        </w:rPr>
      </w:pPr>
      <w:r/>
      <w:bookmarkStart w:id="104" w:name="_Hlt26668975"/>
      <w:r/>
      <w:bookmarkEnd w:id="104"/>
      <w:r/>
      <w:bookmarkStart w:id="105" w:name="_Hlt26954838"/>
      <w:r/>
      <w:bookmarkEnd w:id="105"/>
      <w:r/>
      <w:bookmarkStart w:id="106" w:name="_Hlt26670360"/>
      <w:r/>
      <w:bookmarkEnd w:id="106"/>
      <w:r/>
      <w:bookmarkStart w:id="107" w:name="_Toc513029219"/>
      <w:r/>
      <w:bookmarkStart w:id="108" w:name="_Toc49090509"/>
      <w:r/>
      <w:bookmarkStart w:id="109" w:name="_Toc14577357"/>
      <w:r/>
      <w:bookmarkStart w:id="110" w:name="_Toc49090507"/>
      <w:r/>
      <w:bookmarkStart w:id="111" w:name="_Toc14577354"/>
      <w:r/>
      <w:bookmarkStart w:id="112" w:name="_Toc513029216"/>
      <w:r>
        <w:rPr>
          <w:rFonts w:hint="eastAsia" w:ascii="方正楷体_GBK" w:hAnsi="方正楷体_GBK" w:eastAsia="方正楷体_GBK" w:cs="方正楷体_GBK"/>
        </w:rPr>
        <w:t xml:space="preserve">11.证明投标人及投标标的符合招标文件规定的文件</w:t>
      </w:r>
      <w:bookmarkEnd w:id="107"/>
      <w:r/>
      <w:bookmarkEnd w:id="108"/>
      <w:r/>
      <w:bookmarkEnd w:id="109"/>
      <w:r/>
      <w:bookmarkEnd w:id="110"/>
      <w:bookmarkEnd w:id="111"/>
      <w:bookmarkEnd w:id="112"/>
      <w:r/>
    </w:p>
    <w:p>
      <w:pPr>
        <w:ind w:firstLine="420"/>
        <w:rPr>
          <w:rFonts w:hint="eastAsia" w:ascii="宋体" w:hAnsi="宋体"/>
          <w:sz w:val="24"/>
        </w:rPr>
      </w:pPr>
      <w:r/>
      <w:bookmarkStart w:id="113" w:name="_Toc14577355"/>
      <w:r/>
      <w:bookmarkStart w:id="114"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3"/>
      <w:r/>
      <w:bookmarkStart w:id="115" w:name="_Hlt26670373"/>
      <w:r/>
      <w:bookmarkEnd w:id="115"/>
      <w:r>
        <w:rPr>
          <w:rFonts w:hint="eastAsia" w:ascii="方正楷体_GBK" w:hAnsi="方正楷体_GBK" w:eastAsia="方正楷体_GBK" w:cs="方正楷体_GBK"/>
        </w:rPr>
        <w:t xml:space="preserve">表</w:t>
      </w:r>
      <w:bookmarkEnd w:id="114"/>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56"/>
        <w:ind w:firstLine="420"/>
        <w:spacing w:before="0" w:after="0" w:line="240" w:lineRule="auto"/>
        <w:rPr>
          <w:rFonts w:hint="eastAsia" w:ascii="方正楷体_GBK" w:hAnsi="方正楷体_GBK" w:eastAsia="方正楷体_GBK" w:cs="方正楷体_GBK"/>
        </w:rPr>
      </w:pPr>
      <w:r/>
      <w:bookmarkStart w:id="118" w:name="_Hlt26954848"/>
      <w:r/>
      <w:bookmarkEnd w:id="118"/>
      <w:r/>
      <w:bookmarkStart w:id="119" w:name="_Hlt26668983"/>
      <w:r/>
      <w:bookmarkEnd w:id="119"/>
      <w:r/>
      <w:bookmarkStart w:id="120" w:name="_Hlt26954731"/>
      <w:r/>
      <w:bookmarkEnd w:id="120"/>
      <w:r/>
      <w:bookmarkStart w:id="121" w:name="_Hlt26954846"/>
      <w:r/>
      <w:bookmarkEnd w:id="121"/>
      <w:r/>
      <w:bookmarkStart w:id="122" w:name="_Hlt26670482"/>
      <w:r/>
      <w:bookmarkEnd w:id="122"/>
      <w:r/>
      <w:bookmarkStart w:id="123" w:name="_Hlt26954844"/>
      <w:r/>
      <w:bookmarkEnd w:id="123"/>
      <w:r/>
      <w:bookmarkStart w:id="124" w:name="_Hlt26670425"/>
      <w:r/>
      <w:bookmarkEnd w:id="124"/>
      <w:r/>
      <w:bookmarkStart w:id="125" w:name="_Hlt26954842"/>
      <w:r/>
      <w:bookmarkEnd w:id="125"/>
      <w:r/>
      <w:bookmarkStart w:id="126" w:name="_Hlt26670486"/>
      <w:r/>
      <w:bookmarkEnd w:id="126"/>
      <w:r/>
      <w:bookmarkStart w:id="127" w:name="_Hlt26670403"/>
      <w:r/>
      <w:bookmarkEnd w:id="127"/>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56"/>
        <w:ind w:firstLine="420"/>
        <w:spacing w:before="0" w:after="0" w:line="240" w:lineRule="auto"/>
        <w:rPr>
          <w:rFonts w:hint="eastAsia" w:ascii="方正楷体_GBK" w:hAnsi="方正楷体_GBK" w:eastAsia="方正楷体_GBK" w:cs="方正楷体_GBK"/>
        </w:rPr>
      </w:pPr>
      <w:r/>
      <w:bookmarkStart w:id="128" w:name="_Toc14577359"/>
      <w:r/>
      <w:bookmarkStart w:id="129" w:name="_Toc49090510"/>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8"/>
      <w:bookmarkEnd w:id="129"/>
      <w:r/>
    </w:p>
    <w:p>
      <w:pPr>
        <w:pStyle w:val="656"/>
        <w:ind w:firstLine="420"/>
        <w:spacing w:before="0" w:after="0" w:line="240" w:lineRule="auto"/>
        <w:rPr>
          <w:rFonts w:hint="eastAsia" w:ascii="方正楷体_GBK" w:hAnsi="方正楷体_GBK" w:eastAsia="方正楷体_GBK" w:cs="方正楷体_GBK"/>
        </w:rPr>
      </w:pPr>
      <w:r/>
      <w:bookmarkStart w:id="130" w:name="_Hlt26670489"/>
      <w:r/>
      <w:bookmarkEnd w:id="130"/>
      <w:r/>
      <w:bookmarkStart w:id="131" w:name="_Hlt26954850"/>
      <w:r/>
      <w:bookmarkEnd w:id="131"/>
      <w:r/>
      <w:bookmarkStart w:id="132" w:name="_Hlt26954734"/>
      <w:r/>
      <w:bookmarkEnd w:id="132"/>
      <w:r/>
      <w:bookmarkStart w:id="133" w:name="_Toc14577360"/>
      <w:r/>
      <w:bookmarkStart w:id="134" w:name="_Toc49090511"/>
      <w:r>
        <w:rPr>
          <w:rFonts w:hint="eastAsia" w:ascii="方正楷体_GBK" w:hAnsi="方正楷体_GBK" w:eastAsia="方正楷体_GBK" w:cs="方正楷体_GBK"/>
        </w:rPr>
        <w:t xml:space="preserve">15.投标有效期</w:t>
      </w:r>
      <w:bookmarkEnd w:id="133"/>
      <w:r/>
      <w:bookmarkEnd w:id="134"/>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135" w:name="_Hlt26954739"/>
      <w:r/>
      <w:bookmarkEnd w:id="135"/>
      <w:r/>
      <w:bookmarkStart w:id="136" w:name="_Hlt26954852"/>
      <w:r/>
      <w:bookmarkEnd w:id="136"/>
      <w:r/>
      <w:bookmarkStart w:id="137" w:name="_Toc513029224"/>
      <w:r/>
      <w:bookmarkStart w:id="138" w:name="_Toc16938540"/>
      <w:r/>
      <w:bookmarkStart w:id="139" w:name="_Toc120614217"/>
      <w:r/>
      <w:bookmarkStart w:id="140" w:name="_Toc20823296"/>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656"/>
        <w:ind w:firstLine="420"/>
        <w:spacing w:before="0" w:after="0" w:line="240" w:lineRule="auto"/>
        <w:rPr>
          <w:rFonts w:hint="eastAsia" w:ascii="方正楷体_GBK" w:hAnsi="方正楷体_GBK" w:eastAsia="方正楷体_GBK" w:cs="方正楷体_GBK"/>
        </w:rPr>
      </w:pPr>
      <w:r/>
      <w:bookmarkStart w:id="141" w:name="_Toc513029225"/>
      <w:r/>
      <w:bookmarkStart w:id="142" w:name="_Toc20823297"/>
      <w:r/>
      <w:bookmarkStart w:id="143" w:name="_Toc462564084"/>
      <w:r/>
      <w:bookmarkStart w:id="144" w:name="_Toc16938541"/>
      <w:r>
        <w:rPr>
          <w:rFonts w:hint="eastAsia" w:ascii="方正楷体_GBK" w:hAnsi="方正楷体_GBK" w:eastAsia="方正楷体_GBK" w:cs="方正楷体_GBK"/>
        </w:rPr>
        <w:t xml:space="preserve">17.投标文件</w:t>
      </w:r>
      <w:bookmarkEnd w:id="141"/>
      <w:r/>
      <w:bookmarkEnd w:id="142"/>
      <w:r/>
      <w:bookmarkEnd w:id="143"/>
      <w:r/>
      <w:bookmarkEnd w:id="144"/>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5" w:name="_Toc513029226"/>
      <w:r/>
      <w:bookmarkStart w:id="146" w:name="_Toc20823298"/>
      <w:r/>
      <w:bookmarkStart w:id="147" w:name="_Toc16938542"/>
      <w:r/>
      <w:bookmarkEnd w:id="145"/>
      <w:bookmarkEnd w:id="146"/>
      <w:bookmarkEnd w:id="147"/>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p>
    <w:p>
      <w:pPr>
        <w:pStyle w:val="656"/>
        <w:ind w:firstLine="420"/>
        <w:spacing w:before="0" w:after="0" w:line="240" w:lineRule="auto"/>
        <w:rPr>
          <w:rFonts w:hint="eastAsia" w:ascii="方正楷体_GBK" w:hAnsi="方正楷体_GBK" w:eastAsia="方正楷体_GBK" w:cs="方正楷体_GBK"/>
        </w:rPr>
      </w:pPr>
      <w:r/>
      <w:bookmarkStart w:id="148" w:name="_Toc16938543"/>
      <w:r/>
      <w:bookmarkStart w:id="149" w:name="_Toc513029227"/>
      <w:r/>
      <w:bookmarkStart w:id="150" w:name="_Toc20823299"/>
      <w:r>
        <w:rPr>
          <w:rFonts w:hint="eastAsia" w:ascii="方正楷体_GBK" w:hAnsi="方正楷体_GBK" w:eastAsia="方正楷体_GBK" w:cs="方正楷体_GBK"/>
        </w:rPr>
        <w:t xml:space="preserve">18.投标文件</w:t>
      </w:r>
      <w:bookmarkEnd w:id="148"/>
      <w:r/>
      <w:bookmarkEnd w:id="149"/>
      <w:r/>
      <w:bookmarkEnd w:id="150"/>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56"/>
        <w:ind w:firstLine="420"/>
        <w:spacing w:before="0" w:after="0" w:line="240" w:lineRule="auto"/>
        <w:rPr>
          <w:rFonts w:hint="eastAsia" w:ascii="方正楷体_GBK" w:hAnsi="方正楷体_GBK" w:eastAsia="方正楷体_GBK" w:cs="方正楷体_GBK"/>
        </w:rPr>
      </w:pPr>
      <w:r/>
      <w:bookmarkStart w:id="151" w:name="_Toc513029228"/>
      <w:r/>
      <w:bookmarkStart w:id="152" w:name="_Toc20823300"/>
      <w:r/>
      <w:bookmarkStart w:id="153" w:name="_Toc16938544"/>
      <w:r>
        <w:rPr>
          <w:rFonts w:hint="eastAsia" w:ascii="方正楷体_GBK" w:hAnsi="方正楷体_GBK" w:eastAsia="方正楷体_GBK" w:cs="方正楷体_GBK"/>
        </w:rPr>
        <w:t xml:space="preserve">19.投标文件的撤回和修改</w:t>
      </w:r>
      <w:bookmarkEnd w:id="151"/>
      <w:r/>
      <w:bookmarkEnd w:id="152"/>
      <w:r/>
      <w:bookmarkEnd w:id="153"/>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4" w:name="_Toc120614218"/>
      <w:r/>
      <w:bookmarkStart w:id="155" w:name="_Toc20823301"/>
      <w:r/>
      <w:bookmarkStart w:id="156" w:name="_Toc513029229"/>
      <w:r/>
      <w:bookmarkStart w:id="157" w:name="_Toc16938545"/>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4"/>
      <w:r/>
      <w:bookmarkEnd w:id="155"/>
      <w:r/>
      <w:bookmarkEnd w:id="156"/>
      <w:r/>
      <w:bookmarkEnd w:id="157"/>
      <w:r/>
      <w:r/>
    </w:p>
    <w:p>
      <w:pPr>
        <w:pStyle w:val="656"/>
        <w:ind w:firstLine="420"/>
        <w:spacing w:before="0" w:after="0" w:line="240" w:lineRule="auto"/>
        <w:rPr>
          <w:rFonts w:hint="eastAsia" w:ascii="方正楷体_GBK" w:hAnsi="方正楷体_GBK" w:eastAsia="方正楷体_GBK" w:cs="方正楷体_GBK"/>
        </w:rPr>
      </w:pPr>
      <w:r/>
      <w:bookmarkStart w:id="158" w:name="_Toc20823302"/>
      <w:r/>
      <w:bookmarkStart w:id="159" w:name="_Toc513029230"/>
      <w:r/>
      <w:bookmarkStart w:id="160" w:name="_Toc16938546"/>
      <w:r>
        <w:rPr>
          <w:rFonts w:hint="eastAsia" w:ascii="方正楷体_GBK" w:hAnsi="方正楷体_GBK" w:eastAsia="方正楷体_GBK" w:cs="方正楷体_GBK"/>
        </w:rPr>
        <w:t xml:space="preserve">20.开标</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56"/>
        <w:ind w:firstLine="420"/>
        <w:spacing w:before="0" w:after="0" w:line="240" w:lineRule="auto"/>
        <w:rPr>
          <w:rFonts w:hint="eastAsia" w:ascii="方正楷体_GBK" w:hAnsi="方正楷体_GBK" w:eastAsia="方正楷体_GBK" w:cs="方正楷体_GBK"/>
        </w:rPr>
      </w:pPr>
      <w:r/>
      <w:bookmarkStart w:id="161" w:name="_Toc513029231"/>
      <w:r/>
      <w:bookmarkStart w:id="162" w:name="_Toc16938547"/>
      <w:r/>
      <w:bookmarkStart w:id="163" w:name="_Toc20823303"/>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61"/>
      <w:bookmarkEnd w:id="162"/>
      <w:bookmarkEnd w:id="163"/>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56"/>
        <w:ind w:firstLine="420"/>
        <w:spacing w:before="0" w:after="0" w:line="240" w:lineRule="auto"/>
        <w:rPr>
          <w:rFonts w:hint="eastAsia" w:ascii="方正楷体_GBK" w:hAnsi="方正楷体_GBK" w:eastAsia="方正楷体_GBK" w:cs="方正楷体_GBK"/>
        </w:rPr>
      </w:pPr>
      <w:r/>
      <w:bookmarkStart w:id="164" w:name="_Toc20823304"/>
      <w:r/>
      <w:bookmarkStart w:id="165" w:name="_Toc513029232"/>
      <w:r/>
      <w:bookmarkStart w:id="166" w:name="_Toc16938548"/>
      <w:r>
        <w:rPr>
          <w:rFonts w:hint="eastAsia" w:ascii="方正楷体_GBK" w:hAnsi="方正楷体_GBK" w:eastAsia="方正楷体_GBK" w:cs="方正楷体_GBK"/>
        </w:rPr>
        <w:t xml:space="preserve">23.投标文件的澄清</w:t>
      </w:r>
      <w:bookmarkEnd w:id="164"/>
      <w:r/>
      <w:bookmarkEnd w:id="165"/>
      <w:r/>
      <w:bookmarkEnd w:id="16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56"/>
        <w:ind w:firstLine="420"/>
        <w:spacing w:before="0" w:after="0" w:line="240" w:lineRule="auto"/>
        <w:rPr>
          <w:rFonts w:hint="eastAsia" w:ascii="方正楷体_GBK" w:hAnsi="方正楷体_GBK" w:eastAsia="方正楷体_GBK" w:cs="方正楷体_GBK"/>
        </w:rPr>
      </w:pPr>
      <w:r/>
      <w:bookmarkStart w:id="167" w:name="_Toc20823305"/>
      <w:r/>
      <w:bookmarkStart w:id="168" w:name="_Toc513029233"/>
      <w:r/>
      <w:bookmarkStart w:id="169" w:name="_Toc16938549"/>
      <w:r>
        <w:rPr>
          <w:rFonts w:hint="eastAsia" w:ascii="方正楷体_GBK" w:hAnsi="方正楷体_GBK" w:eastAsia="方正楷体_GBK" w:cs="方正楷体_GBK"/>
        </w:rPr>
        <w:t xml:space="preserve">24.投标文件的</w:t>
      </w:r>
      <w:bookmarkEnd w:id="167"/>
      <w:r/>
      <w:bookmarkEnd w:id="168"/>
      <w:r/>
      <w:bookmarkEnd w:id="169"/>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70" w:name="_Toc20823306"/>
      <w:r/>
      <w:bookmarkStart w:id="171" w:name="_Toc513029234"/>
      <w:r/>
      <w:bookmarkStart w:id="172"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投标人在开、评标全过程中应保持通讯畅通，及时登录苏采云系统查阅、答复相关信息，并安排专人与代理机构及评委会联系。</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70"/>
      <w:r/>
      <w:bookmarkEnd w:id="171"/>
      <w:r/>
      <w:bookmarkEnd w:id="172"/>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73" w:name="_Toc513029235"/>
      <w:r/>
      <w:bookmarkStart w:id="174" w:name="_Toc16938551"/>
      <w:r/>
      <w:bookmarkStart w:id="175" w:name="_Toc20823307"/>
      <w:r/>
      <w:bookmarkStart w:id="176"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0"/>
        <w:rPr>
          <w:rFonts w:hint="eastAsia" w:ascii="宋体" w:hAnsi="宋体"/>
          <w:sz w:val="24"/>
          <w:lang w:val="zh-CN"/>
        </w:rPr>
      </w:pPr>
      <w:r>
        <w:rPr>
          <w:rFonts w:hint="eastAsia" w:ascii="宋体" w:hAnsi="宋体"/>
          <w:sz w:val="24"/>
          <w:lang w:val="zh-CN"/>
        </w:rPr>
        <w:t xml:space="preserve">25.4 </w:t>
      </w:r>
      <w:r>
        <w:rPr>
          <w:rFonts w:ascii="宋体" w:hAnsi="宋体"/>
          <w:sz w:val="24"/>
          <w:lang w:val="zh-CN"/>
        </w:rPr>
        <w:t xml:space="preserve">本项目执行财库〔2026〕2号《关于推动解决政府采购异常低价问题相关工作的通知》的相关规定。</w:t>
      </w:r>
      <w:r/>
    </w:p>
    <w:p>
      <w:pPr>
        <w:ind w:firstLine="420"/>
        <w:rPr>
          <w:rFonts w:hint="eastAsia" w:ascii="宋体" w:hAnsi="宋体"/>
          <w:bCs/>
          <w:sz w:val="24"/>
        </w:rPr>
      </w:pPr>
      <w:r>
        <w:rPr>
          <w:rFonts w:ascii="宋体" w:hAnsi="宋体"/>
          <w:bCs/>
          <w:sz w:val="24"/>
        </w:rPr>
        <w:t xml:space="preserve">2</w:t>
      </w:r>
      <w:r>
        <w:rPr>
          <w:rFonts w:hint="eastAsia" w:ascii="宋体" w:hAnsi="宋体"/>
          <w:bCs/>
          <w:sz w:val="24"/>
        </w:rPr>
        <w:t xml:space="preserve">5.4</w:t>
      </w:r>
      <w:r>
        <w:rPr>
          <w:rFonts w:ascii="宋体" w:hAnsi="宋体"/>
          <w:bCs/>
          <w:sz w:val="24"/>
        </w:rPr>
        <w:t xml:space="preserve">.1 评审中出现下列情形之一的，评审委员会应当启动异常低价投标（响应）审查程序： </w:t>
      </w:r>
      <w:r/>
    </w:p>
    <w:p>
      <w:pPr>
        <w:ind w:firstLine="420"/>
        <w:rPr>
          <w:rFonts w:hint="eastAsia" w:ascii="宋体" w:hAnsi="宋体"/>
          <w:bCs/>
          <w:sz w:val="24"/>
        </w:rPr>
      </w:pPr>
      <w:r>
        <w:rPr>
          <w:rFonts w:ascii="宋体" w:hAnsi="宋体"/>
          <w:bCs/>
          <w:sz w:val="24"/>
        </w:rPr>
        <w:t xml:space="preserve">（1）投标（响应）报价低于全部通过符合性审查供应商投标（响应）报价平均值50%的，即投标（响应）报价&lt;全部通过符合性审查供应商投标（响应）报价平均值×50%； </w:t>
      </w:r>
      <w:r/>
    </w:p>
    <w:p>
      <w:pPr>
        <w:ind w:firstLine="420"/>
        <w:rPr>
          <w:rFonts w:hint="eastAsia" w:ascii="宋体" w:hAnsi="宋体"/>
          <w:bCs/>
          <w:sz w:val="24"/>
        </w:rPr>
      </w:pPr>
      <w:r>
        <w:rPr>
          <w:rFonts w:ascii="宋体" w:hAnsi="宋体"/>
          <w:bCs/>
          <w:sz w:val="24"/>
        </w:rPr>
        <w:t xml:space="preserve">（2）投标（响应）报价低于通过符合性审查的次低报价供应商投标（响应）报价50%的，即投标（响应）报价&lt;通过符合性审查的次低报价供应商投标（响应）报价×50%； </w:t>
      </w:r>
      <w:r/>
    </w:p>
    <w:p>
      <w:pPr>
        <w:ind w:firstLine="420"/>
        <w:rPr>
          <w:rFonts w:hint="eastAsia" w:ascii="宋体" w:hAnsi="宋体"/>
          <w:bCs/>
          <w:sz w:val="24"/>
        </w:rPr>
      </w:pPr>
      <w:r>
        <w:rPr>
          <w:rFonts w:ascii="宋体" w:hAnsi="宋体"/>
          <w:bCs/>
          <w:sz w:val="24"/>
        </w:rPr>
        <w:t xml:space="preserve">（3）投标（响应）报价低于采购项目最高限价65%的，即投标（响应）报价&lt;采购项目最高限价×65%； </w:t>
      </w:r>
      <w:r/>
    </w:p>
    <w:p>
      <w:pPr>
        <w:ind w:firstLine="420"/>
        <w:rPr>
          <w:rFonts w:hint="eastAsia" w:ascii="宋体" w:hAnsi="宋体"/>
          <w:bCs/>
          <w:sz w:val="24"/>
        </w:rPr>
      </w:pPr>
      <w:r>
        <w:rPr>
          <w:rFonts w:ascii="宋体" w:hAnsi="宋体"/>
          <w:bCs/>
          <w:sz w:val="24"/>
        </w:rPr>
        <w:t xml:space="preserve">（4）评审委员会基于专业判断，认为供应商报价过低，有可能影响产品质量或者不能诚信履约的其他情形。 </w:t>
      </w:r>
      <w:r/>
    </w:p>
    <w:p>
      <w:pPr>
        <w:ind w:firstLine="420"/>
        <w:rPr>
          <w:rFonts w:hint="eastAsia" w:ascii="宋体" w:hAnsi="宋体"/>
          <w:bCs/>
          <w:sz w:val="24"/>
        </w:rPr>
      </w:pPr>
      <w:r>
        <w:rPr>
          <w:rFonts w:ascii="宋体" w:hAnsi="宋体"/>
          <w:bCs/>
          <w:sz w:val="24"/>
        </w:rPr>
        <w:t xml:space="preserve">相关法律法规对供应商报价有规定的，从其规定。 </w:t>
      </w:r>
      <w:r/>
    </w:p>
    <w:p>
      <w:pPr>
        <w:ind w:firstLine="420"/>
        <w:rPr>
          <w:rFonts w:hint="eastAsia" w:ascii="宋体" w:hAnsi="宋体"/>
          <w:bCs/>
          <w:sz w:val="24"/>
        </w:rPr>
      </w:pPr>
      <w:r>
        <w:rPr>
          <w:rFonts w:ascii="宋体" w:hAnsi="宋体"/>
          <w:bCs/>
          <w:sz w:val="24"/>
        </w:rPr>
        <w:t xml:space="preserve">2</w:t>
      </w:r>
      <w:r>
        <w:rPr>
          <w:rFonts w:hint="eastAsia" w:ascii="宋体" w:hAnsi="宋体"/>
          <w:bCs/>
          <w:sz w:val="24"/>
        </w:rPr>
        <w:t xml:space="preserve">5.4</w:t>
      </w:r>
      <w:r>
        <w:rPr>
          <w:rFonts w:ascii="宋体" w:hAnsi="宋体"/>
          <w:bCs/>
          <w:sz w:val="24"/>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ascii="宋体" w:hAnsi="宋体"/>
          <w:sz w:val="24"/>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ascii="宋体" w:hAnsi="宋体"/>
          <w:bCs/>
          <w:sz w:val="24"/>
        </w:rPr>
        <w:t xml:space="preserve">等，给予相关供应商的合理时间一般不少于30分钟。 </w:t>
      </w:r>
      <w:r/>
    </w:p>
    <w:p>
      <w:pPr>
        <w:ind w:firstLine="420"/>
        <w:rPr>
          <w:rFonts w:hint="eastAsia" w:ascii="宋体" w:hAnsi="宋体"/>
          <w:sz w:val="24"/>
          <w:lang w:val="zh-CN"/>
        </w:rPr>
      </w:pPr>
      <w:r>
        <w:rPr>
          <w:rFonts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3"/>
      <w:r/>
      <w:bookmarkEnd w:id="174"/>
      <w:r/>
      <w:bookmarkEnd w:id="175"/>
      <w:r>
        <w:rPr>
          <w:rFonts w:hint="eastAsia" w:ascii="方正黑体_GBK" w:hAnsi="方正黑体_GBK" w:eastAsia="方正黑体_GBK" w:cs="方正黑体_GBK"/>
          <w:b w:val="0"/>
          <w:bCs w:val="0"/>
          <w:sz w:val="30"/>
          <w:szCs w:val="30"/>
        </w:rPr>
        <w:t xml:space="preserve">定标</w:t>
      </w:r>
      <w:bookmarkEnd w:id="176"/>
      <w:r/>
      <w:r/>
    </w:p>
    <w:p>
      <w:pPr>
        <w:pStyle w:val="656"/>
        <w:ind w:firstLine="420"/>
        <w:spacing w:before="0" w:after="0" w:line="240" w:lineRule="auto"/>
        <w:rPr>
          <w:rFonts w:hint="eastAsia" w:ascii="方正楷体_GBK" w:hAnsi="方正楷体_GBK" w:eastAsia="方正楷体_GBK" w:cs="方正楷体_GBK"/>
        </w:rPr>
      </w:pPr>
      <w:r/>
      <w:bookmarkStart w:id="177" w:name="_Toc513029238"/>
      <w:r/>
      <w:bookmarkStart w:id="178" w:name="_Toc16938554"/>
      <w:r/>
      <w:bookmarkStart w:id="179" w:name="_Toc20823310"/>
      <w:r>
        <w:rPr>
          <w:rFonts w:hint="eastAsia" w:ascii="方正楷体_GBK" w:hAnsi="方正楷体_GBK" w:eastAsia="方正楷体_GBK" w:cs="方正楷体_GBK"/>
        </w:rPr>
        <w:t xml:space="preserve">2</w:t>
      </w:r>
      <w:bookmarkEnd w:id="177"/>
      <w:r>
        <w:rPr>
          <w:rFonts w:hint="eastAsia" w:ascii="方正楷体_GBK" w:hAnsi="方正楷体_GBK" w:eastAsia="方正楷体_GBK" w:cs="方正楷体_GBK"/>
        </w:rPr>
        <w:t xml:space="preserve">6.确定</w:t>
      </w:r>
      <w:bookmarkEnd w:id="178"/>
      <w:r/>
      <w:bookmarkEnd w:id="179"/>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按以下第（2）种方式确定中标人：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向评审专家、采购人或代理机构工作人员行贿或者提供其他不正当利益。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与其他供应商、评审专家、采购人或代理机构工作人员恶意串通。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80"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0"/>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bookmarkStart w:id="181" w:name="_Toc120614220"/>
      <w:r/>
      <w:bookmarkStart w:id="182" w:name="_Toc16938552"/>
      <w:r/>
      <w:bookmarkStart w:id="183" w:name="_Toc20823308"/>
      <w:r/>
      <w:bookmarkStart w:id="184" w:name="_Toc513029236"/>
      <w:r>
        <w:rPr>
          <w:rFonts w:hint="eastAsia" w:ascii="方正黑体_GBK" w:hAnsi="方正黑体_GBK" w:eastAsia="方正黑体_GBK" w:cs="方正黑体_GBK"/>
          <w:b w:val="0"/>
          <w:bCs w:val="0"/>
          <w:sz w:val="30"/>
          <w:szCs w:val="30"/>
        </w:rPr>
        <w:t xml:space="preserve">七、授予合同</w:t>
      </w:r>
      <w:bookmarkEnd w:id="181"/>
      <w:r/>
      <w:bookmarkEnd w:id="182"/>
      <w:bookmarkEnd w:id="183"/>
      <w:bookmarkEnd w:id="184"/>
      <w:r/>
    </w:p>
    <w:p>
      <w:pPr>
        <w:pStyle w:val="656"/>
        <w:ind w:firstLine="420"/>
        <w:spacing w:before="0" w:after="0" w:line="240" w:lineRule="auto"/>
        <w:rPr>
          <w:rFonts w:hint="eastAsia" w:ascii="方正楷体_GBK" w:hAnsi="方正楷体_GBK" w:eastAsia="方正楷体_GBK" w:cs="方正楷体_GBK"/>
        </w:rPr>
      </w:pPr>
      <w:r/>
      <w:bookmarkStart w:id="185" w:name="_Toc513029237"/>
      <w:r/>
      <w:bookmarkStart w:id="186" w:name="_Toc20823309"/>
      <w:r/>
      <w:bookmarkStart w:id="187" w:name="_Toc16938553"/>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5"/>
      <w:bookmarkEnd w:id="186"/>
      <w:bookmarkEnd w:id="187"/>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p>
    <w:p>
      <w:pPr>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p>
    <w:p>
      <w:pPr>
        <w:ind w:firstLine="420"/>
        <w:rPr>
          <w:rFonts w:hint="eastAsia" w:ascii="宋体" w:hAnsi="宋体"/>
          <w:sz w:val="24"/>
        </w:rPr>
      </w:pPr>
      <w:r>
        <w:rPr>
          <w:rFonts w:hint="eastAsia" w:ascii="宋体" w:hAnsi="宋体"/>
          <w:sz w:val="24"/>
          <w:lang w:val="zh-CN"/>
        </w:rPr>
        <w:t xml:space="preserve">代理机构《质疑函》接收部门为采购代理部。收件人：江苏金永诚建设投资管理咨询有限公司政府采购部，地址：南京市江宁区</w:t>
      </w:r>
      <w:r>
        <w:rPr>
          <w:rFonts w:hint="eastAsia" w:ascii="宋体" w:hAnsi="宋体"/>
          <w:sz w:val="24"/>
          <w:lang w:val="en-US" w:eastAsia="zh-CN"/>
        </w:rPr>
        <w:t xml:space="preserve">万安东路金建大厦12楼1206室</w:t>
      </w:r>
      <w:r>
        <w:rPr>
          <w:rFonts w:hint="eastAsia" w:ascii="宋体" w:hAnsi="宋体"/>
          <w:sz w:val="24"/>
          <w:lang w:val="zh-CN"/>
        </w:rPr>
        <w:t xml:space="preserve">，联系电话：</w:t>
      </w:r>
      <w:r>
        <w:rPr>
          <w:rFonts w:hint="eastAsia" w:ascii="宋体" w:hAnsi="宋体"/>
          <w:sz w:val="24"/>
          <w:lang w:val="en-US" w:eastAsia="zh-CN"/>
        </w:rPr>
        <w:t xml:space="preserve">15651036188</w:t>
      </w:r>
      <w:r>
        <w:rPr>
          <w:rFonts w:hint="eastAsia" w:ascii="宋体" w:hAnsi="宋体"/>
          <w:sz w:val="24"/>
          <w:lang w:val="zh-CN"/>
        </w:rPr>
        <w:t xml:space="preserve">。</w:t>
      </w:r>
      <w:r>
        <w:rPr>
          <w:rFonts w:hint="eastAsia" w:ascii="宋体" w:hAnsi="宋体"/>
          <w:sz w:val="24"/>
        </w:rPr>
        <w:t xml:space="preserve">  </w:t>
      </w:r>
      <w:r/>
    </w:p>
    <w:p>
      <w:pPr>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w:t>
      </w:r>
      <w:r>
        <w:rPr>
          <w:rFonts w:hint="eastAsia" w:ascii="宋体" w:hAnsi="宋体"/>
          <w:sz w:val="24"/>
          <w:lang w:val="zh-CN"/>
        </w:rPr>
        <w:t xml:space="preserve"> </w:t>
      </w:r>
      <w:r/>
      <w:r>
        <w:rPr>
          <w:rFonts w:hint="eastAsia" w:ascii="宋体" w:hAnsi="宋体"/>
          <w:sz w:val="24"/>
          <w:lang w:val="zh-CN"/>
        </w:rPr>
        <w:t xml:space="preserve">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65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56"/>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color w:val="ff0000"/>
          <w:sz w:val="24"/>
          <w:lang w:val="zh-CN"/>
        </w:rPr>
      </w:pPr>
      <w:r>
        <w:rPr>
          <w:rFonts w:hint="eastAsia" w:ascii="宋体" w:hAnsi="宋体"/>
          <w:color w:val="ff0000"/>
          <w:sz w:val="24"/>
        </w:rPr>
        <w:t xml:space="preserve">38.1 本项目整体专门面向中小企业采购</w:t>
      </w:r>
      <w:r>
        <w:rPr>
          <w:rFonts w:hint="eastAsia" w:ascii="宋体" w:hAnsi="宋体"/>
          <w:color w:val="ff0000"/>
          <w:sz w:val="24"/>
          <w:lang w:val="zh-CN"/>
        </w:rPr>
        <w:t xml:space="preserve">。</w:t>
      </w:r>
      <w:r/>
    </w:p>
    <w:p>
      <w:pPr>
        <w:ind w:firstLine="420"/>
        <w:rPr>
          <w:rFonts w:hint="eastAsia" w:ascii="宋体" w:hAnsi="宋体"/>
          <w:color w:val="ff0000"/>
          <w:sz w:val="24"/>
          <w:lang w:val="zh-CN"/>
        </w:rPr>
      </w:pPr>
      <w:r>
        <w:rPr>
          <w:rFonts w:hint="eastAsia" w:ascii="宋体" w:hAnsi="宋体"/>
          <w:color w:val="ff0000"/>
          <w:sz w:val="24"/>
        </w:rPr>
        <w:t xml:space="preserve">38.2 </w:t>
      </w:r>
      <w:r>
        <w:rPr>
          <w:rFonts w:hint="eastAsia" w:ascii="宋体" w:hAnsi="宋体"/>
          <w:color w:val="ff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ff0000"/>
          <w:sz w:val="24"/>
          <w:lang w:val="zh-CN"/>
        </w:rPr>
      </w:pPr>
      <w:r>
        <w:rPr>
          <w:rFonts w:hint="eastAsia" w:ascii="宋体" w:hAnsi="宋体"/>
          <w:color w:val="ff0000"/>
          <w:sz w:val="24"/>
        </w:rPr>
        <w:t xml:space="preserve">38.3 </w:t>
      </w:r>
      <w:r>
        <w:rPr>
          <w:rFonts w:hint="eastAsia" w:ascii="宋体" w:hAnsi="宋体"/>
          <w:color w:val="ff0000"/>
          <w:sz w:val="24"/>
          <w:lang w:val="zh-CN"/>
        </w:rPr>
        <w:t xml:space="preserve">中小企业参加政府采购活动，应当出具《中小企业声明函》。</w:t>
      </w:r>
      <w:r/>
    </w:p>
    <w:p>
      <w:pPr>
        <w:ind w:firstLine="420"/>
        <w:rPr>
          <w:rFonts w:hint="eastAsia" w:ascii="宋体" w:hAnsi="宋体"/>
          <w:color w:val="ff0000"/>
          <w:sz w:val="24"/>
          <w:lang w:val="zh-CN"/>
        </w:rPr>
      </w:pPr>
      <w:r>
        <w:rPr>
          <w:rFonts w:hint="eastAsia" w:ascii="宋体" w:hAnsi="宋体"/>
          <w:color w:val="ff0000"/>
          <w:sz w:val="24"/>
        </w:rPr>
        <w:t xml:space="preserve">38.4 </w:t>
      </w:r>
      <w:r>
        <w:rPr>
          <w:rFonts w:hint="eastAsia" w:ascii="宋体" w:hAnsi="宋体"/>
          <w:color w:val="ff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ff0000"/>
          <w:sz w:val="24"/>
          <w:lang w:val="zh-CN"/>
        </w:rPr>
      </w:pPr>
      <w:r>
        <w:rPr>
          <w:rFonts w:hint="eastAsia" w:ascii="宋体" w:hAnsi="宋体"/>
          <w:color w:val="ff0000"/>
          <w:sz w:val="24"/>
          <w:lang w:val="zh-CN"/>
        </w:rPr>
        <w:t xml:space="preserve">3</w:t>
      </w:r>
      <w:r>
        <w:rPr>
          <w:rFonts w:hint="eastAsia" w:ascii="宋体" w:hAnsi="宋体"/>
          <w:color w:val="ff0000"/>
          <w:sz w:val="24"/>
        </w:rPr>
        <w:t xml:space="preserve">8</w:t>
      </w:r>
      <w:r>
        <w:rPr>
          <w:rFonts w:hint="eastAsia" w:ascii="宋体" w:hAnsi="宋体"/>
          <w:color w:val="ff0000"/>
          <w:sz w:val="24"/>
          <w:lang w:val="zh-CN"/>
        </w:rPr>
        <w:t xml:space="preserve">.</w:t>
      </w:r>
      <w:r>
        <w:rPr>
          <w:rFonts w:hint="eastAsia" w:ascii="宋体" w:hAnsi="宋体"/>
          <w:color w:val="ff0000"/>
          <w:sz w:val="24"/>
        </w:rPr>
        <w:t xml:space="preserve">5</w:t>
      </w:r>
      <w:r>
        <w:rPr>
          <w:rFonts w:hint="eastAsia" w:ascii="宋体" w:hAnsi="宋体"/>
          <w:color w:val="ff0000"/>
          <w:sz w:val="24"/>
          <w:lang w:val="zh-CN"/>
        </w:rPr>
        <w:t xml:space="preserve"> </w:t>
      </w:r>
      <w:r>
        <w:rPr>
          <w:rFonts w:hint="eastAsia" w:ascii="宋体" w:hAnsi="宋体" w:cs="宋体"/>
          <w:color w:val="ff0000"/>
          <w:sz w:val="24"/>
          <w:szCs w:val="24"/>
        </w:rPr>
        <w:t xml:space="preserve">监狱和戒毒企业（简称监狱企业）视同小型、微型企业</w:t>
      </w:r>
      <w:r>
        <w:rPr>
          <w:rFonts w:hint="eastAsia" w:ascii="宋体" w:hAnsi="宋体"/>
          <w:color w:val="ff0000"/>
          <w:sz w:val="24"/>
          <w:lang w:val="zh-CN"/>
        </w:rPr>
        <w:t xml:space="preserve">。</w:t>
      </w:r>
      <w:r>
        <w:rPr>
          <w:rFonts w:hint="eastAsia" w:ascii="宋体" w:hAnsi="宋体"/>
          <w:color w:val="ff0000"/>
          <w:sz w:val="24"/>
        </w:rPr>
        <w:t xml:space="preserve">按照</w:t>
      </w:r>
      <w:r>
        <w:rPr>
          <w:rFonts w:hint="eastAsia" w:ascii="宋体" w:hAnsi="宋体"/>
          <w:color w:val="ff0000"/>
          <w:sz w:val="24"/>
          <w:lang w:val="zh-CN"/>
        </w:rPr>
        <w:t xml:space="preserve">《关于政府采购支持监狱企业发展有关问题的通知》（财库〔2014〕68号）</w:t>
      </w:r>
      <w:r>
        <w:rPr>
          <w:rFonts w:hint="eastAsia" w:ascii="宋体" w:hAnsi="宋体"/>
          <w:color w:val="ff0000"/>
          <w:sz w:val="24"/>
        </w:rPr>
        <w:t xml:space="preserve">规定，</w:t>
      </w:r>
      <w:r>
        <w:rPr>
          <w:rFonts w:hint="eastAsia" w:ascii="宋体" w:hAnsi="宋体"/>
          <w:color w:val="ff0000"/>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ff0000"/>
          <w:sz w:val="24"/>
          <w:lang w:val="zh-CN"/>
        </w:rPr>
      </w:pPr>
      <w:r>
        <w:rPr>
          <w:rFonts w:hint="eastAsia" w:ascii="宋体" w:hAnsi="宋体"/>
          <w:color w:val="ff0000"/>
          <w:sz w:val="24"/>
          <w:lang w:val="zh-CN"/>
        </w:rPr>
        <w:t xml:space="preserve">3</w:t>
      </w:r>
      <w:r>
        <w:rPr>
          <w:rFonts w:hint="eastAsia" w:ascii="宋体" w:hAnsi="宋体"/>
          <w:color w:val="ff0000"/>
          <w:sz w:val="24"/>
        </w:rPr>
        <w:t xml:space="preserve">8</w:t>
      </w:r>
      <w:r>
        <w:rPr>
          <w:rFonts w:hint="eastAsia" w:ascii="宋体" w:hAnsi="宋体"/>
          <w:color w:val="ff0000"/>
          <w:sz w:val="24"/>
          <w:lang w:val="zh-CN"/>
        </w:rPr>
        <w:t xml:space="preserve">.</w:t>
      </w:r>
      <w:r>
        <w:rPr>
          <w:rFonts w:hint="eastAsia" w:ascii="宋体" w:hAnsi="宋体"/>
          <w:color w:val="ff0000"/>
          <w:sz w:val="24"/>
        </w:rPr>
        <w:t xml:space="preserve">6</w:t>
      </w:r>
      <w:r>
        <w:rPr>
          <w:rFonts w:hint="eastAsia" w:ascii="宋体" w:hAnsi="宋体"/>
          <w:color w:val="ff0000"/>
          <w:sz w:val="24"/>
          <w:lang w:val="zh-CN"/>
        </w:rPr>
        <w:t xml:space="preserve"> 残疾人福利性单位</w:t>
      </w:r>
      <w:r>
        <w:rPr>
          <w:rFonts w:hint="eastAsia" w:ascii="宋体" w:hAnsi="宋体" w:cs="宋体"/>
          <w:color w:val="ff0000"/>
          <w:sz w:val="24"/>
          <w:szCs w:val="24"/>
        </w:rPr>
        <w:t xml:space="preserve">视同小型、微型企业</w:t>
      </w:r>
      <w:r>
        <w:rPr>
          <w:rFonts w:hint="eastAsia" w:ascii="宋体" w:hAnsi="宋体"/>
          <w:color w:val="ff0000"/>
          <w:sz w:val="24"/>
          <w:lang w:val="zh-CN"/>
        </w:rPr>
        <w:t xml:space="preserve">。</w:t>
      </w:r>
      <w:r>
        <w:rPr>
          <w:rFonts w:hint="eastAsia" w:ascii="宋体" w:hAnsi="宋体"/>
          <w:color w:val="ff0000"/>
          <w:sz w:val="24"/>
        </w:rPr>
        <w:t xml:space="preserve">按照《关于促进残疾人就业政府采购政策的通知》（财库〔2017〕141号）规定，</w:t>
      </w:r>
      <w:r>
        <w:rPr>
          <w:rFonts w:hint="eastAsia" w:ascii="宋体" w:hAnsi="宋体" w:cs="宋体"/>
          <w:color w:val="ff0000"/>
          <w:sz w:val="24"/>
          <w:szCs w:val="24"/>
        </w:rPr>
        <w:t xml:space="preserve">残疾人福利单位</w:t>
      </w:r>
      <w:r>
        <w:rPr>
          <w:rFonts w:hint="eastAsia" w:ascii="宋体" w:hAnsi="宋体"/>
          <w:color w:val="ff0000"/>
          <w:sz w:val="24"/>
        </w:rPr>
        <w:t xml:space="preserve">需</w:t>
      </w:r>
      <w:r>
        <w:rPr>
          <w:rFonts w:hint="eastAsia" w:ascii="宋体" w:hAnsi="宋体"/>
          <w:color w:val="ff0000"/>
          <w:sz w:val="24"/>
          <w:lang w:val="zh-CN"/>
        </w:rPr>
        <w:t xml:space="preserve">提供《残疾人福利性单位声明函》。</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656"/>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rPr>
          <w:rFonts w:hint="eastAsia" w:ascii="方正楷体_GBK" w:hAnsi="方正楷体_GBK" w:eastAsia="方正楷体_GBK" w:cs="方正楷体_GBK"/>
          <w:b/>
          <w:bCs/>
          <w:sz w:val="28"/>
          <w:szCs w:val="28"/>
          <w:lang w:val="zh-CN"/>
        </w:rPr>
      </w:pPr>
      <w:r>
        <w:rPr>
          <w:rFonts w:ascii="方正楷体_GBK" w:hAnsi="方正楷体_GBK" w:eastAsia="方正楷体_GBK" w:cs="方正楷体_GBK"/>
          <w:b/>
          <w:bCs/>
          <w:sz w:val="28"/>
          <w:szCs w:val="28"/>
          <w:lang w:val="zh-CN"/>
        </w:rPr>
        <w:t xml:space="preserve">43.实施本国产品标准及相关政策</w:t>
      </w:r>
      <w:r/>
    </w:p>
    <w:p>
      <w:pPr>
        <w:ind w:firstLine="420"/>
        <w:rPr>
          <w:rFonts w:hint="eastAsia" w:ascii="宋体" w:hAnsi="宋体"/>
          <w:sz w:val="24"/>
          <w:lang w:val="zh-CN"/>
        </w:rPr>
      </w:pPr>
      <w:r>
        <w:rPr>
          <w:rFonts w:ascii="宋体" w:hAnsi="宋体"/>
          <w:sz w:val="24"/>
          <w:lang w:val="zh-CN"/>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firstLine="420"/>
        <w:rPr>
          <w:rFonts w:hint="eastAsia" w:ascii="宋体" w:hAnsi="宋体"/>
          <w:sz w:val="24"/>
          <w:lang w:val="zh-CN"/>
        </w:rPr>
      </w:pPr>
      <w:r>
        <w:rPr>
          <w:rFonts w:ascii="宋体" w:hAnsi="宋体"/>
          <w:sz w:val="24"/>
          <w:lang w:val="zh-CN"/>
        </w:rPr>
        <w:t xml:space="preserve">43.2本国产品应当符合以下条件：</w:t>
      </w:r>
      <w:r/>
    </w:p>
    <w:p>
      <w:pPr>
        <w:ind w:firstLine="420"/>
        <w:rPr>
          <w:rFonts w:hint="eastAsia" w:ascii="宋体" w:hAnsi="宋体"/>
          <w:sz w:val="24"/>
          <w:lang w:val="zh-CN"/>
        </w:rPr>
      </w:pPr>
      <w:r>
        <w:rPr>
          <w:rFonts w:ascii="宋体" w:hAnsi="宋体"/>
          <w:sz w:val="24"/>
          <w:lang w:val="zh-CN"/>
        </w:rPr>
        <w:t xml:space="preserve">（1）在中国境内生产</w:t>
      </w:r>
      <w:r/>
    </w:p>
    <w:p>
      <w:pPr>
        <w:ind w:firstLine="420"/>
        <w:rPr>
          <w:rFonts w:hint="eastAsia" w:ascii="宋体" w:hAnsi="宋体"/>
          <w:sz w:val="24"/>
          <w:lang w:val="zh-CN"/>
        </w:rPr>
      </w:pPr>
      <w:r>
        <w:rPr>
          <w:rFonts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ascii="宋体" w:hAnsi="宋体"/>
          <w:sz w:val="24"/>
          <w:lang w:val="zh-CN"/>
        </w:rPr>
        <w:t xml:space="preserve">（2）在中国境内生产的组件成本占比达到规定比例</w:t>
      </w:r>
      <w:r/>
    </w:p>
    <w:p>
      <w:pPr>
        <w:ind w:firstLine="420"/>
        <w:rPr>
          <w:rFonts w:hint="eastAsia" w:ascii="宋体" w:hAnsi="宋体"/>
          <w:sz w:val="24"/>
          <w:lang w:val="zh-CN"/>
        </w:rPr>
      </w:pPr>
      <w:r>
        <w:rPr>
          <w:rFonts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lang w:val="zh-CN"/>
        </w:rPr>
      </w:pPr>
      <w:r>
        <w:rPr>
          <w:rFonts w:ascii="宋体" w:hAnsi="宋体"/>
          <w:sz w:val="24"/>
          <w:lang w:val="zh-CN"/>
        </w:rPr>
        <w:t xml:space="preserve">（3）特定产品的关键组件、关键工序符合相关要求</w:t>
      </w:r>
      <w:r/>
    </w:p>
    <w:p>
      <w:pPr>
        <w:ind w:firstLine="420"/>
        <w:rPr>
          <w:rFonts w:hint="eastAsia" w:ascii="宋体" w:hAnsi="宋体"/>
          <w:sz w:val="24"/>
          <w:lang w:val="zh-CN"/>
        </w:rPr>
      </w:pPr>
      <w:r>
        <w:rPr>
          <w:rFonts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ascii="宋体" w:hAnsi="宋体"/>
          <w:sz w:val="24"/>
          <w:lang w:val="zh-CN"/>
        </w:rPr>
        <w:t xml:space="preserve">43.3本国产品标准的适用范围</w:t>
      </w:r>
      <w:r/>
    </w:p>
    <w:p>
      <w:pPr>
        <w:ind w:firstLine="420"/>
        <w:rPr>
          <w:rFonts w:hint="eastAsia" w:ascii="宋体" w:hAnsi="宋体"/>
          <w:sz w:val="24"/>
          <w:lang w:val="zh-CN"/>
        </w:rPr>
      </w:pPr>
      <w:r>
        <w:rPr>
          <w:rFonts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lang w:val="zh-CN"/>
        </w:rPr>
      </w:pPr>
      <w:r>
        <w:rPr>
          <w:rFonts w:ascii="宋体" w:hAnsi="宋体"/>
          <w:sz w:val="24"/>
          <w:lang w:val="zh-CN"/>
        </w:rPr>
        <w:t xml:space="preserve">43.4对本国产品的支持政策</w:t>
      </w:r>
      <w:r/>
    </w:p>
    <w:p>
      <w:pPr>
        <w:ind w:firstLine="420"/>
        <w:rPr>
          <w:rFonts w:hint="eastAsia" w:ascii="宋体" w:hAnsi="宋体"/>
          <w:b/>
          <w:bCs/>
          <w:sz w:val="24"/>
        </w:rPr>
      </w:pPr>
      <w:r>
        <w:rPr>
          <w:rFonts w:ascii="宋体" w:hAnsi="宋体"/>
          <w:b/>
          <w:bCs/>
          <w:sz w:val="24"/>
        </w:rPr>
        <w:t xml:space="preserve">本项目如</w:t>
      </w:r>
      <w:r>
        <w:rPr>
          <w:rFonts w:ascii="宋体" w:hAnsi="宋体"/>
          <w:b/>
          <w:bCs/>
          <w:sz w:val="24"/>
          <w:lang w:val="zh-CN"/>
        </w:rPr>
        <w:t xml:space="preserve">既有本国产品又有非本国产品参与竞争，依法对本国产品给予价格评审优惠，</w:t>
      </w:r>
      <w:r>
        <w:rPr>
          <w:rFonts w:ascii="宋体" w:hAnsi="宋体"/>
          <w:b/>
          <w:bCs/>
          <w:sz w:val="24"/>
        </w:rPr>
        <w:t xml:space="preserve">具体详见第三章。</w:t>
      </w:r>
      <w:r/>
    </w:p>
    <w:p>
      <w:pPr>
        <w:ind w:firstLine="420"/>
        <w:rPr>
          <w:rFonts w:hint="eastAsia" w:ascii="宋体" w:hAnsi="宋体"/>
          <w:sz w:val="24"/>
        </w:rPr>
      </w:pPr>
      <w:r>
        <w:rPr>
          <w:rFonts w:ascii="宋体" w:hAnsi="宋体"/>
          <w:sz w:val="24"/>
        </w:rPr>
        <w:t xml:space="preserve">43.5政策执行要求</w:t>
      </w:r>
      <w:r/>
    </w:p>
    <w:p>
      <w:pPr>
        <w:ind w:firstLine="420"/>
        <w:rPr>
          <w:rFonts w:hint="eastAsia" w:ascii="宋体" w:hAnsi="宋体"/>
          <w:sz w:val="24"/>
        </w:rPr>
      </w:pPr>
      <w:r>
        <w:rPr>
          <w:rFonts w:ascii="宋体" w:hAnsi="宋体"/>
          <w:sz w:val="24"/>
          <w:lang w:val="zh-CN"/>
        </w:rPr>
        <w:t xml:space="preserve">（</w:t>
      </w:r>
      <w:r>
        <w:rPr>
          <w:rFonts w:ascii="宋体" w:hAnsi="宋体"/>
          <w:sz w:val="24"/>
        </w:rPr>
        <w:t xml:space="preserve">1</w:t>
      </w:r>
      <w:r>
        <w:rPr>
          <w:rFonts w:ascii="宋体" w:hAnsi="宋体"/>
          <w:sz w:val="24"/>
          <w:lang w:val="zh-CN"/>
        </w:rPr>
        <w:t xml:space="preserve">）产品在中国境内生产的组件成本核算规则。产品在中国境内生产的组件成本，按照《中国境内生产的组件成本核算基本规则》计算，</w:t>
      </w:r>
      <w:r>
        <w:rPr>
          <w:rFonts w:ascii="宋体" w:hAnsi="宋体"/>
          <w:sz w:val="24"/>
        </w:rPr>
        <w:t xml:space="preserve">详见《国务院办公厅关于在政府采购中实施本国产品标准及相关政策的通知》（国办发〔2025〕34号）规定。</w:t>
      </w:r>
      <w:r/>
    </w:p>
    <w:p>
      <w:pPr>
        <w:ind w:firstLine="420"/>
        <w:rPr>
          <w:rFonts w:hint="eastAsia" w:ascii="宋体" w:hAnsi="宋体"/>
          <w:b/>
          <w:bCs/>
          <w:sz w:val="24"/>
        </w:rPr>
      </w:pPr>
      <w:r>
        <w:rPr>
          <w:rFonts w:ascii="宋体" w:hAnsi="宋体"/>
          <w:sz w:val="24"/>
          <w:lang w:val="zh-CN"/>
        </w:rPr>
        <w:t xml:space="preserve">（2）有关证明文件。</w:t>
      </w:r>
      <w:r>
        <w:rPr>
          <w:rFonts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96"/>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896"/>
        <w:rPr>
          <w:rFonts w:hint="eastAsia" w:ascii="宋体" w:hAnsi="宋体" w:eastAsia="宋体" w:cs="Times New Roman"/>
          <w:sz w:val="24"/>
        </w:rPr>
      </w:pPr>
      <w:r>
        <w:rPr>
          <w:rFonts w:hint="eastAsia" w:ascii="宋体" w:hAnsi="宋体" w:eastAsia="宋体" w:cs="Times New Roman"/>
          <w:sz w:val="24"/>
        </w:rPr>
      </w:r>
      <w:r/>
    </w:p>
    <w:p>
      <w:pPr>
        <w:pStyle w:val="896"/>
        <w:ind w:left="0"/>
        <w:jc w:val="center"/>
        <w:rPr>
          <w:rFonts w:ascii="黑体" w:hAnsi="Times New Roman" w:eastAsia="黑体" w:cs="Times New Roman"/>
          <w:sz w:val="44"/>
          <w:szCs w:val="44"/>
        </w:rPr>
      </w:pPr>
      <w:r>
        <w:rPr>
          <w:rFonts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6"/>
      <w:r/>
      <w:bookmarkEnd w:id="57"/>
      <w:r/>
      <w:bookmarkEnd w:id="58"/>
      <w:r/>
      <w:bookmarkEnd w:id="59"/>
      <w:r/>
      <w:bookmarkEnd w:id="60"/>
      <w:r>
        <w:rPr>
          <w:rFonts w:hint="eastAsia" w:ascii="方正小标宋简体" w:hAnsi="方正小标宋简体" w:eastAsia="方正小标宋简体" w:cs="方正小标宋简体"/>
          <w:sz w:val="36"/>
          <w:szCs w:val="36"/>
          <w:lang w:val="en-US"/>
        </w:rPr>
        <w:t xml:space="preserve">文本</w:t>
      </w:r>
      <w:r/>
    </w:p>
    <w:p>
      <w:pPr>
        <w:ind w:left="420"/>
        <w:jc w:val="center"/>
        <w:spacing w:before="90" w:line="560" w:lineRule="exact"/>
        <w:widowControl/>
        <w:rPr>
          <w:rFonts w:hint="eastAsia" w:eastAsia="方正小标宋简体"/>
          <w:color w:val="000000"/>
          <w:spacing w:val="-3"/>
          <w:sz w:val="40"/>
          <w:szCs w:val="40"/>
          <w:lang w:eastAsia="zh-CN"/>
        </w:rPr>
      </w:pPr>
      <w:r/>
      <w:bookmarkStart w:id="188" w:name="_Toc20823346"/>
      <w:r/>
      <w:bookmarkStart w:id="189" w:name="_Toc120614244"/>
      <w:r/>
      <w:bookmarkStart w:id="190" w:name="_Toc16938590"/>
      <w:r/>
      <w:bookmarkStart w:id="191" w:name="_Hlt16619350"/>
      <w:r/>
      <w:bookmarkStart w:id="192" w:name="_Toc479757211"/>
      <w:r/>
      <w:bookmarkStart w:id="193" w:name="_Toc462564139"/>
      <w:r/>
      <w:r/>
    </w:p>
    <w:p>
      <w:pPr>
        <w:ind w:left="420"/>
        <w:jc w:val="center"/>
        <w:spacing w:before="90" w:line="560" w:lineRule="exact"/>
        <w:widowControl/>
        <w:rPr>
          <w:rFonts w:hint="eastAsia" w:eastAsia="方正小标宋简体"/>
          <w:color w:val="000000"/>
          <w:spacing w:val="-3"/>
          <w:sz w:val="40"/>
          <w:szCs w:val="40"/>
          <w:lang w:eastAsia="zh-CN"/>
        </w:rPr>
      </w:pPr>
      <w:r>
        <w:rPr>
          <w:rFonts w:hint="eastAsia" w:eastAsia="方正小标宋简体"/>
          <w:color w:val="000000"/>
          <w:spacing w:val="-3"/>
          <w:sz w:val="40"/>
          <w:szCs w:val="40"/>
          <w:lang w:eastAsia="zh-CN"/>
        </w:rPr>
      </w:r>
      <w:r/>
    </w:p>
    <w:p>
      <w:pPr>
        <w:ind w:left="420"/>
        <w:jc w:val="center"/>
        <w:spacing w:before="90" w:line="560" w:lineRule="exact"/>
        <w:widowControl/>
        <w:rPr>
          <w:rFonts w:hint="eastAsia" w:eastAsia="方正小标宋简体"/>
          <w:color w:val="000000"/>
          <w:spacing w:val="-3"/>
          <w:sz w:val="40"/>
          <w:szCs w:val="40"/>
          <w:lang w:eastAsia="zh-CN"/>
        </w:rPr>
      </w:pPr>
      <w:r>
        <w:rPr>
          <w:rFonts w:hint="eastAsia" w:eastAsia="方正小标宋简体"/>
          <w:color w:val="000000"/>
          <w:spacing w:val="-3"/>
          <w:sz w:val="40"/>
          <w:szCs w:val="40"/>
          <w:lang w:eastAsia="zh-CN"/>
        </w:rPr>
        <w:t xml:space="preserve">丹桂农事服务中心育秧中心建设项目</w:t>
      </w:r>
      <w:r/>
    </w:p>
    <w:p>
      <w:pPr>
        <w:ind w:left="420"/>
        <w:jc w:val="center"/>
        <w:spacing w:before="90" w:line="560" w:lineRule="exact"/>
        <w:widowControl/>
        <w:rPr>
          <w:rFonts w:eastAsia="方正小标宋简体"/>
          <w:color w:val="000000"/>
          <w:spacing w:val="-3"/>
          <w:sz w:val="40"/>
          <w:szCs w:val="40"/>
        </w:rPr>
      </w:pPr>
      <w:r>
        <w:rPr>
          <w:rFonts w:eastAsia="方正小标宋简体"/>
          <w:color w:val="000000"/>
          <w:spacing w:val="-3"/>
          <w:sz w:val="40"/>
          <w:szCs w:val="40"/>
        </w:rPr>
        <w:t xml:space="preserve">采购合同</w:t>
      </w:r>
      <w:r/>
    </w:p>
    <w:p>
      <w:pPr>
        <w:ind w:left="420"/>
        <w:jc w:val="left"/>
        <w:spacing w:before="218" w:line="360" w:lineRule="auto"/>
        <w:widowControl/>
        <w:rPr>
          <w:rFonts w:ascii="宋体" w:hAnsi="宋体"/>
          <w:color w:val="000000"/>
          <w:spacing w:val="-9"/>
          <w:sz w:val="28"/>
          <w:szCs w:val="28"/>
        </w:rPr>
      </w:pPr>
      <w:r>
        <w:rPr>
          <w:rFonts w:ascii="宋体" w:hAnsi="宋体"/>
          <w:color w:val="000000"/>
          <w:spacing w:val="-9"/>
          <w:sz w:val="28"/>
          <w:szCs w:val="28"/>
        </w:rPr>
      </w:r>
      <w:r/>
    </w:p>
    <w:p>
      <w:pPr>
        <w:ind w:left="420"/>
        <w:jc w:val="left"/>
        <w:spacing w:before="218" w:line="360" w:lineRule="auto"/>
        <w:widowControl/>
        <w:rPr>
          <w:rFonts w:ascii="宋体" w:hAnsi="宋体"/>
          <w:color w:val="000000"/>
          <w:spacing w:val="-9"/>
          <w:sz w:val="28"/>
          <w:szCs w:val="28"/>
        </w:rPr>
      </w:pPr>
      <w:r>
        <w:rPr>
          <w:rFonts w:ascii="宋体" w:hAnsi="宋体"/>
          <w:color w:val="000000"/>
          <w:spacing w:val="-9"/>
          <w:sz w:val="28"/>
          <w:szCs w:val="28"/>
        </w:rPr>
      </w:r>
      <w:r/>
    </w:p>
    <w:p>
      <w:pPr>
        <w:ind w:left="420"/>
        <w:jc w:val="left"/>
        <w:spacing w:before="218" w:line="360" w:lineRule="auto"/>
        <w:widowControl/>
        <w:rPr>
          <w:rFonts w:ascii="宋体" w:hAnsi="宋体"/>
          <w:color w:val="000000"/>
          <w:spacing w:val="-9"/>
          <w:sz w:val="28"/>
          <w:szCs w:val="28"/>
        </w:rPr>
      </w:pPr>
      <w:r>
        <w:rPr>
          <w:rFonts w:ascii="宋体" w:hAnsi="宋体"/>
          <w:color w:val="000000"/>
          <w:spacing w:val="-9"/>
          <w:sz w:val="28"/>
          <w:szCs w:val="28"/>
        </w:rPr>
      </w:r>
      <w:r/>
    </w:p>
    <w:p>
      <w:pPr>
        <w:ind w:left="420"/>
        <w:jc w:val="left"/>
        <w:spacing w:before="218" w:line="360" w:lineRule="auto"/>
        <w:widowControl/>
        <w:rPr>
          <w:rFonts w:ascii="宋体" w:hAnsi="宋体"/>
          <w:color w:val="000000"/>
          <w:spacing w:val="-9"/>
          <w:sz w:val="28"/>
          <w:szCs w:val="28"/>
        </w:rPr>
      </w:pPr>
      <w:r>
        <w:rPr>
          <w:rFonts w:ascii="宋体" w:hAnsi="宋体"/>
          <w:color w:val="000000"/>
          <w:spacing w:val="-9"/>
          <w:sz w:val="28"/>
          <w:szCs w:val="28"/>
        </w:rPr>
      </w:r>
      <w:r/>
    </w:p>
    <w:p>
      <w:pPr>
        <w:ind w:left="420"/>
        <w:jc w:val="left"/>
        <w:spacing w:before="218" w:line="360" w:lineRule="auto"/>
        <w:widowControl/>
        <w:rPr>
          <w:rFonts w:ascii="宋体" w:hAnsi="宋体"/>
          <w:color w:val="000000"/>
          <w:spacing w:val="-9"/>
          <w:sz w:val="28"/>
          <w:szCs w:val="28"/>
        </w:rPr>
      </w:pPr>
      <w:r>
        <w:rPr>
          <w:rFonts w:ascii="宋体" w:hAnsi="宋体"/>
          <w:color w:val="000000"/>
          <w:spacing w:val="-9"/>
          <w:sz w:val="28"/>
          <w:szCs w:val="28"/>
        </w:rPr>
      </w:r>
      <w:r/>
    </w:p>
    <w:p>
      <w:pPr>
        <w:ind w:left="420"/>
        <w:jc w:val="left"/>
        <w:spacing w:before="218" w:line="360" w:lineRule="auto"/>
        <w:widowControl/>
        <w:rPr>
          <w:rFonts w:ascii="宋体" w:hAnsi="宋体"/>
          <w:color w:val="000000"/>
          <w:spacing w:val="-9"/>
          <w:sz w:val="28"/>
          <w:szCs w:val="28"/>
        </w:rPr>
      </w:pPr>
      <w:r>
        <w:rPr>
          <w:rFonts w:ascii="宋体" w:hAnsi="宋体"/>
          <w:color w:val="000000"/>
          <w:spacing w:val="-9"/>
          <w:sz w:val="28"/>
          <w:szCs w:val="28"/>
        </w:rPr>
      </w:r>
      <w:r/>
    </w:p>
    <w:p>
      <w:pPr>
        <w:ind w:left="420"/>
        <w:jc w:val="left"/>
        <w:spacing w:before="133" w:line="360" w:lineRule="auto"/>
        <w:widowControl/>
        <w:rPr>
          <w:rFonts w:hint="eastAsia" w:ascii="宋体" w:hAnsi="宋体"/>
          <w:b/>
          <w:bCs/>
          <w:color w:val="000000"/>
          <w:spacing w:val="-9"/>
          <w:sz w:val="28"/>
          <w:szCs w:val="28"/>
        </w:rPr>
      </w:pPr>
      <w:r>
        <w:rPr>
          <w:rFonts w:ascii="宋体" w:hAnsi="宋体"/>
          <w:color w:val="000000"/>
          <w:spacing w:val="-9"/>
          <w:sz w:val="28"/>
          <w:szCs w:val="28"/>
        </w:rPr>
        <w:t xml:space="preserve">甲</w:t>
      </w:r>
      <w:r>
        <w:rPr>
          <w:rFonts w:ascii="宋体" w:hAnsi="宋体"/>
          <w:color w:val="000000"/>
          <w:spacing w:val="7"/>
          <w:sz w:val="28"/>
          <w:szCs w:val="28"/>
        </w:rPr>
        <w:t xml:space="preserve">    </w:t>
      </w:r>
      <w:r>
        <w:rPr>
          <w:rFonts w:ascii="宋体" w:hAnsi="宋体"/>
          <w:color w:val="000000"/>
          <w:spacing w:val="-9"/>
          <w:sz w:val="28"/>
          <w:szCs w:val="28"/>
        </w:rPr>
        <w:t xml:space="preserve">方</w:t>
      </w:r>
      <w:r>
        <w:rPr>
          <w:rFonts w:hint="eastAsia" w:ascii="宋体" w:hAnsi="宋体"/>
          <w:color w:val="000000"/>
          <w:spacing w:val="-9"/>
          <w:sz w:val="28"/>
          <w:szCs w:val="28"/>
        </w:rPr>
        <w:t xml:space="preserve">1</w:t>
      </w:r>
      <w:r>
        <w:rPr>
          <w:rFonts w:ascii="宋体" w:hAnsi="宋体"/>
          <w:color w:val="000000"/>
          <w:spacing w:val="-9"/>
          <w:sz w:val="28"/>
          <w:szCs w:val="28"/>
        </w:rPr>
        <w:t xml:space="preserve">：</w:t>
      </w:r>
      <w:r>
        <w:rPr>
          <w:rFonts w:ascii="宋体" w:hAnsi="宋体"/>
          <w:b/>
          <w:bCs/>
          <w:color w:val="000000"/>
          <w:spacing w:val="-9"/>
          <w:sz w:val="28"/>
          <w:szCs w:val="28"/>
        </w:rPr>
        <w:t xml:space="preserve">南京市江宁区人民政府湖熟街道办事处</w:t>
      </w:r>
      <w:r/>
    </w:p>
    <w:p>
      <w:pPr>
        <w:ind w:left="420"/>
        <w:jc w:val="left"/>
        <w:spacing w:before="133" w:line="360" w:lineRule="auto"/>
        <w:widowControl/>
        <w:rPr>
          <w:rFonts w:hint="eastAsia" w:ascii="宋体" w:hAnsi="宋体" w:eastAsia="宋体"/>
          <w:color w:val="000000"/>
          <w:sz w:val="28"/>
          <w:szCs w:val="28"/>
          <w:lang w:eastAsia="zh-CN"/>
        </w:rPr>
      </w:pPr>
      <w:r>
        <w:rPr>
          <w:rFonts w:ascii="宋体" w:hAnsi="宋体"/>
          <w:color w:val="000000"/>
          <w:spacing w:val="-9"/>
          <w:sz w:val="28"/>
          <w:szCs w:val="28"/>
        </w:rPr>
        <w:t xml:space="preserve">甲</w:t>
      </w:r>
      <w:r>
        <w:rPr>
          <w:rFonts w:ascii="宋体" w:hAnsi="宋体"/>
          <w:color w:val="000000"/>
          <w:spacing w:val="7"/>
          <w:sz w:val="28"/>
          <w:szCs w:val="28"/>
        </w:rPr>
        <w:t xml:space="preserve">    </w:t>
      </w:r>
      <w:r>
        <w:rPr>
          <w:rFonts w:ascii="宋体" w:hAnsi="宋体"/>
          <w:color w:val="000000"/>
          <w:spacing w:val="-9"/>
          <w:sz w:val="28"/>
          <w:szCs w:val="28"/>
        </w:rPr>
        <w:t xml:space="preserve">方</w:t>
      </w:r>
      <w:r>
        <w:rPr>
          <w:rFonts w:hint="eastAsia" w:ascii="宋体" w:hAnsi="宋体"/>
          <w:color w:val="000000"/>
          <w:spacing w:val="-9"/>
          <w:sz w:val="28"/>
          <w:szCs w:val="28"/>
        </w:rPr>
        <w:t xml:space="preserve">2</w:t>
      </w:r>
      <w:r>
        <w:rPr>
          <w:rFonts w:ascii="宋体" w:hAnsi="宋体"/>
          <w:color w:val="000000"/>
          <w:spacing w:val="-9"/>
          <w:sz w:val="28"/>
          <w:szCs w:val="28"/>
        </w:rPr>
        <w:t xml:space="preserve">：</w:t>
      </w:r>
      <w:r>
        <w:rPr>
          <w:rFonts w:hint="eastAsia" w:ascii="宋体" w:hAnsi="宋体"/>
          <w:b/>
          <w:bCs/>
          <w:color w:val="000000"/>
          <w:spacing w:val="-9"/>
          <w:sz w:val="28"/>
          <w:szCs w:val="28"/>
          <w:lang w:eastAsia="zh-CN"/>
        </w:rPr>
        <w:t xml:space="preserve">江苏省南京市江宁区湖熟街道丹桂村村民委员会</w:t>
      </w:r>
      <w:r/>
    </w:p>
    <w:p>
      <w:pPr>
        <w:ind w:left="420"/>
        <w:jc w:val="left"/>
        <w:spacing w:before="218" w:line="360" w:lineRule="auto"/>
        <w:widowControl/>
        <w:rPr>
          <w:rFonts w:hint="eastAsia" w:ascii="宋体" w:hAnsi="宋体"/>
          <w:b/>
          <w:bCs/>
          <w:color w:val="000000"/>
          <w:spacing w:val="-6"/>
          <w:sz w:val="28"/>
          <w:szCs w:val="28"/>
        </w:rPr>
      </w:pPr>
      <w:r>
        <w:rPr>
          <w:rFonts w:ascii="宋体" w:hAnsi="宋体"/>
          <w:color w:val="000000"/>
          <w:spacing w:val="-6"/>
          <w:sz w:val="28"/>
          <w:szCs w:val="28"/>
        </w:rPr>
        <w:t xml:space="preserve">乙</w:t>
      </w:r>
      <w:r>
        <w:rPr>
          <w:rFonts w:ascii="宋体" w:hAnsi="宋体"/>
          <w:color w:val="000000"/>
          <w:spacing w:val="7"/>
          <w:sz w:val="28"/>
          <w:szCs w:val="28"/>
        </w:rPr>
        <w:t xml:space="preserve">    </w:t>
      </w:r>
      <w:r>
        <w:rPr>
          <w:rFonts w:ascii="宋体" w:hAnsi="宋体"/>
          <w:color w:val="000000"/>
          <w:spacing w:val="-6"/>
          <w:sz w:val="28"/>
          <w:szCs w:val="28"/>
        </w:rPr>
        <w:t xml:space="preserve">方：</w:t>
      </w:r>
      <w:r>
        <w:rPr>
          <w:rFonts w:hint="eastAsia" w:ascii="宋体" w:hAnsi="宋体"/>
          <w:b/>
          <w:bCs/>
          <w:color w:val="000000"/>
          <w:spacing w:val="-6"/>
          <w:sz w:val="28"/>
          <w:szCs w:val="28"/>
        </w:rPr>
        <w:t xml:space="preserve"> </w:t>
      </w:r>
      <w:r/>
    </w:p>
    <w:p>
      <w:pPr>
        <w:jc w:val="left"/>
        <w:spacing w:before="218" w:line="360" w:lineRule="auto"/>
        <w:widowControl/>
        <w:rPr>
          <w:rFonts w:hint="eastAsia" w:ascii="宋体" w:hAnsi="宋体" w:cs="宋体"/>
          <w:sz w:val="22"/>
          <w:szCs w:val="21"/>
          <w:lang w:eastAsia="zh-CN"/>
        </w:rPr>
      </w:pPr>
      <w:r>
        <w:rPr>
          <w:rFonts w:ascii="宋体" w:hAnsi="宋体"/>
          <w:color w:val="000000"/>
          <w:spacing w:val="-9"/>
          <w:sz w:val="28"/>
          <w:szCs w:val="28"/>
        </w:rPr>
        <w:br w:type="page" w:clear="all"/>
      </w:r>
      <w:bookmarkStart w:id="194" w:name="_Toc15718"/>
      <w:r>
        <w:rPr>
          <w:rFonts w:hint="eastAsia" w:ascii="宋体" w:hAnsi="宋体"/>
          <w:color w:val="000000"/>
          <w:spacing w:val="-9"/>
          <w:sz w:val="28"/>
          <w:szCs w:val="28"/>
          <w:lang w:val="en-US" w:eastAsia="zh-CN"/>
        </w:rPr>
        <w:t xml:space="preserve">  </w:t>
      </w:r>
      <w:r>
        <w:rPr>
          <w:rFonts w:ascii="宋体" w:hAnsi="宋体" w:cs="宋体"/>
          <w:sz w:val="22"/>
          <w:szCs w:val="21"/>
        </w:rPr>
        <w:t xml:space="preserve">根据《中华人民共和国民法典》的相关规定，由南京市江宁区人民政府湖熟街道办事处</w:t>
      </w:r>
      <w:r>
        <w:rPr>
          <w:rFonts w:hint="eastAsia" w:ascii="宋体" w:hAnsi="宋体" w:cs="宋体"/>
          <w:sz w:val="22"/>
          <w:szCs w:val="21"/>
          <w:lang w:eastAsia="zh-CN"/>
        </w:rPr>
        <w:t xml:space="preserve">、</w:t>
      </w:r>
      <w:r/>
    </w:p>
    <w:p>
      <w:pPr>
        <w:jc w:val="left"/>
        <w:spacing w:before="218" w:line="360" w:lineRule="auto"/>
        <w:widowControl/>
        <w:rPr>
          <w:rFonts w:hint="eastAsia" w:ascii="宋体" w:hAnsi="宋体"/>
          <w:b/>
          <w:bCs/>
          <w:color w:val="000000"/>
          <w:spacing w:val="-6"/>
          <w:sz w:val="28"/>
          <w:szCs w:val="28"/>
        </w:rPr>
      </w:pPr>
      <w:r>
        <w:rPr>
          <w:rFonts w:hint="eastAsia" w:ascii="宋体" w:hAnsi="宋体" w:cs="宋体"/>
          <w:sz w:val="22"/>
          <w:szCs w:val="21"/>
          <w:lang w:eastAsia="zh-CN"/>
        </w:rPr>
        <w:t xml:space="preserve">江苏省南京市江宁区湖熟街道丹桂村村民委员会</w:t>
      </w:r>
      <w:r>
        <w:rPr>
          <w:rFonts w:ascii="宋体" w:hAnsi="宋体" w:cs="宋体"/>
          <w:sz w:val="22"/>
          <w:szCs w:val="21"/>
        </w:rPr>
        <w:t xml:space="preserve">（甲方）委托</w:t>
      </w:r>
      <w:r>
        <w:rPr>
          <w:rFonts w:hint="eastAsia" w:ascii="宋体" w:hAnsi="宋体" w:cs="宋体"/>
          <w:sz w:val="22"/>
          <w:szCs w:val="21"/>
          <w:u w:val="single"/>
          <w:lang w:val="en-US" w:eastAsia="zh-CN"/>
        </w:rPr>
        <w:t xml:space="preserve">                </w:t>
      </w:r>
      <w:r>
        <w:rPr>
          <w:rFonts w:ascii="宋体" w:hAnsi="宋体" w:cs="宋体"/>
          <w:sz w:val="22"/>
          <w:szCs w:val="21"/>
        </w:rPr>
        <w:t xml:space="preserve">（乙方）承担本合同规定内容。经双方友好协商，签订本合同。</w:t>
      </w:r>
      <w:bookmarkEnd w:id="194"/>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第一条合同生效</w:t>
      </w:r>
      <w:r/>
    </w:p>
    <w:p>
      <w:pPr>
        <w:jc w:val="left"/>
        <w:spacing w:before="218" w:line="360" w:lineRule="auto"/>
        <w:widowControl/>
        <w:rPr>
          <w:rFonts w:hint="eastAsia" w:ascii="宋体" w:hAnsi="宋体" w:cs="宋体"/>
          <w:sz w:val="22"/>
          <w:szCs w:val="21"/>
        </w:rPr>
      </w:pPr>
      <w:r>
        <w:rPr>
          <w:rFonts w:ascii="宋体" w:hAnsi="宋体" w:cs="宋体"/>
          <w:sz w:val="22"/>
          <w:szCs w:val="21"/>
        </w:rPr>
        <w:t xml:space="preserve">1.1合同经甲、乙双方盖章后生效。</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第二条价格</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2.1合同金额</w:t>
      </w:r>
      <w:r>
        <w:rPr>
          <w:rFonts w:hint="eastAsia" w:ascii="宋体" w:hAnsi="宋体" w:cs="宋体"/>
          <w:sz w:val="22"/>
          <w:szCs w:val="21"/>
        </w:rPr>
        <w:t xml:space="preserve">暂计</w:t>
      </w:r>
      <w:r>
        <w:rPr>
          <w:rFonts w:ascii="宋体" w:hAnsi="宋体" w:cs="宋体"/>
          <w:sz w:val="22"/>
          <w:szCs w:val="21"/>
        </w:rPr>
        <w:t xml:space="preserve">：人民币(小写) </w:t>
      </w:r>
      <w:r>
        <w:rPr>
          <w:rFonts w:hint="eastAsia" w:ascii="宋体" w:hAnsi="宋体" w:cs="宋体"/>
          <w:sz w:val="22"/>
          <w:szCs w:val="21"/>
          <w:u w:val="single"/>
        </w:rPr>
        <w:t xml:space="preserve">        </w:t>
      </w:r>
      <w:r>
        <w:rPr>
          <w:rFonts w:ascii="宋体" w:hAnsi="宋体" w:cs="宋体"/>
          <w:sz w:val="22"/>
          <w:szCs w:val="21"/>
        </w:rPr>
        <w:t xml:space="preserve">，大写：人民币</w:t>
      </w:r>
      <w:r>
        <w:rPr>
          <w:rFonts w:ascii="宋体" w:hAnsi="宋体" w:cs="宋体"/>
          <w:sz w:val="22"/>
          <w:szCs w:val="21"/>
          <w:u w:val="single"/>
        </w:rPr>
        <w:t xml:space="preserve"> </w:t>
      </w:r>
      <w:r>
        <w:rPr>
          <w:rFonts w:hint="eastAsia" w:ascii="宋体" w:hAnsi="宋体" w:cs="宋体"/>
          <w:sz w:val="22"/>
          <w:szCs w:val="21"/>
          <w:u w:val="single"/>
        </w:rPr>
        <w:t xml:space="preserve">      </w:t>
      </w:r>
      <w:r>
        <w:rPr>
          <w:rFonts w:ascii="宋体" w:hAnsi="宋体" w:cs="宋体"/>
          <w:sz w:val="22"/>
          <w:szCs w:val="21"/>
        </w:rPr>
        <w:t xml:space="preserve">。</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本项目合同金额的确定，将以审计部门出具的最终审定价进行最终结算。</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第三条组成本合同的有关文件</w:t>
      </w:r>
      <w:r/>
    </w:p>
    <w:p>
      <w:pPr>
        <w:jc w:val="left"/>
        <w:spacing w:before="123" w:line="360" w:lineRule="auto"/>
        <w:widowControl/>
        <w:rPr>
          <w:rFonts w:hint="eastAsia" w:ascii="宋体" w:hAnsi="宋体" w:cs="宋体"/>
          <w:sz w:val="22"/>
          <w:szCs w:val="21"/>
        </w:rPr>
      </w:pPr>
      <w:r>
        <w:rPr>
          <w:rFonts w:ascii="宋体" w:hAnsi="宋体" w:cs="宋体"/>
          <w:sz w:val="22"/>
          <w:szCs w:val="21"/>
        </w:rPr>
        <w:t xml:space="preserve">3.1招标文件和有关附件是本合同不可分割的组成部分，与本合同具有同等法律效力。</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3.2乙方在投标</w:t>
      </w:r>
      <w:r>
        <w:rPr>
          <w:rFonts w:hint="eastAsia" w:ascii="宋体" w:hAnsi="宋体" w:cs="宋体"/>
          <w:sz w:val="22"/>
          <w:szCs w:val="21"/>
        </w:rPr>
        <w:t xml:space="preserve">后</w:t>
      </w:r>
      <w:r>
        <w:rPr>
          <w:rFonts w:ascii="宋体" w:hAnsi="宋体" w:cs="宋体"/>
          <w:sz w:val="22"/>
          <w:szCs w:val="21"/>
        </w:rPr>
        <w:t xml:space="preserve">对招标人提供</w:t>
      </w:r>
      <w:r>
        <w:rPr>
          <w:rFonts w:hint="eastAsia" w:ascii="宋体" w:hAnsi="宋体" w:cs="宋体"/>
          <w:sz w:val="22"/>
          <w:szCs w:val="21"/>
          <w:lang w:val="en-US" w:eastAsia="zh-CN"/>
        </w:rPr>
        <w:t xml:space="preserve">货物</w:t>
      </w:r>
      <w:r>
        <w:rPr>
          <w:rFonts w:ascii="宋体" w:hAnsi="宋体" w:cs="宋体"/>
          <w:sz w:val="22"/>
          <w:szCs w:val="21"/>
        </w:rPr>
        <w:t xml:space="preserve">清单进行复核确认，如</w:t>
      </w:r>
      <w:r>
        <w:rPr>
          <w:rFonts w:hint="eastAsia" w:ascii="宋体" w:hAnsi="宋体" w:cs="宋体"/>
          <w:sz w:val="22"/>
          <w:szCs w:val="21"/>
        </w:rPr>
        <w:t xml:space="preserve">未</w:t>
      </w:r>
      <w:r>
        <w:rPr>
          <w:rFonts w:ascii="宋体" w:hAnsi="宋体" w:cs="宋体"/>
          <w:sz w:val="22"/>
          <w:szCs w:val="21"/>
        </w:rPr>
        <w:t xml:space="preserve">完全实现项目的使用功能，增加的</w:t>
      </w:r>
      <w:r>
        <w:rPr>
          <w:rFonts w:hint="eastAsia" w:ascii="宋体" w:hAnsi="宋体" w:cs="宋体"/>
          <w:sz w:val="22"/>
          <w:szCs w:val="21"/>
        </w:rPr>
        <w:t xml:space="preserve">工作量</w:t>
      </w:r>
      <w:r>
        <w:rPr>
          <w:rFonts w:ascii="宋体" w:hAnsi="宋体" w:cs="宋体"/>
          <w:sz w:val="22"/>
          <w:szCs w:val="21"/>
        </w:rPr>
        <w:t xml:space="preserve">，视为乙方对甲方的优惠，结算时一律不予增加相关费用。</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第四条权利保证</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4.1乙方应保证为甲方提供货物和服务任何一部分时，不受第三方提出侵犯其专利权、版权、商标权或其他权利的起诉。一旦出现侵权，乙方应承担全部责任。</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4.2</w:t>
      </w:r>
      <w:r>
        <w:rPr>
          <w:rFonts w:ascii="宋体" w:hAnsi="宋体" w:cs="宋体"/>
          <w:sz w:val="22"/>
          <w:szCs w:val="21"/>
        </w:rPr>
        <w:t xml:space="preserve">乙方保证产品</w:t>
      </w:r>
      <w:r>
        <w:rPr>
          <w:rFonts w:hint="eastAsia" w:ascii="宋体" w:hAnsi="宋体" w:cs="宋体"/>
          <w:sz w:val="22"/>
          <w:szCs w:val="21"/>
        </w:rPr>
        <w:t xml:space="preserve">、</w:t>
      </w:r>
      <w:r>
        <w:rPr>
          <w:rFonts w:ascii="宋体" w:hAnsi="宋体" w:cs="宋体"/>
          <w:sz w:val="22"/>
          <w:szCs w:val="21"/>
        </w:rPr>
        <w:t xml:space="preserve">服务完全符合甲方需要，绝无设计、制作及材料瑕疵，并具备约定之品质。</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4.3</w:t>
      </w:r>
      <w:r>
        <w:rPr>
          <w:rFonts w:ascii="宋体" w:hAnsi="宋体" w:cs="宋体"/>
          <w:sz w:val="22"/>
          <w:szCs w:val="21"/>
        </w:rPr>
        <w:t xml:space="preserve">如乙方提供产品</w:t>
      </w:r>
      <w:r>
        <w:rPr>
          <w:rFonts w:hint="eastAsia" w:ascii="宋体" w:hAnsi="宋体" w:cs="宋体"/>
          <w:sz w:val="22"/>
          <w:szCs w:val="21"/>
        </w:rPr>
        <w:t xml:space="preserve">、</w:t>
      </w:r>
      <w:r>
        <w:rPr>
          <w:rFonts w:ascii="宋体" w:hAnsi="宋体" w:cs="宋体"/>
          <w:sz w:val="22"/>
          <w:szCs w:val="21"/>
        </w:rPr>
        <w:t xml:space="preserve">服务不合格而需另行交付物品</w:t>
      </w:r>
      <w:r>
        <w:rPr>
          <w:rFonts w:hint="eastAsia" w:ascii="宋体" w:hAnsi="宋体" w:cs="宋体"/>
          <w:sz w:val="22"/>
          <w:szCs w:val="21"/>
        </w:rPr>
        <w:t xml:space="preserve">、</w:t>
      </w:r>
      <w:r>
        <w:rPr>
          <w:rFonts w:ascii="宋体" w:hAnsi="宋体" w:cs="宋体"/>
          <w:sz w:val="22"/>
          <w:szCs w:val="21"/>
        </w:rPr>
        <w:t xml:space="preserve">服务的，乙方应负担所发生之一切费用，另行交付物品亦负本条担保责任。</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4.4</w:t>
      </w:r>
      <w:r>
        <w:rPr>
          <w:rFonts w:ascii="宋体" w:hAnsi="宋体" w:cs="宋体"/>
          <w:sz w:val="22"/>
          <w:szCs w:val="21"/>
        </w:rPr>
        <w:t xml:space="preserve">乙方担保提供的产品或其它从物等绝无侵害他人专利权、著作权、商标权、商业秘密及其它知识产权之事由。</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4.5</w:t>
      </w:r>
      <w:r>
        <w:rPr>
          <w:rFonts w:ascii="宋体" w:hAnsi="宋体" w:cs="宋体"/>
          <w:sz w:val="22"/>
          <w:szCs w:val="21"/>
        </w:rPr>
        <w:t xml:space="preserve">乙方担保产品</w:t>
      </w:r>
      <w:r>
        <w:rPr>
          <w:rFonts w:hint="eastAsia" w:ascii="宋体" w:hAnsi="宋体" w:cs="宋体"/>
          <w:sz w:val="22"/>
          <w:szCs w:val="21"/>
        </w:rPr>
        <w:t xml:space="preserve">、</w:t>
      </w:r>
      <w:r>
        <w:rPr>
          <w:rFonts w:ascii="宋体" w:hAnsi="宋体" w:cs="宋体"/>
          <w:sz w:val="22"/>
          <w:szCs w:val="21"/>
        </w:rPr>
        <w:t xml:space="preserve">服务无安全或卫生上</w:t>
      </w:r>
      <w:r>
        <w:rPr>
          <w:rFonts w:hint="eastAsia" w:ascii="宋体" w:hAnsi="宋体" w:cs="宋体"/>
          <w:sz w:val="22"/>
          <w:szCs w:val="21"/>
          <w:lang w:val="en-US" w:eastAsia="zh-CN"/>
        </w:rPr>
        <w:t xml:space="preserve">的</w:t>
      </w:r>
      <w:r>
        <w:rPr>
          <w:rFonts w:ascii="宋体" w:hAnsi="宋体" w:cs="宋体"/>
          <w:sz w:val="22"/>
          <w:szCs w:val="21"/>
        </w:rPr>
        <w:t xml:space="preserve">危险。</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乙方违反本条之约定，导致甲方损失的，乙方应当予以承担；如致第三人向甲方主张任何权利时，甲方可暂停支付货款，且乙方应立即出面负责解决，并应赔偿甲方因此所受之损害，包括但不限于：赔偿费、权利金、诉讼费、律师费、交通等费用。</w:t>
      </w:r>
      <w:r/>
    </w:p>
    <w:p>
      <w:pPr>
        <w:ind w:firstLine="440"/>
        <w:jc w:val="left"/>
        <w:spacing w:before="161" w:line="360" w:lineRule="auto"/>
        <w:widowControl/>
        <w:rPr>
          <w:rFonts w:hint="eastAsia" w:ascii="宋体" w:hAnsi="宋体" w:cs="宋体"/>
          <w:sz w:val="22"/>
          <w:szCs w:val="21"/>
        </w:rPr>
      </w:pPr>
      <w:r>
        <w:rPr>
          <w:rFonts w:ascii="宋体" w:hAnsi="宋体" w:cs="宋体"/>
          <w:sz w:val="22"/>
          <w:szCs w:val="21"/>
        </w:rPr>
        <w:t xml:space="preserve">第五条质量保证</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5.1乙方提供的产品、服务必须达到采购文件各项要求，国家或行业规定的，还要符合甲方相应规定。质量保证期为终验验收合格后</w:t>
      </w:r>
      <w:r>
        <w:rPr>
          <w:rFonts w:hint="eastAsia" w:ascii="宋体" w:hAnsi="宋体" w:cs="宋体"/>
          <w:sz w:val="22"/>
          <w:szCs w:val="21"/>
        </w:rPr>
        <w:t xml:space="preserve">的</w:t>
      </w:r>
      <w:r>
        <w:rPr>
          <w:rFonts w:ascii="宋体" w:hAnsi="宋体" w:cs="宋体"/>
          <w:sz w:val="22"/>
          <w:szCs w:val="21"/>
        </w:rPr>
        <w:t xml:space="preserve">十二</w:t>
      </w:r>
      <w:r>
        <w:rPr>
          <w:rFonts w:ascii="宋体" w:hAnsi="宋体" w:cs="宋体"/>
          <w:sz w:val="22"/>
          <w:szCs w:val="21"/>
        </w:rPr>
        <w:t xml:space="preserve">个月。</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5.2在质量保修期内，除责任事故外，货物实行“三包”，免费质量保修期为</w:t>
      </w:r>
      <w:r>
        <w:rPr>
          <w:rFonts w:ascii="宋体" w:hAnsi="宋体" w:cs="宋体"/>
          <w:sz w:val="22"/>
          <w:szCs w:val="21"/>
        </w:rPr>
        <w:t xml:space="preserve">一</w:t>
      </w:r>
      <w:r>
        <w:rPr>
          <w:rFonts w:ascii="宋体" w:hAnsi="宋体" w:cs="宋体"/>
          <w:sz w:val="22"/>
          <w:szCs w:val="21"/>
        </w:rPr>
        <w:t xml:space="preserve">年(产品属于国家规定“三包”范围的，其产品的质量保证期不得低于“三包”规定。乙方的质量保证期承诺优于国家“三包”规定的，按乙方实际承诺执行)；乙方对货物出现的各类故障应及时提供免费维护服务，对非人为破坏造成的零部件损坏，应及时免费更换。</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5.3所有货物、器材、材料及配件，必须是</w:t>
      </w:r>
      <w:r>
        <w:rPr>
          <w:rFonts w:hint="eastAsia" w:ascii="宋体" w:hAnsi="宋体" w:cs="宋体"/>
          <w:sz w:val="22"/>
          <w:szCs w:val="21"/>
        </w:rPr>
        <w:t xml:space="preserve">合格品以上</w:t>
      </w:r>
      <w:r>
        <w:rPr>
          <w:rFonts w:ascii="宋体" w:hAnsi="宋体" w:cs="宋体"/>
          <w:sz w:val="22"/>
          <w:szCs w:val="21"/>
        </w:rPr>
        <w:t xml:space="preserve">，要求有厂家出具的质量合格证（或权威部门检测报告）和证明书。</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5.4在质量保修期内，如发现乙方提供的货物有缺陷，不符合合同规定时，则甲方有权向乙方提出索赔。乙方在接到甲方索赔文件后，应立即修复或更换货物，最长不超过两周，并承担由此产生的货物费、安装费（含运费）、保险费等一切费用和按合同有关条款的规定进行赔偿。</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5.5为甲方的技术人员、操作人员及维护保养人员免费提供技术培训，并免费提供详细的培训资料。</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5.6为了保证项目的质量，提高投资经济效益，乙方可对本项目设计不合理的部分做优化设计，但优化方案和价格均需征得甲方同意和认可。</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5.7货物供应到现场后，经甲方验收合格后，方可安装。甲方有权取样送检，如检测不合格，乙方应无条件退场，乙方承担一切经济损失和检测费用。</w:t>
      </w:r>
      <w:r/>
    </w:p>
    <w:p>
      <w:pPr>
        <w:jc w:val="left"/>
        <w:spacing w:before="162" w:line="360" w:lineRule="auto"/>
        <w:widowControl/>
        <w:rPr>
          <w:rFonts w:hint="eastAsia" w:ascii="宋体" w:hAnsi="宋体" w:cs="宋体"/>
          <w:sz w:val="22"/>
          <w:szCs w:val="21"/>
        </w:rPr>
      </w:pPr>
      <w:r>
        <w:rPr>
          <w:rFonts w:ascii="宋体" w:hAnsi="宋体" w:cs="宋体"/>
          <w:sz w:val="22"/>
          <w:szCs w:val="21"/>
        </w:rPr>
        <w:t xml:space="preserve">5.8乙方免费派遣有工作经验、身体健康和称职的技术人员到现场提供技术服务，并安排甲方技术人员、操作人员及维护保养人员在货物运行地点、安装和调试现场进行技术培训（包括操作、保养、维护等）。</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5.9乙方在接到甲方书面通知之日起三日内，派有关技术人员勘测本合同项目的货物安装现场并将相关技术文件提供给甲方。</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知识产权和保密条款</w:t>
      </w:r>
      <w:r>
        <w:rPr>
          <w:rFonts w:hint="eastAsia" w:ascii="宋体" w:hAnsi="宋体" w:cs="宋体"/>
          <w:sz w:val="22"/>
          <w:szCs w:val="21"/>
        </w:rPr>
        <w:t xml:space="preserve">：</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甲方提供的产品图纸、图样、图形及产品LOGO等，其相关知识产权均属于甲方，乙方可按照本合同约定及甲方要求进行使用。</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乙方应保证甲方在使用本采购合同项下的货物或其任何一部分时，免受第三方提出的侵犯其商标权、工业设计权、专有技术、商业秘密等知识产权或其他任何权利的起诉。</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（3）</w:t>
      </w:r>
      <w:r>
        <w:rPr>
          <w:rFonts w:ascii="宋体" w:hAnsi="宋体" w:cs="宋体"/>
          <w:sz w:val="22"/>
          <w:szCs w:val="21"/>
        </w:rPr>
        <w:t xml:space="preserve"> 乙方应保证提供货物的商标、专利等知识产权归乙方所有，对于非乙方所有知识产权的货物，乙方有义务提供给甲方正规渠道证明。</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（4</w:t>
      </w:r>
      <w:r>
        <w:rPr>
          <w:rFonts w:ascii="宋体" w:hAnsi="宋体" w:cs="宋体"/>
          <w:sz w:val="22"/>
          <w:szCs w:val="21"/>
        </w:rPr>
        <w:t xml:space="preserve">）甲方不对乙方提供的货物的商标、专利是否侵犯他人的权利负责，如因乙方提供货物引发争议或违法导致甲方受损的，乙方应赔偿。如致第三人向甲方主张任何权利时</w:t>
      </w:r>
      <w:r>
        <w:rPr>
          <w:rFonts w:hint="eastAsia" w:ascii="宋体" w:hAnsi="宋体" w:cs="宋体"/>
          <w:sz w:val="22"/>
          <w:szCs w:val="21"/>
        </w:rPr>
        <w:t xml:space="preserve">造成设备不可使用</w:t>
      </w:r>
      <w:r>
        <w:rPr>
          <w:rFonts w:ascii="宋体" w:hAnsi="宋体" w:cs="宋体"/>
          <w:sz w:val="22"/>
          <w:szCs w:val="21"/>
        </w:rPr>
        <w:t xml:space="preserve">，甲方可暂停支付货款，且乙方应立即出面负责解决，并应赔偿甲方因此所受之损害，包括但不限于：赔偿费、权利金、诉讼费、律师费、交通等费用。</w:t>
      </w:r>
      <w:r>
        <w:rPr>
          <w:rFonts w:hint="eastAsia" w:ascii="宋体" w:hAnsi="宋体" w:cs="宋体"/>
          <w:sz w:val="22"/>
          <w:szCs w:val="21"/>
        </w:rPr>
        <w:t xml:space="preserve"> </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（5）</w:t>
      </w:r>
      <w:r>
        <w:rPr>
          <w:rFonts w:ascii="宋体" w:hAnsi="宋体" w:cs="宋体"/>
          <w:sz w:val="22"/>
          <w:szCs w:val="21"/>
        </w:rPr>
        <w:t xml:space="preserve">甲乙双方应对因履行本合同知悉的对方的</w:t>
      </w:r>
      <w:r>
        <w:rPr>
          <w:rFonts w:hint="eastAsia" w:ascii="宋体" w:hAnsi="宋体" w:cs="宋体"/>
          <w:sz w:val="22"/>
          <w:szCs w:val="21"/>
        </w:rPr>
        <w:t xml:space="preserve">对方未公开的</w:t>
      </w:r>
      <w:r>
        <w:rPr>
          <w:rFonts w:ascii="宋体" w:hAnsi="宋体" w:cs="宋体"/>
          <w:sz w:val="22"/>
          <w:szCs w:val="21"/>
        </w:rPr>
        <w:t xml:space="preserve">信息予以保密。</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甲乙双方承诺仅为本合同目的使用保密信息，不得以未经对方书面同意的方式使用保密信息。甲乙双方应对保密信息采取合理、谨慎的措施予以妥善保存，不得复制或仿造或向任何第三方（包括媒体）公开、披露该保密信息，并应像保护自己的商业秘密一样合理、谨慎地对该类信息采取保密措施，且任何情形下该等保护措施不得低于合理程度。</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（7）</w:t>
      </w:r>
      <w:r>
        <w:rPr>
          <w:rFonts w:ascii="宋体" w:hAnsi="宋体" w:cs="宋体"/>
          <w:sz w:val="22"/>
          <w:szCs w:val="21"/>
        </w:rPr>
        <w:t xml:space="preserve">甲乙双方仅可将保密信息披露给其有必要参与合同履行的员工，前提是在员工知悉保密信息前，应要求该员工签署书面保密承诺，保证该员工承担了不低于本合同约定的保密义务。</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（8）</w:t>
      </w:r>
      <w:r>
        <w:rPr>
          <w:rFonts w:ascii="宋体" w:hAnsi="宋体" w:cs="宋体"/>
          <w:sz w:val="22"/>
          <w:szCs w:val="21"/>
        </w:rPr>
        <w:t xml:space="preserve">应对方要求，另一方应在5日内将含有保密信息的资料、文件及其他信息载体归还给对方，或者按照对方的指示予以销毁并提供相应的销毁证明。上述行为并不免除双方的保密义务。</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（9）</w:t>
      </w:r>
      <w:r>
        <w:rPr>
          <w:rFonts w:ascii="宋体" w:hAnsi="宋体" w:cs="宋体"/>
          <w:sz w:val="22"/>
          <w:szCs w:val="21"/>
        </w:rPr>
        <w:t xml:space="preserve">双方的保密义务自接收</w:t>
      </w:r>
      <w:r>
        <w:rPr>
          <w:rFonts w:hint="eastAsia" w:ascii="宋体" w:hAnsi="宋体" w:cs="宋体"/>
          <w:sz w:val="22"/>
          <w:szCs w:val="21"/>
        </w:rPr>
        <w:t xml:space="preserve">未公开的</w:t>
      </w:r>
      <w:r>
        <w:rPr>
          <w:rFonts w:ascii="宋体" w:hAnsi="宋体" w:cs="宋体"/>
          <w:sz w:val="22"/>
          <w:szCs w:val="21"/>
        </w:rPr>
        <w:t xml:space="preserve">信息之日起，至</w:t>
      </w:r>
      <w:r>
        <w:rPr>
          <w:rFonts w:hint="eastAsia" w:ascii="宋体" w:hAnsi="宋体" w:cs="宋体"/>
          <w:sz w:val="22"/>
          <w:szCs w:val="21"/>
        </w:rPr>
        <w:t xml:space="preserve">未公开的信息</w:t>
      </w:r>
      <w:r>
        <w:rPr>
          <w:rFonts w:ascii="宋体" w:hAnsi="宋体" w:cs="宋体"/>
          <w:sz w:val="22"/>
          <w:szCs w:val="21"/>
        </w:rPr>
        <w:t xml:space="preserve">被合法公开为止。</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（10）</w:t>
      </w:r>
      <w:r>
        <w:rPr>
          <w:rFonts w:ascii="宋体" w:hAnsi="宋体" w:cs="宋体"/>
          <w:sz w:val="22"/>
          <w:szCs w:val="21"/>
        </w:rPr>
        <w:t xml:space="preserve">一方违反本条约定的，应赔偿由此给对方造成的损失。该损失包括但不限于实际损失、诉讼费、律师费、调查取证费等。</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产品的技术标准（包含质量要求）</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乙方产品应符合国家、地方相关法律法规及行业标准规定的性能、质量标准以及甲乙双方约定的技术标准等要求（前述标准不一致的，以标准较高者或甲方选择为准）；符合产品说明书、随机手册及乙方在产品介绍中和本合同及其他附录、附件、资料中承诺的质量及标准；符合产品应具有的通用性能；符合国家环境保护方面的法律法规、规章及国家、行业标准。如果有测试样品，乙方保证产品品质不低于前述标准及测试样品的品质。</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产品的包装标准和包装物的供应与回收</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乙方对提供的产品应按国家、国际惯例等保护措施的标准进行包装，包装不符合标准或约定或相关法律法规，产品造成毁损灭失或其他后果的，由乙方承担相应的风险。</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包装物上须施加合格的货物标签，表明品名、规格、包装量、生产日期、批号、制造商名称、产品标准标识、检验状态等信息。</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（3）</w:t>
      </w:r>
      <w:r>
        <w:rPr>
          <w:rFonts w:ascii="宋体" w:hAnsi="宋体" w:cs="宋体"/>
          <w:sz w:val="22"/>
          <w:szCs w:val="21"/>
        </w:rPr>
        <w:t xml:space="preserve">乙方负责提供包装物，并负责处理、回收等工作。</w:t>
      </w:r>
      <w:r/>
    </w:p>
    <w:p>
      <w:pPr>
        <w:ind w:firstLine="440"/>
        <w:jc w:val="left"/>
        <w:spacing w:before="123" w:line="360" w:lineRule="auto"/>
        <w:widowControl/>
        <w:rPr>
          <w:rFonts w:hint="eastAsia" w:ascii="宋体" w:hAnsi="宋体" w:cs="宋体"/>
          <w:sz w:val="22"/>
          <w:szCs w:val="21"/>
        </w:rPr>
      </w:pPr>
      <w:r>
        <w:rPr>
          <w:rFonts w:ascii="宋体" w:hAnsi="宋体" w:cs="宋体"/>
          <w:sz w:val="22"/>
          <w:szCs w:val="21"/>
        </w:rPr>
        <w:t xml:space="preserve">第六条交付使用、安装及验收</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.交货时间、地方及方式</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1交货时间：合同签订生效后</w:t>
      </w:r>
      <w:r>
        <w:rPr>
          <w:rFonts w:hint="eastAsia" w:ascii="宋体" w:hAnsi="宋体" w:cs="宋体"/>
          <w:sz w:val="22"/>
          <w:szCs w:val="21"/>
          <w:u w:val="single"/>
        </w:rPr>
        <w:t xml:space="preserve">      </w:t>
      </w:r>
      <w:r>
        <w:rPr>
          <w:rFonts w:ascii="宋体" w:hAnsi="宋体" w:cs="宋体"/>
          <w:sz w:val="22"/>
          <w:szCs w:val="21"/>
        </w:rPr>
        <w:t xml:space="preserve">日</w:t>
      </w:r>
      <w:r>
        <w:rPr>
          <w:rFonts w:hint="eastAsia" w:ascii="宋体" w:hAnsi="宋体" w:cs="宋体"/>
          <w:sz w:val="22"/>
          <w:szCs w:val="21"/>
        </w:rPr>
        <w:t xml:space="preserve">交货，并于   年   月   日前调试完毕，向甲方交付合格且能正常运行的设备。</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2交货地点：</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.3交货方式：本合同项下的产品由乙方送至甲方指定的交货地点</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.4乙方每批发货应包括一份载明产品明细和所有订购产品清单的装箱单或送货单</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运输方式、费用及风险承担</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乙方负责将合同项下产品运送至甲方指定的交货地点，并承担运费及其他杂费。</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产品在途运输过程中，发生毁损灭失或其他后果的，由乙方承担相应风险，因乙方原因造成的，不免除乙方应承担的违约责任。</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5</w:t>
      </w:r>
      <w:r>
        <w:rPr>
          <w:rFonts w:ascii="宋体" w:hAnsi="宋体" w:cs="宋体"/>
          <w:sz w:val="22"/>
          <w:szCs w:val="21"/>
        </w:rPr>
        <w:t xml:space="preserve">乙方应当在合同签订后根据项目进度完成采购文件规定的项目并交付甲方使用。采购文件有约定的，从其约定。</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6</w:t>
      </w:r>
      <w:r>
        <w:rPr>
          <w:rFonts w:ascii="宋体" w:hAnsi="宋体" w:cs="宋体"/>
          <w:sz w:val="22"/>
          <w:szCs w:val="21"/>
        </w:rPr>
        <w:t xml:space="preserve">甲方于</w:t>
      </w:r>
      <w:r>
        <w:rPr>
          <w:rFonts w:hint="eastAsia" w:ascii="宋体" w:hAnsi="宋体" w:cs="宋体"/>
          <w:sz w:val="22"/>
          <w:szCs w:val="21"/>
        </w:rPr>
        <w:t xml:space="preserve">乙方</w:t>
      </w:r>
      <w:r>
        <w:rPr>
          <w:rFonts w:ascii="宋体" w:hAnsi="宋体" w:cs="宋体"/>
          <w:sz w:val="22"/>
          <w:szCs w:val="21"/>
        </w:rPr>
        <w:t xml:space="preserve">安装完毕后待现场符合验收条件时自行组织或视情邀请相关专家或国家认可的质量检测机构参加验收。</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7</w:t>
      </w:r>
      <w:r>
        <w:rPr>
          <w:rFonts w:ascii="宋体" w:hAnsi="宋体" w:cs="宋体"/>
          <w:sz w:val="22"/>
          <w:szCs w:val="21"/>
        </w:rPr>
        <w:t xml:space="preserve">在交货前，乙方应对货物的质量、性能、规格型号、技术要求、品牌、数量等进行详细而全面的检验，并出具一份能说明货物符合合同规定的证明。</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8</w:t>
      </w:r>
      <w:r>
        <w:rPr>
          <w:rFonts w:ascii="宋体" w:hAnsi="宋体" w:cs="宋体"/>
          <w:sz w:val="22"/>
          <w:szCs w:val="21"/>
        </w:rPr>
        <w:t xml:space="preserve">货物运抵现场后，甲方将对货物的质量、性能</w:t>
      </w:r>
      <w:r>
        <w:rPr>
          <w:rFonts w:ascii="宋体" w:hAnsi="宋体" w:cs="宋体"/>
          <w:sz w:val="22"/>
          <w:szCs w:val="21"/>
        </w:rPr>
        <w:t xml:space="preserve">、规格型号、技术要求、品牌、数量等进行初步检验（或取样送检），如发现货物的质量、性能、规格型号、技术要求、品牌、数量等与招标文件要求及投标承诺、国家现行的相关规范标准及有关部门最新颁布的相应的最新标准不符时（或检测不合格时），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9</w:t>
      </w:r>
      <w:r>
        <w:rPr>
          <w:rFonts w:ascii="宋体" w:hAnsi="宋体" w:cs="宋体"/>
          <w:sz w:val="22"/>
          <w:szCs w:val="21"/>
        </w:rPr>
        <w:t xml:space="preserve">货物到现场，甲方如认为质量不合格，可委托具备该货物检测能力的检测机构对其质量进行检测。</w:t>
      </w:r>
      <w:r>
        <w:rPr>
          <w:rFonts w:hint="eastAsia" w:ascii="宋体" w:hAnsi="宋体" w:cs="宋体"/>
          <w:sz w:val="22"/>
          <w:szCs w:val="21"/>
        </w:rPr>
        <w:t xml:space="preserve">检测费用由乙方承担，</w:t>
      </w:r>
      <w:r>
        <w:rPr>
          <w:rFonts w:ascii="宋体" w:hAnsi="宋体" w:cs="宋体"/>
          <w:sz w:val="22"/>
          <w:szCs w:val="21"/>
        </w:rPr>
        <w:t xml:space="preserve">如检测结果不合格，同时乙方承担本合同规定的其他责任。</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10</w:t>
      </w:r>
      <w:r>
        <w:rPr>
          <w:rFonts w:ascii="宋体" w:hAnsi="宋体" w:cs="宋体"/>
          <w:sz w:val="22"/>
          <w:szCs w:val="21"/>
        </w:rPr>
        <w:t xml:space="preserve">货物的最终验收待项目安装、调试完毕，由甲方组织有关单位和部门共同负责验收工作。</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11</w:t>
      </w:r>
      <w:r>
        <w:rPr>
          <w:rFonts w:ascii="宋体" w:hAnsi="宋体" w:cs="宋体"/>
          <w:sz w:val="22"/>
          <w:szCs w:val="21"/>
        </w:rPr>
        <w:t xml:space="preserve">验收标准：按招标文件要求及投标承诺、国家现行的相关规范标准及有关部门最新颁布的相应的最新标准执行。质量达到设计技术要求，安装、调试各项指标符合技术要求并通过相关部门的检验。</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初验及试运行：安装、调试完毕后，乙方应对货物的整体性能和功能进行自检，自检结果必须符合招标文件要求及投标承诺、国家现行的相关规范标准及有关部门最新颁布的相应的最新标准及合同中的相关条款。终验：货物试运行结束后，乙方应向甲方提交试运行记录</w:t>
      </w:r>
      <w:r>
        <w:rPr>
          <w:rFonts w:hint="eastAsia" w:ascii="宋体" w:hAnsi="宋体" w:cs="宋体"/>
          <w:sz w:val="22"/>
          <w:szCs w:val="21"/>
        </w:rPr>
        <w:t xml:space="preserve">，设备调试合格运行一周无故障</w:t>
      </w:r>
      <w:r>
        <w:rPr>
          <w:rFonts w:ascii="宋体" w:hAnsi="宋体" w:cs="宋体"/>
          <w:sz w:val="22"/>
          <w:szCs w:val="21"/>
        </w:rPr>
        <w:t xml:space="preserve">。如试运行期货物运行正常，达到甲方要求，则</w:t>
      </w:r>
      <w:r>
        <w:rPr>
          <w:rFonts w:hint="eastAsia" w:ascii="宋体" w:hAnsi="宋体" w:cs="宋体"/>
          <w:sz w:val="22"/>
          <w:szCs w:val="21"/>
        </w:rPr>
        <w:t xml:space="preserve">甲</w:t>
      </w:r>
      <w:r>
        <w:rPr>
          <w:rFonts w:ascii="宋体" w:hAnsi="宋体" w:cs="宋体"/>
          <w:sz w:val="22"/>
          <w:szCs w:val="21"/>
        </w:rPr>
        <w:t xml:space="preserve">方在试运行期后组织验收。</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12</w:t>
      </w:r>
      <w:r>
        <w:rPr>
          <w:rFonts w:ascii="宋体" w:hAnsi="宋体" w:cs="宋体"/>
          <w:sz w:val="22"/>
          <w:szCs w:val="21"/>
        </w:rPr>
        <w:t xml:space="preserve">安装、调试完毕后，</w:t>
      </w:r>
      <w:r>
        <w:rPr>
          <w:rFonts w:hint="eastAsia" w:ascii="宋体" w:hAnsi="宋体" w:cs="宋体"/>
          <w:sz w:val="22"/>
          <w:szCs w:val="21"/>
        </w:rPr>
        <w:t xml:space="preserve">乙方</w:t>
      </w:r>
      <w:r>
        <w:rPr>
          <w:rFonts w:ascii="宋体" w:hAnsi="宋体" w:cs="宋体"/>
          <w:sz w:val="22"/>
          <w:szCs w:val="21"/>
        </w:rPr>
        <w:t xml:space="preserve">提供安装、调试报告，报告中要有各项检测数据和详细的验收标准、验收手册，乙方无偿借用验收仪器。</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13</w:t>
      </w:r>
      <w:r>
        <w:rPr>
          <w:rFonts w:ascii="宋体" w:hAnsi="宋体" w:cs="宋体"/>
          <w:sz w:val="22"/>
          <w:szCs w:val="21"/>
        </w:rPr>
        <w:t xml:space="preserve">乙方提供竣工资料的约定：乙方在竣工验收合格后15日内，向甲方提供竣工资料叁套（含电子</w:t>
      </w:r>
      <w:r>
        <w:rPr>
          <w:rFonts w:hint="eastAsia" w:ascii="宋体" w:hAnsi="宋体" w:cs="宋体"/>
          <w:sz w:val="22"/>
          <w:szCs w:val="21"/>
        </w:rPr>
        <w:t xml:space="preserve">U盘、</w:t>
      </w:r>
      <w:r>
        <w:rPr>
          <w:rFonts w:ascii="宋体" w:hAnsi="宋体" w:cs="宋体"/>
          <w:sz w:val="22"/>
          <w:szCs w:val="21"/>
        </w:rPr>
        <w:t xml:space="preserve">光盘）。</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注：乙方提供的书面竣工资料应能满足确保货物正常运行所需的运行、维护及管理有关的全套文件资料，乙方提供的技术文件资料至少应包括：</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（1）需求分析及设计文档；</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（2）相关技术解决方案；</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（3）测试报告；</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（4）用户使用手册；</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（5）货物运行维护手册；</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（6）标配</w:t>
      </w:r>
      <w:r>
        <w:rPr>
          <w:rFonts w:hint="eastAsia" w:ascii="宋体" w:hAnsi="宋体" w:cs="宋体"/>
          <w:sz w:val="22"/>
          <w:szCs w:val="21"/>
        </w:rPr>
        <w:t xml:space="preserve">U盘、</w:t>
      </w:r>
      <w:r>
        <w:rPr>
          <w:rFonts w:ascii="宋体" w:hAnsi="宋体" w:cs="宋体"/>
          <w:sz w:val="22"/>
          <w:szCs w:val="21"/>
        </w:rPr>
        <w:t xml:space="preserve">光盘；</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（7）要求的其他文件资料。</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所提供的竣工文件资料其内容必须与所提供的货物相一致，在甲、乙双方商定的某一时期内由于货物的修改而导致文件的任何修改，乙方均应按合同提供修改更正或补充的印刷文件。</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外观验收：到货后，甲方对产品的型号、规格、数量、外观质量和包装进行验收，如与合同约定不符，甲方可在外观验收后向乙方提出异议，要求乙方补货、换货。甲方要求乙方补货或换货的，在甲方未收到补发货物之前，甲方有权拒付这部分货物的货款。外观验收不等同于货物全面验收，甲方在异议内使用设备如发现质量问题的，乙方仍应当承担相应责任。</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质量验收：收货后，甲方经安装/调试使用，发现产品质量不符合合同约定的标准，甲方通知乙方维修、换货</w:t>
      </w:r>
      <w:r>
        <w:rPr>
          <w:rFonts w:hint="eastAsia" w:ascii="宋体" w:hAnsi="宋体" w:cs="宋体"/>
          <w:sz w:val="22"/>
          <w:szCs w:val="21"/>
        </w:rPr>
        <w:t xml:space="preserve">，</w:t>
      </w:r>
      <w:r>
        <w:rPr>
          <w:rFonts w:ascii="宋体" w:hAnsi="宋体" w:cs="宋体"/>
          <w:sz w:val="22"/>
          <w:szCs w:val="21"/>
        </w:rPr>
        <w:t xml:space="preserve">乙方在接到书面通知后</w:t>
      </w:r>
      <w:r>
        <w:rPr>
          <w:rFonts w:hint="eastAsia" w:ascii="宋体" w:hAnsi="宋体" w:cs="宋体"/>
          <w:sz w:val="22"/>
          <w:szCs w:val="21"/>
        </w:rPr>
        <w:t xml:space="preserve">10</w:t>
      </w:r>
      <w:r>
        <w:rPr>
          <w:rFonts w:ascii="宋体" w:hAnsi="宋体" w:cs="宋体"/>
          <w:sz w:val="22"/>
          <w:szCs w:val="21"/>
        </w:rPr>
        <w:t xml:space="preserve">日内应按甲方要求予以维修、换货。如乙方未能在本条规定的日期内维修、换货或退货，则视为逾期交货，乙方应当承担相应的违约责任。</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如果原材料(含包装)及直接生产(检测）用的设备被虫害污染，经质量部门调查评估后，视情况要求</w:t>
      </w:r>
      <w:r>
        <w:rPr>
          <w:rFonts w:hint="eastAsia" w:ascii="宋体" w:hAnsi="宋体" w:cs="宋体"/>
          <w:sz w:val="22"/>
          <w:szCs w:val="21"/>
        </w:rPr>
        <w:t xml:space="preserve">乙方</w:t>
      </w:r>
      <w:r>
        <w:rPr>
          <w:rFonts w:ascii="宋体" w:hAnsi="宋体" w:cs="宋体"/>
          <w:sz w:val="22"/>
          <w:szCs w:val="21"/>
        </w:rPr>
        <w:t xml:space="preserve">清除污染物、召回产品。</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第七条安装与调试</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7.1安装地点：</w:t>
      </w:r>
      <w:r>
        <w:rPr>
          <w:rFonts w:hint="eastAsia" w:ascii="宋体" w:hAnsi="宋体" w:cs="宋体"/>
          <w:sz w:val="22"/>
          <w:szCs w:val="21"/>
          <w:u w:val="single"/>
        </w:rPr>
        <w:t xml:space="preserve">   湖熟街道丹桂村      </w:t>
      </w:r>
      <w:r>
        <w:rPr>
          <w:rFonts w:ascii="宋体" w:hAnsi="宋体" w:cs="宋体"/>
          <w:sz w:val="22"/>
          <w:szCs w:val="21"/>
        </w:rPr>
        <w:t xml:space="preserve">。</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7.2安装人员：由乙方直接派相关人员组织安装。</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7.3乙方应在准备部署本货物1周前，向甲方提供安装、调试的进度计划表和安装作业措施计划</w:t>
      </w:r>
      <w:r>
        <w:rPr>
          <w:rFonts w:hint="eastAsia" w:ascii="宋体" w:hAnsi="宋体" w:cs="宋体"/>
          <w:sz w:val="22"/>
          <w:szCs w:val="21"/>
        </w:rPr>
        <w:t xml:space="preserve">经甲方同意后实施</w:t>
      </w:r>
      <w:r>
        <w:rPr>
          <w:rFonts w:ascii="宋体" w:hAnsi="宋体" w:cs="宋体"/>
          <w:sz w:val="22"/>
          <w:szCs w:val="21"/>
        </w:rPr>
        <w:t xml:space="preserve">。</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7.4安装、调试期间，乙方负责组织专业技术人员进行货物安装、调试，甲方将提供必</w:t>
      </w:r>
      <w:r>
        <w:rPr>
          <w:rFonts w:hint="eastAsia" w:ascii="宋体" w:hAnsi="宋体" w:cs="宋体"/>
          <w:sz w:val="22"/>
          <w:szCs w:val="21"/>
        </w:rPr>
        <w:t xml:space="preserve">要的协助</w:t>
      </w:r>
      <w:r>
        <w:rPr>
          <w:rFonts w:ascii="宋体" w:hAnsi="宋体" w:cs="宋体"/>
          <w:sz w:val="22"/>
          <w:szCs w:val="21"/>
        </w:rPr>
        <w:t xml:space="preserve">，保证各项安装工作顺利进行。</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7.5乙方负责货物的安装，承担与安装项目相关的一切费用（包括食宿等费用）。</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7.6安装完毕的货物及其环境应清理干净。</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7.7乙方详细进行技术交底，详细讲解图纸、工艺流程、操作规程、货物性能及有关注意事项等</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7.8乙方应保证所提供的货物、材料是完整的、全新的、未使用过的、技术上先进和成熟的、是用一流的工艺和</w:t>
      </w:r>
      <w:r>
        <w:rPr>
          <w:rFonts w:hint="eastAsia" w:ascii="宋体" w:hAnsi="宋体" w:cs="宋体"/>
          <w:sz w:val="22"/>
          <w:szCs w:val="21"/>
        </w:rPr>
        <w:t xml:space="preserve">优质</w:t>
      </w:r>
      <w:r>
        <w:rPr>
          <w:rFonts w:ascii="宋体" w:hAnsi="宋体" w:cs="宋体"/>
          <w:sz w:val="22"/>
          <w:szCs w:val="21"/>
        </w:rPr>
        <w:t xml:space="preserve">材料制造而成的，并完全符合招标文件要求及投标承诺、国家现行的相关规范标准、有关部门最新颁布的相应的最新标准及合同规定的质量、性能、规格型号、技术要求、品牌的要求。乙方应保证所提供的货物经正确安装、正常运行和保养在其使用寿命期内应具有满意的性能。在质量保修期乙方应对由于货物的工艺、材料和制造原因产生的缺陷而发生的任何不足或故障负责。</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7.9如果货物的质量、性能、规格型号、技术要求、品牌、数量等与合同不符，或在规定的质量保修期内证实货物是有缺陷的，包括潜在的缺陷或使用不符合要求的材料等，甲方应尽快以书面形式通知乙方，并提出索赔。</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7.10乙方须具备较高的售后服务能力，货物出现故障时，乙方须积极响应。在质量保修期内，乙方须建立24小时报修电话。如果出现质量、技术问题，甲方通过电话通知乙方，乙方接到报修电话后，派遣有经验的维修工程师到现场提供免费维修服务，并尽快修复故障。一般问题应在6小时内解决，重大故障应启动应急备用方案，最长不超过</w:t>
      </w:r>
      <w:r>
        <w:rPr>
          <w:rFonts w:hint="eastAsia" w:ascii="宋体" w:hAnsi="宋体" w:cs="宋体"/>
          <w:sz w:val="22"/>
          <w:szCs w:val="21"/>
        </w:rPr>
        <w:t xml:space="preserve">36</w:t>
      </w:r>
      <w:r>
        <w:rPr>
          <w:rFonts w:ascii="宋体" w:hAnsi="宋体" w:cs="宋体"/>
          <w:sz w:val="22"/>
          <w:szCs w:val="21"/>
        </w:rPr>
        <w:t xml:space="preserve">小时解决。</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注：在质量保修期内，乙方应免费向甲方提供所有货物维保的服务，在货物维保时，乙方应派遣专业技术人员到现场提供服务；在质量保修期满后，实行有偿终身上门维保，可合理收取相关费用（乙方和甲方将在双方的合作情况的基础上协商确定）。</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7.11乙方在竣工验收之前所有货物及材料的自行保护。乙方不得擅自外运任何置于工地现场或周转场地的货物及材料，否则由此造成的一切损失及后果均由乙方承担。</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7.12乙方在安装过程中必须确保安全，如造成各种人身伤害、财产损失或其他事故，均由乙方负责处理和经济赔偿，甲方不承担任何责任。</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7.13乙方进场后，必须服从甲方的统一调度和指挥。如出现不服从管理现象的，甲方将视情节轻重认定乙方是否违约，并根据情况要求乙方承担违约责任，支付违约金。</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第八条合同款支付</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8.1本合同项下所有款项均以人民币转账支付。</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8.2本合同项下的采购资金由甲方自行支付，乙方向甲方开具发票。</w:t>
      </w:r>
      <w:r/>
    </w:p>
    <w:p>
      <w:pPr>
        <w:ind w:left="660" w:hanging="660"/>
        <w:jc w:val="left"/>
        <w:spacing w:before="123" w:line="360" w:lineRule="auto"/>
        <w:widowControl/>
        <w:rPr>
          <w:rFonts w:hint="eastAsia" w:ascii="宋体" w:hAnsi="宋体" w:cs="宋体"/>
          <w:b/>
          <w:bCs/>
          <w:color w:val="auto"/>
          <w:sz w:val="22"/>
          <w:szCs w:val="21"/>
          <w:highlight w:val="none"/>
        </w:rPr>
      </w:pPr>
      <w:r>
        <w:rPr>
          <w:rFonts w:ascii="宋体" w:hAnsi="宋体" w:cs="宋体"/>
          <w:sz w:val="22"/>
          <w:szCs w:val="21"/>
        </w:rPr>
        <w:t xml:space="preserve">8.3付款</w:t>
      </w:r>
      <w:r>
        <w:rPr>
          <w:rFonts w:hint="eastAsia" w:ascii="宋体" w:hAnsi="宋体" w:cs="宋体"/>
          <w:sz w:val="22"/>
          <w:szCs w:val="21"/>
        </w:rPr>
        <w:t xml:space="preserve">进度</w:t>
      </w:r>
      <w:r>
        <w:rPr>
          <w:rFonts w:ascii="宋体" w:hAnsi="宋体" w:cs="宋体"/>
          <w:sz w:val="22"/>
          <w:szCs w:val="21"/>
        </w:rPr>
        <w:t xml:space="preserve">及时间：</w:t>
      </w:r>
      <w:r>
        <w:rPr>
          <w:sz w:val="22"/>
          <w:szCs w:val="21"/>
        </w:rPr>
        <w:t xml:space="preserve">​</w:t>
      </w:r>
      <w:r>
        <w:rPr>
          <w:rFonts w:ascii="宋体" w:hAnsi="宋体" w:cs="宋体"/>
          <w:sz w:val="22"/>
          <w:szCs w:val="21"/>
        </w:rPr>
        <w:br w:type="textWrapping" w:clear="all"/>
      </w:r>
      <w:r>
        <w:rPr>
          <w:rFonts w:hint="eastAsia" w:ascii="宋体" w:hAnsi="宋体" w:cs="宋体"/>
          <w:b/>
          <w:bCs/>
          <w:color w:val="auto"/>
          <w:sz w:val="22"/>
          <w:szCs w:val="21"/>
          <w:highlight w:val="none"/>
        </w:rPr>
        <w:t xml:space="preserve">合同标的物交付甲方正常使用并办理验收手续后支付合同价款的60%，经审计部门结算</w:t>
      </w:r>
      <w:r/>
    </w:p>
    <w:p>
      <w:pPr>
        <w:ind w:left="660" w:hanging="663"/>
        <w:jc w:val="left"/>
        <w:spacing w:before="123" w:line="360" w:lineRule="auto"/>
        <w:widowControl/>
        <w:rPr>
          <w:rFonts w:hint="eastAsia" w:ascii="宋体" w:hAnsi="宋体" w:cs="宋体"/>
          <w:sz w:val="22"/>
          <w:szCs w:val="21"/>
        </w:rPr>
      </w:pPr>
      <w:r>
        <w:rPr>
          <w:rFonts w:hint="eastAsia" w:ascii="宋体" w:hAnsi="宋体" w:cs="宋体"/>
          <w:b/>
          <w:bCs/>
          <w:color w:val="auto"/>
          <w:sz w:val="22"/>
          <w:szCs w:val="21"/>
          <w:highlight w:val="none"/>
        </w:rPr>
        <w:t xml:space="preserve">审计满半年后付清尾款。</w:t>
      </w:r>
      <w:r>
        <w:rPr>
          <w:rFonts w:hint="eastAsia" w:ascii="宋体" w:hAnsi="宋体" w:cs="宋体"/>
          <w:color w:val="ff0000"/>
          <w:sz w:val="22"/>
          <w:szCs w:val="21"/>
        </w:rPr>
        <w:br w:type="textWrapping" w:clear="all"/>
      </w:r>
      <w:r>
        <w:rPr>
          <w:rFonts w:ascii="宋体" w:hAnsi="宋体" w:cs="宋体"/>
          <w:sz w:val="22"/>
          <w:szCs w:val="21"/>
        </w:rPr>
        <w:t xml:space="preserve">第九条违约责任</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9.2如乙方不能交货的，乙方应向甲方支付合同总价的</w:t>
      </w:r>
      <w:r>
        <w:rPr>
          <w:rFonts w:hint="eastAsia" w:ascii="宋体" w:hAnsi="宋体" w:cs="宋体"/>
          <w:sz w:val="22"/>
          <w:szCs w:val="21"/>
        </w:rPr>
        <w:t xml:space="preserve">10</w:t>
      </w:r>
      <w:r>
        <w:rPr>
          <w:rFonts w:ascii="宋体" w:hAnsi="宋体" w:cs="宋体"/>
          <w:sz w:val="22"/>
          <w:szCs w:val="21"/>
        </w:rPr>
        <w:t xml:space="preserve">%</w:t>
      </w:r>
      <w:r>
        <w:rPr>
          <w:rFonts w:hint="eastAsia" w:ascii="宋体" w:hAnsi="宋体" w:cs="宋体"/>
          <w:sz w:val="22"/>
          <w:szCs w:val="21"/>
        </w:rPr>
        <w:t xml:space="preserve">作为</w:t>
      </w:r>
      <w:r>
        <w:rPr>
          <w:rFonts w:ascii="宋体" w:hAnsi="宋体" w:cs="宋体"/>
          <w:sz w:val="22"/>
          <w:szCs w:val="21"/>
        </w:rPr>
        <w:t xml:space="preserve">违约金。</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9.3乙方逾期交付的，每逾期1天，乙方向甲方偿付合同总价万分之三的违约金</w:t>
      </w:r>
      <w:r>
        <w:rPr>
          <w:rFonts w:hint="eastAsia" w:ascii="宋体" w:hAnsi="宋体" w:cs="宋体"/>
          <w:sz w:val="22"/>
          <w:szCs w:val="21"/>
        </w:rPr>
        <w:t xml:space="preserve">。</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若乙方有下列情形之一的，甲方有权解除合同并要求乙方承担合同价款</w:t>
      </w:r>
      <w:r>
        <w:rPr>
          <w:rFonts w:hint="eastAsia" w:ascii="宋体" w:hAnsi="宋体" w:cs="宋体"/>
          <w:sz w:val="22"/>
          <w:szCs w:val="21"/>
        </w:rPr>
        <w:t xml:space="preserve">10</w:t>
      </w:r>
      <w:r>
        <w:rPr>
          <w:rFonts w:ascii="宋体" w:hAnsi="宋体" w:cs="宋体"/>
          <w:sz w:val="22"/>
          <w:szCs w:val="21"/>
        </w:rPr>
        <w:t xml:space="preserve">%的违约金。甲方已经支付的费用，乙方应当予以退还；未支付的费用，不再支付：</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（1）不能交货</w:t>
      </w:r>
      <w:r>
        <w:rPr>
          <w:rFonts w:hint="eastAsia" w:ascii="宋体" w:hAnsi="宋体" w:cs="宋体"/>
          <w:sz w:val="22"/>
          <w:szCs w:val="21"/>
        </w:rPr>
        <w:t xml:space="preserve">或提供服务</w:t>
      </w:r>
      <w:r>
        <w:rPr>
          <w:rFonts w:ascii="宋体" w:hAnsi="宋体" w:cs="宋体"/>
          <w:sz w:val="22"/>
          <w:szCs w:val="21"/>
        </w:rPr>
        <w:t xml:space="preserve">的；</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（2）逾期交货</w:t>
      </w:r>
      <w:r>
        <w:rPr>
          <w:rFonts w:hint="eastAsia" w:ascii="宋体" w:hAnsi="宋体" w:cs="宋体"/>
          <w:sz w:val="22"/>
          <w:szCs w:val="21"/>
        </w:rPr>
        <w:t xml:space="preserve">或提供服务</w:t>
      </w:r>
      <w:r>
        <w:rPr>
          <w:rFonts w:ascii="宋体" w:hAnsi="宋体" w:cs="宋体"/>
          <w:sz w:val="22"/>
          <w:szCs w:val="21"/>
        </w:rPr>
        <w:t xml:space="preserve">达</w:t>
      </w:r>
      <w:r>
        <w:rPr>
          <w:rFonts w:hint="eastAsia" w:ascii="宋体" w:hAnsi="宋体" w:cs="宋体"/>
          <w:sz w:val="22"/>
          <w:szCs w:val="21"/>
          <w:u w:val="single"/>
        </w:rPr>
        <w:t xml:space="preserve">30</w:t>
      </w:r>
      <w:r>
        <w:rPr>
          <w:rFonts w:ascii="宋体" w:hAnsi="宋体" w:cs="宋体"/>
          <w:sz w:val="22"/>
          <w:szCs w:val="21"/>
        </w:rPr>
        <w:t xml:space="preserve">天的；</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（3）货物</w:t>
      </w:r>
      <w:r>
        <w:rPr>
          <w:rFonts w:hint="eastAsia" w:ascii="宋体" w:hAnsi="宋体" w:cs="宋体"/>
          <w:sz w:val="22"/>
          <w:szCs w:val="21"/>
        </w:rPr>
        <w:t xml:space="preserve">、服务</w:t>
      </w:r>
      <w:r>
        <w:rPr>
          <w:rFonts w:ascii="宋体" w:hAnsi="宋体" w:cs="宋体"/>
          <w:sz w:val="22"/>
          <w:szCs w:val="21"/>
        </w:rPr>
        <w:t xml:space="preserve">质量不符合合同约定，更换一次后仍不合格的；</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（4）乙方所交产品品种、型号、规格</w:t>
      </w:r>
      <w:r>
        <w:rPr>
          <w:rFonts w:hint="eastAsia" w:ascii="宋体" w:hAnsi="宋体" w:cs="宋体"/>
          <w:sz w:val="22"/>
          <w:szCs w:val="21"/>
        </w:rPr>
        <w:t xml:space="preserve">或提供服务</w:t>
      </w:r>
      <w:r>
        <w:rPr>
          <w:rFonts w:ascii="宋体" w:hAnsi="宋体" w:cs="宋体"/>
          <w:sz w:val="22"/>
          <w:szCs w:val="21"/>
        </w:rPr>
        <w:t xml:space="preserve">等不符合约定，甲方不同意使用的；</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（5）经调试后产品不能通过验收的；</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w:t>
      </w:r>
      <w:r>
        <w:rPr>
          <w:rFonts w:hint="eastAsia" w:ascii="宋体" w:hAnsi="宋体" w:cs="宋体"/>
          <w:sz w:val="22"/>
          <w:szCs w:val="21"/>
        </w:rPr>
        <w:t xml:space="preserve">6</w:t>
      </w:r>
      <w:r>
        <w:rPr>
          <w:rFonts w:ascii="宋体" w:hAnsi="宋体" w:cs="宋体"/>
          <w:sz w:val="22"/>
          <w:szCs w:val="21"/>
        </w:rPr>
        <w:t xml:space="preserve">）合同约定的或者其他应当解除合同的情形。</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当乙方违约时，甲方采取维权措施时所产生的费用，包括不限于调查费、诉讼费、律师费、交通费等有关的一切费用，由乙方承担。</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甲方违约的，应当赔偿由此给乙方造成的损失，但此损失不能超过甲方在订立合同时应当预见的损失。</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第十条合同的变更和终止</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10.1本合同一经签订，甲乙双方不得擅自变更、中止或终止合同。</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10.2除发生法律规定的不能预见、不能避免并不能克服的客观情况外，甲乙双方不得放弃或拒绝履行合同。</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第十一条争议的解决</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11.1因履行本合同引起的或与本合同有关的争议，甲、乙双方应首先通过友好协商解决，如果协商不能解决争议，向</w:t>
      </w:r>
      <w:r>
        <w:rPr>
          <w:rFonts w:hint="eastAsia" w:ascii="宋体" w:hAnsi="宋体" w:cs="宋体"/>
          <w:sz w:val="22"/>
          <w:szCs w:val="21"/>
        </w:rPr>
        <w:t xml:space="preserve">甲方所在</w:t>
      </w:r>
      <w:r>
        <w:rPr>
          <w:rFonts w:ascii="宋体" w:hAnsi="宋体" w:cs="宋体"/>
          <w:sz w:val="22"/>
          <w:szCs w:val="21"/>
        </w:rPr>
        <w:t xml:space="preserve">地人民法院提起诉讼；</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第十二条诚实信用</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12.1乙方应诚实信用，严格按照采购文件要求和承诺履行合同，不向甲方进行商业贿赂或者提供不正当利益。</w:t>
      </w:r>
      <w:r/>
    </w:p>
    <w:p>
      <w:pPr>
        <w:ind w:left="420" w:firstLine="240"/>
        <w:jc w:val="left"/>
        <w:spacing w:before="123" w:line="360" w:lineRule="auto"/>
        <w:widowControl/>
        <w:rPr>
          <w:rFonts w:hint="eastAsia" w:ascii="宋体" w:hAnsi="宋体" w:cs="宋体"/>
          <w:sz w:val="22"/>
          <w:szCs w:val="21"/>
        </w:rPr>
      </w:pPr>
      <w:r>
        <w:rPr>
          <w:rFonts w:ascii="宋体" w:hAnsi="宋体" w:cs="宋体"/>
          <w:sz w:val="22"/>
          <w:szCs w:val="21"/>
        </w:rPr>
        <w:t xml:space="preserve">第十三条合同生效及其他</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13.1本合同自签订之日起生效。</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13.2本合同一式陆份，甲方执五份，乙方执一份。</w:t>
      </w:r>
      <w:r/>
    </w:p>
    <w:p>
      <w:pPr>
        <w:jc w:val="left"/>
        <w:spacing w:before="161" w:line="360" w:lineRule="auto"/>
        <w:widowControl/>
        <w:rPr>
          <w:rFonts w:hint="eastAsia" w:ascii="宋体" w:hAnsi="宋体" w:cs="宋体"/>
          <w:sz w:val="22"/>
          <w:szCs w:val="21"/>
        </w:rPr>
      </w:pPr>
      <w:r>
        <w:rPr>
          <w:rFonts w:ascii="宋体" w:hAnsi="宋体" w:cs="宋体"/>
          <w:sz w:val="22"/>
          <w:szCs w:val="21"/>
        </w:rPr>
        <w:t xml:space="preserve">本合同所列双方地址均为有效地址，如有变更,须书面通知对方;如无书面的变更通知,则按原地址发出的通知视为有效送达。</w:t>
      </w:r>
      <w:r/>
    </w:p>
    <w:p>
      <w:pPr>
        <w:jc w:val="left"/>
        <w:spacing w:before="161" w:line="360" w:lineRule="auto"/>
        <w:widowControl/>
        <w:rPr>
          <w:rFonts w:hint="eastAsia" w:ascii="宋体" w:hAnsi="宋体" w:cs="宋体"/>
          <w:sz w:val="22"/>
          <w:szCs w:val="21"/>
        </w:rPr>
      </w:pPr>
      <w:r>
        <w:rPr>
          <w:rFonts w:hint="eastAsia" w:ascii="宋体" w:hAnsi="宋体" w:cs="宋体"/>
          <w:sz w:val="22"/>
          <w:szCs w:val="21"/>
        </w:rPr>
        <w:t xml:space="preserve">（以下为签署页，无正文）</w:t>
      </w:r>
      <w:r/>
    </w:p>
    <w:tbl>
      <w:tblPr>
        <w:tblStyle w:val="663"/>
        <w:tblW w:w="9522" w:type="dxa"/>
        <w:jc w:val="center"/>
        <w:tblLayout w:type="fixed"/>
        <w:tblCellMar>
          <w:left w:w="108" w:type="dxa"/>
          <w:top w:w="0" w:type="dxa"/>
          <w:right w:w="108" w:type="dxa"/>
          <w:bottom w:w="0" w:type="dxa"/>
        </w:tblCellMar>
        <w:tblLook w:val="04A0" w:firstRow="1" w:lastRow="0" w:firstColumn="1" w:lastColumn="0" w:noHBand="0" w:noVBand="1"/>
      </w:tblPr>
      <w:tblGrid>
        <w:gridCol w:w="3174"/>
        <w:gridCol w:w="3174"/>
        <w:gridCol w:w="3174"/>
      </w:tblGrid>
      <w:tr>
        <w:trPr>
          <w:jc w:val="center"/>
          <w:trHeight w:val="231"/>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甲方</w:t>
            </w:r>
            <w:r>
              <w:rPr>
                <w:rFonts w:hint="eastAsia" w:ascii="宋体" w:hAnsi="宋体" w:cs="宋体"/>
                <w:sz w:val="22"/>
                <w:szCs w:val="21"/>
              </w:rPr>
              <w:t xml:space="preserve">1</w:t>
            </w:r>
            <w:r>
              <w:rPr>
                <w:rFonts w:ascii="宋体" w:hAnsi="宋体" w:cs="宋体"/>
                <w:sz w:val="22"/>
                <w:szCs w:val="21"/>
              </w:rPr>
              <w:t xml:space="preserve">（委托方）：（盖章）</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甲方</w:t>
            </w:r>
            <w:r>
              <w:rPr>
                <w:rFonts w:hint="eastAsia" w:ascii="宋体" w:hAnsi="宋体" w:cs="宋体"/>
                <w:sz w:val="22"/>
                <w:szCs w:val="21"/>
              </w:rPr>
              <w:t xml:space="preserve">2</w:t>
            </w:r>
            <w:r>
              <w:rPr>
                <w:rFonts w:ascii="宋体" w:hAnsi="宋体" w:cs="宋体"/>
                <w:sz w:val="22"/>
                <w:szCs w:val="21"/>
              </w:rPr>
              <w:t xml:space="preserve">（委托方）：（盖章）</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乙方：（盖章）</w:t>
            </w:r>
            <w:r/>
          </w:p>
        </w:tc>
      </w:tr>
      <w:tr>
        <w:trPr>
          <w:jc w:val="center"/>
          <w:trHeight w:val="32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r>
      <w:tr>
        <w:trPr>
          <w:jc w:val="center"/>
          <w:trHeight w:val="254"/>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 </w:t>
            </w:r>
            <w:r/>
          </w:p>
        </w:tc>
      </w:tr>
      <w:tr>
        <w:trPr>
          <w:jc w:val="center"/>
          <w:trHeight w:val="283"/>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r>
      <w:tr>
        <w:trPr>
          <w:jc w:val="center"/>
          <w:trHeight w:val="51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r>
    </w:tbl>
    <w:p>
      <w:pPr>
        <w:jc w:val="center"/>
        <w:rPr>
          <w:rFonts w:hint="eastAsia" w:ascii="宋体" w:hAnsi="宋体" w:cs="方正小标宋简体"/>
          <w:sz w:val="32"/>
          <w:szCs w:val="32"/>
        </w:rPr>
      </w:pPr>
      <w:r>
        <w:rPr>
          <w:rFonts w:hint="eastAsia" w:ascii="宋体" w:hAnsi="宋体" w:cs="方正小标宋简体"/>
          <w:sz w:val="32"/>
          <w:szCs w:val="32"/>
        </w:rPr>
      </w:r>
      <w:r/>
    </w:p>
    <w:p>
      <w:pPr>
        <w:pStyle w:val="711"/>
        <w:jc w:val="center"/>
        <w:rPr>
          <w:rFonts w:hint="eastAsia" w:ascii="Malgun Gothic" w:hAnsi="Malgun Gothic" w:eastAsia="等线" w:cs="Malgun Gothic"/>
        </w:rPr>
      </w:pPr>
      <w:r>
        <w:br w:type="page" w:clear="all"/>
      </w:r>
      <w:bookmarkEnd w:id="188"/>
      <w:r/>
      <w:bookmarkEnd w:id="189"/>
      <w:r/>
      <w:bookmarkEnd w:id="190"/>
      <w:r/>
      <w:bookmarkEnd w:id="191"/>
      <w:r/>
      <w:bookmarkStart w:id="195" w:name="_Toc49090575"/>
      <w:r/>
      <w:bookmarkStart w:id="196" w:name="_Toc26554093"/>
      <w:r>
        <w:rPr>
          <w:rFonts w:hint="eastAsia" w:ascii="方正小标宋简体" w:hAnsi="方正小标宋简体" w:eastAsia="方正小标宋简体" w:cs="方正小标宋简体"/>
          <w:sz w:val="36"/>
          <w:szCs w:val="36"/>
        </w:rPr>
        <w:t xml:space="preserve">第四章  供货清单及使用说明</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一、项目属性</w:t>
      </w:r>
      <w:r/>
    </w:p>
    <w:p>
      <w:pPr>
        <w:jc w:val="left"/>
        <w:spacing w:before="100" w:beforeAutospacing="1" w:after="100" w:afterAutospacing="1"/>
        <w:widowControl/>
        <w:rPr>
          <w:rFonts w:hint="eastAsia" w:ascii="宋体" w:hAnsi="宋体" w:cs="宋体"/>
          <w:sz w:val="22"/>
          <w:szCs w:val="24"/>
        </w:rPr>
      </w:pPr>
      <w:r>
        <w:rPr>
          <w:rFonts w:hint="eastAsia" w:ascii="宋体" w:hAnsi="宋体" w:cs="宋体"/>
          <w:sz w:val="22"/>
          <w:szCs w:val="24"/>
        </w:rPr>
        <w:t xml:space="preserve">货物类项目。</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二、项目概况</w:t>
      </w:r>
      <w:r/>
    </w:p>
    <w:p>
      <w:pPr>
        <w:jc w:val="left"/>
        <w:spacing w:before="100" w:beforeAutospacing="1" w:after="100" w:afterAutospacing="1"/>
        <w:widowControl/>
        <w:rPr>
          <w:rFonts w:hint="eastAsia" w:ascii="宋体" w:hAnsi="宋体" w:cs="宋体"/>
          <w:sz w:val="22"/>
          <w:szCs w:val="24"/>
        </w:rPr>
      </w:pPr>
      <w:r>
        <w:rPr>
          <w:rFonts w:hint="eastAsia" w:ascii="宋体" w:hAnsi="宋体" w:cs="宋体"/>
          <w:sz w:val="22"/>
          <w:szCs w:val="24"/>
        </w:rPr>
        <w:t xml:space="preserve">丹桂农事服务中心育秧中心建设项目。本项目为智能育秧车间成套设备交钥匙采购，以完整实现设计产能与全部功能为最终目标。凡设备清单中未列明，但为实现育秧流水线整体功能、保障系统稳定运行所必需的其他设备、附件、连接件、管线、辅材及配套服务，均包含在投标报价内，采购人不再追加任何预算。</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三、项目清单</w:t>
      </w:r>
      <w:r/>
    </w:p>
    <w:tbl>
      <w:tblPr>
        <w:tblStyle w:val="663"/>
        <w:tblW w:w="9439" w:type="dxa"/>
        <w:tblInd w:w="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10"/>
        <w:gridCol w:w="665"/>
        <w:gridCol w:w="515"/>
        <w:gridCol w:w="917"/>
        <w:gridCol w:w="625"/>
        <w:gridCol w:w="575"/>
        <w:gridCol w:w="4246"/>
        <w:gridCol w:w="73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设备型号</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right w:val="single" w:color="000000" w:sz="4" w:space="0"/>
            </w:tcBorders>
            <w:tcW w:w="91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功率（kw）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价格（元）</w:t>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  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left w:val="single" w:color="000000" w:sz="4" w:space="0"/>
              <w:bottom w:val="single" w:color="000000" w:sz="4" w:space="0"/>
              <w:right w:val="single" w:color="000000" w:sz="4" w:space="0"/>
            </w:tcBorders>
            <w:tcW w:w="917"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播种流水线</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w:t>
            </w:r>
            <w:r>
              <w:rPr>
                <w:rFonts w:hint="default" w:ascii="宋体" w:hAnsi="宋体" w:eastAsia="宋体" w:cs="宋体"/>
                <w:i w:val="0"/>
                <w:iCs w:val="0"/>
                <w:color w:val="000000" w:themeColor="text1"/>
                <w:sz w:val="20"/>
                <w:szCs w:val="20"/>
                <w:highlight w:val="white"/>
                <w:u w:val="none"/>
                <w:lang w:val="en-US" w:eastAsia="zh-CN" w:bidi="ar"/>
              </w:rPr>
              <w:t xml:space="preserve">用于水稻硬塑盘播种过程中自动完成床土、洒水、播种、覆土等工作，适应于7寸、9寸秧盘。</w:t>
            </w:r>
            <w:r>
              <w:rPr>
                <w:rFonts w:hint="default" w:ascii="宋体" w:hAnsi="宋体" w:eastAsia="宋体" w:cs="宋体"/>
                <w:i w:val="0"/>
                <w:iCs w:val="0"/>
                <w:color w:val="000000" w:themeColor="text1"/>
                <w:sz w:val="20"/>
                <w:szCs w:val="20"/>
                <w:highlight w:val="white"/>
                <w:u w:val="none"/>
                <w:lang w:val="en-US" w:eastAsia="zh-CN" w:bidi="ar"/>
              </w:rPr>
              <w:br/>
            </w:r>
            <w:r>
              <w:rPr>
                <w:rFonts w:hint="eastAsia"/>
                <w:color w:val="000000" w:themeColor="text1"/>
                <w:highlight w:val="white"/>
              </w:rPr>
              <w:t xml:space="preserve">▲</w:t>
            </w:r>
            <w:r>
              <w:rPr>
                <w:rFonts w:hint="default" w:ascii="宋体" w:hAnsi="宋体" w:eastAsia="宋体" w:cs="宋体"/>
                <w:i w:val="0"/>
                <w:iCs w:val="0"/>
                <w:color w:val="000000" w:themeColor="text1"/>
                <w:sz w:val="20"/>
                <w:szCs w:val="20"/>
                <w:highlight w:val="white"/>
                <w:u w:val="none"/>
                <w:lang w:val="en-US" w:eastAsia="zh-CN" w:bidi="ar"/>
              </w:rPr>
              <w:t xml:space="preserve">1.小时生产率：</w:t>
            </w:r>
            <w:r>
              <w:rPr>
                <w:rFonts w:hint="default" w:ascii="宋体" w:hAnsi="宋体" w:eastAsia="宋体" w:cs="宋体"/>
                <w:i w:val="0"/>
                <w:iCs w:val="0"/>
                <w:color w:val="000000" w:themeColor="text1"/>
                <w:sz w:val="20"/>
                <w:szCs w:val="20"/>
                <w:highlight w:val="white"/>
                <w:u w:val="none"/>
                <w:lang w:val="en-US" w:eastAsia="zh-CN" w:bidi="ar"/>
              </w:rPr>
              <w:t xml:space="preserve">≥2</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00盘/h</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2.床土稳定性：≥90%</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3.排种器形式：外槽轮式或更优，双播种</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4.播种量调节档位数量：变频变速调节播种滚轮转速，满足播种量在调节范围内连续平滑可调的要求。</w:t>
            </w:r>
            <w:r>
              <w:rPr>
                <w:rFonts w:hint="default" w:ascii="宋体" w:hAnsi="宋体" w:eastAsia="宋体" w:cs="宋体"/>
                <w:i w:val="0"/>
                <w:iCs w:val="0"/>
                <w:color w:val="000000" w:themeColor="text1"/>
                <w:sz w:val="20"/>
                <w:szCs w:val="20"/>
                <w:highlight w:val="white"/>
                <w:u w:val="none"/>
                <w:lang w:val="en-US" w:eastAsia="zh-CN" w:bidi="ar"/>
              </w:rPr>
              <w:br/>
            </w:r>
            <w:r>
              <w:rPr>
                <w:rFonts w:hint="eastAsia"/>
                <w:color w:val="000000" w:themeColor="text1"/>
                <w:highlight w:val="white"/>
              </w:rPr>
              <w:t xml:space="preserve">▲</w:t>
            </w:r>
            <w:r>
              <w:rPr>
                <w:rFonts w:hint="default" w:ascii="宋体" w:hAnsi="宋体" w:eastAsia="宋体" w:cs="宋体"/>
                <w:i w:val="0"/>
                <w:iCs w:val="0"/>
                <w:color w:val="000000" w:themeColor="text1"/>
                <w:sz w:val="20"/>
                <w:szCs w:val="20"/>
                <w:highlight w:val="white"/>
                <w:u w:val="none"/>
                <w:lang w:val="en-US" w:eastAsia="zh-CN" w:bidi="ar"/>
              </w:rPr>
              <w:t xml:space="preserve">5.播种量调节范围：70～300g/盘，播种量精度误差≤±</w:t>
            </w:r>
            <w:r>
              <w:rPr>
                <w:rFonts w:hint="eastAsia" w:ascii="宋体" w:hAnsi="宋体" w:cs="宋体"/>
                <w:i w:val="0"/>
                <w:iCs w:val="0"/>
                <w:color w:val="000000" w:themeColor="text1"/>
                <w:sz w:val="20"/>
                <w:szCs w:val="20"/>
                <w:highlight w:val="white"/>
                <w:u w:val="none"/>
                <w:lang w:val="en-US" w:eastAsia="zh-CN" w:bidi="ar"/>
              </w:rPr>
              <w:t xml:space="preserve">10</w:t>
            </w:r>
            <w:r>
              <w:rPr>
                <w:rFonts w:hint="default" w:ascii="宋体" w:hAnsi="宋体" w:eastAsia="宋体" w:cs="宋体"/>
                <w:i w:val="0"/>
                <w:iCs w:val="0"/>
                <w:color w:val="000000" w:themeColor="text1"/>
                <w:sz w:val="20"/>
                <w:szCs w:val="20"/>
                <w:highlight w:val="white"/>
                <w:u w:val="none"/>
                <w:lang w:val="en-US" w:eastAsia="zh-CN" w:bidi="ar"/>
              </w:rPr>
              <w:t xml:space="preserve">%</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6.覆土稳定性：≥90%</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7.覆土平整方式：旋转刷、旋转抛洒笼或更优，应确保覆土均匀</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8.输送传动型式：皮带、链条或更优</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9.洒水稳定性：≥90%</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10.作业流程：自动完成播种全流程，具备有盘检测自动启停功能</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11.智能控制部分：</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①床土与覆土：有盘检测、自动启动，自动土量感应及启停外接输送机</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②洒水：有盘检测、自动启停</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③播种：有盘检测、自动启停</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b/>
                <w:bCs/>
                <w:sz w:val="20"/>
                <w:szCs w:val="20"/>
              </w:rPr>
              <w:t xml:space="preserve">核心产品</w:t>
            </w: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分盘机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default" w:ascii="宋体" w:hAnsi="宋体" w:eastAsia="宋体" w:cs="宋体"/>
                <w:i w:val="0"/>
                <w:iCs w:val="0"/>
                <w:color w:val="000000" w:themeColor="text1"/>
                <w:sz w:val="20"/>
                <w:szCs w:val="20"/>
                <w:highlight w:val="white"/>
                <w:u w:val="none"/>
                <w:lang w:val="en-US" w:eastAsia="zh-CN" w:bidi="ar"/>
              </w:rPr>
              <w:t xml:space="preserve">主要用途：用于水稻硬盘播种中的自动分盘。</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1.供盘机构型式：螺旋分盘或更优</w:t>
            </w:r>
            <w:r>
              <w:rPr>
                <w:rFonts w:hint="default" w:ascii="宋体" w:hAnsi="宋体" w:eastAsia="宋体" w:cs="宋体"/>
                <w:i w:val="0"/>
                <w:iCs w:val="0"/>
                <w:color w:val="000000" w:themeColor="text1"/>
                <w:sz w:val="20"/>
                <w:szCs w:val="20"/>
                <w:highlight w:val="white"/>
                <w:u w:val="none"/>
                <w:lang w:val="en-US" w:eastAsia="zh-CN" w:bidi="ar"/>
              </w:rPr>
              <w:br/>
            </w:r>
            <w:r>
              <w:rPr>
                <w:rFonts w:hint="eastAsia"/>
                <w:color w:val="000000" w:themeColor="text1"/>
                <w:highlight w:val="white"/>
              </w:rPr>
              <w:t xml:space="preserve">▲</w:t>
            </w:r>
            <w:r>
              <w:rPr>
                <w:rFonts w:hint="default" w:ascii="宋体" w:hAnsi="宋体" w:eastAsia="宋体" w:cs="宋体"/>
                <w:i w:val="0"/>
                <w:iCs w:val="0"/>
                <w:color w:val="000000" w:themeColor="text1"/>
                <w:sz w:val="20"/>
                <w:szCs w:val="20"/>
                <w:highlight w:val="white"/>
                <w:u w:val="none"/>
                <w:lang w:val="en-US" w:eastAsia="zh-CN" w:bidi="ar"/>
              </w:rPr>
              <w:t xml:space="preserve">2.供盘效率：</w:t>
            </w:r>
            <w:r>
              <w:rPr>
                <w:rFonts w:hint="default" w:ascii="宋体" w:hAnsi="宋体" w:eastAsia="宋体" w:cs="宋体"/>
                <w:i w:val="0"/>
                <w:iCs w:val="0"/>
                <w:color w:val="000000" w:themeColor="text1"/>
                <w:sz w:val="20"/>
                <w:szCs w:val="20"/>
                <w:highlight w:val="white"/>
                <w:u w:val="none"/>
                <w:lang w:val="en-US" w:eastAsia="zh-CN" w:bidi="ar"/>
              </w:rPr>
              <w:t xml:space="preserve">≥</w:t>
            </w:r>
            <w:r>
              <w:rPr>
                <w:rFonts w:hint="eastAsia" w:ascii="宋体" w:hAnsi="宋体" w:cs="宋体"/>
                <w:i w:val="0"/>
                <w:iCs w:val="0"/>
                <w:color w:val="000000" w:themeColor="text1"/>
                <w:sz w:val="20"/>
                <w:szCs w:val="20"/>
                <w:highlight w:val="white"/>
                <w:u w:val="none"/>
                <w:lang w:val="en-US" w:eastAsia="zh-CN" w:bidi="ar"/>
              </w:rPr>
              <w:t xml:space="preserve">20</w:t>
            </w:r>
            <w:r>
              <w:rPr>
                <w:rFonts w:hint="default" w:ascii="宋体" w:hAnsi="宋体" w:eastAsia="宋体" w:cs="宋体"/>
                <w:i w:val="0"/>
                <w:iCs w:val="0"/>
                <w:color w:val="000000" w:themeColor="text1"/>
                <w:sz w:val="20"/>
                <w:szCs w:val="20"/>
                <w:highlight w:val="white"/>
                <w:u w:val="none"/>
                <w:lang w:val="en-US" w:eastAsia="zh-CN" w:bidi="ar"/>
              </w:rPr>
              <w:t xml:space="preserve">00盘/h</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3.单次放盘量≥10盘</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4.配套电源：380V</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叠盘机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主要用途：用于水稻硬盘播种中的自动叠盘。</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1.叠盘机构型式：侧推式、抓取式、旋转式等，驱动方式不限（伺服、丝杆顶升或更优）</w:t>
            </w:r>
            <w:r>
              <w:rPr>
                <w:rFonts w:hint="default" w:ascii="宋体" w:hAnsi="宋体" w:eastAsia="宋体" w:cs="宋体"/>
                <w:i w:val="0"/>
                <w:iCs w:val="0"/>
                <w:color w:val="000000" w:themeColor="text1"/>
                <w:sz w:val="20"/>
                <w:szCs w:val="20"/>
                <w:highlight w:val="white"/>
                <w:u w:val="none"/>
                <w:lang w:val="en-US" w:eastAsia="zh-CN" w:bidi="ar"/>
              </w:rPr>
              <w:br/>
            </w:r>
            <w:r>
              <w:rPr>
                <w:rFonts w:hint="eastAsia"/>
                <w:color w:val="000000" w:themeColor="text1"/>
                <w:highlight w:val="white"/>
              </w:rPr>
              <w:t xml:space="preserve">▲</w:t>
            </w:r>
            <w:r>
              <w:rPr>
                <w:rFonts w:hint="default" w:ascii="宋体" w:hAnsi="宋体" w:eastAsia="宋体" w:cs="宋体"/>
                <w:i w:val="0"/>
                <w:iCs w:val="0"/>
                <w:color w:val="000000" w:themeColor="text1"/>
                <w:sz w:val="20"/>
                <w:szCs w:val="20"/>
                <w:highlight w:val="white"/>
                <w:u w:val="none"/>
                <w:lang w:val="en-US" w:eastAsia="zh-CN" w:bidi="ar"/>
              </w:rPr>
              <w:t xml:space="preserve">2.小时生产率：</w:t>
            </w:r>
            <w:r>
              <w:rPr>
                <w:rFonts w:hint="default" w:ascii="宋体" w:hAnsi="宋体" w:eastAsia="宋体" w:cs="宋体"/>
                <w:i w:val="0"/>
                <w:iCs w:val="0"/>
                <w:color w:val="000000" w:themeColor="text1"/>
                <w:sz w:val="20"/>
                <w:szCs w:val="20"/>
                <w:highlight w:val="white"/>
                <w:u w:val="none"/>
                <w:lang w:val="en-US" w:eastAsia="zh-CN" w:bidi="ar"/>
              </w:rPr>
              <w:t xml:space="preserve">≥2</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00盘/h</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3.叠盘数量：5盘</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4.配套电源：380V</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直线输送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主要用途：将空秧盘或播种后的秧盘运输到指定位置，减少人工搬运。</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1.外形尺寸（长×宽×高）：≥204</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×480×76</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mm（±5%）</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2.运输能力：≥0.30m/s</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3.配套电源：220V</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4.控制方式：可与播种机联动，实现自动启停，也可手动启停</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sz w:val="32"/>
                <w:szCs w:val="32"/>
                <w:u w:val="none"/>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直线输送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0.12</w:t>
            </w:r>
            <w:r>
              <w:rPr>
                <w:rFonts w:ascii="Segoe UI" w:hAnsi="Segoe UI" w:eastAsia="Segoe UI" w:cs="Segoe UI"/>
                <w:i w:val="0"/>
                <w:iCs w:val="0"/>
                <w:caps w:val="0"/>
                <w:color w:val="0f1115"/>
                <w:spacing w:val="0"/>
                <w:sz w:val="22"/>
                <w:szCs w:val="22"/>
                <w:shd w:val="clear" w:color="auto" w:fill="ffffff"/>
              </w:rPr>
              <w:t xml:space="preserve">（单条）</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主要用途：将空秧盘或播种后的秧盘运输到指定位置。</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1.外形尺寸（长×宽×高）：≥2400×480×62</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mm（±5%）</w:t>
            </w:r>
            <w:r>
              <w:rPr>
                <w:color w:val="000000" w:themeColor="text1"/>
                <w:highlight w:val="white"/>
              </w:rPr>
            </w:r>
          </w:p>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default" w:ascii="宋体" w:hAnsi="宋体" w:eastAsia="宋体" w:cs="宋体"/>
                <w:i w:val="0"/>
                <w:iCs w:val="0"/>
                <w:color w:val="000000" w:themeColor="text1"/>
                <w:sz w:val="20"/>
                <w:szCs w:val="20"/>
                <w:highlight w:val="white"/>
                <w:u w:val="none"/>
                <w:lang w:val="en-US" w:eastAsia="zh-CN" w:bidi="ar"/>
              </w:rPr>
              <w:t xml:space="preserve">2.运输能力：≥0.30m/s</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3.配套电源：AC220V</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4.控制方式：可与播种机联动，实现自动启停，也可手动启停</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种子吊装架</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主要用途：用于种子精准上料输送，实现持续自动上种。</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1.作业状态整机外形尺寸：根据现场定制，投标人需在投标文件中提供设计方案及尺寸范围</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2.负载：≥1吨</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3.配套电源：220V</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aps w:val="0"/>
                <w:color w:val="0f1115"/>
                <w:spacing w:val="0"/>
                <w:sz w:val="20"/>
                <w:szCs w:val="20"/>
                <w:shd w:val="clear" w:color="auto" w:fill="ffffff"/>
              </w:rPr>
              <w:t xml:space="preserve">需满足满载工况下平稳运行</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上土筛土机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3.85</w:t>
            </w:r>
            <w:r>
              <w:rPr>
                <w:rFonts w:ascii="Segoe UI" w:hAnsi="Segoe UI" w:eastAsia="Segoe UI" w:cs="Segoe UI"/>
                <w:i w:val="0"/>
                <w:iCs w:val="0"/>
                <w:caps w:val="0"/>
                <w:color w:val="0f1115"/>
                <w:spacing w:val="0"/>
                <w:sz w:val="22"/>
                <w:szCs w:val="22"/>
                <w:shd w:val="clear" w:color="auto" w:fill="ffffff"/>
              </w:rPr>
              <w:t xml:space="preserve">（单套）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主要用途：用于基质土筛选搅拌、上料输送，满足流水线床土箱、覆土箱自动补土。</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1.作业状态整机外形尺寸：≥2500×35</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0×28</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0mm（±</w:t>
            </w:r>
            <w:r>
              <w:rPr>
                <w:rFonts w:hint="eastAsia" w:ascii="宋体" w:hAnsi="宋体" w:cs="宋体"/>
                <w:i w:val="0"/>
                <w:iCs w:val="0"/>
                <w:color w:val="000000" w:themeColor="text1"/>
                <w:sz w:val="20"/>
                <w:szCs w:val="20"/>
                <w:highlight w:val="white"/>
                <w:u w:val="none"/>
                <w:lang w:val="en-US" w:eastAsia="zh-CN" w:bidi="ar"/>
              </w:rPr>
              <w:t xml:space="preserve">5</w:t>
            </w:r>
            <w:r>
              <w:rPr>
                <w:rFonts w:hint="default" w:ascii="宋体" w:hAnsi="宋体" w:eastAsia="宋体" w:cs="宋体"/>
                <w:i w:val="0"/>
                <w:iCs w:val="0"/>
                <w:color w:val="000000" w:themeColor="text1"/>
                <w:sz w:val="20"/>
                <w:szCs w:val="20"/>
                <w:highlight w:val="white"/>
                <w:u w:val="none"/>
                <w:lang w:val="en-US" w:eastAsia="zh-CN" w:bidi="ar"/>
              </w:rPr>
              <w:t xml:space="preserve">%）</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2.报警方式：屏幕报警显示+指示灯报警</w:t>
            </w:r>
            <w:r>
              <w:rPr>
                <w:rFonts w:hint="default" w:ascii="宋体" w:hAnsi="宋体" w:eastAsia="宋体" w:cs="宋体"/>
                <w:i w:val="0"/>
                <w:iCs w:val="0"/>
                <w:color w:val="000000" w:themeColor="text1"/>
                <w:sz w:val="20"/>
                <w:szCs w:val="20"/>
                <w:highlight w:val="white"/>
                <w:u w:val="none"/>
                <w:lang w:val="en-US" w:eastAsia="zh-CN" w:bidi="ar"/>
              </w:rPr>
              <w:br/>
            </w:r>
            <w:r>
              <w:rPr>
                <w:rFonts w:hint="eastAsia"/>
                <w:color w:val="000000" w:themeColor="text1"/>
                <w:highlight w:val="white"/>
              </w:rPr>
              <w:t xml:space="preserve">▲</w:t>
            </w:r>
            <w:r>
              <w:rPr>
                <w:rFonts w:hint="default" w:ascii="宋体" w:hAnsi="宋体" w:eastAsia="宋体" w:cs="宋体"/>
                <w:i w:val="0"/>
                <w:iCs w:val="0"/>
                <w:color w:val="000000" w:themeColor="text1"/>
                <w:sz w:val="20"/>
                <w:szCs w:val="20"/>
                <w:highlight w:val="white"/>
                <w:u w:val="none"/>
                <w:lang w:val="en-US" w:eastAsia="zh-CN" w:bidi="ar"/>
              </w:rPr>
              <w:t xml:space="preserve">3.送土效率：≥13m³/h</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4.容积：≥3300L</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5.输送传动型式：平皮带+链条输送或更优</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6.配套电源：380V</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7.控制方式：PLC程序控制，与播种机联动，实现自动启停，也可手动启停</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8.筛网孔径：≤10mm（可根据基质要求更换）</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码垛机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主要用途：可一次性抓取5个或以上秧盘，放置在托盘整齐码放，最高一个托盘可放150个秧盘。托盘存料区完成自动分托盘，保障作业连续性。可实现复杂的交叉码垛方式。</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1.整机外形尺寸：定制，投标人需提供详细方案</w:t>
            </w:r>
            <w:r>
              <w:rPr>
                <w:rFonts w:hint="default" w:ascii="宋体" w:hAnsi="宋体" w:eastAsia="宋体" w:cs="宋体"/>
                <w:i w:val="0"/>
                <w:iCs w:val="0"/>
                <w:color w:val="000000" w:themeColor="text1"/>
                <w:sz w:val="20"/>
                <w:szCs w:val="20"/>
                <w:highlight w:val="white"/>
                <w:u w:val="none"/>
                <w:lang w:val="en-US" w:eastAsia="zh-CN" w:bidi="ar"/>
              </w:rPr>
              <w:br/>
            </w:r>
            <w:r>
              <w:rPr>
                <w:rFonts w:hint="eastAsia" w:ascii="宋体" w:hAnsi="宋体" w:cs="宋体"/>
                <w:i w:val="0"/>
                <w:iCs w:val="0"/>
                <w:color w:val="000000" w:themeColor="text1"/>
                <w:sz w:val="20"/>
                <w:szCs w:val="20"/>
                <w:highlight w:val="white"/>
                <w:u w:val="none"/>
                <w:lang w:val="en-US" w:eastAsia="zh-CN" w:bidi="ar"/>
              </w:rPr>
              <w:t xml:space="preserve">2</w:t>
            </w:r>
            <w:r>
              <w:rPr>
                <w:rFonts w:hint="default" w:ascii="宋体" w:hAnsi="宋体" w:eastAsia="宋体" w:cs="宋体"/>
                <w:i w:val="0"/>
                <w:iCs w:val="0"/>
                <w:color w:val="000000" w:themeColor="text1"/>
                <w:sz w:val="20"/>
                <w:szCs w:val="20"/>
                <w:highlight w:val="white"/>
                <w:u w:val="none"/>
                <w:lang w:val="en-US" w:eastAsia="zh-CN" w:bidi="ar"/>
              </w:rPr>
              <w:t xml:space="preserve">.X轴定位精度：≤±2mm；运行噪声≤</w:t>
            </w:r>
            <w:r>
              <w:rPr>
                <w:rFonts w:hint="eastAsia" w:ascii="宋体" w:hAnsi="宋体" w:cs="宋体"/>
                <w:i w:val="0"/>
                <w:iCs w:val="0"/>
                <w:color w:val="000000" w:themeColor="text1"/>
                <w:sz w:val="20"/>
                <w:szCs w:val="20"/>
                <w:highlight w:val="white"/>
                <w:u w:val="none"/>
                <w:lang w:val="en-US" w:eastAsia="zh-CN" w:bidi="ar"/>
              </w:rPr>
              <w:t xml:space="preserve">100</w:t>
            </w:r>
            <w:r>
              <w:rPr>
                <w:rFonts w:hint="default" w:ascii="宋体" w:hAnsi="宋体" w:eastAsia="宋体" w:cs="宋体"/>
                <w:i w:val="0"/>
                <w:iCs w:val="0"/>
                <w:color w:val="000000" w:themeColor="text1"/>
                <w:sz w:val="20"/>
                <w:szCs w:val="20"/>
                <w:highlight w:val="white"/>
                <w:u w:val="none"/>
                <w:lang w:val="en-US" w:eastAsia="zh-CN" w:bidi="ar"/>
              </w:rPr>
              <w:t xml:space="preserve">dB(A)</w:t>
            </w:r>
            <w:r>
              <w:rPr>
                <w:rFonts w:hint="default" w:ascii="宋体" w:hAnsi="宋体" w:eastAsia="宋体" w:cs="宋体"/>
                <w:i w:val="0"/>
                <w:iCs w:val="0"/>
                <w:color w:val="000000" w:themeColor="text1"/>
                <w:sz w:val="20"/>
                <w:szCs w:val="20"/>
                <w:highlight w:val="white"/>
                <w:u w:val="none"/>
                <w:lang w:val="en-US" w:eastAsia="zh-CN" w:bidi="ar"/>
              </w:rPr>
              <w:br/>
            </w:r>
            <w:r>
              <w:rPr>
                <w:rFonts w:hint="eastAsia" w:ascii="宋体" w:hAnsi="宋体" w:cs="宋体"/>
                <w:i w:val="0"/>
                <w:iCs w:val="0"/>
                <w:color w:val="000000" w:themeColor="text1"/>
                <w:sz w:val="20"/>
                <w:szCs w:val="20"/>
                <w:highlight w:val="white"/>
                <w:u w:val="none"/>
                <w:lang w:val="en-US" w:eastAsia="zh-CN" w:bidi="ar"/>
              </w:rPr>
              <w:t xml:space="preserve">3</w:t>
            </w:r>
            <w:r>
              <w:rPr>
                <w:rFonts w:hint="default" w:ascii="宋体" w:hAnsi="宋体" w:eastAsia="宋体" w:cs="宋体"/>
                <w:i w:val="0"/>
                <w:iCs w:val="0"/>
                <w:color w:val="000000" w:themeColor="text1"/>
                <w:sz w:val="20"/>
                <w:szCs w:val="20"/>
                <w:highlight w:val="white"/>
                <w:u w:val="none"/>
                <w:lang w:val="en-US" w:eastAsia="zh-CN" w:bidi="ar"/>
              </w:rPr>
              <w:t xml:space="preserve">.配套电源：380V</w:t>
            </w:r>
            <w:r>
              <w:rPr>
                <w:rFonts w:hint="default" w:ascii="宋体" w:hAnsi="宋体" w:eastAsia="宋体" w:cs="宋体"/>
                <w:i w:val="0"/>
                <w:iCs w:val="0"/>
                <w:color w:val="000000" w:themeColor="text1"/>
                <w:sz w:val="20"/>
                <w:szCs w:val="20"/>
                <w:highlight w:val="white"/>
                <w:u w:val="none"/>
                <w:lang w:val="en-US" w:eastAsia="zh-CN" w:bidi="ar"/>
              </w:rPr>
              <w:br/>
            </w:r>
            <w:r>
              <w:rPr>
                <w:rFonts w:hint="eastAsia"/>
                <w:color w:val="000000" w:themeColor="text1"/>
                <w:highlight w:val="white"/>
              </w:rPr>
              <w:t xml:space="preserve">▲</w:t>
            </w:r>
            <w:r>
              <w:rPr>
                <w:rFonts w:hint="default" w:ascii="宋体" w:hAnsi="宋体" w:eastAsia="宋体" w:cs="宋体"/>
                <w:i w:val="0"/>
                <w:iCs w:val="0"/>
                <w:color w:val="000000" w:themeColor="text1"/>
                <w:sz w:val="20"/>
                <w:szCs w:val="20"/>
                <w:highlight w:val="white"/>
                <w:u w:val="none"/>
                <w:lang w:val="en-US" w:eastAsia="zh-CN" w:bidi="ar"/>
              </w:rPr>
              <w:t xml:space="preserve">5.码垛效率：</w:t>
            </w:r>
            <w:r>
              <w:rPr>
                <w:rFonts w:hint="default" w:ascii="宋体" w:hAnsi="宋体" w:eastAsia="宋体" w:cs="宋体"/>
                <w:i w:val="0"/>
                <w:iCs w:val="0"/>
                <w:color w:val="000000" w:themeColor="text1"/>
                <w:sz w:val="20"/>
                <w:szCs w:val="20"/>
                <w:highlight w:val="white"/>
                <w:u w:val="none"/>
                <w:lang w:val="en-US" w:eastAsia="zh-CN" w:bidi="ar"/>
              </w:rPr>
              <w:t xml:space="preserve">≥2</w:t>
            </w:r>
            <w:r>
              <w:rPr>
                <w:rFonts w:hint="eastAsia" w:ascii="宋体" w:hAnsi="宋体" w:cs="宋体"/>
                <w:i w:val="0"/>
                <w:iCs w:val="0"/>
                <w:color w:val="000000" w:themeColor="text1"/>
                <w:sz w:val="20"/>
                <w:szCs w:val="20"/>
                <w:highlight w:val="white"/>
                <w:u w:val="none"/>
                <w:lang w:val="en-US" w:eastAsia="zh-CN" w:bidi="ar"/>
              </w:rPr>
              <w:t xml:space="preserve">0</w:t>
            </w:r>
            <w:r>
              <w:rPr>
                <w:rFonts w:hint="default" w:ascii="宋体" w:hAnsi="宋体" w:eastAsia="宋体" w:cs="宋体"/>
                <w:i w:val="0"/>
                <w:iCs w:val="0"/>
                <w:color w:val="000000" w:themeColor="text1"/>
                <w:sz w:val="20"/>
                <w:szCs w:val="20"/>
                <w:highlight w:val="white"/>
                <w:u w:val="none"/>
                <w:lang w:val="en-US" w:eastAsia="zh-CN" w:bidi="ar"/>
              </w:rPr>
              <w:t xml:space="preserve">00盘/h</w:t>
            </w:r>
            <w:r>
              <w:rPr>
                <w:rFonts w:hint="default" w:ascii="宋体" w:hAnsi="宋体" w:eastAsia="宋体" w:cs="宋体"/>
                <w:i w:val="0"/>
                <w:iCs w:val="0"/>
                <w:color w:val="000000" w:themeColor="text1"/>
                <w:sz w:val="20"/>
                <w:szCs w:val="20"/>
                <w:highlight w:val="white"/>
                <w:u w:val="none"/>
                <w:lang w:val="en-US" w:eastAsia="zh-CN" w:bidi="ar"/>
              </w:rPr>
              <w:br/>
            </w:r>
            <w:r>
              <w:rPr>
                <w:rFonts w:hint="eastAsia" w:ascii="宋体" w:hAnsi="宋体" w:cs="宋体"/>
                <w:i w:val="0"/>
                <w:iCs w:val="0"/>
                <w:color w:val="000000" w:themeColor="text1"/>
                <w:sz w:val="20"/>
                <w:szCs w:val="20"/>
                <w:highlight w:val="white"/>
                <w:u w:val="none"/>
                <w:lang w:val="en-US" w:eastAsia="zh-CN" w:bidi="ar"/>
              </w:rPr>
              <w:t xml:space="preserve">4</w:t>
            </w:r>
            <w:r>
              <w:rPr>
                <w:rFonts w:hint="default" w:ascii="宋体" w:hAnsi="宋体" w:eastAsia="宋体" w:cs="宋体"/>
                <w:i w:val="0"/>
                <w:iCs w:val="0"/>
                <w:color w:val="000000" w:themeColor="text1"/>
                <w:sz w:val="20"/>
                <w:szCs w:val="20"/>
                <w:highlight w:val="white"/>
                <w:u w:val="none"/>
                <w:lang w:val="en-US" w:eastAsia="zh-CN" w:bidi="ar"/>
              </w:rPr>
              <w:t xml:space="preserve">.控制方式：PLC程序控制，与播种机联动，实现自动启停，也可手动启停</w:t>
            </w:r>
            <w:r>
              <w:rPr>
                <w:rFonts w:hint="default" w:ascii="宋体" w:hAnsi="宋体" w:eastAsia="宋体" w:cs="宋体"/>
                <w:i w:val="0"/>
                <w:iCs w:val="0"/>
                <w:color w:val="000000" w:themeColor="text1"/>
                <w:sz w:val="20"/>
                <w:szCs w:val="20"/>
                <w:highlight w:val="white"/>
                <w:u w:val="none"/>
                <w:lang w:val="en-US" w:eastAsia="zh-CN" w:bidi="ar"/>
              </w:rPr>
              <w:br/>
            </w:r>
            <w:r>
              <w:rPr>
                <w:rFonts w:hint="eastAsia" w:ascii="宋体" w:hAnsi="宋体" w:cs="宋体"/>
                <w:i w:val="0"/>
                <w:iCs w:val="0"/>
                <w:color w:val="000000" w:themeColor="text1"/>
                <w:sz w:val="20"/>
                <w:szCs w:val="20"/>
                <w:highlight w:val="white"/>
                <w:u w:val="none"/>
                <w:lang w:val="en-US" w:eastAsia="zh-CN" w:bidi="ar"/>
              </w:rPr>
              <w:t xml:space="preserve">5</w:t>
            </w:r>
            <w:r>
              <w:rPr>
                <w:rFonts w:hint="default" w:ascii="宋体" w:hAnsi="宋体" w:eastAsia="宋体" w:cs="宋体"/>
                <w:i w:val="0"/>
                <w:iCs w:val="0"/>
                <w:color w:val="000000" w:themeColor="text1"/>
                <w:sz w:val="20"/>
                <w:szCs w:val="20"/>
                <w:highlight w:val="white"/>
                <w:u w:val="none"/>
                <w:lang w:val="en-US" w:eastAsia="zh-CN" w:bidi="ar"/>
              </w:rPr>
              <w:t xml:space="preserve">.可实现5层复杂的交叉码垛</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223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托盘板链式输送线</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主要用途：当秧盘码放完成后，自动外推，便于叉车转运。托盘存料区完成自动分托盘，保障作业连续性。</w:t>
            </w:r>
            <w:r>
              <w:rPr>
                <w:rFonts w:hint="eastAsia" w:ascii="宋体" w:hAnsi="宋体" w:eastAsia="宋体" w:cs="宋体"/>
                <w:i w:val="0"/>
                <w:iCs w:val="0"/>
                <w:color w:val="000000" w:themeColor="text1"/>
                <w:sz w:val="20"/>
                <w:szCs w:val="20"/>
                <w:highlight w:val="white"/>
                <w:u w:val="none"/>
                <w:lang w:val="en-US" w:eastAsia="zh-CN" w:bidi="ar"/>
              </w:rPr>
              <w:br/>
            </w:r>
            <w:r>
              <w:rPr>
                <w:rFonts w:hint="eastAsia" w:ascii="宋体" w:hAnsi="宋体" w:eastAsia="宋体" w:cs="宋体"/>
                <w:i w:val="0"/>
                <w:iCs w:val="0"/>
                <w:color w:val="000000" w:themeColor="text1"/>
                <w:sz w:val="20"/>
                <w:szCs w:val="20"/>
                <w:highlight w:val="white"/>
                <w:u w:val="none"/>
                <w:lang w:val="en-US" w:eastAsia="zh-CN" w:bidi="ar"/>
              </w:rPr>
              <w:t xml:space="preserve">1.托盘分盘机分盘数量：≥</w:t>
            </w:r>
            <w:r>
              <w:rPr>
                <w:rFonts w:hint="eastAsia" w:ascii="宋体" w:hAnsi="宋体" w:cs="宋体"/>
                <w:i w:val="0"/>
                <w:iCs w:val="0"/>
                <w:color w:val="000000" w:themeColor="text1"/>
                <w:sz w:val="20"/>
                <w:szCs w:val="20"/>
                <w:highlight w:val="white"/>
                <w:u w:val="none"/>
                <w:lang w:val="en-US" w:eastAsia="zh-CN" w:bidi="ar"/>
              </w:rPr>
              <w:t xml:space="preserve">8</w:t>
            </w:r>
            <w:r>
              <w:rPr>
                <w:rFonts w:hint="eastAsia" w:ascii="宋体" w:hAnsi="宋体" w:eastAsia="宋体" w:cs="宋体"/>
                <w:i w:val="0"/>
                <w:iCs w:val="0"/>
                <w:color w:val="000000" w:themeColor="text1"/>
                <w:sz w:val="20"/>
                <w:szCs w:val="20"/>
                <w:highlight w:val="white"/>
                <w:u w:val="none"/>
                <w:lang w:val="en-US" w:eastAsia="zh-CN" w:bidi="ar"/>
              </w:rPr>
              <w:t xml:space="preserve">盘</w:t>
            </w:r>
            <w:r>
              <w:rPr>
                <w:rFonts w:hint="eastAsia" w:ascii="宋体" w:hAnsi="宋体" w:eastAsia="宋体" w:cs="宋体"/>
                <w:i w:val="0"/>
                <w:iCs w:val="0"/>
                <w:color w:val="000000" w:themeColor="text1"/>
                <w:sz w:val="20"/>
                <w:szCs w:val="20"/>
                <w:highlight w:val="white"/>
                <w:u w:val="none"/>
                <w:lang w:val="en-US" w:eastAsia="zh-CN" w:bidi="ar"/>
              </w:rPr>
              <w:br/>
            </w:r>
            <w:r>
              <w:rPr>
                <w:rFonts w:hint="eastAsia" w:ascii="宋体" w:hAnsi="宋体" w:eastAsia="宋体" w:cs="宋体"/>
                <w:i w:val="0"/>
                <w:iCs w:val="0"/>
                <w:color w:val="000000" w:themeColor="text1"/>
                <w:sz w:val="20"/>
                <w:szCs w:val="20"/>
                <w:highlight w:val="white"/>
                <w:u w:val="none"/>
                <w:lang w:val="en-US" w:eastAsia="zh-CN" w:bidi="ar"/>
              </w:rPr>
              <w:t xml:space="preserve">2.储存托盘数：≥</w:t>
            </w:r>
            <w:r>
              <w:rPr>
                <w:rFonts w:hint="eastAsia" w:ascii="宋体" w:hAnsi="宋体" w:cs="宋体"/>
                <w:i w:val="0"/>
                <w:iCs w:val="0"/>
                <w:color w:val="000000" w:themeColor="text1"/>
                <w:sz w:val="20"/>
                <w:szCs w:val="20"/>
                <w:highlight w:val="white"/>
                <w:u w:val="none"/>
                <w:lang w:val="en-US" w:eastAsia="zh-CN" w:bidi="ar"/>
              </w:rPr>
              <w:t xml:space="preserve">8</w:t>
            </w:r>
            <w:r>
              <w:rPr>
                <w:rFonts w:hint="eastAsia" w:ascii="宋体" w:hAnsi="宋体" w:eastAsia="宋体" w:cs="宋体"/>
                <w:i w:val="0"/>
                <w:iCs w:val="0"/>
                <w:color w:val="000000" w:themeColor="text1"/>
                <w:sz w:val="20"/>
                <w:szCs w:val="20"/>
                <w:highlight w:val="white"/>
                <w:u w:val="none"/>
                <w:lang w:val="en-US" w:eastAsia="zh-CN" w:bidi="ar"/>
              </w:rPr>
              <w:t xml:space="preserve">盘</w:t>
            </w:r>
            <w:r>
              <w:rPr>
                <w:rFonts w:hint="eastAsia" w:ascii="宋体" w:hAnsi="宋体" w:eastAsia="宋体" w:cs="宋体"/>
                <w:i w:val="0"/>
                <w:iCs w:val="0"/>
                <w:color w:val="000000" w:themeColor="text1"/>
                <w:sz w:val="20"/>
                <w:szCs w:val="20"/>
                <w:highlight w:val="white"/>
                <w:u w:val="none"/>
                <w:lang w:val="en-US" w:eastAsia="zh-CN" w:bidi="ar"/>
              </w:rPr>
              <w:br/>
            </w:r>
            <w:r>
              <w:rPr>
                <w:rFonts w:hint="eastAsia" w:ascii="宋体" w:hAnsi="宋体" w:eastAsia="宋体" w:cs="宋体"/>
                <w:i w:val="0"/>
                <w:iCs w:val="0"/>
                <w:color w:val="000000" w:themeColor="text1"/>
                <w:sz w:val="20"/>
                <w:szCs w:val="20"/>
                <w:highlight w:val="white"/>
                <w:u w:val="none"/>
                <w:lang w:val="en-US" w:eastAsia="zh-CN" w:bidi="ar"/>
              </w:rPr>
              <w:t xml:space="preserve">3.输送速度：≥0.30m/s，负载能力≥1.5吨</w:t>
            </w:r>
            <w:r>
              <w:rPr>
                <w:rFonts w:hint="eastAsia" w:ascii="宋体" w:hAnsi="宋体" w:eastAsia="宋体" w:cs="宋体"/>
                <w:i w:val="0"/>
                <w:iCs w:val="0"/>
                <w:color w:val="000000" w:themeColor="text1"/>
                <w:sz w:val="20"/>
                <w:szCs w:val="20"/>
                <w:highlight w:val="white"/>
                <w:u w:val="none"/>
                <w:lang w:val="en-US" w:eastAsia="zh-CN" w:bidi="ar"/>
              </w:rPr>
              <w:br/>
            </w:r>
            <w:r>
              <w:rPr>
                <w:rFonts w:hint="eastAsia" w:ascii="宋体" w:hAnsi="宋体" w:eastAsia="宋体" w:cs="宋体"/>
                <w:i w:val="0"/>
                <w:iCs w:val="0"/>
                <w:color w:val="000000" w:themeColor="text1"/>
                <w:sz w:val="20"/>
                <w:szCs w:val="20"/>
                <w:highlight w:val="white"/>
                <w:u w:val="none"/>
                <w:lang w:val="en-US" w:eastAsia="zh-CN" w:bidi="ar"/>
              </w:rPr>
              <w:t xml:space="preserve">4.配套电源：380V</w:t>
            </w:r>
            <w:r>
              <w:rPr>
                <w:rFonts w:hint="eastAsia" w:ascii="宋体" w:hAnsi="宋体" w:eastAsia="宋体" w:cs="宋体"/>
                <w:i w:val="0"/>
                <w:iCs w:val="0"/>
                <w:color w:val="000000" w:themeColor="text1"/>
                <w:sz w:val="20"/>
                <w:szCs w:val="20"/>
                <w:highlight w:val="white"/>
                <w:u w:val="none"/>
                <w:lang w:val="en-US" w:eastAsia="zh-CN" w:bidi="ar"/>
              </w:rPr>
              <w:br/>
            </w:r>
            <w:r>
              <w:rPr>
                <w:rFonts w:hint="eastAsia" w:ascii="宋体" w:hAnsi="宋体" w:eastAsia="宋体" w:cs="宋体"/>
                <w:i w:val="0"/>
                <w:iCs w:val="0"/>
                <w:color w:val="000000" w:themeColor="text1"/>
                <w:sz w:val="20"/>
                <w:szCs w:val="20"/>
                <w:highlight w:val="white"/>
                <w:u w:val="none"/>
                <w:lang w:val="en-US" w:eastAsia="zh-CN" w:bidi="ar"/>
              </w:rPr>
              <w:t xml:space="preserve">5.配合两轴码垛使用</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育秧设备智能总控制箱</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white"/>
                <w:u w:val="none"/>
              </w:rPr>
              <w:suppressLineNumbers w:val="0"/>
            </w:pPr>
            <w:r>
              <w:rPr>
                <w:rFonts w:hint="eastAsia" w:ascii="宋体" w:hAnsi="宋体" w:eastAsia="宋体" w:cs="宋体"/>
                <w:i w:val="0"/>
                <w:iCs w:val="0"/>
                <w:color w:val="000000" w:themeColor="text1"/>
                <w:sz w:val="20"/>
                <w:szCs w:val="20"/>
                <w:highlight w:val="white"/>
                <w:u w:val="none"/>
                <w:lang w:val="en-US" w:eastAsia="zh-CN" w:bidi="ar"/>
              </w:rPr>
              <w:t xml:space="preserve">主要功能：控制育秧流水线码垛装置，提供端口协议接入第三方平台，提供 3 年免费基础通讯与数据交互功能（不含深度定制开发）。</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1.具有主电控箱对外扩展的通讯接口（至少包含以太网、RS485），可实现中控室与主电控箱数据交换</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2.可监测设备运行状态，数据采集点位不少于XX个，历史数据存储时长≥30天</w:t>
            </w:r>
            <w:r>
              <w:rPr>
                <w:rFonts w:hint="default" w:ascii="宋体" w:hAnsi="宋体" w:eastAsia="宋体" w:cs="宋体"/>
                <w:i w:val="0"/>
                <w:iCs w:val="0"/>
                <w:color w:val="000000" w:themeColor="text1"/>
                <w:sz w:val="20"/>
                <w:szCs w:val="20"/>
                <w:highlight w:val="white"/>
                <w:u w:val="none"/>
                <w:lang w:val="en-US" w:eastAsia="zh-CN" w:bidi="ar"/>
              </w:rPr>
              <w:br/>
            </w:r>
            <w:r>
              <w:rPr>
                <w:rFonts w:hint="eastAsia"/>
                <w:color w:val="000000" w:themeColor="text1"/>
                <w:highlight w:val="white"/>
              </w:rPr>
              <w:t xml:space="preserve">▲</w:t>
            </w:r>
            <w:r>
              <w:rPr>
                <w:rFonts w:hint="default" w:ascii="宋体" w:hAnsi="宋体" w:eastAsia="宋体" w:cs="宋体"/>
                <w:i w:val="0"/>
                <w:iCs w:val="0"/>
                <w:color w:val="000000" w:themeColor="text1"/>
                <w:sz w:val="20"/>
                <w:szCs w:val="20"/>
                <w:highlight w:val="white"/>
                <w:u w:val="none"/>
                <w:lang w:val="en-US" w:eastAsia="zh-CN" w:bidi="ar"/>
              </w:rPr>
              <w:t xml:space="preserve">3.故障报警响应时间≤2s，具备声光报警及触摸屏显示</w:t>
            </w:r>
            <w:r>
              <w:rPr>
                <w:rFonts w:hint="default" w:ascii="宋体" w:hAnsi="宋体" w:eastAsia="宋体" w:cs="宋体"/>
                <w:i w:val="0"/>
                <w:iCs w:val="0"/>
                <w:color w:val="000000" w:themeColor="text1"/>
                <w:sz w:val="20"/>
                <w:szCs w:val="20"/>
                <w:highlight w:val="white"/>
                <w:u w:val="none"/>
                <w:lang w:val="en-US" w:eastAsia="zh-CN" w:bidi="ar"/>
              </w:rPr>
              <w:br/>
            </w:r>
            <w:r>
              <w:rPr>
                <w:rFonts w:hint="default" w:ascii="宋体" w:hAnsi="宋体" w:eastAsia="宋体" w:cs="宋体"/>
                <w:i w:val="0"/>
                <w:iCs w:val="0"/>
                <w:color w:val="000000" w:themeColor="text1"/>
                <w:sz w:val="20"/>
                <w:szCs w:val="20"/>
                <w:highlight w:val="white"/>
                <w:u w:val="none"/>
                <w:lang w:val="en-US" w:eastAsia="zh-CN" w:bidi="ar"/>
              </w:rPr>
              <w:t xml:space="preserve">4.支持远程查看运行参数</w:t>
            </w:r>
            <w:r>
              <w:rPr>
                <w:color w:val="000000" w:themeColor="text1"/>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50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浸种催芽机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1.64</w:t>
            </w:r>
            <w:r>
              <w:rPr>
                <w:rFonts w:hint="eastAsia" w:ascii="宋体" w:hAnsi="宋体" w:cs="宋体"/>
                <w:i w:val="0"/>
                <w:iCs w:val="0"/>
                <w:color w:val="000000"/>
                <w:sz w:val="20"/>
                <w:szCs w:val="20"/>
                <w:u w:val="none"/>
                <w:lang w:val="en-US" w:eastAsia="zh-CN" w:bidi="ar"/>
              </w:rPr>
              <w:t xml:space="preserve">（</w:t>
            </w:r>
            <w:r>
              <w:rPr>
                <w:rFonts w:ascii="Segoe UI" w:hAnsi="Segoe UI" w:eastAsia="Segoe UI" w:cs="Segoe UI"/>
                <w:i w:val="0"/>
                <w:iCs w:val="0"/>
                <w:caps w:val="0"/>
                <w:color w:val="0f1115"/>
                <w:spacing w:val="0"/>
                <w:sz w:val="22"/>
                <w:szCs w:val="22"/>
                <w:shd w:val="clear" w:color="auto" w:fill="ffffff"/>
              </w:rPr>
              <w:t xml:space="preserve">单台）</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主要用途：自动完成水稻种子播种前浸种、催芽工序；具备浸水式浸种、恒定控温、持续供氧、上下水自动循环。</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1.外形尺寸：≥25</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0×18</w:t>
            </w:r>
            <w:r>
              <w:rPr>
                <w:rFonts w:hint="eastAsia" w:ascii="宋体" w:hAnsi="宋体" w:cs="宋体"/>
                <w:i w:val="0"/>
                <w:iCs w:val="0"/>
                <w:color w:val="000000"/>
                <w:sz w:val="20"/>
                <w:szCs w:val="20"/>
                <w:u w:val="none"/>
                <w:lang w:val="en-US" w:eastAsia="zh-CN" w:bidi="ar"/>
              </w:rPr>
              <w:t xml:space="preserve">00</w:t>
            </w:r>
            <w:r>
              <w:rPr>
                <w:rFonts w:hint="default" w:ascii="宋体" w:hAnsi="宋体" w:eastAsia="宋体" w:cs="宋体"/>
                <w:i w:val="0"/>
                <w:iCs w:val="0"/>
                <w:color w:val="000000"/>
                <w:sz w:val="20"/>
                <w:szCs w:val="20"/>
                <w:u w:val="none"/>
                <w:lang w:val="en-US" w:eastAsia="zh-CN" w:bidi="ar"/>
              </w:rPr>
              <w:t xml:space="preserve">×13</w:t>
            </w:r>
            <w:r>
              <w:rPr>
                <w:rFonts w:hint="eastAsia" w:ascii="宋体" w:hAnsi="宋体" w:cs="宋体"/>
                <w:i w:val="0"/>
                <w:iCs w:val="0"/>
                <w:color w:val="000000"/>
                <w:sz w:val="20"/>
                <w:szCs w:val="20"/>
                <w:u w:val="none"/>
                <w:lang w:val="en-US" w:eastAsia="zh-CN" w:bidi="ar"/>
              </w:rPr>
              <w:t xml:space="preserve">00</w:t>
            </w:r>
            <w:r>
              <w:rPr>
                <w:rFonts w:hint="default" w:ascii="宋体" w:hAnsi="宋体" w:eastAsia="宋体" w:cs="宋体"/>
                <w:i w:val="0"/>
                <w:iCs w:val="0"/>
                <w:color w:val="000000"/>
                <w:sz w:val="20"/>
                <w:szCs w:val="20"/>
                <w:u w:val="none"/>
                <w:lang w:val="en-US" w:eastAsia="zh-CN" w:bidi="ar"/>
              </w:rPr>
              <w:t xml:space="preserve">mm</w:t>
            </w:r>
            <w:r>
              <w:rPr>
                <w:rFonts w:hint="eastAsia" w:ascii="宋体" w:hAnsi="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±5%）</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2.材质：低密度聚乙烯LLDPE或同等及以上无毒耐腐蚀材质</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3.生产能力：≥1000kg/批</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4.水箱容积：≥2500L</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5.浸种催芽方式：浸水+吹气</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6.催芽时间：可设定</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7.电源：380V</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8.加热方式：电热管加热</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9.控温系统：热电偶+温度传感器+控温程序，温度控制精度±0.5℃</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10.作业流程：浸种+催芽</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11.种子排列方式：吨包、袋装、叠放式</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12.温度传感器采用PT100高精度传感器，测温精度0.2%以上，反应速度0.05s，探头材质SUS304不锈钢</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13.主机智能PLC全自动控制，触摸屏输入输出显示（故障报警、温度实时显示、设置），控制柜有作业、报警、停机指示灯，内置漏电、过载、短路保护，权限修改功能防误操作</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b/>
                <w:bCs/>
                <w:sz w:val="20"/>
                <w:szCs w:val="20"/>
              </w:rPr>
              <w:t xml:space="preserve">核心产品</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甩干机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w:t>
            </w:r>
            <w:r>
              <w:rPr>
                <w:rFonts w:hint="default" w:ascii="宋体" w:hAnsi="宋体" w:eastAsia="宋体" w:cs="宋体"/>
                <w:i w:val="0"/>
                <w:iCs w:val="0"/>
                <w:color w:val="000000"/>
                <w:sz w:val="20"/>
                <w:szCs w:val="20"/>
                <w:u w:val="none"/>
                <w:lang w:val="en-US" w:eastAsia="zh-CN" w:bidi="ar"/>
              </w:rPr>
              <w:t xml:space="preserve">浸种催芽后的种子通过脱水机迅速脱水。</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1.变频调速</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2.电源：AC380V</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3.限载容量：≥80kg/批</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4.脱水率：≥80%（按重量计），转速可调范围：0～900rpm</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234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秧盘</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1.材质：改性PP；</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2.外径尺寸：9寸，60</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mm×30</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mm×35mm（允许±</w:t>
            </w:r>
            <w:r>
              <w:rPr>
                <w:rFonts w:hint="eastAsia" w:ascii="宋体" w:hAnsi="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mm）；</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3.内径尺寸：580mm×280mm×30mm（允许±</w:t>
            </w:r>
            <w:r>
              <w:rPr>
                <w:rFonts w:hint="eastAsia" w:ascii="宋体" w:hAnsi="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mm）；</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4.秧盘重量≥5</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0g；</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5.加强筋：加强筋结构合理、透水孔均匀布置；</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6.5年以内可重复使用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主要用途：用于运送秧盘和其他育秧物资，便于存放和运输。全新塑料制作，下加钢条增加承重，防老化不易变形。</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1.外形尺寸：1100×1300×150mm（允许±5mm）</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2.形式：网格式叉车板</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3.用料：全新塑料，中间配备不少于4条不锈钢龙骨</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4.动载≥1.5吨，静载≥3吨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暗化室</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主要用途：播种后的秧盘通过暗化密室36-48小时催芽，进入炼苗环节。</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1.尺寸：10m×6m×3.5m（可根据现场微调，最终以采购人确认图纸为准）</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2.密室主体：≥10cm高密度环保阻燃聚氨酯保温板，阻燃等级B1，镀锌骨架，平开门</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3.配套加温加湿机一套</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4.加热加湿管道及循环系统：密室每个区域均需单独布置管道</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5.微环境智能控制系统：恒温恒湿控制，系统自动控制，触摸屏操作；温度控制范围20～35℃可调，精度±1℃；湿度控制范围60%～95%RH可调，精度±5%RH</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6.具备故障报警、数据记录功能</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主要用途：用于秧盘、托盘物资的转运及其他物资装卸。</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1.外形：3节门架带侧移，电子档</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2.额定荷载：3000kg</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3.卸载高度：≥3.5m</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4.动力形式：柴油或电动</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5.排放标准：满足国家现行非道路移动机械排放标准</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6.须为全新合格产品，具备特种设备制造许可证、型式试验合格证，供应商须协助办理使用登记及首次检验，费用包含在报价中</w:t>
            </w:r>
            <w:r/>
          </w:p>
          <w:p>
            <w:pPr>
              <w:numPr>
                <w:ilvl w:val="0"/>
                <w:numId w:val="0"/>
              </w:numPr>
              <w:jc w:val="left"/>
              <w:keepLines w:val="0"/>
              <w:keepNext w:val="0"/>
              <w:widowControl/>
              <w:rPr>
                <w:rFonts w:hint="default" w:ascii="宋体" w:hAnsi="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叉车需能在满载运行状态下通过2.4m</w:t>
            </w:r>
            <w:r>
              <w:rPr>
                <w:rFonts w:hint="eastAsia" w:ascii="宋体" w:hAnsi="宋体" w:cs="宋体"/>
                <w:i w:val="0"/>
                <w:iCs w:val="0"/>
                <w:color w:val="000000"/>
                <w:sz w:val="20"/>
                <w:szCs w:val="20"/>
                <w:u w:val="none"/>
                <w:lang w:val="en-US" w:eastAsia="zh-CN" w:bidi="ar"/>
              </w:rPr>
              <w:t xml:space="preserve">*2.6m(宽*高)的门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498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主要用途：用于散装基质、种子等物料的装卸转运。</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变速箱：无级变速带跑路挡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传动方式：前后四驱，采用轮边减速气刹桥（加重型）或同等及以上性能传动结构</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作业高度：卸料高度≥3.2m，举料高度≥4.2m，平铲高度≥3.5m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铲斗额定载重：≥1.5 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轮胎：采用 20.5-70-16 夹层工程轮胎或同等及以上规格工程轮胎</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操控方式：采用单杆机械先导操作或同等及以上操控方式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驾驶室：封闭式结构，具备 ROPS</w:t>
            </w:r>
            <w:r>
              <w:rPr>
                <w:rFonts w:hint="eastAsia" w:ascii="宋体" w:hAnsi="宋体" w:cs="宋体"/>
                <w:i w:val="0"/>
                <w:iCs w:val="0"/>
                <w:color w:val="000000"/>
                <w:sz w:val="20"/>
                <w:szCs w:val="20"/>
                <w:u w:val="none"/>
                <w:lang w:val="en-US" w:eastAsia="zh-CN" w:bidi="ar"/>
              </w:rPr>
              <w:t xml:space="preserve">或</w:t>
            </w:r>
            <w:r>
              <w:rPr>
                <w:rFonts w:hint="eastAsia" w:ascii="宋体" w:hAnsi="宋体" w:eastAsia="宋体" w:cs="宋体"/>
                <w:i w:val="0"/>
                <w:iCs w:val="0"/>
                <w:color w:val="000000"/>
                <w:sz w:val="20"/>
                <w:szCs w:val="20"/>
                <w:u w:val="none"/>
                <w:lang w:val="en-US" w:eastAsia="zh-CN" w:bidi="ar"/>
              </w:rPr>
              <w:t xml:space="preserve">FOPS</w:t>
            </w:r>
            <w:r>
              <w:rPr>
                <w:rFonts w:hint="eastAsia" w:ascii="宋体" w:hAnsi="宋体" w:cs="宋体"/>
                <w:i w:val="0"/>
                <w:iCs w:val="0"/>
                <w:color w:val="000000"/>
                <w:sz w:val="20"/>
                <w:szCs w:val="20"/>
                <w:u w:val="none"/>
                <w:lang w:val="en-US" w:eastAsia="zh-CN" w:bidi="ar"/>
              </w:rPr>
              <w:t xml:space="preserve">或国家相关质量</w:t>
            </w:r>
            <w:r>
              <w:rPr>
                <w:rFonts w:hint="eastAsia" w:ascii="宋体" w:hAnsi="宋体" w:eastAsia="宋体" w:cs="宋体"/>
                <w:i w:val="0"/>
                <w:iCs w:val="0"/>
                <w:color w:val="000000"/>
                <w:sz w:val="20"/>
                <w:szCs w:val="20"/>
                <w:u w:val="none"/>
                <w:lang w:val="en-US" w:eastAsia="zh-CN" w:bidi="ar"/>
              </w:rPr>
              <w:t xml:space="preserve">认证；喷塑车身，漆膜厚度≥80μm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液压油缸：采用高强度铸造油缸，承载性能可靠</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结构件：大臂、虎头、边板等主要受力部件厚度≥25mm，结构强度满足满载连续作业要求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液压管路：采用 32MPa 及以上高压油管，配套可靠密封接头，密封性能满足长期作业要求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动力系统：发动机功率≥60kW，排放满足国家现行非道路移动机械排放标准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通行要求：满载运行状态下可顺利通过 2.4m（宽）×2.6m（高）的通道门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rPr>
                <w:rFonts w:hint="eastAsia" w:ascii="宋体" w:hAnsi="宋体" w:eastAsia="宋体" w:cs="宋体"/>
                <w:i w:val="0"/>
                <w:iCs w:val="0"/>
                <w:color w:val="000000"/>
                <w:sz w:val="16"/>
                <w:szCs w:val="16"/>
                <w:u w:val="none"/>
              </w:rPr>
            </w:pPr>
            <w:r>
              <w:rPr>
                <w:rFonts w:hint="eastAsia" w:ascii="宋体" w:hAnsi="宋体" w:eastAsia="宋体" w:cs="宋体"/>
                <w:i w:val="0"/>
                <w:iCs w:val="0"/>
                <w:color w:val="000000"/>
                <w:sz w:val="16"/>
                <w:szCs w:val="16"/>
                <w:u w:val="none"/>
              </w:rPr>
            </w:r>
            <w:r/>
          </w:p>
        </w:tc>
      </w:tr>
      <w:tr>
        <w:trPr>
          <w:trHeight w:val="151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default" w:ascii="宋体" w:hAnsi="宋体" w:eastAsia="宋体" w:cs="宋体"/>
                <w:i w:val="0"/>
                <w:iCs w:val="0"/>
                <w:color w:val="000000"/>
                <w:sz w:val="20"/>
                <w:szCs w:val="20"/>
                <w:highlight w:val="white"/>
                <w:u w:val="none"/>
                <w:lang w:val="en-US" w:eastAsia="zh-CN" w:bidi="ar"/>
              </w:rPr>
              <w:t xml:space="preserve">1.电压：AC380V 50Hz</w:t>
            </w:r>
            <w:r>
              <w:rPr>
                <w:rFonts w:hint="default" w:ascii="宋体" w:hAnsi="宋体" w:eastAsia="宋体" w:cs="宋体"/>
                <w:i w:val="0"/>
                <w:iCs w:val="0"/>
                <w:color w:val="000000"/>
                <w:sz w:val="20"/>
                <w:szCs w:val="20"/>
                <w:highlight w:val="white"/>
                <w:u w:val="none"/>
                <w:lang w:val="en-US" w:eastAsia="zh-CN" w:bidi="ar"/>
              </w:rPr>
              <w:br/>
            </w:r>
            <w:r>
              <w:rPr>
                <w:rFonts w:hint="default" w:ascii="宋体" w:hAnsi="宋体" w:eastAsia="宋体" w:cs="宋体"/>
                <w:i w:val="0"/>
                <w:iCs w:val="0"/>
                <w:color w:val="000000"/>
                <w:sz w:val="20"/>
                <w:szCs w:val="20"/>
                <w:highlight w:val="white"/>
                <w:u w:val="none"/>
                <w:lang w:val="en-US" w:eastAsia="zh-CN" w:bidi="ar"/>
              </w:rPr>
              <w:t xml:space="preserve">2.功率：≥1800W×2，储气罐容积≥100L</w:t>
            </w:r>
            <w:r>
              <w:rPr>
                <w:rFonts w:hint="default" w:ascii="宋体" w:hAnsi="宋体" w:eastAsia="宋体" w:cs="宋体"/>
                <w:i w:val="0"/>
                <w:iCs w:val="0"/>
                <w:color w:val="000000"/>
                <w:sz w:val="20"/>
                <w:szCs w:val="20"/>
                <w:highlight w:val="white"/>
                <w:u w:val="none"/>
                <w:lang w:val="en-US" w:eastAsia="zh-CN" w:bidi="ar"/>
              </w:rPr>
              <w:br/>
            </w:r>
            <w:r>
              <w:rPr>
                <w:rFonts w:hint="eastAsia"/>
                <w:highlight w:val="white"/>
              </w:rPr>
              <w:t xml:space="preserve">▲</w:t>
            </w:r>
            <w:r>
              <w:rPr>
                <w:rFonts w:hint="default" w:ascii="宋体" w:hAnsi="宋体" w:eastAsia="宋体" w:cs="宋体"/>
                <w:i w:val="0"/>
                <w:iCs w:val="0"/>
                <w:color w:val="000000"/>
                <w:sz w:val="20"/>
                <w:szCs w:val="20"/>
                <w:highlight w:val="white"/>
                <w:u w:val="none"/>
                <w:lang w:val="en-US" w:eastAsia="zh-CN" w:bidi="ar"/>
              </w:rPr>
              <w:t xml:space="preserve">3.排气量：≥340L/min</w:t>
            </w:r>
            <w:r>
              <w:rPr>
                <w:rFonts w:hint="default" w:ascii="宋体" w:hAnsi="宋体" w:eastAsia="宋体" w:cs="宋体"/>
                <w:i w:val="0"/>
                <w:iCs w:val="0"/>
                <w:color w:val="000000"/>
                <w:sz w:val="20"/>
                <w:szCs w:val="20"/>
                <w:highlight w:val="white"/>
                <w:u w:val="none"/>
                <w:lang w:val="en-US" w:eastAsia="zh-CN" w:bidi="ar"/>
              </w:rPr>
              <w:br/>
            </w:r>
            <w:r>
              <w:rPr>
                <w:rFonts w:hint="default" w:ascii="宋体" w:hAnsi="宋体" w:eastAsia="宋体" w:cs="宋体"/>
                <w:i w:val="0"/>
                <w:iCs w:val="0"/>
                <w:color w:val="000000"/>
                <w:sz w:val="20"/>
                <w:szCs w:val="20"/>
                <w:highlight w:val="white"/>
                <w:u w:val="none"/>
                <w:lang w:val="en-US" w:eastAsia="zh-CN" w:bidi="ar"/>
              </w:rPr>
              <w:t xml:space="preserve">4.工作压力：≥0.8MPa</w:t>
            </w:r>
            <w:r>
              <w:rPr>
                <w:rFonts w:hint="default" w:ascii="宋体" w:hAnsi="宋体" w:eastAsia="宋体" w:cs="宋体"/>
                <w:i w:val="0"/>
                <w:iCs w:val="0"/>
                <w:color w:val="000000"/>
                <w:sz w:val="20"/>
                <w:szCs w:val="20"/>
                <w:highlight w:val="white"/>
                <w:u w:val="none"/>
                <w:lang w:val="en-US" w:eastAsia="zh-CN" w:bidi="ar"/>
              </w:rPr>
              <w:br/>
            </w:r>
            <w:r>
              <w:rPr>
                <w:rFonts w:hint="default" w:ascii="宋体" w:hAnsi="宋体" w:eastAsia="宋体" w:cs="宋体"/>
                <w:i w:val="0"/>
                <w:iCs w:val="0"/>
                <w:color w:val="000000"/>
                <w:sz w:val="20"/>
                <w:szCs w:val="20"/>
                <w:highlight w:val="white"/>
                <w:u w:val="none"/>
                <w:lang w:val="en-US" w:eastAsia="zh-CN" w:bidi="ar"/>
              </w:rPr>
              <w:t xml:space="preserve">5.配备智能控制器，压力可调，电机为全铜线</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17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厂房自动伸缩顶棚采购安装</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yellow"/>
                <w:u w:val="none"/>
              </w:rPr>
              <w:suppressLineNumbers w:val="0"/>
            </w:pPr>
            <w:r>
              <w:rPr>
                <w:rFonts w:hint="eastAsia" w:ascii="宋体" w:hAnsi="宋体" w:eastAsia="宋体" w:cs="宋体"/>
                <w:i w:val="0"/>
                <w:iCs w:val="0"/>
                <w:color w:val="000000"/>
                <w:sz w:val="20"/>
                <w:szCs w:val="20"/>
                <w:highlight w:val="yellow"/>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white"/>
                <w:u w:val="none"/>
              </w:rPr>
              <w:suppressLineNumbers w:val="0"/>
            </w:pPr>
            <w:r>
              <w:rPr>
                <w:rFonts w:hint="default" w:ascii="宋体" w:hAnsi="宋体" w:eastAsia="宋体" w:cs="宋体"/>
                <w:i w:val="0"/>
                <w:iCs w:val="0"/>
                <w:color w:val="000000"/>
                <w:sz w:val="20"/>
                <w:szCs w:val="20"/>
                <w:highlight w:val="white"/>
                <w:u w:val="none"/>
                <w:lang w:val="en-US" w:eastAsia="zh-CN" w:bidi="ar"/>
              </w:rPr>
              <w:t xml:space="preserve">用于育秧车间顶部覆盖，可伸缩开启。</w:t>
            </w:r>
            <w:r>
              <w:rPr>
                <w:rFonts w:hint="default" w:ascii="宋体" w:hAnsi="宋体" w:eastAsia="宋体" w:cs="宋体"/>
                <w:i w:val="0"/>
                <w:iCs w:val="0"/>
                <w:color w:val="000000"/>
                <w:sz w:val="20"/>
                <w:szCs w:val="20"/>
                <w:highlight w:val="white"/>
                <w:u w:val="none"/>
                <w:lang w:val="en-US" w:eastAsia="zh-CN" w:bidi="ar"/>
              </w:rPr>
              <w:br/>
            </w:r>
            <w:r>
              <w:rPr>
                <w:rFonts w:hint="default" w:ascii="宋体" w:hAnsi="宋体" w:eastAsia="宋体" w:cs="宋体"/>
                <w:i w:val="0"/>
                <w:iCs w:val="0"/>
                <w:color w:val="000000"/>
                <w:sz w:val="20"/>
                <w:szCs w:val="20"/>
                <w:highlight w:val="white"/>
                <w:u w:val="none"/>
                <w:lang w:val="en-US" w:eastAsia="zh-CN" w:bidi="ar"/>
              </w:rPr>
              <w:t xml:space="preserve">1.覆盖面积约800㎡，长度约40m，宽度约20m，高度6m,伸缩展开最高高度 1.8m；整体采用分段模块化伸缩结构，运行平顺无卡滞，伸缩全程同步。</w:t>
            </w:r>
            <w:r>
              <w:rPr>
                <w:rFonts w:hint="default" w:ascii="宋体" w:hAnsi="宋体" w:eastAsia="宋体" w:cs="宋体"/>
                <w:i w:val="0"/>
                <w:iCs w:val="0"/>
                <w:color w:val="000000"/>
                <w:sz w:val="20"/>
                <w:szCs w:val="20"/>
                <w:highlight w:val="white"/>
                <w:u w:val="none"/>
                <w:lang w:val="en-US" w:eastAsia="zh-CN" w:bidi="ar"/>
              </w:rPr>
              <w:br/>
            </w:r>
            <w:r>
              <w:rPr>
                <w:rFonts w:hint="default" w:ascii="宋体" w:hAnsi="宋体" w:eastAsia="宋体" w:cs="宋体"/>
                <w:i w:val="0"/>
                <w:iCs w:val="0"/>
                <w:color w:val="000000"/>
                <w:sz w:val="20"/>
                <w:szCs w:val="20"/>
                <w:highlight w:val="white"/>
                <w:u w:val="none"/>
                <w:lang w:val="en-US" w:eastAsia="zh-CN" w:bidi="ar"/>
              </w:rPr>
              <w:t xml:space="preserve">▲2.骨架采用热镀锌钢管，主架间距≤1.2m，次梁加密布置；结构按 GB50009 建筑荷载规范设计，抗风等级≥</w:t>
            </w:r>
            <w:r>
              <w:rPr>
                <w:rFonts w:hint="eastAsia" w:ascii="宋体" w:hAnsi="宋体" w:cs="宋体"/>
                <w:i w:val="0"/>
                <w:iCs w:val="0"/>
                <w:color w:val="000000"/>
                <w:sz w:val="20"/>
                <w:szCs w:val="20"/>
                <w:highlight w:val="white"/>
                <w:u w:val="none"/>
                <w:lang w:val="en-US" w:eastAsia="zh-CN" w:bidi="ar"/>
              </w:rPr>
              <w:t xml:space="preserve">8</w:t>
            </w:r>
            <w:r>
              <w:rPr>
                <w:rFonts w:hint="default" w:ascii="宋体" w:hAnsi="宋体" w:eastAsia="宋体" w:cs="宋体"/>
                <w:i w:val="0"/>
                <w:iCs w:val="0"/>
                <w:color w:val="000000"/>
                <w:sz w:val="20"/>
                <w:szCs w:val="20"/>
                <w:highlight w:val="white"/>
                <w:u w:val="none"/>
                <w:lang w:val="en-US" w:eastAsia="zh-CN" w:bidi="ar"/>
              </w:rPr>
              <w:t xml:space="preserve">级，</w:t>
            </w:r>
            <w:r>
              <w:rPr>
                <w:rFonts w:hint="eastAsia" w:ascii="宋体" w:hAnsi="宋体" w:cs="宋体"/>
                <w:i w:val="0"/>
                <w:iCs w:val="0"/>
                <w:color w:val="000000"/>
                <w:sz w:val="20"/>
                <w:szCs w:val="20"/>
                <w:highlight w:val="white"/>
                <w:u w:val="none"/>
                <w:lang w:val="en-US" w:eastAsia="zh-CN" w:bidi="ar"/>
              </w:rPr>
              <w:t xml:space="preserve">收缩抗风等级≥10级，</w:t>
            </w:r>
            <w:r>
              <w:rPr>
                <w:rFonts w:hint="default" w:ascii="宋体" w:hAnsi="宋体" w:eastAsia="宋体" w:cs="宋体"/>
                <w:i w:val="0"/>
                <w:iCs w:val="0"/>
                <w:color w:val="000000"/>
                <w:sz w:val="20"/>
                <w:szCs w:val="20"/>
                <w:highlight w:val="white"/>
                <w:u w:val="none"/>
                <w:lang w:val="en-US" w:eastAsia="zh-CN" w:bidi="ar"/>
              </w:rPr>
              <w:t xml:space="preserve">同时满足 0.5kN/m² 雪荷载要求，做应力验算、挠度控制，整体结构安全可靠，可抵御强台风、暴雪天气。配套预埋件、抗倾覆锚固件，立柱底部加厚法兰底座。</w:t>
            </w:r>
            <w:r>
              <w:rPr>
                <w:highlight w:val="white"/>
              </w:rPr>
            </w:r>
          </w:p>
          <w:p>
            <w:pPr>
              <w:jc w:val="left"/>
              <w:keepLines w:val="0"/>
              <w:keepNext w:val="0"/>
              <w:widowControl/>
              <w:rPr>
                <w:rFonts w:hint="default" w:ascii="宋体" w:hAnsi="宋体" w:eastAsia="宋体" w:cs="宋体"/>
                <w:i w:val="0"/>
                <w:iCs w:val="0"/>
                <w:color w:val="000000"/>
                <w:sz w:val="20"/>
                <w:szCs w:val="20"/>
                <w:highlight w:val="white"/>
                <w:u w:val="none"/>
              </w:rPr>
              <w:suppressLineNumbers w:val="0"/>
            </w:pPr>
            <w:r>
              <w:rPr>
                <w:rFonts w:hint="eastAsia" w:ascii="宋体" w:hAnsi="宋体" w:cs="宋体"/>
                <w:i w:val="0"/>
                <w:iCs w:val="0"/>
                <w:color w:val="000000"/>
                <w:sz w:val="20"/>
                <w:szCs w:val="20"/>
                <w:highlight w:val="white"/>
                <w:u w:val="none"/>
                <w:lang w:val="en-US" w:eastAsia="zh-CN" w:bidi="ar"/>
              </w:rPr>
              <w:t xml:space="preserve">3.</w:t>
            </w:r>
            <w:r>
              <w:rPr>
                <w:rFonts w:hint="default" w:ascii="宋体" w:hAnsi="宋体" w:eastAsia="宋体" w:cs="宋体"/>
                <w:i w:val="0"/>
                <w:iCs w:val="0"/>
                <w:color w:val="000000"/>
                <w:sz w:val="20"/>
                <w:szCs w:val="20"/>
                <w:highlight w:val="white"/>
                <w:u w:val="none"/>
                <w:lang w:val="en-US" w:eastAsia="zh-CN" w:bidi="ar"/>
              </w:rPr>
              <w:t xml:space="preserve">膜布采用</w:t>
            </w:r>
            <w:r>
              <w:rPr>
                <w:rFonts w:hint="eastAsia" w:ascii="宋体" w:hAnsi="宋体" w:cs="宋体"/>
                <w:i w:val="0"/>
                <w:iCs w:val="0"/>
                <w:color w:val="000000"/>
                <w:sz w:val="20"/>
                <w:szCs w:val="20"/>
                <w:highlight w:val="white"/>
                <w:u w:val="none"/>
                <w:lang w:val="en-US" w:eastAsia="zh-CN" w:bidi="ar"/>
              </w:rPr>
              <w:t xml:space="preserve">9</w:t>
            </w:r>
            <w:r>
              <w:rPr>
                <w:rFonts w:hint="default" w:ascii="宋体" w:hAnsi="宋体" w:eastAsia="宋体" w:cs="宋体"/>
                <w:i w:val="0"/>
                <w:iCs w:val="0"/>
                <w:color w:val="000000"/>
                <w:sz w:val="20"/>
                <w:szCs w:val="20"/>
                <w:highlight w:val="white"/>
                <w:u w:val="none"/>
                <w:lang w:val="en-US" w:eastAsia="zh-CN" w:bidi="ar"/>
              </w:rPr>
              <w:t xml:space="preserve">50g/m² 高强度 PVC ，抗暴雨冰雹以及暴晒等恶劣天气。</w:t>
            </w:r>
            <w:r>
              <w:rPr>
                <w:rFonts w:hint="default" w:ascii="宋体" w:hAnsi="宋体" w:eastAsia="宋体" w:cs="宋体"/>
                <w:i w:val="0"/>
                <w:iCs w:val="0"/>
                <w:color w:val="000000"/>
                <w:sz w:val="20"/>
                <w:szCs w:val="20"/>
                <w:highlight w:val="white"/>
                <w:u w:val="none"/>
                <w:lang w:val="en-US" w:eastAsia="zh-CN" w:bidi="ar"/>
              </w:rPr>
              <w:br/>
            </w:r>
            <w:r>
              <w:rPr>
                <w:rFonts w:hint="default" w:ascii="宋体" w:hAnsi="宋体" w:eastAsia="宋体" w:cs="宋体"/>
                <w:i w:val="0"/>
                <w:iCs w:val="0"/>
                <w:color w:val="000000"/>
                <w:sz w:val="20"/>
                <w:szCs w:val="20"/>
                <w:highlight w:val="white"/>
                <w:u w:val="none"/>
                <w:lang w:val="en-US" w:eastAsia="zh-CN" w:bidi="ar"/>
              </w:rPr>
              <w:t xml:space="preserve">4.驱动方式：电动，4驱0.8kW电机（或等效），配备智能控制电箱、双路行程限位（机械限位+电子限位双重保护）、无线遥控 + 本地手动控制功能；增加过载保护、遇阻停机、断电刹车功能，伸缩全程多组同步监测，防止跑偏、不同步。</w:t>
            </w:r>
            <w:r>
              <w:rPr>
                <w:highlight w:val="white"/>
              </w:rPr>
            </w:r>
          </w:p>
          <w:p>
            <w:pPr>
              <w:jc w:val="left"/>
              <w:keepLines w:val="0"/>
              <w:keepNext w:val="0"/>
              <w:widowControl/>
              <w:rPr>
                <w:rFonts w:hint="eastAsia" w:ascii="宋体" w:hAnsi="宋体" w:eastAsia="宋体" w:cs="宋体"/>
                <w:i w:val="0"/>
                <w:iCs w:val="0"/>
                <w:color w:val="000000"/>
                <w:sz w:val="20"/>
                <w:szCs w:val="20"/>
                <w:highlight w:val="white"/>
                <w:u w:val="none"/>
              </w:rPr>
              <w:suppressLineNumbers w:val="0"/>
            </w:pPr>
            <w:r>
              <w:rPr>
                <w:rFonts w:hint="default" w:ascii="宋体" w:hAnsi="宋体" w:eastAsia="宋体" w:cs="宋体"/>
                <w:i w:val="0"/>
                <w:iCs w:val="0"/>
                <w:color w:val="000000"/>
                <w:sz w:val="20"/>
                <w:szCs w:val="20"/>
                <w:highlight w:val="white"/>
                <w:u w:val="none"/>
                <w:lang w:val="en-US" w:eastAsia="zh-CN" w:bidi="ar"/>
              </w:rPr>
              <w:t xml:space="preserve">5.电机防护等级≥IP55，运行噪声≤75dB(A)所有电控元器件选用一线品牌，电箱带防雨防尘外壳，具备漏电、缺相、过热保护。</w:t>
            </w:r>
            <w:r>
              <w:rPr>
                <w:rFonts w:hint="default" w:ascii="宋体" w:hAnsi="宋体" w:eastAsia="宋体" w:cs="宋体"/>
                <w:i w:val="0"/>
                <w:iCs w:val="0"/>
                <w:color w:val="000000"/>
                <w:sz w:val="20"/>
                <w:szCs w:val="20"/>
                <w:highlight w:val="white"/>
                <w:u w:val="none"/>
                <w:lang w:val="en-US" w:eastAsia="zh-CN" w:bidi="ar"/>
              </w:rPr>
              <w:br/>
            </w:r>
            <w:r>
              <w:rPr>
                <w:rFonts w:hint="default" w:ascii="宋体" w:hAnsi="宋体" w:eastAsia="宋体" w:cs="宋体"/>
                <w:i w:val="0"/>
                <w:iCs w:val="0"/>
                <w:color w:val="000000"/>
                <w:sz w:val="20"/>
                <w:szCs w:val="20"/>
                <w:highlight w:val="white"/>
                <w:u w:val="none"/>
                <w:lang w:val="en-US" w:eastAsia="zh-CN" w:bidi="ar"/>
              </w:rPr>
              <w:t xml:space="preserve">6.投标人须提供结构设计计算书、抗风计算书，并负责安装调试,质保期内免费上门维修、更换损坏配件。</w:t>
            </w:r>
            <w:r>
              <w:rPr>
                <w:highlight w:val="white"/>
              </w:rP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包括全部设备及材料的运输、现场装卸、就位、安装、布线、单机调试、联动试运行等全部工作，直至达到验收条件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动力配电箱，桥架，水管，线缆</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default" w:ascii="宋体" w:hAnsi="宋体" w:eastAsia="宋体" w:cs="宋体"/>
                <w:i w:val="0"/>
                <w:iCs w:val="0"/>
                <w:color w:val="000000"/>
                <w:sz w:val="20"/>
                <w:szCs w:val="20"/>
                <w:u w:val="none"/>
                <w:lang w:val="en-US" w:eastAsia="zh-CN" w:bidi="ar"/>
              </w:rPr>
              <w:t xml:space="preserve">1.动力柜：XL-21落地动力柜1个，配置电流表、电压表、空气开关、断路器、热保护器、端子等电器元件，防护等级≥IP54；作用：驱动育秧流水线、暗室、通风设备等，配置各动力空气开关及保护装置。</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2.线缆：国标铜芯线缆，满足总装机容量及同时使用系数要求，投标人需提供配电系统图及负荷计算书。</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3.桥架、水管：数量及规格根据现场布局设计，满足系统供水、排水、布线要求。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sz w:val="20"/>
                <w:szCs w:val="20"/>
                <w:u w:val="none"/>
              </w:rPr>
            </w:r>
            <w:r/>
          </w:p>
        </w:tc>
      </w:tr>
    </w:tbl>
    <w:p>
      <w:pPr>
        <w:widowControl/>
        <w:rPr>
          <w:rFonts w:hint="eastAsia" w:ascii="宋体" w:hAnsi="宋体" w:cs="宋体"/>
          <w:sz w:val="24"/>
        </w:rPr>
      </w:pPr>
      <w:r>
        <w:rPr>
          <w:rFonts w:hint="eastAsia" w:ascii="Noto Sans SC" w:hAnsi="Noto Sans SC" w:eastAsia="Noto Sans SC" w:cs="宋体"/>
          <w:color w:val="000000"/>
          <w:sz w:val="27"/>
          <w:szCs w:val="27"/>
        </w:rPr>
        <w:t xml:space="preserve">四、商务要求</w:t>
      </w:r>
      <w:r/>
    </w:p>
    <w:p>
      <w:pPr>
        <w:widowControl/>
        <w:rPr>
          <w:rFonts w:hint="eastAsia" w:ascii="宋体" w:hAnsi="宋体" w:eastAsia="宋体" w:cs="宋体"/>
          <w:sz w:val="22"/>
          <w:szCs w:val="21"/>
        </w:rPr>
      </w:pPr>
      <w:r>
        <w:rPr>
          <w:rFonts w:hint="eastAsia" w:ascii="宋体" w:hAnsi="宋体" w:eastAsia="宋体" w:cs="宋体"/>
          <w:sz w:val="22"/>
          <w:szCs w:val="21"/>
        </w:rPr>
        <w:t xml:space="preserve">1.报价要求</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（1）</w:t>
      </w:r>
      <w:r>
        <w:rPr>
          <w:rFonts w:hint="eastAsia" w:ascii="宋体" w:hAnsi="宋体" w:eastAsia="宋体" w:cs="宋体"/>
          <w:i w:val="0"/>
          <w:iCs w:val="0"/>
          <w:caps w:val="0"/>
          <w:color w:val="0f1115"/>
          <w:spacing w:val="0"/>
          <w:sz w:val="22"/>
          <w:szCs w:val="22"/>
          <w:shd w:val="clear" w:color="auto" w:fill="ffffff"/>
        </w:rPr>
        <w:t xml:space="preserve">本项目报价为交钥匙全包价，应包含与本次智能育秧车间成套设备采购有关的所有费用，包括但不限于设备及配件、辅材、运输、装卸、安装、调试、检测、验收、培训、质保期服务、伴随配套服务、税费、保险等全部含税费用；同时包含供应商人员薪酬、国家强制缴纳的社会保障资金，以及供应商为完成本项目所需的其他所有费用</w:t>
      </w:r>
      <w:r>
        <w:rPr>
          <w:rFonts w:hint="eastAsia" w:ascii="宋体" w:hAnsi="宋体" w:eastAsia="宋体" w:cs="宋体"/>
          <w:bCs/>
          <w:sz w:val="22"/>
          <w:szCs w:val="21"/>
        </w:rPr>
        <w:t xml:space="preserve">。 </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（2）</w:t>
      </w:r>
      <w:r>
        <w:rPr>
          <w:rFonts w:hint="eastAsia" w:ascii="宋体" w:hAnsi="宋体" w:eastAsia="宋体" w:cs="宋体"/>
          <w:i w:val="0"/>
          <w:iCs w:val="0"/>
          <w:caps w:val="0"/>
          <w:color w:val="0f1115"/>
          <w:spacing w:val="0"/>
          <w:sz w:val="22"/>
          <w:szCs w:val="22"/>
          <w:shd w:val="clear" w:color="auto" w:fill="ffffff"/>
        </w:rPr>
        <w:t xml:space="preserve">供应商应充分考虑项目全部功能所需的货物和服务，其报价应覆盖全部内容。因供应商漏报、错报导致项目无法达到验收要求的，供应商应无偿补充或整改，不得增加额外费用</w:t>
      </w:r>
      <w:r>
        <w:rPr>
          <w:rFonts w:hint="eastAsia" w:ascii="宋体" w:hAnsi="宋体" w:eastAsia="宋体" w:cs="宋体"/>
          <w:bCs/>
          <w:sz w:val="22"/>
          <w:szCs w:val="21"/>
        </w:rPr>
        <w:t xml:space="preserve">。 </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（3）</w:t>
      </w:r>
      <w:r>
        <w:rPr>
          <w:rFonts w:hint="eastAsia" w:ascii="宋体" w:hAnsi="宋体" w:eastAsia="宋体" w:cs="宋体"/>
          <w:i w:val="0"/>
          <w:iCs w:val="0"/>
          <w:caps w:val="0"/>
          <w:color w:val="0f1115"/>
          <w:spacing w:val="0"/>
          <w:sz w:val="22"/>
          <w:szCs w:val="22"/>
          <w:shd w:val="clear" w:color="auto" w:fill="ffffff"/>
        </w:rPr>
        <w:t xml:space="preserve">应商报价除包含本文件列明的设备清单项目外，还应包含保障设备系统正常运行、实现全部功能所必需的所有物资与服务。如双方对保障正常使用所必需的物资和服务范围存在分歧，应基于项目功能目标协商解决；协商不成的，由采购人根据行业常规做法及项目实际需求确定，供应商应予配合</w:t>
      </w:r>
      <w:r>
        <w:rPr>
          <w:rFonts w:hint="eastAsia" w:ascii="宋体" w:hAnsi="宋体" w:eastAsia="宋体" w:cs="宋体"/>
          <w:bCs/>
          <w:sz w:val="22"/>
          <w:szCs w:val="21"/>
        </w:rPr>
        <w:t xml:space="preserve">。</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（4）本项目执行财库〔2026〕2号《关于推动解决政府采购异常低价问题相关工作的通知》的相关规定。</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4.1 评审中出现下列情形之一的，评审委员会应当启动异常低价投标（响应）审查程序： </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（1）投标（响应）报价低于全部通过符合性审查供应商投标（响应）报价平均值50%的，即投标（响应）报价&lt;全部通过符合性审查供应商投标（响应）报价平均值×50%； </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（2）投标（响应）报价低于通过符合性审查的次低报价供应商投标（响应）报价50%的，即投标（响应）报价&lt;通过符合性审查的次低报价供应商投标（响应）报价×50%； </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（3）投标（响应）报价低于采购项目最高限价65%的，即投标（响应）报价&lt;采购项目最高限价×65%； </w:t>
      </w:r>
      <w:r/>
    </w:p>
    <w:p>
      <w:pPr>
        <w:widowControl/>
        <w:rPr>
          <w:rFonts w:hint="eastAsia" w:ascii="宋体" w:hAnsi="宋体" w:eastAsia="宋体" w:cs="宋体"/>
          <w:bCs/>
          <w:sz w:val="22"/>
          <w:szCs w:val="21"/>
        </w:rPr>
      </w:pPr>
      <w:r>
        <w:rPr>
          <w:rFonts w:hint="eastAsia" w:ascii="宋体" w:hAnsi="宋体" w:eastAsia="宋体" w:cs="宋体"/>
          <w:bCs/>
          <w:sz w:val="22"/>
          <w:szCs w:val="21"/>
        </w:rPr>
        <w:t xml:space="preserve">（4）评审委员会基于专业判断，认为供应商报价过低，有可能影响产品质量或者不能诚信履约的其他情形。 </w:t>
      </w:r>
      <w:r/>
    </w:p>
    <w:p>
      <w:pPr>
        <w:widowControl/>
        <w:rPr>
          <w:rFonts w:hint="eastAsia" w:ascii="宋体" w:hAnsi="宋体" w:eastAsia="宋体" w:cs="宋体"/>
          <w:sz w:val="22"/>
          <w:szCs w:val="21"/>
        </w:rPr>
      </w:pPr>
      <w:r>
        <w:rPr>
          <w:rFonts w:hint="eastAsia" w:ascii="宋体" w:hAnsi="宋体" w:eastAsia="宋体" w:cs="宋体"/>
          <w:bCs/>
          <w:sz w:val="22"/>
          <w:szCs w:val="21"/>
        </w:rPr>
        <w:t xml:space="preserve">相关法律法规对供应商报价有规定的，从其规定。</w:t>
      </w:r>
      <w:r/>
    </w:p>
    <w:p>
      <w:pPr>
        <w:widowControl/>
        <w:rPr>
          <w:rFonts w:hint="eastAsia" w:ascii="宋体" w:hAnsi="宋体" w:eastAsia="宋体" w:cs="宋体"/>
          <w:sz w:val="22"/>
          <w:szCs w:val="21"/>
        </w:rPr>
      </w:pPr>
      <w:r>
        <w:rPr>
          <w:rFonts w:hint="eastAsia" w:ascii="宋体" w:hAnsi="宋体" w:eastAsia="宋体" w:cs="宋体"/>
          <w:sz w:val="22"/>
          <w:szCs w:val="21"/>
        </w:rPr>
        <w:t xml:space="preserve">2.实施要求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（1）总体要求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本项目为智能育秧车间成套设备交钥匙采购项目，以采购人完整实现设计产能与全部功能为最终目标。凡设备清单中未列明，但为实现育秧流水线整体功能、保障系统稳定运行所必需的其他设备、附件、连接件、管线、辅材及配套服务，均包含在投标报价内，采购人不再追加任何预算。</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本技术参数所列设备外形尺寸、安装尺寸为基准设计参考值，投标人应充分考虑现场适配余量并自行踏勘现场；最终供货安装尺寸可根据现场实际需求微调，以采购人书面确认为准，合同总价不作调整。</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（2）现场条件</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采购人将在投标截止前组织统一现场踏勘，投标人应自行评估现场条件（包括地面承载、电源接入点、水源、排水、消防通道、安装空间等），并在投标文件中提供详细的设备布置图及安装方案。因投标人未踏勘现场或对现场条件估计不足导致的费用增加，由投标人自行承担。</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（3）质量要求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① 质量证明文件</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供应商中标后须提供全部主要设备完整的质量证明文件，包括但不限于出厂合格证、原厂检测报告、主要外购件品牌证明、关键部件</w:t>
      </w:r>
      <w:bookmarkStart w:id="212" w:name="_GoBack"/>
      <w:r>
        <w:rPr>
          <w:rFonts w:hint="eastAsia" w:ascii="宋体" w:hAnsi="宋体" w:eastAsia="宋体" w:cs="宋体"/>
          <w:sz w:val="22"/>
          <w:szCs w:val="22"/>
        </w:rPr>
        <w:t xml:space="preserve">质保</w:t>
      </w:r>
      <w:bookmarkEnd w:id="212"/>
      <w:r>
        <w:rPr>
          <w:rFonts w:hint="eastAsia" w:ascii="宋体" w:hAnsi="宋体" w:eastAsia="宋体" w:cs="宋体"/>
          <w:sz w:val="22"/>
          <w:szCs w:val="22"/>
        </w:rPr>
        <w:t xml:space="preserve">凭证等。叉车等特种设备须提供符合国家特种设备安全监管要求的出厂技术资料、产品合格证及法定检验证明。</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② 质量保证期</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本项目所供全部设备、材料及安装工程的质量保证期，自项目最终验收合格之日起计算，整体不低于</w:t>
      </w:r>
      <w:r>
        <w:rPr>
          <w:rFonts w:hint="eastAsia" w:ascii="宋体" w:hAnsi="宋体" w:cs="宋体"/>
          <w:sz w:val="22"/>
          <w:szCs w:val="22"/>
          <w:lang w:val="en-US" w:eastAsia="zh-CN"/>
        </w:rPr>
        <w:t xml:space="preserve">1</w:t>
      </w:r>
      <w:r>
        <w:rPr>
          <w:rFonts w:hint="eastAsia" w:ascii="宋体" w:hAnsi="宋体" w:eastAsia="宋体" w:cs="宋体"/>
          <w:sz w:val="22"/>
          <w:szCs w:val="22"/>
        </w:rPr>
        <w:t xml:space="preserve">年。国家规定或原厂承诺质保期长于</w:t>
      </w:r>
      <w:r>
        <w:rPr>
          <w:rFonts w:hint="eastAsia" w:ascii="宋体" w:hAnsi="宋体" w:cs="宋体"/>
          <w:sz w:val="22"/>
          <w:szCs w:val="22"/>
          <w:lang w:val="en-US" w:eastAsia="zh-CN"/>
        </w:rPr>
        <w:t xml:space="preserve">1</w:t>
      </w:r>
      <w:r>
        <w:rPr>
          <w:rFonts w:hint="eastAsia" w:ascii="宋体" w:hAnsi="宋体" w:eastAsia="宋体" w:cs="宋体"/>
          <w:sz w:val="22"/>
          <w:szCs w:val="22"/>
        </w:rPr>
        <w:t xml:space="preserve">年的部件/设备，按国家规定或原厂承诺执行，以期限较长者为准。</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质保期内，因设备自身设计、制造、材质缺陷或安装质量原因导致的任何故障、损坏，供应商须免费维修或更换，并承担由此产生的全部费用（包括但不限于人工费、材料费、运输费、差旅费、保险费等）。</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主要核心部件（包括但不限于播种流水线排种器组件与驱动电机、叠盘机伺服电机与丝杆顶升机构、码垛机PLC控制系统与X轴传动系统、浸种催芽机加热组件与PT100温度传感器、上土筛土机减速电机与筛网组件、育秧智能总控制箱核心控制模块等）在质保期内发生质量问题的，更换后的部件质保期自更换完成之日起重新计算。</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③ 质保期服务响应</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供应商须在接到采购人报修通知后2小时内作出明确响应，24小时内指派技术人员到达现场处理一般故障，48小时内排除故障恢复正常运行。若无法在规定时限内修复，供应商须提供备用设备或应急解决方案，确保采购人育秧生产不受重大影响。</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质保期内，供应商每年应提供不少于2次的免费全员设备巡检与保养服务，并出具正式书面巡检报告，明确设备运行状态、损耗情况及维护建议。</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④ 备品备件供应</w:t>
      </w:r>
      <w:r/>
    </w:p>
    <w:p>
      <w:pPr>
        <w:numPr>
          <w:ilvl w:val="0"/>
          <w:numId w:val="0"/>
        </w:numPr>
        <w:widowControl/>
        <w:rPr>
          <w:rFonts w:hint="eastAsia" w:ascii="宋体" w:hAnsi="宋体" w:eastAsia="宋体" w:cs="宋体"/>
          <w:b/>
          <w:bCs/>
          <w:sz w:val="22"/>
          <w:szCs w:val="22"/>
        </w:rPr>
      </w:pPr>
      <w:r>
        <w:rPr>
          <w:rFonts w:hint="eastAsia" w:ascii="宋体" w:hAnsi="宋体" w:eastAsia="宋体" w:cs="宋体"/>
          <w:b/>
          <w:bCs/>
          <w:sz w:val="22"/>
          <w:szCs w:val="22"/>
        </w:rPr>
        <w:t xml:space="preserve">供应商须在投标文件中提供本项目主要易损件清单（包括但不限于排种器胶轮、输送皮带、筛网、喷淋头、密封件、传动链条、电气保护元件、覆土毛刷等）及对应单价，并承诺在质保期内及质保期满后10年内，以不高于投标时同规格备件报价或同期市场公允价的优惠价格持续供应原厂正品备件。质保期内因设备自身质量问题损坏的易损件，由供应商免费更换。</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⑤ 制造与安装工艺要求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1）所有钢结构机架、支架、设备骨架、顶棚骨架等焊接完成后，必须进行彻底除锈处理；表面喷塑/喷涂涂层应平整光滑、无裂纹、起泡、流挂或脱落现象，漆膜厚度均匀，最终颜色由采购人指定。</w:t>
      </w:r>
      <w:r>
        <w:rPr>
          <w:rFonts w:hint="eastAsia" w:ascii="宋体" w:hAnsi="宋体" w:eastAsia="宋体" w:cs="宋体"/>
          <w:sz w:val="22"/>
          <w:szCs w:val="22"/>
        </w:rPr>
        <w:br/>
      </w:r>
      <w:r>
        <w:rPr>
          <w:rFonts w:hint="eastAsia" w:ascii="宋体" w:hAnsi="宋体" w:eastAsia="宋体" w:cs="宋体"/>
          <w:sz w:val="22"/>
          <w:szCs w:val="22"/>
        </w:rPr>
        <w:t xml:space="preserve">2）主机设备控制柜及现场控制箱内的电气元件（交流接触器、断路器、热继电器等），应采用正泰、德力西或同等及以上品牌产品。招标文件中所列品牌仅供参考，投标人可提供同等或更优品牌，但需提供相关证明文件。</w:t>
      </w:r>
      <w:r>
        <w:rPr>
          <w:rFonts w:hint="eastAsia" w:ascii="宋体" w:hAnsi="宋体" w:eastAsia="宋体" w:cs="宋体"/>
          <w:sz w:val="22"/>
          <w:szCs w:val="22"/>
        </w:rPr>
        <w:br/>
      </w:r>
      <w:r>
        <w:rPr>
          <w:rFonts w:hint="eastAsia" w:ascii="宋体" w:hAnsi="宋体" w:eastAsia="宋体" w:cs="宋体"/>
          <w:sz w:val="22"/>
          <w:szCs w:val="22"/>
        </w:rPr>
        <w:t xml:space="preserve">3）育秧设备智能总控制箱须提供开放的标准通讯接口与协议，支持接入采购人现有或后续建设的信息化管理平台，基础数据交互、端口授权功能终身免费使用，无后续服务费用；系统可实现设备运行状态监测、运行数据采集分析、运维信息交互等功能。深度定制开发或第三方平台接入费用另行协商。</w:t>
      </w:r>
      <w:r>
        <w:rPr>
          <w:rFonts w:hint="eastAsia" w:ascii="宋体" w:hAnsi="宋体" w:eastAsia="宋体" w:cs="宋体"/>
          <w:sz w:val="22"/>
          <w:szCs w:val="22"/>
        </w:rPr>
        <w:br/>
      </w:r>
      <w:r>
        <w:rPr>
          <w:rFonts w:hint="eastAsia" w:ascii="宋体" w:hAnsi="宋体" w:eastAsia="宋体" w:cs="宋体"/>
          <w:sz w:val="22"/>
          <w:szCs w:val="22"/>
        </w:rPr>
        <w:t xml:space="preserve">4）接触种子、基质土的设备内壁与部件，须采用无毒、耐腐蚀、符合农业生产安全要求的材质，表面光滑无毛刺、无物料残留死角，便于清洁维护。</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⑥ 质保期后服务</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供应商须承诺质保期满后，继续为采购人提供终身维修服务与技术支持，服务响应时效与质保期保持一致；维修服务仅收取成本费用，常年免费提供技术咨询与操作指导。</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（4）交付与安装要求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1）交付周期：合同签订后30日内完成全部货物的到货交付；货物到场后30日内完成全部设备的安装、布线、单机调试与联动试运行，达到验收条件。因采购人现场不具备安装条件或不可抗力导致的延误，工期相应顺延。</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（2）交付地点：采购人指定项目现场。供应商负责货物全程运输、现场装卸、设备就位，运输及安装过程中的安全责任与全部费用由供应商自行承担。</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（3）调试要求：供应商须完成整套育秧流水线的联动调试，确保各项技术参数完全符合招标文件要求，设备运行稳定可靠。调试期间应记录运行数据，形成调试报告，作为验收依据之一。</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（5）验收要求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（1）验收组织：采购人有权委托依法取得检测、认证资质的第三方机构开展检测验收；有权委托第三方监理单位全程参与项目实施与验收过程；有权邀请相关专业人员参与验收监督。</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2）验收标准：设备性能、质量、安装及功能均须符合国家现行相关标准、行业规范、本文件约定的技术参数，以及投标文件承诺与合同约定；成套设备联动试运行的产能、精度、稳定性等核心指标须达到设计要求。所有量化指标均需提供测试方法及数据支持。</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（3）验收结果处理：</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① 合格确认：设备试运行达标、全部技术与服务要求满足约定后，双方签署《项目验收报告》，作为付款依据。</w:t>
      </w:r>
      <w:r>
        <w:rPr>
          <w:rFonts w:hint="eastAsia" w:ascii="宋体" w:hAnsi="宋体" w:eastAsia="宋体" w:cs="宋体"/>
          <w:sz w:val="22"/>
          <w:szCs w:val="22"/>
        </w:rPr>
        <w:br/>
      </w:r>
      <w:r>
        <w:rPr>
          <w:rFonts w:hint="eastAsia" w:ascii="宋体" w:hAnsi="宋体" w:eastAsia="宋体" w:cs="宋体"/>
          <w:sz w:val="22"/>
          <w:szCs w:val="22"/>
        </w:rPr>
        <w:t xml:space="preserve">② 不合格处理：验收不合格的，供应商须在7-15日内完成全部问题整改并重新申请验收；整改产生的所有费用由供应商承担。</w:t>
      </w:r>
      <w:r>
        <w:rPr>
          <w:rFonts w:hint="eastAsia" w:ascii="宋体" w:hAnsi="宋体" w:eastAsia="宋体" w:cs="宋体"/>
          <w:sz w:val="22"/>
          <w:szCs w:val="22"/>
        </w:rPr>
        <w:br/>
      </w:r>
      <w:r>
        <w:rPr>
          <w:rFonts w:hint="eastAsia" w:ascii="宋体" w:hAnsi="宋体" w:eastAsia="宋体" w:cs="宋体"/>
          <w:sz w:val="22"/>
          <w:szCs w:val="22"/>
        </w:rPr>
        <w:t xml:space="preserve">③ 违约责任：整改后仍验收不合格的，采购人有权根据情况选择降价接收、换货处理或解除合同。因供应商原因导致解除合同的，供应商应向采购人支付合同总额15%的违约金；造成采购人损失的，另行赔偿。违约金比例可根据实际情况在合同中明确。</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（6）培训要求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供应商须免费为采购人提供系统的操作与维护培训，培训对象不少于3名一线操作人员与2名管理人员；培训内容包括设备操作、日常保养、常见故障排查、安全规范等，确保受训人员能够独立上岗操作、完成日常维护与简单故障处理。</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供应商须随设备交付全套纸质版与电子版操作手册、维护保养手册，并提供培训记录及考核结果。</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（7）付款条件</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以本项目第三章合同文本约定为准。</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（8）其他要求</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1）本招标文件要求提供的各类证明材料，签订合同前供应商须按要求提供原件供采购人核验；未按要求提供或核验结果与投标文件响应内容不符的，视为提供虚假材料谋取中标，采购人将取消其中标资格，并按相关规定处理。</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（2）本项目评标方法与评标标准中涉及的评分证明材料，供应商须在投标文件中完整提供，由评审委员会在评审现场核验，未按要求提供的不予计分。</w:t>
      </w:r>
      <w:r/>
    </w:p>
    <w:p>
      <w:pPr>
        <w:numPr>
          <w:ilvl w:val="0"/>
          <w:numId w:val="0"/>
        </w:numPr>
        <w:widowControl/>
        <w:rPr>
          <w:rFonts w:hint="eastAsia" w:ascii="宋体" w:hAnsi="宋体" w:eastAsia="宋体" w:cs="宋体"/>
          <w:sz w:val="22"/>
          <w:szCs w:val="22"/>
        </w:rPr>
      </w:pPr>
      <w:r>
        <w:rPr>
          <w:rFonts w:hint="eastAsia" w:ascii="宋体" w:hAnsi="宋体" w:eastAsia="宋体" w:cs="宋体"/>
          <w:sz w:val="22"/>
          <w:szCs w:val="22"/>
        </w:rPr>
        <w:t xml:space="preserve">（3）投标人须在投标文件中提交《技术规格偏离表》，逐项响应本项目技术参数，注明无偏离、正偏离或负偏离；对于正偏离，应提供相关证明材料。</w:t>
      </w:r>
      <w:r/>
    </w:p>
    <w:p>
      <w:pPr>
        <w:numPr>
          <w:ilvl w:val="0"/>
          <w:numId w:val="0"/>
        </w:numPr>
        <w:widowControl/>
        <w:rPr>
          <w:rFonts w:hint="eastAsia" w:ascii="宋体" w:hAnsi="宋体" w:cs="宋体"/>
          <w:sz w:val="24"/>
        </w:rPr>
      </w:pPr>
      <w:r>
        <w:rPr>
          <w:rFonts w:hint="eastAsia" w:ascii="宋体" w:hAnsi="宋体" w:eastAsia="宋体" w:cs="宋体"/>
          <w:sz w:val="22"/>
          <w:szCs w:val="22"/>
        </w:rPr>
        <w:t xml:space="preserve">（4）投标人须在投标文件中提供详细的设备布置图、安装调试方案、人员配备、进度计划及售后服务方案，作为评审和验收依据。</w:t>
      </w:r>
      <w:r/>
    </w:p>
    <w:p>
      <w:pPr>
        <w:ind w:right="840"/>
        <w:jc w:val="center"/>
        <w:rPr>
          <w:rFonts w:ascii="黑体" w:eastAsia="黑体"/>
          <w:b/>
          <w:sz w:val="32"/>
          <w:szCs w:val="36"/>
        </w:rPr>
      </w:pPr>
      <w:r>
        <w:rPr>
          <w:rFonts w:ascii="黑体" w:eastAsia="黑体"/>
          <w:b/>
          <w:sz w:val="32"/>
          <w:szCs w:val="36"/>
        </w:rPr>
      </w:r>
      <w:r/>
    </w:p>
    <w:p>
      <w:pPr>
        <w:ind w:right="840"/>
      </w:pPr>
      <w:r/>
      <w:r/>
    </w:p>
    <w:p>
      <w:pPr>
        <w:pStyle w:val="711"/>
        <w:ind w:firstLine="0"/>
        <w:rPr>
          <w:rFonts w:hint="eastAsia" w:cs="宋体"/>
          <w:sz w:val="24"/>
        </w:rPr>
      </w:pPr>
      <w:r>
        <w:rPr>
          <w:rFonts w:hint="eastAsia" w:cs="宋体"/>
          <w:sz w:val="24"/>
        </w:rPr>
        <w:t xml:space="preserve"> </w:t>
      </w:r>
      <w:r/>
    </w:p>
    <w:p>
      <w:pPr>
        <w:ind w:right="840"/>
        <w:jc w:val="center"/>
        <w:rPr>
          <w:rFonts w:ascii="黑体" w:eastAsia="黑体"/>
          <w:b/>
          <w:sz w:val="32"/>
          <w:szCs w:val="36"/>
        </w:rPr>
      </w:pPr>
      <w:r/>
      <w:bookmarkStart w:id="197" w:name="_Toc120614281"/>
      <w:r/>
      <w:r/>
    </w:p>
    <w:p>
      <w:pPr>
        <w:ind w:right="840"/>
        <w:jc w:val="center"/>
        <w:rPr>
          <w:rFonts w:hint="eastAsia" w:ascii="方正小标宋简体" w:hAnsi="方正小标宋简体" w:eastAsia="方正小标宋简体" w:cs="方正小标宋简体"/>
          <w:sz w:val="36"/>
          <w:szCs w:val="36"/>
        </w:rPr>
      </w:pPr>
      <w:r>
        <w:rPr>
          <w:rFonts w:ascii="黑体" w:eastAsia="黑体"/>
          <w:b/>
          <w:sz w:val="32"/>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1"/>
          <w:szCs w:val="21"/>
        </w:rPr>
      </w:pPr>
      <w:r>
        <w:rPr>
          <w:rFonts w:hint="eastAsia" w:ascii="黑体" w:hAnsi="黑体" w:eastAsia="黑体" w:cs="黑体"/>
          <w:sz w:val="21"/>
          <w:szCs w:val="21"/>
        </w:rPr>
        <w:t xml:space="preserve">一、评标方法</w:t>
      </w:r>
      <w:r/>
    </w:p>
    <w:p>
      <w:pPr>
        <w:ind w:firstLine="480"/>
        <w:spacing w:line="264" w:lineRule="auto"/>
        <w:rPr>
          <w:rFonts w:hint="eastAsia" w:ascii="宋体" w:hAnsi="宋体" w:cs="宋体"/>
          <w:sz w:val="21"/>
          <w:szCs w:val="21"/>
        </w:rPr>
      </w:pPr>
      <w:r>
        <w:rPr>
          <w:rFonts w:hint="eastAsia" w:ascii="宋体" w:hAnsi="宋体" w:cs="宋体"/>
          <w:sz w:val="21"/>
          <w:szCs w:val="21"/>
        </w:rPr>
        <w:t xml:space="preserve">1.采用综合评分法，评标结果按评审后得分由高到低顺序排列。得分相同的，按投标报价由低到高顺序排列。得分且投标报价相同的，按“三、评标标准中</w:t>
      </w:r>
      <w:r>
        <w:rPr>
          <w:rFonts w:ascii="宋体" w:hAnsi="宋体"/>
          <w:sz w:val="21"/>
          <w:szCs w:val="21"/>
        </w:rPr>
        <w:t xml:space="preserve">2</w:t>
      </w:r>
      <w:r>
        <w:rPr>
          <w:rFonts w:hint="eastAsia" w:ascii="宋体" w:hAnsi="宋体"/>
          <w:sz w:val="21"/>
          <w:szCs w:val="21"/>
        </w:rPr>
        <w:t xml:space="preserve">服务项</w:t>
      </w:r>
      <w:r>
        <w:rPr>
          <w:rFonts w:hint="eastAsia" w:ascii="宋体" w:hAnsi="宋体" w:cs="宋体"/>
          <w:sz w:val="21"/>
          <w:szCs w:val="21"/>
        </w:rPr>
        <w:t xml:space="preserve">”得分由高到低顺序排列。在投标文件满足招标文件全部实质性要求的供应商中，按照评审得分由高到低推荐</w:t>
      </w:r>
      <w:r>
        <w:rPr>
          <w:rFonts w:ascii="宋体" w:hAnsi="宋体"/>
          <w:sz w:val="21"/>
          <w:szCs w:val="21"/>
        </w:rPr>
        <w:t xml:space="preserve">1</w:t>
      </w:r>
      <w:r>
        <w:rPr>
          <w:rFonts w:hint="eastAsia" w:ascii="宋体" w:hAnsi="宋体"/>
          <w:sz w:val="21"/>
          <w:szCs w:val="21"/>
        </w:rPr>
        <w:t xml:space="preserve">名</w:t>
      </w:r>
      <w:r>
        <w:rPr>
          <w:rFonts w:hint="eastAsia" w:ascii="宋体" w:hAnsi="宋体" w:cs="宋体"/>
          <w:sz w:val="21"/>
          <w:szCs w:val="21"/>
        </w:rPr>
        <w:t xml:space="preserve">中标候选人。</w:t>
      </w:r>
      <w:r/>
    </w:p>
    <w:p>
      <w:pPr>
        <w:ind w:firstLine="480"/>
        <w:spacing w:line="264" w:lineRule="auto"/>
        <w:rPr>
          <w:rFonts w:hint="eastAsia" w:ascii="宋体" w:hAnsi="宋体" w:cs="宋体"/>
          <w:sz w:val="21"/>
          <w:szCs w:val="21"/>
        </w:rPr>
      </w:pPr>
      <w:r>
        <w:rPr>
          <w:rFonts w:hint="eastAsia" w:ascii="宋体" w:hAnsi="宋体" w:cs="宋体"/>
          <w:sz w:val="21"/>
          <w:szCs w:val="21"/>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sz w:val="21"/>
          <w:szCs w:val="21"/>
        </w:rPr>
      </w:pPr>
      <w:r>
        <w:rPr>
          <w:rFonts w:hint="eastAsia" w:ascii="黑体" w:hAnsi="黑体" w:eastAsia="黑体" w:cs="黑体"/>
          <w:sz w:val="21"/>
          <w:szCs w:val="21"/>
        </w:rPr>
        <w:t xml:space="preserve">二、小微企业价格扣除</w:t>
      </w:r>
      <w:r/>
    </w:p>
    <w:p>
      <w:pPr>
        <w:ind w:firstLine="480"/>
        <w:spacing w:line="264" w:lineRule="auto"/>
        <w:rPr>
          <w:rFonts w:hint="eastAsia" w:ascii="宋体" w:hAnsi="宋体"/>
          <w:sz w:val="21"/>
          <w:szCs w:val="21"/>
        </w:rPr>
      </w:pPr>
      <w:r>
        <w:rPr>
          <w:rFonts w:hint="eastAsia" w:ascii="宋体" w:hAnsi="宋体" w:cs="宋体"/>
          <w:sz w:val="21"/>
          <w:szCs w:val="21"/>
        </w:rPr>
        <w:t xml:space="preserve">1.</w:t>
      </w:r>
      <w:r>
        <w:rPr>
          <w:rFonts w:hint="eastAsia" w:ascii="宋体" w:hAnsi="宋体" w:cs="宋体"/>
          <w:sz w:val="21"/>
          <w:szCs w:val="21"/>
          <w:lang w:val="zh-CN"/>
        </w:rPr>
        <w:t xml:space="preserve">本项目全部货物制造商为小微企业的，</w:t>
      </w:r>
      <w:r>
        <w:rPr>
          <w:rFonts w:hint="eastAsia" w:ascii="宋体" w:hAnsi="宋体" w:cs="宋体"/>
          <w:sz w:val="21"/>
          <w:szCs w:val="21"/>
        </w:rPr>
        <w:t xml:space="preserve">对报价给予</w:t>
      </w:r>
      <w:r>
        <w:rPr>
          <w:rFonts w:hint="eastAsia" w:ascii="宋体" w:hAnsi="宋体"/>
          <w:sz w:val="21"/>
          <w:szCs w:val="21"/>
          <w:lang w:val="zh-CN"/>
        </w:rPr>
        <w:t xml:space="preserve">10%</w:t>
      </w:r>
      <w:r>
        <w:rPr>
          <w:rFonts w:hint="eastAsia" w:ascii="宋体" w:hAnsi="宋体" w:cs="宋体"/>
          <w:sz w:val="21"/>
          <w:szCs w:val="21"/>
        </w:rPr>
        <w:t xml:space="preserve">的扣除，用扣除后的价格参与评审。</w:t>
      </w:r>
      <w:r/>
    </w:p>
    <w:p>
      <w:pPr>
        <w:ind w:firstLine="480"/>
        <w:spacing w:line="264" w:lineRule="auto"/>
        <w:rPr>
          <w:rFonts w:hint="eastAsia" w:ascii="宋体" w:hAnsi="宋体" w:cs="宋体"/>
          <w:sz w:val="21"/>
          <w:szCs w:val="21"/>
        </w:rPr>
      </w:pPr>
      <w:r>
        <w:rPr>
          <w:rFonts w:hint="eastAsia" w:ascii="宋体" w:hAnsi="宋体" w:cs="宋体"/>
          <w:sz w:val="21"/>
          <w:szCs w:val="21"/>
        </w:rPr>
        <w:t xml:space="preserve">2.残疾人福利性单位视同小型、微型企业，给予</w:t>
      </w:r>
      <w:r>
        <w:rPr>
          <w:rFonts w:hint="eastAsia" w:ascii="宋体" w:hAnsi="宋体"/>
          <w:sz w:val="21"/>
          <w:szCs w:val="21"/>
        </w:rPr>
        <w:t xml:space="preserve">与小微企业相同</w:t>
      </w:r>
      <w:r>
        <w:rPr>
          <w:rFonts w:hint="eastAsia" w:ascii="宋体" w:hAnsi="宋体" w:cs="宋体"/>
          <w:sz w:val="21"/>
          <w:szCs w:val="21"/>
        </w:rPr>
        <w:t xml:space="preserve">的价格扣除，用扣除后的价格参与评审；监狱和戒毒企业视同小型、微型企业，给予</w:t>
      </w:r>
      <w:r>
        <w:rPr>
          <w:rFonts w:hint="eastAsia" w:ascii="宋体" w:hAnsi="宋体"/>
          <w:sz w:val="21"/>
          <w:szCs w:val="21"/>
        </w:rPr>
        <w:t xml:space="preserve">与小微企业相同</w:t>
      </w:r>
      <w:r>
        <w:rPr>
          <w:rFonts w:hint="eastAsia" w:ascii="宋体" w:hAnsi="宋体" w:cs="宋体"/>
          <w:sz w:val="21"/>
          <w:szCs w:val="21"/>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1"/>
          <w:szCs w:val="21"/>
        </w:rPr>
      </w:pPr>
      <w:r>
        <w:rPr>
          <w:rFonts w:hint="eastAsia" w:ascii="宋体" w:hAnsi="宋体" w:cs="宋体"/>
          <w:b/>
          <w:bCs/>
          <w:sz w:val="21"/>
          <w:szCs w:val="21"/>
        </w:rPr>
        <w:t xml:space="preserve">3.上述价格扣除政策仅适用于“非专门面向中小企业采购项目”</w:t>
      </w:r>
      <w:r>
        <w:rPr>
          <w:rFonts w:hint="eastAsia" w:ascii="宋体" w:hAnsi="宋体" w:cs="宋体"/>
          <w:sz w:val="21"/>
          <w:szCs w:val="21"/>
        </w:rPr>
        <w:t xml:space="preserve">。</w:t>
      </w:r>
      <w:r/>
    </w:p>
    <w:p>
      <w:pPr>
        <w:ind w:firstLine="480"/>
        <w:spacing w:line="264" w:lineRule="auto"/>
        <w:rPr>
          <w:rFonts w:hint="eastAsia" w:ascii="宋体" w:hAnsi="宋体" w:cs="宋体"/>
          <w:sz w:val="21"/>
          <w:szCs w:val="21"/>
        </w:rPr>
      </w:pPr>
      <w:r>
        <w:rPr>
          <w:rFonts w:hint="eastAsia" w:ascii="宋体" w:hAnsi="宋体" w:cs="宋体"/>
          <w:sz w:val="21"/>
          <w:szCs w:val="21"/>
        </w:rPr>
        <w:t xml:space="preserve">备注：</w:t>
      </w:r>
      <w:r/>
    </w:p>
    <w:p>
      <w:pPr>
        <w:ind w:firstLine="480"/>
        <w:spacing w:line="264" w:lineRule="auto"/>
        <w:rPr>
          <w:rFonts w:hint="eastAsia" w:ascii="宋体" w:hAnsi="宋体" w:cs="宋体"/>
          <w:sz w:val="21"/>
          <w:szCs w:val="21"/>
        </w:rPr>
      </w:pPr>
      <w:r>
        <w:rPr>
          <w:rFonts w:hint="eastAsia" w:ascii="宋体" w:hAnsi="宋体" w:cs="宋体"/>
          <w:sz w:val="21"/>
          <w:szCs w:val="21"/>
        </w:rPr>
        <w:t xml:space="preserve">（1）本项目如专门面向中小企业采购，则不执行价格扣除政策，</w:t>
      </w:r>
      <w:r>
        <w:rPr>
          <w:rFonts w:hint="eastAsia" w:ascii="宋体" w:hAnsi="宋体" w:cs="宋体"/>
          <w:sz w:val="21"/>
          <w:szCs w:val="21"/>
          <w:lang w:val="zh-CN"/>
        </w:rPr>
        <w:t xml:space="preserve">供应商应为中小微企业、监狱企业、残疾人福利性单位。</w:t>
      </w:r>
      <w:r/>
    </w:p>
    <w:p>
      <w:pPr>
        <w:ind w:firstLine="480"/>
        <w:spacing w:line="264" w:lineRule="auto"/>
        <w:rPr>
          <w:rFonts w:hint="eastAsia" w:ascii="宋体" w:hAnsi="宋体" w:cs="宋体"/>
          <w:sz w:val="21"/>
          <w:szCs w:val="21"/>
        </w:rPr>
      </w:pPr>
      <w:r>
        <w:rPr>
          <w:rFonts w:hint="eastAsia" w:ascii="宋体" w:hAnsi="宋体" w:cs="宋体"/>
          <w:sz w:val="21"/>
          <w:szCs w:val="21"/>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1"/>
          <w:szCs w:val="21"/>
        </w:rPr>
        <w:t xml:space="preserve">的扣除（500万元（含）以上的项目为4%，500万元以内的项目为6%），</w:t>
      </w:r>
      <w:r>
        <w:rPr>
          <w:rFonts w:hint="eastAsia" w:ascii="宋体" w:hAnsi="宋体" w:cs="宋体"/>
          <w:sz w:val="21"/>
          <w:szCs w:val="21"/>
        </w:rPr>
        <w:t xml:space="preserve">用扣除后的价格参与评审。</w:t>
      </w:r>
      <w:r/>
    </w:p>
    <w:p>
      <w:pPr>
        <w:ind w:firstLine="480"/>
        <w:spacing w:line="264" w:lineRule="auto"/>
        <w:rPr>
          <w:rFonts w:hint="eastAsia" w:ascii="宋体" w:hAnsi="宋体" w:cs="宋体"/>
          <w:sz w:val="21"/>
          <w:szCs w:val="21"/>
        </w:rPr>
      </w:pPr>
      <w:r>
        <w:rPr>
          <w:rFonts w:hint="eastAsia" w:ascii="宋体" w:hAnsi="宋体" w:cs="宋体"/>
          <w:sz w:val="21"/>
          <w:szCs w:val="21"/>
        </w:rPr>
        <w:t xml:space="preserve">（3）联合体各方均为小型、微型企业（或残疾人福利性单位、监狱企业）的，给予与小微企业相同的价格扣除，用扣除后的价格参与评审。</w:t>
      </w:r>
      <w:r/>
    </w:p>
    <w:p>
      <w:pPr>
        <w:ind w:firstLine="480"/>
        <w:spacing w:line="264" w:lineRule="auto"/>
        <w:rPr>
          <w:sz w:val="21"/>
          <w:szCs w:val="21"/>
        </w:rPr>
      </w:pPr>
      <w:r>
        <w:rPr>
          <w:rFonts w:hint="eastAsia" w:ascii="黑体" w:hAnsi="黑体" w:eastAsia="黑体" w:cs="黑体"/>
          <w:sz w:val="21"/>
          <w:szCs w:val="21"/>
        </w:rPr>
        <w:t xml:space="preserve">三、评标标准</w:t>
      </w:r>
      <w:r/>
    </w:p>
    <w:tbl>
      <w:tblPr>
        <w:tblStyle w:val="663"/>
        <w:tblW w:w="524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4"/>
        <w:gridCol w:w="7513"/>
        <w:gridCol w:w="669"/>
      </w:tblGrid>
      <w:tr>
        <w:trPr/>
        <w:tc>
          <w:tcPr>
            <w:tcBorders>
              <w:top w:val="single" w:color="000000" w:sz="4" w:space="0"/>
              <w:left w:val="single" w:color="000000" w:sz="4" w:space="0"/>
              <w:bottom w:val="single" w:color="000000" w:sz="4" w:space="0"/>
              <w:right w:val="single" w:color="000000" w:sz="4" w:space="0"/>
            </w:tcBorders>
            <w:tcW w:w="364" w:type="pct"/>
            <w:textDirection w:val="lrTb"/>
            <w:noWrap/>
          </w:tcPr>
          <w:p>
            <w:pPr>
              <w:rPr>
                <w:sz w:val="22"/>
                <w:szCs w:val="28"/>
              </w:rPr>
            </w:pPr>
            <w:r>
              <w:rPr>
                <w:rFonts w:hint="eastAsia"/>
                <w:szCs w:val="28"/>
              </w:rPr>
              <w:t xml:space="preserve">序号</w:t>
            </w:r>
            <w:r/>
          </w:p>
        </w:tc>
        <w:tc>
          <w:tcPr>
            <w:tcBorders>
              <w:top w:val="single" w:color="000000" w:sz="4" w:space="0"/>
              <w:left w:val="single" w:color="000000" w:sz="4" w:space="0"/>
              <w:bottom w:val="single" w:color="000000" w:sz="4" w:space="0"/>
              <w:right w:val="single" w:color="000000" w:sz="4" w:space="0"/>
            </w:tcBorders>
            <w:tcW w:w="438" w:type="pct"/>
            <w:textDirection w:val="lrTb"/>
            <w:noWrap/>
          </w:tcPr>
          <w:p>
            <w:pPr>
              <w:jc w:val="center"/>
              <w:rPr>
                <w:szCs w:val="28"/>
              </w:rPr>
            </w:pPr>
            <w:r>
              <w:rPr>
                <w:rFonts w:hint="eastAsia"/>
                <w:szCs w:val="28"/>
              </w:rPr>
              <w:t xml:space="preserve">评审因素</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jc w:val="center"/>
              <w:rPr>
                <w:szCs w:val="28"/>
              </w:rPr>
            </w:pPr>
            <w:r>
              <w:rPr>
                <w:rFonts w:hint="eastAsia"/>
                <w:szCs w:val="28"/>
              </w:rPr>
              <w:t xml:space="preserve">评审细则</w:t>
            </w:r>
            <w:r/>
          </w:p>
        </w:tc>
        <w:tc>
          <w:tcPr>
            <w:tcBorders>
              <w:top w:val="single" w:color="000000" w:sz="4" w:space="0"/>
              <w:left w:val="single" w:color="000000" w:sz="4" w:space="0"/>
              <w:bottom w:val="single" w:color="000000" w:sz="4" w:space="0"/>
              <w:right w:val="single" w:color="000000" w:sz="4" w:space="0"/>
            </w:tcBorders>
            <w:tcW w:w="343" w:type="pct"/>
            <w:textDirection w:val="lrTb"/>
            <w:noWrap/>
          </w:tcPr>
          <w:p>
            <w:pPr>
              <w:jc w:val="center"/>
              <w:rPr>
                <w:szCs w:val="28"/>
              </w:rPr>
            </w:pPr>
            <w:r>
              <w:rPr>
                <w:rFonts w:hint="eastAsia"/>
                <w:szCs w:val="28"/>
              </w:rPr>
              <w:t xml:space="preserve">分值</w:t>
            </w:r>
            <w:r/>
          </w:p>
        </w:tc>
      </w:tr>
      <w:tr>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tcPr>
          <w:p>
            <w:pPr>
              <w:rPr>
                <w:szCs w:val="24"/>
              </w:rPr>
            </w:pPr>
            <w:r>
              <w:rPr>
                <w:szCs w:val="28"/>
              </w:rPr>
              <w:t xml:space="preserve">1.</w:t>
            </w:r>
            <w:r>
              <w:rPr>
                <w:rFonts w:hint="eastAsia"/>
                <w:szCs w:val="28"/>
              </w:rPr>
              <w:t xml:space="preserve">价格</w:t>
            </w: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1.1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rPr>
                <w:rFonts w:hint="eastAsia"/>
              </w:rPr>
              <w:t xml:space="preserve">价格分</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r>
              <w:rPr>
                <w:rFonts w:hint="eastAsia"/>
              </w:rPr>
              <w:t xml:space="preserve">价格分应当采用低价优先法计算，即满足招标文件要求且投标价格最低的投标报价为评标基准价，其价格分为满分。其他投标人的价格分统一按照下列公式计算：</w:t>
            </w:r>
            <w:r/>
          </w:p>
          <w:p>
            <w:r>
              <w:rPr>
                <w:rFonts w:hint="eastAsia"/>
              </w:rPr>
              <w:t xml:space="preserve">投标报价得分=(评标基准价／投标报价)×</w:t>
            </w:r>
            <w:r>
              <w:t xml:space="preserve">30</w:t>
            </w:r>
            <w:r>
              <w:rPr>
                <w:rFonts w:hint="eastAsia"/>
              </w:rPr>
              <w:t xml:space="preserve">分。（计算分数时四舍五入取小数点后两位）</w:t>
            </w:r>
            <w:r/>
          </w:p>
          <w:p>
            <w:r>
              <w:rPr>
                <w:b/>
                <w:bCs/>
              </w:rPr>
              <w:t xml:space="preserve">本项目执行财库〔2026〕2号《关于推动解决政府采购异常低价问题相关工作的通知》的相关规定，具体详见第二章2</w:t>
            </w:r>
            <w:r>
              <w:rPr>
                <w:rFonts w:hint="eastAsia"/>
                <w:b/>
                <w:bCs/>
              </w:rPr>
              <w:t xml:space="preserve">5.4</w:t>
            </w:r>
            <w:r>
              <w:rPr>
                <w:b/>
                <w:bCs/>
              </w:rPr>
              <w:t xml:space="preserve">要求。</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30</w: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r>
              <w:t xml:space="preserve">2.</w:t>
            </w:r>
            <w:r>
              <w:rPr>
                <w:rFonts w:hint="eastAsia"/>
              </w:rPr>
              <w:t xml:space="preserve">技术</w:t>
            </w: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2.1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rPr>
                <w:rFonts w:hint="eastAsia"/>
              </w:rPr>
              <w:t xml:space="preserve">技术参数响应性</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r>
              <w:rPr>
                <w:rFonts w:hint="eastAsia"/>
              </w:rPr>
              <w:t xml:space="preserve">所投设备技术指标配置要求均满足技术规范要求，并且使用稳定、安全可靠；从产品整机性能、产品安全性能、干燥速率、产品设计和使用性能等进行打分。标▲参数为重要参数，每有 1 项负偏离扣 1 分；其他参数每有 1 项负偏离扣 0.5 分；最高24分。清单内有具体要求提供证明材料的，需按要求提供，否则视为负偏离。</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2</w:t>
            </w:r>
            <w:r>
              <w:rPr>
                <w:rFonts w:hint="eastAsia"/>
              </w:rPr>
              <w:t xml:space="preserve">4</w:t>
            </w:r>
            <w:r/>
          </w:p>
        </w:tc>
      </w:tr>
      <w:tr>
        <w:trPr>
          <w:trHeight w:val="370"/>
        </w:trPr>
        <w:tc>
          <w:tcPr>
            <w:gridSpan w:val="4"/>
            <w:tcBorders>
              <w:top w:val="single" w:color="000000" w:sz="4" w:space="0"/>
              <w:left w:val="single" w:color="000000" w:sz="4" w:space="0"/>
              <w:right w:val="single" w:color="000000" w:sz="4" w:space="0"/>
            </w:tcBorders>
            <w:tcW w:w="5000" w:type="pct"/>
            <w:vAlign w:val="center"/>
            <w:textDirection w:val="lrTb"/>
            <w:noWrap/>
          </w:tcPr>
          <w:p>
            <w:pPr>
              <w:rPr>
                <w:color w:val="000000"/>
              </w:rPr>
            </w:pPr>
            <w:r>
              <w:rPr>
                <w:rFonts w:hint="eastAsia"/>
                <w:color w:val="000000"/>
              </w:rPr>
              <w:t xml:space="preserve">3</w:t>
            </w:r>
            <w:r>
              <w:rPr>
                <w:color w:val="000000"/>
              </w:rPr>
              <w:t xml:space="preserve">.</w:t>
            </w:r>
            <w:r>
              <w:rPr>
                <w:rFonts w:hint="eastAsia"/>
                <w:color w:val="000000"/>
              </w:rPr>
              <w:t xml:space="preserve">项目方案</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t xml:space="preserve">3.1</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实施计划</w:t>
            </w:r>
            <w:r/>
          </w:p>
        </w:tc>
        <w:tc>
          <w:tcPr>
            <w:tcBorders>
              <w:top w:val="single" w:color="000000" w:sz="4" w:space="0"/>
              <w:left w:val="single" w:color="000000" w:sz="4" w:space="0"/>
              <w:right w:val="single" w:color="000000" w:sz="4" w:space="0"/>
            </w:tcBorders>
            <w:tcW w:w="3855" w:type="pct"/>
            <w:textDirection w:val="lrTb"/>
            <w:noWrap/>
          </w:tcPr>
          <w:p>
            <w:pPr>
              <w:rPr>
                <w:rFonts w:hint="eastAsia"/>
              </w:rPr>
            </w:pPr>
            <w:r>
              <w:rPr>
                <w:rFonts w:hint="eastAsia"/>
              </w:rPr>
              <w:t xml:space="preserve">根据供应商对于本项目的实施计划，包括但不限于：技术施工组织方案、人员配置计划、进度计划、安全措施等。实施计划包含上述全部内容，且满足以下条件：①有详细</w:t>
            </w:r>
            <w:r>
              <w:rPr>
                <w:rFonts w:hint="eastAsia"/>
              </w:rPr>
              <w:t xml:space="preserve">的施工进度横道图或网络图，明确各阶段（设备到货验收、基础安装、单机调试、联动调试、试运行等）安装时间节点；②人员配置中有明确的项目负责人、技术负责人、安全员及各自资质说明；③安全措施针对育秧车间用电安全、机械伤害防护、登高作业（如伸缩顶棚安装）等有专项方案；④计划内容优于采购需求，如承诺提前完工或增加安装班组得8分；实施计划包含上述全部或大部分内容，进度安排基本合理，人员配置明确，安全措施满足基本要求，能够满足采购需求得5分；实施计划内容不够全面，方案笼统，但承诺经优化后可实现采购需求得3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.2</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设计方案</w:t>
            </w:r>
            <w:r/>
          </w:p>
        </w:tc>
        <w:tc>
          <w:tcPr>
            <w:tcBorders>
              <w:top w:val="single" w:color="000000" w:sz="4" w:space="0"/>
              <w:left w:val="single" w:color="000000" w:sz="4" w:space="0"/>
              <w:right w:val="single" w:color="000000" w:sz="4" w:space="0"/>
            </w:tcBorders>
            <w:tcW w:w="3855" w:type="pct"/>
            <w:textDirection w:val="lrTb"/>
            <w:noWrap/>
          </w:tcPr>
          <w:p>
            <w:pPr>
              <w:rPr>
                <w:rFonts w:hint="eastAsia"/>
              </w:rPr>
            </w:pPr>
            <w:r>
              <w:rPr>
                <w:rFonts w:hint="eastAsia"/>
              </w:rPr>
              <w:t xml:space="preserve">根据供应商对于本项目的设计方案，包括但不限于：工艺流程图、设备布置图、节能设计说明、质量保证体系等。设计方案包含上述全部内容，且满足以下条件：①提供完整的育秧流水线工</w:t>
            </w:r>
            <w:r>
              <w:rPr>
                <w:rFonts w:hint="eastAsia"/>
              </w:rPr>
              <w:t xml:space="preserve">艺流程图和设备平面布置图，各设备衔接合理（含播种流水线、分盘机、叠盘机、码垛机、上土筛土机、浸种催芽机等的相对位置及物流走向）；②有专门的节能设计说明（如播种流水线变频控制、输送系统节能运行策略、暗化室保温与温湿度节能控制等）；③质量保证体系完整，有明确的设备出厂检验、进场验收、安装过程质量控制措施；④方案明显优于采购需求得8分；设计方案内容较完整，工艺流程和设备布置基本合理，有质量保证措施，能够满足采购需求得5分；设计方案内容不够全面，缺少图纸或关键说明，但承诺经优化后可实现采购需求得3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.3</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供货方案</w:t>
            </w:r>
            <w:r/>
          </w:p>
        </w:tc>
        <w:tc>
          <w:tcPr>
            <w:tcBorders>
              <w:top w:val="single" w:color="000000" w:sz="4" w:space="0"/>
              <w:left w:val="single" w:color="000000" w:sz="4" w:space="0"/>
              <w:right w:val="single" w:color="000000" w:sz="4" w:space="0"/>
            </w:tcBorders>
            <w:tcW w:w="3855" w:type="pct"/>
            <w:textDirection w:val="lrTb"/>
            <w:noWrap/>
          </w:tcPr>
          <w:p>
            <w:pPr>
              <w:rPr>
                <w:rFonts w:hint="eastAsia"/>
              </w:rPr>
            </w:pPr>
            <w:r>
              <w:rPr>
                <w:rFonts w:hint="eastAsia"/>
              </w:rPr>
              <w:t xml:space="preserve">根据供应商对于本项目的供货方案，包括但不限于：设备采购来源、生产周期、</w:t>
            </w:r>
            <w:r>
              <w:rPr>
                <w:rFonts w:hint="eastAsia"/>
              </w:rPr>
              <w:t xml:space="preserve">运输方式、到货验收计划、与安装进度的衔接安排等。供货方案包含上述全部内容，且满足以下条件：①明确主要设备（播种流水线、分盘机、叠盘机、码垛机、浸种催芽机、上土筛土机、育秧设备智能总控制箱等）的品牌来源及生产周期；②有详细的到货计划，与安装进度紧密衔接；③有完善的设备进场验收标准和流程；④承诺主要设备提供出厂合格证及第三方检测报告（如有▲条款要求）得8分；供货方案内容较完整，有到货计划，设备来源基本明确，能够满足采购需求得5分；供货方案内容不够全面，计划笼统，但承诺经优化后可实现采购需求得3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.4</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安装方案</w:t>
            </w:r>
            <w:r/>
          </w:p>
        </w:tc>
        <w:tc>
          <w:tcPr>
            <w:tcBorders>
              <w:top w:val="single" w:color="000000" w:sz="4" w:space="0"/>
              <w:left w:val="single" w:color="000000" w:sz="4" w:space="0"/>
              <w:right w:val="single" w:color="000000" w:sz="4" w:space="0"/>
            </w:tcBorders>
            <w:tcW w:w="3855" w:type="pct"/>
            <w:textDirection w:val="lrTb"/>
            <w:noWrap/>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供应商对于本项目的安装方案，包括但不限于：安装工艺流程、吊装方案、调试方案、安全文明施工措施、防尘防潮措施等。安装方案包含上述全部内容，且满足以下条件：①有针对主要设备（如播种流水线水平校正</w:t>
            </w:r>
            <w:r>
              <w:rPr>
                <w:rFonts w:ascii="宋体" w:hAnsi="宋体" w:cs="宋体"/>
                <w:color w:val="000000"/>
              </w:rPr>
              <w:t xml:space="preserve">与对接、叠盘机顶升机构垂直度校正、码垛机X轴定位精度校准、输送线对接、伸缩顶棚安装工艺等）的专项安装工艺说明；②有详细的单机试车和联动调试方案（明确联动调试以小时产能≥2500盘为核心验证指标）；③针对育秧车间环境有专项安全措施（如用电安全、防机械伤害、防潮防水、登高作业防护等）；④方案优于采购需求，如承诺增加调试周期或派驻更多技术人员得8分；安装方案内容较完整，有基本的吊装和调试安排，安全措施满足要求，能够满足采购需求得5分；安装方案内容不够全面，方案笼统，但承诺经优化后可实现采购需求得3分，未提供不得分</w:t>
            </w:r>
            <w:r>
              <w:rPr>
                <w:rFonts w:hint="eastAsia" w:ascii="宋体" w:hAnsi="宋体" w:cs="宋体"/>
                <w:color w:val="000000"/>
              </w:rPr>
              <w:t xml:space="preserve">。</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.5</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售后服务方案</w:t>
            </w:r>
            <w:r/>
          </w:p>
        </w:tc>
        <w:tc>
          <w:tcPr>
            <w:tcBorders>
              <w:top w:val="single" w:color="000000" w:sz="4" w:space="0"/>
              <w:left w:val="single" w:color="000000" w:sz="4" w:space="0"/>
              <w:right w:val="single" w:color="000000" w:sz="4" w:space="0"/>
            </w:tcBorders>
            <w:tcW w:w="3855" w:type="pct"/>
            <w:textDirection w:val="lrTb"/>
            <w:noWrap/>
          </w:tcPr>
          <w:p>
            <w:pP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根据供应商对于本项目的售后服务方案，包括但不限于：质保期承诺、响应时间、上门时间、应急处理方案、备品备件供应、培训计划、本地化服务团队等。售后服务方案包含上述全部内容，且满足以下条件：①质保期承诺不低于</w:t>
            </w:r>
            <w:r>
              <w:rPr>
                <w:rFonts w:hint="eastAsia" w:ascii="宋体" w:hAnsi="宋体" w:cs="宋体"/>
                <w:color w:val="000000"/>
                <w:lang w:val="en-US" w:eastAsia="zh-CN"/>
              </w:rPr>
              <w:t xml:space="preserve">1</w:t>
            </w:r>
            <w:r>
              <w:rPr>
                <w:rFonts w:ascii="宋体" w:hAnsi="宋体" w:cs="宋体"/>
                <w:color w:val="000000"/>
              </w:rPr>
              <w:t xml:space="preserve">年（与采购需求一致或更优）；②明确响应时间（如≤2小时）和上门时间（如≤24小时）；③提供主要易损件（排种器胶轮、输送皮带、筛网、喷淋头、密封件、传动链条、电气保护元件、覆土毛刷等）的备品备件清单及供应保障承诺；④有详细的设备操作和维保培训计划；⑤在项目所在地有服务网点或承诺派驻售后人员得8分，售后服务方案内容较完整，质保期符合要求，有基本响应时间和培训安排，能够满足采购需求得5分，售后服务方案内容不够全面，缺少具体承诺，但承诺经优化后可实现采购需求得3分，未提供不得分</w:t>
            </w:r>
            <w:r>
              <w:rPr>
                <w:rFonts w:hint="eastAsia" w:ascii="宋体" w:hAnsi="宋体" w:cs="宋体"/>
                <w:color w:val="000000"/>
              </w:rPr>
              <w:t xml:space="preserve">。</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r>
              <w:t xml:space="preserve">4.</w:t>
            </w:r>
            <w:r>
              <w:rPr>
                <w:rFonts w:hint="eastAsia"/>
              </w:rPr>
              <w:t xml:space="preserve">业绩</w:t>
            </w:r>
            <w:r/>
          </w:p>
        </w:tc>
      </w:tr>
      <w:tr>
        <w:trPr>
          <w:trHeight w:val="1431"/>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4.1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bookmarkStart w:id="198" w:name="OLE_LINK8"/>
            <w:r>
              <w:rPr>
                <w:rFonts w:hint="eastAsia"/>
              </w:rPr>
              <w:t xml:space="preserve">企业业绩</w:t>
            </w:r>
            <w:bookmarkEnd w:id="198"/>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投标人自2023年9月1日以来（以合同签订时间为准）承担过农业机械成套育秧设备（含播种流水线、</w:t>
            </w:r>
            <w:r>
              <w:rPr>
                <w:rFonts w:hint="eastAsia" w:ascii="宋体" w:hAnsi="宋体" w:cs="宋体"/>
                <w:color w:val="000000"/>
                <w:lang w:val="en-US" w:eastAsia="zh-CN"/>
              </w:rPr>
              <w:t xml:space="preserve">分盘机和叠盘机、码垛机、</w:t>
            </w:r>
            <w:r>
              <w:rPr>
                <w:rFonts w:ascii="宋体" w:hAnsi="宋体" w:cs="宋体"/>
                <w:color w:val="000000"/>
              </w:rPr>
              <w:t xml:space="preserve">催芽设备）供货及安装项目业绩，每提供1个有效业绩，所含设备为1类的得1分，为2类的得2分，为3类及以上的得3分；本项最多认可2个业绩，业绩得分最高为6分。（注：业绩内容包含采购合同原件扫描件、采购合同的发票原件扫描件。合同原件扫描件，发票扫描件，缺一不可。具体日期以合同签订时间为准）</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rPr>
                <w:rFonts w:hint="eastAsia"/>
              </w:rPr>
              <w:t xml:space="preserve">6</w:t>
            </w:r>
            <w:r/>
          </w:p>
        </w:tc>
      </w:tr>
      <w:tr>
        <w:trPr/>
        <w:tc>
          <w:tcPr>
            <w:gridSpan w:val="3"/>
            <w:tcBorders>
              <w:top w:val="single" w:color="000000" w:sz="4" w:space="0"/>
              <w:left w:val="single" w:color="000000" w:sz="4" w:space="0"/>
              <w:bottom w:val="single" w:color="000000" w:sz="4" w:space="0"/>
              <w:right w:val="single" w:color="000000" w:sz="4" w:space="0"/>
            </w:tcBorders>
            <w:tcW w:w="4657" w:type="pct"/>
            <w:vAlign w:val="center"/>
            <w:textDirection w:val="lrTb"/>
            <w:noWrap/>
          </w:tcPr>
          <w:p>
            <w:r>
              <w:rPr>
                <w:rFonts w:hint="eastAsia"/>
              </w:rPr>
              <w:t xml:space="preserve">合计</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100</w:t>
            </w:r>
            <w:r/>
          </w:p>
        </w:tc>
      </w:tr>
    </w:tbl>
    <w:p>
      <w:pPr>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95"/>
      <w:r/>
      <w:bookmarkEnd w:id="196"/>
      <w:r/>
      <w:bookmarkEnd w:id="197"/>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199" w:name="_Hlt26955039"/>
      <w:r/>
      <w:bookmarkEnd w:id="199"/>
      <w:r/>
      <w:bookmarkStart w:id="200" w:name="_Hlt26671244"/>
      <w:r/>
      <w:bookmarkEnd w:id="200"/>
      <w:r/>
      <w:bookmarkStart w:id="201" w:name="_Toc120614282"/>
      <w:r/>
      <w:bookmarkStart w:id="202" w:name="_Toc49090576"/>
      <w:r/>
      <w:bookmarkStart w:id="203" w:name="_Toc26554094"/>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2"/>
      <w:r/>
      <w:bookmarkEnd w:id="193"/>
      <w:r/>
      <w:bookmarkEnd w:id="201"/>
      <w:r/>
      <w:bookmarkEnd w:id="202"/>
      <w:r/>
      <w:bookmarkEnd w:id="203"/>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bookmarkStart w:id="204" w:name="_Toc120614284"/>
      <w:r>
        <w:rPr>
          <w:rFonts w:hint="eastAsia" w:ascii="宋体" w:hAnsi="宋体" w:cs="宋体"/>
          <w:sz w:val="28"/>
          <w:szCs w:val="28"/>
        </w:rPr>
        <w:t xml:space="preserve">一、资格证明文件</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十三、供应商资格承诺函</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十四：质保及售后服务承诺书</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十五、关于符合本国产品标准的声明函</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十六、其他</w:t>
      </w:r>
      <w:r/>
    </w:p>
    <w:p>
      <w:pPr>
        <w:rPr>
          <w:rFonts w:hint="eastAsia" w:ascii="宋体" w:hAnsi="宋体"/>
          <w:i/>
          <w:sz w:val="32"/>
          <w:szCs w:val="32"/>
          <w:u w:val="single"/>
        </w:rPr>
      </w:pPr>
      <w:r>
        <w:rPr>
          <w:rFonts w:hint="eastAsia" w:ascii="宋体" w:hAnsi="宋体" w:cs="宋体"/>
          <w:sz w:val="28"/>
          <w:szCs w:val="28"/>
        </w:rPr>
        <w:br w:type="page" w:clear="all"/>
      </w:r>
      <w:r>
        <w:rPr>
          <w:rFonts w:hint="eastAsia" w:ascii="黑体" w:hAnsi="黑体" w:eastAsia="黑体"/>
          <w:sz w:val="32"/>
          <w:szCs w:val="32"/>
        </w:rPr>
        <w:t xml:space="preserve">一、</w:t>
      </w:r>
      <w:r>
        <w:rPr>
          <w:rFonts w:hint="eastAsia" w:ascii="宋体" w:hAnsi="宋体"/>
          <w:sz w:val="32"/>
          <w:szCs w:val="32"/>
        </w:rPr>
        <w:t xml:space="preserve">资格证明文件</w:t>
      </w:r>
      <w:r/>
    </w:p>
    <w:p>
      <w:pPr>
        <w:jc w:val="center"/>
        <w:spacing w:line="360" w:lineRule="auto"/>
        <w:rPr>
          <w:rFonts w:hint="eastAsia" w:ascii="宋体" w:hAnsi="宋体" w:cs="方正小标宋简体"/>
          <w:sz w:val="32"/>
          <w:szCs w:val="32"/>
        </w:rPr>
        <w:outlineLvl w:val="0"/>
      </w:pPr>
      <w:r/>
      <w:bookmarkStart w:id="205" w:name="_Toc181719706"/>
      <w:r>
        <w:rPr>
          <w:rFonts w:hint="eastAsia" w:ascii="宋体" w:hAnsi="宋体"/>
          <w:sz w:val="32"/>
          <w:szCs w:val="32"/>
        </w:rPr>
        <w:t xml:space="preserve">资格证明文件</w:t>
      </w:r>
      <w:bookmarkEnd w:id="205"/>
      <w:r/>
      <w:r/>
    </w:p>
    <w:p>
      <w:pPr>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p>
    <w:p>
      <w:pPr>
        <w:rPr>
          <w:rFonts w:hint="eastAsia" w:ascii="宋体" w:hAnsi="宋体"/>
          <w:sz w:val="24"/>
          <w:szCs w:val="24"/>
        </w:rPr>
      </w:pPr>
      <w:r>
        <w:rPr>
          <w:rFonts w:hint="eastAsia" w:ascii="宋体" w:hAnsi="宋体"/>
          <w:sz w:val="24"/>
          <w:szCs w:val="24"/>
        </w:rPr>
        <w:t xml:space="preserve">  2、具有良好的商业信誉和健全的财务会计制度；</w:t>
      </w:r>
      <w:r/>
    </w:p>
    <w:p>
      <w:pPr>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p>
    <w:p>
      <w:pPr>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p>
    <w:p>
      <w:pPr>
        <w:rPr>
          <w:rFonts w:hint="eastAsia"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p>
    <w:p>
      <w:pPr>
        <w:jc w:val="left"/>
        <w:spacing w:line="360" w:lineRule="auto"/>
        <w:rPr>
          <w:rFonts w:hint="eastAsia" w:ascii="宋体" w:hAnsi="宋体"/>
          <w:sz w:val="24"/>
          <w:szCs w:val="24"/>
        </w:rPr>
      </w:pPr>
      <w:r>
        <w:rPr>
          <w:rFonts w:hint="eastAsia" w:ascii="宋体" w:hAnsi="宋体"/>
          <w:sz w:val="24"/>
          <w:szCs w:val="24"/>
        </w:rPr>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05"/>
        <w:ind w:firstLine="480"/>
        <w:rPr>
          <w:sz w:val="24"/>
          <w:szCs w:val="24"/>
        </w:rPr>
      </w:pPr>
      <w:r>
        <w:rPr>
          <w:rFonts w:hint="eastAsia"/>
          <w:sz w:val="24"/>
          <w:szCs w:val="24"/>
        </w:rPr>
        <w:t xml:space="preserve">1、本项目申请人的特定资格要求中要求提供的材料。</w:t>
      </w:r>
      <w:r/>
    </w:p>
    <w:p>
      <w:pPr>
        <w:pStyle w:val="905"/>
        <w:ind w:firstLine="480"/>
        <w:rPr>
          <w:sz w:val="24"/>
          <w:szCs w:val="24"/>
        </w:rPr>
      </w:pPr>
      <w:r>
        <w:rPr>
          <w:sz w:val="24"/>
          <w:szCs w:val="24"/>
        </w:rPr>
        <w:t xml:space="preserve">2</w:t>
      </w:r>
      <w:r>
        <w:rPr>
          <w:rFonts w:hint="eastAsia"/>
          <w:sz w:val="24"/>
          <w:szCs w:val="24"/>
        </w:rPr>
        <w:t xml:space="preserve">、供应商未被“信用中国”网站（www.creditchina.gov.cn）、“中国政府采购网”(www.ccgp.gov.cn)列入失信被执行人、重大税收违法案件当事人名单、政府采购严重违法失信行为记录名单。</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35"/>
        <w:rPr>
          <w:lang w:eastAsia="zh-CN"/>
        </w:rPr>
      </w:pPr>
      <w:r>
        <w:rPr>
          <w:lang w:eastAsia="zh-CN"/>
        </w:rPr>
      </w:r>
      <w:r/>
    </w:p>
    <w:p>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905"/>
        <w:ind w:firstLine="480"/>
        <w:spacing w:line="420" w:lineRule="exact"/>
        <w:rPr>
          <w:sz w:val="24"/>
          <w:szCs w:val="24"/>
        </w:rPr>
      </w:pPr>
      <w:r>
        <w:rPr>
          <w:sz w:val="24"/>
          <w:szCs w:val="24"/>
        </w:rPr>
      </w:r>
      <w:r/>
    </w:p>
    <w:p>
      <w:pPr>
        <w:pStyle w:val="905"/>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05"/>
        <w:ind w:firstLine="480"/>
        <w:spacing w:line="480" w:lineRule="exact"/>
        <w:rPr>
          <w:sz w:val="24"/>
          <w:szCs w:val="24"/>
        </w:rPr>
      </w:pPr>
      <w:r>
        <w:rPr>
          <w:rFonts w:hint="eastAsia"/>
          <w:sz w:val="24"/>
          <w:szCs w:val="24"/>
        </w:rPr>
        <w:t xml:space="preserve">本授权书自______年____月____日起生效，特此声明。</w:t>
      </w:r>
      <w:r/>
    </w:p>
    <w:p>
      <w:pPr>
        <w:pStyle w:val="905"/>
        <w:ind w:firstLine="480"/>
        <w:spacing w:line="480" w:lineRule="exact"/>
        <w:rPr>
          <w:sz w:val="24"/>
          <w:szCs w:val="24"/>
        </w:rPr>
      </w:pPr>
      <w:r>
        <w:rPr>
          <w:rFonts w:hint="eastAsia"/>
          <w:sz w:val="24"/>
          <w:szCs w:val="24"/>
        </w:rPr>
        <w:t xml:space="preserve">被授权人身份证号码：</w:t>
      </w:r>
      <w:r/>
    </w:p>
    <w:p>
      <w:pPr>
        <w:pStyle w:val="905"/>
        <w:ind w:firstLine="480"/>
        <w:spacing w:line="480" w:lineRule="exact"/>
        <w:rPr>
          <w:sz w:val="24"/>
          <w:szCs w:val="24"/>
          <w:u w:val="single"/>
        </w:rPr>
      </w:pPr>
      <w:r>
        <w:rPr>
          <w:rFonts w:hint="eastAsia"/>
          <w:sz w:val="24"/>
          <w:szCs w:val="24"/>
        </w:rPr>
        <w:t xml:space="preserve">被授权人联系电话：（手机）</w:t>
      </w:r>
      <w:r/>
    </w:p>
    <w:p>
      <w:pPr>
        <w:pStyle w:val="905"/>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05"/>
        <w:ind w:firstLine="480"/>
        <w:spacing w:line="480" w:lineRule="exact"/>
        <w:rPr>
          <w:sz w:val="24"/>
          <w:szCs w:val="24"/>
          <w:u w:val="single"/>
        </w:rPr>
      </w:pPr>
      <w:r>
        <w:rPr>
          <w:rFonts w:hint="eastAsia"/>
          <w:sz w:val="24"/>
          <w:szCs w:val="24"/>
        </w:rPr>
        <w:t xml:space="preserve">单位地址：</w:t>
      </w:r>
      <w:r/>
    </w:p>
    <w:p>
      <w:pPr>
        <w:pStyle w:val="905"/>
        <w:ind w:firstLine="480"/>
        <w:spacing w:line="480" w:lineRule="exact"/>
        <w:rPr>
          <w:sz w:val="24"/>
          <w:szCs w:val="24"/>
        </w:rPr>
      </w:pPr>
      <w:r>
        <w:rPr>
          <w:rFonts w:hint="eastAsia"/>
          <w:sz w:val="24"/>
          <w:szCs w:val="24"/>
        </w:rPr>
        <w:t xml:space="preserve">日    期：</w:t>
      </w:r>
      <w:bookmarkStart w:id="206" w:name="_Hlt26671380"/>
      <w:r/>
      <w:bookmarkEnd w:id="206"/>
      <w:r/>
      <w:bookmarkStart w:id="207" w:name="_Hlt26955070"/>
      <w:r/>
      <w:bookmarkEnd w:id="207"/>
      <w:r/>
      <w:bookmarkStart w:id="208" w:name="_格式3__银行出具的资信证明"/>
      <w:r/>
      <w:bookmarkEnd w:id="208"/>
      <w:r/>
      <w:r/>
    </w:p>
    <w:p>
      <w:pPr>
        <w:pStyle w:val="664"/>
        <w:rPr>
          <w:i/>
          <w:sz w:val="24"/>
          <w:szCs w:val="24"/>
          <w:u w:val="single"/>
        </w:rPr>
      </w:pPr>
      <w:r>
        <w:rPr>
          <w:i/>
          <w:sz w:val="24"/>
          <w:szCs w:val="24"/>
          <w:u w:val="single"/>
        </w:rPr>
      </w:r>
      <w:r/>
    </w:p>
    <w:p>
      <w:pPr>
        <w:pStyle w:val="664"/>
        <w:ind w:firstLine="0"/>
      </w:pPr>
      <w: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noFill/>
                          <a:miter/>
                        </a:ln>
                      </wps:spPr>
                      <wps:txbx>
                        <w:txbxContent>
                          <w:p>
                            <w:pPr>
                              <w:jc w:val="center"/>
                              <w:spacing w:before="870"/>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d="f">
                <w10:wrap type="square"/>
                <v:textbox inset="0,0,0,0">
                  <w:txbxContent>
                    <w:p>
                      <w:pPr>
                        <w:jc w:val="center"/>
                        <w:spacing w:before="870"/>
                        <w:rPr>
                          <w:sz w:val="28"/>
                        </w:rPr>
                      </w:pPr>
                      <w:r>
                        <w:rPr>
                          <w:rFonts w:hint="eastAsia"/>
                          <w:sz w:val="28"/>
                        </w:rPr>
                        <w:t xml:space="preserve">法定代表人身份证及被授权人身份证</w:t>
                      </w:r>
                      <w:r/>
                    </w:p>
                    <w:p>
                      <w:r/>
                      <w:r/>
                    </w:p>
                  </w:txbxContent>
                </v:textbox>
              </v:shape>
            </w:pict>
          </mc:Fallback>
        </mc:AlternateContent>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33"/>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p>
    <w:p>
      <w:pPr>
        <w:pStyle w:val="907"/>
        <w:spacing w:before="0" w:after="0" w:line="420" w:lineRule="exact"/>
        <w:rPr>
          <w:rFonts w:hint="eastAsia" w:ascii="宋体" w:hAnsi="宋体"/>
          <w:szCs w:val="21"/>
        </w:rPr>
      </w:pPr>
      <w:r>
        <w:rPr>
          <w:rFonts w:hint="eastAsia" w:ascii="宋体" w:hAnsi="宋体"/>
          <w:szCs w:val="21"/>
        </w:rPr>
        <w:t xml:space="preserve">致：江苏金永诚建设投资管理咨询有限公司</w:t>
      </w:r>
      <w:r/>
    </w:p>
    <w:p>
      <w:pPr>
        <w:pStyle w:val="90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07"/>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0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0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p>
    <w:p>
      <w:pPr>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p>
    <w:p>
      <w:pPr>
        <w:pStyle w:val="711"/>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jc w:val="left"/>
        <w:spacing w:line="420" w:lineRule="exact"/>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07"/>
        <w:spacing w:before="0" w:after="0" w:line="420" w:lineRule="exact"/>
        <w:rPr>
          <w:rFonts w:hint="eastAsia" w:ascii="宋体" w:hAnsi="宋体"/>
          <w:szCs w:val="21"/>
        </w:rPr>
      </w:pPr>
      <w:r>
        <w:rPr>
          <w:rFonts w:ascii="宋体" w:hAnsi="宋体"/>
          <w:szCs w:val="21"/>
        </w:rPr>
        <w:t xml:space="preserve">11</w:t>
      </w:r>
      <w:r>
        <w:rPr>
          <w:rFonts w:hint="eastAsia" w:ascii="宋体" w:hAnsi="宋体"/>
          <w:szCs w:val="21"/>
        </w:rPr>
        <w:t xml:space="preserve">.我方与本次投标有关信息</w:t>
      </w:r>
      <w:r/>
    </w:p>
    <w:p>
      <w:pPr>
        <w:pStyle w:val="907"/>
        <w:spacing w:before="0" w:after="0" w:line="420" w:lineRule="exact"/>
        <w:rPr>
          <w:rFonts w:hint="eastAsia" w:ascii="宋体" w:hAnsi="宋体"/>
          <w:szCs w:val="21"/>
        </w:rPr>
      </w:pPr>
      <w:r>
        <w:rPr>
          <w:rFonts w:hint="eastAsia" w:ascii="宋体" w:hAnsi="宋体"/>
          <w:szCs w:val="21"/>
        </w:rPr>
        <w:t xml:space="preserve">地  址：</w:t>
      </w:r>
      <w:r/>
    </w:p>
    <w:p>
      <w:pPr>
        <w:pStyle w:val="907"/>
        <w:spacing w:before="0" w:after="0" w:line="420" w:lineRule="exact"/>
        <w:rPr>
          <w:rFonts w:hint="eastAsia" w:ascii="宋体" w:hAnsi="宋体"/>
          <w:szCs w:val="21"/>
        </w:rPr>
      </w:pPr>
      <w:r>
        <w:rPr>
          <w:rFonts w:hint="eastAsia" w:ascii="宋体" w:hAnsi="宋体"/>
          <w:szCs w:val="21"/>
        </w:rPr>
        <w:t xml:space="preserve">邮  编：</w:t>
      </w:r>
      <w:r/>
    </w:p>
    <w:p>
      <w:pPr>
        <w:pStyle w:val="907"/>
        <w:spacing w:before="0" w:after="0" w:line="420" w:lineRule="exact"/>
        <w:rPr>
          <w:rFonts w:hint="eastAsia" w:ascii="宋体" w:hAnsi="宋体"/>
          <w:szCs w:val="21"/>
          <w:u w:val="single"/>
        </w:rPr>
      </w:pPr>
      <w:r>
        <w:rPr>
          <w:rFonts w:hint="eastAsia" w:ascii="宋体" w:hAnsi="宋体"/>
          <w:szCs w:val="21"/>
        </w:rPr>
        <w:t xml:space="preserve">电  话：</w:t>
      </w:r>
      <w:r/>
    </w:p>
    <w:p>
      <w:pPr>
        <w:pStyle w:val="907"/>
        <w:spacing w:before="0" w:after="0" w:line="420" w:lineRule="exact"/>
        <w:rPr>
          <w:rFonts w:hint="eastAsia" w:ascii="宋体" w:hAnsi="宋体"/>
          <w:szCs w:val="21"/>
          <w:u w:val="single"/>
        </w:rPr>
      </w:pPr>
      <w:r>
        <w:rPr>
          <w:rFonts w:hint="eastAsia" w:ascii="宋体" w:hAnsi="宋体"/>
          <w:szCs w:val="21"/>
        </w:rPr>
        <w:t xml:space="preserve">开户行：</w:t>
      </w:r>
      <w:r/>
    </w:p>
    <w:p>
      <w:pPr>
        <w:pStyle w:val="907"/>
        <w:spacing w:before="0" w:after="0" w:line="420" w:lineRule="exact"/>
        <w:rPr>
          <w:rFonts w:hint="eastAsia" w:ascii="宋体" w:hAnsi="宋体"/>
          <w:szCs w:val="21"/>
        </w:rPr>
      </w:pPr>
      <w:r>
        <w:rPr>
          <w:rFonts w:hint="eastAsia" w:ascii="宋体" w:hAnsi="宋体"/>
          <w:szCs w:val="21"/>
        </w:rPr>
        <w:t xml:space="preserve">账  号：</w:t>
      </w:r>
      <w:r/>
    </w:p>
    <w:p>
      <w:pPr>
        <w:pStyle w:val="907"/>
        <w:spacing w:before="0" w:after="0" w:line="420" w:lineRule="exact"/>
        <w:rPr>
          <w:rFonts w:hint="eastAsia" w:ascii="宋体" w:hAnsi="宋体"/>
          <w:sz w:val="24"/>
          <w:szCs w:val="24"/>
        </w:rPr>
      </w:pPr>
      <w:r>
        <w:rPr>
          <w:rFonts w:hint="eastAsia" w:ascii="宋体" w:hAnsi="宋体"/>
          <w:sz w:val="24"/>
          <w:szCs w:val="24"/>
        </w:rPr>
        <w:t xml:space="preserve">投标人名称：（加盖电子公章）</w:t>
      </w:r>
      <w:r/>
    </w:p>
    <w:p>
      <w:pPr>
        <w:pStyle w:val="907"/>
        <w:spacing w:before="0" w:after="0" w:line="420" w:lineRule="exact"/>
        <w:rPr>
          <w:rFonts w:hint="eastAsia" w:ascii="宋体" w:hAnsi="宋体"/>
          <w:szCs w:val="21"/>
        </w:rPr>
      </w:pPr>
      <w:r>
        <w:rPr>
          <w:rFonts w:hint="eastAsia" w:ascii="宋体" w:hAnsi="宋体"/>
          <w:szCs w:val="21"/>
        </w:rPr>
        <w:t xml:space="preserve">日  期：</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Style w:val="663"/>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投标报价（元）</w:t>
            </w:r>
            <w:r/>
          </w:p>
        </w:tc>
      </w:tr>
      <w:tr>
        <w:trPr>
          <w:cantSplit/>
          <w:trHeight w:val="720"/>
        </w:trPr>
        <w:tc>
          <w:tcPr>
            <w:tcW w:w="9450" w:type="dxa"/>
            <w:vAlign w:val="center"/>
            <w:textDirection w:val="lrTb"/>
            <w:noWrap w:val="false"/>
          </w:tcPr>
          <w:p>
            <w:pPr>
              <w:pStyle w:val="907"/>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rPr>
              <w:t xml:space="preserve">元</w:t>
            </w:r>
            <w:r>
              <w:rPr>
                <w:rFonts w:hint="eastAsia" w:ascii="宋体" w:hAnsi="宋体" w:cs="宋体"/>
              </w:rPr>
              <w:t xml:space="preserve">）：                             </w:t>
            </w:r>
            <w:r/>
          </w:p>
        </w:tc>
      </w:tr>
      <w:tr>
        <w:trPr>
          <w:cantSplit/>
          <w:trHeight w:val="720"/>
        </w:trPr>
        <w:tc>
          <w:tcPr>
            <w:tcW w:w="9450" w:type="dxa"/>
            <w:vAlign w:val="center"/>
            <w:textDirection w:val="lrTb"/>
            <w:noWrap w:val="false"/>
          </w:tcPr>
          <w:p>
            <w:pPr>
              <w:pStyle w:val="907"/>
              <w:ind w:firstLine="0"/>
              <w:spacing w:before="0" w:after="0" w:line="500" w:lineRule="exact"/>
              <w:rPr>
                <w:rFonts w:hint="eastAsia" w:ascii="宋体" w:hAnsi="宋体" w:cs="宋体"/>
              </w:rPr>
            </w:pPr>
            <w:r>
              <w:rPr>
                <w:rFonts w:hint="eastAsia" w:ascii="宋体" w:hAnsi="宋体" w:cs="宋体"/>
                <w:lang w:val="en-US" w:eastAsia="zh-CN"/>
              </w:rPr>
              <w:t xml:space="preserve">大</w:t>
            </w:r>
            <w:r>
              <w:rPr>
                <w:rFonts w:hint="eastAsia" w:ascii="宋体" w:hAnsi="宋体" w:cs="宋体"/>
              </w:rPr>
              <w:t xml:space="preserve">写（</w:t>
            </w:r>
            <w:r>
              <w:rPr>
                <w:rFonts w:hint="eastAsia" w:ascii="宋体" w:hAnsi="宋体"/>
              </w:rPr>
              <w:t xml:space="preserve">元</w:t>
            </w:r>
            <w:r>
              <w:rPr>
                <w:rFonts w:hint="eastAsia" w:ascii="宋体" w:hAnsi="宋体" w:cs="宋体"/>
              </w:rPr>
              <w:t xml:space="preserve">）：</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sz w:val="32"/>
          <w:szCs w:val="32"/>
        </w:rPr>
        <w:outlineLvl w:val="0"/>
      </w:pPr>
      <w:r>
        <w:rPr>
          <w:rFonts w:ascii="黑体" w:eastAsia="黑体"/>
          <w:sz w:val="32"/>
          <w:szCs w:val="32"/>
        </w:rPr>
      </w:r>
      <w:r/>
    </w:p>
    <w:p>
      <w:pPr>
        <w:jc w:val="center"/>
        <w:spacing w:line="360" w:lineRule="auto"/>
        <w:rPr>
          <w:rFonts w:ascii="黑体" w:eastAsia="黑体"/>
          <w:sz w:val="32"/>
          <w:szCs w:val="32"/>
        </w:rPr>
        <w:outlineLvl w:val="0"/>
      </w:pPr>
      <w:r>
        <w:rPr>
          <w:rFonts w:asci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Style w:val="663"/>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p>
    <w:tbl>
      <w:tblPr>
        <w:tblStyle w:val="663"/>
        <w:tblW w:w="9439" w:type="dxa"/>
        <w:tblInd w:w="4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0"/>
        <w:gridCol w:w="710"/>
        <w:gridCol w:w="665"/>
        <w:gridCol w:w="515"/>
        <w:gridCol w:w="917"/>
        <w:gridCol w:w="625"/>
        <w:gridCol w:w="575"/>
        <w:gridCol w:w="4246"/>
        <w:gridCol w:w="736"/>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restart"/>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restart"/>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restart"/>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设备型号</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数量</w:t>
            </w:r>
            <w:r/>
          </w:p>
        </w:tc>
        <w:tc>
          <w:tcPr>
            <w:shd w:val="clear" w:color="auto" w:fill="auto"/>
            <w:tcBorders>
              <w:top w:val="single" w:color="000000" w:sz="4" w:space="0"/>
              <w:left w:val="single" w:color="000000" w:sz="4" w:space="0"/>
              <w:right w:val="single" w:color="000000" w:sz="4" w:space="0"/>
            </w:tcBorders>
            <w:tcW w:w="917" w:type="dxa"/>
            <w:vAlign w:val="center"/>
            <w:vMerge w:val="restart"/>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功率（kw）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价格（元）</w:t>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restart"/>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restart"/>
            <w:textDirection w:val="lrTb"/>
            <w:noWrap w:val="false"/>
          </w:tcPr>
          <w:p>
            <w:pPr>
              <w:rPr>
                <w:rFonts w:hint="default" w:ascii="宋体" w:hAnsi="宋体"/>
                <w:sz w:val="21"/>
                <w:szCs w:val="21"/>
                <w:lang w:val="en-US" w:eastAsia="zh-CN"/>
              </w:rPr>
            </w:pPr>
            <w:r>
              <w:rPr>
                <w:rFonts w:hint="eastAsia" w:ascii="宋体" w:hAnsi="宋体"/>
                <w:sz w:val="21"/>
                <w:szCs w:val="21"/>
                <w:lang w:val="en-US" w:eastAsia="zh-CN"/>
              </w:rPr>
              <w:t xml:space="preserve">备  注（品牌）</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left w:val="single" w:color="000000" w:sz="4" w:space="0"/>
              <w:bottom w:val="single" w:color="000000" w:sz="4" w:space="0"/>
              <w:right w:val="single" w:color="000000" w:sz="4" w:space="0"/>
            </w:tcBorders>
            <w:tcW w:w="917" w:type="dxa"/>
            <w:vAlign w:val="center"/>
            <w:vMerge w:val="continue"/>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vMerge w:val="continue"/>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44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播种流水线</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w:t>
            </w:r>
            <w:r>
              <w:rPr>
                <w:rFonts w:hint="default" w:ascii="宋体" w:hAnsi="宋体" w:eastAsia="宋体" w:cs="宋体"/>
                <w:i w:val="0"/>
                <w:iCs w:val="0"/>
                <w:color w:val="000000"/>
                <w:sz w:val="20"/>
                <w:szCs w:val="20"/>
                <w:u w:val="none"/>
                <w:lang w:val="en-US" w:eastAsia="zh-CN" w:bidi="ar"/>
              </w:rPr>
              <w:t xml:space="preserve">用于水稻硬塑盘播种过程中自动完成床土、洒水、播种、覆土等工作，适应于7寸、9寸秧盘。</w:t>
            </w:r>
            <w:r>
              <w:rPr>
                <w:rFonts w:hint="default" w:ascii="宋体" w:hAnsi="宋体" w:eastAsia="宋体" w:cs="宋体"/>
                <w:i w:val="0"/>
                <w:iCs w:val="0"/>
                <w:color w:val="000000"/>
                <w:sz w:val="20"/>
                <w:szCs w:val="20"/>
                <w:u w:val="none"/>
                <w:lang w:val="en-US" w:eastAsia="zh-CN" w:bidi="ar"/>
              </w:rPr>
              <w:br/>
            </w:r>
            <w:r>
              <w:rPr>
                <w:rFonts w:hint="eastAsia"/>
                <w:color w:val="c00000"/>
              </w:rPr>
              <w:t xml:space="preserve">▲</w:t>
            </w:r>
            <w:r>
              <w:rPr>
                <w:rFonts w:hint="default" w:ascii="宋体" w:hAnsi="宋体" w:eastAsia="宋体" w:cs="宋体"/>
                <w:i w:val="0"/>
                <w:iCs w:val="0"/>
                <w:color w:val="c00000"/>
                <w:sz w:val="20"/>
                <w:szCs w:val="20"/>
                <w:u w:val="none"/>
                <w:lang w:val="en-US" w:eastAsia="zh-CN" w:bidi="ar"/>
              </w:rPr>
              <w:t xml:space="preserve">1.小时生产率：</w:t>
            </w:r>
            <w:r>
              <w:rPr>
                <w:rFonts w:hint="default" w:ascii="宋体" w:hAnsi="宋体" w:eastAsia="宋体" w:cs="宋体"/>
                <w:i w:val="0"/>
                <w:iCs w:val="0"/>
                <w:color w:val="c00000"/>
                <w:sz w:val="20"/>
                <w:szCs w:val="20"/>
                <w:highlight w:val="yellow"/>
                <w:u w:val="none"/>
                <w:lang w:val="en-US" w:eastAsia="zh-CN" w:bidi="ar"/>
              </w:rPr>
              <w:t xml:space="preserve">≥2</w:t>
            </w:r>
            <w:r>
              <w:rPr>
                <w:rFonts w:hint="eastAsia" w:ascii="宋体" w:hAnsi="宋体" w:cs="宋体"/>
                <w:i w:val="0"/>
                <w:iCs w:val="0"/>
                <w:color w:val="c00000"/>
                <w:sz w:val="20"/>
                <w:szCs w:val="20"/>
                <w:highlight w:val="yellow"/>
                <w:u w:val="none"/>
                <w:lang w:val="en-US" w:eastAsia="zh-CN" w:bidi="ar"/>
              </w:rPr>
              <w:t xml:space="preserve">0</w:t>
            </w:r>
            <w:r>
              <w:rPr>
                <w:rFonts w:hint="default" w:ascii="宋体" w:hAnsi="宋体" w:eastAsia="宋体" w:cs="宋体"/>
                <w:i w:val="0"/>
                <w:iCs w:val="0"/>
                <w:color w:val="c00000"/>
                <w:sz w:val="20"/>
                <w:szCs w:val="20"/>
                <w:highlight w:val="yellow"/>
                <w:u w:val="none"/>
                <w:lang w:val="en-US" w:eastAsia="zh-CN" w:bidi="ar"/>
              </w:rPr>
              <w:t xml:space="preserve">00盘/h</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2.床土稳定性：≥90%</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3.排种器形式：外槽轮式或更优，双播种</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4.播种量调节档位数量：变频变速调节播种滚轮转速，满足播种量在调节范围内连续平滑可调的要求。</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5.播种量调节范围：70～300g/盘，播种量精度误差≤±</w:t>
            </w:r>
            <w:r>
              <w:rPr>
                <w:rFonts w:hint="eastAsia" w:ascii="宋体" w:hAnsi="宋体" w:cs="宋体"/>
                <w:i w:val="0"/>
                <w:iCs w:val="0"/>
                <w:color w:val="000000"/>
                <w:sz w:val="20"/>
                <w:szCs w:val="20"/>
                <w:u w:val="none"/>
                <w:lang w:val="en-US" w:eastAsia="zh-CN" w:bidi="ar"/>
              </w:rPr>
              <w:t xml:space="preserve">10</w:t>
            </w:r>
            <w:r>
              <w:rPr>
                <w:rFonts w:hint="default"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6.覆土稳定性：≥90%</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7.覆土平整方式：旋转刷、旋转抛洒笼或更优，应确保覆土均匀</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8.输送传动型式：皮带、链条或更优</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9.洒水稳定性：≥90%</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10.作业流程：自动完成播种全流程，具备有盘检测自动启停功能</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11.智能控制部分：</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①床土与覆土：有盘检测、自动启动，自动土量感应及启停外接输送机</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②洒水：有盘检测、自动启停</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③播种：有盘检测、自动启停</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核心产品</w:t>
            </w:r>
            <w:r/>
          </w:p>
        </w:tc>
      </w:tr>
      <w:tr>
        <w:trPr>
          <w:trHeight w:val="281"/>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分盘机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default" w:ascii="宋体" w:hAnsi="宋体" w:eastAsia="宋体" w:cs="宋体"/>
                <w:i w:val="0"/>
                <w:iCs w:val="0"/>
                <w:color w:val="000000"/>
                <w:sz w:val="20"/>
                <w:szCs w:val="20"/>
                <w:u w:val="none"/>
                <w:lang w:val="en-US" w:eastAsia="zh-CN" w:bidi="ar"/>
              </w:rPr>
              <w:t xml:space="preserve">主要用途：用于水稻硬盘播种中的自动分盘。</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1.供盘机构型式：螺旋分盘或更优</w:t>
            </w:r>
            <w:r>
              <w:rPr>
                <w:rFonts w:hint="default" w:ascii="宋体" w:hAnsi="宋体" w:eastAsia="宋体" w:cs="宋体"/>
                <w:i w:val="0"/>
                <w:iCs w:val="0"/>
                <w:color w:val="000000"/>
                <w:sz w:val="20"/>
                <w:szCs w:val="20"/>
                <w:u w:val="none"/>
                <w:lang w:val="en-US" w:eastAsia="zh-CN" w:bidi="ar"/>
              </w:rPr>
              <w:br/>
            </w:r>
            <w:r>
              <w:rPr>
                <w:rFonts w:hint="eastAsia"/>
                <w:color w:val="c00000"/>
              </w:rPr>
              <w:t xml:space="preserve">▲</w:t>
            </w:r>
            <w:r>
              <w:rPr>
                <w:rFonts w:hint="default" w:ascii="宋体" w:hAnsi="宋体" w:eastAsia="宋体" w:cs="宋体"/>
                <w:i w:val="0"/>
                <w:iCs w:val="0"/>
                <w:color w:val="c00000"/>
                <w:sz w:val="20"/>
                <w:szCs w:val="20"/>
                <w:u w:val="none"/>
                <w:lang w:val="en-US" w:eastAsia="zh-CN" w:bidi="ar"/>
              </w:rPr>
              <w:t xml:space="preserve">2.供盘效率：</w:t>
            </w:r>
            <w:r>
              <w:rPr>
                <w:rFonts w:hint="default" w:ascii="宋体" w:hAnsi="宋体" w:eastAsia="宋体" w:cs="宋体"/>
                <w:i w:val="0"/>
                <w:iCs w:val="0"/>
                <w:color w:val="c00000"/>
                <w:sz w:val="20"/>
                <w:szCs w:val="20"/>
                <w:highlight w:val="yellow"/>
                <w:u w:val="none"/>
                <w:lang w:val="en-US" w:eastAsia="zh-CN" w:bidi="ar"/>
              </w:rPr>
              <w:t xml:space="preserve">≥</w:t>
            </w:r>
            <w:r>
              <w:rPr>
                <w:rFonts w:hint="eastAsia" w:ascii="宋体" w:hAnsi="宋体" w:cs="宋体"/>
                <w:i w:val="0"/>
                <w:iCs w:val="0"/>
                <w:color w:val="c00000"/>
                <w:sz w:val="20"/>
                <w:szCs w:val="20"/>
                <w:highlight w:val="yellow"/>
                <w:u w:val="none"/>
                <w:lang w:val="en-US" w:eastAsia="zh-CN" w:bidi="ar"/>
              </w:rPr>
              <w:t xml:space="preserve">20</w:t>
            </w:r>
            <w:r>
              <w:rPr>
                <w:rFonts w:hint="default" w:ascii="宋体" w:hAnsi="宋体" w:eastAsia="宋体" w:cs="宋体"/>
                <w:i w:val="0"/>
                <w:iCs w:val="0"/>
                <w:color w:val="c00000"/>
                <w:sz w:val="20"/>
                <w:szCs w:val="20"/>
                <w:highlight w:val="yellow"/>
                <w:u w:val="none"/>
                <w:lang w:val="en-US" w:eastAsia="zh-CN" w:bidi="ar"/>
              </w:rPr>
              <w:t xml:space="preserve">00盘/h</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3.单次放盘量≥10盘</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4.配套电源：380V</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叠盘机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主要用途：用于水稻硬盘播种中的自动叠盘。</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1.叠盘机构型式：侧推式、抓取式、旋转式等，驱动方式不限（伺服、丝杆顶升或更优）</w:t>
            </w:r>
            <w:r>
              <w:rPr>
                <w:rFonts w:hint="default" w:ascii="宋体" w:hAnsi="宋体" w:eastAsia="宋体" w:cs="宋体"/>
                <w:i w:val="0"/>
                <w:iCs w:val="0"/>
                <w:color w:val="000000"/>
                <w:sz w:val="20"/>
                <w:szCs w:val="20"/>
                <w:u w:val="none"/>
                <w:lang w:val="en-US" w:eastAsia="zh-CN" w:bidi="ar"/>
              </w:rPr>
              <w:br/>
            </w:r>
            <w:r>
              <w:rPr>
                <w:rFonts w:hint="eastAsia"/>
                <w:color w:val="c00000"/>
              </w:rPr>
              <w:t xml:space="preserve">▲</w:t>
            </w:r>
            <w:r>
              <w:rPr>
                <w:rFonts w:hint="default" w:ascii="宋体" w:hAnsi="宋体" w:eastAsia="宋体" w:cs="宋体"/>
                <w:i w:val="0"/>
                <w:iCs w:val="0"/>
                <w:color w:val="c00000"/>
                <w:sz w:val="20"/>
                <w:szCs w:val="20"/>
                <w:u w:val="none"/>
                <w:lang w:val="en-US" w:eastAsia="zh-CN" w:bidi="ar"/>
              </w:rPr>
              <w:t xml:space="preserve">2.小时生产率：</w:t>
            </w:r>
            <w:r>
              <w:rPr>
                <w:rFonts w:hint="default" w:ascii="宋体" w:hAnsi="宋体" w:eastAsia="宋体" w:cs="宋体"/>
                <w:i w:val="0"/>
                <w:iCs w:val="0"/>
                <w:color w:val="c00000"/>
                <w:sz w:val="20"/>
                <w:szCs w:val="20"/>
                <w:highlight w:val="yellow"/>
                <w:u w:val="none"/>
                <w:lang w:val="en-US" w:eastAsia="zh-CN" w:bidi="ar"/>
              </w:rPr>
              <w:t xml:space="preserve">≥2</w:t>
            </w:r>
            <w:r>
              <w:rPr>
                <w:rFonts w:hint="eastAsia" w:ascii="宋体" w:hAnsi="宋体" w:cs="宋体"/>
                <w:i w:val="0"/>
                <w:iCs w:val="0"/>
                <w:color w:val="c00000"/>
                <w:sz w:val="20"/>
                <w:szCs w:val="20"/>
                <w:highlight w:val="yellow"/>
                <w:u w:val="none"/>
                <w:lang w:val="en-US" w:eastAsia="zh-CN" w:bidi="ar"/>
              </w:rPr>
              <w:t xml:space="preserve">0</w:t>
            </w:r>
            <w:r>
              <w:rPr>
                <w:rFonts w:hint="default" w:ascii="宋体" w:hAnsi="宋体" w:eastAsia="宋体" w:cs="宋体"/>
                <w:i w:val="0"/>
                <w:iCs w:val="0"/>
                <w:color w:val="c00000"/>
                <w:sz w:val="20"/>
                <w:szCs w:val="20"/>
                <w:highlight w:val="yellow"/>
                <w:u w:val="none"/>
                <w:lang w:val="en-US" w:eastAsia="zh-CN" w:bidi="ar"/>
              </w:rPr>
              <w:t xml:space="preserve">00盘/h</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3.叠盘数量：5盘</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4.配套电源：380V</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直线输送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主要用途：将空秧盘或播种后的秧盘运输到指定位置，减少人工搬运。</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1.外形尺寸（长×宽×高）：≥204</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×480×76</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mm（±5%）</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2.运输能力：≥0.30m/s</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3.配套电源：220V</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4.控制方式：可与播种机联动，实现自动启停，也可手动启停</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直线输送</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0.12（单条）</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主要用途：将空秧盘或播种后的秧盘运输到指定位置。</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1.外形尺寸（长×宽×高）：≥2400×480×62</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mm（±5%）</w:t>
            </w:r>
            <w:r/>
          </w:p>
          <w:p>
            <w:pPr>
              <w:jc w:val="left"/>
              <w:keepLines w:val="0"/>
              <w:keepNext w:val="0"/>
              <w:widowControl/>
              <w:rPr>
                <w:rFonts w:hint="eastAsia" w:ascii="宋体" w:hAnsi="宋体"/>
                <w:sz w:val="21"/>
                <w:szCs w:val="21"/>
                <w:lang w:val="en-US" w:eastAsia="zh-CN"/>
              </w:rPr>
              <w:suppressLineNumbers w:val="0"/>
            </w:pPr>
            <w:r>
              <w:rPr>
                <w:rFonts w:hint="default" w:ascii="宋体" w:hAnsi="宋体" w:eastAsia="宋体" w:cs="宋体"/>
                <w:i w:val="0"/>
                <w:iCs w:val="0"/>
                <w:color w:val="000000"/>
                <w:sz w:val="20"/>
                <w:szCs w:val="20"/>
                <w:u w:val="none"/>
                <w:lang w:val="en-US" w:eastAsia="zh-CN" w:bidi="ar"/>
              </w:rPr>
              <w:t xml:space="preserve">2.运输能力：≥0.30m/s</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3.配套电源：AC220V</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4.控制方式：可与播种机联动，实现自动启停，也可手动启停</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种子吊装架</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主要用途：用于种子精准上料输送，实现持续自动上种。</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1.作业状态整机外形尺寸：根据现场定制，投标人需在投标文件中提供设计方案及尺寸范围</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2.负载：≥1吨</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3.配套电源：220V</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需满足满载工况下平稳运行</w:t>
            </w:r>
            <w:r/>
          </w:p>
        </w:tc>
      </w:tr>
      <w:tr>
        <w:trPr>
          <w:trHeight w:val="302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上土筛土机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3.85（单套）</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主要用途：用于基质土筛选搅拌、上料输送，满足流水线床土箱、覆土箱自动补土。</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1.作业状态整机外形尺寸：≥2500×35</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0×28</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0mm（±</w:t>
            </w:r>
            <w:r>
              <w:rPr>
                <w:rFonts w:hint="eastAsia" w:ascii="宋体" w:hAnsi="宋体" w:cs="宋体"/>
                <w:i w:val="0"/>
                <w:iCs w:val="0"/>
                <w:color w:val="000000"/>
                <w:sz w:val="20"/>
                <w:szCs w:val="20"/>
                <w:u w:val="none"/>
                <w:lang w:val="en-US" w:eastAsia="zh-CN" w:bidi="ar"/>
              </w:rPr>
              <w:t xml:space="preserve">5</w:t>
            </w:r>
            <w:r>
              <w:rPr>
                <w:rFonts w:hint="default" w:ascii="宋体" w:hAnsi="宋体" w:eastAsia="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2.报警方式：屏幕报警显示+指示灯报警</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3.送土效率：≥13m³/h</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4.容积：≥3300L</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5.输送传动型式：平皮带+链条输送或更优</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6.配套电源：380V</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7.控制方式：PLC程序控制，与播种机联动，实现自动启停，也可手动启停</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8.筛网孔径：≤10mm（可根据基质要求更换）</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37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码垛机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主要用途：可一次性抓取5个或以上秧盘，放置在托盘整齐码放，最高一个托盘可放150个秧盘。托盘存料区完成自动分托盘，保障作业连续性。可实现复杂的交叉码垛方式。</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1.整机外形尺寸：定制，投标人需提供详细方案</w:t>
            </w:r>
            <w:r>
              <w:rPr>
                <w:rFonts w:hint="default"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.X轴定位精度：≤±2mm；运行噪声≤</w:t>
            </w:r>
            <w:r>
              <w:rPr>
                <w:rFonts w:hint="eastAsia" w:ascii="宋体" w:hAnsi="宋体" w:cs="宋体"/>
                <w:i w:val="0"/>
                <w:iCs w:val="0"/>
                <w:color w:val="000000"/>
                <w:sz w:val="20"/>
                <w:szCs w:val="20"/>
                <w:u w:val="none"/>
                <w:lang w:val="en-US" w:eastAsia="zh-CN" w:bidi="ar"/>
              </w:rPr>
              <w:t xml:space="preserve">100</w:t>
            </w:r>
            <w:r>
              <w:rPr>
                <w:rFonts w:hint="default" w:ascii="宋体" w:hAnsi="宋体" w:eastAsia="宋体" w:cs="宋体"/>
                <w:i w:val="0"/>
                <w:iCs w:val="0"/>
                <w:color w:val="000000"/>
                <w:sz w:val="20"/>
                <w:szCs w:val="20"/>
                <w:u w:val="none"/>
                <w:lang w:val="en-US" w:eastAsia="zh-CN" w:bidi="ar"/>
              </w:rPr>
              <w:t xml:space="preserve">dB(A)</w:t>
            </w:r>
            <w:r>
              <w:rPr>
                <w:rFonts w:hint="default"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3</w:t>
            </w:r>
            <w:r>
              <w:rPr>
                <w:rFonts w:hint="default" w:ascii="宋体" w:hAnsi="宋体" w:eastAsia="宋体" w:cs="宋体"/>
                <w:i w:val="0"/>
                <w:iCs w:val="0"/>
                <w:color w:val="000000"/>
                <w:sz w:val="20"/>
                <w:szCs w:val="20"/>
                <w:u w:val="none"/>
                <w:lang w:val="en-US" w:eastAsia="zh-CN" w:bidi="ar"/>
              </w:rPr>
              <w:t xml:space="preserve">.配套电源：380V</w:t>
            </w:r>
            <w:r>
              <w:rPr>
                <w:rFonts w:hint="default" w:ascii="宋体" w:hAnsi="宋体" w:eastAsia="宋体" w:cs="宋体"/>
                <w:i w:val="0"/>
                <w:iCs w:val="0"/>
                <w:color w:val="000000"/>
                <w:sz w:val="20"/>
                <w:szCs w:val="20"/>
                <w:u w:val="none"/>
                <w:lang w:val="en-US" w:eastAsia="zh-CN" w:bidi="ar"/>
              </w:rPr>
              <w:br/>
            </w:r>
            <w:r>
              <w:rPr>
                <w:rFonts w:hint="eastAsia"/>
                <w:color w:val="c00000"/>
              </w:rPr>
              <w:t xml:space="preserve">▲</w:t>
            </w:r>
            <w:r>
              <w:rPr>
                <w:rFonts w:hint="default" w:ascii="宋体" w:hAnsi="宋体" w:eastAsia="宋体" w:cs="宋体"/>
                <w:i w:val="0"/>
                <w:iCs w:val="0"/>
                <w:color w:val="c00000"/>
                <w:sz w:val="20"/>
                <w:szCs w:val="20"/>
                <w:u w:val="none"/>
                <w:lang w:val="en-US" w:eastAsia="zh-CN" w:bidi="ar"/>
              </w:rPr>
              <w:t xml:space="preserve">5.码垛效率：</w:t>
            </w:r>
            <w:r>
              <w:rPr>
                <w:rFonts w:hint="default" w:ascii="宋体" w:hAnsi="宋体" w:eastAsia="宋体" w:cs="宋体"/>
                <w:i w:val="0"/>
                <w:iCs w:val="0"/>
                <w:color w:val="c00000"/>
                <w:sz w:val="20"/>
                <w:szCs w:val="20"/>
                <w:highlight w:val="yellow"/>
                <w:u w:val="none"/>
                <w:lang w:val="en-US" w:eastAsia="zh-CN" w:bidi="ar"/>
              </w:rPr>
              <w:t xml:space="preserve">≥2</w:t>
            </w:r>
            <w:r>
              <w:rPr>
                <w:rFonts w:hint="eastAsia" w:ascii="宋体" w:hAnsi="宋体" w:cs="宋体"/>
                <w:i w:val="0"/>
                <w:iCs w:val="0"/>
                <w:color w:val="c00000"/>
                <w:sz w:val="20"/>
                <w:szCs w:val="20"/>
                <w:highlight w:val="yellow"/>
                <w:u w:val="none"/>
                <w:lang w:val="en-US" w:eastAsia="zh-CN" w:bidi="ar"/>
              </w:rPr>
              <w:t xml:space="preserve">0</w:t>
            </w:r>
            <w:r>
              <w:rPr>
                <w:rFonts w:hint="default" w:ascii="宋体" w:hAnsi="宋体" w:eastAsia="宋体" w:cs="宋体"/>
                <w:i w:val="0"/>
                <w:iCs w:val="0"/>
                <w:color w:val="c00000"/>
                <w:sz w:val="20"/>
                <w:szCs w:val="20"/>
                <w:highlight w:val="yellow"/>
                <w:u w:val="none"/>
                <w:lang w:val="en-US" w:eastAsia="zh-CN" w:bidi="ar"/>
              </w:rPr>
              <w:t xml:space="preserve">00盘/h</w:t>
            </w:r>
            <w:r>
              <w:rPr>
                <w:rFonts w:hint="default"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4</w:t>
            </w:r>
            <w:r>
              <w:rPr>
                <w:rFonts w:hint="default" w:ascii="宋体" w:hAnsi="宋体" w:eastAsia="宋体" w:cs="宋体"/>
                <w:i w:val="0"/>
                <w:iCs w:val="0"/>
                <w:color w:val="000000"/>
                <w:sz w:val="20"/>
                <w:szCs w:val="20"/>
                <w:u w:val="none"/>
                <w:lang w:val="en-US" w:eastAsia="zh-CN" w:bidi="ar"/>
              </w:rPr>
              <w:t xml:space="preserve">.控制方式：PLC程序控制，与播种机联动，实现自动启停，也可手动启停</w:t>
            </w:r>
            <w:r>
              <w:rPr>
                <w:rFonts w:hint="default" w:ascii="宋体" w:hAnsi="宋体" w:eastAsia="宋体" w:cs="宋体"/>
                <w:i w:val="0"/>
                <w:iCs w:val="0"/>
                <w:color w:val="000000"/>
                <w:sz w:val="20"/>
                <w:szCs w:val="20"/>
                <w:u w:val="none"/>
                <w:lang w:val="en-US" w:eastAsia="zh-CN" w:bidi="ar"/>
              </w:rPr>
              <w:br/>
            </w:r>
            <w:r>
              <w:rPr>
                <w:rFonts w:hint="eastAsia" w:ascii="宋体" w:hAnsi="宋体" w:cs="宋体"/>
                <w:i w:val="0"/>
                <w:iCs w:val="0"/>
                <w:color w:val="000000"/>
                <w:sz w:val="20"/>
                <w:szCs w:val="20"/>
                <w:u w:val="none"/>
                <w:lang w:val="en-US" w:eastAsia="zh-CN" w:bidi="ar"/>
              </w:rPr>
              <w:t xml:space="preserve">5</w:t>
            </w:r>
            <w:r>
              <w:rPr>
                <w:rFonts w:hint="default" w:ascii="宋体" w:hAnsi="宋体" w:eastAsia="宋体" w:cs="宋体"/>
                <w:i w:val="0"/>
                <w:iCs w:val="0"/>
                <w:color w:val="000000"/>
                <w:sz w:val="20"/>
                <w:szCs w:val="20"/>
                <w:u w:val="none"/>
                <w:lang w:val="en-US" w:eastAsia="zh-CN" w:bidi="ar"/>
              </w:rPr>
              <w:t xml:space="preserve">.可实现5层复杂的交叉码垛</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223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托盘板链式输送线</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主要用途：当秧盘码放完成后，自动外推，便于叉车转运。托盘存料区完成自动分托盘，保障作业连续性。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1.托盘分盘机分盘数量：≥</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2.储存托盘数：≥</w:t>
            </w: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3.输送速度：≥0.30m/s，负载能力≥1.5吨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4.配套电源：380V</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5.配合两轴码垛使用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214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育秧设备智能总控制箱</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主要功能：控制育秧流水线码垛装置，提供端口协议接入第三方平台，提供 3 年免费基础通讯与数据交互功能（不含深度定制开发）。</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1.具有主电控箱对外扩展的通讯接口（至少包含以太网、RS485），可实现中控室与主电控箱数据交换</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2.可监测设备运行状态，数据采集点位不少于XX个，历史数据存储时长≥30天</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3.故障报警响应时间≤2s，具备声光报警及触摸屏显示</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4.支持远程查看运行参数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506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浸种催芽机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1.64（单台）</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主要用途：自动完成水稻种子播种前浸种、催芽工序；具备浸水式浸种、恒定控温、持续供氧、上下水自动循环。</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1.外形尺寸：≥25</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0×18</w:t>
            </w:r>
            <w:r>
              <w:rPr>
                <w:rFonts w:hint="eastAsia" w:ascii="宋体" w:hAnsi="宋体" w:cs="宋体"/>
                <w:i w:val="0"/>
                <w:iCs w:val="0"/>
                <w:color w:val="000000"/>
                <w:sz w:val="20"/>
                <w:szCs w:val="20"/>
                <w:u w:val="none"/>
                <w:lang w:val="en-US" w:eastAsia="zh-CN" w:bidi="ar"/>
              </w:rPr>
              <w:t xml:space="preserve">00</w:t>
            </w:r>
            <w:r>
              <w:rPr>
                <w:rFonts w:hint="default" w:ascii="宋体" w:hAnsi="宋体" w:eastAsia="宋体" w:cs="宋体"/>
                <w:i w:val="0"/>
                <w:iCs w:val="0"/>
                <w:color w:val="000000"/>
                <w:sz w:val="20"/>
                <w:szCs w:val="20"/>
                <w:u w:val="none"/>
                <w:lang w:val="en-US" w:eastAsia="zh-CN" w:bidi="ar"/>
              </w:rPr>
              <w:t xml:space="preserve">×13</w:t>
            </w:r>
            <w:r>
              <w:rPr>
                <w:rFonts w:hint="eastAsia" w:ascii="宋体" w:hAnsi="宋体" w:cs="宋体"/>
                <w:i w:val="0"/>
                <w:iCs w:val="0"/>
                <w:color w:val="000000"/>
                <w:sz w:val="20"/>
                <w:szCs w:val="20"/>
                <w:u w:val="none"/>
                <w:lang w:val="en-US" w:eastAsia="zh-CN" w:bidi="ar"/>
              </w:rPr>
              <w:t xml:space="preserve">00</w:t>
            </w:r>
            <w:r>
              <w:rPr>
                <w:rFonts w:hint="default" w:ascii="宋体" w:hAnsi="宋体" w:eastAsia="宋体" w:cs="宋体"/>
                <w:i w:val="0"/>
                <w:iCs w:val="0"/>
                <w:color w:val="000000"/>
                <w:sz w:val="20"/>
                <w:szCs w:val="20"/>
                <w:u w:val="none"/>
                <w:lang w:val="en-US" w:eastAsia="zh-CN" w:bidi="ar"/>
              </w:rPr>
              <w:t xml:space="preserve">mm</w:t>
            </w:r>
            <w:r>
              <w:rPr>
                <w:rFonts w:hint="eastAsia" w:ascii="宋体" w:hAnsi="宋体" w:cs="宋体"/>
                <w:i w:val="0"/>
                <w:iCs w:val="0"/>
                <w:color w:val="000000"/>
                <w:sz w:val="20"/>
                <w:szCs w:val="20"/>
                <w:u w:val="none"/>
                <w:lang w:val="en-US" w:eastAsia="zh-CN" w:bidi="ar"/>
              </w:rPr>
              <w:t xml:space="preserve">（</w:t>
            </w:r>
            <w:r>
              <w:rPr>
                <w:rFonts w:hint="default" w:ascii="宋体" w:hAnsi="宋体" w:eastAsia="宋体" w:cs="宋体"/>
                <w:i w:val="0"/>
                <w:iCs w:val="0"/>
                <w:color w:val="000000"/>
                <w:sz w:val="20"/>
                <w:szCs w:val="20"/>
                <w:u w:val="none"/>
                <w:lang w:val="en-US" w:eastAsia="zh-CN" w:bidi="ar"/>
              </w:rPr>
              <w:t xml:space="preserve">±5%）</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2.材质：低密度聚乙烯LLDPE或同等及以上无毒耐腐蚀材质</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3.生产能力：≥1000kg/批</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4.水箱容积：≥2500L</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5.浸种催芽方式：浸水+吹气</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6.催芽时间：可设定</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7.电源：380V</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8.加热方式：电热管加热</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9.控温系统：热电偶+温度传感器+控温程序，温度控制精度±0.5℃</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10.作业流程：浸种+催芽</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11.种子排列方式：吨包、袋装、叠放式</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12.温度传感器采用PT100高精度传感器，测温精度0.2%以上，反应速度0.05s，探头材质SUS304不锈钢</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13.主机智能PLC全自动控制，触摸屏输入输出显示（故障报警、温度实时显示、设置），控制柜有作业、报警、停机指示灯，内置漏电、过载、短路保护，权限修改功能防误操作</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核心产品</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甩干机</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w:t>
            </w:r>
            <w:r>
              <w:rPr>
                <w:rFonts w:hint="default" w:ascii="宋体" w:hAnsi="宋体" w:eastAsia="宋体" w:cs="宋体"/>
                <w:i w:val="0"/>
                <w:iCs w:val="0"/>
                <w:color w:val="000000"/>
                <w:sz w:val="20"/>
                <w:szCs w:val="20"/>
                <w:u w:val="none"/>
                <w:lang w:val="en-US" w:eastAsia="zh-CN" w:bidi="ar"/>
              </w:rPr>
              <w:t xml:space="preserve">浸种催芽后的种子通过脱水机迅速脱水。</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1.变频调速</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2.电源：AC380V</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3.限载容量：≥80kg/批</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4.脱水率：≥80%（按重量计），转速可调范围：0～900rpm</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234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秧盘</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default" w:ascii="宋体" w:hAnsi="宋体" w:eastAsia="宋体" w:cs="宋体"/>
                <w:i w:val="0"/>
                <w:iCs w:val="0"/>
                <w:color w:val="000000"/>
                <w:sz w:val="20"/>
                <w:szCs w:val="20"/>
                <w:u w:val="none"/>
                <w:lang w:val="en-US" w:eastAsia="zh-CN" w:bidi="ar"/>
              </w:rPr>
              <w:t xml:space="preserve">1.材质：改性PP；</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2.外径尺寸：9寸，60</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mm×30</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mm×35mm（允许±</w:t>
            </w:r>
            <w:r>
              <w:rPr>
                <w:rFonts w:hint="eastAsia" w:ascii="宋体" w:hAnsi="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mm）；</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3.内径尺寸：580mm×280mm×30mm（允许±</w:t>
            </w:r>
            <w:r>
              <w:rPr>
                <w:rFonts w:hint="eastAsia" w:ascii="宋体" w:hAnsi="宋体" w:cs="宋体"/>
                <w:i w:val="0"/>
                <w:iCs w:val="0"/>
                <w:color w:val="000000"/>
                <w:sz w:val="20"/>
                <w:szCs w:val="20"/>
                <w:u w:val="none"/>
                <w:lang w:val="en-US" w:eastAsia="zh-CN" w:bidi="ar"/>
              </w:rPr>
              <w:t xml:space="preserve">2</w:t>
            </w:r>
            <w:r>
              <w:rPr>
                <w:rFonts w:hint="default" w:ascii="宋体" w:hAnsi="宋体" w:eastAsia="宋体" w:cs="宋体"/>
                <w:i w:val="0"/>
                <w:iCs w:val="0"/>
                <w:color w:val="000000"/>
                <w:sz w:val="20"/>
                <w:szCs w:val="20"/>
                <w:u w:val="none"/>
                <w:lang w:val="en-US" w:eastAsia="zh-CN" w:bidi="ar"/>
              </w:rPr>
              <w:t xml:space="preserve">mm）；</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4.秧盘重量≥5</w:t>
            </w:r>
            <w:r>
              <w:rPr>
                <w:rFonts w:hint="eastAsia" w:ascii="宋体" w:hAnsi="宋体" w:cs="宋体"/>
                <w:i w:val="0"/>
                <w:iCs w:val="0"/>
                <w:color w:val="000000"/>
                <w:sz w:val="20"/>
                <w:szCs w:val="20"/>
                <w:u w:val="none"/>
                <w:lang w:val="en-US" w:eastAsia="zh-CN" w:bidi="ar"/>
              </w:rPr>
              <w:t xml:space="preserve">0</w:t>
            </w:r>
            <w:r>
              <w:rPr>
                <w:rFonts w:hint="default" w:ascii="宋体" w:hAnsi="宋体" w:eastAsia="宋体" w:cs="宋体"/>
                <w:i w:val="0"/>
                <w:iCs w:val="0"/>
                <w:color w:val="000000"/>
                <w:sz w:val="20"/>
                <w:szCs w:val="20"/>
                <w:u w:val="none"/>
                <w:lang w:val="en-US" w:eastAsia="zh-CN" w:bidi="ar"/>
              </w:rPr>
              <w:t xml:space="preserve">0g；</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5.加强筋：加强筋结构合理、透水孔均匀布置；</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6.5年以内可重复使用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1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主要用途：用于运送秧盘和其他育秧物资，便于存放和运输。全新塑料制作，下加钢条增加承重，防老化不易变形。</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1.外形尺寸：1100×1300×150mm（允许±5mm）</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2.形式：网格式叉车板</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3.用料：全新塑料，中间配备不少于4条不锈钢龙骨</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4.动载≥1.5吨，静载≥3吨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28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暗化室</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平</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宋体"/>
                <w:i w:val="0"/>
                <w:iCs w:val="0"/>
                <w:color w:val="000000"/>
                <w:sz w:val="20"/>
                <w:szCs w:val="20"/>
                <w:u w:val="none"/>
                <w:lang w:val="en-US" w:eastAsia="zh-CN" w:bidi="ar"/>
              </w:rPr>
              <w:t xml:space="preserve">主要用途：播种后的秧盘通过暗化密室36-48小时催芽，进入炼苗环节。</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1.尺寸：10m×6m×3.5m（可根据现场微调，最终以采购人确认图纸为准）</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2.密室主体：≥10cm高密度环保阻燃聚氨酯保温板，阻燃等级B1，镀锌骨架，平开门</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3.配套加温加湿机一套</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4.加热加湿管道及循环系统：密室每个区域均需单独布置管道</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5.微环境智能控制系统：恒温恒湿控制，系统自动控制，触摸屏操作；温度控制范围20～35℃可调，精度±1℃；湿度控制范围60%～95%RH可调，精度±5%RH</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6.具备故障报警、数据记录功能</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13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主要用途：用于秧盘、托盘物资的转运及其他物资装卸。</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1.外形：3节门架带侧移，电子档</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2.额定荷载：3000kg</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3.卸载高度：≥3.5m</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4.动力形式：柴油或电动</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5.排放标准：满足国家现行非道路移动机械排放标准</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6.须为全新合格产品，具备特种设备制造许可证、型式试验合格证，供应商须协助办理使用登记及首次检验，费用包含在报价中</w:t>
            </w:r>
            <w:r/>
          </w:p>
          <w:p>
            <w:pPr>
              <w:numPr>
                <w:ilvl w:val="0"/>
                <w:numId w:val="0"/>
              </w:numPr>
              <w:jc w:val="left"/>
              <w:keepLines w:val="0"/>
              <w:keepNext w:val="0"/>
              <w:widowControl/>
              <w:rPr>
                <w:rFonts w:hint="eastAsia" w:ascii="宋体" w:hAnsi="宋体"/>
                <w:sz w:val="21"/>
                <w:szCs w:val="21"/>
                <w:lang w:val="en-US" w:eastAsia="zh-CN"/>
              </w:rPr>
              <w:suppressLineNumbers w:val="0"/>
            </w:pPr>
            <w:r>
              <w:rPr>
                <w:rFonts w:hint="eastAsia" w:ascii="宋体" w:hAnsi="宋体" w:eastAsia="宋体" w:cs="Times New Roman"/>
                <w:sz w:val="21"/>
                <w:szCs w:val="21"/>
                <w:lang w:val="en-US" w:eastAsia="zh-CN" w:bidi="ar-SA"/>
              </w:rPr>
              <w:t xml:space="preserve">8.</w:t>
            </w:r>
            <w:r>
              <w:rPr>
                <w:rFonts w:hint="eastAsia" w:ascii="宋体" w:hAnsi="宋体" w:eastAsia="宋体" w:cs="宋体"/>
                <w:i w:val="0"/>
                <w:iCs w:val="0"/>
                <w:color w:val="000000"/>
                <w:sz w:val="20"/>
                <w:szCs w:val="20"/>
                <w:u w:val="none"/>
                <w:lang w:val="en-US" w:eastAsia="zh-CN" w:bidi="ar"/>
              </w:rPr>
              <w:t xml:space="preserve">叉车需能在满载运行状态下通过2.4m</w:t>
            </w:r>
            <w:r>
              <w:rPr>
                <w:rFonts w:hint="eastAsia" w:ascii="宋体" w:hAnsi="宋体" w:cs="宋体"/>
                <w:i w:val="0"/>
                <w:iCs w:val="0"/>
                <w:color w:val="000000"/>
                <w:sz w:val="20"/>
                <w:szCs w:val="20"/>
                <w:u w:val="none"/>
                <w:lang w:val="en-US" w:eastAsia="zh-CN" w:bidi="ar"/>
              </w:rPr>
              <w:t xml:space="preserve">*2.6m(宽*高)的门</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4982"/>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铲车</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主要用途：用于散装基质、种子等物料的装卸转运。</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变速箱：无级变速带跑路挡</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传动方式：前后四驱，采用轮边减速气刹桥（加重型）或同等及以上性能传动结构</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作业高度：卸料高度≥3.2m，举料高度≥4.2m，平铲高度≥3.5m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铲斗额定载重：≥1.5 吨</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轮胎：采用 20.5-70-16 夹层工程轮胎或同等及以上规格工程轮胎</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操控方式：采用单杆机械先导操作或同等及以上操控方式</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lang w:val="en-US" w:eastAsia="zh-CN" w:bidi="ar"/>
              </w:rPr>
              <w:t xml:space="preserve">驾驶室：封闭式结构，具备 ROPS</w:t>
            </w:r>
            <w:r>
              <w:rPr>
                <w:rFonts w:hint="eastAsia" w:ascii="宋体" w:hAnsi="宋体" w:cs="宋体"/>
                <w:i w:val="0"/>
                <w:iCs w:val="0"/>
                <w:color w:val="000000"/>
                <w:sz w:val="20"/>
                <w:szCs w:val="20"/>
                <w:u w:val="none"/>
                <w:lang w:val="en-US" w:eastAsia="zh-CN" w:bidi="ar"/>
              </w:rPr>
              <w:t xml:space="preserve">或</w:t>
            </w:r>
            <w:r>
              <w:rPr>
                <w:rFonts w:hint="eastAsia" w:ascii="宋体" w:hAnsi="宋体" w:eastAsia="宋体" w:cs="宋体"/>
                <w:i w:val="0"/>
                <w:iCs w:val="0"/>
                <w:color w:val="000000"/>
                <w:sz w:val="20"/>
                <w:szCs w:val="20"/>
                <w:u w:val="none"/>
                <w:lang w:val="en-US" w:eastAsia="zh-CN" w:bidi="ar"/>
              </w:rPr>
              <w:t xml:space="preserve">FOPS</w:t>
            </w:r>
            <w:r>
              <w:rPr>
                <w:rFonts w:hint="eastAsia" w:ascii="宋体" w:hAnsi="宋体" w:cs="宋体"/>
                <w:i w:val="0"/>
                <w:iCs w:val="0"/>
                <w:color w:val="000000"/>
                <w:sz w:val="20"/>
                <w:szCs w:val="20"/>
                <w:u w:val="none"/>
                <w:lang w:val="en-US" w:eastAsia="zh-CN" w:bidi="ar"/>
              </w:rPr>
              <w:t xml:space="preserve">或国家相关质量</w:t>
            </w:r>
            <w:r>
              <w:rPr>
                <w:rFonts w:hint="eastAsia" w:ascii="宋体" w:hAnsi="宋体" w:eastAsia="宋体" w:cs="宋体"/>
                <w:i w:val="0"/>
                <w:iCs w:val="0"/>
                <w:color w:val="000000"/>
                <w:sz w:val="20"/>
                <w:szCs w:val="20"/>
                <w:u w:val="none"/>
                <w:lang w:val="en-US" w:eastAsia="zh-CN" w:bidi="ar"/>
              </w:rPr>
              <w:t xml:space="preserve">认证；喷塑车身，漆膜厚度≥80μm</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lang w:val="en-US" w:eastAsia="zh-CN" w:bidi="ar"/>
              </w:rPr>
              <w:t xml:space="preserve">液压油缸：采用高强度铸造油缸，承载性能可靠</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lang w:val="en-US" w:eastAsia="zh-CN" w:bidi="ar"/>
              </w:rPr>
              <w:t xml:space="preserve">结构件：大臂、虎头、边板等主要受力部件厚度≥25mm，结构强度满足满载连续作业要求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液压管路：采用 32MPa 及以上高压油管，配套可靠密封接头，密封性能满足长期作业要求</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lang w:val="en-US" w:eastAsia="zh-CN" w:bidi="ar"/>
              </w:rPr>
              <w:t xml:space="preserve">动力系统：发动机功率≥60kW，排放满足国家现行非道路移动机械排放标准</w:t>
            </w:r>
            <w:r/>
          </w:p>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lang w:val="en-US" w:eastAsia="zh-CN" w:bidi="ar"/>
              </w:rPr>
              <w:t xml:space="preserve">通行要求：满载运行状态下可顺利通过 2.4m（宽）×2.6m（高）的通道门</w:t>
            </w:r>
            <w:r/>
          </w:p>
          <w:p>
            <w:pPr>
              <w:jc w:val="left"/>
              <w:keepLines w:val="0"/>
              <w:keepNext w:val="0"/>
              <w:widowControl/>
              <w:rPr>
                <w:rFonts w:hint="eastAsia" w:ascii="宋体" w:hAnsi="宋体"/>
                <w:sz w:val="21"/>
                <w:szCs w:val="21"/>
                <w:lang w:val="en-US" w:eastAsia="zh-CN"/>
              </w:rPr>
              <w:suppressLineNumbers w:val="0"/>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1516"/>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气泵</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default" w:ascii="宋体" w:hAnsi="宋体" w:eastAsia="宋体" w:cs="宋体"/>
                <w:i w:val="0"/>
                <w:iCs w:val="0"/>
                <w:color w:val="000000"/>
                <w:sz w:val="20"/>
                <w:szCs w:val="20"/>
                <w:u w:val="none"/>
                <w:lang w:val="en-US" w:eastAsia="zh-CN" w:bidi="ar"/>
              </w:rPr>
              <w:t xml:space="preserve">1.电压：AC380V 50Hz</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2.功率：≥1800W×2，储气罐容积≥100L</w:t>
            </w:r>
            <w:r>
              <w:rPr>
                <w:rFonts w:hint="default" w:ascii="宋体" w:hAnsi="宋体" w:eastAsia="宋体" w:cs="宋体"/>
                <w:i w:val="0"/>
                <w:iCs w:val="0"/>
                <w:color w:val="000000"/>
                <w:sz w:val="20"/>
                <w:szCs w:val="20"/>
                <w:u w:val="none"/>
                <w:lang w:val="en-US" w:eastAsia="zh-CN" w:bidi="ar"/>
              </w:rPr>
              <w:br/>
            </w:r>
            <w:r>
              <w:rPr>
                <w:rFonts w:hint="eastAsia"/>
              </w:rPr>
              <w:t xml:space="preserve">▲</w:t>
            </w:r>
            <w:r>
              <w:rPr>
                <w:rFonts w:hint="default" w:ascii="宋体" w:hAnsi="宋体" w:eastAsia="宋体" w:cs="宋体"/>
                <w:i w:val="0"/>
                <w:iCs w:val="0"/>
                <w:color w:val="000000"/>
                <w:sz w:val="20"/>
                <w:szCs w:val="20"/>
                <w:u w:val="none"/>
                <w:lang w:val="en-US" w:eastAsia="zh-CN" w:bidi="ar"/>
              </w:rPr>
              <w:t xml:space="preserve">3.排气量：≥340L/min</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4.工作压力：≥0.8MPa</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5.配备智能控制器，压力可调，电机为全铜线</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厂房自动伸缩顶棚采购安装</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highlight w:val="yellow"/>
                <w:u w:val="none"/>
                <w:lang w:val="en-US" w:eastAsia="zh-CN" w:bidi="ar"/>
              </w:rPr>
              <w:suppressLineNumbers w:val="0"/>
            </w:pPr>
            <w:r>
              <w:rPr>
                <w:rFonts w:hint="default" w:ascii="宋体" w:hAnsi="宋体" w:eastAsia="宋体" w:cs="宋体"/>
                <w:i w:val="0"/>
                <w:iCs w:val="0"/>
                <w:color w:val="000000"/>
                <w:sz w:val="20"/>
                <w:szCs w:val="20"/>
                <w:highlight w:val="yellow"/>
                <w:u w:val="none"/>
                <w:lang w:val="en-US" w:eastAsia="zh-CN" w:bidi="ar"/>
              </w:rPr>
              <w:t xml:space="preserve">用于育秧车间顶部覆盖，可伸缩开启。</w:t>
            </w:r>
            <w:r>
              <w:rPr>
                <w:rFonts w:hint="default" w:ascii="宋体" w:hAnsi="宋体" w:eastAsia="宋体" w:cs="宋体"/>
                <w:i w:val="0"/>
                <w:iCs w:val="0"/>
                <w:color w:val="000000"/>
                <w:sz w:val="20"/>
                <w:szCs w:val="20"/>
                <w:highlight w:val="yellow"/>
                <w:u w:val="none"/>
                <w:lang w:val="en-US" w:eastAsia="zh-CN" w:bidi="ar"/>
              </w:rPr>
              <w:br/>
            </w:r>
            <w:r>
              <w:rPr>
                <w:rFonts w:hint="default" w:ascii="宋体" w:hAnsi="宋体" w:eastAsia="宋体" w:cs="宋体"/>
                <w:i w:val="0"/>
                <w:iCs w:val="0"/>
                <w:color w:val="000000"/>
                <w:sz w:val="20"/>
                <w:szCs w:val="20"/>
                <w:highlight w:val="yellow"/>
                <w:u w:val="none"/>
                <w:lang w:val="en-US" w:eastAsia="zh-CN" w:bidi="ar"/>
              </w:rPr>
              <w:t xml:space="preserve">1.覆盖面积约800㎡，长度约40m，宽度约20m，高度6m,伸缩展开最高高度 1.8m；整体采用分段模块化伸缩结构，运行平顺无卡滞，伸缩全程同步。</w:t>
            </w:r>
            <w:r>
              <w:rPr>
                <w:rFonts w:hint="default" w:ascii="宋体" w:hAnsi="宋体" w:eastAsia="宋体" w:cs="宋体"/>
                <w:i w:val="0"/>
                <w:iCs w:val="0"/>
                <w:color w:val="000000"/>
                <w:sz w:val="20"/>
                <w:szCs w:val="20"/>
                <w:highlight w:val="yellow"/>
                <w:u w:val="none"/>
                <w:lang w:val="en-US" w:eastAsia="zh-CN" w:bidi="ar"/>
              </w:rPr>
              <w:br/>
            </w:r>
            <w:r>
              <w:rPr>
                <w:rFonts w:hint="default" w:ascii="宋体" w:hAnsi="宋体" w:eastAsia="宋体" w:cs="宋体"/>
                <w:i w:val="0"/>
                <w:iCs w:val="0"/>
                <w:color w:val="000000"/>
                <w:sz w:val="20"/>
                <w:szCs w:val="20"/>
                <w:highlight w:val="yellow"/>
                <w:u w:val="none"/>
                <w:lang w:val="en-US" w:eastAsia="zh-CN" w:bidi="ar"/>
              </w:rPr>
              <w:t xml:space="preserve">▲2.骨架采用热镀锌钢管，主架间距≤1.2m，次梁加密布置；结构按 GB50009 建筑荷载规范设计，抗风等级≥8级，收缩抗风等级≥10级，同时满足 0.5kN/m² 雪荷载要求，做应力验算、挠度控制，整体结构安全可靠，可抵御强台风、暴雪天气。配套预埋件、抗倾覆锚固件，立柱底部加厚法兰底座。</w:t>
            </w:r>
            <w:r/>
          </w:p>
          <w:p>
            <w:pPr>
              <w:jc w:val="left"/>
              <w:keepLines w:val="0"/>
              <w:keepNext w:val="0"/>
              <w:widowControl/>
              <w:rPr>
                <w:rFonts w:hint="default" w:ascii="宋体" w:hAnsi="宋体" w:eastAsia="宋体" w:cs="宋体"/>
                <w:i w:val="0"/>
                <w:iCs w:val="0"/>
                <w:color w:val="000000"/>
                <w:sz w:val="20"/>
                <w:szCs w:val="20"/>
                <w:highlight w:val="yellow"/>
                <w:u w:val="none"/>
                <w:lang w:val="en-US" w:eastAsia="zh-CN" w:bidi="ar"/>
              </w:rPr>
              <w:suppressLineNumbers w:val="0"/>
            </w:pPr>
            <w:r>
              <w:rPr>
                <w:rFonts w:hint="default" w:ascii="宋体" w:hAnsi="宋体" w:eastAsia="宋体" w:cs="宋体"/>
                <w:i w:val="0"/>
                <w:iCs w:val="0"/>
                <w:color w:val="000000"/>
                <w:sz w:val="20"/>
                <w:szCs w:val="20"/>
                <w:highlight w:val="yellow"/>
                <w:u w:val="none"/>
                <w:lang w:val="en-US" w:eastAsia="zh-CN" w:bidi="ar"/>
              </w:rPr>
              <w:t xml:space="preserve">3.膜布采用950g/m² 高强度 PVC ，抗暴雨冰雹以及暴晒等恶劣天气。</w:t>
            </w:r>
            <w:r>
              <w:rPr>
                <w:rFonts w:hint="default" w:ascii="宋体" w:hAnsi="宋体" w:eastAsia="宋体" w:cs="宋体"/>
                <w:i w:val="0"/>
                <w:iCs w:val="0"/>
                <w:color w:val="000000"/>
                <w:sz w:val="20"/>
                <w:szCs w:val="20"/>
                <w:highlight w:val="yellow"/>
                <w:u w:val="none"/>
                <w:lang w:val="en-US" w:eastAsia="zh-CN" w:bidi="ar"/>
              </w:rPr>
              <w:br/>
            </w:r>
            <w:r>
              <w:rPr>
                <w:rFonts w:hint="default" w:ascii="宋体" w:hAnsi="宋体" w:eastAsia="宋体" w:cs="宋体"/>
                <w:i w:val="0"/>
                <w:iCs w:val="0"/>
                <w:color w:val="000000"/>
                <w:sz w:val="20"/>
                <w:szCs w:val="20"/>
                <w:highlight w:val="yellow"/>
                <w:u w:val="none"/>
                <w:lang w:val="en-US" w:eastAsia="zh-CN" w:bidi="ar"/>
              </w:rPr>
              <w:t xml:space="preserve">4.驱动方式：电动，4驱0.8kW电机（或等效），配备智能控制电箱、双路行程限位（机械限位+电子限位双重保护）、无线遥控 + 本地手动控制功能；增加过载保护、遇阻停机、断电刹车功能，伸缩全程多组同步监测，防止跑偏、不同步。</w:t>
            </w:r>
            <w:r/>
          </w:p>
          <w:p>
            <w:pPr>
              <w:jc w:val="left"/>
              <w:keepLines w:val="0"/>
              <w:keepNext w:val="0"/>
              <w:widowControl/>
              <w:rPr>
                <w:rFonts w:hint="eastAsia" w:ascii="宋体" w:hAnsi="宋体"/>
                <w:sz w:val="21"/>
                <w:szCs w:val="21"/>
                <w:lang w:val="en-US" w:eastAsia="zh-CN"/>
              </w:rPr>
              <w:suppressLineNumbers w:val="0"/>
            </w:pPr>
            <w:r>
              <w:rPr>
                <w:rFonts w:hint="default" w:ascii="宋体" w:hAnsi="宋体" w:eastAsia="宋体" w:cs="宋体"/>
                <w:i w:val="0"/>
                <w:iCs w:val="0"/>
                <w:color w:val="000000"/>
                <w:sz w:val="20"/>
                <w:szCs w:val="20"/>
                <w:highlight w:val="yellow"/>
                <w:u w:val="none"/>
                <w:lang w:val="en-US" w:eastAsia="zh-CN" w:bidi="ar"/>
              </w:rPr>
              <w:t xml:space="preserve">5.电机防护等级≥IP55，运行噪声≤75dB(A)所有电控元器件选用一线品牌，电箱带防雨防尘外壳，具备漏电、缺相、过热保护。</w:t>
            </w:r>
            <w:r>
              <w:rPr>
                <w:rFonts w:hint="default" w:ascii="宋体" w:hAnsi="宋体" w:eastAsia="宋体" w:cs="宋体"/>
                <w:i w:val="0"/>
                <w:iCs w:val="0"/>
                <w:color w:val="000000"/>
                <w:sz w:val="20"/>
                <w:szCs w:val="20"/>
                <w:highlight w:val="yellow"/>
                <w:u w:val="none"/>
                <w:lang w:val="en-US" w:eastAsia="zh-CN" w:bidi="ar"/>
              </w:rPr>
              <w:br/>
            </w:r>
            <w:r>
              <w:rPr>
                <w:rFonts w:hint="default" w:ascii="宋体" w:hAnsi="宋体" w:eastAsia="宋体" w:cs="宋体"/>
                <w:i w:val="0"/>
                <w:iCs w:val="0"/>
                <w:color w:val="000000"/>
                <w:sz w:val="20"/>
                <w:szCs w:val="20"/>
                <w:highlight w:val="yellow"/>
                <w:u w:val="none"/>
                <w:lang w:val="en-US" w:eastAsia="zh-CN" w:bidi="ar"/>
              </w:rPr>
              <w:t xml:space="preserve">6.投标人须提供结构设计计算书、抗风计算书，并负责安装调试,质保期内免费上门维修、更换损坏配件。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运输安装调试</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default" w:ascii="宋体" w:hAnsi="宋体" w:eastAsia="宋体" w:cs="宋体"/>
                <w:i w:val="0"/>
                <w:iCs w:val="0"/>
                <w:color w:val="000000"/>
                <w:sz w:val="20"/>
                <w:szCs w:val="20"/>
                <w:u w:val="none"/>
                <w:lang w:val="en-US" w:eastAsia="zh-CN" w:bidi="ar"/>
              </w:rPr>
              <w:t xml:space="preserve">包括全部设备及材料的运输、现场装卸、就位、安装、布线、单机调试、联动试运行等全部工作，直至达到验收条件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动力配电箱，桥架，水管，线缆</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jc w:val="left"/>
              <w:keepLines w:val="0"/>
              <w:keepNext w:val="0"/>
              <w:widowControl/>
              <w:rPr>
                <w:rFonts w:hint="eastAsia" w:ascii="宋体" w:hAnsi="宋体"/>
                <w:sz w:val="21"/>
                <w:szCs w:val="21"/>
                <w:lang w:val="en-US" w:eastAsia="zh-CN"/>
              </w:rPr>
              <w:suppressLineNumbers w:val="0"/>
            </w:pPr>
            <w:r>
              <w:rPr>
                <w:rFonts w:hint="default" w:ascii="宋体" w:hAnsi="宋体" w:eastAsia="宋体" w:cs="宋体"/>
                <w:i w:val="0"/>
                <w:iCs w:val="0"/>
                <w:color w:val="000000"/>
                <w:sz w:val="20"/>
                <w:szCs w:val="20"/>
                <w:u w:val="none"/>
                <w:lang w:val="en-US" w:eastAsia="zh-CN" w:bidi="ar"/>
              </w:rPr>
              <w:t xml:space="preserve">1.动力柜：XL-21落地动力柜1个，配置电流表、电压表、空气开关、断路器、热保护器、端子等电器元件，防护等级≥IP54；作用：驱动育秧流水线、暗室、通风设备等，配置各动力空气开关及保护装置。</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2.线缆：国标铜芯线缆，满足总装机容量及同时使用系数要求，投标人需提供配电系统图及负荷计算书。</w:t>
            </w:r>
            <w:r>
              <w:rPr>
                <w:rFonts w:hint="default" w:ascii="宋体" w:hAnsi="宋体" w:eastAsia="宋体" w:cs="宋体"/>
                <w:i w:val="0"/>
                <w:iCs w:val="0"/>
                <w:color w:val="000000"/>
                <w:sz w:val="20"/>
                <w:szCs w:val="20"/>
                <w:u w:val="none"/>
                <w:lang w:val="en-US" w:eastAsia="zh-CN" w:bidi="ar"/>
              </w:rPr>
              <w:br/>
            </w:r>
            <w:r>
              <w:rPr>
                <w:rFonts w:hint="default" w:ascii="宋体" w:hAnsi="宋体" w:eastAsia="宋体" w:cs="宋体"/>
                <w:i w:val="0"/>
                <w:iCs w:val="0"/>
                <w:color w:val="000000"/>
                <w:sz w:val="20"/>
                <w:szCs w:val="20"/>
                <w:u w:val="none"/>
                <w:lang w:val="en-US" w:eastAsia="zh-CN" w:bidi="ar"/>
              </w:rPr>
              <w:t xml:space="preserve">3.桥架、水管：数量及规格根据现场布局设计，满足系统供水、排水、布线要求。</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75"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46" w:type="dxa"/>
            <w:vAlign w:val="center"/>
            <w:textDirection w:val="lrTb"/>
            <w:noWrap w:val="false"/>
          </w:tcPr>
          <w:p>
            <w:pPr>
              <w:rPr>
                <w:rFonts w:hint="eastAsia" w:ascii="宋体" w:hAnsi="宋体"/>
                <w:sz w:val="21"/>
                <w:szCs w:val="21"/>
                <w:lang w:val="en-US" w:eastAsia="zh-CN"/>
              </w:rPr>
            </w:pPr>
            <w:r>
              <w:rPr>
                <w:rFonts w:hint="eastAsia" w:ascii="宋体" w:hAnsi="宋体"/>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rPr>
                <w:rFonts w:hint="eastAsia" w:ascii="宋体" w:hAnsi="宋体"/>
                <w:sz w:val="21"/>
                <w:szCs w:val="21"/>
                <w:lang w:val="en-US" w:eastAsia="zh-CN"/>
              </w:rPr>
            </w:pPr>
            <w:r>
              <w:rPr>
                <w:rFonts w:hint="eastAsia" w:ascii="宋体" w:hAnsi="宋体"/>
                <w:sz w:val="21"/>
                <w:szCs w:val="21"/>
                <w:lang w:val="en-US" w:eastAsia="zh-CN"/>
              </w:rPr>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696"/>
        <w:ind w:firstLine="480"/>
        <w:jc w:val="both"/>
        <w:spacing w:before="0" w:beforeAutospacing="0" w:after="0" w:afterAutospacing="0" w:line="360" w:lineRule="auto"/>
        <w:rPr>
          <w:rFonts w:hint="eastAsia"/>
        </w:rPr>
      </w:pPr>
      <w:r>
        <w:t xml:space="preserve">备注： </w:t>
      </w:r>
      <w:r/>
    </w:p>
    <w:p>
      <w:pPr>
        <w:pStyle w:val="696"/>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696"/>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696"/>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696"/>
        <w:ind w:firstLine="480"/>
        <w:jc w:val="both"/>
        <w:spacing w:before="0" w:beforeAutospacing="0" w:after="0" w:afterAutospacing="0" w:line="360" w:lineRule="auto"/>
        <w:rPr>
          <w:rFonts w:hint="eastAsia"/>
        </w:rPr>
      </w:pPr>
      <w:r>
        <w:rPr>
          <w:rFonts w:hint="eastAsia"/>
        </w:rPr>
        <w:t xml:space="preserve">4.行数不够，可自行添加。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696"/>
        <w:ind w:firstLine="480"/>
        <w:jc w:val="both"/>
        <w:spacing w:before="0" w:beforeAutospacing="0" w:after="0" w:afterAutospacing="0"/>
        <w:rPr>
          <w:rFonts w:hint="eastAsia"/>
        </w:rPr>
      </w:pPr>
      <w:r>
        <w:rPr>
          <w:rFonts w:hint="eastAsia"/>
        </w:rPr>
      </w:r>
      <w:r/>
    </w:p>
    <w:p>
      <w:pPr>
        <w:pStyle w:val="696"/>
        <w:ind w:firstLine="480"/>
        <w:jc w:val="both"/>
        <w:spacing w:before="0" w:beforeAutospacing="0" w:after="0" w:afterAutospacing="0" w:line="360" w:lineRule="auto"/>
        <w:rPr>
          <w:rFonts w:hint="eastAsia"/>
        </w:rPr>
      </w:pPr>
      <w:r>
        <w:t xml:space="preserve">备注： </w:t>
      </w:r>
      <w:r/>
    </w:p>
    <w:p>
      <w:pPr>
        <w:pStyle w:val="69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696"/>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696"/>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696"/>
        <w:ind w:firstLine="480"/>
        <w:jc w:val="both"/>
        <w:spacing w:before="0" w:beforeAutospacing="0" w:after="0" w:afterAutospacing="0" w:line="360" w:lineRule="auto"/>
        <w:rPr>
          <w:rFonts w:hint="eastAsia"/>
        </w:rPr>
      </w:pPr>
      <w:r>
        <w:rPr>
          <w:rFonts w:hint="eastAsia"/>
        </w:rPr>
        <w:t xml:space="preserve">备注： </w:t>
      </w:r>
      <w:r/>
    </w:p>
    <w:p>
      <w:pPr>
        <w:pStyle w:val="696"/>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696"/>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9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    期：</w:t>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896"/>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    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33"/>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w:t>
      </w:r>
      <w:bookmarkStart w:id="209" w:name="OLE_LINK4"/>
      <w:r>
        <w:rPr>
          <w:rFonts w:hint="eastAsia" w:ascii="黑体" w:hAnsi="黑体" w:eastAsia="黑体"/>
          <w:sz w:val="32"/>
          <w:szCs w:val="32"/>
        </w:rPr>
        <w:t xml:space="preserve">协议</w:t>
      </w:r>
      <w:bookmarkEnd w:id="209"/>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   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11"/>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黑体" w:hAnsi="黑体" w:eastAsia="黑体"/>
          <w:sz w:val="32"/>
          <w:szCs w:val="32"/>
        </w:rPr>
      </w:pPr>
      <w:r>
        <w:rPr>
          <w:rFonts w:hint="eastAsia" w:ascii="黑体" w:hAnsi="黑体" w:eastAsia="黑体"/>
          <w:sz w:val="32"/>
          <w:szCs w:val="32"/>
        </w:rPr>
        <w:t xml:space="preserve">十三、供应商</w:t>
      </w:r>
      <w:bookmarkStart w:id="210" w:name="OLE_LINK6"/>
      <w:r>
        <w:rPr>
          <w:rFonts w:hint="eastAsia" w:ascii="黑体" w:hAnsi="黑体" w:eastAsia="黑体"/>
          <w:sz w:val="32"/>
          <w:szCs w:val="32"/>
        </w:rPr>
        <w:t xml:space="preserve">资格</w:t>
      </w:r>
      <w:bookmarkEnd w:id="210"/>
      <w:r>
        <w:rPr>
          <w:rFonts w:hint="eastAsia" w:ascii="黑体" w:hAnsi="黑体" w:eastAsia="黑体"/>
          <w:sz w:val="32"/>
          <w:szCs w:val="32"/>
        </w:rPr>
        <w:t xml:space="preserve">承诺函</w:t>
      </w:r>
      <w:r/>
    </w:p>
    <w:p>
      <w:pPr>
        <w:ind w:firstLine="645"/>
        <w:spacing w:line="560" w:lineRule="exact"/>
        <w:rPr>
          <w:rFonts w:hint="eastAsia" w:ascii="宋体" w:hAnsi="宋体"/>
          <w:sz w:val="22"/>
          <w:szCs w:val="21"/>
        </w:rPr>
      </w:pPr>
      <w:r>
        <w:rPr>
          <w:rFonts w:hint="eastAsia" w:ascii="宋体" w:hAnsi="宋体"/>
          <w:sz w:val="22"/>
          <w:szCs w:val="21"/>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ind w:firstLine="645"/>
        <w:spacing w:line="560" w:lineRule="exact"/>
        <w:rPr>
          <w:rFonts w:hint="eastAsia" w:ascii="宋体" w:hAnsi="宋体"/>
          <w:sz w:val="22"/>
          <w:szCs w:val="21"/>
        </w:rPr>
      </w:pPr>
      <w:r>
        <w:rPr>
          <w:rFonts w:hint="eastAsia" w:ascii="宋体" w:hAnsi="宋体"/>
          <w:sz w:val="22"/>
          <w:szCs w:val="21"/>
        </w:rPr>
        <w:t xml:space="preserve">（1）具有独立承担民事责任的能力；</w:t>
      </w:r>
      <w:r/>
    </w:p>
    <w:p>
      <w:pPr>
        <w:ind w:firstLine="645"/>
        <w:spacing w:line="560" w:lineRule="exact"/>
        <w:rPr>
          <w:rFonts w:hint="eastAsia" w:ascii="宋体" w:hAnsi="宋体"/>
          <w:sz w:val="22"/>
          <w:szCs w:val="21"/>
        </w:rPr>
      </w:pPr>
      <w:r>
        <w:rPr>
          <w:rFonts w:hint="eastAsia" w:ascii="宋体" w:hAnsi="宋体"/>
          <w:sz w:val="22"/>
          <w:szCs w:val="21"/>
        </w:rPr>
        <w:t xml:space="preserve">（2）具有良好的商业信誉和健全的财务会计制度；</w:t>
      </w:r>
      <w:r/>
    </w:p>
    <w:p>
      <w:pPr>
        <w:ind w:firstLine="645"/>
        <w:spacing w:line="560" w:lineRule="exact"/>
        <w:rPr>
          <w:rFonts w:hint="eastAsia" w:ascii="宋体" w:hAnsi="宋体"/>
          <w:sz w:val="22"/>
          <w:szCs w:val="21"/>
        </w:rPr>
      </w:pPr>
      <w:r>
        <w:rPr>
          <w:rFonts w:hint="eastAsia" w:ascii="宋体" w:hAnsi="宋体"/>
          <w:sz w:val="22"/>
          <w:szCs w:val="21"/>
        </w:rPr>
        <w:t xml:space="preserve">（3）有履行合同所必需的设备和专业技术能力；</w:t>
      </w:r>
      <w:r/>
    </w:p>
    <w:p>
      <w:pPr>
        <w:ind w:firstLine="645"/>
        <w:spacing w:line="560" w:lineRule="exact"/>
        <w:rPr>
          <w:rFonts w:hint="eastAsia" w:ascii="宋体" w:hAnsi="宋体"/>
          <w:sz w:val="22"/>
          <w:szCs w:val="21"/>
        </w:rPr>
      </w:pPr>
      <w:r>
        <w:rPr>
          <w:rFonts w:hint="eastAsia" w:ascii="宋体" w:hAnsi="宋体"/>
          <w:sz w:val="22"/>
          <w:szCs w:val="21"/>
        </w:rPr>
        <w:t xml:space="preserve">（4）有依法缴纳税收和社会保障资金的良好记录;</w:t>
      </w:r>
      <w:r/>
    </w:p>
    <w:p>
      <w:pPr>
        <w:ind w:firstLine="645"/>
        <w:spacing w:line="560" w:lineRule="exact"/>
        <w:rPr>
          <w:rFonts w:hint="eastAsia" w:ascii="宋体" w:hAnsi="宋体"/>
          <w:sz w:val="22"/>
          <w:szCs w:val="21"/>
        </w:rPr>
      </w:pPr>
      <w:r>
        <w:rPr>
          <w:rFonts w:hint="eastAsia" w:ascii="宋体" w:hAnsi="宋体"/>
          <w:sz w:val="22"/>
          <w:szCs w:val="21"/>
        </w:rPr>
        <w:t xml:space="preserve">（5）参加政府采购活动前三年内，在经营活动中没有重大违法记录；</w:t>
      </w:r>
      <w:r/>
    </w:p>
    <w:p>
      <w:pPr>
        <w:ind w:firstLine="645"/>
        <w:spacing w:line="560" w:lineRule="exact"/>
        <w:rPr>
          <w:rFonts w:hint="eastAsia" w:ascii="宋体" w:hAnsi="宋体"/>
          <w:sz w:val="22"/>
          <w:szCs w:val="21"/>
        </w:rPr>
      </w:pPr>
      <w:r>
        <w:rPr>
          <w:rFonts w:hint="eastAsia" w:ascii="宋体" w:hAnsi="宋体"/>
          <w:sz w:val="22"/>
          <w:szCs w:val="21"/>
        </w:rPr>
        <w:t xml:space="preserve">（6）符合法律、行政法规和采购文件规定的其他条件。</w:t>
      </w:r>
      <w:r/>
    </w:p>
    <w:p>
      <w:pPr>
        <w:ind w:firstLine="645"/>
        <w:spacing w:line="560" w:lineRule="exact"/>
        <w:rPr>
          <w:rFonts w:hint="eastAsia" w:ascii="宋体" w:hAnsi="宋体"/>
          <w:sz w:val="22"/>
          <w:szCs w:val="21"/>
        </w:rPr>
      </w:pPr>
      <w:r>
        <w:rPr>
          <w:rFonts w:hint="eastAsia" w:ascii="宋体" w:hAnsi="宋体"/>
          <w:sz w:val="22"/>
          <w:szCs w:val="21"/>
        </w:rPr>
        <w:t xml:space="preserve">如有弄虚作假或其他违法违规行为，愿承担一切法律责任，接受各级政府采购监管部门和有权机关的审查和处罚。</w:t>
      </w:r>
      <w:r/>
    </w:p>
    <w:p>
      <w:pPr>
        <w:ind w:firstLine="645"/>
        <w:spacing w:line="560" w:lineRule="exact"/>
        <w:rPr>
          <w:rFonts w:hint="eastAsia" w:ascii="宋体" w:hAnsi="宋体"/>
          <w:sz w:val="22"/>
          <w:szCs w:val="21"/>
        </w:rPr>
      </w:pPr>
      <w:r>
        <w:rPr>
          <w:rFonts w:hint="eastAsia" w:ascii="宋体" w:hAnsi="宋体"/>
          <w:sz w:val="22"/>
          <w:szCs w:val="21"/>
        </w:rPr>
        <w:t xml:space="preserve">如果我公司中标（成交），将在结果公告发布后 7 个工作日内向采购人提供下列材料核验： </w:t>
      </w:r>
      <w:r/>
    </w:p>
    <w:p>
      <w:pPr>
        <w:ind w:firstLine="645"/>
        <w:spacing w:line="560" w:lineRule="exact"/>
        <w:rPr>
          <w:rFonts w:hint="eastAsia" w:ascii="宋体" w:hAnsi="宋体"/>
          <w:sz w:val="22"/>
          <w:szCs w:val="21"/>
        </w:rPr>
      </w:pPr>
      <w:r>
        <w:rPr>
          <w:rFonts w:hint="eastAsia" w:ascii="宋体" w:hAnsi="宋体"/>
          <w:sz w:val="22"/>
          <w:szCs w:val="21"/>
        </w:rPr>
        <w:t xml:space="preserve">（1）营业执照副本或事业单位法人登记证书；</w:t>
      </w:r>
      <w:r/>
    </w:p>
    <w:p>
      <w:pPr>
        <w:ind w:firstLine="645"/>
        <w:spacing w:line="560" w:lineRule="exact"/>
        <w:rPr>
          <w:rFonts w:hint="eastAsia" w:ascii="宋体" w:hAnsi="宋体"/>
          <w:sz w:val="22"/>
          <w:szCs w:val="21"/>
        </w:rPr>
      </w:pPr>
      <w:r>
        <w:rPr>
          <w:rFonts w:hint="eastAsia" w:ascii="宋体" w:hAnsi="宋体"/>
          <w:sz w:val="22"/>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645"/>
        <w:spacing w:line="560" w:lineRule="exact"/>
        <w:rPr>
          <w:rFonts w:hint="eastAsia" w:ascii="宋体" w:hAnsi="宋体"/>
          <w:sz w:val="22"/>
          <w:szCs w:val="21"/>
        </w:rPr>
      </w:pPr>
      <w:r>
        <w:rPr>
          <w:rFonts w:hint="eastAsia" w:ascii="宋体" w:hAnsi="宋体"/>
          <w:sz w:val="22"/>
          <w:szCs w:val="21"/>
        </w:rPr>
        <w:t xml:space="preserve">（3）履行合同所必需的设备和专业技术能力证明材料；</w:t>
      </w:r>
      <w:r/>
    </w:p>
    <w:p>
      <w:pPr>
        <w:ind w:firstLine="645"/>
        <w:spacing w:line="560" w:lineRule="exact"/>
        <w:rPr>
          <w:rFonts w:hint="eastAsia" w:ascii="宋体" w:hAnsi="宋体"/>
          <w:sz w:val="22"/>
          <w:szCs w:val="21"/>
        </w:rPr>
      </w:pPr>
      <w:r>
        <w:rPr>
          <w:rFonts w:hint="eastAsia" w:ascii="宋体" w:hAnsi="宋体"/>
          <w:sz w:val="22"/>
          <w:szCs w:val="21"/>
        </w:rPr>
        <w:t xml:space="preserve">（4）参加本次政府采购活动前一年内至少一个月依法缴纳税收和社会保障资金的证明材料。</w:t>
      </w:r>
      <w:r/>
    </w:p>
    <w:p>
      <w:pPr>
        <w:ind w:firstLine="645"/>
        <w:spacing w:line="560" w:lineRule="exact"/>
        <w:rPr>
          <w:rFonts w:hint="eastAsia" w:ascii="宋体" w:hAnsi="宋体"/>
          <w:sz w:val="22"/>
          <w:szCs w:val="21"/>
        </w:rPr>
      </w:pPr>
      <w:r>
        <w:rPr>
          <w:rFonts w:hint="eastAsia" w:ascii="宋体" w:hAnsi="宋体"/>
          <w:sz w:val="22"/>
          <w:szCs w:val="21"/>
        </w:rPr>
        <w:t xml:space="preserve">本公司对上述承诺的真实性负责，如有虚假，将依法承担相应责任。 </w:t>
      </w:r>
      <w:r/>
    </w:p>
    <w:p>
      <w:pPr>
        <w:ind w:firstLine="645"/>
        <w:spacing w:line="560" w:lineRule="exact"/>
        <w:rPr>
          <w:rFonts w:hint="eastAsia" w:ascii="宋体" w:hAnsi="宋体"/>
          <w:sz w:val="22"/>
          <w:szCs w:val="21"/>
        </w:rPr>
      </w:pPr>
      <w:r>
        <w:rPr>
          <w:rFonts w:hint="eastAsia" w:ascii="宋体" w:hAnsi="宋体"/>
          <w:sz w:val="22"/>
          <w:szCs w:val="21"/>
        </w:rPr>
        <w:t xml:space="preserve">供应商名称（公章）：</w:t>
      </w:r>
      <w:r/>
    </w:p>
    <w:p>
      <w:pPr>
        <w:ind w:firstLine="645"/>
        <w:spacing w:line="560" w:lineRule="exact"/>
        <w:rPr>
          <w:rFonts w:hint="eastAsia" w:ascii="宋体" w:hAnsi="宋体"/>
          <w:sz w:val="22"/>
          <w:szCs w:val="21"/>
        </w:rPr>
      </w:pPr>
      <w:r>
        <w:rPr>
          <w:rFonts w:hint="eastAsia" w:ascii="宋体" w:hAnsi="宋体"/>
          <w:sz w:val="22"/>
          <w:szCs w:val="21"/>
        </w:rPr>
        <w:t xml:space="preserve">法定代表人（签字）：</w:t>
      </w:r>
      <w:r/>
    </w:p>
    <w:p>
      <w:pPr>
        <w:ind w:firstLine="645"/>
        <w:spacing w:line="560" w:lineRule="exact"/>
        <w:rPr>
          <w:rFonts w:hint="eastAsia" w:ascii="宋体" w:hAnsi="宋体"/>
          <w:sz w:val="22"/>
          <w:szCs w:val="21"/>
        </w:rPr>
      </w:pPr>
      <w:r>
        <w:rPr>
          <w:rFonts w:hint="eastAsia" w:ascii="宋体" w:hAnsi="宋体"/>
          <w:sz w:val="22"/>
          <w:szCs w:val="21"/>
        </w:rPr>
        <w:t xml:space="preserve">二〇  年  月  日</w:t>
      </w:r>
      <w:r/>
    </w:p>
    <w:p>
      <w:pPr>
        <w:rPr>
          <w:rFonts w:hint="eastAsia" w:ascii="黑体" w:hAnsi="黑体" w:eastAsia="黑体"/>
          <w:sz w:val="32"/>
          <w:szCs w:val="32"/>
        </w:rPr>
      </w:pPr>
      <w:r>
        <w:rPr>
          <w:rFonts w:hint="eastAsia" w:ascii="黑体" w:hAnsi="黑体" w:eastAsia="黑体"/>
          <w:sz w:val="32"/>
          <w:szCs w:val="32"/>
        </w:rPr>
        <w:t xml:space="preserve">十四：质保及售后服务承诺书</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质保及售后服务承诺书</w:t>
      </w:r>
      <w:r/>
    </w:p>
    <w:p>
      <w:pPr>
        <w:spacing w:line="360" w:lineRule="auto"/>
        <w:rPr>
          <w:rFonts w:hint="eastAsia" w:ascii="宋体" w:hAnsi="宋体" w:cs="宋体"/>
          <w:b/>
        </w:rPr>
      </w:pPr>
      <w:r>
        <w:rPr>
          <w:rFonts w:hint="eastAsia" w:ascii="宋体" w:hAnsi="宋体" w:cs="宋体"/>
          <w:b/>
        </w:rPr>
        <w:t xml:space="preserve">致</w:t>
      </w:r>
      <w:r>
        <w:rPr>
          <w:rFonts w:hint="eastAsia" w:ascii="宋体" w:hAnsi="宋体" w:cs="宋体"/>
          <w:b/>
          <w:u w:val="single"/>
        </w:rPr>
        <w:t xml:space="preserve">             </w:t>
      </w:r>
      <w:r>
        <w:rPr>
          <w:rFonts w:hint="eastAsia" w:ascii="宋体" w:hAnsi="宋体" w:cs="宋体"/>
          <w:b/>
        </w:rPr>
        <w:t xml:space="preserve">（招标人）：</w:t>
      </w:r>
      <w:r/>
    </w:p>
    <w:p>
      <w:pPr>
        <w:ind w:firstLine="480"/>
        <w:spacing w:line="360" w:lineRule="auto"/>
        <w:rPr>
          <w:rFonts w:hint="eastAsia" w:ascii="宋体" w:hAnsi="宋体" w:cs="宋体"/>
        </w:rPr>
      </w:pPr>
      <w:r>
        <w:rPr>
          <w:rFonts w:hint="eastAsia" w:ascii="宋体" w:hAnsi="宋体" w:cs="宋体"/>
        </w:rPr>
        <w:t xml:space="preserve">我公司是</w:t>
      </w:r>
      <w:r>
        <w:rPr>
          <w:rFonts w:hint="eastAsia" w:ascii="宋体" w:hAnsi="宋体" w:cs="宋体"/>
          <w:u w:val="single"/>
        </w:rPr>
        <w:t xml:space="preserve">xxx设备所投产品</w:t>
      </w:r>
      <w:r>
        <w:rPr>
          <w:rFonts w:hint="eastAsia" w:ascii="宋体" w:hAnsi="宋体" w:cs="宋体"/>
        </w:rPr>
        <w:t xml:space="preserve">的生产厂家，本次由合作方</w:t>
      </w:r>
      <w:r>
        <w:rPr>
          <w:rFonts w:hint="eastAsia" w:ascii="宋体" w:hAnsi="宋体" w:cs="宋体"/>
          <w:u w:val="single"/>
        </w:rPr>
        <w:t xml:space="preserve">            </w:t>
      </w:r>
      <w:r>
        <w:rPr>
          <w:rFonts w:hint="eastAsia" w:ascii="宋体" w:hAnsi="宋体" w:cs="宋体"/>
        </w:rPr>
        <w:t xml:space="preserve">公司参与该采购项目的投标，招标文件要求</w:t>
      </w:r>
      <w:r>
        <w:rPr>
          <w:rFonts w:hint="eastAsia" w:ascii="宋体" w:hAnsi="宋体" w:cs="宋体"/>
          <w:u w:val="single"/>
        </w:rPr>
        <w:t xml:space="preserve">xxx设备</w:t>
      </w:r>
      <w:r>
        <w:rPr>
          <w:rFonts w:hint="eastAsia" w:ascii="宋体" w:hAnsi="宋体" w:cs="宋体"/>
        </w:rPr>
        <w:t xml:space="preserve">质保期为</w:t>
      </w:r>
      <w:r>
        <w:rPr>
          <w:rFonts w:hint="eastAsia" w:ascii="宋体" w:hAnsi="宋体" w:cs="宋体"/>
          <w:u w:val="single"/>
        </w:rPr>
        <w:t xml:space="preserve">   </w:t>
      </w:r>
      <w:r>
        <w:rPr>
          <w:rFonts w:hint="eastAsia" w:ascii="宋体" w:hAnsi="宋体" w:cs="宋体"/>
        </w:rPr>
        <w:t xml:space="preserve">年及以上，关于质保和维保工作，我公司承诺如下：</w:t>
      </w:r>
      <w:r/>
    </w:p>
    <w:p>
      <w:pPr>
        <w:ind w:firstLine="480"/>
        <w:spacing w:line="360" w:lineRule="auto"/>
        <w:rPr>
          <w:rFonts w:hint="eastAsia" w:ascii="宋体" w:hAnsi="宋体" w:cs="宋体"/>
        </w:rPr>
      </w:pPr>
      <w:r>
        <w:rPr>
          <w:rFonts w:hint="eastAsia" w:ascii="宋体" w:hAnsi="宋体" w:cs="宋体"/>
        </w:rPr>
        <w:t xml:space="preserve">如合作方</w:t>
      </w:r>
      <w:r>
        <w:rPr>
          <w:rFonts w:hint="eastAsia" w:ascii="宋体" w:hAnsi="宋体" w:cs="宋体"/>
          <w:u w:val="single"/>
        </w:rPr>
        <w:t xml:space="preserve">            </w:t>
      </w:r>
      <w:r>
        <w:rPr>
          <w:rFonts w:hint="eastAsia" w:ascii="宋体" w:hAnsi="宋体" w:cs="宋体"/>
        </w:rPr>
        <w:t xml:space="preserve">公司无法完成承诺的售后服务事项时，相关售后工作由我公司承担，包括但不仅限于以下内容：</w:t>
      </w:r>
      <w:r/>
    </w:p>
    <w:p>
      <w:pPr>
        <w:ind w:firstLine="480"/>
        <w:spacing w:line="360" w:lineRule="auto"/>
        <w:rPr>
          <w:rFonts w:hint="eastAsia" w:ascii="宋体" w:hAnsi="宋体" w:cs="宋体"/>
        </w:rPr>
      </w:pPr>
      <w:r>
        <w:rPr>
          <w:rFonts w:hint="eastAsia" w:ascii="宋体" w:hAnsi="宋体" w:cs="宋体"/>
        </w:rPr>
        <w:t xml:space="preserve">1、项目后期运维管理服务；</w:t>
      </w:r>
      <w:r/>
    </w:p>
    <w:p>
      <w:pPr>
        <w:ind w:firstLine="480"/>
        <w:spacing w:line="360" w:lineRule="auto"/>
        <w:rPr>
          <w:rFonts w:hint="eastAsia" w:ascii="宋体" w:hAnsi="宋体" w:cs="宋体"/>
        </w:rPr>
      </w:pPr>
      <w:r>
        <w:rPr>
          <w:rFonts w:hint="eastAsia" w:ascii="宋体" w:hAnsi="宋体" w:cs="宋体"/>
        </w:rPr>
        <w:t xml:space="preserve">2、投标供应商所承诺的巡检服务；</w:t>
      </w:r>
      <w:r/>
    </w:p>
    <w:p>
      <w:pPr>
        <w:ind w:firstLine="480"/>
        <w:spacing w:line="360" w:lineRule="auto"/>
        <w:rPr>
          <w:rFonts w:hint="eastAsia" w:ascii="宋体" w:hAnsi="宋体" w:cs="宋体"/>
        </w:rPr>
      </w:pPr>
      <w:r>
        <w:rPr>
          <w:rFonts w:hint="eastAsia" w:ascii="宋体" w:hAnsi="宋体" w:cs="宋体"/>
        </w:rPr>
        <w:t xml:space="preserve">3、质保期内的质保服务；</w:t>
      </w:r>
      <w:r/>
    </w:p>
    <w:p>
      <w:pPr>
        <w:ind w:firstLine="480"/>
        <w:spacing w:line="360" w:lineRule="auto"/>
        <w:rPr>
          <w:rFonts w:hint="eastAsia" w:ascii="宋体" w:hAnsi="宋体" w:cs="宋体"/>
        </w:rPr>
      </w:pPr>
      <w:r>
        <w:rPr>
          <w:rFonts w:hint="eastAsia" w:ascii="宋体" w:hAnsi="宋体" w:cs="宋体"/>
        </w:rPr>
        <w:t xml:space="preserve">4、保证提供的货物是全新的、未使用过的。</w:t>
      </w:r>
      <w:r/>
    </w:p>
    <w:p>
      <w:pPr>
        <w:ind w:firstLine="480"/>
        <w:spacing w:line="360" w:lineRule="auto"/>
        <w:rPr>
          <w:rFonts w:hint="eastAsia" w:ascii="宋体" w:hAnsi="宋体" w:cs="宋体"/>
        </w:rPr>
      </w:pPr>
      <w:r>
        <w:rPr>
          <w:rFonts w:hint="eastAsia" w:ascii="宋体" w:hAnsi="宋体" w:cs="宋体"/>
        </w:rPr>
        <w:t xml:space="preserve">特此承诺！</w:t>
      </w:r>
      <w:r/>
    </w:p>
    <w:p>
      <w:pPr>
        <w:ind w:firstLine="480"/>
        <w:spacing w:line="360" w:lineRule="auto"/>
        <w:rPr>
          <w:rFonts w:hint="eastAsia" w:ascii="宋体" w:hAnsi="宋体" w:cs="宋体"/>
        </w:rPr>
      </w:pPr>
      <w:r>
        <w:rPr>
          <w:rFonts w:hint="eastAsia" w:ascii="宋体" w:hAnsi="宋体" w:cs="宋体"/>
        </w:rPr>
      </w:r>
      <w:r/>
    </w:p>
    <w:p>
      <w:pPr>
        <w:ind w:firstLine="3720"/>
        <w:spacing w:line="360" w:lineRule="auto"/>
        <w:rPr>
          <w:rFonts w:hint="eastAsia" w:ascii="宋体" w:hAnsi="宋体" w:cs="宋体"/>
        </w:rPr>
      </w:pPr>
      <w:r>
        <w:rPr>
          <w:rFonts w:hint="eastAsia" w:ascii="宋体" w:hAnsi="宋体" w:cs="宋体"/>
        </w:rPr>
        <w:t xml:space="preserve">生产厂家：（盖章）</w:t>
      </w:r>
      <w:r/>
    </w:p>
    <w:p>
      <w:pPr>
        <w:pStyle w:val="664"/>
        <w:ind w:firstLine="3741"/>
        <w:spacing w:line="360" w:lineRule="auto"/>
        <w:rPr>
          <w:rFonts w:hint="eastAsia" w:ascii="宋体" w:hAnsi="宋体" w:cs="宋体"/>
        </w:rPr>
      </w:pPr>
      <w:r>
        <w:rPr>
          <w:rFonts w:hint="eastAsia" w:ascii="宋体" w:hAnsi="宋体" w:cs="宋体"/>
        </w:rPr>
        <w:t xml:space="preserve">联系人：</w:t>
      </w:r>
      <w:r/>
    </w:p>
    <w:p>
      <w:pPr>
        <w:pStyle w:val="664"/>
        <w:ind w:firstLine="3741"/>
        <w:spacing w:line="360" w:lineRule="auto"/>
        <w:rPr>
          <w:rFonts w:hint="eastAsia" w:ascii="宋体" w:hAnsi="宋体" w:cs="宋体"/>
        </w:rPr>
      </w:pPr>
      <w:r>
        <w:rPr>
          <w:rFonts w:hint="eastAsia" w:ascii="宋体" w:hAnsi="宋体" w:cs="宋体"/>
        </w:rPr>
        <w:t xml:space="preserve">联系电话：</w:t>
      </w:r>
      <w:r/>
    </w:p>
    <w:p>
      <w:pPr>
        <w:ind w:firstLine="480"/>
        <w:spacing w:line="360" w:lineRule="auto"/>
        <w:rPr>
          <w:rFonts w:hint="eastAsia" w:ascii="宋体" w:hAnsi="宋体" w:cs="宋体"/>
        </w:rPr>
      </w:pPr>
      <w:r>
        <w:rPr>
          <w:rFonts w:hint="eastAsia" w:ascii="宋体" w:hAnsi="宋体" w:cs="宋体"/>
        </w:rPr>
        <w:t xml:space="preserve">                           日期：      年  月  日</w:t>
      </w:r>
      <w:r/>
    </w:p>
    <w:p>
      <w:pPr>
        <w:pStyle w:val="664"/>
        <w:ind w:firstLine="0"/>
        <w:spacing w:line="360" w:lineRule="auto"/>
        <w:rPr>
          <w:rFonts w:hint="eastAsia" w:ascii="宋体" w:hAnsi="宋体" w:cs="宋体"/>
          <w:color w:val="000000"/>
        </w:rPr>
      </w:pPr>
      <w:r>
        <w:rPr>
          <w:rFonts w:hint="eastAsia" w:ascii="宋体" w:hAnsi="宋体" w:cs="宋体"/>
          <w:color w:val="000000"/>
        </w:rPr>
      </w:r>
      <w:r/>
    </w:p>
    <w:p>
      <w:pPr>
        <w:pStyle w:val="664"/>
        <w:ind w:firstLine="0"/>
        <w:spacing w:line="360" w:lineRule="auto"/>
        <w:rPr>
          <w:rFonts w:hint="eastAsia" w:ascii="宋体" w:hAnsi="宋体" w:cs="宋体"/>
          <w:color w:val="000000"/>
        </w:rPr>
      </w:pPr>
      <w:r>
        <w:rPr>
          <w:rFonts w:hint="eastAsia" w:ascii="宋体" w:hAnsi="宋体" w:cs="宋体"/>
          <w:color w:val="000000"/>
        </w:rPr>
      </w:r>
      <w:r/>
    </w:p>
    <w:p>
      <w:pPr>
        <w:pStyle w:val="664"/>
        <w:ind w:firstLine="0"/>
        <w:spacing w:line="360" w:lineRule="auto"/>
        <w:rPr>
          <w:rFonts w:hint="eastAsia" w:ascii="宋体" w:hAnsi="宋体" w:cs="宋体"/>
          <w:color w:val="000000"/>
        </w:rPr>
      </w:pPr>
      <w:r>
        <w:rPr>
          <w:rFonts w:hint="eastAsia" w:ascii="宋体" w:hAnsi="宋体" w:cs="宋体"/>
          <w:color w:val="000000"/>
        </w:rPr>
      </w:r>
      <w:r/>
    </w:p>
    <w:p>
      <w:pPr>
        <w:pStyle w:val="664"/>
        <w:ind w:firstLine="0"/>
        <w:spacing w:line="360" w:lineRule="auto"/>
        <w:rPr>
          <w:rFonts w:hint="eastAsia" w:ascii="宋体" w:hAnsi="宋体" w:cs="宋体"/>
          <w:color w:val="000000"/>
        </w:rPr>
      </w:pPr>
      <w:r>
        <w:rPr>
          <w:rFonts w:hint="eastAsia" w:ascii="宋体" w:hAnsi="宋体" w:cs="宋体"/>
          <w:color w:val="000000"/>
        </w:rPr>
      </w:r>
      <w:r/>
    </w:p>
    <w:p>
      <w:pPr>
        <w:pStyle w:val="664"/>
        <w:ind w:firstLine="0"/>
        <w:rPr>
          <w:rFonts w:hint="eastAsia" w:ascii="宋体" w:hAnsi="宋体" w:cs="宋体"/>
          <w:color w:val="000000"/>
        </w:rPr>
      </w:pPr>
      <w:r>
        <w:rPr>
          <w:rFonts w:hint="eastAsia" w:ascii="宋体" w:hAnsi="宋体" w:cs="宋体"/>
          <w:color w:val="000000"/>
        </w:rPr>
      </w:r>
      <w:r/>
    </w:p>
    <w:p>
      <w:pPr>
        <w:pStyle w:val="664"/>
        <w:ind w:firstLine="0"/>
        <w:rPr>
          <w:rFonts w:hint="eastAsia" w:ascii="宋体" w:hAnsi="宋体" w:cs="宋体"/>
          <w:color w:val="000000"/>
        </w:rPr>
      </w:pPr>
      <w:r>
        <w:rPr>
          <w:rFonts w:hint="eastAsia" w:ascii="宋体" w:hAnsi="宋体" w:cs="宋体"/>
          <w:color w:val="000000"/>
        </w:rPr>
      </w:r>
      <w:r/>
    </w:p>
    <w:p>
      <w:pPr>
        <w:pStyle w:val="664"/>
        <w:ind w:firstLine="0"/>
        <w:rPr>
          <w:rFonts w:hint="eastAsia" w:ascii="宋体" w:hAnsi="宋体" w:cs="宋体"/>
          <w:color w:val="000000"/>
        </w:rPr>
      </w:pPr>
      <w:r>
        <w:rPr>
          <w:rFonts w:hint="eastAsia" w:ascii="宋体" w:hAnsi="宋体" w:cs="宋体"/>
          <w:color w:val="000000"/>
        </w:rPr>
      </w:r>
      <w:r/>
    </w:p>
    <w:p>
      <w:pPr>
        <w:pStyle w:val="664"/>
        <w:ind w:firstLine="0"/>
        <w:rPr>
          <w:rFonts w:hint="eastAsia" w:ascii="宋体" w:hAnsi="宋体" w:cs="宋体"/>
          <w:color w:val="000000"/>
        </w:rPr>
      </w:pPr>
      <w:r>
        <w:rPr>
          <w:rFonts w:hint="eastAsia" w:ascii="宋体" w:hAnsi="宋体" w:cs="宋体"/>
          <w:color w:val="000000"/>
        </w:rPr>
      </w:r>
      <w:r/>
    </w:p>
    <w:p>
      <w:pPr>
        <w:pStyle w:val="664"/>
        <w:ind w:firstLine="0"/>
        <w:rPr>
          <w:rFonts w:hint="eastAsia" w:ascii="宋体" w:hAnsi="宋体" w:cs="宋体"/>
          <w:color w:val="000000"/>
        </w:rPr>
      </w:pPr>
      <w:r>
        <w:rPr>
          <w:rFonts w:hint="eastAsia" w:ascii="宋体" w:hAnsi="宋体" w:cs="宋体"/>
          <w:color w:val="000000"/>
        </w:rPr>
      </w:r>
      <w:r/>
    </w:p>
    <w:p>
      <w:pPr>
        <w:pStyle w:val="664"/>
        <w:ind w:firstLine="0"/>
        <w:rPr>
          <w:rFonts w:hint="eastAsia" w:ascii="宋体" w:hAnsi="宋体" w:cs="宋体"/>
          <w:color w:val="000000"/>
        </w:rPr>
      </w:pPr>
      <w:r>
        <w:rPr>
          <w:rFonts w:hint="eastAsia" w:ascii="宋体" w:hAnsi="宋体" w:cs="宋体"/>
          <w:color w:val="000000"/>
        </w:rPr>
      </w:r>
      <w:r/>
    </w:p>
    <w:p>
      <w:pPr>
        <w:pStyle w:val="664"/>
        <w:ind w:firstLine="0"/>
        <w:rPr>
          <w:rFonts w:hint="eastAsia" w:ascii="宋体" w:hAnsi="宋体" w:cs="宋体"/>
          <w:color w:val="000000"/>
        </w:rPr>
      </w:pPr>
      <w:r>
        <w:rPr>
          <w:rFonts w:hint="eastAsia" w:ascii="宋体" w:hAnsi="宋体" w:cs="宋体"/>
          <w:color w:val="000000"/>
        </w:rPr>
      </w:r>
      <w:r/>
    </w:p>
    <w:p>
      <w:pPr>
        <w:rPr>
          <w:rFonts w:hint="eastAsia" w:ascii="宋体" w:hAnsi="宋体" w:cs="宋体"/>
        </w:rPr>
      </w:pPr>
      <w:r>
        <w:rPr>
          <w:rFonts w:hint="eastAsia" w:ascii="宋体" w:hAnsi="宋体" w:cs="宋体"/>
          <w:sz w:val="32"/>
          <w:szCs w:val="32"/>
        </w:rPr>
        <w:br w:type="page" w:clear="all"/>
      </w:r>
      <w:bookmarkStart w:id="211" w:name="OLE_LINK9"/>
      <w:r>
        <w:rPr>
          <w:rFonts w:hint="eastAsia" w:ascii="黑体" w:hAnsi="黑体" w:eastAsia="黑体"/>
          <w:sz w:val="32"/>
          <w:szCs w:val="32"/>
        </w:rPr>
        <w:t xml:space="preserve">十五、关</w:t>
      </w:r>
      <w:bookmarkEnd w:id="211"/>
      <w:r>
        <w:rPr>
          <w:rFonts w:hint="eastAsia" w:ascii="黑体" w:hAnsi="黑体" w:eastAsia="黑体"/>
          <w:sz w:val="32"/>
          <w:szCs w:val="32"/>
        </w:rPr>
        <w:t xml:space="preserve">于符合本国产品标准的声明函</w:t>
      </w:r>
      <w:r/>
    </w:p>
    <w:p>
      <w:pPr>
        <w:jc w:val="center"/>
        <w:rPr>
          <w:rFonts w:hint="eastAsia" w:ascii="宋体" w:hAnsi="宋体" w:cs="宋体"/>
          <w:sz w:val="32"/>
          <w:szCs w:val="32"/>
        </w:rPr>
      </w:pPr>
      <w:r>
        <w:rPr>
          <w:rFonts w:hint="eastAsia" w:ascii="宋体" w:hAnsi="宋体" w:cs="宋体"/>
          <w:sz w:val="32"/>
          <w:szCs w:val="32"/>
        </w:rPr>
        <w:t xml:space="preserve">关于符合本国产品标准的声明函</w:t>
      </w:r>
      <w:r/>
    </w:p>
    <w:p>
      <w:pPr>
        <w:pStyle w:val="696"/>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96"/>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07"/>
          <w:rFonts w:hint="eastAsia"/>
          <w:u w:val="single"/>
          <w:shd w:val="clear" w:color="auto" w:fill="ffffff"/>
        </w:rPr>
        <w:t xml:space="preserve">（产品名称1）</w:t>
      </w:r>
      <w:r>
        <w:rPr>
          <w:rStyle w:val="707"/>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07"/>
          <w:rFonts w:hint="eastAsia"/>
          <w:u w:val="single"/>
          <w:shd w:val="clear" w:color="auto" w:fill="ffffff"/>
        </w:rPr>
        <w:t xml:space="preserve">（厂名）</w:t>
      </w:r>
      <w:r>
        <w:rPr>
          <w:rStyle w:val="707"/>
          <w:rFonts w:hint="eastAsia"/>
          <w:shd w:val="clear" w:color="auto" w:fill="ffffff"/>
          <w:vertAlign w:val="superscript"/>
        </w:rPr>
        <w:t xml:space="preserve">2</w:t>
      </w:r>
      <w:r>
        <w:rPr>
          <w:rFonts w:hint="eastAsia"/>
          <w:shd w:val="clear" w:color="auto" w:fill="ffffff"/>
        </w:rPr>
        <w:t xml:space="preserve">，厂址为</w:t>
      </w:r>
      <w:r>
        <w:rPr>
          <w:rStyle w:val="707"/>
          <w:rFonts w:hint="eastAsia"/>
          <w:u w:val="single"/>
          <w:shd w:val="clear" w:color="auto" w:fill="ffffff"/>
        </w:rPr>
        <w:t xml:space="preserve">（生产厂址）</w:t>
      </w:r>
      <w:r>
        <w:rPr>
          <w:rFonts w:hint="eastAsia"/>
          <w:shd w:val="clear" w:color="auto" w:fill="ffffff"/>
        </w:rPr>
        <w:t xml:space="preserve">。</w:t>
      </w:r>
      <w:r>
        <w:rPr>
          <w:rStyle w:val="707"/>
          <w:rFonts w:hint="eastAsia"/>
          <w:u w:val="single"/>
          <w:shd w:val="clear" w:color="auto" w:fill="ffffff"/>
        </w:rPr>
        <w:t xml:space="preserve">（产品名称1）</w:t>
      </w:r>
      <w:r>
        <w:rPr>
          <w:rFonts w:hint="eastAsia"/>
          <w:shd w:val="clear" w:color="auto" w:fill="ffffff"/>
        </w:rPr>
        <w:t xml:space="preserve">的中国境内生产的组件成本占比≥</w:t>
      </w:r>
      <w:r>
        <w:rPr>
          <w:rStyle w:val="707"/>
          <w:rFonts w:hint="eastAsia"/>
          <w:u w:val="single"/>
          <w:shd w:val="clear" w:color="auto" w:fill="ffffff"/>
        </w:rPr>
        <w:t xml:space="preserve">（规定比例）</w:t>
      </w:r>
      <w:r>
        <w:rPr>
          <w:rStyle w:val="707"/>
          <w:rFonts w:hint="eastAsia"/>
          <w:shd w:val="clear" w:color="auto" w:fill="ffffff"/>
          <w:vertAlign w:val="superscript"/>
        </w:rPr>
        <w:t xml:space="preserve">3</w:t>
      </w:r>
      <w:r>
        <w:rPr>
          <w:rFonts w:hint="eastAsia"/>
          <w:shd w:val="clear" w:color="auto" w:fill="ffffff"/>
        </w:rPr>
        <w:t xml:space="preserve">。</w:t>
      </w:r>
      <w:r>
        <w:rPr>
          <w:rStyle w:val="707"/>
          <w:rFonts w:hint="eastAsia"/>
          <w:u w:val="single"/>
          <w:shd w:val="clear" w:color="auto" w:fill="ffffff"/>
        </w:rPr>
        <w:t xml:space="preserve">（产品名称1）</w:t>
      </w:r>
      <w:r>
        <w:rPr>
          <w:rFonts w:hint="eastAsia"/>
          <w:shd w:val="clear" w:color="auto" w:fill="ffffff"/>
        </w:rPr>
        <w:t xml:space="preserve">的</w:t>
      </w:r>
      <w:r>
        <w:rPr>
          <w:rStyle w:val="707"/>
          <w:rFonts w:hint="eastAsia"/>
          <w:u w:val="single"/>
          <w:shd w:val="clear" w:color="auto" w:fill="ffffff"/>
        </w:rPr>
        <w:t xml:space="preserve">（关键组件）</w:t>
      </w:r>
      <w:r>
        <w:rPr>
          <w:rStyle w:val="707"/>
          <w:rFonts w:hint="eastAsia"/>
          <w:shd w:val="clear" w:color="auto" w:fill="ffffff"/>
          <w:vertAlign w:val="superscript"/>
        </w:rPr>
        <w:t xml:space="preserve">4</w:t>
      </w:r>
      <w:r>
        <w:rPr>
          <w:rFonts w:hint="eastAsia"/>
          <w:shd w:val="clear" w:color="auto" w:fill="ffffff"/>
        </w:rPr>
        <w:t xml:space="preserve">在中国境内生产。</w:t>
      </w:r>
      <w:r>
        <w:rPr>
          <w:rStyle w:val="707"/>
          <w:rFonts w:hint="eastAsia"/>
          <w:u w:val="single"/>
          <w:shd w:val="clear" w:color="auto" w:fill="ffffff"/>
        </w:rPr>
        <w:t xml:space="preserve">（产品名称1）</w:t>
      </w:r>
      <w:r>
        <w:rPr>
          <w:rFonts w:hint="eastAsia"/>
          <w:shd w:val="clear" w:color="auto" w:fill="ffffff"/>
        </w:rPr>
        <w:t xml:space="preserve">的</w:t>
      </w:r>
      <w:r>
        <w:rPr>
          <w:rStyle w:val="707"/>
          <w:rFonts w:hint="eastAsia"/>
          <w:u w:val="single"/>
          <w:shd w:val="clear" w:color="auto" w:fill="ffffff"/>
        </w:rPr>
        <w:t xml:space="preserve">（关键工序）</w:t>
      </w:r>
      <w:r>
        <w:rPr>
          <w:rStyle w:val="707"/>
          <w:rFonts w:hint="eastAsia"/>
          <w:shd w:val="clear" w:color="auto" w:fill="ffffff"/>
          <w:vertAlign w:val="superscript"/>
        </w:rPr>
        <w:t xml:space="preserve">5</w:t>
      </w:r>
      <w:r>
        <w:rPr>
          <w:rFonts w:hint="eastAsia"/>
          <w:shd w:val="clear" w:color="auto" w:fill="ffffff"/>
        </w:rPr>
        <w:t xml:space="preserve">在中国境内完成。</w:t>
      </w:r>
      <w:r/>
    </w:p>
    <w:p>
      <w:pPr>
        <w:pStyle w:val="696"/>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707"/>
          <w:rFonts w:hint="eastAsia"/>
          <w:u w:val="single"/>
          <w:shd w:val="clear" w:color="auto" w:fill="ffffff"/>
        </w:rPr>
        <w:t xml:space="preserve">（产品名称2）</w:t>
      </w:r>
      <w:r>
        <w:rPr>
          <w:rFonts w:hint="eastAsia"/>
          <w:shd w:val="clear" w:color="auto" w:fill="ffffff"/>
        </w:rPr>
        <w:t xml:space="preserve">，生产厂为</w:t>
      </w:r>
      <w:r>
        <w:rPr>
          <w:rStyle w:val="707"/>
          <w:rFonts w:hint="eastAsia"/>
          <w:u w:val="single"/>
          <w:shd w:val="clear" w:color="auto" w:fill="ffffff"/>
        </w:rPr>
        <w:t xml:space="preserve">（厂名）</w:t>
      </w:r>
      <w:r>
        <w:rPr>
          <w:rFonts w:hint="eastAsia"/>
          <w:shd w:val="clear" w:color="auto" w:fill="ffffff"/>
        </w:rPr>
        <w:t xml:space="preserve">，厂址为</w:t>
      </w:r>
      <w:r>
        <w:rPr>
          <w:rStyle w:val="707"/>
          <w:rFonts w:hint="eastAsia"/>
          <w:u w:val="single"/>
          <w:shd w:val="clear" w:color="auto" w:fill="ffffff"/>
        </w:rPr>
        <w:t xml:space="preserve">（生产厂址）</w:t>
      </w:r>
      <w:r>
        <w:rPr>
          <w:rFonts w:hint="eastAsia"/>
          <w:shd w:val="clear" w:color="auto" w:fill="ffffff"/>
        </w:rPr>
        <w:t xml:space="preserve">。</w:t>
      </w:r>
      <w:r>
        <w:rPr>
          <w:rStyle w:val="707"/>
          <w:rFonts w:hint="eastAsia"/>
          <w:u w:val="single"/>
          <w:shd w:val="clear" w:color="auto" w:fill="ffffff"/>
        </w:rPr>
        <w:t xml:space="preserve">（产品名称2）</w:t>
      </w:r>
      <w:r>
        <w:rPr>
          <w:rFonts w:hint="eastAsia"/>
          <w:shd w:val="clear" w:color="auto" w:fill="ffffff"/>
        </w:rPr>
        <w:t xml:space="preserve">的中国境内生产的组件成本占比≥</w:t>
      </w:r>
      <w:r>
        <w:rPr>
          <w:rStyle w:val="707"/>
          <w:rFonts w:hint="eastAsia"/>
          <w:u w:val="single"/>
          <w:shd w:val="clear" w:color="auto" w:fill="ffffff"/>
        </w:rPr>
        <w:t xml:space="preserve">（规定比例）</w:t>
      </w:r>
      <w:r>
        <w:rPr>
          <w:rFonts w:hint="eastAsia"/>
          <w:shd w:val="clear" w:color="auto" w:fill="ffffff"/>
        </w:rPr>
        <w:t xml:space="preserve">。</w:t>
      </w:r>
      <w:r>
        <w:rPr>
          <w:rStyle w:val="707"/>
          <w:rFonts w:hint="eastAsia"/>
          <w:u w:val="single"/>
          <w:shd w:val="clear" w:color="auto" w:fill="ffffff"/>
        </w:rPr>
        <w:t xml:space="preserve">（产品名称2）</w:t>
      </w:r>
      <w:r>
        <w:rPr>
          <w:rFonts w:hint="eastAsia"/>
          <w:shd w:val="clear" w:color="auto" w:fill="ffffff"/>
        </w:rPr>
        <w:t xml:space="preserve">的</w:t>
      </w:r>
      <w:r>
        <w:rPr>
          <w:rStyle w:val="707"/>
          <w:rFonts w:hint="eastAsia"/>
          <w:u w:val="single"/>
          <w:shd w:val="clear" w:color="auto" w:fill="ffffff"/>
        </w:rPr>
        <w:t xml:space="preserve">（关键组件）</w:t>
      </w:r>
      <w:r>
        <w:rPr>
          <w:rFonts w:hint="eastAsia"/>
          <w:shd w:val="clear" w:color="auto" w:fill="ffffff"/>
        </w:rPr>
        <w:t xml:space="preserve">在中国境内生产。</w:t>
      </w:r>
      <w:r>
        <w:rPr>
          <w:rStyle w:val="707"/>
          <w:rFonts w:hint="eastAsia"/>
          <w:u w:val="single"/>
          <w:shd w:val="clear" w:color="auto" w:fill="ffffff"/>
        </w:rPr>
        <w:t xml:space="preserve">（产品名称2）</w:t>
      </w:r>
      <w:r>
        <w:rPr>
          <w:rFonts w:hint="eastAsia"/>
          <w:shd w:val="clear" w:color="auto" w:fill="ffffff"/>
        </w:rPr>
        <w:t xml:space="preserve">的</w:t>
      </w:r>
      <w:r>
        <w:rPr>
          <w:rStyle w:val="707"/>
          <w:rFonts w:hint="eastAsia"/>
          <w:u w:val="single"/>
          <w:shd w:val="clear" w:color="auto" w:fill="ffffff"/>
        </w:rPr>
        <w:t xml:space="preserve">（关键工序）</w:t>
      </w:r>
      <w:r>
        <w:rPr>
          <w:rFonts w:hint="eastAsia"/>
          <w:shd w:val="clear" w:color="auto" w:fill="ffffff"/>
        </w:rPr>
        <w:t xml:space="preserve">在中国境内完成。</w:t>
      </w:r>
      <w:r/>
    </w:p>
    <w:p>
      <w:pPr>
        <w:pStyle w:val="69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696"/>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707"/>
          <w:rFonts w:hint="eastAsia"/>
          <w:vertAlign w:val="superscript"/>
        </w:rPr>
        <w:t xml:space="preserve">6</w:t>
      </w:r>
      <w:r/>
    </w:p>
    <w:p>
      <w:pPr>
        <w:pStyle w:val="696"/>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696"/>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696"/>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96"/>
        <w:jc w:val="right"/>
        <w:spacing w:before="24" w:beforeAutospacing="0" w:after="24" w:afterAutospacing="0" w:line="360" w:lineRule="auto"/>
        <w:shd w:val="clear" w:color="auto" w:fill="ffffff"/>
        <w:rPr>
          <w:rFonts w:hint="eastAsia"/>
          <w:sz w:val="28"/>
          <w:szCs w:val="28"/>
        </w:rPr>
      </w:pPr>
      <w:r>
        <w:rPr>
          <w:rFonts w:hint="eastAsia"/>
          <w:sz w:val="28"/>
          <w:szCs w:val="28"/>
        </w:rPr>
      </w:r>
      <w:r/>
    </w:p>
    <w:p>
      <w:pPr>
        <w:pStyle w:val="69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696"/>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696"/>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696"/>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696"/>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696"/>
        <w:ind w:firstLine="420"/>
        <w:spacing w:before="24" w:beforeAutospacing="0" w:after="24" w:afterAutospacing="0" w:line="360" w:lineRule="auto"/>
        <w:shd w:val="clear" w:color="auto" w:fill="ffffff"/>
        <w:rPr>
          <w:rFonts w:hint="eastAsia"/>
        </w:rPr>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64"/>
        <w:ind w:firstLine="0"/>
        <w:rPr>
          <w:rFonts w:hint="eastAsia" w:ascii="宋体" w:hAnsi="宋体" w:cs="宋体"/>
          <w:color w:val="000000"/>
        </w:rPr>
      </w:pPr>
      <w:r>
        <w:rPr>
          <w:rFonts w:hint="eastAsia" w:ascii="宋体" w:hAnsi="宋体" w:cs="宋体"/>
          <w:color w:val="000000"/>
        </w:rPr>
      </w:r>
      <w:r/>
    </w:p>
    <w:p>
      <w:pPr>
        <w:spacing w:line="560" w:lineRule="exact"/>
        <w:rPr>
          <w:rFonts w:hint="eastAsia" w:ascii="宋体" w:hAnsi="宋体"/>
          <w:sz w:val="22"/>
          <w:szCs w:val="21"/>
        </w:rPr>
      </w:pPr>
      <w:r>
        <w:rPr>
          <w:rFonts w:hint="eastAsia" w:ascii="宋体" w:hAnsi="宋体"/>
          <w:sz w:val="22"/>
          <w:szCs w:val="21"/>
        </w:rPr>
      </w:r>
      <w:bookmarkEnd w:id="204"/>
      <w:r/>
    </w:p>
    <w:p>
      <w:pPr>
        <w:jc w:val="center"/>
        <w:rPr>
          <w:rFonts w:hint="eastAsia" w:ascii="黑体" w:hAnsi="黑体" w:eastAsia="黑体"/>
          <w:sz w:val="32"/>
          <w:szCs w:val="32"/>
        </w:rPr>
      </w:pPr>
      <w:r>
        <w:rPr>
          <w:rFonts w:hint="eastAsia" w:ascii="黑体" w:hAnsi="黑体" w:eastAsia="黑体"/>
          <w:sz w:val="32"/>
          <w:szCs w:val="32"/>
        </w:rPr>
        <w:t xml:space="preserve">十六、其他</w:t>
      </w:r>
      <w:r/>
    </w:p>
    <w:p>
      <w:pPr>
        <w:jc w:val="center"/>
        <w:rPr>
          <w:rFonts w:hint="eastAsia" w:ascii="方正小标宋简体" w:hAnsi="方正小标宋简体" w:eastAsia="方正小标宋简体" w:cs="方正小标宋简体"/>
          <w:sz w:val="24"/>
          <w:szCs w:val="24"/>
        </w:rPr>
      </w:pPr>
      <w:r>
        <w:rPr>
          <w:rFonts w:hint="eastAsia" w:ascii="黑体" w:hAnsi="黑体" w:eastAsia="黑体"/>
          <w:sz w:val="24"/>
          <w:szCs w:val="24"/>
        </w:rPr>
        <w:t xml:space="preserve">投标人认为应该提供的其他资料，格式自拟。</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24"/>
          <w:szCs w:val="24"/>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ind w:firstLine="602"/>
        <w:jc w:val="center"/>
        <w:spacing w:line="360" w:lineRule="auto"/>
        <w:rPr>
          <w:rFonts w:hint="eastAsia" w:ascii="宋体" w:hAnsi="宋体"/>
          <w:b/>
          <w:sz w:val="30"/>
          <w:szCs w:val="30"/>
        </w:rPr>
        <w:sectPr>
          <w:headerReference w:type="default" r:id="rId9"/>
          <w:footerReference w:type="default" r:id="rId10"/>
          <w:footerReference w:type="even" r:id="rId11"/>
          <w:footnotePr/>
          <w:endnotePr/>
          <w:type w:val="nextPage"/>
          <w:pgSz w:w="11906" w:h="16838" w:orient="portrait"/>
          <w:pgMar w:top="1418" w:right="1418" w:bottom="1418" w:left="1418" w:header="851" w:footer="907" w:gutter="0"/>
          <w:cols w:num="1" w:sep="0" w:space="720" w:equalWidth="1"/>
          <w:docGrid w:linePitch="360"/>
          <w:titlePg/>
        </w:sectPr>
      </w:pPr>
      <w:r>
        <w:rPr>
          <w:rFonts w:hint="eastAsia" w:ascii="宋体" w:hAnsi="宋体"/>
          <w:b/>
          <w:sz w:val="30"/>
          <w:szCs w:val="30"/>
        </w:rPr>
      </w:r>
      <w:r/>
    </w:p>
    <w:p>
      <w:pPr>
        <w:ind w:firstLine="602"/>
        <w:jc w:val="center"/>
        <w:spacing w:line="360" w:lineRule="auto"/>
        <w:rPr>
          <w:rFonts w:hint="eastAsia" w:ascii="宋体" w:hAnsi="宋体"/>
          <w:b/>
          <w:sz w:val="30"/>
          <w:szCs w:val="30"/>
        </w:rPr>
      </w:pPr>
      <w:r>
        <w:rPr>
          <w:rFonts w:hint="eastAsia" w:ascii="宋体" w:hAnsi="宋体"/>
          <w:b/>
          <w:sz w:val="30"/>
          <w:szCs w:val="30"/>
        </w:rPr>
        <w:t xml:space="preserve">附件四、中小企业划型标准</w:t>
      </w:r>
      <w:r/>
    </w:p>
    <w:tbl>
      <w:tblPr>
        <w:tblStyle w:val="663"/>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765"/>
        <w:gridCol w:w="2180"/>
        <w:gridCol w:w="1172"/>
        <w:gridCol w:w="904"/>
        <w:gridCol w:w="933"/>
        <w:gridCol w:w="1084"/>
        <w:gridCol w:w="921"/>
        <w:gridCol w:w="989"/>
        <w:gridCol w:w="1084"/>
        <w:gridCol w:w="939"/>
        <w:gridCol w:w="992"/>
        <w:gridCol w:w="1084"/>
        <w:gridCol w:w="862"/>
        <w:gridCol w:w="849"/>
      </w:tblGrid>
      <w:tr>
        <w:trPr>
          <w:cantSplit/>
          <w:jc w:val="center"/>
          <w:trHeight w:val="262"/>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bl>
    <w:p>
      <w:pPr>
        <w:pStyle w:val="894"/>
        <w:ind w:firstLine="0"/>
        <w:spacing w:line="20" w:lineRule="exact"/>
        <w:rPr>
          <w:rFonts w:hint="eastAsia" w:ascii="宋体" w:hAnsi="宋体" w:eastAsia="宋体"/>
        </w:rPr>
        <w:sectPr>
          <w:footnotePr/>
          <w:endnotePr/>
          <w:type w:val="nextPage"/>
          <w:pgSz w:w="16838" w:h="11906" w:orient="landscape"/>
          <w:pgMar w:top="1418" w:right="1418" w:bottom="1418" w:left="1418" w:header="851" w:footer="907" w:gutter="0"/>
          <w:cols w:num="1" w:sep="0" w:space="720" w:equalWidth="1"/>
          <w:docGrid w:linePitch="360"/>
          <w:titlePg/>
        </w:sectPr>
      </w:pPr>
      <w:r>
        <w:rPr>
          <w:rFonts w:hint="eastAsia" w:ascii="宋体" w:hAnsi="宋体" w:eastAsia="宋体"/>
        </w:rPr>
      </w:r>
      <w:r/>
    </w:p>
    <w:p>
      <w:r/>
      <w:r/>
    </w:p>
    <w:sectPr>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Noto Sans SC">
    <w:panose1 w:val="020B0503020202020204"/>
  </w:font>
  <w:font w:name="方正楷体_GBK">
    <w:panose1 w:val="020B0503020202020204"/>
  </w:font>
  <w:font w:name="等线">
    <w:panose1 w:val="02010600030101010101"/>
  </w:font>
  <w:font w:name="仿宋">
    <w:panose1 w:val="0201060906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705"/>
        <w:rFonts w:hint="eastAsia" w:ascii="宋体" w:hAnsi="宋体"/>
      </w:rPr>
      <w:framePr w:wrap="around" w:vAnchor="text" w:hAnchor="margin" w:xAlign="center" w:y="1"/>
    </w:pPr>
    <w:r>
      <w:rPr>
        <w:rFonts w:ascii="宋体" w:hAnsi="宋体"/>
      </w:rPr>
      <w:fldChar w:fldCharType="begin"/>
    </w:r>
    <w:r>
      <w:rPr>
        <w:rStyle w:val="705"/>
        <w:rFonts w:ascii="宋体" w:hAnsi="宋体"/>
      </w:rPr>
      <w:instrText xml:space="preserve">PAGE  </w:instrText>
    </w:r>
    <w:r>
      <w:rPr>
        <w:rFonts w:ascii="宋体" w:hAnsi="宋体"/>
      </w:rPr>
      <w:fldChar w:fldCharType="separate"/>
    </w:r>
    <w:r>
      <w:rPr>
        <w:rStyle w:val="705"/>
        <w:rFonts w:ascii="宋体" w:hAnsi="宋体"/>
      </w:rPr>
      <w:t xml:space="preserve">４</w:t>
    </w:r>
    <w:r>
      <w:rPr>
        <w:rFonts w:ascii="宋体" w:hAnsi="宋体"/>
      </w:rPr>
      <w:fldChar w:fldCharType="end"/>
    </w:r>
    <w:r/>
  </w:p>
  <w:p>
    <w:pPr>
      <w:pStyle w:val="68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3"/>
      <w:rPr>
        <w:rStyle w:val="705"/>
      </w:rPr>
      <w:framePr w:wrap="around" w:vAnchor="text" w:hAnchor="margin" w:xAlign="center" w:y="1"/>
    </w:pPr>
    <w:r>
      <w:fldChar w:fldCharType="begin"/>
    </w:r>
    <w:r>
      <w:rPr>
        <w:rStyle w:val="705"/>
      </w:rPr>
      <w:instrText xml:space="preserve">PAGE  </w:instrText>
    </w:r>
    <w:r>
      <w:fldChar w:fldCharType="separate"/>
    </w:r>
    <w:r>
      <w:rPr>
        <w:rStyle w:val="705"/>
      </w:rPr>
      <w:t xml:space="preserve">1</w:t>
    </w:r>
    <w:r>
      <w:fldChar w:fldCharType="end"/>
    </w:r>
    <w:r/>
  </w:p>
  <w:p>
    <w:pPr>
      <w:pStyle w:val="6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89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58"/>
      <w:isLgl w:val="false"/>
      <w:suff w:val="nothing"/>
      <w:lvlText w:val=""/>
      <w:lvlJc w:val="left"/>
      <w:pPr>
        <w:ind w:left="0" w:firstLine="0"/>
      </w:pPr>
      <w:rPr>
        <w:rFonts w:hint="eastAsia"/>
      </w:rPr>
    </w:lvl>
    <w:lvl w:ilvl="6">
      <w:start w:val="1"/>
      <w:numFmt w:val="decimal"/>
      <w:pStyle w:val="659"/>
      <w:isLgl w:val="false"/>
      <w:suff w:val="nothing"/>
      <w:lvlText w:val=""/>
      <w:lvlJc w:val="left"/>
      <w:pPr>
        <w:ind w:left="0" w:firstLine="0"/>
      </w:pPr>
      <w:rPr>
        <w:rFonts w:hint="eastAsia"/>
      </w:rPr>
    </w:lvl>
    <w:lvl w:ilvl="7">
      <w:start w:val="1"/>
      <w:numFmt w:val="decimal"/>
      <w:pStyle w:val="660"/>
      <w:isLgl w:val="false"/>
      <w:suff w:val="nothing"/>
      <w:lvlText w:val=""/>
      <w:lvlJc w:val="left"/>
      <w:pPr>
        <w:ind w:left="0" w:firstLine="0"/>
      </w:pPr>
      <w:rPr>
        <w:rFonts w:hint="eastAsia"/>
      </w:rPr>
    </w:lvl>
    <w:lvl w:ilvl="8">
      <w:start w:val="1"/>
      <w:numFmt w:val="decimal"/>
      <w:pStyle w:val="661"/>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62"/>
    <w:link w:val="698"/>
    <w:uiPriority w:val="10"/>
    <w:rPr>
      <w:sz w:val="48"/>
      <w:szCs w:val="48"/>
    </w:rPr>
  </w:style>
  <w:style w:type="character" w:styleId="36">
    <w:name w:val="Subtitle Char"/>
    <w:basedOn w:val="662"/>
    <w:link w:val="687"/>
    <w:uiPriority w:val="11"/>
    <w:rPr>
      <w:sz w:val="24"/>
      <w:szCs w:val="24"/>
    </w:rPr>
  </w:style>
  <w:style w:type="character" w:styleId="38">
    <w:name w:val="Quote Char"/>
    <w:link w:val="725"/>
    <w:uiPriority w:val="29"/>
    <w:rPr>
      <w:i/>
    </w:rPr>
  </w:style>
  <w:style w:type="character" w:styleId="40">
    <w:name w:val="Intense Quote Char"/>
    <w:link w:val="727"/>
    <w:uiPriority w:val="30"/>
    <w:rPr>
      <w:i/>
    </w:rPr>
  </w:style>
  <w:style w:type="table" w:styleId="49">
    <w:name w:val="Plain Table 1"/>
    <w:basedOn w:val="6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9"/>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5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53">
    <w:name w:val="Heading 1"/>
    <w:basedOn w:val="652"/>
    <w:next w:val="652"/>
    <w:link w:val="862"/>
    <w:uiPriority w:val="0"/>
    <w:qFormat/>
    <w:pPr>
      <w:jc w:val="center"/>
      <w:keepNext/>
      <w:outlineLvl w:val="0"/>
    </w:pPr>
    <w:rPr>
      <w:rFonts w:ascii="楷体_GB2312" w:eastAsia="楷体_GB2312"/>
      <w:sz w:val="28"/>
      <w:szCs w:val="28"/>
    </w:rPr>
  </w:style>
  <w:style w:type="paragraph" w:styleId="654">
    <w:name w:val="Heading 2"/>
    <w:basedOn w:val="652"/>
    <w:next w:val="664"/>
    <w:link w:val="8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55">
    <w:name w:val="Heading 3"/>
    <w:basedOn w:val="652"/>
    <w:next w:val="664"/>
    <w:link w:val="865"/>
    <w:uiPriority w:val="0"/>
    <w:qFormat/>
    <w:pPr>
      <w:keepLines/>
      <w:keepNext/>
      <w:spacing w:before="260" w:after="260" w:line="416" w:lineRule="auto"/>
      <w:outlineLvl w:val="2"/>
    </w:pPr>
    <w:rPr>
      <w:b/>
      <w:bCs/>
      <w:sz w:val="32"/>
      <w:szCs w:val="32"/>
    </w:rPr>
  </w:style>
  <w:style w:type="paragraph" w:styleId="656">
    <w:name w:val="Heading 4"/>
    <w:basedOn w:val="652"/>
    <w:next w:val="664"/>
    <w:link w:val="866"/>
    <w:uiPriority w:val="0"/>
    <w:qFormat/>
    <w:pPr>
      <w:keepLines/>
      <w:keepNext/>
      <w:spacing w:before="280" w:after="290" w:line="376" w:lineRule="auto"/>
      <w:outlineLvl w:val="3"/>
    </w:pPr>
    <w:rPr>
      <w:rFonts w:ascii="Arial" w:hAnsi="Arial" w:eastAsia="黑体" w:cs="Arial"/>
      <w:b/>
      <w:bCs/>
      <w:sz w:val="28"/>
      <w:szCs w:val="28"/>
    </w:rPr>
  </w:style>
  <w:style w:type="paragraph" w:styleId="657">
    <w:name w:val="Heading 5"/>
    <w:basedOn w:val="652"/>
    <w:next w:val="664"/>
    <w:link w:val="867"/>
    <w:uiPriority w:val="0"/>
    <w:qFormat/>
    <w:pPr>
      <w:keepNext/>
      <w:outlineLvl w:val="4"/>
    </w:pPr>
    <w:rPr>
      <w:rFonts w:ascii="宋体"/>
      <w:color w:val="000000"/>
      <w:sz w:val="28"/>
      <w:szCs w:val="28"/>
    </w:rPr>
  </w:style>
  <w:style w:type="paragraph" w:styleId="658">
    <w:name w:val="Heading 6"/>
    <w:basedOn w:val="652"/>
    <w:next w:val="652"/>
    <w:link w:val="86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59">
    <w:name w:val="Heading 7"/>
    <w:basedOn w:val="652"/>
    <w:next w:val="652"/>
    <w:link w:val="869"/>
    <w:uiPriority w:val="99"/>
    <w:qFormat/>
    <w:pPr>
      <w:numPr>
        <w:ilvl w:val="6"/>
        <w:numId w:val="1"/>
      </w:numPr>
      <w:keepLines/>
      <w:keepNext/>
      <w:spacing w:before="240" w:after="64" w:line="320" w:lineRule="auto"/>
      <w:outlineLvl w:val="6"/>
    </w:pPr>
    <w:rPr>
      <w:b/>
      <w:bCs/>
      <w:sz w:val="24"/>
      <w:szCs w:val="24"/>
    </w:rPr>
  </w:style>
  <w:style w:type="paragraph" w:styleId="660">
    <w:name w:val="Heading 8"/>
    <w:basedOn w:val="652"/>
    <w:next w:val="652"/>
    <w:link w:val="870"/>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661">
    <w:name w:val="Heading 9"/>
    <w:basedOn w:val="652"/>
    <w:next w:val="652"/>
    <w:link w:val="871"/>
    <w:uiPriority w:val="99"/>
    <w:qFormat/>
    <w:pPr>
      <w:numPr>
        <w:ilvl w:val="8"/>
        <w:numId w:val="1"/>
      </w:numPr>
      <w:keepLines/>
      <w:keepNext/>
      <w:spacing w:before="240" w:after="64" w:line="320" w:lineRule="auto"/>
      <w:outlineLvl w:val="8"/>
    </w:pPr>
    <w:rPr>
      <w:rFonts w:ascii="Arial" w:hAnsi="Arial" w:eastAsia="黑体"/>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Normal Indent"/>
    <w:basedOn w:val="652"/>
    <w:link w:val="864"/>
    <w:uiPriority w:val="0"/>
    <w:qFormat/>
    <w:pPr>
      <w:ind w:firstLine="420"/>
    </w:pPr>
    <w:rPr>
      <w:szCs w:val="21"/>
    </w:rPr>
  </w:style>
  <w:style w:type="paragraph" w:styleId="665">
    <w:name w:val="List 3"/>
    <w:basedOn w:val="652"/>
    <w:uiPriority w:val="99"/>
    <w:qFormat/>
    <w:pPr>
      <w:ind w:left="100" w:hanging="200"/>
    </w:pPr>
    <w:rPr>
      <w:szCs w:val="21"/>
    </w:rPr>
  </w:style>
  <w:style w:type="paragraph" w:styleId="666">
    <w:name w:val="toc 7"/>
    <w:basedOn w:val="652"/>
    <w:next w:val="652"/>
    <w:uiPriority w:val="39"/>
    <w:unhideWhenUsed/>
    <w:qFormat/>
    <w:pPr>
      <w:ind w:left="1701"/>
      <w:spacing w:after="57"/>
    </w:pPr>
  </w:style>
  <w:style w:type="paragraph" w:styleId="667">
    <w:name w:val="Caption"/>
    <w:basedOn w:val="652"/>
    <w:next w:val="652"/>
    <w:uiPriority w:val="35"/>
    <w:semiHidden/>
    <w:unhideWhenUsed/>
    <w:qFormat/>
    <w:pPr>
      <w:spacing w:line="276" w:lineRule="auto"/>
    </w:pPr>
    <w:rPr>
      <w:b/>
      <w:bCs/>
      <w:color w:val="4f81bd"/>
      <w:sz w:val="18"/>
      <w:szCs w:val="18"/>
    </w:rPr>
  </w:style>
  <w:style w:type="paragraph" w:styleId="668">
    <w:name w:val="Document Map"/>
    <w:basedOn w:val="652"/>
    <w:link w:val="873"/>
    <w:uiPriority w:val="99"/>
    <w:semiHidden/>
    <w:qFormat/>
    <w:pPr>
      <w:shd w:val="clear" w:color="auto" w:fill="000080"/>
    </w:pPr>
    <w:rPr>
      <w:szCs w:val="21"/>
    </w:rPr>
  </w:style>
  <w:style w:type="paragraph" w:styleId="669">
    <w:name w:val="annotation text"/>
    <w:basedOn w:val="652"/>
    <w:link w:val="874"/>
    <w:uiPriority w:val="99"/>
    <w:unhideWhenUsed/>
    <w:qFormat/>
    <w:pPr>
      <w:jc w:val="left"/>
    </w:pPr>
  </w:style>
  <w:style w:type="paragraph" w:styleId="670">
    <w:name w:val="Body Text 3"/>
    <w:basedOn w:val="652"/>
    <w:link w:val="875"/>
    <w:uiPriority w:val="99"/>
    <w:qFormat/>
    <w:rPr>
      <w:rFonts w:ascii="仿宋_GB2312" w:hAnsi="Arial" w:eastAsia="仿宋_GB2312"/>
      <w:sz w:val="32"/>
      <w:szCs w:val="32"/>
    </w:rPr>
  </w:style>
  <w:style w:type="paragraph" w:styleId="671">
    <w:name w:val="Body Text"/>
    <w:basedOn w:val="652"/>
    <w:link w:val="876"/>
    <w:uiPriority w:val="99"/>
    <w:qFormat/>
    <w:rPr>
      <w:rFonts w:ascii="楷体_GB2312" w:hAnsi="Arial" w:eastAsia="楷体_GB2312"/>
      <w:sz w:val="28"/>
      <w:szCs w:val="28"/>
    </w:rPr>
  </w:style>
  <w:style w:type="paragraph" w:styleId="672">
    <w:name w:val="Body Text Indent"/>
    <w:basedOn w:val="652"/>
    <w:next w:val="673"/>
    <w:link w:val="860"/>
    <w:uiPriority w:val="99"/>
    <w:unhideWhenUsed/>
    <w:qFormat/>
    <w:pPr>
      <w:ind w:left="420"/>
      <w:spacing w:after="120"/>
    </w:pPr>
  </w:style>
  <w:style w:type="paragraph" w:styleId="673">
    <w:name w:val="envelope return"/>
    <w:basedOn w:val="652"/>
    <w:uiPriority w:val="99"/>
    <w:qFormat/>
    <w:rPr>
      <w:rFonts w:ascii="Arial" w:hAnsi="Arial" w:cs="宋体"/>
    </w:rPr>
  </w:style>
  <w:style w:type="paragraph" w:styleId="674">
    <w:name w:val="List 2"/>
    <w:basedOn w:val="652"/>
    <w:uiPriority w:val="99"/>
    <w:qFormat/>
    <w:pPr>
      <w:ind w:left="100" w:hanging="200"/>
    </w:pPr>
    <w:rPr>
      <w:szCs w:val="21"/>
    </w:rPr>
  </w:style>
  <w:style w:type="paragraph" w:styleId="675">
    <w:name w:val="toc 5"/>
    <w:basedOn w:val="652"/>
    <w:next w:val="652"/>
    <w:uiPriority w:val="39"/>
    <w:unhideWhenUsed/>
    <w:qFormat/>
    <w:pPr>
      <w:ind w:left="1134"/>
      <w:spacing w:after="57"/>
    </w:pPr>
  </w:style>
  <w:style w:type="paragraph" w:styleId="676">
    <w:name w:val="toc 3"/>
    <w:basedOn w:val="652"/>
    <w:next w:val="652"/>
    <w:uiPriority w:val="39"/>
    <w:unhideWhenUsed/>
    <w:qFormat/>
    <w:pPr>
      <w:ind w:left="567"/>
      <w:spacing w:after="57"/>
    </w:pPr>
  </w:style>
  <w:style w:type="paragraph" w:styleId="677">
    <w:name w:val="Plain Text"/>
    <w:basedOn w:val="652"/>
    <w:link w:val="879"/>
    <w:uiPriority w:val="99"/>
    <w:qFormat/>
    <w:rPr>
      <w:rFonts w:ascii="宋体" w:hAnsi="Courier New" w:cs="Courier New"/>
      <w:szCs w:val="21"/>
    </w:rPr>
  </w:style>
  <w:style w:type="paragraph" w:styleId="678">
    <w:name w:val="toc 8"/>
    <w:basedOn w:val="652"/>
    <w:next w:val="652"/>
    <w:uiPriority w:val="39"/>
    <w:unhideWhenUsed/>
    <w:qFormat/>
    <w:pPr>
      <w:ind w:left="1984"/>
      <w:spacing w:after="57"/>
    </w:pPr>
  </w:style>
  <w:style w:type="paragraph" w:styleId="679">
    <w:name w:val="Date"/>
    <w:basedOn w:val="652"/>
    <w:next w:val="652"/>
    <w:link w:val="881"/>
    <w:uiPriority w:val="99"/>
    <w:qFormat/>
    <w:rPr>
      <w:sz w:val="24"/>
      <w:szCs w:val="24"/>
    </w:rPr>
  </w:style>
  <w:style w:type="paragraph" w:styleId="680">
    <w:name w:val="Body Text Indent 2"/>
    <w:basedOn w:val="652"/>
    <w:link w:val="882"/>
    <w:uiPriority w:val="99"/>
    <w:qFormat/>
    <w:pPr>
      <w:ind w:left="630" w:firstLine="645"/>
    </w:pPr>
    <w:rPr>
      <w:rFonts w:ascii="Arial" w:hAnsi="Arial" w:eastAsia="仿宋_GB2312" w:cs="Arial"/>
      <w:sz w:val="32"/>
      <w:szCs w:val="32"/>
    </w:rPr>
  </w:style>
  <w:style w:type="paragraph" w:styleId="681">
    <w:name w:val="endnote text"/>
    <w:basedOn w:val="652"/>
    <w:link w:val="858"/>
    <w:uiPriority w:val="99"/>
    <w:semiHidden/>
    <w:unhideWhenUsed/>
    <w:qFormat/>
    <w:rPr>
      <w:sz w:val="20"/>
    </w:rPr>
  </w:style>
  <w:style w:type="paragraph" w:styleId="682">
    <w:name w:val="Balloon Text"/>
    <w:basedOn w:val="652"/>
    <w:link w:val="883"/>
    <w:uiPriority w:val="99"/>
    <w:semiHidden/>
    <w:qFormat/>
    <w:rPr>
      <w:sz w:val="18"/>
      <w:szCs w:val="18"/>
    </w:rPr>
  </w:style>
  <w:style w:type="paragraph" w:styleId="683">
    <w:name w:val="Footer"/>
    <w:basedOn w:val="652"/>
    <w:link w:val="884"/>
    <w:uiPriority w:val="99"/>
    <w:qFormat/>
    <w:pPr>
      <w:jc w:val="left"/>
      <w:tabs>
        <w:tab w:val="center" w:pos="4153" w:leader="none"/>
        <w:tab w:val="right" w:pos="8306" w:leader="none"/>
      </w:tabs>
    </w:pPr>
    <w:rPr>
      <w:sz w:val="18"/>
      <w:szCs w:val="18"/>
    </w:rPr>
  </w:style>
  <w:style w:type="paragraph" w:styleId="684">
    <w:name w:val="Header"/>
    <w:basedOn w:val="652"/>
    <w:link w:val="885"/>
    <w:uiPriority w:val="99"/>
    <w:qFormat/>
    <w:pPr>
      <w:jc w:val="center"/>
      <w:tabs>
        <w:tab w:val="center" w:pos="4153" w:leader="none"/>
        <w:tab w:val="right" w:pos="8306" w:leader="none"/>
      </w:tabs>
      <w:pBdr>
        <w:bottom w:val="single" w:color="000000" w:sz="6" w:space="1"/>
      </w:pBdr>
    </w:pPr>
    <w:rPr>
      <w:sz w:val="18"/>
      <w:szCs w:val="18"/>
    </w:rPr>
  </w:style>
  <w:style w:type="paragraph" w:styleId="685">
    <w:name w:val="toc 1"/>
    <w:basedOn w:val="652"/>
    <w:next w:val="652"/>
    <w:uiPriority w:val="39"/>
    <w:unhideWhenUsed/>
    <w:qFormat/>
    <w:pPr>
      <w:spacing w:after="57"/>
    </w:pPr>
  </w:style>
  <w:style w:type="paragraph" w:styleId="686">
    <w:name w:val="toc 4"/>
    <w:basedOn w:val="652"/>
    <w:next w:val="652"/>
    <w:uiPriority w:val="39"/>
    <w:unhideWhenUsed/>
    <w:qFormat/>
    <w:pPr>
      <w:ind w:left="850"/>
      <w:spacing w:after="57"/>
    </w:pPr>
  </w:style>
  <w:style w:type="paragraph" w:styleId="687">
    <w:name w:val="Subtitle"/>
    <w:basedOn w:val="652"/>
    <w:next w:val="652"/>
    <w:link w:val="724"/>
    <w:uiPriority w:val="11"/>
    <w:qFormat/>
    <w:pPr>
      <w:spacing w:before="200" w:after="200"/>
    </w:pPr>
    <w:rPr>
      <w:sz w:val="24"/>
      <w:szCs w:val="24"/>
    </w:rPr>
  </w:style>
  <w:style w:type="paragraph" w:styleId="688">
    <w:name w:val="List"/>
    <w:basedOn w:val="652"/>
    <w:uiPriority w:val="99"/>
    <w:qFormat/>
    <w:pPr>
      <w:ind w:left="200" w:hanging="200"/>
    </w:pPr>
    <w:rPr>
      <w:szCs w:val="21"/>
    </w:rPr>
  </w:style>
  <w:style w:type="paragraph" w:styleId="689">
    <w:name w:val="footnote text"/>
    <w:basedOn w:val="652"/>
    <w:link w:val="857"/>
    <w:uiPriority w:val="99"/>
    <w:semiHidden/>
    <w:unhideWhenUsed/>
    <w:qFormat/>
    <w:pPr>
      <w:spacing w:after="40"/>
    </w:pPr>
    <w:rPr>
      <w:sz w:val="18"/>
    </w:rPr>
  </w:style>
  <w:style w:type="paragraph" w:styleId="690">
    <w:name w:val="toc 6"/>
    <w:basedOn w:val="652"/>
    <w:next w:val="652"/>
    <w:uiPriority w:val="39"/>
    <w:unhideWhenUsed/>
    <w:qFormat/>
    <w:pPr>
      <w:ind w:left="1417"/>
      <w:spacing w:after="57"/>
    </w:pPr>
  </w:style>
  <w:style w:type="paragraph" w:styleId="691">
    <w:name w:val="Body Text Indent 3"/>
    <w:basedOn w:val="652"/>
    <w:link w:val="889"/>
    <w:uiPriority w:val="99"/>
    <w:qFormat/>
    <w:pPr>
      <w:ind w:left="645" w:firstLine="645"/>
    </w:pPr>
    <w:rPr>
      <w:rFonts w:ascii="Arial" w:hAnsi="Arial" w:eastAsia="仿宋_GB2312" w:cs="Arial"/>
      <w:color w:val="ffff00"/>
      <w:sz w:val="32"/>
      <w:szCs w:val="32"/>
    </w:rPr>
  </w:style>
  <w:style w:type="paragraph" w:styleId="692">
    <w:name w:val="table of figures"/>
    <w:basedOn w:val="652"/>
    <w:next w:val="652"/>
    <w:uiPriority w:val="99"/>
    <w:semiHidden/>
    <w:qFormat/>
    <w:pPr>
      <w:ind w:left="840" w:hanging="420"/>
    </w:pPr>
    <w:rPr>
      <w:szCs w:val="21"/>
    </w:rPr>
  </w:style>
  <w:style w:type="paragraph" w:styleId="693">
    <w:name w:val="toc 2"/>
    <w:basedOn w:val="652"/>
    <w:next w:val="652"/>
    <w:uiPriority w:val="39"/>
    <w:unhideWhenUsed/>
    <w:qFormat/>
    <w:pPr>
      <w:ind w:left="283"/>
      <w:spacing w:after="57"/>
    </w:pPr>
  </w:style>
  <w:style w:type="paragraph" w:styleId="694">
    <w:name w:val="toc 9"/>
    <w:basedOn w:val="652"/>
    <w:next w:val="652"/>
    <w:uiPriority w:val="39"/>
    <w:unhideWhenUsed/>
    <w:qFormat/>
    <w:pPr>
      <w:ind w:left="2268"/>
      <w:spacing w:after="57"/>
    </w:pPr>
  </w:style>
  <w:style w:type="paragraph" w:styleId="695">
    <w:name w:val="Body Text 2"/>
    <w:basedOn w:val="652"/>
    <w:link w:val="892"/>
    <w:uiPriority w:val="99"/>
    <w:qFormat/>
    <w:pPr>
      <w:jc w:val="center"/>
      <w:widowControl/>
    </w:pPr>
    <w:rPr>
      <w:rFonts w:ascii="楷体_GB2312" w:eastAsia="楷体_GB2312"/>
      <w:sz w:val="28"/>
      <w:szCs w:val="28"/>
    </w:rPr>
  </w:style>
  <w:style w:type="paragraph" w:styleId="696">
    <w:name w:val="Normal (Web)"/>
    <w:basedOn w:val="652"/>
    <w:uiPriority w:val="99"/>
    <w:qFormat/>
    <w:pPr>
      <w:jc w:val="left"/>
      <w:spacing w:before="100" w:beforeAutospacing="1" w:after="100" w:afterAutospacing="1"/>
      <w:widowControl/>
    </w:pPr>
    <w:rPr>
      <w:rFonts w:ascii="宋体" w:hAnsi="宋体" w:cs="宋体"/>
      <w:sz w:val="24"/>
      <w:szCs w:val="24"/>
    </w:rPr>
  </w:style>
  <w:style w:type="paragraph" w:styleId="697">
    <w:name w:val="index 1"/>
    <w:basedOn w:val="652"/>
    <w:next w:val="652"/>
    <w:uiPriority w:val="99"/>
    <w:semiHidden/>
    <w:qFormat/>
    <w:pPr>
      <w:spacing w:line="240" w:lineRule="atLeast"/>
    </w:pPr>
    <w:rPr>
      <w:b/>
      <w:bCs/>
      <w:szCs w:val="21"/>
    </w:rPr>
  </w:style>
  <w:style w:type="paragraph" w:styleId="698">
    <w:name w:val="Title"/>
    <w:basedOn w:val="652"/>
    <w:next w:val="652"/>
    <w:link w:val="723"/>
    <w:uiPriority w:val="10"/>
    <w:qFormat/>
    <w:pPr>
      <w:contextualSpacing/>
      <w:spacing w:before="300" w:after="200"/>
    </w:pPr>
    <w:rPr>
      <w:sz w:val="48"/>
      <w:szCs w:val="48"/>
    </w:rPr>
  </w:style>
  <w:style w:type="paragraph" w:styleId="699">
    <w:name w:val="annotation subject"/>
    <w:basedOn w:val="669"/>
    <w:next w:val="669"/>
    <w:link w:val="893"/>
    <w:uiPriority w:val="99"/>
    <w:semiHidden/>
    <w:qFormat/>
    <w:rPr>
      <w:b/>
      <w:bCs/>
      <w:szCs w:val="21"/>
    </w:rPr>
  </w:style>
  <w:style w:type="paragraph" w:styleId="700">
    <w:name w:val="Body Text First Indent 2"/>
    <w:basedOn w:val="701"/>
    <w:link w:val="993"/>
    <w:uiPriority w:val="0"/>
    <w:qFormat/>
    <w:pPr>
      <w:ind w:left="0" w:firstLine="420"/>
      <w:spacing w:after="0" w:line="360" w:lineRule="auto"/>
    </w:pPr>
    <w:rPr>
      <w:rFonts w:ascii="宋体" w:hAnsi="宋体"/>
      <w:sz w:val="20"/>
      <w:szCs w:val="20"/>
      <w:lang w:eastAsia="en-US"/>
    </w:rPr>
  </w:style>
  <w:style w:type="paragraph" w:styleId="701" w:customStyle="1">
    <w:name w:val="正文文本缩进1"/>
    <w:basedOn w:val="652"/>
    <w:next w:val="700"/>
    <w:uiPriority w:val="99"/>
    <w:unhideWhenUsed/>
    <w:qFormat/>
    <w:pPr>
      <w:ind w:left="420"/>
      <w:spacing w:after="120"/>
    </w:pPr>
  </w:style>
  <w:style w:type="table" w:styleId="702">
    <w:name w:val="Table Grid"/>
    <w:basedOn w:val="66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3">
    <w:name w:val="Strong"/>
    <w:uiPriority w:val="22"/>
    <w:qFormat/>
    <w:rPr>
      <w:b/>
      <w:bCs/>
    </w:rPr>
  </w:style>
  <w:style w:type="character" w:styleId="704">
    <w:name w:val="endnote reference"/>
    <w:uiPriority w:val="99"/>
    <w:semiHidden/>
    <w:unhideWhenUsed/>
    <w:qFormat/>
    <w:rPr>
      <w:vertAlign w:val="superscript"/>
    </w:rPr>
  </w:style>
  <w:style w:type="character" w:styleId="705">
    <w:name w:val="page number"/>
    <w:uiPriority w:val="0"/>
    <w:qFormat/>
  </w:style>
  <w:style w:type="character" w:styleId="706">
    <w:name w:val="FollowedHyperlink"/>
    <w:uiPriority w:val="99"/>
    <w:qFormat/>
    <w:rPr>
      <w:color w:val="800080"/>
      <w:u w:val="single"/>
    </w:rPr>
  </w:style>
  <w:style w:type="character" w:styleId="707">
    <w:name w:val="Emphasis"/>
    <w:uiPriority w:val="0"/>
    <w:qFormat/>
    <w:rPr>
      <w:i/>
    </w:rPr>
  </w:style>
  <w:style w:type="character" w:styleId="708">
    <w:name w:val="Hyperlink"/>
    <w:uiPriority w:val="99"/>
    <w:qFormat/>
    <w:rPr>
      <w:color w:val="0000ff"/>
      <w:u w:val="single"/>
    </w:rPr>
  </w:style>
  <w:style w:type="character" w:styleId="709">
    <w:name w:val="annotation reference"/>
    <w:uiPriority w:val="0"/>
    <w:semiHidden/>
    <w:qFormat/>
    <w:rPr>
      <w:sz w:val="21"/>
      <w:szCs w:val="21"/>
    </w:rPr>
  </w:style>
  <w:style w:type="character" w:styleId="710">
    <w:name w:val="footnote reference"/>
    <w:uiPriority w:val="99"/>
    <w:unhideWhenUsed/>
    <w:qFormat/>
    <w:rPr>
      <w:vertAlign w:val="superscript"/>
    </w:rPr>
  </w:style>
  <w:style w:type="paragraph" w:styleId="711" w:customStyle="1">
    <w:name w:val="正文首行缩进 21"/>
    <w:basedOn w:val="672"/>
    <w:next w:val="652"/>
    <w:link w:val="861"/>
    <w:uiPriority w:val="99"/>
    <w:qFormat/>
    <w:pPr>
      <w:ind w:left="0" w:firstLine="420"/>
      <w:spacing w:after="0" w:line="360" w:lineRule="auto"/>
    </w:pPr>
    <w:rPr>
      <w:rFonts w:ascii="宋体" w:hAnsi="宋体"/>
      <w:szCs w:val="20"/>
    </w:rPr>
  </w:style>
  <w:style w:type="character" w:styleId="712" w:customStyle="1">
    <w:name w:val="Heading 1 Char"/>
    <w:uiPriority w:val="9"/>
    <w:qFormat/>
    <w:rPr>
      <w:rFonts w:ascii="Arial" w:hAnsi="Arial" w:eastAsia="Arial" w:cs="Arial"/>
      <w:sz w:val="40"/>
      <w:szCs w:val="40"/>
    </w:rPr>
  </w:style>
  <w:style w:type="character" w:styleId="713" w:customStyle="1">
    <w:name w:val="Heading 2 Char"/>
    <w:uiPriority w:val="9"/>
    <w:qFormat/>
    <w:rPr>
      <w:rFonts w:ascii="Arial" w:hAnsi="Arial" w:eastAsia="Arial" w:cs="Arial"/>
      <w:sz w:val="34"/>
    </w:rPr>
  </w:style>
  <w:style w:type="character" w:styleId="714" w:customStyle="1">
    <w:name w:val="Heading 3 Char"/>
    <w:uiPriority w:val="9"/>
    <w:qFormat/>
    <w:rPr>
      <w:rFonts w:ascii="Arial" w:hAnsi="Arial" w:eastAsia="Arial" w:cs="Arial"/>
      <w:sz w:val="30"/>
      <w:szCs w:val="30"/>
    </w:rPr>
  </w:style>
  <w:style w:type="character" w:styleId="715" w:customStyle="1">
    <w:name w:val="Heading 4 Char"/>
    <w:uiPriority w:val="9"/>
    <w:qFormat/>
    <w:rPr>
      <w:rFonts w:ascii="Arial" w:hAnsi="Arial" w:eastAsia="Arial" w:cs="Arial"/>
      <w:b/>
      <w:bCs/>
      <w:sz w:val="26"/>
      <w:szCs w:val="26"/>
    </w:rPr>
  </w:style>
  <w:style w:type="character" w:styleId="716" w:customStyle="1">
    <w:name w:val="Heading 5 Char"/>
    <w:uiPriority w:val="9"/>
    <w:qFormat/>
    <w:rPr>
      <w:rFonts w:ascii="Arial" w:hAnsi="Arial" w:eastAsia="Arial" w:cs="Arial"/>
      <w:b/>
      <w:bCs/>
      <w:sz w:val="24"/>
      <w:szCs w:val="24"/>
    </w:rPr>
  </w:style>
  <w:style w:type="character" w:styleId="717" w:customStyle="1">
    <w:name w:val="Heading 6 Char"/>
    <w:uiPriority w:val="9"/>
    <w:qFormat/>
    <w:rPr>
      <w:rFonts w:ascii="Arial" w:hAnsi="Arial" w:eastAsia="Arial" w:cs="Arial"/>
      <w:b/>
      <w:bCs/>
      <w:sz w:val="22"/>
      <w:szCs w:val="22"/>
    </w:rPr>
  </w:style>
  <w:style w:type="character" w:styleId="718" w:customStyle="1">
    <w:name w:val="Heading 7 Char"/>
    <w:uiPriority w:val="9"/>
    <w:qFormat/>
    <w:rPr>
      <w:rFonts w:ascii="Arial" w:hAnsi="Arial" w:eastAsia="Arial" w:cs="Arial"/>
      <w:b/>
      <w:bCs/>
      <w:i/>
      <w:iCs/>
      <w:sz w:val="22"/>
      <w:szCs w:val="22"/>
    </w:rPr>
  </w:style>
  <w:style w:type="character" w:styleId="719" w:customStyle="1">
    <w:name w:val="Heading 8 Char"/>
    <w:uiPriority w:val="9"/>
    <w:qFormat/>
    <w:rPr>
      <w:rFonts w:ascii="Arial" w:hAnsi="Arial" w:eastAsia="Arial" w:cs="Arial"/>
      <w:i/>
      <w:iCs/>
      <w:sz w:val="22"/>
      <w:szCs w:val="22"/>
    </w:rPr>
  </w:style>
  <w:style w:type="character" w:styleId="720" w:customStyle="1">
    <w:name w:val="Heading 9 Char"/>
    <w:uiPriority w:val="9"/>
    <w:qFormat/>
    <w:rPr>
      <w:rFonts w:ascii="Arial" w:hAnsi="Arial" w:eastAsia="Arial" w:cs="Arial"/>
      <w:i/>
      <w:iCs/>
      <w:sz w:val="21"/>
      <w:szCs w:val="21"/>
    </w:rPr>
  </w:style>
  <w:style w:type="paragraph" w:styleId="721">
    <w:name w:val="List Paragraph"/>
    <w:basedOn w:val="652"/>
    <w:uiPriority w:val="34"/>
    <w:qFormat/>
    <w:pPr>
      <w:contextualSpacing/>
      <w:ind w:left="720"/>
    </w:pPr>
  </w:style>
  <w:style w:type="paragraph" w:styleId="722">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23" w:customStyle="1">
    <w:name w:val="标题 字符"/>
    <w:link w:val="698"/>
    <w:uiPriority w:val="10"/>
    <w:qFormat/>
    <w:rPr>
      <w:sz w:val="48"/>
      <w:szCs w:val="48"/>
    </w:rPr>
  </w:style>
  <w:style w:type="character" w:styleId="724" w:customStyle="1">
    <w:name w:val="副标题 字符"/>
    <w:link w:val="687"/>
    <w:uiPriority w:val="11"/>
    <w:qFormat/>
    <w:rPr>
      <w:sz w:val="24"/>
      <w:szCs w:val="24"/>
    </w:rPr>
  </w:style>
  <w:style w:type="paragraph" w:styleId="725">
    <w:name w:val="Quote"/>
    <w:basedOn w:val="652"/>
    <w:next w:val="652"/>
    <w:link w:val="726"/>
    <w:uiPriority w:val="29"/>
    <w:qFormat/>
    <w:pPr>
      <w:ind w:left="720" w:right="720"/>
    </w:pPr>
    <w:rPr>
      <w:i/>
    </w:rPr>
  </w:style>
  <w:style w:type="character" w:styleId="726" w:customStyle="1">
    <w:name w:val="引用 字符"/>
    <w:link w:val="725"/>
    <w:uiPriority w:val="29"/>
    <w:qFormat/>
    <w:rPr>
      <w:i/>
    </w:rPr>
  </w:style>
  <w:style w:type="paragraph" w:styleId="727">
    <w:name w:val="Intense Quote"/>
    <w:basedOn w:val="652"/>
    <w:next w:val="652"/>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字符"/>
    <w:link w:val="727"/>
    <w:uiPriority w:val="30"/>
    <w:qFormat/>
    <w:rPr>
      <w:i/>
    </w:rPr>
  </w:style>
  <w:style w:type="character" w:styleId="729" w:customStyle="1">
    <w:name w:val="Header Char"/>
    <w:uiPriority w:val="99"/>
    <w:qFormat/>
  </w:style>
  <w:style w:type="character" w:styleId="730" w:customStyle="1">
    <w:name w:val="Footer Char"/>
    <w:uiPriority w:val="99"/>
    <w:qFormat/>
  </w:style>
  <w:style w:type="character" w:styleId="731" w:customStyle="1">
    <w:name w:val="Caption Char"/>
    <w:uiPriority w:val="99"/>
    <w:qFormat/>
  </w:style>
  <w:style w:type="table" w:styleId="7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5" w:customStyle="1">
    <w:name w:val="无格式表格 31"/>
    <w:uiPriority w:val="99"/>
    <w:qFormat/>
    <w:tblPr>
      <w:tblCellMar>
        <w:left w:w="0" w:type="dxa"/>
        <w:top w:w="0" w:type="dxa"/>
        <w:right w:w="0" w:type="dxa"/>
        <w:bottom w:w="0" w:type="dxa"/>
      </w:tblCellMar>
    </w:tblPr>
  </w:style>
  <w:style w:type="table" w:styleId="736" w:customStyle="1">
    <w:name w:val="无格式表格 41"/>
    <w:uiPriority w:val="99"/>
    <w:qFormat/>
    <w:tblPr>
      <w:tblCellMar>
        <w:left w:w="0" w:type="dxa"/>
        <w:top w:w="0" w:type="dxa"/>
        <w:right w:w="0" w:type="dxa"/>
        <w:bottom w:w="0" w:type="dxa"/>
      </w:tblCellMar>
    </w:tblPr>
  </w:style>
  <w:style w:type="table" w:styleId="737" w:customStyle="1">
    <w:name w:val="无格式表格 51"/>
    <w:uiPriority w:val="99"/>
    <w:qFormat/>
    <w:tblPr>
      <w:tblCellMar>
        <w:left w:w="0" w:type="dxa"/>
        <w:top w:w="0" w:type="dxa"/>
        <w:right w:w="0" w:type="dxa"/>
        <w:bottom w:w="0" w:type="dxa"/>
      </w:tblCellMar>
    </w:tblPr>
  </w:style>
  <w:style w:type="table" w:styleId="73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4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4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6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6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7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7" w:customStyle="1">
    <w:name w:val="清单表 1 浅色1"/>
    <w:uiPriority w:val="99"/>
    <w:qFormat/>
    <w:tblPr>
      <w:tblCellMar>
        <w:left w:w="0" w:type="dxa"/>
        <w:top w:w="0" w:type="dxa"/>
        <w:right w:w="0" w:type="dxa"/>
        <w:bottom w:w="0" w:type="dxa"/>
      </w:tblCellMar>
    </w:tblPr>
  </w:style>
  <w:style w:type="table" w:styleId="788" w:customStyle="1">
    <w:name w:val="List Table 1 Light - Accent 1"/>
    <w:uiPriority w:val="99"/>
    <w:qFormat/>
    <w:tblPr>
      <w:tblCellMar>
        <w:left w:w="0" w:type="dxa"/>
        <w:top w:w="0" w:type="dxa"/>
        <w:right w:w="0" w:type="dxa"/>
        <w:bottom w:w="0" w:type="dxa"/>
      </w:tblCellMar>
    </w:tblPr>
  </w:style>
  <w:style w:type="table" w:styleId="789" w:customStyle="1">
    <w:name w:val="List Table 1 Light - Accent 2"/>
    <w:uiPriority w:val="99"/>
    <w:qFormat/>
    <w:tblPr>
      <w:tblCellMar>
        <w:left w:w="0" w:type="dxa"/>
        <w:top w:w="0" w:type="dxa"/>
        <w:right w:w="0" w:type="dxa"/>
        <w:bottom w:w="0" w:type="dxa"/>
      </w:tblCellMar>
    </w:tblPr>
  </w:style>
  <w:style w:type="table" w:styleId="790" w:customStyle="1">
    <w:name w:val="List Table 1 Light - Accent 3"/>
    <w:uiPriority w:val="99"/>
    <w:qFormat/>
    <w:tblPr>
      <w:tblCellMar>
        <w:left w:w="0" w:type="dxa"/>
        <w:top w:w="0" w:type="dxa"/>
        <w:right w:w="0" w:type="dxa"/>
        <w:bottom w:w="0" w:type="dxa"/>
      </w:tblCellMar>
    </w:tblPr>
  </w:style>
  <w:style w:type="table" w:styleId="791" w:customStyle="1">
    <w:name w:val="List Table 1 Light - Accent 4"/>
    <w:uiPriority w:val="99"/>
    <w:qFormat/>
    <w:tblPr>
      <w:tblCellMar>
        <w:left w:w="0" w:type="dxa"/>
        <w:top w:w="0" w:type="dxa"/>
        <w:right w:w="0" w:type="dxa"/>
        <w:bottom w:w="0" w:type="dxa"/>
      </w:tblCellMar>
    </w:tblPr>
  </w:style>
  <w:style w:type="table" w:styleId="792" w:customStyle="1">
    <w:name w:val="List Table 1 Light - Accent 5"/>
    <w:uiPriority w:val="99"/>
    <w:qFormat/>
    <w:tblPr>
      <w:tblCellMar>
        <w:left w:w="0" w:type="dxa"/>
        <w:top w:w="0" w:type="dxa"/>
        <w:right w:w="0" w:type="dxa"/>
        <w:bottom w:w="0" w:type="dxa"/>
      </w:tblCellMar>
    </w:tblPr>
  </w:style>
  <w:style w:type="table" w:styleId="793" w:customStyle="1">
    <w:name w:val="List Table 1 Light - Accent 6"/>
    <w:uiPriority w:val="99"/>
    <w:qFormat/>
    <w:tblPr>
      <w:tblCellMar>
        <w:left w:w="0" w:type="dxa"/>
        <w:top w:w="0" w:type="dxa"/>
        <w:right w:w="0" w:type="dxa"/>
        <w:bottom w:w="0" w:type="dxa"/>
      </w:tblCellMar>
    </w:tblPr>
  </w:style>
  <w:style w:type="table" w:styleId="79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0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2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2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36" w:customStyle="1">
    <w:name w:val="Lined - Accent"/>
    <w:uiPriority w:val="99"/>
    <w:qFormat/>
    <w:rPr>
      <w:color w:val="404040"/>
    </w:rPr>
    <w:tblPr>
      <w:tblCellMar>
        <w:left w:w="0" w:type="dxa"/>
        <w:top w:w="0" w:type="dxa"/>
        <w:right w:w="0" w:type="dxa"/>
        <w:bottom w:w="0" w:type="dxa"/>
      </w:tblCellMar>
    </w:tblPr>
  </w:style>
  <w:style w:type="table" w:styleId="837" w:customStyle="1">
    <w:name w:val="Lined - Accent 1"/>
    <w:uiPriority w:val="99"/>
    <w:qFormat/>
    <w:rPr>
      <w:color w:val="404040"/>
    </w:rPr>
    <w:tblPr>
      <w:tblCellMar>
        <w:left w:w="0" w:type="dxa"/>
        <w:top w:w="0" w:type="dxa"/>
        <w:right w:w="0" w:type="dxa"/>
        <w:bottom w:w="0" w:type="dxa"/>
      </w:tblCellMar>
    </w:tblPr>
  </w:style>
  <w:style w:type="table" w:styleId="838" w:customStyle="1">
    <w:name w:val="Lined - Accent 2"/>
    <w:uiPriority w:val="99"/>
    <w:qFormat/>
    <w:rPr>
      <w:color w:val="404040"/>
    </w:rPr>
    <w:tblPr>
      <w:tblCellMar>
        <w:left w:w="0" w:type="dxa"/>
        <w:top w:w="0" w:type="dxa"/>
        <w:right w:w="0" w:type="dxa"/>
        <w:bottom w:w="0" w:type="dxa"/>
      </w:tblCellMar>
    </w:tblPr>
  </w:style>
  <w:style w:type="table" w:styleId="839" w:customStyle="1">
    <w:name w:val="Lined - Accent 3"/>
    <w:uiPriority w:val="99"/>
    <w:qFormat/>
    <w:rPr>
      <w:color w:val="404040"/>
    </w:rPr>
    <w:tblPr>
      <w:tblCellMar>
        <w:left w:w="0" w:type="dxa"/>
        <w:top w:w="0" w:type="dxa"/>
        <w:right w:w="0" w:type="dxa"/>
        <w:bottom w:w="0" w:type="dxa"/>
      </w:tblCellMar>
    </w:tblPr>
  </w:style>
  <w:style w:type="table" w:styleId="840" w:customStyle="1">
    <w:name w:val="Lined - Accent 4"/>
    <w:uiPriority w:val="99"/>
    <w:qFormat/>
    <w:rPr>
      <w:color w:val="404040"/>
    </w:rPr>
    <w:tblPr>
      <w:tblCellMar>
        <w:left w:w="0" w:type="dxa"/>
        <w:top w:w="0" w:type="dxa"/>
        <w:right w:w="0" w:type="dxa"/>
        <w:bottom w:w="0" w:type="dxa"/>
      </w:tblCellMar>
    </w:tblPr>
  </w:style>
  <w:style w:type="table" w:styleId="841" w:customStyle="1">
    <w:name w:val="Lined - Accent 5"/>
    <w:uiPriority w:val="99"/>
    <w:qFormat/>
    <w:rPr>
      <w:color w:val="404040"/>
    </w:rPr>
    <w:tblPr>
      <w:tblCellMar>
        <w:left w:w="0" w:type="dxa"/>
        <w:top w:w="0" w:type="dxa"/>
        <w:right w:w="0" w:type="dxa"/>
        <w:bottom w:w="0" w:type="dxa"/>
      </w:tblCellMar>
    </w:tblPr>
  </w:style>
  <w:style w:type="table" w:styleId="842" w:customStyle="1">
    <w:name w:val="Lined - Accent 6"/>
    <w:uiPriority w:val="99"/>
    <w:qFormat/>
    <w:rPr>
      <w:color w:val="404040"/>
    </w:rPr>
    <w:tblPr>
      <w:tblCellMar>
        <w:left w:w="0" w:type="dxa"/>
        <w:top w:w="0" w:type="dxa"/>
        <w:right w:w="0" w:type="dxa"/>
        <w:bottom w:w="0" w:type="dxa"/>
      </w:tblCellMar>
    </w:tblPr>
  </w:style>
  <w:style w:type="table" w:styleId="8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7" w:customStyle="1">
    <w:name w:val="脚注文本 字符"/>
    <w:link w:val="689"/>
    <w:uiPriority w:val="99"/>
    <w:qFormat/>
    <w:rPr>
      <w:sz w:val="18"/>
    </w:rPr>
  </w:style>
  <w:style w:type="character" w:styleId="858" w:customStyle="1">
    <w:name w:val="尾注文本 字符"/>
    <w:link w:val="681"/>
    <w:uiPriority w:val="99"/>
    <w:qFormat/>
    <w:rPr>
      <w:sz w:val="20"/>
    </w:rPr>
  </w:style>
  <w:style w:type="paragraph" w:styleId="859" w:customStyle="1">
    <w:name w:val="TOC 标题1"/>
    <w:uiPriority w:val="39"/>
    <w:unhideWhenUsed/>
    <w:qFormat/>
    <w:rPr>
      <w:rFonts w:ascii="Times New Roman" w:hAnsi="Times New Roman" w:eastAsia="宋体" w:cs="Times New Roman"/>
      <w:lang w:val="en-US" w:eastAsia="zh-CN" w:bidi="ar-SA"/>
    </w:rPr>
  </w:style>
  <w:style w:type="character" w:styleId="860" w:customStyle="1">
    <w:name w:val="正文文本缩进 字符"/>
    <w:link w:val="672"/>
    <w:uiPriority w:val="99"/>
    <w:qFormat/>
  </w:style>
  <w:style w:type="character" w:styleId="861" w:customStyle="1">
    <w:name w:val="正文首行缩进 2 字符"/>
    <w:link w:val="711"/>
    <w:uiPriority w:val="99"/>
    <w:qFormat/>
    <w:rPr>
      <w:rFonts w:ascii="宋体" w:hAnsi="宋体" w:eastAsia="宋体" w:cs="Times New Roman"/>
      <w:szCs w:val="20"/>
    </w:rPr>
  </w:style>
  <w:style w:type="character" w:styleId="862" w:customStyle="1">
    <w:name w:val="标题 1 字符"/>
    <w:link w:val="653"/>
    <w:uiPriority w:val="0"/>
    <w:qFormat/>
    <w:rPr>
      <w:rFonts w:ascii="楷体_GB2312" w:hAnsi="Times New Roman" w:eastAsia="楷体_GB2312" w:cs="Times New Roman"/>
      <w:sz w:val="28"/>
      <w:szCs w:val="28"/>
    </w:rPr>
  </w:style>
  <w:style w:type="character" w:styleId="863" w:customStyle="1">
    <w:name w:val="标题 2 字符"/>
    <w:link w:val="654"/>
    <w:uiPriority w:val="0"/>
    <w:qFormat/>
    <w:rPr>
      <w:rFonts w:ascii="Arial" w:hAnsi="Arial" w:eastAsia="幼圆" w:cs="Arial"/>
      <w:b/>
      <w:bCs/>
      <w:sz w:val="44"/>
      <w:szCs w:val="44"/>
    </w:rPr>
  </w:style>
  <w:style w:type="character" w:styleId="864" w:customStyle="1">
    <w:name w:val="正文缩进 字符"/>
    <w:link w:val="664"/>
    <w:uiPriority w:val="0"/>
    <w:qFormat/>
    <w:rPr>
      <w:szCs w:val="21"/>
    </w:rPr>
  </w:style>
  <w:style w:type="character" w:styleId="865" w:customStyle="1">
    <w:name w:val="标题 3 字符"/>
    <w:link w:val="655"/>
    <w:uiPriority w:val="0"/>
    <w:qFormat/>
    <w:rPr>
      <w:rFonts w:ascii="Times New Roman" w:hAnsi="Times New Roman" w:eastAsia="宋体" w:cs="Times New Roman"/>
      <w:b/>
      <w:bCs/>
      <w:sz w:val="32"/>
      <w:szCs w:val="32"/>
    </w:rPr>
  </w:style>
  <w:style w:type="character" w:styleId="866" w:customStyle="1">
    <w:name w:val="标题 4 字符"/>
    <w:link w:val="656"/>
    <w:uiPriority w:val="0"/>
    <w:qFormat/>
    <w:rPr>
      <w:rFonts w:ascii="Arial" w:hAnsi="Arial" w:eastAsia="黑体" w:cs="Arial"/>
      <w:b/>
      <w:bCs/>
      <w:sz w:val="28"/>
      <w:szCs w:val="28"/>
    </w:rPr>
  </w:style>
  <w:style w:type="character" w:styleId="867" w:customStyle="1">
    <w:name w:val="标题 5 字符"/>
    <w:link w:val="657"/>
    <w:uiPriority w:val="0"/>
    <w:qFormat/>
    <w:rPr>
      <w:rFonts w:ascii="宋体" w:hAnsi="Times New Roman" w:eastAsia="宋体" w:cs="Times New Roman"/>
      <w:color w:val="000000"/>
      <w:sz w:val="28"/>
      <w:szCs w:val="28"/>
    </w:rPr>
  </w:style>
  <w:style w:type="character" w:styleId="868" w:customStyle="1">
    <w:name w:val="标题 6 字符"/>
    <w:link w:val="658"/>
    <w:uiPriority w:val="0"/>
    <w:qFormat/>
    <w:rPr>
      <w:rFonts w:ascii="Arial" w:hAnsi="Arial" w:eastAsia="黑体" w:cs="Times New Roman"/>
      <w:b/>
      <w:bCs/>
      <w:sz w:val="24"/>
      <w:szCs w:val="24"/>
    </w:rPr>
  </w:style>
  <w:style w:type="character" w:styleId="869" w:customStyle="1">
    <w:name w:val="标题 7 字符"/>
    <w:link w:val="659"/>
    <w:uiPriority w:val="99"/>
    <w:qFormat/>
    <w:rPr>
      <w:rFonts w:ascii="Times New Roman" w:hAnsi="Times New Roman" w:eastAsia="宋体" w:cs="Times New Roman"/>
      <w:b/>
      <w:bCs/>
      <w:sz w:val="24"/>
      <w:szCs w:val="24"/>
    </w:rPr>
  </w:style>
  <w:style w:type="character" w:styleId="870" w:customStyle="1">
    <w:name w:val="标题 8 字符"/>
    <w:link w:val="660"/>
    <w:uiPriority w:val="99"/>
    <w:qFormat/>
    <w:rPr>
      <w:rFonts w:ascii="Arial" w:hAnsi="Arial" w:eastAsia="黑体" w:cs="Times New Roman"/>
      <w:sz w:val="24"/>
      <w:szCs w:val="24"/>
    </w:rPr>
  </w:style>
  <w:style w:type="character" w:styleId="871" w:customStyle="1">
    <w:name w:val="标题 9 字符"/>
    <w:link w:val="661"/>
    <w:uiPriority w:val="99"/>
    <w:qFormat/>
    <w:rPr>
      <w:rFonts w:ascii="Arial" w:hAnsi="Arial" w:eastAsia="黑体" w:cs="Times New Roman"/>
      <w:szCs w:val="21"/>
    </w:rPr>
  </w:style>
  <w:style w:type="paragraph" w:styleId="872" w:customStyle="1">
    <w:name w:val="目录 71"/>
    <w:basedOn w:val="652"/>
    <w:next w:val="652"/>
    <w:uiPriority w:val="99"/>
    <w:semiHidden/>
    <w:qFormat/>
    <w:pPr>
      <w:ind w:left="1260"/>
      <w:jc w:val="left"/>
    </w:pPr>
    <w:rPr>
      <w:szCs w:val="21"/>
    </w:rPr>
  </w:style>
  <w:style w:type="character" w:styleId="873" w:customStyle="1">
    <w:name w:val="文档结构图 字符"/>
    <w:link w:val="668"/>
    <w:uiPriority w:val="99"/>
    <w:semiHidden/>
    <w:qFormat/>
    <w:rPr>
      <w:rFonts w:ascii="Times New Roman" w:hAnsi="Times New Roman" w:eastAsia="宋体" w:cs="Times New Roman"/>
      <w:szCs w:val="21"/>
      <w:shd w:val="clear" w:color="auto" w:fill="000080"/>
    </w:rPr>
  </w:style>
  <w:style w:type="character" w:styleId="874" w:customStyle="1">
    <w:name w:val="批注文字 字符"/>
    <w:link w:val="669"/>
    <w:uiPriority w:val="99"/>
    <w:qFormat/>
  </w:style>
  <w:style w:type="character" w:styleId="875" w:customStyle="1">
    <w:name w:val="正文文本 3 字符"/>
    <w:link w:val="670"/>
    <w:uiPriority w:val="99"/>
    <w:qFormat/>
    <w:rPr>
      <w:rFonts w:ascii="仿宋_GB2312" w:hAnsi="Arial" w:eastAsia="仿宋_GB2312" w:cs="Times New Roman"/>
      <w:sz w:val="32"/>
      <w:szCs w:val="32"/>
    </w:rPr>
  </w:style>
  <w:style w:type="character" w:styleId="876" w:customStyle="1">
    <w:name w:val="正文文本 字符"/>
    <w:link w:val="671"/>
    <w:uiPriority w:val="99"/>
    <w:qFormat/>
    <w:rPr>
      <w:rFonts w:ascii="楷体_GB2312" w:hAnsi="Arial" w:eastAsia="楷体_GB2312" w:cs="Times New Roman"/>
      <w:sz w:val="28"/>
      <w:szCs w:val="28"/>
    </w:rPr>
  </w:style>
  <w:style w:type="paragraph" w:styleId="877" w:customStyle="1">
    <w:name w:val="目录 51"/>
    <w:basedOn w:val="652"/>
    <w:next w:val="652"/>
    <w:uiPriority w:val="99"/>
    <w:semiHidden/>
    <w:qFormat/>
    <w:pPr>
      <w:ind w:left="840"/>
      <w:jc w:val="left"/>
    </w:pPr>
    <w:rPr>
      <w:szCs w:val="21"/>
    </w:rPr>
  </w:style>
  <w:style w:type="paragraph" w:styleId="878" w:customStyle="1">
    <w:name w:val="目录 31"/>
    <w:basedOn w:val="652"/>
    <w:next w:val="652"/>
    <w:uiPriority w:val="99"/>
    <w:semiHidden/>
    <w:qFormat/>
    <w:pPr>
      <w:ind w:left="420"/>
      <w:jc w:val="left"/>
    </w:pPr>
    <w:rPr>
      <w:i/>
      <w:iCs/>
      <w:szCs w:val="24"/>
    </w:rPr>
  </w:style>
  <w:style w:type="character" w:styleId="879" w:customStyle="1">
    <w:name w:val="纯文本 字符"/>
    <w:link w:val="677"/>
    <w:uiPriority w:val="99"/>
    <w:qFormat/>
    <w:rPr>
      <w:rFonts w:ascii="宋体" w:hAnsi="Courier New" w:eastAsia="宋体" w:cs="Courier New"/>
      <w:szCs w:val="21"/>
    </w:rPr>
  </w:style>
  <w:style w:type="paragraph" w:styleId="880" w:customStyle="1">
    <w:name w:val="目录 81"/>
    <w:basedOn w:val="652"/>
    <w:next w:val="652"/>
    <w:uiPriority w:val="99"/>
    <w:semiHidden/>
    <w:qFormat/>
    <w:pPr>
      <w:ind w:left="1470"/>
      <w:jc w:val="left"/>
    </w:pPr>
    <w:rPr>
      <w:szCs w:val="21"/>
    </w:rPr>
  </w:style>
  <w:style w:type="character" w:styleId="881" w:customStyle="1">
    <w:name w:val="日期 字符"/>
    <w:link w:val="679"/>
    <w:uiPriority w:val="99"/>
    <w:qFormat/>
    <w:rPr>
      <w:rFonts w:ascii="Times New Roman" w:hAnsi="Times New Roman" w:eastAsia="宋体" w:cs="Times New Roman"/>
      <w:sz w:val="24"/>
      <w:szCs w:val="24"/>
    </w:rPr>
  </w:style>
  <w:style w:type="character" w:styleId="882" w:customStyle="1">
    <w:name w:val="正文文本缩进 2 字符"/>
    <w:link w:val="680"/>
    <w:uiPriority w:val="99"/>
    <w:qFormat/>
    <w:rPr>
      <w:rFonts w:ascii="Arial" w:hAnsi="Arial" w:eastAsia="仿宋_GB2312" w:cs="Arial"/>
      <w:sz w:val="32"/>
      <w:szCs w:val="32"/>
    </w:rPr>
  </w:style>
  <w:style w:type="character" w:styleId="883" w:customStyle="1">
    <w:name w:val="批注框文本 字符"/>
    <w:link w:val="682"/>
    <w:uiPriority w:val="99"/>
    <w:semiHidden/>
    <w:qFormat/>
    <w:rPr>
      <w:rFonts w:ascii="Times New Roman" w:hAnsi="Times New Roman" w:eastAsia="宋体" w:cs="Times New Roman"/>
      <w:sz w:val="18"/>
      <w:szCs w:val="18"/>
    </w:rPr>
  </w:style>
  <w:style w:type="character" w:styleId="884" w:customStyle="1">
    <w:name w:val="页脚 字符"/>
    <w:link w:val="683"/>
    <w:uiPriority w:val="99"/>
    <w:qFormat/>
    <w:rPr>
      <w:rFonts w:ascii="Times New Roman" w:hAnsi="Times New Roman" w:eastAsia="宋体" w:cs="Times New Roman"/>
      <w:sz w:val="18"/>
      <w:szCs w:val="18"/>
    </w:rPr>
  </w:style>
  <w:style w:type="character" w:styleId="885" w:customStyle="1">
    <w:name w:val="页眉 字符"/>
    <w:link w:val="684"/>
    <w:uiPriority w:val="99"/>
    <w:qFormat/>
    <w:rPr>
      <w:rFonts w:ascii="Times New Roman" w:hAnsi="Times New Roman" w:eastAsia="宋体" w:cs="Times New Roman"/>
      <w:sz w:val="18"/>
      <w:szCs w:val="18"/>
    </w:rPr>
  </w:style>
  <w:style w:type="paragraph" w:styleId="886" w:customStyle="1">
    <w:name w:val="目录 11"/>
    <w:basedOn w:val="652"/>
    <w:next w:val="652"/>
    <w:uiPriority w:val="99"/>
    <w:semiHidden/>
    <w:qFormat/>
    <w:pPr>
      <w:jc w:val="left"/>
      <w:spacing w:before="120" w:after="120" w:line="400" w:lineRule="exact"/>
      <w:tabs>
        <w:tab w:val="right" w:pos="8720" w:leader="dot"/>
      </w:tabs>
    </w:pPr>
    <w:rPr>
      <w:rFonts w:ascii="宋体" w:hAnsi="宋体"/>
      <w:caps/>
      <w:sz w:val="24"/>
      <w:szCs w:val="24"/>
    </w:rPr>
  </w:style>
  <w:style w:type="paragraph" w:styleId="887" w:customStyle="1">
    <w:name w:val="目录 41"/>
    <w:basedOn w:val="652"/>
    <w:next w:val="652"/>
    <w:uiPriority w:val="99"/>
    <w:semiHidden/>
    <w:qFormat/>
    <w:pPr>
      <w:ind w:left="630"/>
      <w:jc w:val="left"/>
    </w:pPr>
    <w:rPr>
      <w:szCs w:val="21"/>
    </w:rPr>
  </w:style>
  <w:style w:type="paragraph" w:styleId="888" w:customStyle="1">
    <w:name w:val="目录 61"/>
    <w:basedOn w:val="652"/>
    <w:next w:val="652"/>
    <w:uiPriority w:val="99"/>
    <w:semiHidden/>
    <w:qFormat/>
    <w:pPr>
      <w:ind w:left="1050"/>
      <w:jc w:val="left"/>
    </w:pPr>
    <w:rPr>
      <w:szCs w:val="21"/>
    </w:rPr>
  </w:style>
  <w:style w:type="character" w:styleId="889" w:customStyle="1">
    <w:name w:val="正文文本缩进 3 字符"/>
    <w:link w:val="691"/>
    <w:uiPriority w:val="99"/>
    <w:qFormat/>
    <w:rPr>
      <w:rFonts w:ascii="Arial" w:hAnsi="Arial" w:eastAsia="仿宋_GB2312" w:cs="Arial"/>
      <w:color w:val="ffff00"/>
      <w:sz w:val="32"/>
      <w:szCs w:val="32"/>
    </w:rPr>
  </w:style>
  <w:style w:type="paragraph" w:styleId="890" w:customStyle="1">
    <w:name w:val="目录 21"/>
    <w:basedOn w:val="652"/>
    <w:next w:val="652"/>
    <w:uiPriority w:val="99"/>
    <w:semiHidden/>
    <w:qFormat/>
    <w:pPr>
      <w:ind w:left="210"/>
      <w:jc w:val="left"/>
    </w:pPr>
    <w:rPr>
      <w:smallCaps/>
      <w:szCs w:val="24"/>
    </w:rPr>
  </w:style>
  <w:style w:type="paragraph" w:styleId="891" w:customStyle="1">
    <w:name w:val="目录 91"/>
    <w:basedOn w:val="652"/>
    <w:next w:val="652"/>
    <w:uiPriority w:val="99"/>
    <w:semiHidden/>
    <w:qFormat/>
    <w:pPr>
      <w:ind w:left="1680"/>
      <w:jc w:val="left"/>
    </w:pPr>
    <w:rPr>
      <w:szCs w:val="21"/>
    </w:rPr>
  </w:style>
  <w:style w:type="character" w:styleId="892" w:customStyle="1">
    <w:name w:val="正文文本 2 字符"/>
    <w:link w:val="695"/>
    <w:uiPriority w:val="99"/>
    <w:qFormat/>
    <w:rPr>
      <w:rFonts w:ascii="楷体_GB2312" w:hAnsi="Times New Roman" w:eastAsia="楷体_GB2312" w:cs="Times New Roman"/>
      <w:sz w:val="28"/>
      <w:szCs w:val="28"/>
    </w:rPr>
  </w:style>
  <w:style w:type="character" w:styleId="893" w:customStyle="1">
    <w:name w:val="批注主题 字符"/>
    <w:link w:val="699"/>
    <w:uiPriority w:val="99"/>
    <w:semiHidden/>
    <w:qFormat/>
    <w:rPr>
      <w:rFonts w:ascii="Times New Roman" w:hAnsi="Times New Roman" w:eastAsia="宋体" w:cs="Times New Roman"/>
      <w:b/>
      <w:bCs/>
      <w:szCs w:val="21"/>
    </w:rPr>
  </w:style>
  <w:style w:type="paragraph" w:styleId="894" w:customStyle="1">
    <w:name w:val="正文首行缩进1"/>
    <w:basedOn w:val="652"/>
    <w:link w:val="895"/>
    <w:uiPriority w:val="99"/>
    <w:qFormat/>
    <w:pPr>
      <w:ind w:firstLine="200"/>
      <w:spacing w:line="360" w:lineRule="auto"/>
    </w:pPr>
    <w:rPr>
      <w:rFonts w:ascii="仿宋_GB2312" w:eastAsia="仿宋_GB2312"/>
      <w:sz w:val="30"/>
      <w:szCs w:val="30"/>
    </w:rPr>
  </w:style>
  <w:style w:type="character" w:styleId="895" w:customStyle="1">
    <w:name w:val="正文首行缩进 字符"/>
    <w:link w:val="894"/>
    <w:uiPriority w:val="99"/>
    <w:qFormat/>
    <w:rPr>
      <w:rFonts w:ascii="仿宋_GB2312" w:hAnsi="Times New Roman" w:eastAsia="仿宋_GB2312" w:cs="Times New Roman"/>
      <w:sz w:val="30"/>
      <w:szCs w:val="30"/>
    </w:rPr>
  </w:style>
  <w:style w:type="paragraph" w:styleId="896" w:customStyle="1">
    <w:name w:val="索引 41"/>
    <w:basedOn w:val="652"/>
    <w:next w:val="652"/>
    <w:uiPriority w:val="99"/>
    <w:semiHidden/>
    <w:qFormat/>
    <w:pPr>
      <w:ind w:left="1260"/>
    </w:pPr>
    <w:rPr>
      <w:rFonts w:ascii="Calibri" w:hAnsi="Calibri" w:eastAsia="Calibri" w:cs="宋体"/>
      <w:sz w:val="20"/>
      <w:lang w:val="zh-CN"/>
    </w:rPr>
  </w:style>
  <w:style w:type="character" w:styleId="897" w:customStyle="1">
    <w:name w:val="font5 Char"/>
    <w:uiPriority w:val="0"/>
    <w:qFormat/>
    <w:rPr>
      <w:rFonts w:ascii="宋体" w:hAnsi="宋体" w:eastAsia="宋体"/>
      <w:sz w:val="28"/>
      <w:szCs w:val="28"/>
      <w:lang w:val="en-US" w:eastAsia="zh-CN" w:bidi="ar-SA"/>
    </w:rPr>
  </w:style>
  <w:style w:type="character" w:styleId="898" w:customStyle="1">
    <w:name w:val="二级目录 Char"/>
    <w:link w:val="899"/>
    <w:uiPriority w:val="0"/>
    <w:qFormat/>
    <w:rPr>
      <w:b/>
      <w:sz w:val="30"/>
      <w:szCs w:val="28"/>
    </w:rPr>
  </w:style>
  <w:style w:type="paragraph" w:styleId="899" w:customStyle="1">
    <w:name w:val="二级目录"/>
    <w:next w:val="652"/>
    <w:link w:val="898"/>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00" w:customStyle="1">
    <w:name w:val="列出段落 Char"/>
    <w:link w:val="901"/>
    <w:uiPriority w:val="0"/>
    <w:qFormat/>
    <w:rPr>
      <w:rFonts w:ascii="Calibri" w:hAnsi="Calibri"/>
      <w:sz w:val="24"/>
      <w:szCs w:val="24"/>
      <w:lang w:eastAsia="en-US" w:bidi="en-US"/>
    </w:rPr>
  </w:style>
  <w:style w:type="paragraph" w:styleId="901" w:customStyle="1">
    <w:name w:val="列出段落1"/>
    <w:basedOn w:val="652"/>
    <w:link w:val="900"/>
    <w:uiPriority w:val="0"/>
    <w:qFormat/>
    <w:pPr>
      <w:contextualSpacing/>
      <w:ind w:left="720"/>
      <w:jc w:val="left"/>
      <w:widowControl/>
    </w:pPr>
    <w:rPr>
      <w:rFonts w:ascii="Calibri" w:hAnsi="Calibri"/>
      <w:sz w:val="24"/>
      <w:szCs w:val="24"/>
      <w:lang w:eastAsia="en-US" w:bidi="en-US"/>
    </w:rPr>
  </w:style>
  <w:style w:type="paragraph" w:styleId="902" w:customStyle="1">
    <w:name w:val="Body Text(ch)"/>
    <w:basedOn w:val="652"/>
    <w:next w:val="671"/>
    <w:uiPriority w:val="99"/>
    <w:qFormat/>
    <w:pPr>
      <w:spacing w:after="120"/>
    </w:pPr>
    <w:rPr>
      <w:rFonts w:ascii="宋体" w:hAnsi="Arial"/>
      <w:bCs/>
      <w:iCs/>
      <w:szCs w:val="24"/>
    </w:rPr>
  </w:style>
  <w:style w:type="paragraph" w:styleId="903" w:customStyle="1">
    <w:name w:val="xl27"/>
    <w:basedOn w:val="65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4" w:customStyle="1">
    <w:name w:val="xl26"/>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5" w:customStyle="1">
    <w:name w:val="Char"/>
    <w:basedOn w:val="652"/>
    <w:uiPriority w:val="99"/>
    <w:qFormat/>
    <w:pPr>
      <w:ind w:firstLine="200"/>
      <w:tabs>
        <w:tab w:val="left" w:pos="360" w:leader="none"/>
      </w:tabs>
    </w:pPr>
    <w:rPr>
      <w:sz w:val="28"/>
      <w:szCs w:val="30"/>
    </w:rPr>
  </w:style>
  <w:style w:type="paragraph" w:styleId="906" w:customStyle="1">
    <w:name w:val="Char1"/>
    <w:basedOn w:val="668"/>
    <w:uiPriority w:val="99"/>
    <w:qFormat/>
    <w:rPr>
      <w:rFonts w:ascii="Tahoma" w:hAnsi="Tahoma"/>
      <w:sz w:val="24"/>
      <w:szCs w:val="24"/>
    </w:rPr>
  </w:style>
  <w:style w:type="paragraph" w:styleId="907" w:customStyle="1">
    <w:name w:val="普通正文"/>
    <w:basedOn w:val="652"/>
    <w:uiPriority w:val="99"/>
    <w:qFormat/>
    <w:pPr>
      <w:ind w:firstLine="480"/>
      <w:jc w:val="left"/>
      <w:spacing w:before="120" w:after="120" w:line="360" w:lineRule="auto"/>
    </w:pPr>
    <w:rPr>
      <w:rFonts w:ascii="Arial" w:hAnsi="Arial"/>
      <w:sz w:val="24"/>
      <w:szCs w:val="24"/>
    </w:rPr>
  </w:style>
  <w:style w:type="paragraph" w:styleId="908" w:customStyle="1">
    <w:name w:val="table_lines"/>
    <w:basedOn w:val="652"/>
    <w:uiPriority w:val="99"/>
    <w:qFormat/>
    <w:pPr>
      <w:jc w:val="left"/>
      <w:widowControl/>
    </w:pPr>
    <w:rPr>
      <w:sz w:val="20"/>
      <w:szCs w:val="20"/>
      <w:lang w:val="de-DE" w:eastAsia="de-DE"/>
    </w:rPr>
  </w:style>
  <w:style w:type="paragraph" w:styleId="909" w:customStyle="1">
    <w:name w:val="附录1"/>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10" w:customStyle="1">
    <w:name w:val="font7"/>
    <w:basedOn w:val="652"/>
    <w:uiPriority w:val="99"/>
    <w:qFormat/>
    <w:pPr>
      <w:jc w:val="left"/>
      <w:spacing w:before="100" w:beforeAutospacing="1" w:after="100" w:afterAutospacing="1"/>
      <w:widowControl/>
    </w:pPr>
    <w:rPr>
      <w:rFonts w:hint="eastAsia" w:ascii="宋体" w:hAnsi="宋体"/>
      <w:sz w:val="18"/>
      <w:szCs w:val="18"/>
    </w:rPr>
  </w:style>
  <w:style w:type="paragraph" w:styleId="911" w:customStyle="1">
    <w:name w:val="Char Char Char Char"/>
    <w:basedOn w:val="668"/>
    <w:uiPriority w:val="99"/>
    <w:qFormat/>
    <w:pPr>
      <w:spacing w:line="360" w:lineRule="auto"/>
    </w:pPr>
    <w:rPr>
      <w:rFonts w:ascii="Tahoma" w:hAnsi="Tahoma"/>
      <w:sz w:val="24"/>
      <w:szCs w:val="24"/>
    </w:rPr>
  </w:style>
  <w:style w:type="paragraph" w:styleId="912" w:customStyle="1">
    <w:name w:val="列出段落"/>
    <w:basedOn w:val="652"/>
    <w:uiPriority w:val="99"/>
    <w:qFormat/>
    <w:pPr>
      <w:contextualSpacing/>
      <w:ind w:left="720"/>
      <w:jc w:val="left"/>
      <w:widowControl/>
    </w:pPr>
    <w:rPr>
      <w:rFonts w:ascii="Calibri" w:hAnsi="Calibri"/>
      <w:sz w:val="24"/>
      <w:szCs w:val="24"/>
      <w:lang w:eastAsia="en-US" w:bidi="en-US"/>
    </w:rPr>
  </w:style>
  <w:style w:type="paragraph" w:styleId="913" w:customStyle="1">
    <w:name w:val="4"/>
    <w:basedOn w:val="652"/>
    <w:next w:val="691"/>
    <w:uiPriority w:val="99"/>
    <w:qFormat/>
    <w:pPr>
      <w:ind w:firstLine="420"/>
      <w:spacing w:line="360" w:lineRule="auto"/>
    </w:pPr>
    <w:rPr>
      <w:color w:val="ff0000"/>
      <w:sz w:val="24"/>
      <w:szCs w:val="24"/>
    </w:rPr>
  </w:style>
  <w:style w:type="paragraph" w:styleId="914" w:customStyle="1">
    <w:name w:val="普通 (Web)"/>
    <w:basedOn w:val="652"/>
    <w:uiPriority w:val="99"/>
    <w:qFormat/>
    <w:pPr>
      <w:jc w:val="left"/>
      <w:spacing w:before="100" w:beforeAutospacing="1" w:after="100" w:afterAutospacing="1"/>
      <w:widowControl/>
    </w:pPr>
    <w:rPr>
      <w:rFonts w:ascii="宋体" w:hAnsi="宋体"/>
      <w:sz w:val="24"/>
      <w:szCs w:val="24"/>
    </w:rPr>
  </w:style>
  <w:style w:type="paragraph" w:styleId="915" w:customStyle="1">
    <w:name w:val="Char Char Char Char Char Char Char Char Char Char"/>
    <w:basedOn w:val="652"/>
    <w:uiPriority w:val="99"/>
    <w:qFormat/>
    <w:pPr>
      <w:spacing w:line="360" w:lineRule="auto"/>
    </w:pPr>
    <w:rPr>
      <w:sz w:val="24"/>
      <w:szCs w:val="20"/>
    </w:rPr>
  </w:style>
  <w:style w:type="paragraph" w:styleId="916" w:customStyle="1">
    <w:name w:val="样式1"/>
    <w:basedOn w:val="652"/>
    <w:uiPriority w:val="99"/>
    <w:qFormat/>
    <w:pPr>
      <w:numPr>
        <w:ilvl w:val="0"/>
        <w:numId w:val="3"/>
      </w:numPr>
    </w:pPr>
    <w:rPr>
      <w:rFonts w:ascii="宋体" w:hAnsi="宋体"/>
      <w:szCs w:val="21"/>
    </w:rPr>
  </w:style>
  <w:style w:type="paragraph" w:styleId="917" w:customStyle="1">
    <w:name w:val="font6"/>
    <w:basedOn w:val="652"/>
    <w:uiPriority w:val="99"/>
    <w:qFormat/>
    <w:pPr>
      <w:jc w:val="left"/>
      <w:spacing w:before="100" w:beforeAutospacing="1" w:after="100" w:afterAutospacing="1"/>
      <w:widowControl/>
    </w:pPr>
    <w:rPr>
      <w:rFonts w:hint="eastAsia" w:ascii="宋体" w:hAnsi="宋体"/>
      <w:sz w:val="28"/>
      <w:szCs w:val="28"/>
      <w:u w:val="single"/>
    </w:rPr>
  </w:style>
  <w:style w:type="paragraph" w:styleId="918" w:customStyle="1">
    <w:name w:val="xl25"/>
    <w:basedOn w:val="65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9" w:customStyle="1">
    <w:name w:val="图标"/>
    <w:basedOn w:val="652"/>
    <w:next w:val="652"/>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0" w:customStyle="1">
    <w:name w:val="标题3"/>
    <w:basedOn w:val="652"/>
    <w:next w:val="652"/>
    <w:uiPriority w:val="99"/>
    <w:qFormat/>
    <w:pPr>
      <w:ind w:firstLine="624"/>
      <w:spacing w:line="590" w:lineRule="atLeast"/>
    </w:pPr>
    <w:rPr>
      <w:rFonts w:ascii="方正黑体_GBK" w:eastAsia="方正黑体_GBK"/>
      <w:sz w:val="32"/>
      <w:szCs w:val="32"/>
    </w:rPr>
  </w:style>
  <w:style w:type="paragraph" w:styleId="921" w:customStyle="1">
    <w:name w:val="xl24"/>
    <w:basedOn w:val="65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2" w:customStyle="1">
    <w:name w:val="xl29"/>
    <w:basedOn w:val="65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23" w:customStyle="1">
    <w:name w:val="Char Char Char Char Char Char Char Char"/>
    <w:basedOn w:val="652"/>
    <w:uiPriority w:val="99"/>
    <w:qFormat/>
    <w:pPr>
      <w:jc w:val="left"/>
      <w:spacing w:after="160" w:line="240" w:lineRule="exact"/>
      <w:widowControl/>
    </w:pPr>
    <w:rPr>
      <w:rFonts w:ascii="Verdana" w:hAnsi="Verdana"/>
      <w:sz w:val="20"/>
      <w:szCs w:val="20"/>
      <w:lang w:eastAsia="en-US"/>
    </w:rPr>
  </w:style>
  <w:style w:type="paragraph" w:styleId="924" w:customStyle="1">
    <w:name w:val="xl28"/>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5" w:customStyle="1">
    <w:name w:val="Char Char Char Char Char Char Char Char1"/>
    <w:basedOn w:val="652"/>
    <w:uiPriority w:val="99"/>
    <w:qFormat/>
    <w:pPr>
      <w:jc w:val="left"/>
      <w:spacing w:after="160" w:line="240" w:lineRule="exact"/>
      <w:widowControl/>
    </w:pPr>
    <w:rPr>
      <w:rFonts w:ascii="Verdana" w:hAnsi="Verdana"/>
      <w:sz w:val="20"/>
      <w:szCs w:val="20"/>
      <w:lang w:eastAsia="en-US"/>
    </w:rPr>
  </w:style>
  <w:style w:type="paragraph" w:styleId="926" w:customStyle="1">
    <w:name w:val="xl30"/>
    <w:basedOn w:val="652"/>
    <w:uiPriority w:val="99"/>
    <w:qFormat/>
    <w:pPr>
      <w:jc w:val="center"/>
      <w:spacing w:before="100" w:beforeAutospacing="1" w:after="100" w:afterAutospacing="1"/>
      <w:widowControl/>
    </w:pPr>
    <w:rPr>
      <w:rFonts w:ascii="宋体" w:hAnsi="宋体"/>
      <w:b/>
      <w:bCs/>
      <w:sz w:val="36"/>
      <w:szCs w:val="36"/>
    </w:rPr>
  </w:style>
  <w:style w:type="paragraph" w:styleId="927" w:customStyle="1">
    <w:name w:val="Char Char Char Char1"/>
    <w:basedOn w:val="668"/>
    <w:uiPriority w:val="99"/>
    <w:qFormat/>
    <w:pPr>
      <w:spacing w:line="360" w:lineRule="auto"/>
    </w:pPr>
    <w:rPr>
      <w:rFonts w:ascii="Tahoma" w:hAnsi="Tahoma"/>
      <w:sz w:val="24"/>
      <w:szCs w:val="24"/>
    </w:rPr>
  </w:style>
  <w:style w:type="paragraph" w:styleId="928" w:customStyle="1">
    <w:name w:val="table_1stline"/>
    <w:basedOn w:val="652"/>
    <w:uiPriority w:val="99"/>
    <w:qFormat/>
    <w:pPr>
      <w:jc w:val="left"/>
      <w:spacing w:before="120"/>
      <w:widowControl/>
    </w:pPr>
    <w:rPr>
      <w:bCs/>
      <w:sz w:val="20"/>
      <w:szCs w:val="20"/>
      <w:lang w:val="de-DE" w:eastAsia="de-DE"/>
    </w:rPr>
  </w:style>
  <w:style w:type="paragraph" w:styleId="929" w:customStyle="1">
    <w:name w:val="font5"/>
    <w:basedOn w:val="652"/>
    <w:uiPriority w:val="99"/>
    <w:qFormat/>
    <w:pPr>
      <w:jc w:val="left"/>
      <w:spacing w:before="100" w:beforeAutospacing="1" w:after="100" w:afterAutospacing="1"/>
      <w:widowControl/>
    </w:pPr>
    <w:rPr>
      <w:rFonts w:hint="eastAsia" w:ascii="宋体" w:hAnsi="宋体"/>
      <w:sz w:val="28"/>
      <w:szCs w:val="28"/>
    </w:rPr>
  </w:style>
  <w:style w:type="paragraph" w:styleId="930" w:customStyle="1">
    <w:name w:val="标题1"/>
    <w:basedOn w:val="652"/>
    <w:next w:val="652"/>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31" w:customStyle="1">
    <w:name w:val="修订1"/>
    <w:uiPriority w:val="99"/>
    <w:semiHidden/>
    <w:qFormat/>
    <w:rPr>
      <w:rFonts w:ascii="Times New Roman" w:hAnsi="Times New Roman" w:eastAsia="宋体" w:cs="Times New Roman"/>
      <w:sz w:val="21"/>
      <w:szCs w:val="21"/>
      <w:lang w:val="en-US" w:eastAsia="zh-CN" w:bidi="ar-SA"/>
    </w:rPr>
  </w:style>
  <w:style w:type="table" w:styleId="932" w:customStyle="1">
    <w:name w:val="Table Normal"/>
    <w:uiPriority w:val="0"/>
    <w:qFormat/>
    <w:tblPr>
      <w:tblCellMar>
        <w:left w:w="0" w:type="dxa"/>
        <w:top w:w="0" w:type="dxa"/>
        <w:right w:w="0" w:type="dxa"/>
        <w:bottom w:w="0" w:type="dxa"/>
      </w:tblCellMar>
    </w:tblPr>
  </w:style>
  <w:style w:type="paragraph" w:styleId="933" w:customStyle="1">
    <w:name w:val="正文文本12"/>
    <w:basedOn w:val="652"/>
    <w:uiPriority w:val="1"/>
    <w:qFormat/>
    <w:pPr>
      <w:ind w:left="120"/>
    </w:pPr>
    <w:rPr>
      <w:rFonts w:ascii="宋体" w:hAnsi="宋体" w:cs="宋体"/>
      <w:szCs w:val="21"/>
      <w:lang w:val="zh-CN" w:bidi="zh-CN"/>
    </w:rPr>
  </w:style>
  <w:style w:type="paragraph" w:styleId="934" w:customStyle="1">
    <w:name w:val="正文文本 211"/>
    <w:basedOn w:val="652"/>
    <w:uiPriority w:val="99"/>
    <w:qFormat/>
    <w:pPr>
      <w:jc w:val="center"/>
    </w:pPr>
    <w:rPr>
      <w:b/>
      <w:bCs/>
      <w:sz w:val="20"/>
      <w:szCs w:val="20"/>
    </w:rPr>
  </w:style>
  <w:style w:type="paragraph" w:styleId="935" w:customStyle="1">
    <w:name w:val="正文文本1"/>
    <w:basedOn w:val="652"/>
    <w:next w:val="652"/>
    <w:uiPriority w:val="99"/>
    <w:semiHidden/>
    <w:qFormat/>
    <w:rPr>
      <w:rFonts w:ascii="Arial" w:hAnsi="Arial" w:eastAsia="Arial" w:cs="Arial"/>
      <w:szCs w:val="21"/>
      <w:lang w:eastAsia="en-US"/>
    </w:rPr>
  </w:style>
  <w:style w:type="paragraph" w:styleId="936" w:customStyle="1">
    <w:name w:val="Table Paragraph"/>
    <w:basedOn w:val="652"/>
    <w:uiPriority w:val="1"/>
    <w:qFormat/>
    <w:pPr>
      <w:jc w:val="left"/>
    </w:pPr>
    <w:rPr>
      <w:rFonts w:ascii="宋体" w:hAnsi="宋体" w:cs="宋体"/>
      <w:sz w:val="22"/>
      <w:lang w:val="zh-CN" w:bidi="zh-CN"/>
    </w:rPr>
  </w:style>
  <w:style w:type="table" w:styleId="937" w:customStyle="1">
    <w:name w:val="网格型1"/>
    <w:basedOn w:val="938"/>
    <w:uiPriority w:val="0"/>
    <w:qFormat/>
    <w:pPr>
      <w:jc w:val="both"/>
      <w:widowControl w:val="off"/>
    </w:pPr>
    <w:tblPr/>
  </w:style>
  <w:style w:type="table" w:styleId="938" w:customStyle="1">
    <w:name w:val="普通表格1"/>
    <w:uiPriority w:val="99"/>
    <w:unhideWhenUsed/>
    <w:qFormat/>
    <w:tblPr>
      <w:tblCellMar>
        <w:left w:w="0" w:type="dxa"/>
        <w:top w:w="0" w:type="dxa"/>
        <w:right w:w="0" w:type="dxa"/>
        <w:bottom w:w="0" w:type="dxa"/>
      </w:tblCellMar>
    </w:tblPr>
  </w:style>
  <w:style w:type="paragraph" w:styleId="939" w:customStyle="1">
    <w:name w:val="正文111"/>
    <w:next w:val="652"/>
    <w:uiPriority w:val="99"/>
    <w:qFormat/>
    <w:pPr>
      <w:jc w:val="both"/>
      <w:widowControl w:val="off"/>
    </w:pPr>
    <w:rPr>
      <w:rFonts w:ascii="Times New Roman" w:hAnsi="Times New Roman" w:eastAsia="宋体" w:cs="Times New Roman"/>
      <w:sz w:val="21"/>
      <w:szCs w:val="24"/>
      <w:lang w:val="en-US" w:eastAsia="zh-CN" w:bidi="ar-SA"/>
    </w:rPr>
  </w:style>
  <w:style w:type="paragraph" w:styleId="940" w:customStyle="1">
    <w:name w:val="marklang-paragraph"/>
    <w:basedOn w:val="652"/>
    <w:uiPriority w:val="99"/>
    <w:qFormat/>
    <w:pPr>
      <w:jc w:val="left"/>
      <w:spacing w:before="100" w:beforeAutospacing="1" w:after="100" w:afterAutospacing="1"/>
      <w:widowControl/>
    </w:pPr>
    <w:rPr>
      <w:rFonts w:ascii="宋体" w:hAnsi="宋体" w:cs="宋体"/>
      <w:sz w:val="24"/>
      <w:szCs w:val="24"/>
    </w:rPr>
  </w:style>
  <w:style w:type="character" w:styleId="941" w:customStyle="1">
    <w:name w:val="cosd-citation-citationid"/>
    <w:uiPriority w:val="0"/>
    <w:qFormat/>
  </w:style>
  <w:style w:type="paragraph" w:styleId="942" w:customStyle="1">
    <w:name w:val="Table Text"/>
    <w:basedOn w:val="652"/>
    <w:uiPriority w:val="99"/>
    <w:qFormat/>
    <w:pPr>
      <w:jc w:val="left"/>
      <w:spacing w:after="80"/>
      <w:widowControl/>
    </w:pPr>
    <w:rPr>
      <w:rFonts w:ascii="宋体" w:hAnsi="宋体" w:cs="宋体"/>
      <w:color w:val="000000"/>
      <w:sz w:val="20"/>
      <w:szCs w:val="20"/>
      <w:lang w:eastAsia="en-US"/>
    </w:rPr>
  </w:style>
  <w:style w:type="character" w:styleId="943" w:customStyle="1">
    <w:name w:val="NormalCharacter1"/>
    <w:uiPriority w:val="0"/>
    <w:qFormat/>
  </w:style>
  <w:style w:type="character" w:styleId="944" w:customStyle="1">
    <w:name w:val="PageNumber1"/>
    <w:uiPriority w:val="0"/>
    <w:qFormat/>
  </w:style>
  <w:style w:type="character" w:styleId="945" w:customStyle="1">
    <w:name w:val="UserStyle_16"/>
    <w:link w:val="946"/>
    <w:uiPriority w:val="0"/>
    <w:qFormat/>
    <w:rPr>
      <w:sz w:val="18"/>
    </w:rPr>
  </w:style>
  <w:style w:type="paragraph" w:styleId="946" w:customStyle="1">
    <w:name w:val="页脚1"/>
    <w:basedOn w:val="652"/>
    <w:link w:val="945"/>
    <w:uiPriority w:val="0"/>
    <w:qFormat/>
    <w:pPr>
      <w:jc w:val="left"/>
      <w:widowControl/>
      <w:tabs>
        <w:tab w:val="center" w:pos="4153" w:leader="none"/>
        <w:tab w:val="right" w:pos="8306" w:leader="none"/>
      </w:tabs>
    </w:pPr>
    <w:rPr>
      <w:sz w:val="18"/>
      <w:szCs w:val="20"/>
    </w:rPr>
  </w:style>
  <w:style w:type="paragraph" w:styleId="947" w:customStyle="1">
    <w:name w:val="_Style 463"/>
    <w:basedOn w:val="652"/>
    <w:next w:val="912"/>
    <w:uiPriority w:val="99"/>
    <w:qFormat/>
    <w:pPr>
      <w:ind w:firstLine="420"/>
      <w:jc w:val="left"/>
      <w:spacing w:after="160" w:line="278" w:lineRule="auto"/>
    </w:pPr>
    <w:rPr>
      <w:rFonts w:ascii="Calibri" w:hAnsi="Calibri"/>
      <w:sz w:val="22"/>
      <w:szCs w:val="24"/>
    </w:rPr>
  </w:style>
  <w:style w:type="paragraph" w:styleId="948" w:customStyle="1">
    <w:name w:val="msonormal"/>
    <w:basedOn w:val="652"/>
    <w:uiPriority w:val="99"/>
    <w:qFormat/>
    <w:pPr>
      <w:jc w:val="left"/>
      <w:spacing w:before="100" w:beforeAutospacing="1" w:after="100" w:afterAutospacing="1"/>
      <w:widowControl/>
    </w:pPr>
    <w:rPr>
      <w:rFonts w:ascii="宋体" w:hAnsi="宋体" w:cs="宋体"/>
      <w:sz w:val="24"/>
      <w:szCs w:val="24"/>
    </w:rPr>
  </w:style>
  <w:style w:type="paragraph" w:styleId="949" w:customStyle="1">
    <w:name w:val="xl65"/>
    <w:basedOn w:val="652"/>
    <w:uiPriority w:val="99"/>
    <w:qFormat/>
    <w:pPr>
      <w:jc w:val="left"/>
      <w:spacing w:before="100" w:beforeAutospacing="1" w:after="100" w:afterAutospacing="1"/>
      <w:widowControl/>
    </w:pPr>
    <w:rPr>
      <w:rFonts w:ascii="宋体" w:hAnsi="宋体" w:cs="宋体"/>
      <w:b/>
      <w:bCs/>
      <w:sz w:val="28"/>
      <w:szCs w:val="28"/>
    </w:rPr>
  </w:style>
  <w:style w:type="paragraph" w:styleId="950" w:customStyle="1">
    <w:name w:val="xl66"/>
    <w:basedOn w:val="652"/>
    <w:uiPriority w:val="99"/>
    <w:qFormat/>
    <w:pPr>
      <w:jc w:val="left"/>
      <w:spacing w:before="100" w:beforeAutospacing="1" w:after="100" w:afterAutospacing="1"/>
      <w:widowControl/>
    </w:pPr>
    <w:rPr>
      <w:rFonts w:ascii="宋体" w:hAnsi="宋体" w:cs="宋体"/>
      <w:b/>
      <w:bCs/>
      <w:sz w:val="24"/>
      <w:szCs w:val="24"/>
    </w:rPr>
  </w:style>
  <w:style w:type="paragraph" w:styleId="951" w:customStyle="1">
    <w:name w:val="xl67"/>
    <w:basedOn w:val="652"/>
    <w:uiPriority w:val="99"/>
    <w:qFormat/>
    <w:pPr>
      <w:jc w:val="left"/>
      <w:spacing w:before="100" w:beforeAutospacing="1" w:after="100" w:afterAutospacing="1"/>
      <w:widowControl/>
    </w:pPr>
    <w:rPr>
      <w:rFonts w:ascii="宋体" w:hAnsi="宋体" w:cs="宋体"/>
      <w:sz w:val="24"/>
      <w:szCs w:val="24"/>
    </w:rPr>
  </w:style>
  <w:style w:type="paragraph" w:styleId="952" w:customStyle="1">
    <w:name w:val="xl68"/>
    <w:basedOn w:val="652"/>
    <w:uiPriority w:val="99"/>
    <w:qFormat/>
    <w:pPr>
      <w:jc w:val="left"/>
      <w:spacing w:before="100" w:beforeAutospacing="1" w:after="100" w:afterAutospacing="1"/>
      <w:widowControl/>
    </w:pPr>
    <w:rPr>
      <w:rFonts w:ascii="宋体" w:hAnsi="宋体" w:cs="宋体"/>
      <w:sz w:val="24"/>
      <w:szCs w:val="24"/>
    </w:rPr>
  </w:style>
  <w:style w:type="paragraph" w:styleId="953" w:customStyle="1">
    <w:name w:val="xl69"/>
    <w:basedOn w:val="652"/>
    <w:uiPriority w:val="99"/>
    <w:qFormat/>
    <w:pPr>
      <w:jc w:val="left"/>
      <w:spacing w:before="100" w:beforeAutospacing="1" w:after="100" w:afterAutospacing="1"/>
      <w:widowControl/>
    </w:pPr>
    <w:rPr>
      <w:rFonts w:ascii="宋体" w:hAnsi="宋体" w:cs="宋体"/>
      <w:sz w:val="24"/>
      <w:szCs w:val="24"/>
    </w:rPr>
  </w:style>
  <w:style w:type="paragraph" w:styleId="954" w:customStyle="1">
    <w:name w:val="xl70"/>
    <w:basedOn w:val="652"/>
    <w:uiPriority w:val="99"/>
    <w:qFormat/>
    <w:pPr>
      <w:jc w:val="center"/>
      <w:spacing w:before="100" w:beforeAutospacing="1" w:after="100" w:afterAutospacing="1"/>
      <w:widowControl/>
    </w:pPr>
    <w:rPr>
      <w:rFonts w:ascii="宋体" w:hAnsi="宋体" w:cs="宋体"/>
      <w:sz w:val="24"/>
      <w:szCs w:val="24"/>
    </w:rPr>
  </w:style>
  <w:style w:type="paragraph" w:styleId="955" w:customStyle="1">
    <w:name w:val="xl71"/>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956" w:customStyle="1">
    <w:name w:val="xl72"/>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957" w:customStyle="1">
    <w:name w:val="xl73"/>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958" w:customStyle="1">
    <w:name w:val="xl74"/>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59" w:customStyle="1">
    <w:name w:val="xl75"/>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60" w:customStyle="1">
    <w:name w:val="xl76"/>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1" w:customStyle="1">
    <w:name w:val="xl77"/>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2" w:customStyle="1">
    <w:name w:val="xl78"/>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3" w:customStyle="1">
    <w:name w:val="xl79"/>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4" w:customStyle="1">
    <w:name w:val="xl80"/>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5" w:customStyle="1">
    <w:name w:val="xl81"/>
    <w:basedOn w:val="652"/>
    <w:uiPriority w:val="9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6" w:customStyle="1">
    <w:name w:val="xl82"/>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967" w:customStyle="1">
    <w:name w:val="xl83"/>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68" w:customStyle="1">
    <w:name w:val="xl84"/>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69" w:customStyle="1">
    <w:name w:val="xl85"/>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70" w:customStyle="1">
    <w:name w:val="xl86"/>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71" w:customStyle="1">
    <w:name w:val="xl87"/>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72" w:customStyle="1">
    <w:name w:val="xl88"/>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73" w:customStyle="1">
    <w:name w:val="xl89"/>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4" w:customStyle="1">
    <w:name w:val="xl90"/>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75" w:customStyle="1">
    <w:name w:val="xl91"/>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76" w:customStyle="1">
    <w:name w:val="xl92"/>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77" w:customStyle="1">
    <w:name w:val="xl93"/>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78" w:customStyle="1">
    <w:name w:val="xl94"/>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79" w:customStyle="1">
    <w:name w:val="xl95"/>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0" w:customStyle="1">
    <w:name w:val="xl96"/>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1" w:customStyle="1">
    <w:name w:val="xl97"/>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82" w:customStyle="1">
    <w:name w:val="xl98"/>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83" w:customStyle="1">
    <w:name w:val="xl99"/>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4" w:customStyle="1">
    <w:name w:val="xl100"/>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85" w:customStyle="1">
    <w:name w:val="xl101"/>
    <w:basedOn w:val="65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986" w:customStyle="1">
    <w:name w:val="xl102"/>
    <w:basedOn w:val="652"/>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987" w:customStyle="1">
    <w:name w:val="xl103"/>
    <w:basedOn w:val="65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988" w:customStyle="1">
    <w:name w:val="xl104"/>
    <w:basedOn w:val="652"/>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989" w:customStyle="1">
    <w:name w:val="xl105"/>
    <w:basedOn w:val="652"/>
    <w:uiPriority w:val="99"/>
    <w:qFormat/>
    <w:pPr>
      <w:jc w:val="righ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990" w:customStyle="1">
    <w:name w:val="xl106"/>
    <w:basedOn w:val="652"/>
    <w:uiPriority w:val="99"/>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991" w:customStyle="1">
    <w:name w:val="font11"/>
    <w:uiPriority w:val="0"/>
    <w:qFormat/>
    <w:rPr>
      <w:rFonts w:hint="eastAsia" w:ascii="宋体" w:hAnsi="宋体" w:eastAsia="宋体" w:cs="宋体"/>
      <w:color w:val="000000"/>
      <w:sz w:val="20"/>
      <w:szCs w:val="20"/>
      <w:u w:val="none"/>
    </w:rPr>
  </w:style>
  <w:style w:type="character" w:styleId="992" w:customStyle="1">
    <w:name w:val="font21"/>
    <w:uiPriority w:val="0"/>
    <w:qFormat/>
    <w:rPr>
      <w:rFonts w:hint="default" w:ascii="Times New Roman" w:hAnsi="Times New Roman" w:cs="Times New Roman"/>
      <w:color w:val="000000"/>
      <w:sz w:val="20"/>
      <w:szCs w:val="20"/>
      <w:u w:val="none"/>
    </w:rPr>
  </w:style>
  <w:style w:type="character" w:styleId="993" w:customStyle="1">
    <w:name w:val="正文文本首行缩进 2 字符"/>
    <w:link w:val="700"/>
    <w:uiPriority w:val="0"/>
    <w:qFormat/>
    <w:rPr>
      <w:rFonts w:ascii="宋体" w:hAnsi="宋体"/>
      <w:lang w:eastAsia="en-US"/>
    </w:rPr>
  </w:style>
  <w:style w:type="table" w:styleId="994" w:customStyle="1">
    <w:name w:val="无格式表格 211"/>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995" w:customStyle="1">
    <w:name w:val="清单表 5 深色11"/>
    <w:uiPriority w:val="99"/>
    <w:qFormat/>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style>
  <w:style w:type="table" w:styleId="996" w:customStyle="1">
    <w:name w:val="List Table 5 Dark - Accent 11"/>
    <w:uiPriority w:val="99"/>
    <w:qFormat/>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style>
  <w:style w:type="table" w:styleId="997" w:customStyle="1">
    <w:name w:val="List Table 5 Dark - Accent 21"/>
    <w:uiPriority w:val="99"/>
    <w:qFormat/>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style>
  <w:style w:type="table" w:styleId="998" w:customStyle="1">
    <w:name w:val="List Table 5 Dark - Accent 31"/>
    <w:uiPriority w:val="99"/>
    <w:qFormat/>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style>
  <w:style w:type="table" w:styleId="999" w:customStyle="1">
    <w:name w:val="List Table 5 Dark - Accent 41"/>
    <w:uiPriority w:val="99"/>
    <w:qFormat/>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style>
  <w:style w:type="table" w:styleId="1000" w:customStyle="1">
    <w:name w:val="List Table 5 Dark - Accent 51"/>
    <w:uiPriority w:val="99"/>
    <w:qFormat/>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style>
  <w:style w:type="table" w:styleId="1001" w:customStyle="1">
    <w:name w:val="List Table 5 Dark - Accent 61"/>
    <w:uiPriority w:val="99"/>
    <w:qFormat/>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style>
  <w:style w:type="character" w:styleId="1002" w:customStyle="1">
    <w:name w:val="Unresolved Mention"/>
    <w:uiPriority w:val="99"/>
    <w:semiHidden/>
    <w:unhideWhenUsed/>
    <w:qFormat/>
    <w:rPr>
      <w:color w:val="605e5c"/>
      <w:shd w:val="clear" w:color="auto" w:fill="e1dfdd"/>
    </w:rPr>
  </w:style>
  <w:style w:type="numbering" w:styleId="153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MLoong</dc:creator>
  <cp:lastModifiedBy>夏磊</cp:lastModifiedBy>
  <cp:revision>58</cp:revision>
  <dcterms:created xsi:type="dcterms:W3CDTF">2025-09-16T07:02:00Z</dcterms:created>
  <dcterms:modified xsi:type="dcterms:W3CDTF">2026-10-19T08:15:08Z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eyJoZGlkIjoiNDE0ZjlkZjNlNDJhOTY2NjVjOWRmZjdjOTBkNDAwZjkiLCJ1c2VySWQiOiIyNjAyNDE4MDQifQ==</vt:lpwstr>
  </property>
  <property fmtid="{D5CDD505-2E9C-101B-9397-08002B2CF9AE}" pid="3" name="KSOProductBuildVer">
    <vt:lpwstr>2052-12.1.0.28505</vt:lpwstr>
  </property>
  <property fmtid="{D5CDD505-2E9C-101B-9397-08002B2CF9AE}" pid="4" name="ICV">
    <vt:lpwstr>FC6624A99E154E7BB99FBA6854189934_12</vt:lpwstr>
  </property>
</Properties>
</file>