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0"/>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1140"/>
        <w:jc w:val="center"/>
        <w:rPr>
          <w:b/>
          <w:bCs/>
          <w:color w:val="000000"/>
          <w:sz w:val="60"/>
          <w:szCs w:val="60"/>
          <w:highlight w:val="none"/>
        </w:rPr>
      </w:pPr>
      <w:r/>
      <w:bookmarkStart w:id="0" w:name="_Toc74227630"/>
      <w:r>
        <w:rPr>
          <w:b/>
          <w:bCs/>
          <w:color w:val="000000"/>
          <w:sz w:val="60"/>
          <w:szCs w:val="60"/>
          <w:highlight w:val="none"/>
        </w:rPr>
      </w:r>
      <w:r/>
    </w:p>
    <w:p>
      <w:pPr>
        <w:pStyle w:val="1140"/>
        <w:jc w:val="center"/>
        <w:rPr>
          <w:b/>
          <w:bCs/>
          <w:color w:val="000000"/>
          <w:sz w:val="60"/>
          <w:szCs w:val="60"/>
          <w:highlight w:val="none"/>
        </w:rPr>
      </w:pPr>
      <w:r>
        <w:rPr>
          <w:b/>
          <w:bCs/>
          <w:color w:val="000000"/>
          <w:sz w:val="60"/>
          <w:szCs w:val="60"/>
          <w:highlight w:val="none"/>
        </w:rPr>
      </w:r>
      <w:r/>
    </w:p>
    <w:p>
      <w:pPr>
        <w:pStyle w:val="1140"/>
        <w:jc w:val="center"/>
        <w:rPr>
          <w:b/>
          <w:bCs/>
          <w:color w:val="000000"/>
          <w:sz w:val="60"/>
          <w:szCs w:val="60"/>
          <w:highlight w:val="none"/>
        </w:rPr>
      </w:pPr>
      <w:r>
        <w:rPr>
          <w:b/>
          <w:bCs/>
          <w:color w:val="000000"/>
          <w:sz w:val="60"/>
          <w:szCs w:val="60"/>
          <w:highlight w:val="none"/>
        </w:rPr>
        <w:t xml:space="preserve">竞争性磋商文件</w:t>
      </w:r>
      <w:r>
        <w:rPr>
          <w:b/>
          <w:bCs/>
          <w:color w:val="000000"/>
          <w:sz w:val="60"/>
          <w:szCs w:val="60"/>
          <w:highlight w:val="none"/>
        </w:rPr>
      </w:r>
      <w:r/>
    </w:p>
    <w:p>
      <w:pPr>
        <w:pStyle w:val="1140"/>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140"/>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140"/>
        <w:ind w:firstLine="360"/>
        <w:jc w:val="left"/>
        <w:spacing w:line="360" w:lineRule="auto"/>
        <w:tabs>
          <w:tab w:val="left" w:pos="5609" w:leader="none"/>
        </w:tabs>
        <w:rPr>
          <w:rFonts w:hint="eastAsia" w:eastAsia="宋体"/>
          <w:bCs/>
          <w:color w:val="000000"/>
          <w:sz w:val="36"/>
          <w:szCs w:val="36"/>
          <w:highlight w:val="none"/>
          <w:lang w:val="zh-CN" w:eastAsia="zh-CN"/>
        </w:rPr>
      </w:pPr>
      <w:r>
        <w:rPr>
          <w:bCs/>
          <w:color w:val="000000"/>
          <w:sz w:val="36"/>
          <w:szCs w:val="36"/>
          <w:highlight w:val="none"/>
        </w:rPr>
        <w:t xml:space="preserve">项目名称：</w:t>
      </w:r>
      <w:r>
        <w:rPr>
          <w:rFonts w:hint="eastAsia"/>
          <w:bCs/>
          <w:color w:val="000000"/>
          <w:sz w:val="36"/>
          <w:szCs w:val="36"/>
          <w:highlight w:val="none"/>
          <w:lang w:val="zh-CN"/>
        </w:rPr>
        <w:t xml:space="preserve">城东污水施工公用绿化移植工程</w:t>
      </w:r>
      <w:r>
        <w:rPr>
          <w:rFonts w:hint="eastAsia" w:eastAsia="宋体"/>
          <w:bCs/>
          <w:color w:val="000000"/>
          <w:sz w:val="36"/>
          <w:szCs w:val="36"/>
          <w:highlight w:val="none"/>
          <w:lang w:val="zh-CN" w:eastAsia="zh-CN"/>
        </w:rPr>
      </w:r>
      <w:r/>
    </w:p>
    <w:p>
      <w:pPr>
        <w:pStyle w:val="1140"/>
        <w:ind w:firstLine="360"/>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highlight w:val="none"/>
          <w:lang w:val="zh-CN"/>
        </w:rPr>
      </w:pPr>
      <w:r>
        <w:rPr>
          <w:bCs/>
          <w:color w:val="000000"/>
          <w:sz w:val="36"/>
          <w:szCs w:val="36"/>
          <w:highlight w:val="none"/>
        </w:rPr>
        <w:t xml:space="preserve">项目编号：</w:t>
      </w:r>
      <w:r>
        <w:rPr>
          <w:rFonts w:hint="eastAsia" w:ascii="Times New Roman" w:hAnsi="Times New Roman" w:eastAsia="宋体" w:cs="Times New Roman"/>
          <w:bCs/>
          <w:color w:val="000000"/>
          <w:sz w:val="36"/>
          <w:szCs w:val="36"/>
          <w:highlight w:val="none"/>
          <w:lang w:val="zh-CN"/>
        </w:rPr>
        <w:t xml:space="preserve">JSZC-320402022-CZZH-C2026-0052</w:t>
      </w:r>
      <w:r>
        <w:rPr>
          <w:rFonts w:hint="eastAsia" w:ascii="Times New Roman" w:hAnsi="Times New Roman" w:eastAsia="宋体" w:cs="Times New Roman"/>
          <w:bCs/>
          <w:color w:val="000000"/>
          <w:sz w:val="36"/>
          <w:szCs w:val="36"/>
          <w:highlight w:val="none"/>
          <w:lang w:val="zh-CN"/>
        </w:rPr>
      </w:r>
      <w:r/>
    </w:p>
    <w:p>
      <w:pPr>
        <w:pStyle w:val="1140"/>
        <w:ind w:firstLine="360"/>
        <w:jc w:val="left"/>
        <w:spacing w:line="360" w:lineRule="auto"/>
        <w:tabs>
          <w:tab w:val="left" w:pos="3240" w:leader="none"/>
          <w:tab w:val="left" w:pos="3420" w:leader="none"/>
        </w:tabs>
        <w:rPr>
          <w:rFonts w:hint="eastAsia"/>
          <w:bCs/>
          <w:color w:val="000000"/>
          <w:sz w:val="36"/>
          <w:szCs w:val="36"/>
          <w:highlight w:val="none"/>
          <w:lang w:val="zh-CN"/>
        </w:rPr>
      </w:pPr>
      <w:r>
        <w:rPr>
          <w:bCs/>
          <w:color w:val="000000"/>
          <w:sz w:val="36"/>
          <w:szCs w:val="36"/>
          <w:highlight w:val="none"/>
        </w:rPr>
        <w:t xml:space="preserve">采 购 人：</w:t>
      </w:r>
      <w:r>
        <w:rPr>
          <w:rFonts w:hint="eastAsia" w:ascii="Times New Roman" w:hAnsi="Times New Roman" w:eastAsia="宋体" w:cs="Times New Roman"/>
          <w:bCs/>
          <w:color w:val="000000"/>
          <w:sz w:val="36"/>
          <w:szCs w:val="36"/>
          <w:highlight w:val="none"/>
        </w:rPr>
        <w:t xml:space="preserve">常州市天宁区青龙街道办事处</w:t>
      </w:r>
      <w:r>
        <w:rPr>
          <w:rFonts w:hint="eastAsia"/>
          <w:bCs/>
          <w:color w:val="000000"/>
          <w:sz w:val="36"/>
          <w:szCs w:val="36"/>
          <w:highlight w:val="none"/>
          <w:lang w:val="zh-CN"/>
        </w:rPr>
      </w:r>
      <w:r/>
    </w:p>
    <w:p>
      <w:pPr>
        <w:pStyle w:val="1140"/>
        <w:ind w:firstLine="36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：常州正衡招投标有限公司</w:t>
      </w:r>
      <w:r>
        <w:rPr>
          <w:bCs/>
          <w:color w:val="000000"/>
          <w:sz w:val="36"/>
          <w:szCs w:val="36"/>
          <w:highlight w:val="none"/>
        </w:rPr>
      </w:r>
      <w:r/>
    </w:p>
    <w:p>
      <w:pPr>
        <w:pStyle w:val="1140"/>
        <w:jc w:val="left"/>
        <w:widowControl/>
        <w:rPr>
          <w:color w:val="000000"/>
          <w:sz w:val="24"/>
          <w:highlight w:val="none"/>
        </w:rPr>
      </w:pPr>
      <w:r/>
      <w:bookmarkEnd w:id="0"/>
      <w:r>
        <w:rPr>
          <w:color w:val="000000"/>
          <w:sz w:val="24"/>
          <w:highlight w:val="none"/>
        </w:rPr>
      </w:r>
      <w:r/>
    </w:p>
    <w:p>
      <w:pPr>
        <w:pStyle w:val="1140"/>
        <w:jc w:val="left"/>
        <w:widowControl/>
        <w:rPr>
          <w:color w:val="000000"/>
          <w:sz w:val="24"/>
          <w:highlight w:val="none"/>
        </w:rPr>
      </w:pPr>
      <w:r>
        <w:rPr>
          <w:color w:val="000000"/>
          <w:sz w:val="24"/>
          <w:highlight w:val="none"/>
        </w:rPr>
      </w:r>
      <w:r/>
    </w:p>
    <w:p>
      <w:pPr>
        <w:pStyle w:val="1140"/>
        <w:jc w:val="left"/>
        <w:widowControl/>
        <w:rPr>
          <w:color w:val="000000"/>
          <w:sz w:val="24"/>
          <w:highlight w:val="none"/>
        </w:rPr>
      </w:pPr>
      <w:r>
        <w:rPr>
          <w:color w:val="000000"/>
          <w:sz w:val="24"/>
          <w:highlight w:val="none"/>
        </w:rPr>
      </w:r>
      <w:r/>
    </w:p>
    <w:p>
      <w:pPr>
        <w:pStyle w:val="1140"/>
        <w:ind w:firstLine="360"/>
        <w:jc w:val="center"/>
        <w:spacing w:line="360" w:lineRule="auto"/>
        <w:tabs>
          <w:tab w:val="left" w:pos="3240" w:leader="none"/>
          <w:tab w:val="left" w:pos="3420" w:leader="none"/>
        </w:tabs>
        <w:rPr>
          <w:rFonts w:hint="eastAsia" w:ascii="Times New Roman" w:hAnsi="Times New Roman" w:eastAsia="宋体" w:cs="Times New Roman"/>
          <w:bCs/>
          <w:color w:val="000000"/>
          <w:sz w:val="36"/>
          <w:szCs w:val="36"/>
          <w:highlight w:val="none"/>
        </w:rPr>
        <w:sectPr>
          <w:headerReference w:type="default" r:id="rId9"/>
          <w:headerReference w:type="first" r:id="rId10"/>
          <w:footerReference w:type="default" r:id="rId15"/>
          <w:footerReference w:type="even" r:id="rId16"/>
          <w:footerReference w:type="first" r:id="rId17"/>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hint="eastAsia" w:ascii="Times New Roman" w:hAnsi="Times New Roman" w:eastAsia="宋体" w:cs="Times New Roman"/>
          <w:bCs/>
          <w:color w:val="000000"/>
          <w:sz w:val="36"/>
          <w:szCs w:val="36"/>
          <w:highlight w:val="none"/>
        </w:rPr>
        <w:t xml:space="preserve">日期：二零二</w:t>
      </w:r>
      <w:r>
        <w:rPr>
          <w:rFonts w:hint="eastAsia" w:ascii="Times New Roman" w:hAnsi="Times New Roman" w:eastAsia="宋体" w:cs="Times New Roman"/>
          <w:bCs/>
          <w:color w:val="000000"/>
          <w:sz w:val="36"/>
          <w:szCs w:val="36"/>
          <w:highlight w:val="none"/>
          <w:lang w:val="en-US" w:eastAsia="zh-CN"/>
        </w:rPr>
        <w:t xml:space="preserve">六</w:t>
      </w:r>
      <w:r>
        <w:rPr>
          <w:rFonts w:hint="eastAsia" w:ascii="Times New Roman" w:hAnsi="Times New Roman" w:eastAsia="宋体" w:cs="Times New Roman"/>
          <w:bCs/>
          <w:color w:val="000000"/>
          <w:sz w:val="36"/>
          <w:szCs w:val="36"/>
          <w:highlight w:val="none"/>
        </w:rPr>
        <w:t xml:space="preserve">年</w:t>
      </w:r>
      <w:r>
        <w:rPr>
          <w:rFonts w:hint="eastAsia" w:ascii="Times New Roman" w:hAnsi="Times New Roman" w:eastAsia="宋体" w:cs="Times New Roman"/>
          <w:bCs/>
          <w:color w:val="000000"/>
          <w:sz w:val="36"/>
          <w:szCs w:val="36"/>
          <w:highlight w:val="none"/>
          <w:lang w:val="en-US" w:eastAsia="zh-CN"/>
        </w:rPr>
        <w:t xml:space="preserve">十</w:t>
      </w:r>
      <w:r>
        <w:rPr>
          <w:rFonts w:hint="eastAsia" w:ascii="Times New Roman" w:hAnsi="Times New Roman" w:eastAsia="宋体" w:cs="Times New Roman"/>
          <w:bCs/>
          <w:color w:val="000000"/>
          <w:sz w:val="36"/>
          <w:szCs w:val="36"/>
          <w:highlight w:val="none"/>
        </w:rPr>
        <w:t xml:space="preserve">月</w:t>
      </w:r>
      <w:r>
        <w:rPr>
          <w:rFonts w:hint="eastAsia" w:ascii="Times New Roman" w:hAnsi="Times New Roman" w:eastAsia="宋体" w:cs="Times New Roman"/>
          <w:bCs/>
          <w:color w:val="000000"/>
          <w:sz w:val="36"/>
          <w:szCs w:val="36"/>
          <w:highlight w:val="none"/>
        </w:rPr>
      </w:r>
      <w:r/>
    </w:p>
    <w:p>
      <w:pPr>
        <w:pStyle w:val="1140"/>
        <w:jc w:val="left"/>
        <w:widowControl/>
        <w:rPr>
          <w:color w:val="000000"/>
          <w:sz w:val="24"/>
          <w:highlight w:val="none"/>
        </w:rPr>
      </w:pPr>
      <w:r>
        <w:rPr>
          <w:color w:val="000000"/>
          <w:sz w:val="24"/>
          <w:highlight w:val="none"/>
        </w:rPr>
      </w:r>
      <w:r/>
    </w:p>
    <w:p>
      <w:pPr>
        <w:pStyle w:val="1140"/>
        <w:jc w:val="left"/>
        <w:widowControl/>
        <w:rPr>
          <w:color w:val="000000"/>
          <w:sz w:val="24"/>
          <w:highlight w:val="none"/>
        </w:rPr>
      </w:pPr>
      <w:r>
        <w:rPr>
          <w:color w:val="000000"/>
          <w:sz w:val="24"/>
          <w:highlight w:val="none"/>
        </w:rPr>
      </w:r>
      <w:r/>
    </w:p>
    <w:p>
      <w:pPr>
        <w:pStyle w:val="1140"/>
        <w:jc w:val="left"/>
        <w:widowControl/>
        <w:rPr>
          <w:color w:val="000000"/>
          <w:sz w:val="24"/>
          <w:highlight w:val="none"/>
        </w:rPr>
      </w:pPr>
      <w:r>
        <w:rPr>
          <w:color w:val="000000"/>
          <w:sz w:val="24"/>
          <w:highlight w:val="none"/>
        </w:rPr>
      </w:r>
      <w:r/>
    </w:p>
    <w:p>
      <w:pPr>
        <w:pStyle w:val="1221"/>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140"/>
        <w:jc w:val="center"/>
        <w:spacing w:line="360" w:lineRule="auto"/>
        <w:rPr>
          <w:b/>
          <w:color w:val="000000"/>
          <w:sz w:val="36"/>
          <w:szCs w:val="36"/>
          <w:highlight w:val="none"/>
        </w:rPr>
        <w:outlineLvl w:val="0"/>
      </w:pPr>
      <w:r/>
      <w:bookmarkStart w:id="1" w:name="_Toc4180"/>
      <w:r/>
      <w:bookmarkStart w:id="2"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1"/>
      <w:r/>
      <w:bookmarkEnd w:id="2"/>
      <w:r>
        <w:rPr>
          <w:b/>
          <w:color w:val="000000"/>
          <w:sz w:val="36"/>
          <w:szCs w:val="36"/>
          <w:highlight w:val="none"/>
        </w:rPr>
      </w:r>
      <w:r/>
    </w:p>
    <w:p>
      <w:pPr>
        <w:pStyle w:val="1140"/>
        <w:rPr>
          <w:color w:val="000000"/>
          <w:highlight w:val="none"/>
        </w:rPr>
      </w:pPr>
      <w:r>
        <w:rPr>
          <w:color w:val="000000"/>
          <w:highlight w:val="none"/>
        </w:rPr>
      </w:r>
      <w:r/>
    </w:p>
    <w:p>
      <w:pPr>
        <w:pStyle w:val="1140"/>
        <w:rPr>
          <w:color w:val="000000"/>
          <w:highlight w:val="none"/>
        </w:rPr>
      </w:pPr>
      <w:r>
        <w:rPr>
          <w:color w:val="000000"/>
          <w:highlight w:val="none"/>
        </w:rPr>
      </w:r>
      <w:r/>
    </w:p>
    <w:p>
      <w:pPr>
        <w:pStyle w:val="1140"/>
        <w:rPr>
          <w:color w:val="000000"/>
          <w:highlight w:val="none"/>
        </w:rPr>
      </w:pPr>
      <w:r>
        <w:rPr>
          <w:color w:val="000000"/>
          <w:highlight w:val="none"/>
        </w:rPr>
      </w:r>
      <w:r/>
    </w:p>
    <w:p>
      <w:pPr>
        <w:pStyle w:val="1140"/>
        <w:rPr>
          <w:color w:val="000000"/>
          <w:highlight w:val="none"/>
        </w:rPr>
      </w:pPr>
      <w:r>
        <w:rPr>
          <w:color w:val="000000"/>
          <w:highlight w:val="none"/>
        </w:rPr>
      </w:r>
      <w:r/>
    </w:p>
    <w:p>
      <w:pPr>
        <w:pStyle w:val="1193"/>
        <w:tabs>
          <w:tab w:val="right" w:pos="9072" w:leader="dot"/>
        </w:tabs>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Times New Roman" w:hAnsi="Times New Roman"/>
          <w:color w:val="000000"/>
          <w:highlight w:val="none"/>
        </w:rPr>
        <w:fldChar w:fldCharType="begin"/>
      </w:r>
      <w:r>
        <w:rPr>
          <w:rFonts w:ascii="Times New Roman" w:hAnsi="Times New Roman"/>
          <w:highlight w:val="none"/>
        </w:rPr>
        <w:instrText xml:space="preserve"> HYPERLINK \l _Toc12539 </w:instrText>
      </w:r>
      <w:r>
        <w:rPr>
          <w:rFonts w:ascii="Times New Roman" w:hAnsi="Times New Roman"/>
          <w:highlight w:val="none"/>
        </w:rPr>
        <w:fldChar w:fldCharType="separate"/>
      </w:r>
      <w:r>
        <w:rPr>
          <w:szCs w:val="36"/>
          <w:highlight w:val="none"/>
        </w:rPr>
        <w:t xml:space="preserve">第一章   </w:t>
      </w:r>
      <w:r>
        <w:rPr>
          <w:rFonts w:hint="eastAsia" w:ascii="宋体" w:hAnsi="宋体" w:cs="宋体"/>
          <w:color w:val="000000"/>
          <w:sz w:val="24"/>
          <w:highlight w:val="none"/>
        </w:rPr>
        <w:t xml:space="preserve">竞争性磋商公告</w:t>
      </w:r>
      <w:r>
        <w:tab/>
      </w:r>
      <w:r>
        <w:fldChar w:fldCharType="begin"/>
      </w:r>
      <w:r>
        <w:instrText xml:space="preserve"> PAGEREF _Toc12539 \h </w:instrText>
      </w:r>
      <w:r>
        <w:fldChar w:fldCharType="separate"/>
      </w:r>
      <w:r>
        <w:t xml:space="preserve">1</w:t>
      </w:r>
      <w:r>
        <w:fldChar w:fldCharType="end"/>
      </w:r>
      <w:r>
        <w:rPr>
          <w:rFonts w:ascii="Times New Roman" w:hAnsi="Times New Roman"/>
          <w:color w:val="000000"/>
          <w:highlight w:val="none"/>
        </w:rPr>
        <w:fldChar w:fldCharType="end"/>
      </w:r>
      <w:r/>
    </w:p>
    <w:p>
      <w:pPr>
        <w:pStyle w:val="1193"/>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_Toc5796 </w:instrText>
      </w:r>
      <w:r>
        <w:rPr>
          <w:rFonts w:ascii="Times New Roman" w:hAnsi="Times New Roman"/>
          <w:highlight w:val="none"/>
        </w:rPr>
        <w:fldChar w:fldCharType="separate"/>
      </w:r>
      <w:r>
        <w:rPr>
          <w:szCs w:val="36"/>
          <w:highlight w:val="none"/>
        </w:rPr>
        <w:t xml:space="preserve">第二章   供应商须知</w:t>
      </w:r>
      <w:r>
        <w:tab/>
      </w:r>
      <w:r>
        <w:fldChar w:fldCharType="begin"/>
      </w:r>
      <w:r>
        <w:instrText xml:space="preserve"> PAGEREF _Toc5796 \h </w:instrText>
      </w:r>
      <w:r>
        <w:fldChar w:fldCharType="separate"/>
      </w:r>
      <w:r>
        <w:t xml:space="preserve">4</w:t>
      </w:r>
      <w:r>
        <w:fldChar w:fldCharType="end"/>
      </w:r>
      <w:r>
        <w:rPr>
          <w:rFonts w:ascii="Times New Roman" w:hAnsi="Times New Roman"/>
          <w:color w:val="000000"/>
          <w:highlight w:val="none"/>
        </w:rPr>
        <w:fldChar w:fldCharType="end"/>
      </w:r>
      <w:r/>
    </w:p>
    <w:p>
      <w:pPr>
        <w:pStyle w:val="1193"/>
        <w:tabs>
          <w:tab w:val="right" w:pos="9072" w:leader="dot"/>
        </w:tabs>
        <w:rPr>
          <w:rFonts w:hint="eastAsia" w:eastAsia="宋体"/>
          <w:lang w:val="en-US" w:eastAsia="zh-CN"/>
        </w:rPr>
      </w:pPr>
      <w:r>
        <w:rPr>
          <w:rFonts w:ascii="Times New Roman" w:hAnsi="Times New Roman"/>
          <w:color w:val="000000"/>
          <w:highlight w:val="none"/>
        </w:rPr>
        <w:fldChar w:fldCharType="begin"/>
      </w:r>
      <w:r>
        <w:rPr>
          <w:rFonts w:ascii="Times New Roman" w:hAnsi="Times New Roman"/>
          <w:highlight w:val="none"/>
        </w:rPr>
        <w:instrText xml:space="preserve"> HYPERLINK \l _Toc30522 </w:instrText>
      </w:r>
      <w:r>
        <w:rPr>
          <w:rFonts w:ascii="Times New Roman" w:hAnsi="Times New Roman"/>
          <w:highlight w:val="none"/>
        </w:rPr>
        <w:fldChar w:fldCharType="separate"/>
      </w:r>
      <w:r>
        <w:rPr>
          <w:szCs w:val="36"/>
          <w:highlight w:val="none"/>
        </w:rPr>
        <w:t xml:space="preserve">第三章   评审</w:t>
      </w:r>
      <w:r>
        <w:rPr>
          <w:rFonts w:hint="eastAsia"/>
          <w:szCs w:val="36"/>
          <w:highlight w:val="none"/>
        </w:rPr>
        <w:t xml:space="preserve">程序、评审</w:t>
      </w:r>
      <w:r>
        <w:rPr>
          <w:szCs w:val="36"/>
          <w:highlight w:val="none"/>
        </w:rPr>
        <w:t xml:space="preserve">方法和评审标准</w:t>
      </w:r>
      <w:r>
        <w:tab/>
      </w:r>
      <w:r>
        <w:rPr>
          <w:rFonts w:hint="eastAsia"/>
          <w:lang w:val="en-US" w:eastAsia="zh-CN"/>
        </w:rPr>
        <w:t xml:space="preserve">1</w:t>
      </w:r>
      <w:r>
        <w:rPr>
          <w:rFonts w:ascii="Times New Roman" w:hAnsi="Times New Roman"/>
          <w:color w:val="000000"/>
          <w:highlight w:val="none"/>
        </w:rPr>
        <w:fldChar w:fldCharType="end"/>
      </w:r>
      <w:r>
        <w:rPr>
          <w:rFonts w:hint="eastAsia" w:ascii="Times New Roman" w:hAnsi="Times New Roman"/>
          <w:color w:val="000000"/>
          <w:highlight w:val="none"/>
          <w:lang w:val="en-US" w:eastAsia="zh-CN"/>
        </w:rPr>
        <w:t xml:space="preserve">7</w:t>
      </w:r>
      <w:r>
        <w:rPr>
          <w:rFonts w:hint="eastAsia" w:eastAsia="宋体"/>
          <w:lang w:val="en-US" w:eastAsia="zh-CN"/>
        </w:rPr>
      </w:r>
      <w:r/>
    </w:p>
    <w:p>
      <w:pPr>
        <w:pStyle w:val="1193"/>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_Toc10100 </w:instrText>
      </w:r>
      <w:r>
        <w:rPr>
          <w:rFonts w:ascii="Times New Roman" w:hAnsi="Times New Roman"/>
          <w:highlight w:val="none"/>
        </w:rPr>
        <w:fldChar w:fldCharType="separate"/>
      </w:r>
      <w:r>
        <w:rPr>
          <w:szCs w:val="36"/>
          <w:highlight w:val="none"/>
        </w:rPr>
        <w:t xml:space="preserve">第四章   采购需求</w:t>
      </w:r>
      <w:r>
        <w:tab/>
      </w:r>
      <w:r>
        <w:fldChar w:fldCharType="begin"/>
      </w:r>
      <w:r>
        <w:instrText xml:space="preserve"> PAGEREF _Toc10100 \h </w:instrText>
      </w:r>
      <w:r>
        <w:fldChar w:fldCharType="separate"/>
      </w:r>
      <w:r>
        <w:t xml:space="preserve">28</w:t>
      </w:r>
      <w:r>
        <w:fldChar w:fldCharType="end"/>
      </w:r>
      <w:r>
        <w:rPr>
          <w:rFonts w:ascii="Times New Roman" w:hAnsi="Times New Roman"/>
          <w:color w:val="000000"/>
          <w:highlight w:val="none"/>
        </w:rPr>
        <w:fldChar w:fldCharType="end"/>
      </w:r>
      <w:r/>
    </w:p>
    <w:p>
      <w:pPr>
        <w:pStyle w:val="1193"/>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_Toc19655 </w:instrText>
      </w:r>
      <w:r>
        <w:rPr>
          <w:rFonts w:ascii="Times New Roman" w:hAnsi="Times New Roman"/>
          <w:highlight w:val="none"/>
        </w:rPr>
        <w:fldChar w:fldCharType="separate"/>
      </w:r>
      <w:r>
        <w:rPr>
          <w:szCs w:val="36"/>
          <w:highlight w:val="none"/>
        </w:rPr>
        <w:t xml:space="preserve">第五章   合同草案条款</w:t>
      </w:r>
      <w:r>
        <w:tab/>
      </w:r>
      <w:r>
        <w:fldChar w:fldCharType="begin"/>
      </w:r>
      <w:r>
        <w:instrText xml:space="preserve"> PAGEREF _Toc19655 \h </w:instrText>
      </w:r>
      <w:r>
        <w:fldChar w:fldCharType="separate"/>
      </w:r>
      <w:r>
        <w:t xml:space="preserve">36</w:t>
      </w:r>
      <w:r>
        <w:fldChar w:fldCharType="end"/>
      </w:r>
      <w:r>
        <w:rPr>
          <w:rFonts w:ascii="Times New Roman" w:hAnsi="Times New Roman"/>
          <w:color w:val="000000"/>
          <w:highlight w:val="none"/>
        </w:rPr>
        <w:fldChar w:fldCharType="end"/>
      </w:r>
      <w:r/>
    </w:p>
    <w:p>
      <w:pPr>
        <w:pStyle w:val="1193"/>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_Toc30458 </w:instrText>
      </w:r>
      <w:r>
        <w:rPr>
          <w:rFonts w:ascii="Times New Roman" w:hAnsi="Times New Roman"/>
          <w:highlight w:val="none"/>
        </w:rPr>
        <w:fldChar w:fldCharType="separate"/>
      </w:r>
      <w:r>
        <w:rPr>
          <w:szCs w:val="36"/>
          <w:highlight w:val="none"/>
        </w:rPr>
        <w:t xml:space="preserve">第六章   响应文件格式</w:t>
      </w:r>
      <w:r>
        <w:tab/>
      </w:r>
      <w:r>
        <w:fldChar w:fldCharType="begin"/>
      </w:r>
      <w:r>
        <w:instrText xml:space="preserve"> PAGEREF _Toc30458 \h </w:instrText>
      </w:r>
      <w:r>
        <w:fldChar w:fldCharType="separate"/>
      </w:r>
      <w:r>
        <w:t xml:space="preserve">36</w:t>
      </w:r>
      <w:r>
        <w:fldChar w:fldCharType="end"/>
      </w:r>
      <w:r>
        <w:rPr>
          <w:rFonts w:ascii="Times New Roman" w:hAnsi="Times New Roman"/>
          <w:color w:val="000000"/>
          <w:highlight w:val="none"/>
        </w:rPr>
        <w:fldChar w:fldCharType="end"/>
      </w:r>
      <w:r/>
    </w:p>
    <w:p>
      <w:pPr>
        <w:pStyle w:val="1193"/>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color w:val="000000"/>
          <w:highlight w:val="none"/>
        </w:rPr>
        <w:fldChar w:fldCharType="end"/>
      </w:r>
      <w:r>
        <w:rPr>
          <w:rFonts w:ascii="Times New Roman" w:hAnsi="Times New Roman"/>
          <w:b w:val="0"/>
          <w:color w:val="000000"/>
          <w:highlight w:val="none"/>
        </w:rPr>
      </w:r>
      <w:r/>
    </w:p>
    <w:p>
      <w:pPr>
        <w:pStyle w:val="1193"/>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1140"/>
        <w:jc w:val="center"/>
        <w:spacing w:line="360" w:lineRule="auto"/>
        <w:rPr>
          <w:b/>
          <w:color w:val="000000"/>
          <w:sz w:val="36"/>
          <w:szCs w:val="36"/>
          <w:highlight w:val="none"/>
        </w:rPr>
        <w:outlineLvl w:val="0"/>
      </w:pPr>
      <w:r>
        <w:rPr>
          <w:b/>
          <w:color w:val="000000"/>
          <w:sz w:val="36"/>
          <w:szCs w:val="36"/>
          <w:highlight w:val="none"/>
        </w:rPr>
        <w:br w:type="page" w:clear="all"/>
      </w:r>
      <w:bookmarkStart w:id="3" w:name="_Toc12539"/>
      <w:r>
        <w:rPr>
          <w:b/>
          <w:color w:val="000000"/>
          <w:sz w:val="36"/>
          <w:szCs w:val="36"/>
          <w:highlight w:val="none"/>
        </w:rPr>
        <w:t xml:space="preserve">第一章  </w:t>
      </w:r>
      <w:r>
        <w:rPr>
          <w:rFonts w:ascii="Times New Roman" w:hAnsi="Times New Roman" w:eastAsia="宋体" w:cs="Times New Roman"/>
          <w:b/>
          <w:color w:val="000000"/>
          <w:sz w:val="36"/>
          <w:szCs w:val="36"/>
          <w:highlight w:val="none"/>
        </w:rPr>
        <w:t xml:space="preserve"> </w:t>
      </w:r>
      <w:bookmarkEnd w:id="3"/>
      <w:r/>
      <w:bookmarkStart w:id="4" w:name="_Toc35393790"/>
      <w:r/>
      <w:bookmarkStart w:id="5" w:name="_Toc28359002"/>
      <w:r/>
      <w:bookmarkStart w:id="6" w:name="_Toc35393621"/>
      <w:r/>
      <w:bookmarkStart w:id="7" w:name="_Toc28359079"/>
      <w:r/>
      <w:bookmarkStart w:id="8" w:name="_Hlk24379207"/>
      <w:r>
        <w:rPr>
          <w:rFonts w:hint="eastAsia" w:ascii="Times New Roman" w:hAnsi="Times New Roman" w:eastAsia="宋体" w:cs="Times New Roman"/>
          <w:b/>
          <w:color w:val="000000"/>
          <w:sz w:val="36"/>
          <w:szCs w:val="36"/>
          <w:highlight w:val="none"/>
        </w:rPr>
        <w:t xml:space="preserve">竞争性磋商公告</w:t>
      </w:r>
      <w:r>
        <w:rPr>
          <w:b/>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2"/>
      </w:tblGrid>
      <w:tr>
        <w:trPr/>
        <w:tc>
          <w:tcPr>
            <w:tcW w:w="8642" w:type="dxa"/>
            <w:vAlign w:val="top"/>
            <w:textDirection w:val="lrTb"/>
            <w:noWrap w:val="false"/>
          </w:tcPr>
          <w:p>
            <w:pPr>
              <w:pStyle w:val="1140"/>
              <w:spacing w:line="360" w:lineRule="auto"/>
              <w:rPr>
                <w:rFonts w:hint="eastAsia" w:ascii="宋体" w:hAnsi="宋体" w:eastAsia="宋体" w:cs="宋体"/>
                <w:b/>
                <w:bCs/>
                <w:color w:val="000000"/>
                <w:sz w:val="24"/>
                <w:szCs w:val="24"/>
                <w:highlight w:val="none"/>
              </w:rPr>
            </w:pPr>
            <w:r/>
            <w:bookmarkEnd w:id="4"/>
            <w:r/>
            <w:bookmarkEnd w:id="5"/>
            <w:r/>
            <w:bookmarkEnd w:id="6"/>
            <w:r/>
            <w:bookmarkEnd w:id="7"/>
            <w:r/>
            <w:bookmarkEnd w:id="8"/>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1140"/>
              <w:ind w:firstLine="43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u w:val="single"/>
                <w:lang w:val="zh-CN"/>
              </w:rPr>
              <w:t xml:space="preserve">城东污水施工公用绿化移植工程</w:t>
            </w:r>
            <w:r>
              <w:rPr>
                <w:rFonts w:hint="eastAsia" w:ascii="宋体" w:hAnsi="宋体" w:eastAsia="宋体" w:cs="宋体"/>
                <w:color w:val="000000"/>
                <w:sz w:val="24"/>
                <w:szCs w:val="24"/>
                <w:highlight w:val="none"/>
              </w:rPr>
              <w:t xml:space="preserve">的潜在供应商应在</w:t>
            </w:r>
            <w:r>
              <w:rPr>
                <w:rFonts w:hint="eastAsia" w:ascii="宋体" w:hAnsi="宋体" w:eastAsia="宋体" w:cs="宋体"/>
                <w:b/>
                <w:bCs/>
                <w:color w:val="000000"/>
                <w:sz w:val="24"/>
                <w:szCs w:val="24"/>
                <w:highlight w:val="none"/>
              </w:rPr>
              <w:t xml:space="preserve">“苏采云”政府采购一体化平台</w:t>
            </w:r>
            <w:r>
              <w:rPr>
                <w:rFonts w:hint="eastAsia" w:ascii="宋体" w:hAnsi="宋体" w:eastAsia="宋体" w:cs="宋体"/>
                <w:color w:val="000000"/>
                <w:sz w:val="24"/>
                <w:szCs w:val="24"/>
                <w:highlight w:val="none"/>
              </w:rPr>
              <w:t xml:space="preserve">获取采购文件，并于</w:t>
            </w:r>
            <w:r>
              <w:rPr>
                <w:rFonts w:hint="eastAsia" w:ascii="宋体" w:hAnsi="宋体" w:eastAsia="宋体" w:cs="宋体"/>
                <w:bCs/>
                <w:color w:val="000000"/>
                <w:spacing w:val="2"/>
                <w:sz w:val="24"/>
                <w:szCs w:val="24"/>
                <w:highlight w:val="none"/>
              </w:rPr>
              <w:t xml:space="preserve">202</w:t>
            </w:r>
            <w:r>
              <w:rPr>
                <w:rFonts w:hint="eastAsia" w:ascii="宋体" w:hAnsi="宋体" w:eastAsia="宋体" w:cs="宋体"/>
                <w:bCs/>
                <w:color w:val="000000"/>
                <w:spacing w:val="2"/>
                <w:sz w:val="24"/>
                <w:szCs w:val="24"/>
                <w:highlight w:val="none"/>
                <w:lang w:val="en-US" w:eastAsia="zh-CN"/>
              </w:rPr>
              <w:t xml:space="preserve">6</w:t>
            </w:r>
            <w:r>
              <w:rPr>
                <w:rFonts w:hint="eastAsia" w:ascii="宋体" w:hAnsi="宋体" w:eastAsia="宋体" w:cs="宋体"/>
                <w:bCs/>
                <w:color w:val="000000"/>
                <w:spacing w:val="2"/>
                <w:sz w:val="24"/>
                <w:szCs w:val="24"/>
                <w:highlight w:val="none"/>
              </w:rPr>
              <w:t xml:space="preserve">年</w:t>
            </w:r>
            <w:r>
              <w:rPr>
                <w:rFonts w:hint="eastAsia" w:ascii="宋体" w:hAnsi="宋体" w:eastAsia="宋体" w:cs="宋体"/>
                <w:bCs/>
                <w:color w:val="000000"/>
                <w:spacing w:val="2"/>
                <w:sz w:val="24"/>
                <w:szCs w:val="24"/>
                <w:highlight w:val="none"/>
                <w:lang w:val="en-US" w:eastAsia="zh-CN"/>
              </w:rPr>
              <w:t xml:space="preserve">11</w:t>
            </w:r>
            <w:r>
              <w:rPr>
                <w:rFonts w:hint="eastAsia" w:ascii="宋体" w:hAnsi="宋体" w:eastAsia="宋体" w:cs="宋体"/>
                <w:bCs/>
                <w:color w:val="000000"/>
                <w:spacing w:val="2"/>
                <w:sz w:val="24"/>
                <w:szCs w:val="24"/>
                <w:highlight w:val="none"/>
              </w:rPr>
              <w:t xml:space="preserve">月</w:t>
            </w:r>
            <w:r>
              <w:rPr>
                <w:rFonts w:hint="eastAsia" w:ascii="宋体" w:hAnsi="宋体" w:eastAsia="宋体" w:cs="宋体"/>
                <w:bCs/>
                <w:color w:val="000000"/>
                <w:spacing w:val="2"/>
                <w:sz w:val="24"/>
                <w:szCs w:val="24"/>
                <w:highlight w:val="none"/>
                <w:lang w:val="en-US" w:eastAsia="zh-CN"/>
              </w:rPr>
              <w:t xml:space="preserve">2</w:t>
            </w:r>
            <w:r>
              <w:rPr>
                <w:rFonts w:hint="eastAsia" w:ascii="宋体" w:hAnsi="宋体" w:eastAsia="宋体" w:cs="宋体"/>
                <w:bCs/>
                <w:color w:val="000000"/>
                <w:spacing w:val="2"/>
                <w:sz w:val="24"/>
                <w:szCs w:val="24"/>
                <w:highlight w:val="none"/>
              </w:rPr>
              <w:t xml:space="preserve">日</w:t>
            </w:r>
            <w:r>
              <w:rPr>
                <w:rFonts w:hint="eastAsia" w:ascii="宋体" w:hAnsi="宋体" w:eastAsia="宋体" w:cs="宋体"/>
                <w:bCs/>
                <w:color w:val="000000"/>
                <w:spacing w:val="2"/>
                <w:sz w:val="24"/>
                <w:szCs w:val="24"/>
                <w:highlight w:val="none"/>
                <w:lang w:val="en-US" w:eastAsia="zh-CN"/>
              </w:rPr>
              <w:t xml:space="preserve">13</w:t>
            </w:r>
            <w:r>
              <w:rPr>
                <w:rFonts w:hint="eastAsia" w:ascii="宋体" w:hAnsi="宋体" w:eastAsia="宋体" w:cs="宋体"/>
                <w:bCs/>
                <w:color w:val="000000"/>
                <w:spacing w:val="2"/>
                <w:sz w:val="24"/>
                <w:szCs w:val="24"/>
                <w:highlight w:val="none"/>
              </w:rPr>
              <w:t xml:space="preserve">点</w:t>
            </w:r>
            <w:r>
              <w:rPr>
                <w:rFonts w:hint="eastAsia" w:ascii="宋体" w:hAnsi="宋体" w:eastAsia="宋体" w:cs="宋体"/>
                <w:bCs/>
                <w:color w:val="000000"/>
                <w:spacing w:val="2"/>
                <w:sz w:val="24"/>
                <w:szCs w:val="24"/>
                <w:highlight w:val="none"/>
                <w:lang w:val="en-US" w:eastAsia="zh-CN"/>
              </w:rPr>
              <w:t xml:space="preserve">30</w:t>
            </w:r>
            <w:r>
              <w:rPr>
                <w:rFonts w:hint="eastAsia" w:ascii="宋体" w:hAnsi="宋体" w:eastAsia="宋体" w:cs="宋体"/>
                <w:bCs/>
                <w:color w:val="000000"/>
                <w:spacing w:val="2"/>
                <w:sz w:val="24"/>
                <w:szCs w:val="24"/>
                <w:highlight w:val="none"/>
              </w:rPr>
              <w:t xml:space="preserve">分</w:t>
            </w:r>
            <w:r>
              <w:rPr>
                <w:rFonts w:hint="eastAsia" w:ascii="宋体" w:hAnsi="宋体" w:eastAsia="宋体" w:cs="宋体"/>
                <w:color w:val="000000"/>
                <w:sz w:val="24"/>
                <w:szCs w:val="24"/>
                <w:highlight w:val="none"/>
              </w:rPr>
              <w:t xml:space="preserve">（北京时间）前提交响应文件。</w:t>
            </w:r>
            <w:r>
              <w:rPr>
                <w:rFonts w:hint="eastAsia" w:ascii="宋体" w:hAnsi="宋体" w:eastAsia="宋体" w:cs="宋体"/>
                <w:color w:val="000000"/>
                <w:sz w:val="24"/>
                <w:szCs w:val="24"/>
                <w:highlight w:val="none"/>
              </w:rPr>
            </w:r>
            <w:r/>
          </w:p>
        </w:tc>
      </w:tr>
    </w:tbl>
    <w:p>
      <w:pPr>
        <w:pStyle w:val="1140"/>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  </w:t>
      </w:r>
      <w:r>
        <w:rPr>
          <w:rFonts w:hint="eastAsia" w:ascii="宋体" w:hAnsi="宋体" w:eastAsia="宋体" w:cs="宋体"/>
          <w:b/>
          <w:bCs/>
          <w:color w:val="000000"/>
          <w:sz w:val="24"/>
          <w:szCs w:val="24"/>
          <w:highlight w:val="none"/>
        </w:rPr>
      </w:r>
      <w:r/>
    </w:p>
    <w:p>
      <w:pPr>
        <w:pStyle w:val="1140"/>
        <w:ind w:firstLine="482"/>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rPr>
        <w:t xml:space="preserve">1.项目编号</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JSZC-320402022-CZZH-C2026-0052</w:t>
      </w:r>
      <w:r>
        <w:rPr>
          <w:rFonts w:hint="eastAsia" w:ascii="宋体" w:hAnsi="宋体" w:eastAsia="宋体" w:cs="宋体"/>
          <w:color w:val="000000"/>
          <w:sz w:val="24"/>
          <w:szCs w:val="24"/>
          <w:highlight w:val="none"/>
          <w:lang w:eastAsia="zh-CN"/>
        </w:rPr>
      </w:r>
      <w:r/>
    </w:p>
    <w:p>
      <w:pPr>
        <w:pStyle w:val="1140"/>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2.项目名称：</w:t>
      </w:r>
      <w:r>
        <w:rPr>
          <w:rFonts w:hint="eastAsia" w:ascii="宋体" w:hAnsi="宋体" w:eastAsia="宋体" w:cs="宋体"/>
          <w:color w:val="000000"/>
          <w:sz w:val="24"/>
          <w:szCs w:val="24"/>
          <w:highlight w:val="none"/>
          <w:lang w:val="zh-CN"/>
        </w:rPr>
        <w:t xml:space="preserve">城东污水施工公用绿化移植工程</w:t>
      </w:r>
      <w:r>
        <w:rPr>
          <w:rFonts w:hint="eastAsia" w:ascii="宋体" w:hAnsi="宋体" w:eastAsia="宋体" w:cs="宋体"/>
          <w:color w:val="000000"/>
          <w:sz w:val="24"/>
          <w:szCs w:val="24"/>
          <w:highlight w:val="none"/>
        </w:rPr>
      </w:r>
      <w:r/>
    </w:p>
    <w:p>
      <w:pPr>
        <w:pStyle w:val="1140"/>
        <w:ind w:firstLine="482"/>
        <w:keepLines w:val="0"/>
        <w:keepNext w:val="0"/>
        <w:pageBreakBefore w:val="0"/>
        <w:spacing w:line="360" w:lineRule="auto"/>
        <w:rPr>
          <w:rFonts w:ascii="宋体" w:hAnsi="宋体" w:eastAsia="宋体" w:cs="宋体"/>
          <w:b/>
          <w:color w:val="000000"/>
          <w:spacing w:val="2"/>
          <w:sz w:val="24"/>
          <w:szCs w:val="24"/>
          <w:highlight w:val="none"/>
          <w:lang w:val="en-US" w:eastAsia="zh-CN"/>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pacing w:val="2"/>
          <w:sz w:val="24"/>
          <w:szCs w:val="24"/>
          <w:highlight w:val="none"/>
        </w:rPr>
        <w:t xml:space="preserve">预算金额</w:t>
      </w:r>
      <w:r>
        <w:rPr>
          <w:rFonts w:hint="eastAsia" w:ascii="宋体" w:hAnsi="宋体" w:eastAsia="宋体" w:cs="宋体"/>
          <w:b/>
          <w:color w:val="000000"/>
          <w:spacing w:val="2"/>
          <w:sz w:val="24"/>
          <w:szCs w:val="24"/>
          <w:highlight w:val="none"/>
          <w:lang w:eastAsia="zh-CN"/>
        </w:rPr>
        <w:t xml:space="preserve">：</w:t>
      </w:r>
      <w:r>
        <w:rPr>
          <w:rFonts w:hint="eastAsia" w:ascii="宋体" w:hAnsi="宋体" w:eastAsia="宋体" w:cs="宋体"/>
          <w:b w:val="0"/>
          <w:bCs/>
          <w:color w:val="000000"/>
          <w:spacing w:val="2"/>
          <w:sz w:val="24"/>
          <w:szCs w:val="24"/>
          <w:highlight w:val="none"/>
          <w:lang w:val="en-US" w:eastAsia="zh-CN"/>
        </w:rPr>
        <w:t xml:space="preserve">192.976271元</w:t>
      </w:r>
      <w:r>
        <w:rPr>
          <w:rFonts w:ascii="宋体" w:hAnsi="宋体" w:eastAsia="宋体" w:cs="宋体"/>
          <w:b w:val="0"/>
          <w:bCs/>
          <w:color w:val="000000"/>
          <w:spacing w:val="2"/>
          <w:sz w:val="24"/>
          <w:szCs w:val="24"/>
          <w:highlight w:val="none"/>
          <w:lang w:val="en-US" w:eastAsia="zh-CN"/>
        </w:rPr>
        <w:t xml:space="preserve"> </w:t>
      </w:r>
      <w:r>
        <w:rPr>
          <w:rFonts w:ascii="宋体" w:hAnsi="宋体" w:eastAsia="宋体" w:cs="宋体"/>
          <w:b/>
          <w:color w:val="000000"/>
          <w:spacing w:val="2"/>
          <w:sz w:val="24"/>
          <w:szCs w:val="24"/>
          <w:highlight w:val="none"/>
          <w:lang w:val="en-US" w:eastAsia="zh-CN"/>
        </w:rPr>
      </w:r>
      <w:r/>
    </w:p>
    <w:p>
      <w:pPr>
        <w:pStyle w:val="1140"/>
        <w:ind w:firstLine="49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b/>
          <w:color w:val="000000"/>
          <w:spacing w:val="2"/>
          <w:sz w:val="24"/>
          <w:szCs w:val="24"/>
          <w:highlight w:val="none"/>
          <w:lang w:val="en-US" w:eastAsia="zh-CN"/>
        </w:rPr>
        <w:t xml:space="preserve">4.</w:t>
      </w:r>
      <w:r>
        <w:rPr>
          <w:rFonts w:hint="eastAsia" w:ascii="宋体" w:hAnsi="宋体" w:eastAsia="宋体" w:cs="宋体"/>
          <w:b/>
          <w:color w:val="000000"/>
          <w:spacing w:val="2"/>
          <w:sz w:val="24"/>
          <w:szCs w:val="24"/>
          <w:highlight w:val="none"/>
        </w:rPr>
        <w:t xml:space="preserve">最高限价：</w:t>
      </w:r>
      <w:r>
        <w:rPr>
          <w:rFonts w:hint="eastAsia" w:ascii="宋体" w:hAnsi="宋体" w:eastAsia="宋体" w:cs="宋体"/>
          <w:b w:val="0"/>
          <w:bCs/>
          <w:color w:val="000000"/>
          <w:spacing w:val="2"/>
          <w:sz w:val="24"/>
          <w:szCs w:val="24"/>
          <w:highlight w:val="none"/>
          <w:lang w:val="en-US" w:eastAsia="zh-CN"/>
        </w:rPr>
        <w:t xml:space="preserve">192.976271元 </w:t>
      </w:r>
      <w:r>
        <w:rPr>
          <w:rFonts w:ascii="宋体" w:hAnsi="宋体" w:eastAsia="宋体" w:cs="宋体"/>
          <w:color w:val="000000"/>
          <w:sz w:val="24"/>
          <w:szCs w:val="24"/>
          <w:highlight w:val="none"/>
          <w:lang w:val="en-US" w:eastAsia="zh-CN"/>
        </w:rPr>
      </w:r>
      <w:r/>
    </w:p>
    <w:p>
      <w:pPr>
        <w:pStyle w:val="1239"/>
        <w:numPr>
          <w:ilvl w:val="0"/>
          <w:numId w:val="0"/>
        </w:numPr>
        <w:contextualSpacing/>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pacing w:val="2"/>
          <w:sz w:val="24"/>
          <w:szCs w:val="24"/>
          <w:highlight w:val="none"/>
        </w:rPr>
        <w:t xml:space="preserve">采购需求：</w:t>
      </w:r>
      <w:r>
        <w:rPr>
          <w:rFonts w:hint="eastAsia" w:ascii="宋体" w:hAnsi="宋体" w:eastAsia="宋体" w:cs="宋体"/>
          <w:color w:val="000000"/>
          <w:sz w:val="24"/>
          <w:szCs w:val="24"/>
          <w:highlight w:val="none"/>
          <w:lang w:val="zh-CN"/>
        </w:rPr>
        <w:t xml:space="preserve">城东污水施工公用绿化移植工程，</w:t>
      </w:r>
      <w:r>
        <w:rPr>
          <w:rFonts w:hint="eastAsia" w:ascii="宋体" w:hAnsi="宋体" w:eastAsia="宋体" w:cs="宋体"/>
          <w:color w:val="000000"/>
          <w:sz w:val="24"/>
          <w:szCs w:val="24"/>
          <w:highlight w:val="none"/>
          <w:lang w:val="en-US" w:eastAsia="zh-CN" w:bidi="ar-SA"/>
        </w:rPr>
        <w:t xml:space="preserve">详见采购需求。</w:t>
      </w:r>
      <w:r>
        <w:rPr>
          <w:rFonts w:hint="eastAsia" w:ascii="宋体" w:hAnsi="宋体" w:eastAsia="宋体" w:cs="宋体"/>
          <w:color w:val="000000"/>
          <w:sz w:val="24"/>
          <w:szCs w:val="24"/>
          <w:highlight w:val="none"/>
          <w:lang w:val="en-US"/>
        </w:rPr>
      </w:r>
      <w:r/>
    </w:p>
    <w:p>
      <w:pPr>
        <w:pStyle w:val="1140"/>
        <w:ind w:firstLine="482"/>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pacing w:val="2"/>
          <w:sz w:val="24"/>
          <w:szCs w:val="24"/>
          <w:highlight w:val="none"/>
          <w:lang w:val="zh-CN"/>
        </w:rPr>
        <w:t xml:space="preserve">合同履行期限：</w:t>
      </w:r>
      <w:r>
        <w:rPr>
          <w:rFonts w:hint="eastAsia" w:ascii="宋体" w:hAnsi="宋体" w:eastAsia="宋体" w:cs="宋体"/>
          <w:bCs/>
          <w:color w:val="000000"/>
          <w:sz w:val="24"/>
          <w:szCs w:val="24"/>
          <w:highlight w:val="none"/>
          <w:lang w:val="zh-CN" w:eastAsia="zh-CN" w:bidi="ar-SA"/>
        </w:rPr>
        <w:t xml:space="preserve">自收到采购人开工通知后</w:t>
      </w:r>
      <w:r>
        <w:rPr>
          <w:rFonts w:hint="eastAsia" w:ascii="宋体" w:hAnsi="宋体" w:eastAsia="宋体" w:cs="宋体"/>
          <w:bCs/>
          <w:color w:val="000000"/>
          <w:sz w:val="24"/>
          <w:szCs w:val="24"/>
          <w:highlight w:val="none"/>
          <w:u w:val="single"/>
          <w:lang w:val="en-US" w:eastAsia="zh-CN" w:bidi="ar-SA"/>
        </w:rPr>
        <w:t xml:space="preserve">  15  </w:t>
      </w:r>
      <w:r>
        <w:rPr>
          <w:rFonts w:hint="eastAsia" w:ascii="宋体" w:hAnsi="宋体" w:eastAsia="宋体" w:cs="宋体"/>
          <w:bCs/>
          <w:color w:val="000000"/>
          <w:sz w:val="24"/>
          <w:szCs w:val="24"/>
          <w:highlight w:val="none"/>
          <w:lang w:val="zh-CN" w:eastAsia="zh-CN" w:bidi="ar-SA"/>
        </w:rPr>
        <w:t xml:space="preserve">个日历日内完工并通过验收，同时施工工期必须严格服从采购人的安排，满足工程进度的要求。</w:t>
      </w:r>
      <w:r>
        <w:rPr>
          <w:rFonts w:hint="eastAsia" w:ascii="宋体" w:hAnsi="宋体" w:eastAsia="宋体" w:cs="宋体"/>
          <w:color w:val="000000"/>
          <w:sz w:val="24"/>
          <w:szCs w:val="24"/>
          <w:highlight w:val="none"/>
          <w:lang w:val="zh-CN"/>
        </w:rPr>
      </w:r>
      <w:r/>
    </w:p>
    <w:p>
      <w:pPr>
        <w:pStyle w:val="1140"/>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1.满足《中华人民共和国政府采购法》第二十二条规定以及下列情形：</w:t>
      </w:r>
      <w:r>
        <w:rPr>
          <w:rFonts w:hint="eastAsia" w:ascii="宋体" w:hAnsi="宋体" w:eastAsia="宋体" w:cs="宋体"/>
          <w:color w:val="000000"/>
          <w:sz w:val="24"/>
          <w:szCs w:val="24"/>
          <w:highlight w:val="none"/>
          <w:lang w:val="zh-CN"/>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lang w:val="zh-CN"/>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lang w:val="zh-CN"/>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2.落实政府采购政策需满足的资格要求：</w:t>
      </w:r>
      <w:r>
        <w:rPr>
          <w:rFonts w:hint="eastAsia" w:ascii="宋体" w:hAnsi="宋体" w:eastAsia="宋体" w:cs="宋体"/>
          <w:color w:val="000000"/>
          <w:sz w:val="24"/>
          <w:szCs w:val="24"/>
          <w:highlight w:val="none"/>
          <w:lang w:val="zh-CN"/>
        </w:rPr>
      </w:r>
      <w:r/>
    </w:p>
    <w:p>
      <w:pPr>
        <w:pStyle w:val="1140"/>
        <w:ind w:firstLine="482"/>
        <w:keepLines w:val="0"/>
        <w:keepNext w:val="0"/>
        <w:pageBreakBefore w:val="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color w:val="000000"/>
          <w:sz w:val="24"/>
          <w:szCs w:val="24"/>
          <w:highlight w:val="none"/>
          <w:lang w:val="zh-CN"/>
        </w:rPr>
        <w:t xml:space="preserve">2.1 中小企业政策：本项目专门面向中小企业采购。即：提供的工程全部由符合政策要求的中小企业承建。</w:t>
      </w:r>
      <w:r>
        <w:rPr>
          <w:rFonts w:hint="eastAsia" w:ascii="宋体" w:hAnsi="宋体" w:eastAsia="宋体" w:cs="宋体"/>
          <w:b/>
          <w:bCs/>
          <w:sz w:val="24"/>
          <w:szCs w:val="24"/>
          <w:highlight w:val="none"/>
          <w:lang w:val="zh-CN"/>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 其它落实政府采购政策的资格要求（如有）：无</w:t>
      </w:r>
      <w:r>
        <w:rPr>
          <w:rFonts w:hint="eastAsia" w:ascii="宋体" w:hAnsi="宋体" w:eastAsia="宋体" w:cs="宋体"/>
          <w:color w:val="000000"/>
          <w:sz w:val="24"/>
          <w:szCs w:val="24"/>
          <w:highlight w:val="none"/>
          <w:lang w:val="zh-CN"/>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3.本项目的特定资格要求：</w:t>
      </w:r>
      <w:r>
        <w:rPr>
          <w:rFonts w:hint="eastAsia" w:ascii="宋体" w:hAnsi="宋体" w:eastAsia="宋体" w:cs="宋体"/>
          <w:color w:val="000000"/>
          <w:sz w:val="24"/>
          <w:szCs w:val="24"/>
          <w:highlight w:val="none"/>
          <w:lang w:val="zh-CN"/>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3.1本项目是否接受分支机构参与投标：否</w:t>
      </w:r>
      <w:r>
        <w:rPr>
          <w:rFonts w:hint="eastAsia" w:ascii="宋体" w:hAnsi="宋体" w:eastAsia="宋体" w:cs="宋体"/>
          <w:color w:val="000000"/>
          <w:sz w:val="24"/>
          <w:szCs w:val="24"/>
          <w:highlight w:val="none"/>
        </w:rPr>
        <w:t xml:space="preserve">（仅当项目涉及银行、保险、石油石化、电力、电信等行业有特殊情况的，可以接受分支机构参与）</w:t>
      </w:r>
      <w:r>
        <w:rPr>
          <w:rFonts w:hint="eastAsia" w:ascii="宋体" w:hAnsi="宋体" w:eastAsia="宋体" w:cs="宋体"/>
          <w:color w:val="000000"/>
          <w:sz w:val="24"/>
          <w:szCs w:val="24"/>
          <w:highlight w:val="none"/>
          <w:lang w:val="zh-CN"/>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3.2本项目是否属于政府购买服务：否</w:t>
      </w:r>
      <w:r>
        <w:rPr>
          <w:rFonts w:hint="eastAsia" w:ascii="宋体" w:hAnsi="宋体" w:eastAsia="宋体" w:cs="宋体"/>
          <w:color w:val="000000"/>
          <w:sz w:val="24"/>
          <w:szCs w:val="24"/>
          <w:highlight w:val="none"/>
          <w:lang w:val="zh-CN"/>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zh-CN"/>
        </w:rPr>
        <w:t xml:space="preserve">本项目是否接受联合体投标：不接受</w:t>
      </w:r>
      <w:r>
        <w:rPr>
          <w:rFonts w:hint="eastAsia" w:ascii="宋体" w:hAnsi="宋体" w:eastAsia="宋体" w:cs="宋体"/>
          <w:color w:val="000000"/>
          <w:sz w:val="24"/>
          <w:szCs w:val="24"/>
          <w:highlight w:val="none"/>
          <w:lang w:val="zh-CN"/>
        </w:rPr>
      </w:r>
      <w:r/>
    </w:p>
    <w:p>
      <w:pPr>
        <w:pStyle w:val="1140"/>
        <w:ind w:firstLine="480"/>
        <w:keepLines w:val="0"/>
        <w:keepNext w:val="0"/>
        <w:pageBreakBefore w:val="0"/>
        <w:spacing w:line="360" w:lineRule="auto"/>
        <w:rPr>
          <w:rFonts w:ascii="宋体" w:hAnsi="宋体" w:eastAsia="宋体" w:cs="宋体"/>
          <w:color w:val="000000"/>
          <w:sz w:val="24"/>
          <w:szCs w:val="24"/>
          <w:highlight w:val="none"/>
          <w:lang w:val="en-US" w:eastAsia="zh-CN"/>
        </w:rPr>
      </w:pPr>
      <w:r/>
      <w:bookmarkStart w:id="9" w:name="XMZGXJ_1"/>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val="zh-CN"/>
        </w:rPr>
        <w:t xml:space="preserve">本项目是否接受进口产品投标：不接受</w:t>
      </w:r>
      <w:bookmarkEnd w:id="9"/>
      <w:r>
        <w:rPr>
          <w:rFonts w:ascii="宋体" w:hAnsi="宋体" w:eastAsia="宋体" w:cs="宋体"/>
          <w:color w:val="000000"/>
          <w:sz w:val="24"/>
          <w:szCs w:val="24"/>
          <w:highlight w:val="none"/>
          <w:lang w:val="en-US" w:eastAsia="zh-CN"/>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其他特定资格要求：</w:t>
      </w:r>
      <w:r>
        <w:rPr>
          <w:rFonts w:hint="eastAsia" w:ascii="宋体" w:hAnsi="宋体" w:eastAsia="宋体" w:cs="宋体"/>
          <w:color w:val="000000"/>
          <w:sz w:val="24"/>
          <w:szCs w:val="24"/>
          <w:highlight w:val="none"/>
          <w:lang w:val="zh-CN"/>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3.5.1供应商应具备市政公用工程施工总承包叁级（含）以上资质，并具有有效的安全生产许可证；</w:t>
      </w:r>
      <w:r>
        <w:rPr>
          <w:rFonts w:hint="eastAsia" w:ascii="宋体" w:hAnsi="宋体" w:eastAsia="宋体" w:cs="宋体"/>
          <w:color w:val="000000"/>
          <w:sz w:val="24"/>
          <w:szCs w:val="24"/>
          <w:highlight w:val="none"/>
          <w:lang w:val="zh-CN"/>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3.5.2项目负责人应具有市政公用工程二级（含）以上注册建造师；</w:t>
      </w:r>
      <w:r>
        <w:rPr>
          <w:rFonts w:hint="eastAsia" w:ascii="宋体" w:hAnsi="宋体" w:eastAsia="宋体" w:cs="宋体"/>
          <w:color w:val="000000"/>
          <w:sz w:val="24"/>
          <w:szCs w:val="24"/>
          <w:highlight w:val="none"/>
          <w:lang w:val="zh-CN"/>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3.5.3项目负责人无在建工程（磋商响应文件中提供无在建工程承诺书并加盖供应商公章，格式自拟）；</w:t>
      </w:r>
      <w:r>
        <w:rPr>
          <w:rFonts w:hint="eastAsia" w:ascii="宋体" w:hAnsi="宋体" w:eastAsia="宋体" w:cs="宋体"/>
          <w:color w:val="000000"/>
          <w:sz w:val="24"/>
          <w:szCs w:val="24"/>
          <w:highlight w:val="none"/>
          <w:lang w:val="zh-CN"/>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3.5.4项目负责人具有有效的建设行政主管部门核发的安全生产考核合格证（B证）；</w:t>
      </w:r>
      <w:r>
        <w:rPr>
          <w:rFonts w:hint="eastAsia" w:ascii="宋体" w:hAnsi="宋体" w:eastAsia="宋体" w:cs="宋体"/>
          <w:color w:val="000000"/>
          <w:sz w:val="24"/>
          <w:szCs w:val="24"/>
          <w:highlight w:val="none"/>
          <w:lang w:val="zh-CN"/>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5.5项目负责人具有社保机构出具的供应商为项目负责人缴纳社会基本养老保险的近三个月任意一个月缴纳凭证。</w:t>
      </w:r>
      <w:r>
        <w:rPr>
          <w:rFonts w:hint="eastAsia" w:ascii="宋体" w:hAnsi="宋体" w:eastAsia="宋体" w:cs="宋体"/>
          <w:color w:val="000000"/>
          <w:sz w:val="24"/>
          <w:szCs w:val="24"/>
          <w:highlight w:val="none"/>
          <w:lang w:val="zh-CN"/>
        </w:rPr>
      </w:r>
      <w:r/>
    </w:p>
    <w:p>
      <w:pPr>
        <w:pStyle w:val="1140"/>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r>
        <w:rPr>
          <w:rFonts w:hint="eastAsia" w:ascii="宋体" w:hAnsi="宋体" w:eastAsia="宋体" w:cs="宋体"/>
          <w:b/>
          <w:bCs/>
          <w:color w:val="000000"/>
          <w:sz w:val="24"/>
          <w:szCs w:val="24"/>
          <w:highlight w:val="none"/>
        </w:rPr>
      </w:r>
      <w:r/>
    </w:p>
    <w:p>
      <w:pPr>
        <w:pStyle w:val="1140"/>
        <w:ind w:firstLine="480"/>
        <w:keepLines w:val="0"/>
        <w:keepNext w:val="0"/>
        <w:pageBreakBefore w:val="0"/>
        <w:spacing w:line="360" w:lineRule="auto"/>
        <w:rPr>
          <w:rFonts w:hint="eastAsia" w:ascii="宋体" w:hAnsi="宋体" w:eastAsia="宋体" w:cs="宋体"/>
          <w:sz w:val="24"/>
          <w:szCs w:val="24"/>
          <w:lang w:val="zh-CN" w:eastAsia="zh-CN"/>
        </w:rPr>
      </w:pPr>
      <w:r>
        <w:rPr>
          <w:rFonts w:hint="eastAsia" w:ascii="宋体" w:hAnsi="宋体" w:eastAsia="宋体" w:cs="宋体"/>
          <w:color w:val="000000"/>
          <w:sz w:val="24"/>
          <w:szCs w:val="24"/>
          <w:highlight w:val="none"/>
          <w:lang w:val="zh-CN"/>
        </w:rPr>
        <w:t xml:space="preserve">1.时间：</w:t>
      </w:r>
      <w:r>
        <w:rPr>
          <w:rFonts w:hint="eastAsia" w:ascii="宋体" w:hAnsi="宋体" w:eastAsia="宋体" w:cs="宋体"/>
          <w:sz w:val="24"/>
          <w:szCs w:val="24"/>
          <w:lang w:val="en-US" w:eastAsia="zh-CN"/>
        </w:rPr>
        <w:t xml:space="preserve">自磋商文件公告发布之日起5个工作日</w:t>
      </w:r>
      <w:r>
        <w:rPr>
          <w:rFonts w:hint="eastAsia" w:ascii="宋体" w:hAnsi="宋体" w:eastAsia="宋体" w:cs="宋体"/>
          <w:sz w:val="24"/>
          <w:szCs w:val="24"/>
          <w:lang w:val="zh-CN" w:eastAsia="zh-CN"/>
        </w:rPr>
      </w:r>
      <w:r/>
    </w:p>
    <w:p>
      <w:pPr>
        <w:pStyle w:val="114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w:t>
      </w:r>
      <w:r>
        <w:rPr>
          <w:rFonts w:hint="eastAsia" w:ascii="宋体" w:hAnsi="宋体" w:eastAsia="宋体" w:cs="宋体"/>
          <w:sz w:val="24"/>
          <w:szCs w:val="24"/>
          <w:lang w:val="en-US" w:eastAsia="zh-CN"/>
        </w:rPr>
        <w:t xml:space="preserve">“苏采云”政府采购一体化平台</w:t>
      </w:r>
      <w:r>
        <w:rPr>
          <w:rFonts w:hint="eastAsia" w:ascii="宋体" w:hAnsi="宋体" w:eastAsia="宋体" w:cs="宋体"/>
          <w:sz w:val="24"/>
          <w:szCs w:val="24"/>
        </w:rPr>
      </w:r>
      <w:r/>
    </w:p>
    <w:p>
      <w:pPr>
        <w:pStyle w:val="1140"/>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3.方式：供应商持CA数字认证证书登录</w:t>
      </w:r>
      <w:r>
        <w:rPr>
          <w:rFonts w:hint="eastAsia" w:ascii="宋体" w:hAnsi="宋体" w:eastAsia="宋体" w:cs="宋体"/>
          <w:sz w:val="24"/>
          <w:szCs w:val="24"/>
          <w:lang w:val="en-US" w:eastAsia="zh-CN"/>
        </w:rPr>
        <w:t xml:space="preserve">“苏采云”政府采购一体化平台</w:t>
      </w:r>
      <w:r>
        <w:rPr>
          <w:rFonts w:hint="eastAsia" w:ascii="宋体" w:hAnsi="宋体" w:eastAsia="宋体" w:cs="宋体"/>
          <w:sz w:val="24"/>
          <w:szCs w:val="24"/>
        </w:rPr>
        <w:t xml:space="preserve">（http://jszfcg.jsczt.cn/jszc/login）获取电子版磋商文件。</w:t>
      </w:r>
      <w:r>
        <w:rPr>
          <w:rFonts w:hint="eastAsia" w:ascii="宋体" w:hAnsi="宋体" w:eastAsia="宋体" w:cs="宋体"/>
          <w:sz w:val="24"/>
          <w:szCs w:val="24"/>
        </w:rPr>
      </w:r>
      <w:r/>
    </w:p>
    <w:p>
      <w:pPr>
        <w:pStyle w:val="1140"/>
        <w:ind w:firstLine="480"/>
        <w:keepLines w:val="0"/>
        <w:keepNext w:val="0"/>
        <w:pageBreakBefore w:val="0"/>
        <w:spacing w:line="360" w:lineRule="auto"/>
        <w:rPr>
          <w:rFonts w:hint="eastAsia" w:ascii="宋体" w:hAnsi="宋体" w:eastAsia="宋体" w:cs="宋体"/>
          <w:b/>
          <w:color w:val="000000"/>
          <w:spacing w:val="2"/>
          <w:sz w:val="24"/>
          <w:szCs w:val="24"/>
          <w:highlight w:val="none"/>
        </w:rPr>
      </w:pPr>
      <w:r>
        <w:rPr>
          <w:rFonts w:hint="eastAsia" w:ascii="宋体" w:hAnsi="宋体" w:eastAsia="宋体" w:cs="宋体"/>
          <w:color w:val="000000"/>
          <w:sz w:val="24"/>
          <w:szCs w:val="24"/>
          <w:highlight w:val="none"/>
          <w:lang w:val="zh-CN"/>
        </w:rPr>
        <w:t xml:space="preserve">4.售价：0元。</w:t>
      </w:r>
      <w:r>
        <w:rPr>
          <w:rFonts w:hint="eastAsia" w:ascii="宋体" w:hAnsi="宋体" w:eastAsia="宋体" w:cs="宋体"/>
          <w:b/>
          <w:color w:val="000000"/>
          <w:spacing w:val="2"/>
          <w:sz w:val="24"/>
          <w:szCs w:val="24"/>
          <w:highlight w:val="none"/>
        </w:rPr>
      </w:r>
      <w:r/>
    </w:p>
    <w:p>
      <w:pPr>
        <w:pStyle w:val="1140"/>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四、响应文件提交</w:t>
      </w:r>
      <w:r>
        <w:rPr>
          <w:rFonts w:hint="eastAsia" w:ascii="宋体" w:hAnsi="宋体" w:eastAsia="宋体" w:cs="宋体"/>
          <w:b/>
          <w:bCs/>
          <w:sz w:val="24"/>
          <w:szCs w:val="24"/>
        </w:rPr>
      </w:r>
      <w:r/>
    </w:p>
    <w:p>
      <w:pPr>
        <w:pStyle w:val="114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截止时间：</w:t>
      </w:r>
      <w:bookmarkStart w:id="10" w:name="XMTBJSR_1"/>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13:30</w:t>
      </w:r>
      <w:r>
        <w:rPr>
          <w:rFonts w:hint="eastAsia" w:ascii="宋体" w:hAnsi="宋体" w:eastAsia="宋体" w:cs="宋体"/>
          <w:sz w:val="24"/>
          <w:szCs w:val="24"/>
        </w:rPr>
        <w:t xml:space="preserve">（北京时间）</w:t>
      </w:r>
      <w:r>
        <w:rPr>
          <w:rFonts w:hint="eastAsia" w:ascii="宋体" w:hAnsi="宋体" w:eastAsia="宋体" w:cs="宋体"/>
          <w:sz w:val="24"/>
          <w:szCs w:val="24"/>
        </w:rPr>
      </w:r>
      <w:r/>
    </w:p>
    <w:p>
      <w:pPr>
        <w:pStyle w:val="114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地点：本项目采用不见面交易方式，无需到现场提交，供应商登录</w:t>
      </w:r>
      <w:r>
        <w:rPr>
          <w:rFonts w:hint="eastAsia" w:ascii="宋体" w:hAnsi="宋体" w:eastAsia="宋体" w:cs="宋体"/>
          <w:sz w:val="24"/>
          <w:szCs w:val="24"/>
          <w:lang w:val="en-US" w:eastAsia="zh-CN"/>
        </w:rPr>
        <w:t xml:space="preserve">“苏采云”政府采购一体化平台</w:t>
      </w:r>
      <w:r>
        <w:rPr>
          <w:rFonts w:hint="eastAsia" w:ascii="宋体" w:hAnsi="宋体" w:eastAsia="宋体" w:cs="宋体"/>
          <w:sz w:val="24"/>
          <w:szCs w:val="24"/>
        </w:rPr>
        <w:t xml:space="preserve">供应商端，通过系统在线提交电子响应文件</w:t>
      </w:r>
      <w:r>
        <w:rPr>
          <w:rFonts w:hint="eastAsia" w:ascii="宋体" w:hAnsi="宋体" w:eastAsia="宋体" w:cs="宋体"/>
          <w:sz w:val="24"/>
          <w:szCs w:val="24"/>
        </w:rPr>
      </w:r>
      <w:r/>
    </w:p>
    <w:p>
      <w:pPr>
        <w:pStyle w:val="1140"/>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五、开启</w:t>
      </w:r>
      <w:r>
        <w:rPr>
          <w:rFonts w:hint="eastAsia" w:ascii="宋体" w:hAnsi="宋体" w:eastAsia="宋体" w:cs="宋体"/>
          <w:b/>
          <w:bCs/>
          <w:sz w:val="24"/>
          <w:szCs w:val="24"/>
        </w:rPr>
      </w:r>
      <w:r/>
    </w:p>
    <w:p>
      <w:pPr>
        <w:pStyle w:val="114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w:t>
      </w:r>
      <w:bookmarkEnd w:id="10"/>
      <w:r/>
      <w:bookmarkStart w:id="11" w:name="XMTBJSR_2"/>
      <w:r>
        <w:rPr>
          <w:rFonts w:hint="eastAsia" w:ascii="宋体" w:hAnsi="宋体" w:eastAsia="宋体" w:cs="宋体"/>
          <w:sz w:val="24"/>
          <w:szCs w:val="24"/>
        </w:rPr>
        <w:t xml:space="preserve">20</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13:30</w:t>
      </w:r>
      <w:r>
        <w:rPr>
          <w:rFonts w:hint="eastAsia" w:ascii="宋体" w:hAnsi="宋体" w:eastAsia="宋体" w:cs="宋体"/>
          <w:sz w:val="24"/>
          <w:szCs w:val="24"/>
        </w:rPr>
        <w:t xml:space="preserve">（北京时间）</w:t>
      </w:r>
      <w:r>
        <w:rPr>
          <w:rFonts w:hint="eastAsia" w:ascii="宋体" w:hAnsi="宋体" w:eastAsia="宋体" w:cs="宋体"/>
          <w:sz w:val="24"/>
          <w:szCs w:val="24"/>
        </w:rPr>
      </w:r>
      <w:r/>
    </w:p>
    <w:p>
      <w:pPr>
        <w:pStyle w:val="114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地点：本项目采用不见面交易方式，无需到现场提交，供应商登录</w:t>
      </w:r>
      <w:r>
        <w:rPr>
          <w:rFonts w:hint="eastAsia" w:ascii="宋体" w:hAnsi="宋体" w:eastAsia="宋体" w:cs="宋体"/>
          <w:sz w:val="24"/>
          <w:szCs w:val="24"/>
          <w:lang w:val="en-US" w:eastAsia="zh-CN"/>
        </w:rPr>
        <w:t xml:space="preserve">“苏采云”政府采购一体化平台</w:t>
      </w:r>
      <w:r>
        <w:rPr>
          <w:rFonts w:hint="eastAsia" w:ascii="宋体" w:hAnsi="宋体" w:eastAsia="宋体" w:cs="宋体"/>
          <w:sz w:val="24"/>
          <w:szCs w:val="24"/>
        </w:rPr>
        <w:t xml:space="preserve">供应商端，通过系统在线解密电子响应文件</w:t>
      </w:r>
      <w:bookmarkEnd w:id="11"/>
      <w:r>
        <w:rPr>
          <w:rFonts w:hint="eastAsia" w:ascii="宋体" w:hAnsi="宋体" w:eastAsia="宋体" w:cs="宋体"/>
          <w:sz w:val="24"/>
          <w:szCs w:val="24"/>
        </w:rPr>
      </w:r>
      <w:r/>
    </w:p>
    <w:p>
      <w:pPr>
        <w:pStyle w:val="1140"/>
        <w:ind w:firstLine="490"/>
        <w:keepLines w:val="0"/>
        <w:keepNext w:val="0"/>
        <w:pageBreakBefore w:val="0"/>
        <w:spacing w:line="360" w:lineRule="auto"/>
        <w:rPr>
          <w:rFonts w:hint="eastAsia" w:ascii="宋体" w:hAnsi="宋体" w:eastAsia="宋体" w:cs="宋体"/>
          <w:b/>
          <w:color w:val="000000"/>
          <w:spacing w:val="2"/>
          <w:sz w:val="24"/>
          <w:szCs w:val="24"/>
          <w:highlight w:val="none"/>
        </w:rPr>
      </w:pPr>
      <w:r>
        <w:rPr>
          <w:rFonts w:hint="eastAsia" w:ascii="宋体" w:hAnsi="宋体" w:eastAsia="宋体" w:cs="宋体"/>
          <w:b/>
          <w:color w:val="000000"/>
          <w:spacing w:val="2"/>
          <w:sz w:val="24"/>
          <w:szCs w:val="24"/>
          <w:highlight w:val="none"/>
        </w:rPr>
        <w:t xml:space="preserve">六、公告期限</w:t>
      </w:r>
      <w:r>
        <w:rPr>
          <w:rFonts w:hint="eastAsia" w:ascii="宋体" w:hAnsi="宋体" w:eastAsia="宋体" w:cs="宋体"/>
          <w:b/>
          <w:color w:val="000000"/>
          <w:spacing w:val="2"/>
          <w:sz w:val="24"/>
          <w:szCs w:val="24"/>
          <w:highlight w:val="none"/>
        </w:rPr>
      </w:r>
      <w:r/>
    </w:p>
    <w:p>
      <w:pPr>
        <w:pStyle w:val="1140"/>
        <w:ind w:firstLine="488"/>
        <w:keepLines w:val="0"/>
        <w:keepNext w:val="0"/>
        <w:pageBreakBefore w:val="0"/>
        <w:spacing w:line="360" w:lineRule="auto"/>
        <w:rPr>
          <w:rFonts w:hint="eastAsia" w:ascii="宋体" w:hAnsi="宋体" w:eastAsia="宋体" w:cs="宋体"/>
          <w:b/>
          <w:color w:val="000000"/>
          <w:spacing w:val="2"/>
          <w:sz w:val="24"/>
          <w:szCs w:val="24"/>
          <w:highlight w:val="none"/>
        </w:rPr>
      </w:pPr>
      <w:r>
        <w:rPr>
          <w:rFonts w:hint="eastAsia" w:ascii="宋体" w:hAnsi="宋体" w:eastAsia="宋体" w:cs="宋体"/>
          <w:bCs/>
          <w:color w:val="000000"/>
          <w:spacing w:val="2"/>
          <w:sz w:val="24"/>
          <w:szCs w:val="24"/>
          <w:highlight w:val="none"/>
        </w:rPr>
        <w:t xml:space="preserve">自本公告发布之日起</w:t>
      </w:r>
      <w:r>
        <w:rPr>
          <w:rFonts w:hint="eastAsia" w:ascii="宋体" w:hAnsi="宋体" w:eastAsia="宋体" w:cs="宋体"/>
          <w:bCs/>
          <w:color w:val="000000"/>
          <w:spacing w:val="2"/>
          <w:sz w:val="24"/>
          <w:szCs w:val="24"/>
          <w:highlight w:val="none"/>
          <w:lang w:val="en-US" w:eastAsia="zh-CN"/>
        </w:rPr>
        <w:t xml:space="preserve">3</w:t>
      </w:r>
      <w:r>
        <w:rPr>
          <w:rFonts w:hint="eastAsia" w:ascii="宋体" w:hAnsi="宋体" w:eastAsia="宋体" w:cs="宋体"/>
          <w:bCs/>
          <w:color w:val="000000"/>
          <w:spacing w:val="2"/>
          <w:sz w:val="24"/>
          <w:szCs w:val="24"/>
          <w:highlight w:val="none"/>
        </w:rPr>
        <w:t xml:space="preserve">个工作日。</w:t>
      </w:r>
      <w:r>
        <w:rPr>
          <w:rFonts w:hint="eastAsia" w:ascii="宋体" w:hAnsi="宋体" w:eastAsia="宋体" w:cs="宋体"/>
          <w:b/>
          <w:color w:val="000000"/>
          <w:spacing w:val="2"/>
          <w:sz w:val="24"/>
          <w:szCs w:val="24"/>
          <w:highlight w:val="none"/>
        </w:rPr>
      </w:r>
      <w:r/>
    </w:p>
    <w:p>
      <w:pPr>
        <w:pStyle w:val="1140"/>
        <w:ind w:firstLine="49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pacing w:val="2"/>
          <w:sz w:val="24"/>
          <w:szCs w:val="24"/>
          <w:highlight w:val="none"/>
        </w:rPr>
        <w:t xml:space="preserve">七、其他补充事宜</w:t>
      </w:r>
      <w:r>
        <w:rPr>
          <w:rFonts w:hint="eastAsia" w:ascii="宋体" w:hAnsi="宋体" w:eastAsia="宋体" w:cs="宋体"/>
          <w:color w:val="000000"/>
          <w:sz w:val="24"/>
          <w:szCs w:val="24"/>
          <w:highlight w:val="none"/>
        </w:rPr>
      </w:r>
      <w:r/>
    </w:p>
    <w:p>
      <w:pPr>
        <w:pStyle w:val="1140"/>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1.本项目采用不见面交易方式，请供应商认真学习常州市政府采购网发布的相关操作手册，办理CA认证证书、进行</w:t>
      </w:r>
      <w:r>
        <w:rPr>
          <w:rFonts w:hint="eastAsia" w:ascii="宋体" w:hAnsi="宋体" w:eastAsia="宋体" w:cs="宋体"/>
          <w:sz w:val="24"/>
          <w:szCs w:val="24"/>
          <w:lang w:val="en-US" w:eastAsia="zh-CN"/>
        </w:rPr>
        <w:t xml:space="preserve">“苏采云”政府采购一体化平台</w:t>
      </w:r>
      <w:r>
        <w:rPr>
          <w:rFonts w:hint="eastAsia" w:ascii="宋体" w:hAnsi="宋体" w:eastAsia="宋体" w:cs="宋体"/>
          <w:sz w:val="24"/>
          <w:szCs w:val="24"/>
        </w:rPr>
        <w:t xml:space="preserve">注册绑定，并认真核实数字认证证书情况确认是否符合本项目电子化采购流程要求</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4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信用融资：</w:t>
      </w:r>
      <w:r>
        <w:rPr>
          <w:rFonts w:hint="eastAsia" w:ascii="宋体" w:hAnsi="宋体" w:eastAsia="宋体" w:cs="宋体"/>
          <w:sz w:val="24"/>
          <w:szCs w:val="24"/>
        </w:rPr>
      </w:r>
      <w:r/>
    </w:p>
    <w:p>
      <w:pPr>
        <w:pStyle w:val="1140"/>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40"/>
        <w:ind w:firstLine="490"/>
        <w:keepLines w:val="0"/>
        <w:keepNext w:val="0"/>
        <w:pageBreakBefore w:val="0"/>
        <w:spacing w:line="360" w:lineRule="auto"/>
        <w:rPr>
          <w:rFonts w:hint="eastAsia" w:ascii="宋体" w:hAnsi="宋体" w:eastAsia="宋体" w:cs="宋体"/>
          <w:b/>
          <w:color w:val="000000"/>
          <w:spacing w:val="2"/>
          <w:sz w:val="24"/>
          <w:szCs w:val="24"/>
          <w:highlight w:val="none"/>
        </w:rPr>
      </w:pPr>
      <w:r>
        <w:rPr>
          <w:rFonts w:hint="eastAsia" w:ascii="宋体" w:hAnsi="宋体" w:eastAsia="宋体" w:cs="宋体"/>
          <w:b/>
          <w:color w:val="000000"/>
          <w:spacing w:val="2"/>
          <w:sz w:val="24"/>
          <w:szCs w:val="24"/>
          <w:highlight w:val="none"/>
        </w:rPr>
        <w:t xml:space="preserve">八、凡对本次采购提出询问，请按以下方式联系：</w:t>
      </w:r>
      <w:r>
        <w:rPr>
          <w:rFonts w:hint="eastAsia" w:ascii="宋体" w:hAnsi="宋体" w:eastAsia="宋体" w:cs="宋体"/>
          <w:b/>
          <w:color w:val="000000"/>
          <w:spacing w:val="2"/>
          <w:sz w:val="24"/>
          <w:szCs w:val="24"/>
          <w:highlight w:val="none"/>
        </w:rPr>
      </w:r>
      <w:r/>
    </w:p>
    <w:p>
      <w:pPr>
        <w:pStyle w:val="1140"/>
        <w:ind w:firstLine="488"/>
        <w:keepLines w:val="0"/>
        <w:keepNext w:val="0"/>
        <w:pageBreakBefore w:val="0"/>
        <w:spacing w:line="360" w:lineRule="auto"/>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1.采购人信息</w:t>
      </w:r>
      <w:r>
        <w:rPr>
          <w:rFonts w:hint="eastAsia" w:ascii="宋体" w:hAnsi="宋体" w:eastAsia="宋体" w:cs="宋体"/>
          <w:bCs/>
          <w:color w:val="000000"/>
          <w:spacing w:val="2"/>
          <w:sz w:val="24"/>
          <w:szCs w:val="24"/>
          <w:highlight w:val="none"/>
        </w:rPr>
      </w:r>
      <w:r/>
    </w:p>
    <w:p>
      <w:pPr>
        <w:pStyle w:val="1140"/>
        <w:ind w:firstLine="488"/>
        <w:keepLines w:val="0"/>
        <w:keepNext w:val="0"/>
        <w:pageBreakBefore w:val="0"/>
        <w:spacing w:line="360" w:lineRule="auto"/>
        <w:rPr>
          <w:rFonts w:hint="eastAsia" w:ascii="宋体" w:hAnsi="宋体" w:eastAsia="宋体" w:cs="宋体"/>
          <w:bCs/>
          <w:color w:val="000000"/>
          <w:spacing w:val="2"/>
          <w:sz w:val="24"/>
          <w:szCs w:val="24"/>
          <w:highlight w:val="none"/>
          <w:lang w:eastAsia="zh-CN"/>
        </w:rPr>
      </w:pPr>
      <w:r>
        <w:rPr>
          <w:rFonts w:hint="eastAsia" w:ascii="宋体" w:hAnsi="宋体" w:eastAsia="宋体" w:cs="宋体"/>
          <w:bCs/>
          <w:color w:val="000000"/>
          <w:spacing w:val="2"/>
          <w:sz w:val="24"/>
          <w:szCs w:val="24"/>
          <w:highlight w:val="none"/>
        </w:rPr>
        <w:t xml:space="preserve">名   称：</w:t>
      </w:r>
      <w:r>
        <w:rPr>
          <w:rFonts w:hint="eastAsia" w:ascii="宋体" w:hAnsi="宋体" w:eastAsia="宋体" w:cs="宋体"/>
          <w:bCs/>
          <w:color w:val="000000"/>
          <w:spacing w:val="2"/>
          <w:sz w:val="24"/>
          <w:szCs w:val="24"/>
          <w:highlight w:val="none"/>
          <w:lang w:eastAsia="zh-CN"/>
        </w:rPr>
        <w:t xml:space="preserve">常州市天宁区青龙街道办事处</w:t>
      </w:r>
      <w:r>
        <w:rPr>
          <w:rFonts w:hint="eastAsia" w:ascii="宋体" w:hAnsi="宋体" w:eastAsia="宋体" w:cs="宋体"/>
          <w:bCs/>
          <w:color w:val="000000"/>
          <w:spacing w:val="2"/>
          <w:sz w:val="24"/>
          <w:szCs w:val="24"/>
          <w:highlight w:val="none"/>
          <w:lang w:eastAsia="zh-CN"/>
        </w:rPr>
      </w:r>
      <w:r/>
    </w:p>
    <w:p>
      <w:pPr>
        <w:pStyle w:val="1140"/>
        <w:ind w:firstLine="488"/>
        <w:keepLines w:val="0"/>
        <w:keepNext w:val="0"/>
        <w:pageBreakBefore w:val="0"/>
        <w:spacing w:line="360" w:lineRule="auto"/>
        <w:rPr>
          <w:rFonts w:hint="eastAsia"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rPr>
        <w:t xml:space="preserve">地   址：</w:t>
      </w:r>
      <w:r>
        <w:rPr>
          <w:rFonts w:hint="eastAsia" w:ascii="宋体" w:hAnsi="宋体" w:eastAsia="宋体" w:cs="宋体"/>
          <w:bCs/>
          <w:color w:val="000000"/>
          <w:spacing w:val="2"/>
          <w:sz w:val="24"/>
          <w:szCs w:val="24"/>
          <w:highlight w:val="none"/>
          <w:lang w:val="en-US" w:eastAsia="zh-CN"/>
        </w:rPr>
        <w:t xml:space="preserve">常州市天宁区青龙街道</w:t>
      </w:r>
      <w:r>
        <w:rPr>
          <w:rFonts w:hint="eastAsia" w:ascii="宋体" w:hAnsi="宋体" w:eastAsia="宋体" w:cs="宋体"/>
          <w:bCs/>
          <w:color w:val="000000"/>
          <w:spacing w:val="2"/>
          <w:sz w:val="24"/>
          <w:szCs w:val="24"/>
          <w:highlight w:val="none"/>
          <w:lang w:val="en-US" w:eastAsia="zh-CN"/>
        </w:rPr>
      </w:r>
      <w:r/>
    </w:p>
    <w:p>
      <w:pPr>
        <w:pStyle w:val="1140"/>
        <w:ind w:firstLine="488"/>
        <w:keepLines w:val="0"/>
        <w:keepNext w:val="0"/>
        <w:pageBreakBefore w:val="0"/>
        <w:spacing w:line="360" w:lineRule="auto"/>
        <w:rPr>
          <w:rFonts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lang w:val="en-US" w:eastAsia="zh-CN"/>
        </w:rPr>
        <w:t xml:space="preserve">联 系 人：孙女士</w:t>
      </w:r>
      <w:r>
        <w:rPr>
          <w:rFonts w:ascii="宋体" w:hAnsi="宋体" w:eastAsia="宋体" w:cs="宋体"/>
          <w:bCs/>
          <w:color w:val="000000"/>
          <w:spacing w:val="2"/>
          <w:sz w:val="24"/>
          <w:szCs w:val="24"/>
          <w:highlight w:val="none"/>
          <w:lang w:val="en-US" w:eastAsia="zh-CN"/>
        </w:rPr>
      </w:r>
      <w:r/>
    </w:p>
    <w:p>
      <w:pPr>
        <w:pStyle w:val="1140"/>
        <w:ind w:firstLine="488"/>
        <w:keepLines w:val="0"/>
        <w:keepNext w:val="0"/>
        <w:pageBreakBefore w:val="0"/>
        <w:spacing w:line="360" w:lineRule="auto"/>
        <w:rPr>
          <w:rFonts w:hint="eastAsia"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lang w:val="zh-CN" w:eastAsia="zh-CN"/>
        </w:rPr>
        <w:t xml:space="preserve">电　</w:t>
      </w:r>
      <w:r>
        <w:rPr>
          <w:rFonts w:hint="eastAsia" w:ascii="宋体" w:hAnsi="宋体" w:eastAsia="宋体" w:cs="宋体"/>
          <w:bCs/>
          <w:color w:val="000000"/>
          <w:spacing w:val="2"/>
          <w:sz w:val="24"/>
          <w:szCs w:val="24"/>
          <w:highlight w:val="none"/>
          <w:lang w:val="en-US" w:eastAsia="zh-CN"/>
        </w:rPr>
        <w:t xml:space="preserve"> </w:t>
      </w:r>
      <w:r>
        <w:rPr>
          <w:rFonts w:hint="eastAsia" w:ascii="宋体" w:hAnsi="宋体" w:eastAsia="宋体" w:cs="宋体"/>
          <w:bCs/>
          <w:color w:val="000000"/>
          <w:spacing w:val="2"/>
          <w:sz w:val="24"/>
          <w:szCs w:val="24"/>
          <w:highlight w:val="none"/>
          <w:lang w:val="zh-CN" w:eastAsia="zh-CN"/>
        </w:rPr>
        <w:t xml:space="preserve">话：</w:t>
      </w:r>
      <w:r>
        <w:rPr>
          <w:rFonts w:hint="eastAsia" w:ascii="宋体" w:hAnsi="宋体" w:eastAsia="宋体" w:cs="宋体"/>
          <w:bCs/>
          <w:color w:val="000000"/>
          <w:spacing w:val="2"/>
          <w:sz w:val="24"/>
          <w:szCs w:val="24"/>
          <w:highlight w:val="none"/>
          <w:lang w:val="en-US" w:eastAsia="zh-CN"/>
        </w:rPr>
        <w:t xml:space="preserve">0519-85506800</w:t>
      </w:r>
      <w:r>
        <w:rPr>
          <w:rFonts w:hint="eastAsia" w:ascii="宋体" w:hAnsi="宋体" w:eastAsia="宋体" w:cs="宋体"/>
          <w:bCs/>
          <w:color w:val="000000"/>
          <w:spacing w:val="2"/>
          <w:sz w:val="24"/>
          <w:szCs w:val="24"/>
          <w:highlight w:val="none"/>
          <w:lang w:val="en-US" w:eastAsia="zh-CN"/>
        </w:rPr>
      </w:r>
      <w:r/>
    </w:p>
    <w:p>
      <w:pPr>
        <w:pStyle w:val="1140"/>
        <w:ind w:firstLine="488"/>
        <w:keepLines w:val="0"/>
        <w:keepNext w:val="0"/>
        <w:pageBreakBefore w:val="0"/>
        <w:spacing w:line="360" w:lineRule="auto"/>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2.采购代理机构信息</w:t>
      </w:r>
      <w:r>
        <w:rPr>
          <w:rFonts w:hint="eastAsia" w:ascii="宋体" w:hAnsi="宋体" w:eastAsia="宋体" w:cs="宋体"/>
          <w:bCs/>
          <w:color w:val="000000"/>
          <w:spacing w:val="2"/>
          <w:sz w:val="24"/>
          <w:szCs w:val="24"/>
          <w:highlight w:val="none"/>
        </w:rPr>
      </w:r>
      <w:r/>
    </w:p>
    <w:p>
      <w:pPr>
        <w:pStyle w:val="1140"/>
        <w:ind w:firstLine="488"/>
        <w:keepLines w:val="0"/>
        <w:keepNext w:val="0"/>
        <w:pageBreakBefore w:val="0"/>
        <w:spacing w:line="360" w:lineRule="auto"/>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名 称：常州正衡招投标有限公司 </w:t>
      </w:r>
      <w:r>
        <w:rPr>
          <w:rFonts w:hint="eastAsia" w:ascii="宋体" w:hAnsi="宋体" w:eastAsia="宋体" w:cs="宋体"/>
          <w:bCs/>
          <w:color w:val="000000"/>
          <w:spacing w:val="2"/>
          <w:sz w:val="24"/>
          <w:szCs w:val="24"/>
          <w:highlight w:val="none"/>
        </w:rPr>
      </w:r>
      <w:r/>
    </w:p>
    <w:p>
      <w:pPr>
        <w:pStyle w:val="1140"/>
        <w:ind w:firstLine="488"/>
        <w:keepLines w:val="0"/>
        <w:keepNext w:val="0"/>
        <w:pageBreakBefore w:val="0"/>
        <w:spacing w:line="360" w:lineRule="auto"/>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地 址：常州市</w:t>
      </w:r>
      <w:r>
        <w:rPr>
          <w:rFonts w:hint="eastAsia" w:ascii="宋体" w:hAnsi="宋体" w:eastAsia="宋体" w:cs="宋体"/>
          <w:color w:val="000000"/>
          <w:sz w:val="24"/>
          <w:szCs w:val="24"/>
          <w:highlight w:val="none"/>
          <w:lang w:val="zh-CN"/>
        </w:rPr>
        <w:t xml:space="preserve">新北区新城府翰苑6栋9楼</w:t>
      </w:r>
      <w:r>
        <w:rPr>
          <w:rFonts w:hint="eastAsia" w:ascii="宋体" w:hAnsi="宋体" w:eastAsia="宋体" w:cs="宋体"/>
          <w:bCs/>
          <w:color w:val="000000"/>
          <w:spacing w:val="2"/>
          <w:sz w:val="24"/>
          <w:szCs w:val="24"/>
          <w:highlight w:val="none"/>
        </w:rPr>
      </w:r>
      <w:r/>
    </w:p>
    <w:p>
      <w:pPr>
        <w:pStyle w:val="1140"/>
        <w:ind w:firstLine="488"/>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Cs/>
          <w:color w:val="000000"/>
          <w:spacing w:val="2"/>
          <w:sz w:val="24"/>
          <w:szCs w:val="24"/>
          <w:highlight w:val="none"/>
        </w:rPr>
        <w:t xml:space="preserve">3.项目联系方式</w:t>
      </w:r>
      <w:r>
        <w:rPr>
          <w:rFonts w:hint="eastAsia" w:ascii="宋体" w:hAnsi="宋体" w:eastAsia="宋体" w:cs="宋体"/>
          <w:color w:val="000000"/>
          <w:sz w:val="24"/>
          <w:szCs w:val="24"/>
          <w:highlight w:val="none"/>
          <w:lang w:val="zh-CN"/>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rPr>
        <w:t xml:space="preserve">项目联系人：</w:t>
      </w:r>
      <w:r>
        <w:rPr>
          <w:rFonts w:hint="eastAsia" w:ascii="宋体" w:hAnsi="宋体" w:eastAsia="宋体" w:cs="宋体"/>
          <w:color w:val="000000"/>
          <w:sz w:val="24"/>
          <w:szCs w:val="24"/>
          <w:highlight w:val="none"/>
          <w:lang w:val="en-US" w:eastAsia="zh-CN"/>
        </w:rPr>
        <w:t xml:space="preserve">刘欢</w:t>
      </w:r>
      <w:r>
        <w:rPr>
          <w:rFonts w:hint="eastAsia" w:ascii="宋体" w:hAnsi="宋体" w:eastAsia="宋体" w:cs="宋体"/>
          <w:color w:val="000000"/>
          <w:sz w:val="24"/>
          <w:szCs w:val="24"/>
          <w:highlight w:val="none"/>
          <w:lang w:val="zh-CN" w:eastAsia="zh-CN"/>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电　话：0519-8</w:t>
      </w:r>
      <w:r>
        <w:rPr>
          <w:rFonts w:hint="eastAsia" w:ascii="宋体" w:hAnsi="宋体" w:eastAsia="宋体" w:cs="宋体"/>
          <w:color w:val="000000"/>
          <w:sz w:val="24"/>
          <w:szCs w:val="24"/>
          <w:highlight w:val="none"/>
          <w:lang w:val="en-US" w:eastAsia="zh-CN"/>
        </w:rPr>
        <w:t xml:space="preserve">5510566</w:t>
      </w:r>
      <w:bookmarkStart w:id="12" w:name="XMDW_2"/>
      <w:r/>
      <w:bookmarkStart w:id="13" w:name="_Toc353873938"/>
      <w:r/>
      <w:bookmarkStart w:id="14" w:name="_Toc127161488"/>
      <w:r/>
      <w:bookmarkStart w:id="15" w:name="_Toc127151777"/>
      <w:r/>
      <w:bookmarkStart w:id="16" w:name="_Toc265228423"/>
      <w:r/>
      <w:bookmarkStart w:id="17" w:name="_Toc195842950"/>
      <w:r/>
      <w:bookmarkStart w:id="18" w:name="_Toc353825548"/>
      <w:r/>
      <w:bookmarkStart w:id="19" w:name="_Toc305158928"/>
      <w:r/>
      <w:bookmarkStart w:id="20" w:name="_Toc226965856"/>
      <w:r/>
      <w:bookmarkStart w:id="21" w:name="_Toc512937850"/>
      <w:r/>
      <w:bookmarkStart w:id="22" w:name="_Toc264969275"/>
      <w:r/>
      <w:bookmarkStart w:id="23" w:name="_Toc305158854"/>
      <w:r/>
      <w:bookmarkStart w:id="24" w:name="_Toc150774783"/>
      <w:r>
        <w:rPr>
          <w:rFonts w:hint="eastAsia" w:ascii="宋体" w:hAnsi="宋体" w:eastAsia="宋体" w:cs="宋体"/>
          <w:color w:val="000000"/>
          <w:sz w:val="24"/>
          <w:szCs w:val="24"/>
          <w:highlight w:val="none"/>
          <w:lang w:val="en-US" w:eastAsia="zh-CN"/>
        </w:rPr>
      </w:r>
      <w:r/>
    </w:p>
    <w:p>
      <w:pPr>
        <w:pStyle w:val="1140"/>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电子化招投标技术支持电话：0519-85588210</w:t>
      </w:r>
      <w:r>
        <w:rPr>
          <w:rFonts w:hint="eastAsia" w:ascii="宋体" w:hAnsi="宋体" w:eastAsia="宋体" w:cs="宋体"/>
          <w:color w:val="000000"/>
          <w:sz w:val="24"/>
          <w:szCs w:val="24"/>
          <w:highlight w:val="none"/>
          <w:lang w:val="zh-CN"/>
        </w:rPr>
      </w:r>
      <w:r/>
    </w:p>
    <w:p>
      <w:pPr>
        <w:pStyle w:val="1140"/>
        <w:jc w:val="center"/>
        <w:spacing w:line="360" w:lineRule="auto"/>
        <w:rPr>
          <w:b/>
          <w:color w:val="000000"/>
          <w:sz w:val="32"/>
          <w:szCs w:val="32"/>
          <w:highlight w:val="none"/>
        </w:rPr>
      </w:pPr>
      <w:r/>
      <w:bookmarkEnd w:id="12"/>
      <w:r/>
      <w:bookmarkStart w:id="25" w:name="_Toc5796"/>
      <w:r>
        <w:rPr>
          <w:b/>
          <w:color w:val="000000"/>
          <w:sz w:val="36"/>
          <w:szCs w:val="36"/>
          <w:highlight w:val="none"/>
        </w:rPr>
        <w:br w:type="page" w:clear="all"/>
      </w:r>
      <w:r>
        <w:rPr>
          <w:b/>
          <w:color w:val="000000"/>
          <w:sz w:val="36"/>
          <w:szCs w:val="36"/>
          <w:highlight w:val="none"/>
        </w:rPr>
        <w:t xml:space="preserve">第二章   供应商须知</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Pr>
          <w:b/>
          <w:color w:val="000000"/>
          <w:sz w:val="32"/>
          <w:szCs w:val="32"/>
          <w:highlight w:val="none"/>
        </w:rPr>
      </w:r>
      <w:r/>
    </w:p>
    <w:p>
      <w:pPr>
        <w:pStyle w:val="1142"/>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26" w:name="_Toc150774724"/>
      <w:r/>
      <w:bookmarkStart w:id="27" w:name="_Toc151193761"/>
      <w:r/>
      <w:bookmarkStart w:id="28" w:name="_Toc142311021"/>
      <w:r/>
      <w:bookmarkStart w:id="29" w:name="_Toc164608633"/>
      <w:r/>
      <w:bookmarkStart w:id="30" w:name="_Toc226965709"/>
      <w:r/>
      <w:bookmarkStart w:id="31" w:name="_Toc226309763"/>
      <w:r/>
      <w:bookmarkStart w:id="32" w:name="_Toc151190146"/>
      <w:r/>
      <w:bookmarkStart w:id="33" w:name="_Toc150774619"/>
      <w:r/>
      <w:bookmarkStart w:id="34" w:name="_Toc164229214"/>
      <w:r/>
      <w:bookmarkStart w:id="35" w:name="_Toc150509270"/>
      <w:r/>
      <w:bookmarkStart w:id="36" w:name="_Toc164351613"/>
      <w:r/>
      <w:bookmarkStart w:id="37" w:name="_Toc164608788"/>
      <w:r/>
      <w:bookmarkStart w:id="38" w:name="_Toc127161433"/>
      <w:r/>
      <w:bookmarkStart w:id="39" w:name="_Toc226337215"/>
      <w:r/>
      <w:bookmarkStart w:id="40" w:name="_Toc149720812"/>
      <w:r/>
      <w:bookmarkStart w:id="41" w:name="_Toc226965792"/>
      <w:r/>
      <w:bookmarkStart w:id="42" w:name="_Toc151193689"/>
      <w:r/>
      <w:bookmarkStart w:id="43" w:name="_Toc164229360"/>
      <w:r/>
      <w:bookmarkStart w:id="44" w:name="_Toc195842884"/>
      <w:r/>
      <w:bookmarkStart w:id="45" w:name="_Toc150480757"/>
      <w:r/>
      <w:bookmarkStart w:id="46" w:name="_Toc151193833"/>
      <w:r/>
      <w:bookmarkStart w:id="47" w:name="_Toc151193907"/>
      <w:r/>
      <w:bookmarkStart w:id="48" w:name="_Toc520356144"/>
      <w:r/>
      <w:bookmarkStart w:id="49" w:name="_Toc127151519"/>
      <w:r/>
      <w:bookmarkStart w:id="50" w:name="_Toc151193617"/>
      <w:r/>
      <w:bookmarkStart w:id="51" w:name="_Toc127151720"/>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p>
      <w:pPr>
        <w:pStyle w:val="1140"/>
        <w:ind w:firstLine="480"/>
        <w:spacing w:line="360" w:lineRule="auto"/>
        <w:rPr>
          <w:b/>
          <w:color w:val="000000"/>
          <w:sz w:val="28"/>
          <w:szCs w:val="28"/>
          <w:highlight w:val="none"/>
        </w:rPr>
      </w:pPr>
      <w:r>
        <w:rPr>
          <w:color w:val="000000"/>
          <w:sz w:val="24"/>
          <w:highlight w:val="none"/>
        </w:rPr>
        <w:t xml:space="preserve">本表是对供应商须知的具体补充和修改，如有矛盾，均以本资料表为准。标记“</w:t>
      </w:r>
      <w:r>
        <w:rPr>
          <w:rFonts w:ascii="Wingdings 2" w:hAnsi="Wingdings 2" w:eastAsia="Wingdings 2" w:cs="Wingdings 2"/>
          <w:color w:val="000000"/>
          <w:sz w:val="24"/>
          <w:highlight w:val="none"/>
        </w:rPr>
        <w:t xml:space="preserve">R</w:t>
      </w:r>
      <w:r>
        <w:rPr>
          <w:color w:val="000000"/>
          <w:sz w:val="24"/>
          <w:highlight w:val="none"/>
        </w:rPr>
        <w:t xml:space="preserve">”的选项意为适用于本项目，标记“</w:t>
      </w:r>
      <w:r>
        <w:rPr>
          <w:color w:val="000000"/>
          <w:highlight w:val="none"/>
        </w:rPr>
        <w:t xml:space="preserve">□</w:t>
      </w:r>
      <w:r>
        <w:rPr>
          <w:color w:val="000000"/>
          <w:sz w:val="24"/>
          <w:highlight w:val="none"/>
        </w:rPr>
        <w:t xml:space="preserve">”的选项意为不适用于本项目。</w:t>
      </w:r>
      <w:r>
        <w:rPr>
          <w:b/>
          <w:color w:val="000000"/>
          <w:sz w:val="28"/>
          <w:szCs w:val="28"/>
          <w:highlight w:val="none"/>
        </w:rPr>
      </w:r>
      <w:r/>
    </w:p>
    <w:tbl>
      <w:tblPr>
        <w:tblW w:w="91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484"/>
      </w:tblGrid>
      <w:tr>
        <w:trPr>
          <w:trHeight w:val="594"/>
          <w:tblHeader/>
        </w:trPr>
        <w:tc>
          <w:tcPr>
            <w:tcW w:w="988" w:type="dxa"/>
            <w:vAlign w:val="center"/>
            <w:textDirection w:val="lrTb"/>
            <w:noWrap w:val="false"/>
          </w:tcPr>
          <w:p>
            <w:pPr>
              <w:pStyle w:val="1140"/>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1140"/>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6484" w:type="dxa"/>
            <w:vAlign w:val="center"/>
            <w:textDirection w:val="lrTb"/>
            <w:noWrap w:val="false"/>
          </w:tcPr>
          <w:p>
            <w:pPr>
              <w:pStyle w:val="1140"/>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179"/>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2.2</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140"/>
              <w:jc w:val="center"/>
              <w:rPr>
                <w:color w:val="000000"/>
                <w:sz w:val="24"/>
                <w:highlight w:val="none"/>
              </w:rPr>
            </w:pPr>
            <w:r>
              <w:rPr>
                <w:color w:val="000000"/>
                <w:sz w:val="24"/>
                <w:highlight w:val="none"/>
              </w:rPr>
              <w:t xml:space="preserve">项目属性</w:t>
            </w:r>
            <w:r>
              <w:rPr>
                <w:color w:val="000000"/>
                <w:sz w:val="24"/>
                <w:highlight w:val="none"/>
              </w:rPr>
            </w:r>
            <w:r/>
          </w:p>
        </w:tc>
        <w:tc>
          <w:tcPr>
            <w:tcW w:w="6484" w:type="dxa"/>
            <w:vAlign w:val="center"/>
            <w:textDirection w:val="lrTb"/>
            <w:noWrap w:val="false"/>
          </w:tcPr>
          <w:p>
            <w:pPr>
              <w:pStyle w:val="1140"/>
              <w:jc w:val="left"/>
              <w:rPr>
                <w:color w:val="000000"/>
                <w:sz w:val="24"/>
                <w:highlight w:val="none"/>
                <w:u w:val="single"/>
              </w:rPr>
            </w:pPr>
            <w:r>
              <w:rPr>
                <w:color w:val="000000"/>
                <w:sz w:val="24"/>
                <w:highlight w:val="none"/>
              </w:rPr>
              <w:t xml:space="preserve">项目属性：</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179"/>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2.3</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140"/>
              <w:jc w:val="center"/>
              <w:rPr>
                <w:color w:val="000000"/>
                <w:sz w:val="24"/>
                <w:highlight w:val="none"/>
              </w:rPr>
            </w:pPr>
            <w:r>
              <w:rPr>
                <w:color w:val="000000"/>
                <w:sz w:val="24"/>
                <w:highlight w:val="none"/>
              </w:rPr>
              <w:t xml:space="preserve">科研仪器设备</w:t>
            </w:r>
            <w:r>
              <w:rPr>
                <w:color w:val="000000"/>
                <w:sz w:val="24"/>
                <w:highlight w:val="none"/>
              </w:rPr>
            </w:r>
            <w:r/>
          </w:p>
        </w:tc>
        <w:tc>
          <w:tcPr>
            <w:tcW w:w="6484" w:type="dxa"/>
            <w:vAlign w:val="center"/>
            <w:textDirection w:val="lrTb"/>
            <w:noWrap w:val="false"/>
          </w:tcPr>
          <w:p>
            <w:pPr>
              <w:pStyle w:val="1140"/>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1140"/>
              <w:jc w:val="lef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是</w:t>
            </w:r>
            <w:r>
              <w:rPr>
                <w:color w:val="000000"/>
                <w:sz w:val="24"/>
                <w:highlight w:val="none"/>
              </w:rPr>
            </w:r>
            <w:r/>
          </w:p>
          <w:p>
            <w:pPr>
              <w:pStyle w:val="1140"/>
              <w:jc w:val="left"/>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否</w:t>
            </w:r>
            <w:r>
              <w:rPr>
                <w:color w:val="000000"/>
                <w:sz w:val="24"/>
                <w:highlight w:val="none"/>
              </w:rPr>
            </w:r>
            <w:r/>
          </w:p>
        </w:tc>
      </w:tr>
      <w:tr>
        <w:trPr>
          <w:trHeight w:val="20"/>
        </w:trPr>
        <w:tc>
          <w:tcPr>
            <w:tcW w:w="988" w:type="dxa"/>
            <w:vAlign w:val="center"/>
            <w:vMerge w:val="restart"/>
            <w:textDirection w:val="lrTb"/>
            <w:noWrap w:val="false"/>
          </w:tcPr>
          <w:p>
            <w:pPr>
              <w:pStyle w:val="1179"/>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3.1</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140"/>
              <w:jc w:val="center"/>
              <w:rPr>
                <w:color w:val="000000"/>
                <w:sz w:val="24"/>
                <w:highlight w:val="none"/>
              </w:rPr>
            </w:pPr>
            <w:r>
              <w:rPr>
                <w:color w:val="000000"/>
                <w:sz w:val="24"/>
                <w:highlight w:val="none"/>
              </w:rPr>
              <w:t xml:space="preserve">现场考察</w:t>
            </w:r>
            <w:r>
              <w:rPr>
                <w:color w:val="000000"/>
                <w:sz w:val="24"/>
                <w:highlight w:val="none"/>
              </w:rPr>
            </w:r>
            <w:r/>
          </w:p>
        </w:tc>
        <w:tc>
          <w:tcPr>
            <w:tcW w:w="6484" w:type="dxa"/>
            <w:vAlign w:val="center"/>
            <w:textDirection w:val="lrTb"/>
            <w:noWrap w:val="false"/>
          </w:tcPr>
          <w:p>
            <w:pPr>
              <w:pStyle w:val="1140"/>
              <w:jc w:val="left"/>
              <w:rPr>
                <w:b/>
                <w:bCs/>
                <w:sz w:val="24"/>
              </w:rPr>
            </w:pPr>
            <w:r>
              <w:rPr>
                <w:rFonts w:ascii="Wingdings 2" w:hAnsi="Wingdings 2" w:eastAsia="Wingdings 2" w:cs="Wingdings 2"/>
                <w:color w:val="000000"/>
                <w:sz w:val="24"/>
                <w:highlight w:val="none"/>
              </w:rPr>
              <w:t xml:space="preserve">R</w:t>
            </w:r>
            <w:r>
              <w:rPr>
                <w:color w:val="000000"/>
                <w:sz w:val="24"/>
                <w:highlight w:val="none"/>
              </w:rPr>
              <w:t xml:space="preserve">不组织</w:t>
            </w:r>
            <w:r>
              <w:rPr>
                <w:rFonts w:hint="eastAsia"/>
                <w:color w:val="000000"/>
                <w:sz w:val="24"/>
                <w:highlight w:val="none"/>
                <w:lang w:eastAsia="zh-CN"/>
              </w:rPr>
              <w:t xml:space="preserve">，</w:t>
            </w:r>
            <w:r>
              <w:rPr>
                <w:rFonts w:hint="eastAsia"/>
                <w:b/>
                <w:bCs/>
                <w:color w:val="000000"/>
                <w:sz w:val="24"/>
                <w:highlight w:val="none"/>
                <w:lang w:val="en-US" w:eastAsia="zh-CN"/>
              </w:rPr>
              <w:t xml:space="preserve">投标</w:t>
            </w:r>
            <w:r>
              <w:rPr>
                <w:b/>
                <w:bCs/>
                <w:sz w:val="24"/>
              </w:rPr>
              <w:t xml:space="preserve">供应商投标前应自行安排人员至现场踏勘了解项目情况，在成交后不得以未踏勘现场为由向采购人提出其他任何要求。</w:t>
            </w:r>
            <w:r>
              <w:rPr>
                <w:b/>
                <w:bCs/>
                <w:sz w:val="24"/>
              </w:rPr>
            </w:r>
            <w:r/>
          </w:p>
          <w:p>
            <w:pPr>
              <w:pStyle w:val="1140"/>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179"/>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考察地点：___________</w:t>
            </w:r>
            <w:r>
              <w:rPr>
                <w:rFonts w:ascii="Times New Roman" w:hAnsi="Times New Roman"/>
                <w:color w:val="000000"/>
                <w:sz w:val="24"/>
                <w:szCs w:val="24"/>
                <w:highlight w:val="none"/>
                <w:lang w:val="en-US" w:eastAsia="zh-CN"/>
              </w:rPr>
              <w:t xml:space="preserve">。</w:t>
            </w:r>
            <w:r>
              <w:rPr>
                <w:rFonts w:ascii="Times New Roman" w:hAnsi="Times New Roman"/>
                <w:color w:val="000000"/>
                <w:sz w:val="24"/>
                <w:szCs w:val="24"/>
                <w:highlight w:val="none"/>
                <w:lang w:val="en-US" w:eastAsia="zh-CN"/>
              </w:rPr>
            </w:r>
            <w:r/>
          </w:p>
        </w:tc>
      </w:tr>
      <w:tr>
        <w:trPr>
          <w:trHeight w:val="20"/>
        </w:trPr>
        <w:tc>
          <w:tcPr>
            <w:tcW w:w="988" w:type="dxa"/>
            <w:vAlign w:val="center"/>
            <w:vMerge w:val="continue"/>
            <w:textDirection w:val="lrTb"/>
            <w:noWrap w:val="false"/>
          </w:tcPr>
          <w:p>
            <w:pPr>
              <w:pStyle w:val="1179"/>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140"/>
              <w:jc w:val="center"/>
              <w:rPr>
                <w:color w:val="000000"/>
                <w:sz w:val="24"/>
                <w:highlight w:val="none"/>
              </w:rPr>
            </w:pPr>
            <w:r>
              <w:rPr>
                <w:color w:val="000000"/>
                <w:sz w:val="24"/>
                <w:highlight w:val="none"/>
              </w:rPr>
              <w:t xml:space="preserve">磋商前答疑会</w:t>
            </w:r>
            <w:r>
              <w:rPr>
                <w:color w:val="000000"/>
                <w:sz w:val="24"/>
                <w:highlight w:val="none"/>
              </w:rPr>
            </w:r>
            <w:r/>
          </w:p>
        </w:tc>
        <w:tc>
          <w:tcPr>
            <w:tcW w:w="6484" w:type="dxa"/>
            <w:vAlign w:val="center"/>
            <w:textDirection w:val="lrTb"/>
            <w:noWrap w:val="false"/>
          </w:tcPr>
          <w:p>
            <w:pPr>
              <w:pStyle w:val="1140"/>
              <w:jc w:val="left"/>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不召开</w:t>
            </w:r>
            <w:r>
              <w:rPr>
                <w:color w:val="000000"/>
                <w:sz w:val="24"/>
                <w:highlight w:val="none"/>
              </w:rPr>
            </w:r>
            <w:r/>
          </w:p>
          <w:p>
            <w:pPr>
              <w:pStyle w:val="1140"/>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1140"/>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1535"/>
        </w:trPr>
        <w:tc>
          <w:tcPr>
            <w:tcW w:w="988" w:type="dxa"/>
            <w:vAlign w:val="center"/>
            <w:textDirection w:val="lrTb"/>
            <w:noWrap w:val="false"/>
          </w:tcPr>
          <w:p>
            <w:pPr>
              <w:pStyle w:val="1179"/>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4.2.5</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140"/>
              <w:jc w:val="center"/>
              <w:rPr>
                <w:color w:val="000000"/>
                <w:sz w:val="24"/>
                <w:highlight w:val="none"/>
              </w:rPr>
            </w:pPr>
            <w:r>
              <w:rPr>
                <w:color w:val="000000"/>
                <w:sz w:val="24"/>
                <w:highlight w:val="none"/>
              </w:rPr>
              <w:t xml:space="preserve">标的所属行业</w:t>
            </w:r>
            <w:r>
              <w:rPr>
                <w:color w:val="000000"/>
                <w:sz w:val="24"/>
                <w:highlight w:val="none"/>
              </w:rPr>
            </w:r>
            <w:r/>
          </w:p>
        </w:tc>
        <w:tc>
          <w:tcPr>
            <w:tcW w:w="6484" w:type="dxa"/>
            <w:vAlign w:val="center"/>
            <w:textDirection w:val="lrTb"/>
            <w:noWrap w:val="false"/>
          </w:tcPr>
          <w:p>
            <w:pPr>
              <w:pStyle w:val="1140"/>
              <w:jc w:val="left"/>
              <w:rPr>
                <w:color w:val="000000"/>
                <w:sz w:val="24"/>
                <w:highlight w:val="none"/>
              </w:rPr>
            </w:pPr>
            <w:r>
              <w:rPr>
                <w:color w:val="000000"/>
                <w:sz w:val="24"/>
                <w:highlight w:val="none"/>
              </w:rPr>
              <w:t xml:space="preserve">本项目采购标的对应的中小企业划分标准所属行业：</w:t>
            </w:r>
            <w:r>
              <w:rPr>
                <w:rFonts w:hint="eastAsia" w:ascii="宋体" w:hAnsi="宋体" w:cs="宋体"/>
                <w:color w:val="000000"/>
                <w:sz w:val="24"/>
                <w:highlight w:val="none"/>
                <w:u w:val="single"/>
              </w:rPr>
              <w:t xml:space="preserve">建筑业</w:t>
            </w:r>
            <w:r>
              <w:rPr>
                <w:rFonts w:hint="eastAsia"/>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 w:val="24"/>
                <w:highlight w:val="none"/>
              </w:rPr>
            </w:r>
            <w:r/>
          </w:p>
        </w:tc>
      </w:tr>
      <w:tr>
        <w:trPr>
          <w:trHeight w:val="890"/>
        </w:trPr>
        <w:tc>
          <w:tcPr>
            <w:tcW w:w="988" w:type="dxa"/>
            <w:vAlign w:val="center"/>
            <w:textDirection w:val="lrTb"/>
            <w:noWrap w:val="false"/>
          </w:tcPr>
          <w:p>
            <w:pPr>
              <w:pStyle w:val="1179"/>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10.2</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140"/>
              <w:jc w:val="center"/>
              <w:rPr>
                <w:color w:val="000000"/>
                <w:sz w:val="24"/>
                <w:highlight w:val="none"/>
              </w:rPr>
            </w:pPr>
            <w:r>
              <w:rPr>
                <w:color w:val="000000"/>
                <w:sz w:val="24"/>
                <w:highlight w:val="none"/>
              </w:rPr>
              <w:t xml:space="preserve">报价</w:t>
            </w:r>
            <w:r>
              <w:rPr>
                <w:color w:val="000000"/>
                <w:sz w:val="24"/>
                <w:highlight w:val="none"/>
              </w:rPr>
            </w:r>
            <w:r/>
          </w:p>
        </w:tc>
        <w:tc>
          <w:tcPr>
            <w:tcW w:w="6484" w:type="dxa"/>
            <w:vAlign w:val="center"/>
            <w:textDirection w:val="lrTb"/>
            <w:noWrap w:val="false"/>
          </w:tcPr>
          <w:p>
            <w:pPr>
              <w:pStyle w:val="1140"/>
              <w:jc w:val="left"/>
              <w:rPr>
                <w:color w:val="000000"/>
                <w:sz w:val="24"/>
                <w:highlight w:val="none"/>
              </w:rPr>
            </w:pPr>
            <w:r>
              <w:rPr>
                <w:color w:val="000000"/>
                <w:sz w:val="24"/>
                <w:highlight w:val="none"/>
              </w:rPr>
              <w:t xml:space="preserve">报价的特殊规定：</w:t>
            </w:r>
            <w:r>
              <w:rPr>
                <w:color w:val="000000"/>
                <w:sz w:val="24"/>
                <w:highlight w:val="none"/>
              </w:rPr>
            </w:r>
            <w:r/>
          </w:p>
          <w:p>
            <w:pPr>
              <w:pStyle w:val="1140"/>
              <w:jc w:val="left"/>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无</w:t>
            </w:r>
            <w:r>
              <w:rPr>
                <w:color w:val="000000"/>
                <w:sz w:val="24"/>
                <w:highlight w:val="none"/>
              </w:rPr>
            </w:r>
            <w:r/>
          </w:p>
          <w:p>
            <w:pPr>
              <w:pStyle w:val="1140"/>
              <w:jc w:val="left"/>
              <w:rPr>
                <w:color w:val="000000"/>
                <w:sz w:val="24"/>
                <w:highlight w:val="none"/>
              </w:rPr>
            </w:pPr>
            <w:r>
              <w:rPr>
                <w:rFonts w:ascii="Wingdings 2" w:hAnsi="Wingdings 2" w:eastAsia="Wingdings 2" w:cs="Wingdings 2"/>
                <w:color w:val="000000"/>
                <w:sz w:val="24"/>
                <w:highlight w:val="none"/>
              </w:rPr>
              <w:t xml:space="preserve">£</w:t>
            </w:r>
            <w:r>
              <w:rPr>
                <w:rFonts w:ascii="Times New Roman" w:hAnsi="Times New Roman" w:eastAsia="宋体" w:cs="Times New Roman"/>
                <w:color w:val="000000"/>
                <w:sz w:val="24"/>
                <w:highlight w:val="none"/>
              </w:rPr>
              <w:t xml:space="preserve">有，具体情形：</w:t>
            </w:r>
            <w:r>
              <w:rPr>
                <w:color w:val="000000"/>
                <w:sz w:val="24"/>
                <w:highlight w:val="none"/>
              </w:rPr>
            </w:r>
            <w:r/>
          </w:p>
        </w:tc>
      </w:tr>
      <w:tr>
        <w:trPr>
          <w:trHeight w:val="20"/>
        </w:trPr>
        <w:tc>
          <w:tcPr>
            <w:tcW w:w="988" w:type="dxa"/>
            <w:vAlign w:val="center"/>
            <w:textDirection w:val="lrTb"/>
            <w:noWrap w:val="false"/>
          </w:tcPr>
          <w:p>
            <w:pPr>
              <w:pStyle w:val="1179"/>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11.1</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140"/>
              <w:jc w:val="center"/>
              <w:rPr>
                <w:rFonts w:eastAsia="宋体"/>
                <w:color w:val="000000"/>
                <w:sz w:val="24"/>
                <w:highlight w:val="none"/>
                <w:lang w:val="en-US" w:eastAsia="zh-CN"/>
              </w:rPr>
            </w:pPr>
            <w:r>
              <w:rPr>
                <w:rFonts w:ascii="Times New Roman" w:hAnsi="Times New Roman" w:eastAsia="宋体" w:cs="Times New Roman"/>
                <w:color w:val="000000"/>
                <w:sz w:val="24"/>
                <w:highlight w:val="none"/>
              </w:rPr>
              <w:t xml:space="preserve">磋商保证金</w:t>
            </w:r>
            <w:r>
              <w:rPr>
                <w:rFonts w:hint="eastAsia" w:ascii="Times New Roman" w:hAnsi="Times New Roman" w:eastAsia="宋体" w:cs="Times New Roman"/>
                <w:color w:val="000000"/>
                <w:sz w:val="24"/>
                <w:highlight w:val="none"/>
                <w:lang w:val="en-US" w:eastAsia="zh-CN"/>
              </w:rPr>
              <w:t xml:space="preserve">、履约保证金</w:t>
            </w:r>
            <w:r>
              <w:rPr>
                <w:rFonts w:eastAsia="宋体"/>
                <w:color w:val="000000"/>
                <w:sz w:val="24"/>
                <w:highlight w:val="none"/>
                <w:lang w:val="en-US" w:eastAsia="zh-CN"/>
              </w:rPr>
            </w:r>
            <w:r/>
          </w:p>
        </w:tc>
        <w:tc>
          <w:tcPr>
            <w:tcW w:w="6484" w:type="dxa"/>
            <w:vAlign w:val="center"/>
            <w:textDirection w:val="lrTb"/>
            <w:noWrap w:val="false"/>
          </w:tcPr>
          <w:p>
            <w:pPr>
              <w:pStyle w:val="1140"/>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1179"/>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12.1</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140"/>
              <w:jc w:val="center"/>
              <w:rPr>
                <w:color w:val="000000"/>
                <w:sz w:val="24"/>
                <w:highlight w:val="none"/>
              </w:rPr>
            </w:pPr>
            <w:r>
              <w:rPr>
                <w:color w:val="000000"/>
                <w:sz w:val="24"/>
                <w:highlight w:val="none"/>
              </w:rPr>
              <w:t xml:space="preserve">响应有效期</w:t>
            </w:r>
            <w:r>
              <w:rPr>
                <w:color w:val="000000"/>
                <w:sz w:val="24"/>
                <w:highlight w:val="none"/>
              </w:rPr>
            </w:r>
            <w:r/>
          </w:p>
        </w:tc>
        <w:tc>
          <w:tcPr>
            <w:tcW w:w="6484" w:type="dxa"/>
            <w:vAlign w:val="center"/>
            <w:textDirection w:val="lrTb"/>
            <w:noWrap w:val="false"/>
          </w:tcPr>
          <w:p>
            <w:pPr>
              <w:pStyle w:val="1140"/>
              <w:jc w:val="left"/>
              <w:rPr>
                <w:color w:val="000000"/>
                <w:sz w:val="24"/>
                <w:highlight w:val="none"/>
              </w:rPr>
            </w:pPr>
            <w:r>
              <w:rPr>
                <w:color w:val="000000"/>
                <w:sz w:val="24"/>
                <w:highlight w:val="none"/>
              </w:rPr>
              <w:t xml:space="preserve">自提交响应文件的截止之日起算</w:t>
            </w:r>
            <w:r>
              <w:rPr>
                <w:rFonts w:hint="eastAsia"/>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1179"/>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23.5</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140"/>
              <w:jc w:val="center"/>
              <w:rPr>
                <w:color w:val="000000"/>
                <w:sz w:val="24"/>
                <w:highlight w:val="none"/>
              </w:rPr>
            </w:pPr>
            <w:r>
              <w:rPr>
                <w:color w:val="000000"/>
                <w:sz w:val="24"/>
                <w:highlight w:val="none"/>
              </w:rPr>
              <w:t xml:space="preserve">分包</w:t>
            </w:r>
            <w:r>
              <w:rPr>
                <w:color w:val="000000"/>
                <w:sz w:val="24"/>
                <w:highlight w:val="none"/>
              </w:rPr>
            </w:r>
            <w:r/>
          </w:p>
        </w:tc>
        <w:tc>
          <w:tcPr>
            <w:tcW w:w="6484" w:type="dxa"/>
            <w:vAlign w:val="center"/>
            <w:textDirection w:val="lrTb"/>
            <w:noWrap w:val="false"/>
          </w:tcPr>
          <w:p>
            <w:pPr>
              <w:pStyle w:val="1140"/>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1140"/>
              <w:jc w:val="left"/>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不允许</w:t>
            </w:r>
            <w:r>
              <w:rPr>
                <w:color w:val="000000"/>
                <w:sz w:val="24"/>
                <w:highlight w:val="none"/>
              </w:rPr>
            </w:r>
            <w:r/>
          </w:p>
          <w:p>
            <w:pPr>
              <w:pStyle w:val="1140"/>
              <w:jc w:val="lef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允许，具体要求：_______。</w:t>
            </w:r>
            <w:r>
              <w:rPr>
                <w:color w:val="000000"/>
                <w:sz w:val="24"/>
                <w:highlight w:val="none"/>
              </w:rPr>
            </w:r>
            <w:r/>
          </w:p>
          <w:p>
            <w:pPr>
              <w:pStyle w:val="1140"/>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1140"/>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1140"/>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1179"/>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24.1</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140"/>
              <w:jc w:val="center"/>
              <w:rPr>
                <w:color w:val="000000"/>
                <w:sz w:val="24"/>
                <w:highlight w:val="none"/>
              </w:rPr>
            </w:pPr>
            <w:r>
              <w:rPr>
                <w:color w:val="000000"/>
                <w:sz w:val="24"/>
                <w:highlight w:val="none"/>
              </w:rPr>
              <w:t xml:space="preserve">询问</w:t>
            </w:r>
            <w:r>
              <w:rPr>
                <w:color w:val="000000"/>
                <w:sz w:val="24"/>
                <w:highlight w:val="none"/>
              </w:rPr>
            </w:r>
            <w:r/>
          </w:p>
        </w:tc>
        <w:tc>
          <w:tcPr>
            <w:tcW w:w="6484" w:type="dxa"/>
            <w:vAlign w:val="center"/>
            <w:textDirection w:val="lrTb"/>
            <w:noWrap w:val="false"/>
          </w:tcPr>
          <w:p>
            <w:pPr>
              <w:pStyle w:val="1140"/>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纸质书面形式</w:t>
            </w:r>
            <w:r>
              <w:rPr>
                <w:color w:val="000000"/>
                <w:sz w:val="24"/>
                <w:highlight w:val="none"/>
              </w:rPr>
            </w:r>
            <w:r/>
          </w:p>
        </w:tc>
      </w:tr>
      <w:tr>
        <w:trPr>
          <w:trHeight w:val="20"/>
        </w:trPr>
        <w:tc>
          <w:tcPr>
            <w:tcW w:w="988" w:type="dxa"/>
            <w:vAlign w:val="center"/>
            <w:textDirection w:val="lrTb"/>
            <w:noWrap w:val="false"/>
          </w:tcPr>
          <w:p>
            <w:pPr>
              <w:pStyle w:val="1179"/>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24.2</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140"/>
              <w:jc w:val="center"/>
              <w:rPr>
                <w:rFonts w:hint="eastAsia"/>
                <w:color w:val="000000"/>
                <w:sz w:val="24"/>
                <w:highlight w:val="none"/>
              </w:rPr>
            </w:pPr>
            <w:r>
              <w:rPr>
                <w:rFonts w:hint="eastAsia"/>
                <w:color w:val="000000"/>
                <w:sz w:val="24"/>
                <w:highlight w:val="none"/>
              </w:rPr>
              <w:t xml:space="preserve">质疑</w:t>
            </w:r>
            <w:r>
              <w:rPr>
                <w:rFonts w:hint="eastAsia"/>
                <w:color w:val="000000"/>
                <w:sz w:val="24"/>
                <w:highlight w:val="none"/>
              </w:rPr>
            </w:r>
            <w:r/>
          </w:p>
        </w:tc>
        <w:tc>
          <w:tcPr>
            <w:tcW w:w="6484" w:type="dxa"/>
            <w:vAlign w:val="center"/>
            <w:textDirection w:val="lrTb"/>
            <w:noWrap w:val="false"/>
          </w:tcPr>
          <w:p>
            <w:pPr>
              <w:pStyle w:val="1140"/>
              <w:jc w:val="left"/>
              <w:rPr>
                <w:color w:val="000000"/>
                <w:sz w:val="24"/>
                <w:highlight w:val="none"/>
              </w:rPr>
            </w:pPr>
            <w:r>
              <w:rPr>
                <w:rFonts w:hint="eastAsia" w:ascii="宋体" w:hAnsi="宋体"/>
                <w:color w:val="000000"/>
                <w:sz w:val="24"/>
                <w:highlight w:val="none"/>
              </w:rPr>
              <w:t xml:space="preserve">质疑</w:t>
            </w:r>
            <w:r>
              <w:rPr>
                <w:rFonts w:ascii="宋体" w:hAnsi="宋体"/>
                <w:color w:val="000000"/>
                <w:sz w:val="24"/>
                <w:highlight w:val="none"/>
              </w:rPr>
              <w:t xml:space="preserve">送达形式：</w:t>
            </w:r>
            <w:r>
              <w:rPr>
                <w:rFonts w:hint="eastAsia" w:ascii="宋体" w:hAnsi="宋体"/>
                <w:color w:val="000000"/>
                <w:sz w:val="24"/>
                <w:highlight w:val="none"/>
              </w:rPr>
              <w:t xml:space="preserve">纸质书面送达</w:t>
            </w:r>
            <w:r>
              <w:rPr>
                <w:color w:val="000000"/>
                <w:sz w:val="24"/>
                <w:highlight w:val="none"/>
              </w:rPr>
            </w:r>
            <w:r/>
          </w:p>
        </w:tc>
      </w:tr>
      <w:tr>
        <w:trPr>
          <w:trHeight w:val="20"/>
        </w:trPr>
        <w:tc>
          <w:tcPr>
            <w:tcW w:w="988" w:type="dxa"/>
            <w:vAlign w:val="center"/>
            <w:textDirection w:val="lrTb"/>
            <w:noWrap w:val="false"/>
          </w:tcPr>
          <w:p>
            <w:pPr>
              <w:pStyle w:val="1179"/>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24.3</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140"/>
              <w:jc w:val="center"/>
              <w:rPr>
                <w:color w:val="000000"/>
                <w:sz w:val="24"/>
                <w:highlight w:val="none"/>
              </w:rPr>
            </w:pPr>
            <w:r>
              <w:rPr>
                <w:color w:val="000000"/>
                <w:sz w:val="24"/>
                <w:highlight w:val="none"/>
              </w:rPr>
              <w:t xml:space="preserve">联系方式</w:t>
            </w:r>
            <w:r>
              <w:rPr>
                <w:color w:val="000000"/>
                <w:sz w:val="24"/>
                <w:highlight w:val="none"/>
              </w:rPr>
            </w:r>
            <w:r/>
          </w:p>
        </w:tc>
        <w:tc>
          <w:tcPr>
            <w:tcW w:w="6484" w:type="dxa"/>
            <w:vAlign w:val="center"/>
            <w:textDirection w:val="lrTb"/>
            <w:noWrap w:val="false"/>
          </w:tcPr>
          <w:p>
            <w:pPr>
              <w:pStyle w:val="1140"/>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114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代理机构：常州正衡招投标有限公司</w:t>
            </w:r>
            <w:r>
              <w:rPr>
                <w:rFonts w:hint="eastAsia" w:ascii="宋体" w:hAnsi="宋体" w:cs="宋体"/>
                <w:color w:val="000000"/>
                <w:sz w:val="24"/>
                <w:highlight w:val="none"/>
              </w:rPr>
            </w:r>
            <w:r/>
          </w:p>
          <w:p>
            <w:pPr>
              <w:pStyle w:val="114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1.采购人信息</w:t>
            </w:r>
            <w:r>
              <w:rPr>
                <w:rFonts w:hint="eastAsia" w:ascii="宋体" w:hAnsi="宋体" w:eastAsia="宋体" w:cs="宋体"/>
                <w:color w:val="000000"/>
                <w:sz w:val="24"/>
                <w:highlight w:val="none"/>
              </w:rPr>
            </w:r>
            <w:r/>
          </w:p>
          <w:p>
            <w:pPr>
              <w:pStyle w:val="1140"/>
              <w:jc w:val="lef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lang w:eastAsia="zh-CN"/>
              </w:rPr>
              <w:t xml:space="preserve">常州市天宁区青龙街道办事处</w:t>
            </w:r>
            <w:r>
              <w:rPr>
                <w:rFonts w:hint="eastAsia" w:ascii="宋体" w:hAnsi="宋体" w:eastAsia="宋体" w:cs="宋体"/>
                <w:color w:val="000000"/>
                <w:sz w:val="24"/>
                <w:highlight w:val="none"/>
                <w:lang w:eastAsia="zh-CN"/>
              </w:rPr>
            </w:r>
            <w:r/>
          </w:p>
          <w:p>
            <w:pPr>
              <w:pStyle w:val="1140"/>
              <w:jc w:val="lef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lang w:val="en-US" w:eastAsia="zh-CN"/>
              </w:rPr>
              <w:t xml:space="preserve">常州市天宁区青龙街道</w:t>
            </w:r>
            <w:r>
              <w:rPr>
                <w:rFonts w:ascii="宋体" w:hAnsi="宋体" w:eastAsia="宋体" w:cs="宋体"/>
                <w:color w:val="000000"/>
                <w:sz w:val="24"/>
                <w:highlight w:val="none"/>
                <w:lang w:val="en-US" w:eastAsia="zh-CN"/>
              </w:rPr>
            </w:r>
            <w:r/>
          </w:p>
          <w:p>
            <w:pPr>
              <w:pStyle w:val="1140"/>
              <w:jc w:val="lef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 系 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孙女士</w:t>
            </w:r>
            <w:r>
              <w:rPr>
                <w:rFonts w:ascii="宋体" w:hAnsi="宋体" w:eastAsia="宋体" w:cs="宋体"/>
                <w:color w:val="000000"/>
                <w:sz w:val="24"/>
                <w:highlight w:val="none"/>
                <w:lang w:val="en-US" w:eastAsia="zh-CN"/>
              </w:rPr>
            </w:r>
            <w:r/>
          </w:p>
          <w:p>
            <w:pPr>
              <w:pStyle w:val="1140"/>
              <w:jc w:val="left"/>
              <w:rPr>
                <w:rFonts w:hint="eastAsia" w:ascii="Times New Roman" w:hAnsi="Times New Roman" w:eastAsia="宋体" w:cs="Times New Roman"/>
                <w:color w:val="000000"/>
                <w:sz w:val="24"/>
                <w:highlight w:val="yellow"/>
              </w:rPr>
            </w:pPr>
            <w:r>
              <w:rPr>
                <w:rFonts w:hint="eastAsia" w:ascii="Times New Roman" w:hAnsi="Times New Roman" w:eastAsia="宋体" w:cs="Times New Roman"/>
                <w:color w:val="000000"/>
                <w:sz w:val="24"/>
                <w:highlight w:val="none"/>
                <w:lang w:val="zh-CN"/>
              </w:rPr>
              <w:t xml:space="preserve">电　</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lang w:val="zh-CN"/>
              </w:rPr>
              <w:t xml:space="preserve">话：</w:t>
            </w:r>
            <w:r>
              <w:rPr>
                <w:rFonts w:hint="eastAsia" w:ascii="宋体" w:hAnsi="宋体" w:eastAsia="宋体" w:cs="宋体"/>
                <w:bCs/>
                <w:color w:val="000000"/>
                <w:spacing w:val="2"/>
                <w:sz w:val="24"/>
                <w:szCs w:val="24"/>
                <w:highlight w:val="none"/>
                <w:lang w:val="en-US" w:eastAsia="zh-CN"/>
              </w:rPr>
              <w:t xml:space="preserve">0519-85506800</w:t>
            </w:r>
            <w:r>
              <w:rPr>
                <w:rFonts w:hint="eastAsia" w:ascii="Times New Roman" w:hAnsi="Times New Roman" w:eastAsia="宋体" w:cs="Times New Roman"/>
                <w:color w:val="000000"/>
                <w:sz w:val="24"/>
                <w:highlight w:val="yellow"/>
              </w:rPr>
            </w:r>
            <w:r/>
          </w:p>
          <w:p>
            <w:pPr>
              <w:pStyle w:val="1140"/>
              <w:jc w:val="left"/>
              <w:rPr>
                <w:color w:val="000000"/>
                <w:sz w:val="24"/>
                <w:highlight w:val="none"/>
              </w:rPr>
            </w:pPr>
            <w:r>
              <w:rPr>
                <w:rFonts w:hint="eastAsia"/>
                <w:color w:val="000000"/>
                <w:sz w:val="24"/>
                <w:highlight w:val="none"/>
              </w:rPr>
              <w:t xml:space="preserve">2.采购代理机构信息</w:t>
            </w:r>
            <w:r>
              <w:rPr>
                <w:color w:val="000000"/>
                <w:sz w:val="24"/>
                <w:highlight w:val="none"/>
              </w:rPr>
            </w:r>
            <w:r/>
          </w:p>
          <w:p>
            <w:pPr>
              <w:pStyle w:val="1140"/>
              <w:jc w:val="left"/>
              <w:rPr>
                <w:color w:val="000000"/>
                <w:sz w:val="24"/>
                <w:highlight w:val="none"/>
              </w:rPr>
            </w:pPr>
            <w:r>
              <w:rPr>
                <w:rFonts w:hint="eastAsia"/>
                <w:color w:val="000000"/>
                <w:sz w:val="24"/>
                <w:highlight w:val="none"/>
              </w:rPr>
              <w:t xml:space="preserve">名 称：常州正衡招投标有限公司 </w:t>
            </w:r>
            <w:r>
              <w:rPr>
                <w:color w:val="000000"/>
                <w:sz w:val="24"/>
                <w:highlight w:val="none"/>
              </w:rPr>
            </w:r>
            <w:r/>
          </w:p>
          <w:p>
            <w:pPr>
              <w:pStyle w:val="1140"/>
              <w:jc w:val="left"/>
              <w:rPr>
                <w:color w:val="000000"/>
                <w:sz w:val="24"/>
                <w:highlight w:val="none"/>
              </w:rPr>
            </w:pPr>
            <w:r>
              <w:rPr>
                <w:rFonts w:hint="eastAsia"/>
                <w:color w:val="000000"/>
                <w:sz w:val="24"/>
                <w:highlight w:val="none"/>
              </w:rPr>
              <w:t xml:space="preserve">地 址：常州市</w:t>
            </w:r>
            <w:r>
              <w:rPr>
                <w:rFonts w:hint="eastAsia"/>
                <w:color w:val="000000"/>
                <w:sz w:val="24"/>
                <w:highlight w:val="none"/>
                <w:lang w:val="zh-CN"/>
              </w:rPr>
              <w:t xml:space="preserve">新北区新城府翰苑6栋9楼</w:t>
            </w:r>
            <w:r>
              <w:rPr>
                <w:color w:val="000000"/>
                <w:sz w:val="24"/>
                <w:highlight w:val="none"/>
              </w:rPr>
            </w:r>
            <w:r/>
          </w:p>
          <w:p>
            <w:pPr>
              <w:pStyle w:val="1140"/>
              <w:jc w:val="left"/>
              <w:rPr>
                <w:color w:val="000000"/>
                <w:sz w:val="24"/>
                <w:highlight w:val="none"/>
                <w:lang w:val="zh-CN"/>
              </w:rPr>
            </w:pPr>
            <w:r>
              <w:rPr>
                <w:rFonts w:hint="eastAsia"/>
                <w:color w:val="000000"/>
                <w:sz w:val="24"/>
                <w:highlight w:val="none"/>
              </w:rPr>
              <w:t xml:space="preserve">3.项目联系方式</w:t>
            </w:r>
            <w:r>
              <w:rPr>
                <w:color w:val="000000"/>
                <w:sz w:val="24"/>
                <w:highlight w:val="none"/>
                <w:lang w:val="zh-CN"/>
              </w:rPr>
            </w:r>
            <w:r/>
          </w:p>
          <w:p>
            <w:pPr>
              <w:pStyle w:val="1140"/>
              <w:jc w:val="left"/>
              <w:rPr>
                <w:rFonts w:hint="eastAsia" w:eastAsia="宋体"/>
                <w:color w:val="000000"/>
                <w:sz w:val="24"/>
                <w:highlight w:val="none"/>
                <w:lang w:val="zh-CN" w:eastAsia="zh-CN"/>
              </w:rPr>
            </w:pPr>
            <w:r>
              <w:rPr>
                <w:rFonts w:hint="eastAsia"/>
                <w:color w:val="000000"/>
                <w:sz w:val="24"/>
                <w:highlight w:val="none"/>
                <w:lang w:val="zh-CN"/>
              </w:rPr>
              <w:t xml:space="preserve">项目联系人：</w:t>
            </w:r>
            <w:r>
              <w:rPr>
                <w:rFonts w:hint="eastAsia"/>
                <w:color w:val="000000"/>
                <w:sz w:val="24"/>
                <w:highlight w:val="none"/>
                <w:lang w:val="en-US" w:eastAsia="zh-CN"/>
              </w:rPr>
              <w:t xml:space="preserve">刘欢</w:t>
            </w:r>
            <w:r>
              <w:rPr>
                <w:rFonts w:hint="eastAsia" w:eastAsia="宋体"/>
                <w:color w:val="000000"/>
                <w:sz w:val="24"/>
                <w:highlight w:val="none"/>
                <w:lang w:val="zh-CN" w:eastAsia="zh-CN"/>
              </w:rPr>
            </w:r>
            <w:r/>
          </w:p>
          <w:p>
            <w:pPr>
              <w:pStyle w:val="1140"/>
              <w:jc w:val="left"/>
              <w:rPr>
                <w:rFonts w:eastAsia="宋体"/>
                <w:color w:val="000000"/>
                <w:sz w:val="24"/>
                <w:highlight w:val="none"/>
                <w:lang w:val="en-US" w:eastAsia="zh-CN"/>
              </w:rPr>
            </w:pPr>
            <w:r>
              <w:rPr>
                <w:rFonts w:hint="eastAsia"/>
                <w:color w:val="000000"/>
                <w:sz w:val="24"/>
                <w:highlight w:val="none"/>
                <w:lang w:val="zh-CN"/>
              </w:rPr>
              <w:t xml:space="preserve">电　话：0519-855</w:t>
            </w:r>
            <w:r>
              <w:rPr>
                <w:rFonts w:hint="eastAsia"/>
                <w:color w:val="000000"/>
                <w:sz w:val="24"/>
                <w:highlight w:val="none"/>
                <w:lang w:val="en-US" w:eastAsia="zh-CN"/>
              </w:rPr>
              <w:t xml:space="preserve">10566</w:t>
            </w:r>
            <w:r>
              <w:rPr>
                <w:rFonts w:eastAsia="宋体"/>
                <w:color w:val="000000"/>
                <w:sz w:val="24"/>
                <w:highlight w:val="none"/>
                <w:lang w:val="en-US" w:eastAsia="zh-CN"/>
              </w:rPr>
            </w:r>
            <w:r/>
          </w:p>
        </w:tc>
      </w:tr>
      <w:tr>
        <w:trPr>
          <w:trHeight w:val="20"/>
        </w:trPr>
        <w:tc>
          <w:tcPr>
            <w:tcW w:w="988" w:type="dxa"/>
            <w:vAlign w:val="center"/>
            <w:textDirection w:val="lrTb"/>
            <w:noWrap w:val="false"/>
          </w:tcPr>
          <w:p>
            <w:pPr>
              <w:pStyle w:val="1179"/>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25</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1140"/>
              <w:jc w:val="center"/>
              <w:rPr>
                <w:color w:val="000000"/>
                <w:sz w:val="24"/>
                <w:highlight w:val="none"/>
              </w:rPr>
            </w:pPr>
            <w:r>
              <w:rPr>
                <w:color w:val="000000"/>
                <w:sz w:val="24"/>
                <w:highlight w:val="none"/>
              </w:rPr>
              <w:t xml:space="preserve">代理费</w:t>
            </w:r>
            <w:r>
              <w:rPr>
                <w:color w:val="000000"/>
                <w:sz w:val="24"/>
                <w:highlight w:val="none"/>
              </w:rPr>
            </w:r>
            <w:r/>
          </w:p>
        </w:tc>
        <w:tc>
          <w:tcPr>
            <w:tcW w:w="6484" w:type="dxa"/>
            <w:vAlign w:val="center"/>
            <w:textDirection w:val="lrTb"/>
            <w:noWrap w:val="false"/>
          </w:tcPr>
          <w:p>
            <w:pPr>
              <w:pStyle w:val="1140"/>
              <w:jc w:val="left"/>
              <w:spacing w:line="360" w:lineRule="exact"/>
              <w:rPr>
                <w:rFonts w:hint="eastAsia" w:ascii="宋体" w:hAnsi="宋体" w:eastAsia="宋体" w:cs="宋体"/>
                <w:sz w:val="24"/>
                <w:lang w:eastAsia="zh-CN"/>
              </w:rPr>
            </w:pPr>
            <w:r>
              <w:rPr>
                <w:rFonts w:hint="eastAsia" w:ascii="宋体" w:hAnsi="宋体" w:cs="宋体"/>
                <w:sz w:val="24"/>
                <w:lang w:val="en-US" w:eastAsia="zh-CN"/>
              </w:rPr>
              <w:t xml:space="preserve">1、</w:t>
            </w:r>
            <w:r>
              <w:rPr>
                <w:rFonts w:hint="eastAsia" w:ascii="宋体" w:hAnsi="宋体" w:cs="宋体"/>
                <w:sz w:val="24"/>
              </w:rPr>
              <w:t xml:space="preserve">收费对象：</w:t>
            </w:r>
            <w:r>
              <w:rPr>
                <w:rFonts w:hint="eastAsia" w:ascii="宋体" w:hAnsi="宋体" w:cs="宋体"/>
                <w:sz w:val="24"/>
                <w:lang w:val="en-US" w:eastAsia="zh-CN"/>
              </w:rPr>
              <w:t xml:space="preserve">中标人</w:t>
            </w:r>
            <w:r>
              <w:rPr>
                <w:rFonts w:hint="eastAsia" w:ascii="宋体" w:hAnsi="宋体" w:eastAsia="宋体" w:cs="宋体"/>
                <w:sz w:val="24"/>
                <w:lang w:eastAsia="zh-CN"/>
              </w:rPr>
            </w:r>
            <w:r/>
          </w:p>
          <w:p>
            <w:pPr>
              <w:pStyle w:val="1140"/>
              <w:jc w:val="left"/>
              <w:spacing w:line="360" w:lineRule="exact"/>
              <w:rPr>
                <w:rFonts w:ascii="宋体" w:hAnsi="宋体" w:cs="宋体"/>
                <w:sz w:val="24"/>
              </w:rPr>
            </w:pPr>
            <w:r>
              <w:rPr>
                <w:rFonts w:hint="eastAsia" w:ascii="宋体" w:hAnsi="宋体" w:cs="宋体"/>
                <w:sz w:val="24"/>
              </w:rPr>
              <w:t xml:space="preserve">2、收费标准：</w:t>
            </w:r>
            <w:r>
              <w:rPr>
                <w:rFonts w:ascii="宋体" w:hAnsi="宋体" w:cs="宋体"/>
                <w:sz w:val="24"/>
              </w:rPr>
            </w:r>
            <w:r/>
          </w:p>
          <w:p>
            <w:pPr>
              <w:pStyle w:val="1140"/>
              <w:jc w:val="left"/>
              <w:spacing w:line="360" w:lineRule="exact"/>
              <w:rPr>
                <w:rFonts w:hint="eastAsia" w:ascii="宋体" w:hAnsi="宋体" w:cs="宋体"/>
                <w:sz w:val="24"/>
              </w:rPr>
            </w:pPr>
            <w:r>
              <w:rPr>
                <w:rFonts w:hint="eastAsia" w:ascii="宋体" w:hAnsi="宋体" w:cs="宋体"/>
                <w:sz w:val="24"/>
                <w:lang w:val="en-US" w:eastAsia="zh-CN"/>
              </w:rPr>
              <w:t xml:space="preserve">2.1</w:t>
            </w:r>
            <w:r>
              <w:rPr>
                <w:rFonts w:hint="eastAsia" w:ascii="宋体" w:hAnsi="宋体" w:cs="宋体"/>
                <w:sz w:val="24"/>
              </w:rPr>
              <w:t xml:space="preserve">因采购预算已包含本项目代理服务费用，根据《政府采购代理机构管理暂行办法》（财库〔2018〕2号）第十五条及《政府采购货物和服务招标投标管理办法》（财政部令第87号）第二十条执行，由中标</w:t>
            </w:r>
            <w:r>
              <w:rPr>
                <w:rFonts w:hint="eastAsia" w:ascii="宋体" w:hAnsi="宋体" w:cs="宋体"/>
                <w:sz w:val="24"/>
                <w:lang w:val="en-US" w:eastAsia="zh-CN"/>
              </w:rPr>
              <w:t xml:space="preserve">人</w:t>
            </w:r>
            <w:r>
              <w:rPr>
                <w:rFonts w:hint="eastAsia" w:ascii="宋体" w:hAnsi="宋体" w:cs="宋体"/>
                <w:sz w:val="24"/>
              </w:rPr>
              <w:t xml:space="preserve">支付，中标</w:t>
            </w:r>
            <w:r>
              <w:rPr>
                <w:rFonts w:hint="eastAsia" w:ascii="宋体" w:hAnsi="宋体" w:cs="宋体"/>
                <w:sz w:val="24"/>
                <w:lang w:val="en-US" w:eastAsia="zh-CN"/>
              </w:rPr>
              <w:t xml:space="preserve">人</w:t>
            </w:r>
            <w:r>
              <w:rPr>
                <w:rFonts w:hint="eastAsia" w:ascii="宋体" w:hAnsi="宋体" w:cs="宋体"/>
                <w:sz w:val="24"/>
              </w:rPr>
              <w:t xml:space="preserve">应当在</w:t>
            </w:r>
            <w:r>
              <w:rPr>
                <w:rFonts w:hint="eastAsia" w:ascii="宋体" w:hAnsi="宋体" w:cs="宋体"/>
                <w:sz w:val="24"/>
                <w:lang w:val="en-US" w:eastAsia="zh-CN"/>
              </w:rPr>
              <w:t xml:space="preserve">投标</w:t>
            </w:r>
            <w:r>
              <w:rPr>
                <w:rFonts w:hint="eastAsia" w:ascii="宋体" w:hAnsi="宋体" w:cs="宋体"/>
                <w:sz w:val="24"/>
              </w:rPr>
              <w:t xml:space="preserve">报价中包含代理服务费，并在领取中标通知书时向采购代理机构一次性付清。</w:t>
            </w:r>
            <w:r>
              <w:rPr>
                <w:rFonts w:hint="eastAsia" w:ascii="宋体" w:hAnsi="宋体" w:cs="宋体"/>
                <w:sz w:val="24"/>
              </w:rPr>
            </w:r>
            <w:r/>
          </w:p>
          <w:p>
            <w:pPr>
              <w:pStyle w:val="1140"/>
              <w:jc w:val="left"/>
              <w:spacing w:line="360" w:lineRule="exact"/>
              <w:rPr>
                <w:rFonts w:ascii="宋体" w:hAnsi="宋体" w:cs="宋体"/>
                <w:sz w:val="24"/>
              </w:rPr>
            </w:pPr>
            <w:r>
              <w:rPr>
                <w:rFonts w:hint="eastAsia" w:ascii="宋体" w:hAnsi="宋体" w:cs="宋体"/>
                <w:sz w:val="24"/>
                <w:lang w:val="en-US" w:eastAsia="zh-CN"/>
              </w:rPr>
              <w:t xml:space="preserve">2.2</w:t>
            </w:r>
            <w:r>
              <w:rPr>
                <w:rFonts w:hint="eastAsia" w:ascii="宋体" w:hAnsi="宋体" w:cs="宋体"/>
                <w:sz w:val="24"/>
              </w:rPr>
              <w:t xml:space="preserve">代理服务收费标准</w:t>
            </w:r>
            <w:r>
              <w:rPr>
                <w:rFonts w:ascii="宋体" w:hAnsi="宋体" w:cs="宋体"/>
                <w:sz w:val="24"/>
              </w:rPr>
            </w:r>
            <w:r/>
          </w:p>
          <w:tbl>
            <w:tblPr>
              <w:tblpPr w:horzAnchor="page" w:tblpX="563" w:vertAnchor="text" w:tblpY="174" w:leftFromText="180" w:topFromText="0" w:rightFromText="180" w:bottomFromText="0"/>
              <w:tblW w:w="515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2410"/>
            </w:tblGrid>
            <w:tr>
              <w:trPr>
                <w:trHeight w:val="1625"/>
              </w:trPr>
              <w:tc>
                <w:tcPr>
                  <w:tcW w:w="2744" w:type="dxa"/>
                  <w:vAlign w:val="top"/>
                  <w:textDirection w:val="lrTb"/>
                  <w:noWrap w:val="false"/>
                </w:tcPr>
                <w:p>
                  <w:pPr>
                    <w:pStyle w:val="1140"/>
                    <w:ind w:firstLine="1680"/>
                    <w:jc w:val="left"/>
                    <w:spacing w:line="360" w:lineRule="auto"/>
                    <w:rPr>
                      <w:rFonts w:ascii="宋体" w:hAnsi="宋体" w:eastAsia="宋体" w:cs="宋体"/>
                      <w:szCs w:val="21"/>
                    </w:rPr>
                  </w:pP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334645</wp:posOffset>
                            </wp:positionH>
                            <wp:positionV relativeFrom="paragraph">
                              <wp:posOffset>32385</wp:posOffset>
                            </wp:positionV>
                            <wp:extent cx="1321435" cy="121475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321435" cy="1214754"/>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y;visibility:visible;" from="26.3pt,2.5pt" to="130.4pt,98.2pt" filled="f" strokecolor="#000000"/>
                        </w:pict>
                      </mc:Fallback>
                    </mc:AlternateContent>
                  </w: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eastAsia="宋体" w:cs="宋体"/>
                      <w:szCs w:val="21"/>
                      <w:lang w:eastAsia="zh-CN"/>
                    </w:rPr>
                    <w:t xml:space="preserve">项目</w:t>
                  </w:r>
                  <w:r>
                    <w:rPr>
                      <w:rFonts w:hint="eastAsia" w:ascii="宋体" w:hAnsi="宋体" w:eastAsia="宋体" w:cs="宋体"/>
                      <w:szCs w:val="21"/>
                    </w:rPr>
                    <w:t xml:space="preserve">类型</w:t>
                  </w:r>
                  <w:r>
                    <w:rPr>
                      <w:rFonts w:ascii="宋体" w:hAnsi="宋体" w:eastAsia="宋体" w:cs="宋体"/>
                      <w:szCs w:val="21"/>
                    </w:rPr>
                  </w:r>
                  <w:r/>
                </w:p>
                <w:p>
                  <w:pPr>
                    <w:pStyle w:val="1140"/>
                    <w:ind w:firstLine="420"/>
                    <w:jc w:val="left"/>
                    <w:spacing w:line="360" w:lineRule="auto"/>
                    <w:rPr>
                      <w:rFonts w:ascii="宋体" w:hAnsi="宋体" w:eastAsia="宋体" w:cs="宋体"/>
                      <w:szCs w:val="21"/>
                    </w:rPr>
                  </w:pPr>
                  <w:r>
                    <w:rPr>
                      <w:rFonts w:hint="eastAsia" w:ascii="宋体" w:hAnsi="宋体" w:eastAsia="宋体" w:cs="宋体"/>
                      <w:szCs w:val="21"/>
                    </w:rPr>
                    <w:t xml:space="preserve">费率　　</w:t>
                  </w:r>
                  <w:r>
                    <w:rPr>
                      <w:rFonts w:ascii="宋体" w:hAnsi="宋体" w:eastAsia="宋体" w:cs="宋体"/>
                      <w:szCs w:val="21"/>
                    </w:rPr>
                  </w:r>
                  <w:r/>
                </w:p>
                <w:p>
                  <w:pPr>
                    <w:pStyle w:val="1140"/>
                    <w:ind w:firstLine="420"/>
                    <w:jc w:val="left"/>
                    <w:spacing w:line="360" w:lineRule="auto"/>
                    <w:rPr>
                      <w:rFonts w:ascii="宋体" w:hAnsi="宋体" w:eastAsia="宋体" w:cs="宋体"/>
                      <w:szCs w:val="21"/>
                    </w:rPr>
                  </w:pP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-60959</wp:posOffset>
                            </wp:positionH>
                            <wp:positionV relativeFrom="paragraph">
                              <wp:posOffset>55880</wp:posOffset>
                            </wp:positionV>
                            <wp:extent cx="1717675" cy="68516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717675" cy="6851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4.8pt,4.4pt" to="130.5pt,58.3pt" filled="f" strokecolor="#000000"/>
                        </w:pict>
                      </mc:Fallback>
                    </mc:AlternateContent>
                  </w:r>
                  <w:r>
                    <w:rPr>
                      <w:rFonts w:hint="eastAsia" w:ascii="宋体" w:hAnsi="宋体" w:eastAsia="宋体" w:cs="宋体"/>
                      <w:szCs w:val="21"/>
                    </w:rPr>
                    <w:t xml:space="preserve">　</w:t>
                  </w:r>
                  <w:r>
                    <w:rPr>
                      <w:rFonts w:ascii="宋体" w:hAnsi="宋体" w:eastAsia="宋体" w:cs="宋体"/>
                      <w:szCs w:val="21"/>
                    </w:rPr>
                  </w:r>
                  <w:r/>
                </w:p>
                <w:p>
                  <w:pPr>
                    <w:pStyle w:val="1140"/>
                    <w:ind w:firstLine="420"/>
                    <w:jc w:val="left"/>
                    <w:spacing w:line="360" w:lineRule="auto"/>
                    <w:rPr>
                      <w:rFonts w:ascii="宋体" w:hAnsi="宋体" w:eastAsia="宋体" w:cs="宋体"/>
                      <w:szCs w:val="21"/>
                    </w:rPr>
                  </w:pPr>
                  <w:r>
                    <w:rPr>
                      <w:rFonts w:hint="eastAsia" w:ascii="宋体" w:hAnsi="宋体" w:eastAsia="宋体" w:cs="宋体"/>
                      <w:szCs w:val="21"/>
                    </w:rPr>
                    <w:t xml:space="preserve">   　　　　</w:t>
                  </w:r>
                  <w:r>
                    <w:rPr>
                      <w:rFonts w:ascii="宋体" w:hAnsi="宋体" w:eastAsia="宋体" w:cs="宋体"/>
                      <w:szCs w:val="21"/>
                    </w:rPr>
                  </w:r>
                  <w:r/>
                </w:p>
                <w:p>
                  <w:pPr>
                    <w:pStyle w:val="1140"/>
                    <w:ind w:firstLine="420"/>
                    <w:jc w:val="left"/>
                    <w:spacing w:line="360" w:lineRule="auto"/>
                    <w:rPr>
                      <w:rFonts w:ascii="宋体" w:hAnsi="宋体" w:eastAsia="宋体" w:cs="宋体"/>
                      <w:szCs w:val="21"/>
                    </w:rPr>
                  </w:pPr>
                  <w:r>
                    <w:rPr>
                      <w:rFonts w:hint="eastAsia" w:ascii="宋体" w:hAnsi="宋体" w:eastAsia="宋体" w:cs="宋体"/>
                      <w:szCs w:val="21"/>
                    </w:rPr>
                    <w:t xml:space="preserve">中标金额（万元）</w:t>
                  </w:r>
                  <w:r>
                    <w:rPr>
                      <w:rFonts w:ascii="宋体" w:hAnsi="宋体" w:eastAsia="宋体" w:cs="宋体"/>
                      <w:szCs w:val="21"/>
                    </w:rPr>
                  </w:r>
                  <w:r/>
                </w:p>
              </w:tc>
              <w:tc>
                <w:tcPr>
                  <w:tcW w:w="2410" w:type="dxa"/>
                  <w:vAlign w:val="center"/>
                  <w:textDirection w:val="lrTb"/>
                  <w:noWrap w:val="false"/>
                </w:tcPr>
                <w:p>
                  <w:pPr>
                    <w:pStyle w:val="1140"/>
                    <w:ind w:firstLine="420"/>
                    <w:jc w:val="left"/>
                    <w:spacing w:line="360" w:lineRule="auto"/>
                    <w:rPr>
                      <w:rFonts w:ascii="宋体" w:hAnsi="宋体" w:eastAsia="宋体" w:cs="宋体"/>
                      <w:szCs w:val="21"/>
                    </w:rPr>
                  </w:pPr>
                  <w:r>
                    <w:rPr>
                      <w:rFonts w:hint="eastAsia" w:ascii="宋体" w:hAnsi="宋体" w:eastAsia="宋体" w:cs="宋体"/>
                      <w:szCs w:val="21"/>
                    </w:rPr>
                    <w:t xml:space="preserve">工程类</w:t>
                  </w:r>
                  <w:r>
                    <w:rPr>
                      <w:rFonts w:ascii="宋体" w:hAnsi="宋体" w:eastAsia="宋体" w:cs="宋体"/>
                      <w:szCs w:val="21"/>
                    </w:rPr>
                  </w:r>
                  <w:r/>
                </w:p>
              </w:tc>
            </w:tr>
            <w:tr>
              <w:trPr/>
              <w:tc>
                <w:tcPr>
                  <w:tcW w:w="2744" w:type="dxa"/>
                  <w:vAlign w:val="top"/>
                  <w:textDirection w:val="lrTb"/>
                  <w:noWrap w:val="false"/>
                </w:tcPr>
                <w:p>
                  <w:pPr>
                    <w:pStyle w:val="1140"/>
                    <w:ind w:firstLine="420"/>
                    <w:jc w:val="left"/>
                    <w:spacing w:line="360" w:lineRule="auto"/>
                    <w:rPr>
                      <w:rFonts w:ascii="宋体" w:hAnsi="宋体" w:eastAsia="宋体" w:cs="宋体"/>
                      <w:szCs w:val="21"/>
                    </w:rPr>
                  </w:pPr>
                  <w:r>
                    <w:rPr>
                      <w:rFonts w:hint="eastAsia" w:ascii="宋体" w:hAnsi="宋体" w:eastAsia="宋体" w:cs="宋体"/>
                      <w:szCs w:val="21"/>
                    </w:rPr>
                    <w:t xml:space="preserve">100（含，下同）以下</w:t>
                  </w:r>
                  <w:r>
                    <w:rPr>
                      <w:rFonts w:ascii="宋体" w:hAnsi="宋体" w:eastAsia="宋体" w:cs="宋体"/>
                      <w:szCs w:val="21"/>
                    </w:rPr>
                  </w:r>
                  <w:r/>
                </w:p>
              </w:tc>
              <w:tc>
                <w:tcPr>
                  <w:tcW w:w="2410" w:type="dxa"/>
                  <w:vAlign w:val="top"/>
                  <w:textDirection w:val="lrTb"/>
                  <w:noWrap w:val="false"/>
                </w:tcPr>
                <w:p>
                  <w:pPr>
                    <w:pStyle w:val="1140"/>
                    <w:ind w:firstLine="420"/>
                    <w:jc w:val="left"/>
                    <w:spacing w:line="360" w:lineRule="auto"/>
                    <w:rPr>
                      <w:rFonts w:ascii="宋体" w:hAnsi="宋体" w:eastAsia="宋体" w:cs="宋体"/>
                      <w:szCs w:val="21"/>
                    </w:rPr>
                  </w:pPr>
                  <w:r>
                    <w:rPr>
                      <w:rFonts w:hint="eastAsia" w:ascii="宋体" w:hAnsi="宋体" w:eastAsia="宋体" w:cs="宋体"/>
                      <w:szCs w:val="21"/>
                    </w:rPr>
                    <w:t xml:space="preserve">1.0%</w:t>
                  </w:r>
                  <w:r>
                    <w:rPr>
                      <w:rFonts w:ascii="宋体" w:hAnsi="宋体" w:eastAsia="宋体" w:cs="宋体"/>
                      <w:szCs w:val="21"/>
                    </w:rPr>
                  </w:r>
                  <w:r/>
                </w:p>
              </w:tc>
            </w:tr>
            <w:tr>
              <w:trPr/>
              <w:tc>
                <w:tcPr>
                  <w:tcW w:w="2744" w:type="dxa"/>
                  <w:vAlign w:val="top"/>
                  <w:textDirection w:val="lrTb"/>
                  <w:noWrap w:val="false"/>
                </w:tcPr>
                <w:p>
                  <w:pPr>
                    <w:pStyle w:val="1140"/>
                    <w:ind w:firstLine="420"/>
                    <w:jc w:val="left"/>
                    <w:spacing w:line="360" w:lineRule="auto"/>
                    <w:rPr>
                      <w:rFonts w:ascii="宋体" w:hAnsi="宋体" w:eastAsia="宋体" w:cs="宋体"/>
                      <w:szCs w:val="21"/>
                    </w:rPr>
                  </w:pPr>
                  <w:r>
                    <w:rPr>
                      <w:rFonts w:hint="eastAsia" w:ascii="宋体" w:hAnsi="宋体" w:eastAsia="宋体" w:cs="宋体"/>
                      <w:szCs w:val="21"/>
                    </w:rPr>
                    <w:t xml:space="preserve">100-500</w:t>
                  </w:r>
                  <w:r>
                    <w:rPr>
                      <w:rFonts w:ascii="宋体" w:hAnsi="宋体" w:eastAsia="宋体" w:cs="宋体"/>
                      <w:szCs w:val="21"/>
                    </w:rPr>
                  </w:r>
                  <w:r/>
                </w:p>
              </w:tc>
              <w:tc>
                <w:tcPr>
                  <w:tcW w:w="2410" w:type="dxa"/>
                  <w:vAlign w:val="top"/>
                  <w:textDirection w:val="lrTb"/>
                  <w:noWrap w:val="false"/>
                </w:tcPr>
                <w:p>
                  <w:pPr>
                    <w:pStyle w:val="1140"/>
                    <w:ind w:firstLine="420"/>
                    <w:jc w:val="left"/>
                    <w:spacing w:line="360" w:lineRule="auto"/>
                    <w:rPr>
                      <w:rFonts w:ascii="宋体" w:hAnsi="宋体" w:eastAsia="宋体" w:cs="宋体"/>
                      <w:szCs w:val="21"/>
                    </w:rPr>
                  </w:pPr>
                  <w:r>
                    <w:rPr>
                      <w:rFonts w:hint="eastAsia" w:ascii="宋体" w:hAnsi="宋体" w:eastAsia="宋体" w:cs="宋体"/>
                      <w:szCs w:val="21"/>
                    </w:rPr>
                    <w:t xml:space="preserve">0.7%</w:t>
                  </w:r>
                  <w:r>
                    <w:rPr>
                      <w:rFonts w:ascii="宋体" w:hAnsi="宋体" w:eastAsia="宋体" w:cs="宋体"/>
                      <w:szCs w:val="21"/>
                    </w:rPr>
                  </w:r>
                  <w:r/>
                </w:p>
              </w:tc>
            </w:tr>
            <w:tr>
              <w:trPr/>
              <w:tc>
                <w:tcPr>
                  <w:tcW w:w="2744" w:type="dxa"/>
                  <w:vAlign w:val="top"/>
                  <w:textDirection w:val="lrTb"/>
                  <w:noWrap w:val="false"/>
                </w:tcPr>
                <w:p>
                  <w:pPr>
                    <w:pStyle w:val="1140"/>
                    <w:ind w:firstLine="420"/>
                    <w:jc w:val="left"/>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500-1000</w:t>
                  </w:r>
                  <w:r>
                    <w:rPr>
                      <w:rFonts w:ascii="宋体" w:hAnsi="宋体" w:eastAsia="宋体" w:cs="宋体"/>
                      <w:szCs w:val="21"/>
                      <w:lang w:val="en-US" w:eastAsia="zh-CN"/>
                    </w:rPr>
                  </w:r>
                  <w:r/>
                </w:p>
              </w:tc>
              <w:tc>
                <w:tcPr>
                  <w:tcW w:w="2410" w:type="dxa"/>
                  <w:vAlign w:val="top"/>
                  <w:textDirection w:val="lrTb"/>
                  <w:noWrap w:val="false"/>
                </w:tcPr>
                <w:p>
                  <w:pPr>
                    <w:pStyle w:val="1140"/>
                    <w:ind w:firstLine="420"/>
                    <w:jc w:val="left"/>
                    <w:spacing w:line="360" w:lineRule="auto"/>
                    <w:rPr>
                      <w:rFonts w:ascii="宋体" w:hAnsi="宋体" w:eastAsia="宋体" w:cs="宋体"/>
                      <w:szCs w:val="21"/>
                    </w:rPr>
                  </w:pPr>
                  <w:r>
                    <w:rPr>
                      <w:rFonts w:hint="eastAsia" w:ascii="宋体" w:hAnsi="宋体" w:eastAsia="宋体" w:cs="宋体"/>
                      <w:szCs w:val="21"/>
                      <w:lang w:val="en-US" w:eastAsia="zh-CN"/>
                    </w:rPr>
                    <w:t xml:space="preserve">0.55</w:t>
                  </w:r>
                  <w:r>
                    <w:rPr>
                      <w:rFonts w:hint="eastAsia" w:ascii="宋体" w:hAnsi="宋体" w:eastAsia="宋体" w:cs="宋体"/>
                      <w:szCs w:val="21"/>
                    </w:rPr>
                    <w:t xml:space="preserve">%</w:t>
                  </w:r>
                  <w:r>
                    <w:rPr>
                      <w:rFonts w:ascii="宋体" w:hAnsi="宋体" w:eastAsia="宋体" w:cs="宋体"/>
                      <w:szCs w:val="21"/>
                    </w:rPr>
                  </w:r>
                  <w:r/>
                </w:p>
              </w:tc>
            </w:tr>
            <w:tr>
              <w:trPr/>
              <w:tc>
                <w:tcPr>
                  <w:tcW w:w="2744" w:type="dxa"/>
                  <w:vAlign w:val="top"/>
                  <w:textDirection w:val="lrTb"/>
                  <w:noWrap w:val="false"/>
                </w:tcPr>
                <w:p>
                  <w:pPr>
                    <w:pStyle w:val="1140"/>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r>
                  <w:r/>
                </w:p>
              </w:tc>
              <w:tc>
                <w:tcPr>
                  <w:tcW w:w="2410" w:type="dxa"/>
                  <w:vAlign w:val="top"/>
                  <w:textDirection w:val="lrTb"/>
                  <w:noWrap w:val="false"/>
                </w:tcPr>
                <w:p>
                  <w:pPr>
                    <w:pStyle w:val="1140"/>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r>
                  <w:r/>
                </w:p>
              </w:tc>
            </w:tr>
          </w:tbl>
          <w:p>
            <w:pPr>
              <w:pStyle w:val="1140"/>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1140"/>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1140"/>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1140"/>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1140"/>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1140"/>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1140"/>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1140"/>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1140"/>
              <w:spacing w:line="360" w:lineRule="auto"/>
              <w:rPr>
                <w:rFonts w:hint="eastAsia" w:ascii="宋体" w:hAnsi="宋体" w:cs="宋体"/>
                <w:bCs/>
                <w:spacing w:val="2"/>
                <w:sz w:val="24"/>
              </w:rPr>
            </w:pPr>
            <w:r>
              <w:rPr>
                <w:rFonts w:hint="eastAsia" w:ascii="宋体" w:hAnsi="宋体" w:cs="宋体"/>
                <w:bCs/>
                <w:spacing w:val="2"/>
                <w:sz w:val="24"/>
              </w:rPr>
            </w:r>
            <w:r/>
          </w:p>
          <w:p>
            <w:pPr>
              <w:pStyle w:val="1140"/>
              <w:jc w:val="left"/>
              <w:spacing w:line="360" w:lineRule="exact"/>
              <w:rPr>
                <w:rFonts w:hint="eastAsia" w:ascii="宋体" w:hAnsi="宋体" w:eastAsia="宋体" w:cs="宋体"/>
                <w:sz w:val="24"/>
              </w:rPr>
            </w:pPr>
            <w:r>
              <w:rPr>
                <w:rFonts w:hint="eastAsia" w:ascii="宋体" w:hAnsi="宋体" w:eastAsia="宋体" w:cs="宋体"/>
                <w:sz w:val="24"/>
              </w:rPr>
              <w:t xml:space="preserve">3、代理机构服务收费按差额定率累进法计算。</w:t>
            </w:r>
            <w:r>
              <w:rPr>
                <w:rFonts w:hint="eastAsia" w:ascii="宋体" w:hAnsi="宋体" w:eastAsia="宋体" w:cs="宋体"/>
                <w:sz w:val="24"/>
              </w:rPr>
            </w:r>
            <w:r/>
          </w:p>
          <w:p>
            <w:pPr>
              <w:pStyle w:val="1140"/>
              <w:jc w:val="left"/>
              <w:spacing w:line="360" w:lineRule="exact"/>
              <w:rPr>
                <w:rFonts w:hint="eastAsia" w:ascii="宋体" w:hAnsi="宋体" w:eastAsia="宋体" w:cs="宋体"/>
                <w:sz w:val="24"/>
              </w:rPr>
            </w:pPr>
            <w:r>
              <w:rPr>
                <w:rFonts w:hint="eastAsia" w:ascii="宋体" w:hAnsi="宋体" w:eastAsia="宋体" w:cs="宋体"/>
                <w:sz w:val="24"/>
              </w:rPr>
              <w:t xml:space="preserve">4、缴纳时间：领取</w:t>
            </w:r>
            <w:r>
              <w:rPr>
                <w:rFonts w:hint="eastAsia" w:ascii="宋体" w:hAnsi="宋体" w:eastAsia="宋体" w:cs="宋体"/>
                <w:sz w:val="24"/>
                <w:lang w:val="en-US" w:eastAsia="zh-CN"/>
              </w:rPr>
              <w:t xml:space="preserve">中标</w:t>
            </w:r>
            <w:r>
              <w:rPr>
                <w:rFonts w:hint="eastAsia" w:ascii="宋体" w:hAnsi="宋体" w:eastAsia="宋体" w:cs="宋体"/>
                <w:sz w:val="24"/>
              </w:rPr>
              <w:t xml:space="preserve">通知书时缴纳。</w:t>
            </w:r>
            <w:r>
              <w:rPr>
                <w:rFonts w:hint="eastAsia" w:ascii="宋体" w:hAnsi="宋体" w:eastAsia="宋体" w:cs="宋体"/>
                <w:sz w:val="24"/>
              </w:rPr>
            </w:r>
            <w:r/>
          </w:p>
          <w:p>
            <w:pPr>
              <w:pStyle w:val="1140"/>
              <w:jc w:val="left"/>
              <w:spacing w:line="360" w:lineRule="exact"/>
              <w:rPr>
                <w:rFonts w:hint="eastAsia" w:ascii="宋体" w:hAnsi="宋体" w:eastAsia="宋体" w:cs="宋体"/>
                <w:sz w:val="24"/>
              </w:rPr>
            </w:pPr>
            <w:r>
              <w:rPr>
                <w:rFonts w:hint="eastAsia" w:ascii="宋体" w:hAnsi="宋体" w:eastAsia="宋体" w:cs="宋体"/>
                <w:sz w:val="24"/>
              </w:rPr>
              <w:t xml:space="preserve">5、缴纳方式：</w:t>
            </w:r>
            <w:r>
              <w:rPr>
                <w:rFonts w:hint="eastAsia" w:ascii="宋体" w:hAnsi="宋体" w:eastAsia="宋体" w:cs="宋体"/>
                <w:sz w:val="24"/>
              </w:rPr>
            </w:r>
            <w:r/>
          </w:p>
          <w:p>
            <w:pPr>
              <w:pStyle w:val="1140"/>
              <w:jc w:val="left"/>
              <w:spacing w:line="360" w:lineRule="exact"/>
              <w:rPr>
                <w:rFonts w:hint="eastAsia" w:ascii="宋体" w:hAnsi="宋体" w:eastAsia="宋体" w:cs="宋体"/>
                <w:sz w:val="24"/>
              </w:rPr>
            </w:pPr>
            <w:r>
              <w:rPr>
                <w:rFonts w:hint="eastAsia" w:ascii="宋体" w:hAnsi="宋体" w:eastAsia="宋体" w:cs="宋体"/>
                <w:sz w:val="24"/>
              </w:rPr>
              <w:t xml:space="preserve">收款人名称：常州正衡招投标有限公司</w:t>
            </w:r>
            <w:r>
              <w:rPr>
                <w:rFonts w:hint="eastAsia" w:ascii="宋体" w:hAnsi="宋体" w:eastAsia="宋体" w:cs="宋体"/>
                <w:sz w:val="24"/>
              </w:rPr>
            </w:r>
            <w:r/>
          </w:p>
          <w:p>
            <w:pPr>
              <w:pStyle w:val="1140"/>
              <w:jc w:val="left"/>
              <w:spacing w:line="360" w:lineRule="exact"/>
              <w:rPr>
                <w:rFonts w:hint="eastAsia" w:ascii="宋体" w:hAnsi="宋体" w:eastAsia="宋体" w:cs="宋体"/>
                <w:sz w:val="24"/>
              </w:rPr>
            </w:pPr>
            <w:r>
              <w:rPr>
                <w:rFonts w:hint="eastAsia" w:ascii="宋体" w:hAnsi="宋体" w:eastAsia="宋体" w:cs="宋体"/>
                <w:sz w:val="24"/>
              </w:rPr>
              <w:t xml:space="preserve">开户行名称：招商银行常州北大街支行</w:t>
            </w:r>
            <w:r>
              <w:rPr>
                <w:rFonts w:hint="eastAsia" w:ascii="宋体" w:hAnsi="宋体" w:eastAsia="宋体" w:cs="宋体"/>
                <w:sz w:val="24"/>
              </w:rPr>
            </w:r>
            <w:r/>
          </w:p>
          <w:p>
            <w:pPr>
              <w:pStyle w:val="1140"/>
              <w:jc w:val="left"/>
              <w:spacing w:line="360" w:lineRule="exact"/>
              <w:rPr>
                <w:rFonts w:hint="eastAsia" w:ascii="宋体" w:hAnsi="宋体" w:eastAsia="宋体" w:cs="宋体"/>
                <w:sz w:val="24"/>
              </w:rPr>
            </w:pPr>
            <w:r>
              <w:rPr>
                <w:rFonts w:hint="eastAsia" w:ascii="宋体" w:hAnsi="宋体" w:eastAsia="宋体" w:cs="宋体"/>
                <w:sz w:val="24"/>
              </w:rPr>
              <w:t xml:space="preserve">银行账号：519902981310901</w:t>
            </w:r>
            <w:r>
              <w:rPr>
                <w:rFonts w:hint="eastAsia" w:ascii="宋体" w:hAnsi="宋体" w:eastAsia="宋体" w:cs="宋体"/>
                <w:sz w:val="24"/>
              </w:rPr>
            </w:r>
            <w:r/>
          </w:p>
          <w:p>
            <w:pPr>
              <w:pStyle w:val="1140"/>
              <w:jc w:val="left"/>
              <w:spacing w:line="360" w:lineRule="exact"/>
              <w:rPr>
                <w:color w:val="000000"/>
                <w:sz w:val="24"/>
                <w:highlight w:val="none"/>
              </w:rPr>
            </w:pPr>
            <w:r>
              <w:rPr>
                <w:rFonts w:hint="eastAsia" w:ascii="宋体" w:hAnsi="宋体" w:eastAsia="宋体" w:cs="宋体"/>
                <w:sz w:val="24"/>
              </w:rPr>
              <w:t xml:space="preserve">支付宝账号：3415909493@qq.com（备注单位名称及项目名称）</w:t>
            </w:r>
            <w:r>
              <w:rPr>
                <w:color w:val="000000"/>
                <w:sz w:val="24"/>
                <w:highlight w:val="none"/>
              </w:rPr>
            </w:r>
            <w:r/>
          </w:p>
        </w:tc>
      </w:tr>
    </w:tbl>
    <w:p>
      <w:pPr>
        <w:pStyle w:val="1140"/>
        <w:jc w:val="both"/>
        <w:spacing w:line="360" w:lineRule="auto"/>
        <w:tabs>
          <w:tab w:val="left" w:pos="5580" w:leader="none"/>
        </w:tabs>
        <w:rPr>
          <w:color w:val="000000"/>
          <w:sz w:val="24"/>
          <w:highlight w:val="none"/>
        </w:rPr>
        <w:sectPr>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r>
      <w:r/>
    </w:p>
    <w:p>
      <w:pPr>
        <w:pStyle w:val="1140"/>
        <w:jc w:val="center"/>
        <w:spacing w:before="240" w:after="240"/>
        <w:rPr>
          <w:b/>
          <w:color w:val="000000"/>
          <w:sz w:val="28"/>
          <w:szCs w:val="28"/>
        </w:rPr>
      </w:pPr>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Start w:id="52" w:name="_Toc265228393"/>
      <w:r/>
      <w:bookmarkStart w:id="53" w:name="_Toc353825545"/>
      <w:r/>
      <w:bookmarkStart w:id="54" w:name="_Toc195842920"/>
      <w:r/>
      <w:bookmarkStart w:id="55" w:name="_Toc264969245"/>
      <w:r/>
      <w:bookmarkStart w:id="56" w:name="_Toc150774760"/>
      <w:r/>
      <w:bookmarkStart w:id="57" w:name="_Toc353873935"/>
      <w:r/>
      <w:bookmarkStart w:id="58" w:name="_Toc305158897"/>
      <w:r/>
      <w:bookmarkStart w:id="59" w:name="_Toc226965828"/>
      <w:r/>
      <w:bookmarkStart w:id="60" w:name="_Toc127151555"/>
      <w:r/>
      <w:bookmarkStart w:id="61" w:name="_Toc150480793"/>
      <w:r/>
      <w:bookmarkStart w:id="62" w:name="_Toc142311057"/>
      <w:r/>
      <w:bookmarkStart w:id="63" w:name="_Toc226337251"/>
      <w:r/>
      <w:bookmarkStart w:id="64" w:name="_Toc353873665"/>
      <w:r/>
      <w:bookmarkStart w:id="65" w:name="_Toc305158823"/>
      <w:r>
        <w:rPr>
          <w:b/>
          <w:color w:val="000000"/>
          <w:sz w:val="28"/>
          <w:szCs w:val="28"/>
        </w:rPr>
        <w:t xml:space="preserve">供应商须知</w:t>
      </w:r>
      <w:r>
        <w:rPr>
          <w:b/>
          <w:color w:val="000000"/>
          <w:sz w:val="28"/>
          <w:szCs w:val="28"/>
        </w:rPr>
      </w:r>
      <w:r/>
    </w:p>
    <w:p>
      <w:pPr>
        <w:pStyle w:val="1142"/>
        <w:jc w:val="left"/>
        <w:spacing w:before="0" w:line="360" w:lineRule="auto"/>
        <w:tabs>
          <w:tab w:val="center" w:pos="4592" w:leader="none"/>
          <w:tab w:val="left" w:pos="7860" w:leader="none"/>
        </w:tabs>
        <w:rPr>
          <w:rFonts w:ascii="Times New Roman" w:hAnsi="Times New Roman" w:eastAsia="宋体"/>
          <w:color w:val="000000"/>
          <w:sz w:val="28"/>
        </w:rPr>
      </w:pPr>
      <w:r/>
      <w:bookmarkStart w:id="66" w:name="_Toc127151518"/>
      <w:r/>
      <w:bookmarkStart w:id="67" w:name="_Toc520356143"/>
      <w:r>
        <w:rPr>
          <w:rFonts w:ascii="Times New Roman" w:hAnsi="Times New Roman" w:eastAsia="宋体"/>
          <w:color w:val="000000"/>
          <w:sz w:val="28"/>
        </w:rPr>
        <w:tab/>
      </w:r>
      <w:bookmarkStart w:id="68" w:name="_Toc305158786"/>
      <w:r/>
      <w:bookmarkStart w:id="69" w:name="_Toc226337214"/>
      <w:r/>
      <w:bookmarkStart w:id="70" w:name="_Toc226965708"/>
      <w:r/>
      <w:bookmarkStart w:id="71" w:name="_Toc226965791"/>
      <w:r/>
      <w:bookmarkStart w:id="72" w:name="_Toc150774723"/>
      <w:r/>
      <w:bookmarkStart w:id="73" w:name="_Toc151193616"/>
      <w:r/>
      <w:bookmarkStart w:id="74" w:name="_Toc150774618"/>
      <w:r/>
      <w:bookmarkStart w:id="75" w:name="_Toc264969208"/>
      <w:r/>
      <w:bookmarkStart w:id="76" w:name="_Toc265228356"/>
      <w:r/>
      <w:bookmarkStart w:id="77" w:name="_Toc151193760"/>
      <w:r/>
      <w:bookmarkStart w:id="78" w:name="_Toc226309762"/>
      <w:r/>
      <w:bookmarkStart w:id="79" w:name="_Toc142311020"/>
      <w:r/>
      <w:bookmarkStart w:id="80" w:name="_Toc151193832"/>
      <w:r/>
      <w:bookmarkStart w:id="81" w:name="_Toc150480756"/>
      <w:r/>
      <w:bookmarkStart w:id="82" w:name="_Toc151193688"/>
      <w:r/>
      <w:bookmarkStart w:id="83" w:name="_Toc195842883"/>
      <w:r/>
      <w:bookmarkStart w:id="84" w:name="_Toc150509269"/>
      <w:r/>
      <w:bookmarkStart w:id="85" w:name="_Toc151190145"/>
      <w:r/>
      <w:bookmarkStart w:id="86" w:name="_Toc151193906"/>
      <w:r/>
      <w:bookmarkStart w:id="87" w:name="_Toc305158860"/>
      <w:r>
        <w:rPr>
          <w:rFonts w:ascii="Times New Roman" w:hAnsi="Times New Roman" w:eastAsia="宋体"/>
          <w:color w:val="000000"/>
          <w:sz w:val="28"/>
        </w:rPr>
        <w:t xml:space="preserve">一   说  明</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ascii="Times New Roman" w:hAnsi="Times New Roman" w:eastAsia="宋体"/>
          <w:color w:val="000000"/>
          <w:sz w:val="28"/>
        </w:rPr>
        <w:tab/>
      </w:r>
      <w:r>
        <w:rPr>
          <w:rFonts w:ascii="Times New Roman" w:hAnsi="Times New Roman" w:eastAsia="宋体"/>
          <w:color w:val="000000"/>
          <w:sz w:val="28"/>
        </w:rPr>
      </w:r>
      <w:r/>
    </w:p>
    <w:p>
      <w:pPr>
        <w:pStyle w:val="1140"/>
        <w:numPr>
          <w:ilvl w:val="0"/>
          <w:numId w:val="8"/>
        </w:numPr>
        <w:ind w:left="357" w:hanging="357"/>
        <w:spacing w:line="360" w:lineRule="auto"/>
        <w:tabs>
          <w:tab w:val="left" w:pos="360" w:leader="none"/>
        </w:tabs>
        <w:rPr>
          <w:color w:val="000000"/>
          <w:sz w:val="24"/>
        </w:rPr>
        <w:outlineLvl w:val="1"/>
      </w:pPr>
      <w:r/>
      <w:bookmarkStart w:id="88" w:name="_Toc264969209"/>
      <w:r/>
      <w:bookmarkStart w:id="89" w:name="_Toc305158787"/>
      <w:r/>
      <w:bookmarkStart w:id="90" w:name="_Toc305158861"/>
      <w:r/>
      <w:bookmarkStart w:id="91" w:name="_Toc265228357"/>
      <w:r>
        <w:rPr>
          <w:color w:val="000000"/>
          <w:sz w:val="24"/>
        </w:rPr>
        <w:t xml:space="preserve">采购人、采购代理机构、供应商</w:t>
      </w:r>
      <w:bookmarkEnd w:id="88"/>
      <w:r/>
      <w:bookmarkEnd w:id="89"/>
      <w:r/>
      <w:bookmarkEnd w:id="90"/>
      <w:r/>
      <w:bookmarkEnd w:id="91"/>
      <w:r>
        <w:rPr>
          <w:color w:val="000000"/>
          <w:sz w:val="24"/>
        </w:rPr>
        <w:t xml:space="preserve">、联合体</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采购人、采购代理机构：指依法进行政府采购的国家机关、事业单位、团体组织，及其委托的采购代理机构。本项目采购人、采购代理机构见第一章《采购邀请》。</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供应商（也称“申请人”）：指向采购人提供货物、工程或者服务的法人、其他组织或者自然人。</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联合体：指两个以上的自然人、法人或者其他组织组成一个联合体，以一个供应商的身份共同参加政府采购。</w:t>
      </w:r>
      <w:r>
        <w:rPr>
          <w:color w:val="000000"/>
          <w:sz w:val="24"/>
        </w:rPr>
      </w:r>
      <w:r/>
    </w:p>
    <w:p>
      <w:pPr>
        <w:pStyle w:val="1140"/>
        <w:numPr>
          <w:ilvl w:val="0"/>
          <w:numId w:val="8"/>
        </w:numPr>
        <w:ind w:left="357" w:hanging="357"/>
        <w:spacing w:line="360" w:lineRule="auto"/>
        <w:tabs>
          <w:tab w:val="left" w:pos="360" w:leader="none"/>
        </w:tabs>
        <w:rPr>
          <w:color w:val="000000"/>
          <w:sz w:val="24"/>
        </w:rPr>
        <w:outlineLvl w:val="1"/>
      </w:pPr>
      <w:r/>
      <w:bookmarkStart w:id="92" w:name="_Toc151193908"/>
      <w:r/>
      <w:bookmarkStart w:id="93" w:name="_Toc226965710"/>
      <w:r/>
      <w:bookmarkStart w:id="94" w:name="_Toc151193834"/>
      <w:r/>
      <w:bookmarkStart w:id="95" w:name="_Toc305158788"/>
      <w:r/>
      <w:bookmarkStart w:id="96" w:name="_Toc151193762"/>
      <w:r/>
      <w:bookmarkStart w:id="97" w:name="_Toc150509271"/>
      <w:r/>
      <w:bookmarkStart w:id="98" w:name="_Toc226337216"/>
      <w:r/>
      <w:bookmarkStart w:id="99" w:name="_Toc226309764"/>
      <w:r/>
      <w:bookmarkStart w:id="100" w:name="_Toc142311022"/>
      <w:r/>
      <w:bookmarkStart w:id="101" w:name="_Toc149720813"/>
      <w:r/>
      <w:bookmarkStart w:id="102" w:name="_Toc151193618"/>
      <w:r/>
      <w:bookmarkStart w:id="103" w:name="_Toc164608789"/>
      <w:r/>
      <w:bookmarkStart w:id="104" w:name="_Toc164229361"/>
      <w:r/>
      <w:bookmarkStart w:id="105" w:name="_Toc150480758"/>
      <w:r/>
      <w:bookmarkStart w:id="106" w:name="_Toc127151721"/>
      <w:r/>
      <w:bookmarkStart w:id="107" w:name="_Toc151190147"/>
      <w:r/>
      <w:bookmarkStart w:id="108" w:name="_Toc150774620"/>
      <w:r/>
      <w:bookmarkStart w:id="109" w:name="_Toc264969210"/>
      <w:r/>
      <w:bookmarkStart w:id="110" w:name="_Toc226965793"/>
      <w:r/>
      <w:bookmarkStart w:id="111" w:name="_Toc164608634"/>
      <w:r/>
      <w:bookmarkStart w:id="112" w:name="_Toc151193690"/>
      <w:r/>
      <w:bookmarkStart w:id="113" w:name="_Toc265228358"/>
      <w:r/>
      <w:bookmarkStart w:id="114" w:name="_Toc195842885"/>
      <w:r/>
      <w:bookmarkStart w:id="115" w:name="_Toc127151520"/>
      <w:r/>
      <w:bookmarkStart w:id="116" w:name="_Toc127161434"/>
      <w:r/>
      <w:bookmarkStart w:id="117" w:name="_Toc164229215"/>
      <w:r/>
      <w:bookmarkStart w:id="118" w:name="_Toc164351614"/>
      <w:r/>
      <w:bookmarkStart w:id="119" w:name="_Toc305158862"/>
      <w:r/>
      <w:bookmarkStart w:id="120" w:name="_Toc150774725"/>
      <w:r>
        <w:rPr>
          <w:color w:val="000000"/>
          <w:sz w:val="24"/>
        </w:rPr>
        <w:t xml:space="preserve">资金来源</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color w:val="000000"/>
          <w:sz w:val="24"/>
        </w:rPr>
        <w:t xml:space="preserve">、项目属性、科研仪器设备采购</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资金来源为财政性资金和/或本项目采购中无法与财政性资金分割的非财政性资金。</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项目属性见《供应商须知资料表》。</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是否属于科研仪器设备采购见《供应商须知资料表》。</w:t>
      </w:r>
      <w:r>
        <w:rPr>
          <w:color w:val="000000"/>
          <w:sz w:val="24"/>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现场考察、磋商前答疑会</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8"/>
        </w:rPr>
      </w:pPr>
      <w:r>
        <w:rPr>
          <w:color w:val="000000"/>
          <w:sz w:val="24"/>
        </w:rPr>
        <w:t xml:space="preserve">若《供应商须知资料表》中规定了组织现场考察、召开磋商前答疑会，则供应商应按要求在规定的时间和地点参加。</w:t>
      </w:r>
      <w:bookmarkStart w:id="121" w:name="_Toc520356146"/>
      <w:r/>
      <w:bookmarkStart w:id="122" w:name="_Toc151193910"/>
      <w:r/>
      <w:bookmarkStart w:id="123" w:name="_Toc150509273"/>
      <w:r/>
      <w:bookmarkStart w:id="124" w:name="_Toc226965795"/>
      <w:r/>
      <w:bookmarkStart w:id="125" w:name="_Toc150480760"/>
      <w:r/>
      <w:bookmarkStart w:id="126" w:name="_Toc151193620"/>
      <w:r/>
      <w:bookmarkStart w:id="127" w:name="_Toc142311024"/>
      <w:r/>
      <w:bookmarkStart w:id="128" w:name="_Toc264969212"/>
      <w:r/>
      <w:bookmarkStart w:id="129" w:name="_Toc151193692"/>
      <w:r/>
      <w:bookmarkStart w:id="130" w:name="_Toc265228360"/>
      <w:r/>
      <w:bookmarkStart w:id="131" w:name="_Toc305158864"/>
      <w:r/>
      <w:bookmarkStart w:id="132" w:name="_Toc151190149"/>
      <w:r/>
      <w:bookmarkStart w:id="133" w:name="_Toc305158790"/>
      <w:r/>
      <w:bookmarkStart w:id="134" w:name="_Toc226337218"/>
      <w:r/>
      <w:bookmarkStart w:id="135" w:name="_Toc195842887"/>
      <w:r/>
      <w:bookmarkStart w:id="136" w:name="_Toc226309766"/>
      <w:r/>
      <w:bookmarkStart w:id="137" w:name="_Toc127151522"/>
      <w:r/>
      <w:bookmarkStart w:id="138" w:name="_Toc151193836"/>
      <w:r/>
      <w:bookmarkStart w:id="139" w:name="_Toc150774727"/>
      <w:r/>
      <w:bookmarkStart w:id="140" w:name="_Toc151193764"/>
      <w:r/>
      <w:bookmarkStart w:id="141" w:name="_Toc226965712"/>
      <w:r/>
      <w:bookmarkStart w:id="142" w:name="_Toc150774622"/>
      <w:r>
        <w:rPr>
          <w:color w:val="000000"/>
          <w:sz w:val="28"/>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由于未参加现场考察或磋商前答疑会而导致对项目实际情况不了解，影响响应文件编制、报价准确性、综合因素响应不全面等问题的，由供应商自行承担不利评审后果。</w:t>
      </w:r>
      <w:r>
        <w:rPr>
          <w:color w:val="000000"/>
          <w:sz w:val="24"/>
        </w:rPr>
      </w:r>
      <w:r/>
    </w:p>
    <w:p>
      <w:pPr>
        <w:pStyle w:val="1140"/>
        <w:numPr>
          <w:ilvl w:val="0"/>
          <w:numId w:val="8"/>
        </w:numPr>
        <w:ind w:left="357" w:hanging="357"/>
        <w:spacing w:line="360" w:lineRule="auto"/>
        <w:tabs>
          <w:tab w:val="left" w:pos="360" w:leader="none"/>
        </w:tabs>
        <w:rPr>
          <w:color w:val="000000"/>
          <w:sz w:val="24"/>
        </w:rPr>
        <w:outlineLvl w:val="1"/>
      </w:pPr>
      <w:r>
        <w:rPr>
          <w:color w:val="000000"/>
          <w:sz w:val="24"/>
        </w:rPr>
        <w:t xml:space="preserve">政府采购政策（包括但不限于下列具体政策要求）</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进口产品</w:t>
      </w:r>
      <w:r>
        <w:rPr>
          <w:color w:val="000000"/>
          <w:sz w:val="24"/>
        </w:rPr>
      </w:r>
      <w:r/>
    </w:p>
    <w:p>
      <w:pPr>
        <w:pStyle w:val="1140"/>
        <w:numPr>
          <w:ilvl w:val="2"/>
          <w:numId w:val="8"/>
        </w:numPr>
        <w:spacing w:line="360" w:lineRule="auto"/>
        <w:tabs>
          <w:tab w:val="left" w:pos="1980" w:leader="none"/>
          <w:tab w:val="left" w:pos="2014" w:leader="none"/>
        </w:tabs>
        <w:rPr>
          <w:color w:val="000000"/>
          <w:sz w:val="24"/>
        </w:rPr>
      </w:pPr>
      <w:r>
        <w:rPr>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中小企业、监狱企业及残疾人福利性单位</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中小企业定义：</w:t>
      </w:r>
      <w:r>
        <w:rPr>
          <w:color w:val="000000"/>
          <w:sz w:val="24"/>
        </w:rPr>
      </w:r>
      <w:r/>
    </w:p>
    <w:p>
      <w:pPr>
        <w:pStyle w:val="1239"/>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9"/>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9"/>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9"/>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9"/>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9"/>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9"/>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0"/>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140"/>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供应商提供的货物、工程或者服务符合下列情形的，享受中小企业扶持政策：</w:t>
      </w:r>
      <w:r>
        <w:rPr>
          <w:color w:val="000000"/>
          <w:sz w:val="24"/>
        </w:rPr>
      </w:r>
      <w:r/>
    </w:p>
    <w:p>
      <w:pPr>
        <w:pStyle w:val="1140"/>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140"/>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140"/>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1140"/>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在货物采购项目中，供应商提供的货物既有中小企业制造货物，也有大型企业制造货物的，不享受中小企业扶持政策。</w:t>
      </w:r>
      <w:r>
        <w:rPr>
          <w:color w:val="000000"/>
          <w:sz w:val="24"/>
        </w:rPr>
      </w:r>
      <w:r/>
    </w:p>
    <w:p>
      <w:pPr>
        <w:pStyle w:val="1140"/>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以联合体形式参加政府采购活动，联合体各方均为中小企业的，联合体视同中小企业。其中，联合体各方均为小微企业的，联合体视同小微企业。</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残疾人福利单位定义：享受政府采购支持政策的残疾人福利性单位应当同时满足以下条件：</w:t>
      </w:r>
      <w:r>
        <w:rPr>
          <w:color w:val="000000"/>
          <w:sz w:val="24"/>
        </w:rPr>
      </w:r>
      <w:r/>
    </w:p>
    <w:p>
      <w:pPr>
        <w:pStyle w:val="1239"/>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9"/>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0"/>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140"/>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依法与安置的每位残疾人签订了一年以上（含一年）的劳动合同或服务协议；</w:t>
      </w:r>
      <w:r>
        <w:rPr>
          <w:color w:val="000000"/>
          <w:sz w:val="24"/>
        </w:rPr>
      </w:r>
      <w:r/>
    </w:p>
    <w:p>
      <w:pPr>
        <w:pStyle w:val="1140"/>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为安置的每位残疾人按月足额缴纳了基本养老保险、基本医疗保险、失业保险、工伤保险和生育保险等社会保险费；</w:t>
      </w:r>
      <w:r>
        <w:rPr>
          <w:color w:val="000000"/>
          <w:sz w:val="24"/>
        </w:rPr>
      </w:r>
      <w:r/>
    </w:p>
    <w:p>
      <w:pPr>
        <w:pStyle w:val="1140"/>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通过银行等金融机构向安置的每位残疾人，按月支付了不低于单位所在区县适用的经省级人民政府批准的月最低工资标准的工资；</w:t>
      </w:r>
      <w:r>
        <w:rPr>
          <w:color w:val="000000"/>
          <w:sz w:val="24"/>
        </w:rPr>
      </w:r>
      <w:r/>
    </w:p>
    <w:p>
      <w:pPr>
        <w:pStyle w:val="1140"/>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140"/>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本项目是否专门面向中小企业预留采购份额见第一章《采购邀请》。</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采购标的对应的中小企业划分标准所属行业见《供应商须知资料表》。</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小微企业价格评审优惠的政策调整：见第三章《评审方法和评审标准》。</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政府采购节能产品、环境标志产品</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如本项目采购产品属于实施政府强制采购品目清单范围的节能产品，则供应商所报产品必须获得国家确定的认证机构出具的、处于有效期之内的节能产品认证证书，</w:t>
      </w:r>
      <w:r>
        <w:rPr>
          <w:color w:val="000000"/>
          <w:sz w:val="24"/>
        </w:rPr>
        <w:t xml:space="preserve">否则</w:t>
      </w:r>
      <w:r>
        <w:rPr>
          <w:b/>
          <w:color w:val="000000"/>
          <w:sz w:val="24"/>
        </w:rPr>
        <w:t xml:space="preserve">响应无效</w:t>
      </w:r>
      <w:r>
        <w:rPr>
          <w:color w:val="000000"/>
          <w:sz w:val="24"/>
        </w:rPr>
        <w:t xml:space="preserve">；</w:t>
      </w:r>
      <w:r>
        <w:rPr>
          <w:color w:val="000000"/>
          <w:sz w:val="24"/>
        </w:rPr>
      </w:r>
      <w:r/>
    </w:p>
    <w:p>
      <w:pPr>
        <w:pStyle w:val="1140"/>
        <w:numPr>
          <w:ilvl w:val="2"/>
          <w:numId w:val="8"/>
        </w:numPr>
        <w:spacing w:line="360" w:lineRule="auto"/>
        <w:tabs>
          <w:tab w:val="left" w:pos="1980" w:leader="none"/>
        </w:tabs>
        <w:rPr>
          <w:rFonts w:hint="eastAsia"/>
          <w:color w:val="000000"/>
          <w:sz w:val="24"/>
        </w:rPr>
      </w:pPr>
      <w:r>
        <w:rPr>
          <w:color w:val="000000"/>
          <w:sz w:val="24"/>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rPr>
      </w:r>
      <w:r/>
    </w:p>
    <w:p>
      <w:pPr>
        <w:pStyle w:val="1140"/>
        <w:numPr>
          <w:ilvl w:val="2"/>
          <w:numId w:val="8"/>
        </w:numPr>
        <w:spacing w:line="360" w:lineRule="auto"/>
        <w:tabs>
          <w:tab w:val="left" w:pos="1980" w:leader="none"/>
          <w:tab w:val="left" w:pos="2014" w:leader="none"/>
        </w:tabs>
        <w:rPr>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支持乡村产业振兴管理</w:t>
      </w:r>
      <w:r>
        <w:rPr>
          <w:color w:val="000000"/>
          <w:sz w:val="24"/>
        </w:rPr>
      </w:r>
      <w:r/>
    </w:p>
    <w:p>
      <w:pPr>
        <w:pStyle w:val="1140"/>
        <w:numPr>
          <w:ilvl w:val="2"/>
          <w:numId w:val="8"/>
        </w:numPr>
        <w:spacing w:line="360" w:lineRule="auto"/>
        <w:tabs>
          <w:tab w:val="left" w:pos="1980" w:leader="none"/>
          <w:tab w:val="left" w:pos="2014" w:leader="none"/>
        </w:tabs>
        <w:rPr>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正版软件</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rPr>
        <w:t xml:space="preserve">否则</w:t>
      </w:r>
      <w:r>
        <w:rPr>
          <w:b/>
          <w:color w:val="000000"/>
          <w:sz w:val="24"/>
        </w:rPr>
        <w:t xml:space="preserve">响应无效</w:t>
      </w:r>
      <w:r>
        <w:rPr>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政府采购创新产品政策</w:t>
      </w:r>
      <w:r>
        <w:rPr>
          <w:rFonts w:hint="eastAsia" w:ascii="宋体" w:hAnsi="宋体" w:cs="宋体"/>
          <w:color w:val="000000"/>
          <w:sz w:val="24"/>
        </w:rPr>
      </w:r>
      <w:r/>
    </w:p>
    <w:p>
      <w:pPr>
        <w:pStyle w:val="1140"/>
        <w:numPr>
          <w:ilvl w:val="2"/>
          <w:numId w:val="8"/>
        </w:numPr>
        <w:spacing w:line="360" w:lineRule="auto"/>
        <w:tabs>
          <w:tab w:val="left" w:pos="1980"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rPr>
      </w:r>
      <w:r/>
    </w:p>
    <w:p>
      <w:pPr>
        <w:pStyle w:val="1140"/>
        <w:ind w:left="36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4.7   绿色采购政策</w:t>
      </w:r>
      <w:r>
        <w:rPr>
          <w:rFonts w:hint="eastAsia" w:ascii="宋体" w:hAnsi="宋体" w:cs="宋体"/>
          <w:color w:val="000000"/>
          <w:sz w:val="24"/>
        </w:rPr>
      </w:r>
      <w:r/>
    </w:p>
    <w:p>
      <w:pPr>
        <w:pStyle w:val="1140"/>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4.7.1  绿色数据中心政策 </w:t>
      </w:r>
      <w:r>
        <w:rPr>
          <w:rFonts w:hint="eastAsia" w:ascii="宋体" w:hAnsi="宋体" w:cs="宋体"/>
          <w:color w:val="000000"/>
          <w:sz w:val="24"/>
        </w:rPr>
      </w:r>
      <w:r/>
    </w:p>
    <w:p>
      <w:pPr>
        <w:pStyle w:val="1140"/>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依据《绿色数据中心政府采购需求标准（试行）》（财办库〔2023〕7 号）文件精神，采购</w:t>
      </w:r>
      <w:r>
        <w:rPr>
          <w:rFonts w:hint="eastAsia"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rPr>
      </w:r>
      <w:r/>
    </w:p>
    <w:p>
      <w:pPr>
        <w:pStyle w:val="1140"/>
        <w:ind w:left="36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4.7.2 推广应用绿色建材</w:t>
      </w:r>
      <w:r>
        <w:rPr>
          <w:rFonts w:hint="eastAsia" w:ascii="宋体" w:hAnsi="宋体" w:cs="宋体"/>
          <w:color w:val="000000"/>
          <w:sz w:val="24"/>
        </w:rPr>
      </w:r>
      <w:r/>
    </w:p>
    <w:p>
      <w:pPr>
        <w:pStyle w:val="1140"/>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rPr>
      </w:r>
      <w:r/>
    </w:p>
    <w:p>
      <w:pPr>
        <w:pStyle w:val="1140"/>
        <w:ind w:firstLine="120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4.7.3 优先使用低挥发性有机化合物产品</w:t>
      </w:r>
      <w:r>
        <w:rPr>
          <w:rFonts w:hint="eastAsia" w:ascii="宋体" w:hAnsi="宋体" w:cs="宋体"/>
          <w:color w:val="000000"/>
          <w:sz w:val="24"/>
        </w:rPr>
      </w:r>
      <w:r/>
    </w:p>
    <w:p>
      <w:pPr>
        <w:pStyle w:val="1140"/>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响应费用</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供应商应自行承担所有与准备和参加磋商有关的费用，无论磋商的结果如何，采购人或采购代理机构在任何情况下均无承担这些费用的义务和责任。</w:t>
      </w:r>
      <w:r>
        <w:rPr>
          <w:color w:val="000000"/>
          <w:sz w:val="24"/>
        </w:rPr>
      </w:r>
      <w:r/>
    </w:p>
    <w:p>
      <w:pPr>
        <w:pStyle w:val="1140"/>
        <w:ind w:left="1080"/>
        <w:spacing w:line="360" w:lineRule="auto"/>
        <w:tabs>
          <w:tab w:val="left" w:pos="1080" w:leader="none"/>
        </w:tabs>
        <w:rPr>
          <w:color w:val="000000"/>
          <w:sz w:val="28"/>
        </w:rPr>
      </w:pPr>
      <w:r/>
      <w:bookmarkStart w:id="143" w:name="_1.8_计量单位"/>
      <w:r/>
      <w:bookmarkEnd w:id="143"/>
      <w:r>
        <w:rPr>
          <w:color w:val="000000"/>
          <w:sz w:val="28"/>
        </w:rPr>
      </w:r>
      <w:r/>
    </w:p>
    <w:p>
      <w:pPr>
        <w:pStyle w:val="1142"/>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二   竞争性磋商文件</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ascii="Times New Roman" w:hAnsi="Times New Roman" w:eastAsia="宋体"/>
          <w:color w:val="000000"/>
          <w:sz w:val="28"/>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bookmarkStart w:id="144" w:name="_Toc164608792"/>
      <w:r/>
      <w:bookmarkStart w:id="145" w:name="_Toc150509274"/>
      <w:r/>
      <w:bookmarkStart w:id="146" w:name="_Toc151193693"/>
      <w:r/>
      <w:bookmarkStart w:id="147" w:name="_Toc142311025"/>
      <w:r/>
      <w:bookmarkStart w:id="148" w:name="_Toc264969213"/>
      <w:r/>
      <w:bookmarkStart w:id="149" w:name="_Toc226309767"/>
      <w:r/>
      <w:bookmarkStart w:id="150" w:name="_Toc127161437"/>
      <w:r/>
      <w:bookmarkStart w:id="151" w:name="_Toc127151724"/>
      <w:r/>
      <w:bookmarkStart w:id="152" w:name="_Toc520356147"/>
      <w:r/>
      <w:bookmarkStart w:id="153" w:name="_Toc226965796"/>
      <w:r/>
      <w:bookmarkStart w:id="154" w:name="_Toc151193837"/>
      <w:r/>
      <w:bookmarkStart w:id="155" w:name="_Toc151193621"/>
      <w:r/>
      <w:bookmarkStart w:id="156" w:name="_Toc305158791"/>
      <w:r/>
      <w:bookmarkStart w:id="157" w:name="_Toc226337219"/>
      <w:r/>
      <w:bookmarkStart w:id="158" w:name="_Toc305158865"/>
      <w:r/>
      <w:bookmarkStart w:id="159" w:name="_Toc164229364"/>
      <w:r/>
      <w:bookmarkStart w:id="160" w:name="_Toc164608637"/>
      <w:r/>
      <w:bookmarkStart w:id="161" w:name="_Toc151190150"/>
      <w:r/>
      <w:bookmarkStart w:id="162" w:name="_Toc151193765"/>
      <w:r/>
      <w:bookmarkStart w:id="163" w:name="_Toc149720816"/>
      <w:r/>
      <w:bookmarkStart w:id="164" w:name="_Toc164351617"/>
      <w:r/>
      <w:bookmarkStart w:id="165" w:name="_Toc164229218"/>
      <w:r/>
      <w:bookmarkStart w:id="166" w:name="_Toc150774728"/>
      <w:r/>
      <w:bookmarkStart w:id="167" w:name="_Toc150774623"/>
      <w:r/>
      <w:bookmarkStart w:id="168" w:name="_Toc151193911"/>
      <w:r/>
      <w:bookmarkStart w:id="169" w:name="_Toc127151523"/>
      <w:r/>
      <w:bookmarkStart w:id="170" w:name="_Toc195842888"/>
      <w:r/>
      <w:bookmarkStart w:id="171" w:name="_Toc265228361"/>
      <w:r/>
      <w:bookmarkStart w:id="172" w:name="_Toc150480761"/>
      <w:r/>
      <w:bookmarkStart w:id="173" w:name="_Toc226965713"/>
      <w:r>
        <w:rPr>
          <w:rFonts w:hint="eastAsia"/>
          <w:color w:val="000000"/>
          <w:sz w:val="24"/>
          <w:lang w:val="en-US" w:eastAsia="zh-CN"/>
        </w:rPr>
        <w:t xml:space="preserve">      </w:t>
      </w:r>
      <w:r>
        <w:rPr>
          <w:color w:val="000000"/>
          <w:sz w:val="24"/>
        </w:rPr>
        <w:t xml:space="preserve">竞争性磋商文件构</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color w:val="000000"/>
          <w:sz w:val="24"/>
        </w:rPr>
        <w:t xml:space="preserve">成</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竞争性磋商文件包括以下部分：</w:t>
      </w:r>
      <w:r>
        <w:rPr>
          <w:color w:val="000000"/>
          <w:sz w:val="24"/>
        </w:rPr>
      </w:r>
      <w:r/>
    </w:p>
    <w:p>
      <w:pPr>
        <w:pStyle w:val="1140"/>
        <w:numPr>
          <w:ilvl w:val="0"/>
          <w:numId w:val="10"/>
        </w:numPr>
        <w:ind w:left="1440" w:firstLine="5"/>
        <w:spacing w:line="360" w:lineRule="auto"/>
        <w:tabs>
          <w:tab w:val="left" w:pos="1980" w:leader="none"/>
          <w:tab w:val="left" w:pos="2520" w:leader="none"/>
          <w:tab w:val="left" w:pos="4941" w:leader="none"/>
        </w:tabs>
        <w:rPr>
          <w:color w:val="000000"/>
          <w:sz w:val="24"/>
        </w:rPr>
      </w:pPr>
      <w:r>
        <w:rPr>
          <w:rFonts w:hint="eastAsia"/>
          <w:color w:val="000000"/>
          <w:sz w:val="24"/>
        </w:rPr>
        <w:t xml:space="preserve">竞争性磋商公告</w:t>
      </w:r>
      <w:r>
        <w:rPr>
          <w:color w:val="000000"/>
          <w:sz w:val="24"/>
        </w:rPr>
      </w:r>
      <w:r/>
    </w:p>
    <w:p>
      <w:pPr>
        <w:pStyle w:val="1140"/>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供应商须知</w:t>
      </w:r>
      <w:r>
        <w:rPr>
          <w:color w:val="000000"/>
          <w:sz w:val="24"/>
        </w:rPr>
      </w:r>
      <w:r/>
    </w:p>
    <w:p>
      <w:pPr>
        <w:pStyle w:val="1140"/>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评审</w:t>
      </w:r>
      <w:r>
        <w:rPr>
          <w:rFonts w:hint="eastAsia"/>
          <w:color w:val="000000"/>
          <w:sz w:val="24"/>
        </w:rPr>
        <w:t xml:space="preserve">程序、评审</w:t>
      </w:r>
      <w:r>
        <w:rPr>
          <w:color w:val="000000"/>
          <w:sz w:val="24"/>
        </w:rPr>
        <w:t xml:space="preserve">方法和评审标准</w:t>
      </w:r>
      <w:r>
        <w:rPr>
          <w:color w:val="000000"/>
          <w:sz w:val="24"/>
        </w:rPr>
      </w:r>
      <w:r/>
    </w:p>
    <w:p>
      <w:pPr>
        <w:pStyle w:val="1140"/>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采购需求</w:t>
      </w:r>
      <w:r>
        <w:rPr>
          <w:color w:val="000000"/>
          <w:sz w:val="24"/>
        </w:rPr>
      </w:r>
      <w:r/>
    </w:p>
    <w:p>
      <w:pPr>
        <w:pStyle w:val="1140"/>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合同草案条款</w:t>
      </w:r>
      <w:r>
        <w:rPr>
          <w:color w:val="000000"/>
          <w:sz w:val="24"/>
        </w:rPr>
      </w:r>
      <w:r/>
    </w:p>
    <w:p>
      <w:pPr>
        <w:pStyle w:val="1140"/>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响应文件格式</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rPr>
        <w:t xml:space="preserve">响应无效</w:t>
      </w:r>
      <w:r>
        <w:rPr>
          <w:color w:val="000000"/>
          <w:sz w:val="24"/>
        </w:rPr>
        <w:t xml:space="preserve">。</w:t>
      </w:r>
      <w:r>
        <w:rPr>
          <w:color w:val="000000"/>
          <w:sz w:val="24"/>
        </w:rPr>
      </w:r>
      <w:r/>
    </w:p>
    <w:p>
      <w:pPr>
        <w:pStyle w:val="1140"/>
        <w:numPr>
          <w:ilvl w:val="0"/>
          <w:numId w:val="8"/>
        </w:numPr>
        <w:ind w:left="357" w:hanging="357"/>
        <w:spacing w:line="360" w:lineRule="auto"/>
        <w:tabs>
          <w:tab w:val="left" w:pos="900" w:leader="none"/>
          <w:tab w:val="left" w:pos="1080" w:leader="none"/>
          <w:tab w:val="left" w:pos="2014" w:leader="none"/>
        </w:tabs>
        <w:rPr>
          <w:color w:val="000000"/>
          <w:sz w:val="24"/>
        </w:rPr>
        <w:outlineLvl w:val="1"/>
      </w:pPr>
      <w:r>
        <w:rPr>
          <w:color w:val="000000"/>
          <w:sz w:val="24"/>
        </w:rPr>
        <w:t xml:space="preserve">对竞争性磋商文件的澄清或修改</w:t>
      </w:r>
      <w:r>
        <w:rPr>
          <w:color w:val="000000"/>
          <w:sz w:val="24"/>
        </w:rPr>
      </w:r>
      <w:r/>
    </w:p>
    <w:p>
      <w:pPr>
        <w:pStyle w:val="1140"/>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采购人或采购代理机构对已发出的竞争性磋商文件进行必要澄清或者修改的，将在原公告发布媒体上以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w:t>
      </w:r>
      <w:r>
        <w:rPr>
          <w:rFonts w:hint="eastAsia"/>
          <w:color w:val="000000"/>
          <w:sz w:val="24"/>
        </w:rPr>
        <w:t xml:space="preserve">磋商文件</w:t>
      </w:r>
      <w:r>
        <w:rPr>
          <w:color w:val="000000"/>
          <w:sz w:val="24"/>
        </w:rPr>
        <w:t xml:space="preserve">的</w:t>
      </w:r>
      <w:r>
        <w:rPr>
          <w:rFonts w:hint="eastAsia"/>
          <w:color w:val="000000"/>
          <w:sz w:val="24"/>
        </w:rPr>
        <w:t xml:space="preserve">供应商。</w:t>
      </w:r>
      <w:r>
        <w:rPr>
          <w:color w:val="000000"/>
          <w:sz w:val="24"/>
        </w:rPr>
      </w:r>
      <w:r/>
    </w:p>
    <w:p>
      <w:pPr>
        <w:pStyle w:val="1140"/>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rPr>
        <w:t xml:space="preserve">5</w:t>
      </w:r>
      <w:r>
        <w:rPr>
          <w:color w:val="000000"/>
          <w:sz w:val="24"/>
        </w:rPr>
        <w:t xml:space="preserve">日前</w:t>
      </w:r>
      <w:r>
        <w:rPr>
          <w:rFonts w:hint="eastAsia"/>
          <w:color w:val="000000"/>
          <w:sz w:val="24"/>
        </w:rPr>
        <w:t xml:space="preserve">，</w:t>
      </w:r>
      <w:r>
        <w:rPr>
          <w:color w:val="000000"/>
          <w:sz w:val="24"/>
        </w:rPr>
        <w:t xml:space="preserve">以更正公告形式通知所有获取</w:t>
      </w:r>
      <w:r>
        <w:rPr>
          <w:rFonts w:hint="eastAsia"/>
          <w:color w:val="000000"/>
          <w:sz w:val="24"/>
        </w:rPr>
        <w:t xml:space="preserve">磋商</w:t>
      </w:r>
      <w:r>
        <w:rPr>
          <w:color w:val="000000"/>
          <w:sz w:val="24"/>
        </w:rPr>
        <w:t xml:space="preserve">文件的潜在供应商；不足上述时间的，将顺延提交响应文件的截止时间。</w:t>
      </w:r>
      <w:r>
        <w:rPr>
          <w:color w:val="000000"/>
          <w:sz w:val="24"/>
        </w:rPr>
      </w:r>
      <w:r/>
    </w:p>
    <w:p>
      <w:pPr>
        <w:pStyle w:val="1140"/>
        <w:ind w:left="1080"/>
        <w:spacing w:line="360" w:lineRule="auto"/>
        <w:tabs>
          <w:tab w:val="left" w:pos="1080" w:leader="none"/>
          <w:tab w:val="left" w:pos="1561" w:leader="none"/>
        </w:tabs>
        <w:rPr>
          <w:color w:val="000000"/>
          <w:sz w:val="28"/>
        </w:rPr>
      </w:pPr>
      <w:r/>
      <w:bookmarkStart w:id="174" w:name="_Toc142311028"/>
      <w:r/>
      <w:bookmarkStart w:id="175" w:name="_Toc150774731"/>
      <w:r/>
      <w:bookmarkStart w:id="176" w:name="_Toc226965799"/>
      <w:r/>
      <w:bookmarkStart w:id="177" w:name="_Toc127151526"/>
      <w:r/>
      <w:bookmarkStart w:id="178" w:name="_Toc151193696"/>
      <w:r/>
      <w:bookmarkStart w:id="179" w:name="_Toc150480764"/>
      <w:r/>
      <w:bookmarkStart w:id="180" w:name="_Toc305158868"/>
      <w:r/>
      <w:bookmarkStart w:id="181" w:name="_Toc151193624"/>
      <w:r/>
      <w:bookmarkStart w:id="182" w:name="_Toc150774626"/>
      <w:r/>
      <w:bookmarkStart w:id="183" w:name="_Toc151190153"/>
      <w:r/>
      <w:bookmarkStart w:id="184" w:name="_Toc226309770"/>
      <w:r/>
      <w:bookmarkStart w:id="185" w:name="_Toc151193840"/>
      <w:r/>
      <w:bookmarkStart w:id="186" w:name="_Toc195842891"/>
      <w:r/>
      <w:bookmarkStart w:id="187" w:name="_Toc520356150"/>
      <w:r/>
      <w:bookmarkStart w:id="188" w:name="_Toc265228364"/>
      <w:r/>
      <w:bookmarkStart w:id="189" w:name="_Toc226965716"/>
      <w:r/>
      <w:bookmarkStart w:id="190" w:name="_Toc151193768"/>
      <w:r/>
      <w:bookmarkStart w:id="191" w:name="_Toc226337222"/>
      <w:r/>
      <w:bookmarkStart w:id="192" w:name="_Toc150509277"/>
      <w:r/>
      <w:bookmarkStart w:id="193" w:name="_Toc305158794"/>
      <w:r/>
      <w:bookmarkStart w:id="194" w:name="_Toc516367020"/>
      <w:r/>
      <w:bookmarkStart w:id="195" w:name="_Toc151193914"/>
      <w:r/>
      <w:bookmarkStart w:id="196" w:name="_Toc264969216"/>
      <w:r>
        <w:rPr>
          <w:color w:val="000000"/>
          <w:sz w:val="28"/>
        </w:rPr>
      </w:r>
      <w:r/>
    </w:p>
    <w:p>
      <w:pPr>
        <w:pStyle w:val="1142"/>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三   响应文件</w:t>
      </w:r>
      <w:bookmarkEnd w:id="194"/>
      <w:r>
        <w:rPr>
          <w:rFonts w:ascii="Times New Roman" w:hAnsi="Times New Roman" w:eastAsia="宋体"/>
          <w:color w:val="000000"/>
          <w:sz w:val="28"/>
        </w:rPr>
        <w:t xml:space="preserve">的编制</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5"/>
      <w:r/>
      <w:bookmarkEnd w:id="196"/>
      <w:r>
        <w:rPr>
          <w:rFonts w:ascii="Times New Roman" w:hAnsi="Times New Roman" w:eastAsia="宋体"/>
          <w:color w:val="000000"/>
          <w:sz w:val="28"/>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bookmarkStart w:id="197" w:name="_Toc150509278"/>
      <w:r/>
      <w:bookmarkStart w:id="198" w:name="_Toc127161441"/>
      <w:r/>
      <w:bookmarkStart w:id="199" w:name="_Toc226965717"/>
      <w:r/>
      <w:bookmarkStart w:id="200" w:name="_Toc164608641"/>
      <w:r/>
      <w:bookmarkStart w:id="201" w:name="_Toc127151527"/>
      <w:r/>
      <w:bookmarkStart w:id="202" w:name="_Toc151193841"/>
      <w:r/>
      <w:bookmarkStart w:id="203" w:name="_Toc226965800"/>
      <w:r/>
      <w:bookmarkStart w:id="204" w:name="_Toc142311029"/>
      <w:r/>
      <w:bookmarkStart w:id="205" w:name="_Toc226337223"/>
      <w:r/>
      <w:bookmarkStart w:id="206" w:name="_Toc305158795"/>
      <w:r/>
      <w:bookmarkStart w:id="207" w:name="_Toc151193769"/>
      <w:r/>
      <w:bookmarkStart w:id="208" w:name="_Toc151193625"/>
      <w:r/>
      <w:bookmarkStart w:id="209" w:name="_Toc164608796"/>
      <w:r/>
      <w:bookmarkStart w:id="210" w:name="_Toc516367021"/>
      <w:r/>
      <w:bookmarkStart w:id="211" w:name="_Toc164229222"/>
      <w:r/>
      <w:bookmarkStart w:id="212" w:name="_Toc195842892"/>
      <w:r/>
      <w:bookmarkStart w:id="213" w:name="_Toc265228365"/>
      <w:r/>
      <w:bookmarkStart w:id="214" w:name="_Toc151193915"/>
      <w:r/>
      <w:bookmarkStart w:id="215" w:name="_Toc264969217"/>
      <w:r/>
      <w:bookmarkStart w:id="216" w:name="_Toc151190154"/>
      <w:r/>
      <w:bookmarkStart w:id="217" w:name="_Toc150480765"/>
      <w:r/>
      <w:bookmarkStart w:id="218" w:name="_Toc149720820"/>
      <w:r/>
      <w:bookmarkStart w:id="219" w:name="_Toc150774627"/>
      <w:r/>
      <w:bookmarkStart w:id="220" w:name="_Toc164351621"/>
      <w:r/>
      <w:bookmarkStart w:id="221" w:name="_Toc520356151"/>
      <w:r/>
      <w:bookmarkStart w:id="222" w:name="_Toc127151728"/>
      <w:r/>
      <w:bookmarkStart w:id="223" w:name="_Toc226309771"/>
      <w:r/>
      <w:bookmarkStart w:id="224" w:name="_Toc164229368"/>
      <w:r/>
      <w:bookmarkStart w:id="225" w:name="_Toc151193697"/>
      <w:r/>
      <w:bookmarkStart w:id="226" w:name="_Toc305158869"/>
      <w:r/>
      <w:bookmarkStart w:id="227" w:name="_Toc150774732"/>
      <w:r>
        <w:rPr>
          <w:color w:val="000000"/>
          <w:sz w:val="24"/>
        </w:rPr>
        <w:t xml:space="preserve">响应范围、竞争性磋商文件中计量单位的使用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color w:val="000000"/>
          <w:sz w:val="24"/>
        </w:rPr>
        <w:t xml:space="preserve">及磋商语言</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rPr>
        <w:t xml:space="preserve">响应无效</w:t>
      </w:r>
      <w:r>
        <w:rPr>
          <w:color w:val="000000"/>
          <w:sz w:val="24"/>
        </w:rPr>
        <w:t xml:space="preserve">。</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除竞争性磋商文件有特殊要求外，本项目磋商所使用的计量单位，应采用中华人民共和国法定计量单位。</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bookmarkStart w:id="228" w:name="_Toc151193842"/>
      <w:r/>
      <w:bookmarkStart w:id="229" w:name="_Toc265228366"/>
      <w:r/>
      <w:bookmarkStart w:id="230" w:name="_Toc151193770"/>
      <w:r/>
      <w:bookmarkStart w:id="231" w:name="_Toc127161442"/>
      <w:r/>
      <w:bookmarkStart w:id="232" w:name="_Toc226309772"/>
      <w:r/>
      <w:bookmarkStart w:id="233" w:name="_Toc226965801"/>
      <w:r/>
      <w:bookmarkStart w:id="234" w:name="_Toc127151729"/>
      <w:r/>
      <w:bookmarkStart w:id="235" w:name="_Toc151193916"/>
      <w:r/>
      <w:bookmarkStart w:id="236" w:name="_Toc150774628"/>
      <w:r/>
      <w:bookmarkStart w:id="237" w:name="_Toc305158870"/>
      <w:r/>
      <w:bookmarkStart w:id="238" w:name="_Toc151193626"/>
      <w:r/>
      <w:bookmarkStart w:id="239" w:name="_Toc150509279"/>
      <w:r/>
      <w:bookmarkStart w:id="240" w:name="_Toc151193698"/>
      <w:r/>
      <w:bookmarkStart w:id="241" w:name="_Toc150774733"/>
      <w:r/>
      <w:bookmarkStart w:id="242" w:name="_Toc195842893"/>
      <w:r/>
      <w:bookmarkStart w:id="243" w:name="_Toc164608642"/>
      <w:r/>
      <w:bookmarkStart w:id="244" w:name="_Toc151190155"/>
      <w:r/>
      <w:bookmarkStart w:id="245" w:name="_Toc149720821"/>
      <w:r/>
      <w:bookmarkStart w:id="246" w:name="_Toc164229223"/>
      <w:r/>
      <w:bookmarkStart w:id="247" w:name="_Toc127151528"/>
      <w:r/>
      <w:bookmarkStart w:id="248" w:name="_Toc164351622"/>
      <w:r/>
      <w:bookmarkStart w:id="249" w:name="_Toc164229369"/>
      <w:r/>
      <w:bookmarkStart w:id="250" w:name="_Toc226337224"/>
      <w:r/>
      <w:bookmarkStart w:id="251" w:name="_Toc264969218"/>
      <w:r/>
      <w:bookmarkStart w:id="252" w:name="_Toc305158796"/>
      <w:r/>
      <w:bookmarkStart w:id="253" w:name="_Toc226965718"/>
      <w:r/>
      <w:bookmarkStart w:id="254" w:name="_Toc520356152"/>
      <w:r/>
      <w:bookmarkStart w:id="255" w:name="_Toc164608797"/>
      <w:r/>
      <w:bookmarkStart w:id="256" w:name="_Toc142311030"/>
      <w:r/>
      <w:bookmarkStart w:id="257" w:name="_Toc150480766"/>
      <w:r/>
      <w:bookmarkStart w:id="258" w:name="_Toc516367022"/>
      <w:r/>
      <w:bookmarkStart w:id="259" w:name="_Ref467306676"/>
      <w:r/>
      <w:bookmarkStart w:id="260" w:name="_Ref467306195"/>
      <w:r>
        <w:rPr>
          <w:color w:val="000000"/>
          <w:sz w:val="24"/>
        </w:rPr>
        <w:t xml:space="preserve">响应文件</w:t>
      </w:r>
      <w:bookmarkEnd w:id="258"/>
      <w:r/>
      <w:bookmarkEnd w:id="259"/>
      <w:r/>
      <w:bookmarkEnd w:id="260"/>
      <w:r>
        <w:rPr>
          <w:color w:val="000000"/>
          <w:sz w:val="24"/>
        </w:rPr>
        <w:t xml:space="preserve">构成</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261" w:name="_Ref467052588"/>
      <w:r>
        <w:rPr>
          <w:color w:val="000000"/>
          <w:sz w:val="24"/>
        </w:rPr>
        <w:t xml:space="preserve">供应商应当按照竞争性磋商文件的要求编制响应文件，</w:t>
      </w:r>
      <w:r>
        <w:rPr>
          <w:color w:val="000000"/>
          <w:sz w:val="24"/>
        </w:rPr>
        <w:t xml:space="preserve">并对其提交的响应文件的真实性、合法性承担法律责任</w:t>
      </w:r>
      <w:r>
        <w:rPr>
          <w:color w:val="000000"/>
          <w:sz w:val="24"/>
        </w:rPr>
        <w:t xml:space="preserve">。响应文件的部分格式要求，见第六章《响应文件格式》。</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对于竞争性磋商文件中标记了“实质性格式”文件的，</w:t>
      </w:r>
      <w:r>
        <w:rPr>
          <w:color w:val="000000"/>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第三章《评审方法和评审标准》中涉及的证明文件。</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供应商认为应附的其他材料。</w:t>
      </w:r>
      <w:bookmarkEnd w:id="261"/>
      <w:r>
        <w:rPr>
          <w:color w:val="000000"/>
          <w:sz w:val="24"/>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bookmarkStart w:id="262" w:name="_Toc150774630"/>
      <w:r/>
      <w:bookmarkStart w:id="263" w:name="_Toc151193772"/>
      <w:r/>
      <w:bookmarkStart w:id="264" w:name="_Toc151193918"/>
      <w:r/>
      <w:bookmarkStart w:id="265" w:name="_Toc151193700"/>
      <w:r/>
      <w:bookmarkStart w:id="266" w:name="_Toc164229225"/>
      <w:r/>
      <w:bookmarkStart w:id="267" w:name="_Toc150774735"/>
      <w:r/>
      <w:bookmarkStart w:id="268" w:name="_Toc151193844"/>
      <w:r/>
      <w:bookmarkStart w:id="269" w:name="_Toc151193628"/>
      <w:r/>
      <w:bookmarkStart w:id="270" w:name="_Toc151190157"/>
      <w:r/>
      <w:bookmarkStart w:id="271" w:name="_Toc195842895"/>
      <w:r/>
      <w:bookmarkStart w:id="272" w:name="_Toc127151530"/>
      <w:r/>
      <w:bookmarkStart w:id="273" w:name="_Toc164229371"/>
      <w:r/>
      <w:bookmarkStart w:id="274" w:name="_Toc127151731"/>
      <w:r/>
      <w:bookmarkStart w:id="275" w:name="_Toc127161444"/>
      <w:r/>
      <w:bookmarkStart w:id="276" w:name="_Toc520356155"/>
      <w:r/>
      <w:bookmarkStart w:id="277" w:name="_Toc142311032"/>
      <w:r/>
      <w:bookmarkStart w:id="278" w:name="_Toc164608799"/>
      <w:r/>
      <w:bookmarkStart w:id="279" w:name="_Toc150509281"/>
      <w:r/>
      <w:bookmarkStart w:id="280" w:name="_Toc164608644"/>
      <w:r/>
      <w:bookmarkStart w:id="281" w:name="_Toc150480768"/>
      <w:r/>
      <w:bookmarkStart w:id="282" w:name="_Toc164351624"/>
      <w:r/>
      <w:bookmarkStart w:id="283" w:name="_Toc149720823"/>
      <w:r>
        <w:rPr>
          <w:color w:val="000000"/>
          <w:sz w:val="24"/>
        </w:rPr>
        <w:t xml:space="preserve">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所有响应均以人民币报价。</w:t>
      </w:r>
      <w:r>
        <w:rPr>
          <w:color w:val="000000"/>
          <w:sz w:val="24"/>
        </w:rPr>
      </w:r>
      <w:r/>
    </w:p>
    <w:p>
      <w:pPr>
        <w:pStyle w:val="1140"/>
        <w:numPr>
          <w:ilvl w:val="1"/>
          <w:numId w:val="8"/>
        </w:numPr>
        <w:spacing w:line="360" w:lineRule="auto"/>
        <w:tabs>
          <w:tab w:val="left" w:pos="1080" w:leader="none"/>
          <w:tab w:val="left" w:pos="1589" w:leader="none"/>
        </w:tabs>
        <w:rPr>
          <w:color w:val="000000"/>
          <w:sz w:val="24"/>
        </w:rPr>
      </w:pPr>
      <w:r>
        <w:rPr>
          <w:color w:val="000000"/>
          <w:sz w:val="24"/>
        </w:rPr>
        <w:t xml:space="preserve">供应商的报价应包括为完成本项目所发生的一切费用和税费，采购人将不再支付报价以外的任何费用。</w:t>
      </w:r>
      <w:r>
        <w:rPr>
          <w:rFonts w:hint="eastAsia"/>
          <w:color w:val="000000"/>
          <w:sz w:val="24"/>
        </w:rPr>
        <w:t xml:space="preserve">供应商的报价应包括但不限于下列内容，《供应商须知资料表》中有特殊规定的，从其规定。</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按照竞争性磋商文件要求完成本项</w:t>
      </w:r>
      <w:r>
        <w:rPr>
          <w:rFonts w:hint="eastAsia"/>
          <w:color w:val="000000"/>
          <w:sz w:val="24"/>
        </w:rPr>
        <w:t xml:space="preserve">目的全部相关工程或服务费用。</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采购人不得向供应商索要或者接受其给予的赠品、回扣或者与采购无关的其他商品、服务。</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供应商不能提供任何有选择性或可调整的最终报价（</w:t>
      </w:r>
      <w:r>
        <w:rPr>
          <w:color w:val="000000"/>
          <w:sz w:val="24"/>
        </w:rPr>
        <w:t xml:space="preserve">竞争性磋商文件</w:t>
      </w:r>
      <w:r>
        <w:rPr>
          <w:color w:val="000000"/>
          <w:sz w:val="24"/>
        </w:rPr>
        <w:t xml:space="preserve">另有规定的除外），否则其</w:t>
      </w:r>
      <w:r>
        <w:rPr>
          <w:b/>
          <w:color w:val="000000"/>
          <w:sz w:val="24"/>
        </w:rPr>
        <w:t xml:space="preserve">响应无效</w:t>
      </w:r>
      <w:r>
        <w:rPr>
          <w:color w:val="000000"/>
          <w:sz w:val="24"/>
        </w:rPr>
        <w:t xml:space="preserve">。</w:t>
      </w:r>
      <w:r>
        <w:rPr>
          <w:color w:val="000000"/>
          <w:sz w:val="24"/>
        </w:rPr>
      </w:r>
      <w:r/>
    </w:p>
    <w:p>
      <w:pPr>
        <w:pStyle w:val="1140"/>
        <w:ind w:firstLine="241"/>
        <w:spacing w:line="360" w:lineRule="auto"/>
        <w:tabs>
          <w:tab w:val="left" w:pos="1080" w:leader="none"/>
          <w:tab w:val="left" w:pos="2014" w:leader="none"/>
        </w:tabs>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10.5   </w:t>
      </w:r>
      <w:r>
        <w:rPr>
          <w:rFonts w:ascii="宋体" w:hAnsi="宋体" w:cs="宋体"/>
          <w:b/>
          <w:bCs/>
          <w:color w:val="000000"/>
          <w:sz w:val="24"/>
          <w:highlight w:val="none"/>
        </w:rPr>
        <w:t xml:space="preserve">评审过程中出现下列情形之一的，</w:t>
      </w:r>
      <w:r>
        <w:rPr>
          <w:rFonts w:hint="eastAsia" w:ascii="宋体" w:hAnsi="宋体" w:eastAsia="宋体" w:cs="宋体"/>
          <w:b/>
          <w:bCs/>
          <w:color w:val="000000"/>
          <w:sz w:val="24"/>
          <w:highlight w:val="none"/>
          <w:lang w:val="en-US" w:eastAsia="zh-CN"/>
        </w:rPr>
        <w:t xml:space="preserve">磋商小组会</w:t>
      </w:r>
      <w:r>
        <w:rPr>
          <w:rFonts w:ascii="宋体" w:hAnsi="宋体" w:cs="宋体"/>
          <w:b/>
          <w:bCs/>
          <w:color w:val="000000"/>
          <w:sz w:val="24"/>
          <w:highlight w:val="none"/>
        </w:rPr>
        <w:t xml:space="preserve">应当动异常低价响应审查程序： </w:t>
      </w:r>
      <w:r>
        <w:rPr>
          <w:rFonts w:ascii="宋体" w:hAnsi="宋体" w:cs="宋体"/>
          <w:b/>
          <w:bCs/>
          <w:color w:val="000000"/>
          <w:sz w:val="24"/>
          <w:highlight w:val="none"/>
        </w:rPr>
      </w:r>
      <w:r/>
    </w:p>
    <w:p>
      <w:pPr>
        <w:pStyle w:val="1140"/>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10.5.1投标报价低于全部通过符合性审查供应商投标报价平均值50%的，即投标报价&lt;全部通过符合性审查供应商投标报价平均值×50%；</w:t>
      </w:r>
      <w:r>
        <w:rPr>
          <w:rFonts w:ascii="宋体" w:hAnsi="宋体" w:eastAsia="宋体" w:cs="宋体"/>
          <w:b/>
          <w:bCs/>
          <w:color w:val="000000"/>
          <w:sz w:val="24"/>
          <w:highlight w:val="none"/>
        </w:rPr>
      </w:r>
      <w:r/>
    </w:p>
    <w:p>
      <w:pPr>
        <w:pStyle w:val="1140"/>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10.5.2投标报价低于通过符合性审查的次低报价供应商投标报价50%的，即投标报价&lt;通过符合性审查的次低报价供应商投标报价×50%；</w:t>
      </w:r>
      <w:r>
        <w:rPr>
          <w:rFonts w:ascii="宋体" w:hAnsi="宋体" w:eastAsia="宋体" w:cs="宋体"/>
          <w:b/>
          <w:bCs/>
          <w:color w:val="000000"/>
          <w:sz w:val="24"/>
          <w:highlight w:val="none"/>
        </w:rPr>
      </w:r>
      <w:r/>
    </w:p>
    <w:p>
      <w:pPr>
        <w:pStyle w:val="1140"/>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10.5.3投标报价低于采购项目最高限价45%的，即投标报价&lt;采购项目最高限价×45%；</w:t>
      </w:r>
      <w:r>
        <w:rPr>
          <w:rFonts w:ascii="宋体" w:hAnsi="宋体" w:eastAsia="宋体" w:cs="宋体"/>
          <w:b/>
          <w:bCs/>
          <w:color w:val="000000"/>
          <w:sz w:val="24"/>
          <w:highlight w:val="none"/>
        </w:rPr>
      </w:r>
      <w:r/>
    </w:p>
    <w:p>
      <w:pPr>
        <w:pStyle w:val="1140"/>
        <w:ind w:firstLine="241"/>
        <w:spacing w:line="360" w:lineRule="auto"/>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10.5.4磋商小组基于专业判断，认为供应商报价过低，有可能影响产品质量或者不能诚信履约的其他情形。</w:t>
      </w:r>
      <w:r>
        <w:rPr>
          <w:rFonts w:hint="eastAsia" w:ascii="宋体" w:hAnsi="宋体" w:eastAsia="宋体" w:cs="宋体"/>
          <w:b/>
          <w:bCs/>
          <w:color w:val="000000"/>
          <w:sz w:val="24"/>
          <w:highlight w:val="none"/>
          <w:lang w:val="en-US" w:eastAsia="zh-CN"/>
        </w:rPr>
      </w:r>
      <w:r/>
    </w:p>
    <w:p>
      <w:pPr>
        <w:pStyle w:val="1140"/>
        <w:ind w:firstLine="482"/>
        <w:spacing w:line="360" w:lineRule="auto"/>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磋商小组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r>
        <w:rPr>
          <w:rFonts w:hint="eastAsia" w:ascii="宋体" w:hAnsi="宋体" w:eastAsia="宋体" w:cs="宋体"/>
          <w:b/>
          <w:bCs/>
          <w:color w:val="000000"/>
          <w:sz w:val="24"/>
          <w:highlight w:val="none"/>
          <w:lang w:val="en-US" w:eastAsia="zh-CN"/>
        </w:rPr>
      </w:r>
      <w:r/>
    </w:p>
    <w:p>
      <w:pPr>
        <w:pStyle w:val="1140"/>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rPr>
          <w:rFonts w:hint="eastAsia" w:ascii="宋体" w:hAnsi="宋体" w:eastAsia="宋体" w:cs="宋体"/>
          <w:b/>
          <w:bCs/>
          <w:color w:val="000000"/>
          <w:sz w:val="24"/>
          <w:highlight w:val="none"/>
          <w:lang w:val="en-US" w:eastAsia="zh-CN"/>
        </w:rPr>
      </w:r>
      <w:r/>
    </w:p>
    <w:p>
      <w:pPr>
        <w:pStyle w:val="1322"/>
        <w:ind w:left="0" w:firstLine="482"/>
        <w:keepLines w:val="0"/>
        <w:keepNext w:val="0"/>
        <w:pageBreakBefore w:val="0"/>
        <w:spacing w:line="360" w:lineRule="auto"/>
        <w:widowControl w:val="off"/>
        <w:rPr>
          <w:color w:val="000000"/>
        </w:rPr>
      </w:pPr>
      <w:r>
        <w:rPr>
          <w:rFonts w:hint="eastAsia" w:ascii="宋体" w:hAnsi="宋体" w:eastAsia="宋体" w:cs="宋体"/>
          <w:b/>
          <w:bCs/>
          <w:color w:val="000000"/>
          <w:sz w:val="24"/>
          <w:highlight w:val="none"/>
          <w:lang w:val="en-US" w:eastAsia="zh-CN"/>
        </w:rPr>
        <w:t xml:space="preserve">具体详见《关于推动解决政府采购异常低价问题的通知》财库〔2026〕2号</w:t>
      </w:r>
      <w:r>
        <w:rPr>
          <w:color w:val="000000"/>
        </w:rPr>
      </w:r>
      <w:r/>
    </w:p>
    <w:p>
      <w:pPr>
        <w:pStyle w:val="1140"/>
        <w:numPr>
          <w:ilvl w:val="0"/>
          <w:numId w:val="8"/>
        </w:numPr>
        <w:ind w:left="0" w:firstLine="480"/>
        <w:keepLines w:val="0"/>
        <w:keepNext w:val="0"/>
        <w:pageBreakBefore w:val="0"/>
        <w:spacing w:line="360" w:lineRule="auto"/>
        <w:widowControl w:val="off"/>
        <w:tabs>
          <w:tab w:val="left" w:pos="360" w:leader="none"/>
          <w:tab w:val="left" w:pos="900" w:leader="none"/>
        </w:tabs>
        <w:rPr>
          <w:color w:val="000000"/>
          <w:sz w:val="24"/>
        </w:rPr>
        <w:outlineLvl w:val="1"/>
      </w:pPr>
      <w:r>
        <w:rPr>
          <w:color w:val="000000"/>
          <w:sz w:val="24"/>
        </w:rPr>
        <w:t xml:space="preserve">磋商保证金</w:t>
      </w:r>
      <w:r>
        <w:rPr>
          <w:color w:val="000000"/>
          <w:sz w:val="24"/>
        </w:rPr>
      </w:r>
      <w:r/>
    </w:p>
    <w:p>
      <w:pPr>
        <w:pStyle w:val="1140"/>
        <w:ind w:left="0" w:firstLine="480"/>
        <w:keepLines w:val="0"/>
        <w:keepNext w:val="0"/>
        <w:pageBreakBefore w:val="0"/>
        <w:spacing w:line="360" w:lineRule="auto"/>
        <w:widowControl w:val="off"/>
        <w:tabs>
          <w:tab w:val="left" w:pos="360" w:leader="none"/>
        </w:tabs>
        <w:rPr>
          <w:color w:val="000000"/>
          <w:sz w:val="24"/>
        </w:rPr>
        <w:outlineLvl w:val="1"/>
      </w:pPr>
      <w:r>
        <w:rPr>
          <w:rFonts w:hint="eastAsia"/>
          <w:color w:val="000000"/>
          <w:sz w:val="24"/>
        </w:rPr>
        <w:t xml:space="preserve">根据江苏省和常州市的相关文件规定，免收保证金。</w:t>
      </w:r>
      <w:r>
        <w:rPr>
          <w:color w:val="000000"/>
          <w:sz w:val="24"/>
        </w:rPr>
      </w:r>
      <w:r/>
    </w:p>
    <w:p>
      <w:pPr>
        <w:pStyle w:val="1140"/>
        <w:numPr>
          <w:ilvl w:val="0"/>
          <w:numId w:val="8"/>
        </w:numPr>
        <w:ind w:left="0" w:firstLine="480"/>
        <w:keepLines w:val="0"/>
        <w:keepNext w:val="0"/>
        <w:pageBreakBefore w:val="0"/>
        <w:spacing w:line="360" w:lineRule="auto"/>
        <w:widowControl w:val="off"/>
        <w:tabs>
          <w:tab w:val="left" w:pos="360" w:leader="none"/>
          <w:tab w:val="left" w:pos="900" w:leader="none"/>
        </w:tabs>
        <w:rPr>
          <w:color w:val="000000"/>
          <w:sz w:val="24"/>
        </w:rPr>
        <w:outlineLvl w:val="1"/>
      </w:pPr>
      <w:r>
        <w:rPr>
          <w:color w:val="000000"/>
          <w:sz w:val="24"/>
        </w:rPr>
        <w:t xml:space="preserve">响应有效期</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响应文件应在本竞争性磋商文件《供应商须知资料表》中规定的响应有效期内保持有效，响应有效期少于竞争性磋商文件规定期限的，其</w:t>
      </w:r>
      <w:r>
        <w:rPr>
          <w:b/>
          <w:color w:val="000000"/>
          <w:sz w:val="24"/>
        </w:rPr>
        <w:t xml:space="preserve">响应无效</w:t>
      </w:r>
      <w:r>
        <w:rPr>
          <w:color w:val="000000"/>
          <w:sz w:val="24"/>
        </w:rPr>
        <w:t xml:space="preserve">。</w:t>
      </w:r>
      <w:r>
        <w:rPr>
          <w:color w:val="000000"/>
          <w:sz w:val="24"/>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bookmarkStart w:id="284" w:name="_Toc164351627"/>
      <w:r/>
      <w:bookmarkStart w:id="285" w:name="_Toc226337229"/>
      <w:r/>
      <w:bookmarkStart w:id="286" w:name="_Toc150480771"/>
      <w:r/>
      <w:bookmarkStart w:id="287" w:name="_Toc164229228"/>
      <w:r/>
      <w:bookmarkStart w:id="288" w:name="_Toc127151734"/>
      <w:r/>
      <w:bookmarkStart w:id="289" w:name="_Toc127151533"/>
      <w:r/>
      <w:bookmarkStart w:id="290" w:name="_Toc151190160"/>
      <w:r/>
      <w:bookmarkStart w:id="291" w:name="_Toc127161447"/>
      <w:r/>
      <w:bookmarkStart w:id="292" w:name="_Toc150774738"/>
      <w:r/>
      <w:bookmarkStart w:id="293" w:name="_Toc265228371"/>
      <w:r/>
      <w:bookmarkStart w:id="294" w:name="_Toc151193631"/>
      <w:r/>
      <w:bookmarkStart w:id="295" w:name="_Toc226309777"/>
      <w:r/>
      <w:bookmarkStart w:id="296" w:name="_Toc164608647"/>
      <w:r/>
      <w:bookmarkStart w:id="297" w:name="_Toc151193703"/>
      <w:r/>
      <w:bookmarkStart w:id="298" w:name="_Toc151193921"/>
      <w:r/>
      <w:bookmarkStart w:id="299" w:name="_Toc305158875"/>
      <w:r/>
      <w:bookmarkStart w:id="300" w:name="_Toc305158801"/>
      <w:r/>
      <w:bookmarkStart w:id="301" w:name="_Toc142311035"/>
      <w:r/>
      <w:bookmarkStart w:id="302" w:name="_Toc264969223"/>
      <w:r/>
      <w:bookmarkStart w:id="303" w:name="_Toc149720826"/>
      <w:r/>
      <w:bookmarkStart w:id="304" w:name="_Toc151193775"/>
      <w:r/>
      <w:bookmarkStart w:id="305" w:name="_Toc226965723"/>
      <w:r/>
      <w:bookmarkStart w:id="306" w:name="_Toc164229374"/>
      <w:r/>
      <w:bookmarkStart w:id="307" w:name="_Toc150509284"/>
      <w:r/>
      <w:bookmarkStart w:id="308" w:name="_Toc151193847"/>
      <w:r/>
      <w:bookmarkStart w:id="309" w:name="_Toc150774633"/>
      <w:r/>
      <w:bookmarkStart w:id="310" w:name="_Toc520356158"/>
      <w:r/>
      <w:bookmarkStart w:id="311" w:name="_Toc195842898"/>
      <w:r/>
      <w:bookmarkStart w:id="312" w:name="_Toc164608802"/>
      <w:r/>
      <w:bookmarkStart w:id="313" w:name="_Toc226965806"/>
      <w:r>
        <w:rPr>
          <w:color w:val="000000"/>
          <w:sz w:val="24"/>
        </w:rPr>
        <w:t xml:space="preserve">响应文件的签署</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Pr>
          <w:color w:val="000000"/>
          <w:sz w:val="24"/>
        </w:rPr>
        <w:t xml:space="preserve">、盖章</w:t>
      </w:r>
      <w:r>
        <w:rPr>
          <w:color w:val="000000"/>
          <w:sz w:val="24"/>
        </w:rPr>
      </w:r>
      <w:r/>
    </w:p>
    <w:p>
      <w:pPr>
        <w:pStyle w:val="1140"/>
        <w:numPr>
          <w:ilvl w:val="1"/>
          <w:numId w:val="8"/>
        </w:numPr>
        <w:spacing w:line="360" w:lineRule="auto"/>
        <w:tabs>
          <w:tab w:val="left" w:pos="1080" w:leader="none"/>
          <w:tab w:val="left" w:pos="1589" w:leader="none"/>
        </w:tabs>
        <w:rPr>
          <w:color w:val="000000"/>
          <w:sz w:val="24"/>
        </w:rPr>
      </w:pPr>
      <w:r/>
      <w:bookmarkStart w:id="314" w:name="_Toc150509285"/>
      <w:r/>
      <w:bookmarkStart w:id="315" w:name="_Toc264969224"/>
      <w:r/>
      <w:bookmarkStart w:id="316" w:name="_Toc150774739"/>
      <w:r/>
      <w:bookmarkStart w:id="317" w:name="_Toc151193704"/>
      <w:r/>
      <w:bookmarkStart w:id="318" w:name="_Toc127151534"/>
      <w:r/>
      <w:bookmarkStart w:id="319" w:name="_Toc151193632"/>
      <w:r/>
      <w:bookmarkStart w:id="320" w:name="_Toc151193776"/>
      <w:r/>
      <w:bookmarkStart w:id="321" w:name="_Toc151193922"/>
      <w:r/>
      <w:bookmarkStart w:id="322" w:name="_Toc520356159"/>
      <w:r/>
      <w:bookmarkStart w:id="323" w:name="_Toc195842899"/>
      <w:r/>
      <w:bookmarkStart w:id="324" w:name="_Toc226965724"/>
      <w:r/>
      <w:bookmarkStart w:id="325" w:name="_Toc226309778"/>
      <w:r/>
      <w:bookmarkStart w:id="326" w:name="_Toc151190161"/>
      <w:r/>
      <w:bookmarkStart w:id="327" w:name="_Toc265228372"/>
      <w:r/>
      <w:bookmarkStart w:id="328" w:name="_Toc226965807"/>
      <w:r/>
      <w:bookmarkStart w:id="329" w:name="_Toc305158802"/>
      <w:r/>
      <w:bookmarkStart w:id="330" w:name="_Toc142311036"/>
      <w:r/>
      <w:bookmarkStart w:id="331" w:name="_Toc150480772"/>
      <w:r/>
      <w:bookmarkStart w:id="332" w:name="_Toc150774634"/>
      <w:r/>
      <w:bookmarkStart w:id="333" w:name="_Toc226337230"/>
      <w:r/>
      <w:bookmarkStart w:id="334" w:name="_Toc305158876"/>
      <w:r/>
      <w:bookmarkStart w:id="335" w:name="_Toc151193848"/>
      <w:r>
        <w:rPr>
          <w:color w:val="000000"/>
          <w:sz w:val="24"/>
        </w:rPr>
        <w:t xml:space="preserve">竞争性磋商文件要求签字的内容（如授权委托书等），</w:t>
      </w:r>
      <w:r>
        <w:rPr>
          <w:rFonts w:hint="eastAsia"/>
          <w:color w:val="000000"/>
          <w:sz w:val="24"/>
        </w:rPr>
        <w:t xml:space="preserve">可以使用电子签章或使用原件的电子件（电子件指扫描件、照片等形式电子文件）；要求</w:t>
      </w:r>
      <w:r>
        <w:rPr>
          <w:color w:val="000000"/>
          <w:sz w:val="24"/>
        </w:rPr>
        <w:t xml:space="preserve">第三方出具的盖章件原件（如联合协议、分包意向协议、制造商授权书原件等），响应文件中应使用原件的电子件。</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竞争性磋商文件要求盖章的内容，</w:t>
      </w:r>
      <w:r>
        <w:rPr>
          <w:rFonts w:hint="eastAsia"/>
          <w:color w:val="000000"/>
          <w:sz w:val="24"/>
        </w:rPr>
        <w:t xml:space="preserve">一般</w:t>
      </w:r>
      <w:r>
        <w:rPr>
          <w:color w:val="000000"/>
          <w:sz w:val="24"/>
        </w:rPr>
        <w:t xml:space="preserve">通过投标文件编制工具加盖电子签章。</w:t>
      </w:r>
      <w:r>
        <w:rPr>
          <w:color w:val="000000"/>
          <w:sz w:val="24"/>
        </w:rPr>
      </w:r>
      <w:r/>
    </w:p>
    <w:p>
      <w:pPr>
        <w:pStyle w:val="1140"/>
        <w:ind w:left="357"/>
        <w:spacing w:line="360" w:lineRule="auto"/>
        <w:tabs>
          <w:tab w:val="left" w:pos="900" w:leader="none"/>
          <w:tab w:val="left" w:pos="1080" w:leader="none"/>
        </w:tabs>
        <w:rPr>
          <w:color w:val="000000"/>
        </w:rPr>
      </w:pPr>
      <w:r>
        <w:rPr>
          <w:color w:val="000000"/>
        </w:rPr>
      </w:r>
      <w:r/>
    </w:p>
    <w:p>
      <w:pPr>
        <w:pStyle w:val="1142"/>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四   响应文件的提交</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ascii="Times New Roman" w:hAnsi="Times New Roman" w:eastAsia="宋体"/>
          <w:color w:val="000000"/>
          <w:sz w:val="28"/>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bookmarkStart w:id="336" w:name="_Toc151190162"/>
      <w:r/>
      <w:bookmarkStart w:id="337" w:name="_Toc164608649"/>
      <w:r/>
      <w:bookmarkStart w:id="338" w:name="_Toc150774740"/>
      <w:r/>
      <w:bookmarkStart w:id="339" w:name="_Toc150480773"/>
      <w:r/>
      <w:bookmarkStart w:id="340" w:name="_Toc149720828"/>
      <w:r/>
      <w:bookmarkStart w:id="341" w:name="_Toc195842900"/>
      <w:r/>
      <w:bookmarkStart w:id="342" w:name="_Toc142311037"/>
      <w:r/>
      <w:bookmarkStart w:id="343" w:name="_Toc151193633"/>
      <w:r/>
      <w:bookmarkStart w:id="344" w:name="_Toc226965808"/>
      <w:r/>
      <w:bookmarkStart w:id="345" w:name="_Toc151193923"/>
      <w:r/>
      <w:bookmarkStart w:id="346" w:name="_Toc164608804"/>
      <w:r/>
      <w:bookmarkStart w:id="347" w:name="_Toc226337231"/>
      <w:r/>
      <w:bookmarkStart w:id="348" w:name="_Toc164351629"/>
      <w:r/>
      <w:bookmarkStart w:id="349" w:name="_Toc305158803"/>
      <w:r/>
      <w:bookmarkStart w:id="350" w:name="_Toc151193777"/>
      <w:r/>
      <w:bookmarkStart w:id="351" w:name="_Toc127151736"/>
      <w:r/>
      <w:bookmarkStart w:id="352" w:name="_Toc305158877"/>
      <w:r/>
      <w:bookmarkStart w:id="353" w:name="_Toc265228373"/>
      <w:r/>
      <w:bookmarkStart w:id="354" w:name="_Toc520356160"/>
      <w:r/>
      <w:bookmarkStart w:id="355" w:name="_Toc226965725"/>
      <w:r/>
      <w:bookmarkStart w:id="356" w:name="_Toc264969225"/>
      <w:r/>
      <w:bookmarkStart w:id="357" w:name="_Toc151193849"/>
      <w:r/>
      <w:bookmarkStart w:id="358" w:name="_Toc150509286"/>
      <w:r/>
      <w:bookmarkStart w:id="359" w:name="_Toc164229230"/>
      <w:r/>
      <w:bookmarkStart w:id="360" w:name="_Toc151193705"/>
      <w:r/>
      <w:bookmarkStart w:id="361" w:name="_Toc150774635"/>
      <w:r/>
      <w:bookmarkStart w:id="362" w:name="_Toc164229376"/>
      <w:r/>
      <w:bookmarkStart w:id="363" w:name="_Toc226309779"/>
      <w:r/>
      <w:bookmarkStart w:id="364" w:name="_Toc127161449"/>
      <w:r/>
      <w:bookmarkStart w:id="365" w:name="_Toc127151535"/>
      <w:r>
        <w:rPr>
          <w:color w:val="000000"/>
          <w:sz w:val="24"/>
        </w:rPr>
        <w:t xml:space="preserve">响应文件的</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Pr>
          <w:color w:val="000000"/>
          <w:sz w:val="24"/>
        </w:rPr>
        <w:t xml:space="preserve">提交</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本项目使用</w:t>
      </w:r>
      <w:r>
        <w:rPr>
          <w:rFonts w:hint="eastAsia"/>
          <w:color w:val="000000"/>
          <w:sz w:val="24"/>
        </w:rPr>
        <w:t xml:space="preserve">“苏采云”政府采购一体化平台</w:t>
      </w:r>
      <w:r>
        <w:rPr>
          <w:color w:val="000000"/>
          <w:sz w:val="24"/>
        </w:rPr>
        <w:t xml:space="preserve">。供应商根据竞争性磋商文件及</w:t>
      </w:r>
      <w:r>
        <w:rPr>
          <w:rFonts w:hint="eastAsia"/>
          <w:color w:val="000000"/>
          <w:sz w:val="24"/>
        </w:rPr>
        <w:t xml:space="preserve">“苏采云”政府采购一体化平台</w:t>
      </w:r>
      <w:r>
        <w:rPr>
          <w:color w:val="000000"/>
          <w:sz w:val="24"/>
        </w:rPr>
        <w:t xml:space="preserve">供应商操作手册要求编制、生成并提交电子响应文件。</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采购人及采购代理机构拒绝接受通过电子交易平台以外任何形式提交的响应文件，磋商保证金除外。</w:t>
      </w:r>
      <w:r>
        <w:rPr>
          <w:color w:val="000000"/>
          <w:sz w:val="24"/>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bookmarkStart w:id="366" w:name="_Toc520356161"/>
      <w:r/>
      <w:bookmarkStart w:id="367" w:name="_Toc305158804"/>
      <w:r/>
      <w:bookmarkStart w:id="368" w:name="_Toc305158878"/>
      <w:r/>
      <w:bookmarkStart w:id="369" w:name="_Toc127151737"/>
      <w:r/>
      <w:bookmarkStart w:id="370" w:name="_Toc150480774"/>
      <w:r/>
      <w:bookmarkStart w:id="371" w:name="_Toc164229377"/>
      <w:r/>
      <w:bookmarkStart w:id="372" w:name="_Toc127151536"/>
      <w:r/>
      <w:bookmarkStart w:id="373" w:name="_Toc164351630"/>
      <w:r/>
      <w:bookmarkStart w:id="374" w:name="_Toc226309780"/>
      <w:r/>
      <w:bookmarkStart w:id="375" w:name="_Toc150509287"/>
      <w:r/>
      <w:bookmarkStart w:id="376" w:name="_Toc264969226"/>
      <w:r/>
      <w:bookmarkStart w:id="377" w:name="_Toc195842901"/>
      <w:r/>
      <w:bookmarkStart w:id="378" w:name="_Toc150774636"/>
      <w:r/>
      <w:bookmarkStart w:id="379" w:name="_Toc151193634"/>
      <w:r/>
      <w:bookmarkStart w:id="380" w:name="_Toc149720829"/>
      <w:r/>
      <w:bookmarkStart w:id="381" w:name="_Toc226965726"/>
      <w:r/>
      <w:bookmarkStart w:id="382" w:name="_Toc142311038"/>
      <w:r/>
      <w:bookmarkStart w:id="383" w:name="_Toc164608805"/>
      <w:r/>
      <w:bookmarkStart w:id="384" w:name="_Toc164229231"/>
      <w:r/>
      <w:bookmarkStart w:id="385" w:name="_Toc164608650"/>
      <w:r/>
      <w:bookmarkStart w:id="386" w:name="_Toc150774741"/>
      <w:r/>
      <w:bookmarkStart w:id="387" w:name="_Toc127161450"/>
      <w:r/>
      <w:bookmarkStart w:id="388" w:name="_Toc151193778"/>
      <w:r/>
      <w:bookmarkStart w:id="389" w:name="_Toc151193706"/>
      <w:r/>
      <w:bookmarkStart w:id="390" w:name="_Toc151193850"/>
      <w:r/>
      <w:bookmarkStart w:id="391" w:name="_Toc151193924"/>
      <w:r/>
      <w:bookmarkStart w:id="392" w:name="_Toc226965809"/>
      <w:r/>
      <w:bookmarkStart w:id="393" w:name="_Toc226337232"/>
      <w:r/>
      <w:bookmarkStart w:id="394" w:name="_Toc265228374"/>
      <w:r/>
      <w:bookmarkStart w:id="395" w:name="_Toc151190163"/>
      <w:r>
        <w:rPr>
          <w:color w:val="000000"/>
          <w:sz w:val="24"/>
        </w:rPr>
        <w:t xml:space="preserve">响应文件截止</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color w:val="000000"/>
          <w:sz w:val="24"/>
        </w:rPr>
        <w:t xml:space="preserve">时间</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供应商应在竞争性磋商文件要求提交响应文件截止时间前，将电子响应文件提交至</w:t>
      </w:r>
      <w:r>
        <w:rPr>
          <w:rFonts w:hint="eastAsia"/>
          <w:color w:val="000000"/>
          <w:sz w:val="24"/>
        </w:rPr>
        <w:t xml:space="preserve">“苏采云”政府采购一体化平台</w:t>
      </w:r>
      <w:r>
        <w:rPr>
          <w:color w:val="000000"/>
          <w:sz w:val="24"/>
        </w:rPr>
        <w:t xml:space="preserve">。</w:t>
      </w:r>
      <w:r>
        <w:rPr>
          <w:color w:val="000000"/>
          <w:sz w:val="24"/>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bookmarkStart w:id="396" w:name="_Toc520356162"/>
      <w:r/>
      <w:bookmarkStart w:id="397" w:name="_Toc264969227"/>
      <w:r/>
      <w:bookmarkStart w:id="398" w:name="_Toc151193635"/>
      <w:r/>
      <w:bookmarkStart w:id="399" w:name="_Toc226309781"/>
      <w:r/>
      <w:bookmarkStart w:id="400" w:name="_Toc127151738"/>
      <w:r/>
      <w:bookmarkStart w:id="401" w:name="_Toc151190164"/>
      <w:r/>
      <w:bookmarkStart w:id="402" w:name="_Toc226965727"/>
      <w:r/>
      <w:bookmarkStart w:id="403" w:name="_Toc151193925"/>
      <w:r/>
      <w:bookmarkStart w:id="404" w:name="_Toc195842902"/>
      <w:r/>
      <w:bookmarkStart w:id="405" w:name="_Toc164229232"/>
      <w:r/>
      <w:bookmarkStart w:id="406" w:name="_Toc127161451"/>
      <w:r/>
      <w:bookmarkStart w:id="407" w:name="_Toc305158879"/>
      <w:r/>
      <w:bookmarkStart w:id="408" w:name="_Toc164608806"/>
      <w:r/>
      <w:bookmarkStart w:id="409" w:name="_Toc150774742"/>
      <w:r/>
      <w:bookmarkStart w:id="410" w:name="_Toc150480775"/>
      <w:r/>
      <w:bookmarkStart w:id="411" w:name="_Toc151193851"/>
      <w:r/>
      <w:bookmarkStart w:id="412" w:name="_Toc305158805"/>
      <w:r/>
      <w:bookmarkStart w:id="413" w:name="_Toc151193779"/>
      <w:r/>
      <w:bookmarkStart w:id="414" w:name="_Toc164608651"/>
      <w:r/>
      <w:bookmarkStart w:id="415" w:name="_Toc164229378"/>
      <w:r/>
      <w:bookmarkStart w:id="416" w:name="_Toc150509288"/>
      <w:r/>
      <w:bookmarkStart w:id="417" w:name="_Toc265228375"/>
      <w:r/>
      <w:bookmarkStart w:id="418" w:name="_Toc127151537"/>
      <w:r/>
      <w:bookmarkStart w:id="419" w:name="_Toc226337233"/>
      <w:r/>
      <w:bookmarkStart w:id="420" w:name="_Toc151193707"/>
      <w:r/>
      <w:bookmarkStart w:id="421" w:name="_Toc226965810"/>
      <w:r/>
      <w:bookmarkStart w:id="422" w:name="_Toc164351631"/>
      <w:r/>
      <w:bookmarkStart w:id="423" w:name="_Toc142311039"/>
      <w:r/>
      <w:bookmarkStart w:id="424" w:name="_Toc150774637"/>
      <w:r/>
      <w:bookmarkStart w:id="425" w:name="_Toc149720830"/>
      <w:r>
        <w:rPr>
          <w:color w:val="000000"/>
          <w:sz w:val="24"/>
        </w:rPr>
        <w:t xml:space="preserve">响应文件的修改与撤回</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提交响应文件截止时间前，供应商可以通过电子交易平台对所提交的响应文件进行补充、修改或者撤回。磋商保证金</w:t>
      </w:r>
      <w:r>
        <w:rPr>
          <w:rFonts w:hint="eastAsia"/>
          <w:color w:val="000000"/>
          <w:sz w:val="24"/>
        </w:rPr>
        <w:t xml:space="preserve">的</w:t>
      </w:r>
      <w:r>
        <w:rPr>
          <w:color w:val="000000"/>
          <w:sz w:val="24"/>
        </w:rPr>
        <w:t xml:space="preserve">补充、修改或者撤回</w:t>
      </w:r>
      <w:r>
        <w:rPr>
          <w:rFonts w:hint="eastAsia"/>
          <w:color w:val="000000"/>
          <w:sz w:val="24"/>
        </w:rPr>
        <w:t xml:space="preserve">无需</w:t>
      </w:r>
      <w:r>
        <w:rPr>
          <w:color w:val="000000"/>
          <w:sz w:val="24"/>
        </w:rPr>
        <w:t xml:space="preserve">通过电子交易平台</w:t>
      </w:r>
      <w:r>
        <w:rPr>
          <w:rFonts w:hint="eastAsia"/>
          <w:color w:val="000000"/>
          <w:sz w:val="24"/>
        </w:rPr>
        <w:t xml:space="preserve">，</w:t>
      </w:r>
      <w:r>
        <w:rPr>
          <w:color w:val="000000"/>
          <w:sz w:val="24"/>
        </w:rPr>
        <w:t xml:space="preserve">但应</w:t>
      </w:r>
      <w:r>
        <w:rPr>
          <w:rFonts w:hint="eastAsia"/>
          <w:color w:val="000000"/>
          <w:sz w:val="24"/>
        </w:rPr>
        <w:t xml:space="preserve">就其</w:t>
      </w:r>
      <w:r>
        <w:rPr>
          <w:color w:val="000000"/>
          <w:sz w:val="24"/>
        </w:rPr>
        <w:t xml:space="preserve">补充、修改或者撤回</w:t>
      </w:r>
      <w:r>
        <w:rPr>
          <w:rFonts w:hint="eastAsia"/>
          <w:color w:val="000000"/>
          <w:sz w:val="24"/>
        </w:rPr>
        <w:t xml:space="preserve">通知</w:t>
      </w:r>
      <w:r>
        <w:rPr>
          <w:color w:val="000000"/>
          <w:sz w:val="24"/>
        </w:rPr>
        <w:t xml:space="preserve">采购人或采购代理机构。</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供应商对响应文件的补充、修改的内容应当按照竞争性磋商文件要求签署、盖章，作为响应文件的组成部分。</w:t>
      </w:r>
      <w:r>
        <w:rPr>
          <w:color w:val="000000"/>
          <w:sz w:val="24"/>
        </w:rPr>
        <w:t xml:space="preserve">补充、修改的内容与响应文件不一致的，以补充、修改的内容为准。</w:t>
      </w:r>
      <w:r>
        <w:rPr>
          <w:color w:val="000000"/>
          <w:sz w:val="24"/>
        </w:rPr>
      </w:r>
      <w:r/>
    </w:p>
    <w:p>
      <w:pPr>
        <w:pStyle w:val="1140"/>
        <w:ind w:left="357"/>
        <w:spacing w:line="360" w:lineRule="auto"/>
        <w:tabs>
          <w:tab w:val="left" w:pos="900" w:leader="none"/>
          <w:tab w:val="left" w:pos="1080" w:leader="none"/>
          <w:tab w:val="left" w:pos="1589" w:leader="none"/>
        </w:tabs>
        <w:rPr>
          <w:color w:val="000000"/>
          <w:sz w:val="24"/>
        </w:rPr>
      </w:pPr>
      <w:r>
        <w:rPr>
          <w:color w:val="000000"/>
          <w:sz w:val="24"/>
        </w:rPr>
      </w:r>
      <w:r/>
    </w:p>
    <w:p>
      <w:pPr>
        <w:pStyle w:val="1142"/>
        <w:spacing w:before="0" w:line="360" w:lineRule="auto"/>
        <w:rPr>
          <w:rFonts w:ascii="Times New Roman" w:hAnsi="Times New Roman" w:eastAsia="宋体"/>
          <w:color w:val="000000"/>
          <w:sz w:val="28"/>
        </w:rPr>
      </w:pPr>
      <w:r/>
      <w:bookmarkStart w:id="426" w:name="_Toc151193708"/>
      <w:r/>
      <w:bookmarkStart w:id="427" w:name="_Toc520356163"/>
      <w:r/>
      <w:bookmarkStart w:id="428" w:name="_Toc226965811"/>
      <w:r/>
      <w:bookmarkStart w:id="429" w:name="_Toc226309782"/>
      <w:r/>
      <w:bookmarkStart w:id="430" w:name="_Toc264969228"/>
      <w:r/>
      <w:bookmarkStart w:id="431" w:name="_Toc150480776"/>
      <w:r/>
      <w:bookmarkStart w:id="432" w:name="_Toc305158806"/>
      <w:r/>
      <w:bookmarkStart w:id="433" w:name="_Toc142311040"/>
      <w:r/>
      <w:bookmarkStart w:id="434" w:name="_Toc226337234"/>
      <w:r/>
      <w:bookmarkStart w:id="435" w:name="_Toc127151538"/>
      <w:r/>
      <w:bookmarkStart w:id="436" w:name="_Toc151190165"/>
      <w:r/>
      <w:bookmarkStart w:id="437" w:name="_Toc226965728"/>
      <w:r/>
      <w:bookmarkStart w:id="438" w:name="_Toc151193636"/>
      <w:r/>
      <w:bookmarkStart w:id="439" w:name="_Toc195842903"/>
      <w:r/>
      <w:bookmarkStart w:id="440" w:name="_Toc151193926"/>
      <w:r/>
      <w:bookmarkStart w:id="441" w:name="_Toc150774743"/>
      <w:r/>
      <w:bookmarkStart w:id="442" w:name="_Toc150774638"/>
      <w:r/>
      <w:bookmarkStart w:id="443" w:name="_Toc150509289"/>
      <w:r/>
      <w:bookmarkStart w:id="444" w:name="_Toc151193780"/>
      <w:r/>
      <w:bookmarkStart w:id="445" w:name="_Toc265228376"/>
      <w:r/>
      <w:bookmarkStart w:id="446" w:name="_Toc305158880"/>
      <w:r/>
      <w:bookmarkStart w:id="447" w:name="_Toc151193852"/>
      <w:r>
        <w:rPr>
          <w:rFonts w:ascii="Times New Roman" w:hAnsi="Times New Roman" w:eastAsia="宋体"/>
          <w:color w:val="000000"/>
          <w:sz w:val="28"/>
        </w:rPr>
        <w:t xml:space="preserve">五   </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rFonts w:ascii="Times New Roman" w:hAnsi="Times New Roman" w:eastAsia="宋体"/>
          <w:color w:val="000000"/>
          <w:sz w:val="28"/>
        </w:rPr>
        <w:t xml:space="preserve">评审</w:t>
      </w:r>
      <w:r>
        <w:rPr>
          <w:rFonts w:ascii="Times New Roman" w:hAnsi="Times New Roman" w:eastAsia="宋体"/>
          <w:color w:val="000000"/>
          <w:sz w:val="28"/>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响应文件的</w:t>
      </w:r>
      <w:r>
        <w:rPr>
          <w:rFonts w:hint="eastAsia"/>
          <w:color w:val="000000"/>
          <w:sz w:val="24"/>
        </w:rPr>
        <w:t xml:space="preserve">解密与</w:t>
      </w:r>
      <w:r>
        <w:rPr>
          <w:color w:val="000000"/>
          <w:sz w:val="24"/>
        </w:rPr>
        <w:t xml:space="preserve">开启</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采购人或采购代理机构将按竞争性磋商文件的规定，在响应文件提交截止时间的同一时间和竞争性磋商文件预先确定的地点开启响应文件。</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w:t>
      </w:r>
      <w:r>
        <w:rPr>
          <w:rFonts w:ascii="宋体" w:hAnsi="宋体"/>
          <w:color w:val="000000"/>
          <w:sz w:val="24"/>
        </w:rPr>
        <w:t xml:space="preserve">采用不见面招</w:t>
      </w:r>
      <w:r>
        <w:rPr>
          <w:rFonts w:hint="eastAsia" w:ascii="宋体" w:hAnsi="宋体"/>
          <w:color w:val="000000"/>
          <w:sz w:val="24"/>
        </w:rPr>
        <w:t xml:space="preserve">交易</w:t>
      </w:r>
      <w:r>
        <w:rPr>
          <w:rFonts w:ascii="宋体" w:hAnsi="宋体"/>
          <w:color w:val="000000"/>
          <w:sz w:val="24"/>
        </w:rPr>
        <w:t xml:space="preserve">模式</w:t>
      </w:r>
      <w:r>
        <w:rPr>
          <w:rFonts w:hint="eastAsia" w:ascii="宋体" w:hAnsi="宋体"/>
          <w:color w:val="000000"/>
          <w:sz w:val="24"/>
        </w:rPr>
        <w:t xml:space="preserve">，</w:t>
      </w:r>
      <w:r>
        <w:rPr>
          <w:color w:val="000000"/>
          <w:sz w:val="24"/>
        </w:rPr>
        <w:t xml:space="preserve">使用</w:t>
      </w:r>
      <w:r>
        <w:rPr>
          <w:rFonts w:hint="eastAsia"/>
          <w:color w:val="000000"/>
          <w:sz w:val="24"/>
        </w:rPr>
        <w:t xml:space="preserve">“苏采云”政府采购一体化平台在线进行</w:t>
      </w:r>
      <w:r>
        <w:rPr>
          <w:color w:val="000000"/>
          <w:sz w:val="24"/>
        </w:rPr>
        <w:t xml:space="preserve">解密。供应商应在规定的时间内对</w:t>
      </w:r>
      <w:r>
        <w:rPr>
          <w:rFonts w:hint="eastAsia"/>
          <w:color w:val="000000"/>
          <w:sz w:val="24"/>
        </w:rPr>
        <w:t xml:space="preserve">响应</w:t>
      </w:r>
      <w:r>
        <w:rPr>
          <w:color w:val="000000"/>
          <w:sz w:val="24"/>
        </w:rPr>
        <w:t xml:space="preserve">文件进行解密，因非系统原因导致的解密失败，视为</w:t>
      </w:r>
      <w:r>
        <w:rPr>
          <w:b/>
          <w:color w:val="000000"/>
          <w:sz w:val="24"/>
        </w:rPr>
        <w:t xml:space="preserve">响应无效</w:t>
      </w:r>
      <w:r>
        <w:rPr>
          <w:color w:val="000000"/>
          <w:sz w:val="24"/>
        </w:rPr>
        <w:t xml:space="preserve">。</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供应商不足3家的，不予解密。</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bookmarkStart w:id="448" w:name="_Toc520356165"/>
      <w:r>
        <w:rPr>
          <w:color w:val="000000"/>
          <w:sz w:val="24"/>
        </w:rPr>
        <w:t xml:space="preserve">本项目不公开报价。</w:t>
      </w:r>
      <w:r>
        <w:rPr>
          <w:rFonts w:hint="eastAsia"/>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供应商须在开标前使用“验证CA”功能验证本地计算机的控件环境是否正常，并且在</w:t>
      </w:r>
      <w:r>
        <w:rPr>
          <w:rFonts w:hint="eastAsia"/>
          <w:color w:val="000000"/>
          <w:sz w:val="24"/>
        </w:rPr>
        <w:t xml:space="preserve">解密、评审</w:t>
      </w:r>
      <w:r>
        <w:rPr>
          <w:color w:val="000000"/>
          <w:sz w:val="24"/>
        </w:rPr>
        <w:t xml:space="preserve">过程中不可随意更换</w:t>
      </w:r>
      <w:r>
        <w:rPr>
          <w:rFonts w:hint="eastAsia"/>
          <w:color w:val="000000"/>
          <w:sz w:val="24"/>
        </w:rPr>
        <w:t xml:space="preserve">计算机</w:t>
      </w:r>
      <w:r>
        <w:rPr>
          <w:color w:val="000000"/>
          <w:sz w:val="24"/>
        </w:rPr>
        <w:t xml:space="preserve">，必须使用验证成功的计算机进行操作，否则造成相应后果由供应商自行承担。本地计算机</w:t>
      </w:r>
      <w:r>
        <w:rPr>
          <w:rFonts w:hint="eastAsia"/>
          <w:color w:val="000000"/>
          <w:sz w:val="24"/>
        </w:rPr>
        <w:t xml:space="preserve">要求安装摄像头、麦克风和音箱，保持网络通畅。</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因本项目</w:t>
      </w:r>
      <w:r>
        <w:rPr>
          <w:color w:val="000000"/>
          <w:sz w:val="24"/>
        </w:rPr>
        <w:t xml:space="preserve">采用不见面交易的</w:t>
      </w:r>
      <w:r>
        <w:rPr>
          <w:rFonts w:hint="eastAsia"/>
          <w:color w:val="000000"/>
          <w:sz w:val="24"/>
        </w:rPr>
        <w:t xml:space="preserve">方式</w:t>
      </w:r>
      <w:r>
        <w:rPr>
          <w:color w:val="000000"/>
          <w:sz w:val="24"/>
        </w:rPr>
        <w:t xml:space="preserve">，在</w:t>
      </w:r>
      <w:r>
        <w:rPr>
          <w:rFonts w:hint="eastAsia"/>
          <w:color w:val="000000"/>
          <w:sz w:val="24"/>
        </w:rPr>
        <w:t xml:space="preserve">解密、评审</w:t>
      </w:r>
      <w:r>
        <w:rPr>
          <w:color w:val="000000"/>
          <w:sz w:val="24"/>
        </w:rPr>
        <w:t xml:space="preserve">过程中，</w:t>
      </w:r>
      <w:r>
        <w:rPr>
          <w:rFonts w:hint="eastAsia"/>
          <w:color w:val="000000"/>
          <w:sz w:val="24"/>
        </w:rPr>
        <w:t xml:space="preserve">供应商</w:t>
      </w:r>
      <w:r>
        <w:rPr>
          <w:color w:val="000000"/>
          <w:sz w:val="24"/>
        </w:rPr>
        <w:t xml:space="preserve">需</w:t>
      </w:r>
      <w:r>
        <w:rPr>
          <w:rFonts w:hint="eastAsia"/>
          <w:color w:val="000000"/>
          <w:sz w:val="24"/>
        </w:rPr>
        <w:t xml:space="preserve">要</w:t>
      </w:r>
      <w:r>
        <w:rPr>
          <w:color w:val="000000"/>
          <w:sz w:val="24"/>
        </w:rPr>
        <w:t xml:space="preserve">保持操作计算机前有相关责任人</w:t>
      </w:r>
      <w:r>
        <w:rPr>
          <w:rFonts w:hint="eastAsia"/>
          <w:color w:val="000000"/>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rPr>
        <w:t xml:space="preserve">。</w:t>
      </w:r>
      <w:r>
        <w:rPr>
          <w:rFonts w:hint="eastAsia"/>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如果在</w:t>
      </w:r>
      <w:r>
        <w:rPr>
          <w:color w:val="000000"/>
          <w:sz w:val="24"/>
        </w:rPr>
        <w:t xml:space="preserve">采购</w:t>
      </w:r>
      <w:r>
        <w:rPr>
          <w:rFonts w:hint="eastAsia"/>
          <w:color w:val="000000"/>
          <w:sz w:val="24"/>
        </w:rPr>
        <w:t xml:space="preserve">活动</w:t>
      </w:r>
      <w:r>
        <w:rPr>
          <w:color w:val="000000"/>
          <w:sz w:val="24"/>
        </w:rPr>
        <w:t xml:space="preserve">过程中出现以下情形，导致</w:t>
      </w:r>
      <w:r>
        <w:rPr>
          <w:rFonts w:hint="eastAsia"/>
          <w:color w:val="000000"/>
          <w:sz w:val="24"/>
        </w:rPr>
        <w:t xml:space="preserve">“苏采云”政府采购一体化平台系统</w:t>
      </w:r>
      <w:r>
        <w:rPr>
          <w:color w:val="000000"/>
          <w:sz w:val="24"/>
        </w:rPr>
        <w:t xml:space="preserve">无法正常运行，或者无法保证</w:t>
      </w:r>
      <w:r>
        <w:rPr>
          <w:rFonts w:hint="eastAsia"/>
          <w:color w:val="000000"/>
          <w:sz w:val="24"/>
        </w:rPr>
        <w:t xml:space="preserve">本项目采购活动</w:t>
      </w:r>
      <w:r>
        <w:rPr>
          <w:color w:val="000000"/>
          <w:sz w:val="24"/>
        </w:rPr>
        <w:t xml:space="preserve">的公平、公正和安全时，</w:t>
      </w:r>
      <w:r>
        <w:rPr>
          <w:rFonts w:hint="eastAsia"/>
          <w:color w:val="000000"/>
          <w:sz w:val="24"/>
        </w:rPr>
        <w:t xml:space="preserve">代理机构</w:t>
      </w:r>
      <w:r>
        <w:rPr>
          <w:color w:val="000000"/>
          <w:sz w:val="24"/>
        </w:rPr>
        <w:t xml:space="preserve">可</w:t>
      </w:r>
      <w:r>
        <w:rPr>
          <w:rFonts w:hint="eastAsia"/>
          <w:color w:val="000000"/>
          <w:sz w:val="24"/>
        </w:rPr>
        <w:t xml:space="preserve">以延缓或者暂停采购活动，情况严重的可以终止采购</w:t>
      </w:r>
      <w:r>
        <w:rPr>
          <w:color w:val="000000"/>
          <w:sz w:val="24"/>
        </w:rPr>
        <w:t xml:space="preserve">活动：</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 1)</w:t>
      </w:r>
      <w:r>
        <w:rPr>
          <w:color w:val="000000"/>
          <w:sz w:val="24"/>
        </w:rPr>
        <w:t xml:space="preserve">平台</w:t>
      </w:r>
      <w:r>
        <w:rPr>
          <w:rFonts w:hint="eastAsia"/>
          <w:color w:val="000000"/>
          <w:sz w:val="24"/>
        </w:rPr>
        <w:t xml:space="preserve">系统</w:t>
      </w:r>
      <w:r>
        <w:rPr>
          <w:color w:val="000000"/>
          <w:sz w:val="24"/>
        </w:rPr>
        <w:t xml:space="preserve">发生故障而无法登录访问的；</w:t>
      </w:r>
      <w:r>
        <w:rPr>
          <w:color w:val="000000"/>
          <w:sz w:val="24"/>
        </w:rPr>
      </w:r>
      <w:r/>
    </w:p>
    <w:p>
      <w:pPr>
        <w:pStyle w:val="1140"/>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2)</w:t>
      </w:r>
      <w:r>
        <w:rPr>
          <w:color w:val="000000"/>
          <w:sz w:val="24"/>
        </w:rPr>
        <w:t xml:space="preserve">平台</w:t>
      </w:r>
      <w:r>
        <w:rPr>
          <w:rFonts w:hint="eastAsia"/>
          <w:color w:val="000000"/>
          <w:sz w:val="24"/>
        </w:rPr>
        <w:t xml:space="preserve">系统</w:t>
      </w:r>
      <w:r>
        <w:rPr>
          <w:color w:val="000000"/>
          <w:sz w:val="24"/>
        </w:rPr>
        <w:t xml:space="preserve">应用或数据库出现错误，不能进行正常操作的；</w:t>
      </w:r>
      <w:r>
        <w:rPr>
          <w:color w:val="000000"/>
          <w:sz w:val="24"/>
        </w:rPr>
      </w:r>
      <w:r/>
    </w:p>
    <w:p>
      <w:pPr>
        <w:pStyle w:val="1140"/>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3)</w:t>
      </w:r>
      <w:r>
        <w:rPr>
          <w:color w:val="000000"/>
          <w:sz w:val="24"/>
        </w:rPr>
        <w:t xml:space="preserve">平台</w:t>
      </w:r>
      <w:r>
        <w:rPr>
          <w:rFonts w:hint="eastAsia"/>
          <w:color w:val="000000"/>
          <w:sz w:val="24"/>
        </w:rPr>
        <w:t xml:space="preserve">系统</w:t>
      </w:r>
      <w:r>
        <w:rPr>
          <w:color w:val="000000"/>
          <w:sz w:val="24"/>
        </w:rPr>
        <w:t xml:space="preserve">发现严重安全漏洞，有潜在泄密危险的；</w:t>
      </w:r>
      <w:r>
        <w:rPr>
          <w:color w:val="000000"/>
          <w:sz w:val="24"/>
        </w:rPr>
      </w:r>
      <w:r/>
    </w:p>
    <w:p>
      <w:pPr>
        <w:pStyle w:val="1140"/>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4)</w:t>
      </w:r>
      <w:r>
        <w:rPr>
          <w:color w:val="000000"/>
          <w:sz w:val="24"/>
        </w:rPr>
        <w:t xml:space="preserve">病毒发作导致平台</w:t>
      </w:r>
      <w:r>
        <w:rPr>
          <w:rFonts w:hint="eastAsia"/>
          <w:color w:val="000000"/>
          <w:sz w:val="24"/>
        </w:rPr>
        <w:t xml:space="preserve">系统</w:t>
      </w:r>
      <w:r>
        <w:rPr>
          <w:color w:val="000000"/>
          <w:sz w:val="24"/>
        </w:rPr>
        <w:t xml:space="preserve">不能进行正常操作的；</w:t>
      </w:r>
      <w:r>
        <w:rPr>
          <w:color w:val="000000"/>
          <w:sz w:val="24"/>
        </w:rPr>
      </w:r>
      <w:r/>
    </w:p>
    <w:p>
      <w:pPr>
        <w:pStyle w:val="1140"/>
        <w:ind w:left="357" w:firstLine="84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5)</w:t>
      </w:r>
      <w:r>
        <w:rPr>
          <w:color w:val="000000"/>
          <w:sz w:val="24"/>
        </w:rPr>
        <w:t xml:space="preserve">其他无法保证</w:t>
      </w:r>
      <w:r>
        <w:rPr>
          <w:rFonts w:hint="eastAsia"/>
          <w:color w:val="000000"/>
          <w:sz w:val="24"/>
        </w:rPr>
        <w:t xml:space="preserve">本次采购活动</w:t>
      </w:r>
      <w:r>
        <w:rPr>
          <w:color w:val="000000"/>
          <w:sz w:val="24"/>
        </w:rPr>
        <w:t xml:space="preserve">的公平、公正和安全的情况。</w:t>
      </w:r>
      <w:r>
        <w:rPr>
          <w:rFonts w:hint="eastAsia"/>
          <w:color w:val="000000"/>
          <w:sz w:val="24"/>
        </w:rPr>
      </w:r>
      <w:r/>
    </w:p>
    <w:p>
      <w:pPr>
        <w:pStyle w:val="1140"/>
        <w:ind w:firstLine="480"/>
        <w:spacing w:line="360" w:lineRule="auto"/>
        <w:tabs>
          <w:tab w:val="left" w:pos="993" w:leader="none"/>
          <w:tab w:val="left" w:pos="1589" w:leader="none"/>
          <w:tab w:val="left" w:pos="2014" w:leader="none"/>
        </w:tabs>
        <w:rPr>
          <w:color w:val="000000"/>
          <w:sz w:val="24"/>
        </w:rPr>
      </w:pPr>
      <w:r>
        <w:rPr>
          <w:color w:val="000000"/>
          <w:sz w:val="24"/>
        </w:rPr>
        <w:t xml:space="preserve">出现</w:t>
      </w:r>
      <w:r>
        <w:rPr>
          <w:rFonts w:hint="eastAsia"/>
          <w:color w:val="000000"/>
          <w:sz w:val="24"/>
        </w:rPr>
        <w:t xml:space="preserve">上述</w:t>
      </w:r>
      <w:r>
        <w:rPr>
          <w:color w:val="000000"/>
          <w:sz w:val="24"/>
        </w:rPr>
        <w:t xml:space="preserve">情形，不影响采购</w:t>
      </w:r>
      <w:r>
        <w:rPr>
          <w:rFonts w:hint="eastAsia"/>
          <w:color w:val="000000"/>
          <w:sz w:val="24"/>
        </w:rPr>
        <w:t xml:space="preserve">活动</w:t>
      </w:r>
      <w:r>
        <w:rPr>
          <w:color w:val="000000"/>
          <w:sz w:val="24"/>
        </w:rPr>
        <w:t xml:space="preserve">公平、公正性的，</w:t>
      </w:r>
      <w:r>
        <w:rPr>
          <w:rFonts w:hint="eastAsia"/>
          <w:color w:val="000000"/>
          <w:sz w:val="24"/>
        </w:rPr>
        <w:t xml:space="preserve">代理机构</w:t>
      </w:r>
      <w:r>
        <w:rPr>
          <w:color w:val="000000"/>
          <w:sz w:val="24"/>
        </w:rPr>
        <w:t xml:space="preserve">可以待上述情形消除后继续组织</w:t>
      </w:r>
      <w:r>
        <w:rPr>
          <w:rFonts w:hint="eastAsia"/>
          <w:color w:val="000000"/>
          <w:sz w:val="24"/>
        </w:rPr>
        <w:t xml:space="preserve">不见面</w:t>
      </w:r>
      <w:r>
        <w:rPr>
          <w:color w:val="000000"/>
          <w:sz w:val="24"/>
        </w:rPr>
        <w:t xml:space="preserve">交易</w:t>
      </w:r>
      <w:r>
        <w:rPr>
          <w:rFonts w:hint="eastAsia"/>
          <w:color w:val="000000"/>
          <w:sz w:val="24"/>
        </w:rPr>
        <w:t xml:space="preserve">采购</w:t>
      </w:r>
      <w:r>
        <w:rPr>
          <w:color w:val="000000"/>
          <w:sz w:val="24"/>
        </w:rPr>
        <w:t xml:space="preserve">活动，也可以决定某些环节以纸质形式进行；影响或可能影响采购</w:t>
      </w:r>
      <w:r>
        <w:rPr>
          <w:rFonts w:hint="eastAsia"/>
          <w:color w:val="000000"/>
          <w:sz w:val="24"/>
        </w:rPr>
        <w:t xml:space="preserve">活动</w:t>
      </w:r>
      <w:r>
        <w:rPr>
          <w:color w:val="000000"/>
          <w:sz w:val="24"/>
        </w:rPr>
        <w:t xml:space="preserve">公平、公正性的，应当</w:t>
      </w:r>
      <w:r>
        <w:rPr>
          <w:rFonts w:hint="eastAsia"/>
          <w:color w:val="000000"/>
          <w:sz w:val="24"/>
        </w:rPr>
        <w:t xml:space="preserve">终止本次项目，</w:t>
      </w:r>
      <w:r>
        <w:rPr>
          <w:color w:val="000000"/>
          <w:sz w:val="24"/>
        </w:rPr>
        <w:t xml:space="preserve">重新</w:t>
      </w:r>
      <w:r>
        <w:rPr>
          <w:rFonts w:hint="eastAsia"/>
          <w:color w:val="000000"/>
          <w:sz w:val="24"/>
        </w:rPr>
        <w:t xml:space="preserve">组织</w:t>
      </w:r>
      <w:r>
        <w:rPr>
          <w:color w:val="000000"/>
          <w:sz w:val="24"/>
        </w:rPr>
        <w:t xml:space="preserve">采购。</w:t>
      </w:r>
      <w:r>
        <w:rPr>
          <w:color w:val="000000"/>
          <w:sz w:val="24"/>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bookmarkEnd w:id="448"/>
      <w:r>
        <w:rPr>
          <w:color w:val="000000"/>
          <w:sz w:val="24"/>
        </w:rPr>
        <w:t xml:space="preserve">磋商小组</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磋商小组根据政府采购有关规定和本次采购项目的特点进行组建，并负责具体评审事务，独立履行职责。</w:t>
      </w:r>
      <w:bookmarkStart w:id="449" w:name="_Toc520356166"/>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评审专家须符合</w:t>
      </w:r>
      <w:r>
        <w:rPr>
          <w:rFonts w:hint="eastAsia"/>
          <w:color w:val="000000"/>
          <w:sz w:val="24"/>
        </w:rPr>
        <w:t xml:space="preserve">相关</w:t>
      </w:r>
      <w:r>
        <w:rPr>
          <w:color w:val="000000"/>
          <w:sz w:val="24"/>
        </w:rPr>
        <w:t xml:space="preserve">规定。依法自行选定评审专家的，采购人和采购代理机构将查询有关信用记录，对具有行贿、受贿、欺诈等不良信用记录的人员，拒绝其参与政府采购活动。</w:t>
      </w:r>
      <w:bookmarkEnd w:id="449"/>
      <w:r/>
      <w:bookmarkStart w:id="450" w:name="_Toc520356169"/>
      <w:r>
        <w:rPr>
          <w:color w:val="000000"/>
          <w:sz w:val="24"/>
        </w:rPr>
      </w:r>
      <w:r/>
    </w:p>
    <w:p>
      <w:pPr>
        <w:pStyle w:val="1140"/>
        <w:numPr>
          <w:ilvl w:val="0"/>
          <w:numId w:val="8"/>
        </w:numPr>
        <w:spacing w:line="360" w:lineRule="auto"/>
        <w:tabs>
          <w:tab w:val="left" w:pos="360" w:leader="none"/>
          <w:tab w:val="left" w:pos="900" w:leader="none"/>
        </w:tabs>
        <w:rPr>
          <w:color w:val="000000"/>
          <w:sz w:val="24"/>
        </w:rPr>
        <w:outlineLvl w:val="1"/>
      </w:pPr>
      <w:r>
        <w:rPr>
          <w:color w:val="000000"/>
          <w:sz w:val="24"/>
        </w:rPr>
        <w:t xml:space="preserve">评审方法和评审标准</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见第三章《评审方法和评审标准》。</w:t>
      </w:r>
      <w:r>
        <w:rPr>
          <w:color w:val="000000"/>
          <w:sz w:val="24"/>
        </w:rPr>
      </w:r>
      <w:r/>
    </w:p>
    <w:p>
      <w:pPr>
        <w:pStyle w:val="1140"/>
        <w:ind w:left="1080"/>
        <w:spacing w:line="360" w:lineRule="auto"/>
        <w:tabs>
          <w:tab w:val="left" w:pos="360" w:leader="none"/>
          <w:tab w:val="left" w:pos="1080" w:leader="none"/>
        </w:tabs>
        <w:rPr>
          <w:color w:val="000000"/>
          <w:sz w:val="24"/>
        </w:rPr>
      </w:pPr>
      <w:r>
        <w:rPr>
          <w:color w:val="000000"/>
          <w:sz w:val="24"/>
        </w:rPr>
      </w:r>
      <w:r/>
    </w:p>
    <w:p>
      <w:pPr>
        <w:pStyle w:val="1142"/>
        <w:spacing w:before="0" w:line="360" w:lineRule="auto"/>
        <w:rPr>
          <w:rFonts w:ascii="Times New Roman" w:hAnsi="Times New Roman" w:eastAsia="宋体"/>
          <w:color w:val="000000"/>
          <w:sz w:val="28"/>
        </w:rPr>
      </w:pPr>
      <w:r/>
      <w:bookmarkStart w:id="451" w:name="_Toc151193933"/>
      <w:r/>
      <w:bookmarkStart w:id="452" w:name="_Toc151193643"/>
      <w:r/>
      <w:bookmarkStart w:id="453" w:name="_Toc150774750"/>
      <w:r/>
      <w:bookmarkStart w:id="454" w:name="_Toc265228383"/>
      <w:r/>
      <w:bookmarkStart w:id="455" w:name="_Toc226337241"/>
      <w:r/>
      <w:bookmarkStart w:id="456" w:name="_Toc226965735"/>
      <w:r/>
      <w:bookmarkStart w:id="457" w:name="_Toc150509296"/>
      <w:r/>
      <w:bookmarkStart w:id="458" w:name="_Toc127151545"/>
      <w:r/>
      <w:bookmarkStart w:id="459" w:name="_Toc305158887"/>
      <w:r/>
      <w:bookmarkStart w:id="460" w:name="_Toc226965818"/>
      <w:r/>
      <w:bookmarkStart w:id="461" w:name="_Toc150774645"/>
      <w:r/>
      <w:bookmarkStart w:id="462" w:name="_Toc151193715"/>
      <w:r/>
      <w:bookmarkStart w:id="463" w:name="_Toc226309789"/>
      <w:r/>
      <w:bookmarkStart w:id="464" w:name="_Toc150480783"/>
      <w:r/>
      <w:bookmarkStart w:id="465" w:name="_Toc264969235"/>
      <w:r/>
      <w:bookmarkStart w:id="466" w:name="_Toc151193859"/>
      <w:r/>
      <w:bookmarkStart w:id="467" w:name="_Toc195842910"/>
      <w:r/>
      <w:bookmarkStart w:id="468" w:name="_Toc151190172"/>
      <w:r/>
      <w:bookmarkStart w:id="469" w:name="_Toc305158813"/>
      <w:r/>
      <w:bookmarkStart w:id="470" w:name="_Toc142311047"/>
      <w:r/>
      <w:bookmarkStart w:id="471" w:name="_Toc151193787"/>
      <w:r>
        <w:rPr>
          <w:rFonts w:ascii="Times New Roman" w:hAnsi="Times New Roman" w:eastAsia="宋体"/>
          <w:color w:val="000000"/>
          <w:sz w:val="28"/>
        </w:rPr>
        <w:t xml:space="preserve">六   </w:t>
      </w:r>
      <w:bookmarkEnd w:id="450"/>
      <w:r>
        <w:rPr>
          <w:rFonts w:ascii="Times New Roman" w:hAnsi="Times New Roman" w:eastAsia="宋体"/>
          <w:color w:val="000000"/>
          <w:sz w:val="28"/>
        </w:rPr>
        <w:t xml:space="preserve">确定</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Pr>
          <w:rFonts w:ascii="Times New Roman" w:hAnsi="Times New Roman" w:eastAsia="宋体"/>
          <w:color w:val="000000"/>
          <w:sz w:val="28"/>
        </w:rPr>
        <w:t xml:space="preserve">成交</w:t>
      </w:r>
      <w:r>
        <w:rPr>
          <w:rFonts w:ascii="Times New Roman" w:hAnsi="Times New Roman" w:eastAsia="宋体"/>
          <w:color w:val="000000"/>
          <w:sz w:val="28"/>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bookmarkStart w:id="472" w:name="_Toc195842912"/>
      <w:r/>
      <w:bookmarkStart w:id="473" w:name="_Toc226309791"/>
      <w:r/>
      <w:bookmarkStart w:id="474" w:name="_Toc149720840"/>
      <w:r/>
      <w:bookmarkStart w:id="475" w:name="_Toc164608816"/>
      <w:r/>
      <w:bookmarkStart w:id="476" w:name="_Toc226965820"/>
      <w:r/>
      <w:bookmarkStart w:id="477" w:name="_Toc151193645"/>
      <w:r/>
      <w:bookmarkStart w:id="478" w:name="_Toc151193935"/>
      <w:r/>
      <w:bookmarkStart w:id="479" w:name="_Toc305158815"/>
      <w:r/>
      <w:bookmarkStart w:id="480" w:name="_Toc151193789"/>
      <w:r/>
      <w:bookmarkStart w:id="481" w:name="_Toc150480785"/>
      <w:r/>
      <w:bookmarkStart w:id="482" w:name="_Toc151193717"/>
      <w:r/>
      <w:bookmarkStart w:id="483" w:name="_Toc265228385"/>
      <w:r/>
      <w:bookmarkStart w:id="484" w:name="_Toc164608661"/>
      <w:r/>
      <w:bookmarkStart w:id="485" w:name="_Toc151190174"/>
      <w:r/>
      <w:bookmarkStart w:id="486" w:name="_Toc150774647"/>
      <w:r/>
      <w:bookmarkStart w:id="487" w:name="_Toc150774752"/>
      <w:r/>
      <w:bookmarkStart w:id="488" w:name="_Toc226337243"/>
      <w:r/>
      <w:bookmarkStart w:id="489" w:name="_Toc151193861"/>
      <w:r/>
      <w:bookmarkStart w:id="490" w:name="_Toc264969237"/>
      <w:r/>
      <w:bookmarkStart w:id="491" w:name="_Toc164229388"/>
      <w:r/>
      <w:bookmarkStart w:id="492" w:name="_Toc164351641"/>
      <w:r/>
      <w:bookmarkStart w:id="493" w:name="_Toc150509298"/>
      <w:r/>
      <w:bookmarkStart w:id="494" w:name="_Toc127161461"/>
      <w:r/>
      <w:bookmarkStart w:id="495" w:name="_Toc127151547"/>
      <w:r/>
      <w:bookmarkStart w:id="496" w:name="_Toc142311049"/>
      <w:r/>
      <w:bookmarkStart w:id="497" w:name="_Toc127151748"/>
      <w:r/>
      <w:bookmarkStart w:id="498" w:name="_Toc164229242"/>
      <w:r/>
      <w:bookmarkStart w:id="499" w:name="_Toc305158889"/>
      <w:r/>
      <w:bookmarkStart w:id="500" w:name="_Toc226965737"/>
      <w:r>
        <w:rPr>
          <w:color w:val="000000"/>
          <w:sz w:val="24"/>
        </w:rPr>
        <w:t xml:space="preserve">确定成交供应商</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采购人将在收到评审报告后，从评审报告提出的成交候选供应商中，按照排序由高到低的原则确定成交供应商</w:t>
      </w:r>
      <w:r>
        <w:rPr>
          <w:rFonts w:hint="eastAsia"/>
          <w:color w:val="000000"/>
          <w:sz w:val="24"/>
        </w:rPr>
        <w:t xml:space="preserve">。</w:t>
      </w:r>
      <w:r>
        <w:rPr>
          <w:color w:val="000000"/>
          <w:sz w:val="24"/>
        </w:rPr>
        <w:t xml:space="preserve">成交候选人并列的，由采购人</w:t>
      </w:r>
      <w:r>
        <w:rPr>
          <w:rFonts w:hint="eastAsia"/>
          <w:color w:val="000000"/>
          <w:sz w:val="24"/>
        </w:rPr>
        <w:t xml:space="preserve">依法</w:t>
      </w:r>
      <w:r>
        <w:rPr>
          <w:color w:val="000000"/>
          <w:sz w:val="24"/>
        </w:rPr>
        <w:t xml:space="preserve">确定。</w:t>
      </w:r>
      <w:r>
        <w:rPr>
          <w:color w:val="000000"/>
          <w:sz w:val="24"/>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bookmarkStart w:id="501" w:name="_Toc149720842"/>
      <w:r/>
      <w:bookmarkStart w:id="502" w:name="_Toc142311051"/>
      <w:r/>
      <w:bookmarkStart w:id="503" w:name="_Toc264969239"/>
      <w:r/>
      <w:bookmarkStart w:id="504" w:name="_Toc127161463"/>
      <w:r/>
      <w:bookmarkStart w:id="505" w:name="_Toc151193863"/>
      <w:r/>
      <w:bookmarkStart w:id="506" w:name="_Toc226309793"/>
      <w:r/>
      <w:bookmarkStart w:id="507" w:name="_Toc127151750"/>
      <w:r/>
      <w:bookmarkStart w:id="508" w:name="_Toc151190176"/>
      <w:r/>
      <w:bookmarkStart w:id="509" w:name="_Toc151193647"/>
      <w:r/>
      <w:bookmarkStart w:id="510" w:name="_Toc151193719"/>
      <w:r/>
      <w:bookmarkStart w:id="511" w:name="_Toc150774649"/>
      <w:r/>
      <w:bookmarkStart w:id="512" w:name="_Toc265228387"/>
      <w:r/>
      <w:bookmarkStart w:id="513" w:name="_Toc151193937"/>
      <w:r/>
      <w:bookmarkStart w:id="514" w:name="_Toc164229244"/>
      <w:r/>
      <w:bookmarkStart w:id="515" w:name="_Toc150509300"/>
      <w:r/>
      <w:bookmarkStart w:id="516" w:name="_Toc164608663"/>
      <w:r/>
      <w:bookmarkStart w:id="517" w:name="_Toc164229390"/>
      <w:r/>
      <w:bookmarkStart w:id="518" w:name="_Toc520356176"/>
      <w:r/>
      <w:bookmarkStart w:id="519" w:name="_Ref467307090"/>
      <w:r/>
      <w:bookmarkStart w:id="520" w:name="_Ref467306425"/>
      <w:r/>
      <w:bookmarkStart w:id="521" w:name="_Toc305158817"/>
      <w:r/>
      <w:bookmarkStart w:id="522" w:name="_Toc164608818"/>
      <w:r/>
      <w:bookmarkStart w:id="523" w:name="_Toc226965822"/>
      <w:r/>
      <w:bookmarkStart w:id="524" w:name="_Toc305158891"/>
      <w:r/>
      <w:bookmarkStart w:id="525" w:name="_Toc195842914"/>
      <w:r/>
      <w:bookmarkStart w:id="526" w:name="_Toc150480787"/>
      <w:r/>
      <w:bookmarkStart w:id="527" w:name="_Toc226337245"/>
      <w:r/>
      <w:bookmarkStart w:id="528" w:name="_Toc226965739"/>
      <w:r/>
      <w:bookmarkStart w:id="529" w:name="_Toc164351643"/>
      <w:r/>
      <w:bookmarkStart w:id="530" w:name="_Toc127151549"/>
      <w:r/>
      <w:bookmarkStart w:id="531" w:name="_Toc150774754"/>
      <w:r/>
      <w:bookmarkStart w:id="532" w:name="_Toc151193791"/>
      <w:r>
        <w:rPr>
          <w:color w:val="000000"/>
          <w:sz w:val="24"/>
        </w:rPr>
        <w:t xml:space="preserve">成交公告与成交通知书</w:t>
      </w:r>
      <w:bookmarkEnd w:id="521"/>
      <w:r/>
      <w:bookmarkEnd w:id="524"/>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w:t>
      </w:r>
      <w:r>
        <w:rPr>
          <w:color w:val="000000"/>
          <w:sz w:val="24"/>
        </w:rPr>
        <w:t xml:space="preserve">在成交供应商确定后2个工作日内，在</w:t>
      </w:r>
      <w:r>
        <w:rPr>
          <w:rFonts w:hint="eastAsia"/>
          <w:color w:val="000000"/>
          <w:sz w:val="24"/>
        </w:rPr>
        <w:t xml:space="preserve">常州市政府采购网</w:t>
      </w:r>
      <w:r>
        <w:rPr>
          <w:color w:val="000000"/>
          <w:sz w:val="24"/>
        </w:rPr>
        <w:t xml:space="preserve">公告成交结果，同时向成交供应商发出成交通知书，</w:t>
      </w:r>
      <w:r>
        <w:rPr>
          <w:color w:val="000000"/>
          <w:sz w:val="24"/>
        </w:rPr>
        <w:t xml:space="preserve">成交公告期限为1个工作日。</w:t>
      </w:r>
      <w:r>
        <w:rPr>
          <w:color w:val="000000"/>
          <w:sz w:val="24"/>
        </w:rPr>
      </w:r>
      <w:r/>
    </w:p>
    <w:p>
      <w:pPr>
        <w:pStyle w:val="1140"/>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rPr>
        <w:t xml:space="preserve">。</w:t>
      </w:r>
      <w:r>
        <w:rPr>
          <w:color w:val="000000"/>
          <w:sz w:val="24"/>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终止</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在采购中，出现下列情形之一的，采购人或采购代理机构将终止竞争性磋商采购活动，发布项目终止公告并说明原因，重新开展采购活动：</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因情况变化，不再符合规定的竞争性磋商采购方式适用情形的；</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出现影响采购公正的违法、违规行为的；</w:t>
      </w:r>
      <w:r>
        <w:rPr>
          <w:color w:val="000000"/>
          <w:sz w:val="24"/>
        </w:rPr>
      </w:r>
      <w:r/>
    </w:p>
    <w:p>
      <w:pPr>
        <w:pStyle w:val="1140"/>
        <w:numPr>
          <w:ilvl w:val="2"/>
          <w:numId w:val="8"/>
        </w:numPr>
        <w:spacing w:line="360" w:lineRule="auto"/>
        <w:tabs>
          <w:tab w:val="left" w:pos="1980" w:leader="none"/>
        </w:tabs>
        <w:rPr>
          <w:rFonts w:hint="eastAsia"/>
          <w:color w:val="000000"/>
          <w:sz w:val="24"/>
        </w:rPr>
      </w:pPr>
      <w:r>
        <w:rPr>
          <w:color w:val="000000"/>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rPr>
      </w:r>
      <w:r/>
    </w:p>
    <w:p>
      <w:pPr>
        <w:pStyle w:val="1140"/>
        <w:numPr>
          <w:ilvl w:val="2"/>
          <w:numId w:val="8"/>
        </w:numPr>
        <w:spacing w:line="360" w:lineRule="auto"/>
        <w:tabs>
          <w:tab w:val="left" w:pos="1980" w:leader="none"/>
        </w:tabs>
        <w:rPr>
          <w:color w:val="000000"/>
          <w:sz w:val="24"/>
        </w:rPr>
      </w:pPr>
      <w:r>
        <w:rPr>
          <w:rFonts w:hint="eastAsia" w:ascii="宋体" w:hAnsi="宋体"/>
          <w:color w:val="000000"/>
          <w:spacing w:val="2"/>
          <w:sz w:val="24"/>
        </w:rPr>
        <w:t xml:space="preserve">平台系统</w:t>
      </w:r>
      <w:r>
        <w:rPr>
          <w:rFonts w:ascii="宋体" w:hAnsi="宋体"/>
          <w:color w:val="000000"/>
          <w:sz w:val="24"/>
        </w:rPr>
        <w:t xml:space="preserve">出现</w:t>
      </w:r>
      <w:r>
        <w:rPr>
          <w:rFonts w:hint="eastAsia" w:ascii="宋体" w:hAnsi="宋体"/>
          <w:color w:val="000000"/>
          <w:sz w:val="24"/>
        </w:rPr>
        <w:t xml:space="preserve">序号17.7的所述</w:t>
      </w:r>
      <w:r>
        <w:rPr>
          <w:rFonts w:ascii="宋体" w:hAnsi="宋体"/>
          <w:color w:val="000000"/>
          <w:sz w:val="24"/>
        </w:rPr>
        <w:t xml:space="preserve">情形，</w:t>
      </w:r>
      <w:r>
        <w:rPr>
          <w:rFonts w:hint="eastAsia" w:ascii="宋体" w:hAnsi="宋体"/>
          <w:color w:val="000000"/>
          <w:sz w:val="24"/>
        </w:rPr>
        <w:t xml:space="preserve">情况严重且</w:t>
      </w:r>
      <w:r>
        <w:rPr>
          <w:rFonts w:ascii="宋体" w:hAnsi="宋体"/>
          <w:color w:val="000000"/>
          <w:sz w:val="24"/>
        </w:rPr>
        <w:t xml:space="preserve">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w:t>
      </w:r>
      <w:r>
        <w:rPr>
          <w:color w:val="000000"/>
          <w:sz w:val="24"/>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22"/>
      <w:r/>
      <w:bookmarkEnd w:id="523"/>
      <w:r/>
      <w:bookmarkEnd w:id="525"/>
      <w:r/>
      <w:bookmarkEnd w:id="526"/>
      <w:r/>
      <w:bookmarkEnd w:id="527"/>
      <w:r/>
      <w:bookmarkEnd w:id="528"/>
      <w:r/>
      <w:bookmarkEnd w:id="529"/>
      <w:r/>
      <w:bookmarkEnd w:id="530"/>
      <w:r/>
      <w:bookmarkEnd w:id="531"/>
      <w:r/>
      <w:bookmarkEnd w:id="532"/>
      <w:r/>
      <w:bookmarkStart w:id="533" w:name="_Toc305158892"/>
      <w:r/>
      <w:bookmarkStart w:id="534" w:name="_Toc226965740"/>
      <w:r/>
      <w:bookmarkStart w:id="535" w:name="_Toc151193938"/>
      <w:r/>
      <w:bookmarkStart w:id="536" w:name="_Toc264969240"/>
      <w:r/>
      <w:bookmarkStart w:id="537" w:name="_Toc164229391"/>
      <w:r/>
      <w:bookmarkStart w:id="538" w:name="_Ref467307204"/>
      <w:r/>
      <w:bookmarkStart w:id="539" w:name="_Toc151190177"/>
      <w:r/>
      <w:bookmarkStart w:id="540" w:name="_Toc151193864"/>
      <w:r/>
      <w:bookmarkStart w:id="541" w:name="_Toc195842915"/>
      <w:r/>
      <w:bookmarkStart w:id="542" w:name="_Toc142311052"/>
      <w:r/>
      <w:bookmarkStart w:id="543" w:name="_Toc127151751"/>
      <w:r/>
      <w:bookmarkStart w:id="544" w:name="_Toc149720843"/>
      <w:r/>
      <w:bookmarkStart w:id="545" w:name="_Toc164608819"/>
      <w:r/>
      <w:bookmarkStart w:id="546" w:name="_Toc151193648"/>
      <w:r/>
      <w:bookmarkStart w:id="547" w:name="_Toc151193792"/>
      <w:r/>
      <w:bookmarkStart w:id="548" w:name="_Toc127151550"/>
      <w:r/>
      <w:bookmarkStart w:id="549" w:name="_Ref467306377"/>
      <w:r/>
      <w:bookmarkStart w:id="550" w:name="_Toc164608664"/>
      <w:r/>
      <w:bookmarkStart w:id="551" w:name="_Toc150509301"/>
      <w:r/>
      <w:bookmarkStart w:id="552" w:name="_Toc226965823"/>
      <w:r/>
      <w:bookmarkStart w:id="553" w:name="_Toc151193720"/>
      <w:r/>
      <w:bookmarkStart w:id="554" w:name="_Toc164351644"/>
      <w:r/>
      <w:bookmarkStart w:id="555" w:name="_Toc226309794"/>
      <w:r/>
      <w:bookmarkStart w:id="556" w:name="_Toc520356175"/>
      <w:r/>
      <w:bookmarkStart w:id="557" w:name="_Toc127161464"/>
      <w:r/>
      <w:bookmarkStart w:id="558" w:name="_Toc164229245"/>
      <w:r/>
      <w:bookmarkStart w:id="559" w:name="_Toc150774650"/>
      <w:r/>
      <w:bookmarkStart w:id="560" w:name="_Toc150480788"/>
      <w:r/>
      <w:bookmarkStart w:id="561" w:name="_Toc150774755"/>
      <w:r/>
      <w:bookmarkStart w:id="562" w:name="_Ref467307062"/>
      <w:r/>
      <w:bookmarkStart w:id="563" w:name="_Ref467306978"/>
      <w:r/>
      <w:bookmarkStart w:id="564" w:name="_Toc226337246"/>
      <w:r/>
      <w:bookmarkStart w:id="565" w:name="_Toc305158818"/>
      <w:r/>
      <w:bookmarkStart w:id="566" w:name="_Toc265228388"/>
      <w:r>
        <w:rPr>
          <w:color w:val="000000"/>
          <w:sz w:val="24"/>
        </w:rPr>
        <w:t xml:space="preserve">签订合同</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联合体获得成交资格的，联合体各方应当共同与采购人签订合同，就成交项目向采购人承担连带责任。</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政府采购合同不能转包。</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采购人允许采用分包方式履行合同的，成交供应商可以依法采取分包方式履行合同。本项目</w:t>
      </w:r>
      <w:r>
        <w:rPr>
          <w:rFonts w:hint="eastAsia"/>
          <w:color w:val="000000"/>
          <w:sz w:val="24"/>
        </w:rPr>
        <w:t xml:space="preserve">是</w:t>
      </w:r>
      <w:r>
        <w:rPr>
          <w:color w:val="000000"/>
          <w:sz w:val="24"/>
        </w:rPr>
        <w:t xml:space="preserve">否允许分包，见《供应商须知资料表》。政府采购合同分包履行的，应当在响应文件中载明分包承担主体，分包承担主体应当具备相应资质条件且不得再次分包，</w:t>
      </w:r>
      <w:r>
        <w:rPr>
          <w:b/>
          <w:color w:val="000000"/>
          <w:sz w:val="24"/>
        </w:rPr>
        <w:t xml:space="preserve">否则响应无效</w:t>
      </w:r>
      <w:r>
        <w:rPr>
          <w:color w:val="000000"/>
          <w:sz w:val="24"/>
        </w:rPr>
        <w:t xml:space="preserve">。成交供应商就采购项目和分包项目向采购人负责，分包供应商就分包项目承担责任。</w:t>
      </w:r>
      <w:r>
        <w:rPr>
          <w:color w:val="000000"/>
          <w:sz w:val="24"/>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bookmarkEnd w:id="518"/>
      <w:r/>
      <w:bookmarkEnd w:id="519"/>
      <w:r/>
      <w:bookmarkEnd w:id="520"/>
      <w:r>
        <w:rPr>
          <w:color w:val="000000"/>
          <w:sz w:val="24"/>
        </w:rPr>
        <w:t xml:space="preserve">询问与质疑</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询问</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供应商对政府采购活动事项有疑问的，可依法提出询问，并按《供应商须知资料表》载明的形式送达采购人或采购代理机构。</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采购人或采购代理机构对供应商依法提出的询问，在3个工作日内作出答复，但答复的内容不得涉及商业秘密。</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质疑</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rPr>
      </w:r>
      <w:r/>
    </w:p>
    <w:p>
      <w:pPr>
        <w:pStyle w:val="1140"/>
        <w:numPr>
          <w:ilvl w:val="2"/>
          <w:numId w:val="8"/>
        </w:numPr>
        <w:spacing w:line="360" w:lineRule="auto"/>
        <w:tabs>
          <w:tab w:val="left" w:pos="1980" w:leader="none"/>
        </w:tabs>
        <w:rPr>
          <w:color w:val="000000"/>
          <w:sz w:val="24"/>
        </w:rPr>
      </w:pPr>
      <w:r>
        <w:rPr>
          <w:rFonts w:hint="eastAsia"/>
          <w:b/>
          <w:color w:val="000000"/>
          <w:sz w:val="24"/>
        </w:rPr>
        <w:t xml:space="preserve">磋商文件</w:t>
      </w:r>
      <w:r>
        <w:rPr>
          <w:rFonts w:hint="eastAsia" w:ascii="宋体" w:hAnsi="宋体"/>
          <w:b/>
          <w:color w:val="000000"/>
          <w:sz w:val="24"/>
        </w:rPr>
        <w:t xml:space="preserve">中采购需求以及相关部分（第四章、第五章以及供应商资格要求）由采购人负责制定和管理，对该部分内容有询问或者质疑的，供应商应当向采购人书面一次性提出，由采购人负责接收和回复。</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质疑函须使用财政部制定的范本文件。</w:t>
      </w:r>
      <w:r>
        <w:rPr>
          <w:rFonts w:hint="eastAsia"/>
          <w:color w:val="000000"/>
          <w:sz w:val="24"/>
        </w:rPr>
        <w:t xml:space="preserve">（下载网址：</w:t>
      </w:r>
      <w:r>
        <w:rPr>
          <w:color w:val="000000"/>
        </w:rPr>
        <w:fldChar w:fldCharType="begin"/>
      </w:r>
      <w:r>
        <w:rPr>
          <w:color w:val="000000"/>
        </w:rPr>
        <w:instrText xml:space="preserve"> HYPERLINK "http://gks.mof.gov.cn/ztztz/zhengfucaigouguanli/201802/t20180201_2804589.htm" </w:instrText>
      </w:r>
      <w:r>
        <w:rPr>
          <w:color w:val="000000"/>
        </w:rPr>
        <w:fldChar w:fldCharType="separate"/>
      </w:r>
      <w:r>
        <w:rPr>
          <w:rStyle w:val="1216"/>
          <w:color w:val="000000"/>
        </w:rPr>
        <w:t xml:space="preserve">http://gk</w:t>
      </w:r>
      <w:bookmarkStart w:id="567" w:name="_Hlt100654014"/>
      <w:r>
        <w:rPr>
          <w:rStyle w:val="1216"/>
          <w:color w:val="000000"/>
        </w:rPr>
        <w:t xml:space="preserve">s</w:t>
      </w:r>
      <w:bookmarkEnd w:id="567"/>
      <w:r>
        <w:rPr>
          <w:rStyle w:val="1216"/>
          <w:color w:val="000000"/>
        </w:rPr>
        <w:t xml:space="preserve">.m</w:t>
      </w:r>
      <w:bookmarkStart w:id="568" w:name="_Hlt100653993"/>
      <w:r/>
      <w:bookmarkStart w:id="569" w:name="_Hlt100653994"/>
      <w:r>
        <w:rPr>
          <w:rStyle w:val="1216"/>
          <w:color w:val="000000"/>
        </w:rPr>
        <w:t xml:space="preserve">o</w:t>
      </w:r>
      <w:bookmarkEnd w:id="568"/>
      <w:r/>
      <w:bookmarkEnd w:id="569"/>
      <w:r/>
      <w:bookmarkStart w:id="570" w:name="_Hlt101169156"/>
      <w:r>
        <w:rPr>
          <w:rStyle w:val="1216"/>
          <w:color w:val="000000"/>
        </w:rPr>
        <w:t xml:space="preserve">f</w:t>
      </w:r>
      <w:bookmarkEnd w:id="570"/>
      <w:r>
        <w:rPr>
          <w:rStyle w:val="1216"/>
          <w:color w:val="000000"/>
        </w:rPr>
        <w:t xml:space="preserve">.gov.cn/ztztz/zhengfucaigouguanli/201802/t20180201_2804589.htm</w:t>
      </w:r>
      <w:r>
        <w:rPr>
          <w:color w:val="000000"/>
        </w:rPr>
        <w:fldChar w:fldCharType="end"/>
      </w:r>
      <w:r>
        <w:rPr>
          <w:rFonts w:hint="eastAsia"/>
          <w:color w:val="000000"/>
        </w:rPr>
        <w:t xml:space="preserve">）</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供应商为自然人的，应当由本人签字；供应商为法人或者其他组织的，应当由法定代表人、主要负责人，或者其授权代表签字或者盖章，并加盖公章。</w:t>
      </w:r>
      <w:r>
        <w:rPr>
          <w:color w:val="000000"/>
          <w:sz w:val="24"/>
        </w:rPr>
      </w:r>
      <w:r/>
    </w:p>
    <w:p>
      <w:pPr>
        <w:pStyle w:val="1140"/>
        <w:numPr>
          <w:ilvl w:val="2"/>
          <w:numId w:val="8"/>
        </w:numPr>
        <w:spacing w:line="360" w:lineRule="auto"/>
        <w:tabs>
          <w:tab w:val="left" w:pos="1980" w:leader="none"/>
        </w:tabs>
        <w:rPr>
          <w:color w:val="000000"/>
          <w:sz w:val="24"/>
        </w:rPr>
      </w:pPr>
      <w:r>
        <w:rPr>
          <w:color w:val="000000"/>
          <w:sz w:val="24"/>
        </w:rPr>
        <w:t xml:space="preserve">供应商应在法定质疑期内一次性提出针对同一采购程序环节的质疑，法定质疑期内针对同一采购程序环节再次提出的质疑，采购人、采购代理机构有权不予答复。</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接收询问和质疑的联系部门、联系电话和通讯地址见《供应商须知资料表》</w:t>
      </w:r>
      <w:r>
        <w:rPr>
          <w:rFonts w:hint="eastAsia"/>
          <w:color w:val="000000"/>
          <w:sz w:val="24"/>
        </w:rPr>
        <w:t xml:space="preserve">。</w:t>
      </w:r>
      <w:r>
        <w:rPr>
          <w:color w:val="000000"/>
          <w:sz w:val="24"/>
        </w:rPr>
      </w:r>
      <w:r/>
    </w:p>
    <w:p>
      <w:pPr>
        <w:pStyle w:val="1140"/>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代理费</w:t>
      </w:r>
      <w:r>
        <w:rPr>
          <w:color w:val="000000"/>
          <w:sz w:val="24"/>
        </w:rPr>
      </w:r>
      <w:r/>
    </w:p>
    <w:p>
      <w:pPr>
        <w:pStyle w:val="1140"/>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b w:val="0"/>
          <w:bCs w:val="0"/>
          <w:color w:val="000000"/>
          <w:sz w:val="24"/>
        </w:rPr>
      </w:pPr>
      <w:r>
        <w:rPr>
          <w:b w:val="0"/>
          <w:bCs w:val="0"/>
          <w:color w:val="000000"/>
          <w:sz w:val="24"/>
        </w:rPr>
        <w:t xml:space="preserve">收费对象、收费标准见《供应商须知资料表》。</w:t>
      </w:r>
      <w:r>
        <w:rPr>
          <w:rFonts w:ascii="Times New Roman" w:hAnsi="Times New Roman" w:eastAsia="宋体" w:cs="Times New Roman"/>
          <w:b w:val="0"/>
          <w:bCs w:val="0"/>
          <w:color w:val="000000"/>
          <w:sz w:val="24"/>
        </w:rPr>
      </w:r>
      <w:r/>
    </w:p>
    <w:p>
      <w:pPr>
        <w:pStyle w:val="1140"/>
        <w:numPr>
          <w:ilvl w:val="0"/>
          <w:numId w:val="0"/>
        </w:numPr>
        <w:ind w:left="357"/>
        <w:spacing w:line="360" w:lineRule="auto"/>
        <w:tabs>
          <w:tab w:val="left" w:pos="1080" w:leader="none"/>
          <w:tab w:val="left" w:pos="2014" w:leader="none"/>
        </w:tabs>
        <w:rPr>
          <w:rFonts w:ascii="Times New Roman" w:hAnsi="Times New Roman" w:eastAsia="宋体" w:cs="Times New Roman"/>
          <w:color w:val="000000"/>
          <w:sz w:val="24"/>
        </w:rPr>
      </w:pPr>
      <w:r/>
      <w:bookmarkStart w:id="571" w:name="_Toc150774759"/>
      <w:r/>
      <w:bookmarkStart w:id="572" w:name="_Toc305158896"/>
      <w:r/>
      <w:bookmarkStart w:id="573" w:name="_Toc265228392"/>
      <w:r/>
      <w:bookmarkStart w:id="574" w:name="_Toc142311056"/>
      <w:r/>
      <w:bookmarkStart w:id="575" w:name="_Toc353873664"/>
      <w:r/>
      <w:bookmarkStart w:id="576" w:name="_Toc305158822"/>
      <w:r/>
      <w:bookmarkStart w:id="577" w:name="_Toc353873934"/>
      <w:r/>
      <w:bookmarkStart w:id="578" w:name="_Toc264969244"/>
      <w:r/>
      <w:bookmarkStart w:id="579" w:name="_Toc353825544"/>
      <w:r/>
      <w:bookmarkStart w:id="580" w:name="_Toc150480792"/>
      <w:r/>
      <w:bookmarkStart w:id="581" w:name="_Toc226337250"/>
      <w:r/>
      <w:bookmarkStart w:id="582" w:name="_Toc127151554"/>
      <w:r/>
      <w:bookmarkStart w:id="583" w:name="_Toc226965827"/>
      <w:r>
        <w:rPr>
          <w:rFonts w:ascii="Times New Roman" w:hAnsi="Times New Roman" w:eastAsia="宋体" w:cs="Times New Roman"/>
          <w:color w:val="000000"/>
          <w:sz w:val="24"/>
        </w:rPr>
      </w:r>
      <w:r/>
    </w:p>
    <w:p>
      <w:pPr>
        <w:pStyle w:val="1140"/>
        <w:numPr>
          <w:ilvl w:val="0"/>
          <w:numId w:val="0"/>
        </w:numPr>
        <w:ind w:left="357"/>
        <w:spacing w:line="360" w:lineRule="auto"/>
        <w:tabs>
          <w:tab w:val="left" w:pos="10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26  </w:t>
      </w:r>
      <w:r>
        <w:rPr>
          <w:rFonts w:hint="eastAsia" w:ascii="Times New Roman" w:hAnsi="Times New Roman" w:eastAsia="宋体" w:cs="Times New Roman"/>
          <w:color w:val="000000"/>
          <w:sz w:val="24"/>
        </w:rPr>
        <w:t xml:space="preserve">电子履约保函</w:t>
      </w:r>
      <w:r>
        <w:rPr>
          <w:rFonts w:hint="eastAsia" w:ascii="Times New Roman" w:hAnsi="Times New Roman" w:eastAsia="宋体" w:cs="Times New Roman"/>
          <w:color w:val="000000"/>
          <w:sz w:val="24"/>
        </w:rPr>
      </w:r>
      <w:r/>
    </w:p>
    <w:p>
      <w:pPr>
        <w:pStyle w:val="1140"/>
        <w:numPr>
          <w:ilvl w:val="0"/>
          <w:numId w:val="0"/>
        </w:numPr>
        <w:ind w:firstLine="720"/>
        <w:spacing w:line="360" w:lineRule="auto"/>
        <w:tabs>
          <w:tab w:val="left" w:pos="10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hint="eastAsia" w:ascii="Times New Roman" w:hAnsi="Times New Roman" w:eastAsia="宋体" w:cs="Times New Roman"/>
          <w:color w:val="000000"/>
          <w:sz w:val="24"/>
        </w:rPr>
      </w:r>
      <w:r/>
    </w:p>
    <w:p>
      <w:pPr>
        <w:pStyle w:val="1405"/>
        <w:rPr>
          <w:rFonts w:eastAsia="宋体"/>
          <w:color w:val="000000"/>
          <w:lang w:val="en-US" w:eastAsia="zh-CN"/>
        </w:rPr>
        <w:sectPr>
          <w:footerReference w:type="default" r:id="rId20"/>
          <w:footerReference w:type="even" r:id="rId21"/>
          <w:footnotePr/>
          <w:endnotePr/>
          <w:type w:val="nextPage"/>
          <w:pgSz w:w="11907" w:h="16840" w:orient="portrait"/>
          <w:pgMar w:top="1440" w:right="1304" w:bottom="1440" w:left="1304" w:header="851" w:footer="851" w:gutter="0"/>
          <w:cols w:num="1" w:sep="0" w:space="1701" w:equalWidth="1"/>
          <w:docGrid w:linePitch="360"/>
        </w:sectPr>
      </w:pPr>
      <w:r>
        <w:rPr>
          <w:rFonts w:eastAsia="宋体"/>
          <w:color w:val="000000"/>
          <w:lang w:val="en-US" w:eastAsia="zh-CN"/>
        </w:rPr>
      </w:r>
      <w:r/>
    </w:p>
    <w:p>
      <w:pPr>
        <w:pStyle w:val="1140"/>
        <w:jc w:val="center"/>
        <w:spacing w:line="360" w:lineRule="auto"/>
        <w:rPr>
          <w:b/>
          <w:color w:val="000000"/>
          <w:sz w:val="36"/>
          <w:szCs w:val="36"/>
        </w:rPr>
        <w:outlineLvl w:val="0"/>
      </w:pPr>
      <w:r/>
      <w:bookmarkStart w:id="584" w:name="_Toc23924"/>
      <w:r>
        <w:rPr>
          <w:b/>
          <w:color w:val="000000"/>
          <w:sz w:val="36"/>
          <w:szCs w:val="36"/>
        </w:rPr>
        <w:t xml:space="preserve">第三章   </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Pr>
          <w:b/>
          <w:color w:val="000000"/>
          <w:sz w:val="36"/>
          <w:szCs w:val="36"/>
        </w:rPr>
        <w:t xml:space="preserve">评审</w:t>
      </w:r>
      <w:r>
        <w:rPr>
          <w:rFonts w:hint="eastAsia"/>
          <w:b/>
          <w:color w:val="000000"/>
          <w:sz w:val="36"/>
          <w:szCs w:val="36"/>
        </w:rPr>
        <w:t xml:space="preserve">程序、评审</w:t>
      </w:r>
      <w:r>
        <w:rPr>
          <w:b/>
          <w:color w:val="000000"/>
          <w:sz w:val="36"/>
          <w:szCs w:val="36"/>
        </w:rPr>
        <w:t xml:space="preserve">方法和评审标准</w:t>
      </w:r>
      <w:bookmarkEnd w:id="584"/>
      <w:r/>
      <w:bookmarkStart w:id="585" w:name="_Toc487900382"/>
      <w:r>
        <w:rPr>
          <w:b/>
          <w:color w:val="000000"/>
          <w:sz w:val="36"/>
          <w:szCs w:val="36"/>
        </w:rPr>
      </w:r>
      <w:r/>
    </w:p>
    <w:p>
      <w:pPr>
        <w:pStyle w:val="1142"/>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w:t>
      </w:r>
      <w:r>
        <w:rPr>
          <w:rFonts w:hint="eastAsia" w:ascii="Times New Roman" w:hAnsi="Times New Roman" w:eastAsia="宋体"/>
          <w:color w:val="000000"/>
          <w:sz w:val="24"/>
          <w:szCs w:val="24"/>
        </w:rPr>
        <w:t xml:space="preserve">评审</w:t>
      </w:r>
      <w:r>
        <w:rPr>
          <w:rFonts w:ascii="Times New Roman" w:hAnsi="Times New Roman" w:eastAsia="宋体"/>
          <w:color w:val="000000"/>
          <w:sz w:val="24"/>
          <w:szCs w:val="24"/>
        </w:rPr>
        <w:t xml:space="preserve">程序</w:t>
      </w:r>
      <w:r>
        <w:rPr>
          <w:rFonts w:ascii="Times New Roman" w:hAnsi="Times New Roman" w:eastAsia="宋体"/>
          <w:color w:val="000000"/>
          <w:sz w:val="24"/>
          <w:szCs w:val="24"/>
        </w:rPr>
      </w:r>
      <w:r/>
    </w:p>
    <w:p>
      <w:pPr>
        <w:pStyle w:val="1140"/>
        <w:jc w:val="left"/>
        <w:tabs>
          <w:tab w:val="left" w:pos="1080" w:leader="none"/>
        </w:tabs>
        <w:rPr>
          <w:b/>
          <w:color w:val="000000"/>
          <w:sz w:val="24"/>
        </w:rPr>
      </w:pPr>
      <w:r>
        <w:rPr>
          <w:b/>
          <w:color w:val="000000"/>
          <w:sz w:val="24"/>
        </w:rPr>
        <w:tab/>
      </w:r>
      <w:r>
        <w:rPr>
          <w:b/>
          <w:color w:val="000000"/>
          <w:sz w:val="24"/>
        </w:rPr>
      </w:r>
      <w:r/>
    </w:p>
    <w:p>
      <w:pPr>
        <w:pStyle w:val="1140"/>
        <w:numPr>
          <w:ilvl w:val="0"/>
          <w:numId w:val="11"/>
        </w:numPr>
        <w:spacing w:line="360" w:lineRule="auto"/>
        <w:tabs>
          <w:tab w:val="left" w:pos="360" w:leader="none"/>
          <w:tab w:val="left" w:pos="900" w:leader="none"/>
        </w:tabs>
        <w:rPr>
          <w:color w:val="000000"/>
          <w:sz w:val="24"/>
        </w:rPr>
        <w:outlineLvl w:val="1"/>
      </w:pPr>
      <w:r/>
      <w:bookmarkEnd w:id="585"/>
      <w:r/>
      <w:bookmarkStart w:id="586" w:name="_Toc127151541"/>
      <w:r/>
      <w:bookmarkStart w:id="587" w:name="_Toc151193855"/>
      <w:r/>
      <w:bookmarkStart w:id="588" w:name="_Toc150480779"/>
      <w:r/>
      <w:bookmarkStart w:id="589" w:name="_Toc151193711"/>
      <w:r/>
      <w:bookmarkStart w:id="590" w:name="_Toc150509292"/>
      <w:r/>
      <w:bookmarkStart w:id="591" w:name="_Toc226965814"/>
      <w:r/>
      <w:bookmarkStart w:id="592" w:name="_Toc151193929"/>
      <w:r/>
      <w:bookmarkStart w:id="593" w:name="_Toc127161455"/>
      <w:r/>
      <w:bookmarkStart w:id="594" w:name="_Toc226965731"/>
      <w:r/>
      <w:bookmarkStart w:id="595" w:name="_Toc150774641"/>
      <w:r/>
      <w:bookmarkStart w:id="596" w:name="_Toc264969231"/>
      <w:r/>
      <w:bookmarkStart w:id="597" w:name="_Toc142311043"/>
      <w:r/>
      <w:bookmarkStart w:id="598" w:name="_Toc164608655"/>
      <w:r/>
      <w:bookmarkStart w:id="599" w:name="_Toc265228379"/>
      <w:r/>
      <w:bookmarkStart w:id="600" w:name="_Toc149720834"/>
      <w:r/>
      <w:bookmarkStart w:id="601" w:name="_Toc353873941"/>
      <w:r/>
      <w:bookmarkStart w:id="602" w:name="_Toc353825551"/>
      <w:r/>
      <w:bookmarkStart w:id="603" w:name="_Toc226337237"/>
      <w:r/>
      <w:bookmarkStart w:id="604" w:name="_Toc151193639"/>
      <w:r/>
      <w:bookmarkStart w:id="605" w:name="_Toc150774746"/>
      <w:r/>
      <w:bookmarkStart w:id="606" w:name="_Toc164608810"/>
      <w:r/>
      <w:bookmarkStart w:id="607" w:name="_Toc127151742"/>
      <w:r/>
      <w:bookmarkStart w:id="608" w:name="_Toc151190168"/>
      <w:r/>
      <w:bookmarkStart w:id="609" w:name="_Toc305158809"/>
      <w:r/>
      <w:bookmarkStart w:id="610" w:name="_Toc151193783"/>
      <w:r/>
      <w:bookmarkStart w:id="611" w:name="_Toc164351635"/>
      <w:r/>
      <w:bookmarkStart w:id="612" w:name="_Toc164229236"/>
      <w:r/>
      <w:bookmarkStart w:id="613" w:name="_Toc195842906"/>
      <w:r/>
      <w:bookmarkStart w:id="614" w:name="_Toc164229382"/>
      <w:r/>
      <w:bookmarkStart w:id="615" w:name="_Toc305158883"/>
      <w:r/>
      <w:bookmarkStart w:id="616" w:name="_Toc226309785"/>
      <w:r>
        <w:rPr>
          <w:color w:val="000000"/>
          <w:sz w:val="24"/>
        </w:rPr>
        <w:t xml:space="preserve">响应文件的</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Pr>
          <w:color w:val="000000"/>
          <w:sz w:val="24"/>
        </w:rPr>
        <w:t xml:space="preserve">资格性检查和符合性审查</w:t>
      </w:r>
      <w:r>
        <w:rPr>
          <w:color w:val="000000"/>
          <w:sz w:val="24"/>
        </w:rPr>
      </w:r>
      <w:r/>
    </w:p>
    <w:p>
      <w:pPr>
        <w:pStyle w:val="1140"/>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rPr>
        <w:t xml:space="preserve">无效响应</w:t>
      </w:r>
      <w:r>
        <w:rPr>
          <w:color w:val="000000"/>
          <w:sz w:val="24"/>
        </w:rPr>
        <w:t xml:space="preserve">处理，磋商小组应当告知提交响应文件的供应商。</w:t>
      </w:r>
      <w:r>
        <w:rPr>
          <w:color w:val="000000"/>
          <w:sz w:val="24"/>
        </w:rPr>
      </w:r>
      <w:r/>
    </w:p>
    <w:p>
      <w:pPr>
        <w:pStyle w:val="1140"/>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《资格性检查要求》中对格式有要求的，除竞争性磋商文件另有规定外，均为“实质性格式”文件。</w:t>
      </w:r>
      <w:r>
        <w:rPr>
          <w:color w:val="000000"/>
          <w:sz w:val="24"/>
        </w:rPr>
      </w:r>
      <w:r/>
    </w:p>
    <w:p>
      <w:pPr>
        <w:pStyle w:val="1140"/>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《资格性检查要求》见下表：</w:t>
      </w:r>
      <w:r>
        <w:rPr>
          <w:color w:val="000000"/>
          <w:sz w:val="24"/>
        </w:rPr>
      </w:r>
      <w:r/>
    </w:p>
    <w:p>
      <w:pPr>
        <w:pStyle w:val="1140"/>
        <w:ind w:left="1077" w:firstLine="2650"/>
        <w:spacing w:line="360" w:lineRule="auto"/>
        <w:tabs>
          <w:tab w:val="left" w:pos="900" w:leader="none"/>
          <w:tab w:val="left" w:pos="1080" w:leader="none"/>
        </w:tabs>
        <w:rPr>
          <w:b/>
          <w:color w:val="000000"/>
          <w:sz w:val="24"/>
        </w:rPr>
      </w:pPr>
      <w:r/>
      <w:bookmarkStart w:id="617" w:name="_Hlt487972895"/>
      <w:r/>
      <w:bookmarkEnd w:id="617"/>
      <w:r>
        <w:rPr>
          <w:b/>
          <w:color w:val="000000"/>
          <w:sz w:val="24"/>
        </w:rPr>
        <w:t xml:space="preserve">资格性检查要求</w:t>
      </w:r>
      <w:r>
        <w:rPr>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746"/>
        <w:gridCol w:w="4540"/>
        <w:gridCol w:w="1677"/>
      </w:tblGrid>
      <w:tr>
        <w:trPr>
          <w:cantSplit/>
          <w:trHeight w:val="20"/>
          <w:tblHeader/>
        </w:trPr>
        <w:tc>
          <w:tcPr>
            <w:tcW w:w="375" w:type="dxa"/>
            <w:vAlign w:val="center"/>
            <w:textDirection w:val="lrTb"/>
            <w:noWrap w:val="false"/>
          </w:tcPr>
          <w:p>
            <w:pPr>
              <w:pStyle w:val="114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14" w:type="dxa"/>
            <w:vAlign w:val="center"/>
            <w:textDirection w:val="lrTb"/>
            <w:noWrap w:val="false"/>
          </w:tcPr>
          <w:p>
            <w:pPr>
              <w:pStyle w:val="114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636" w:type="dxa"/>
            <w:vAlign w:val="center"/>
            <w:textDirection w:val="lrTb"/>
            <w:noWrap w:val="false"/>
          </w:tcPr>
          <w:p>
            <w:pPr>
              <w:pStyle w:val="114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973" w:type="dxa"/>
            <w:vAlign w:val="center"/>
            <w:textDirection w:val="lrTb"/>
            <w:noWrap w:val="false"/>
          </w:tcPr>
          <w:p>
            <w:pPr>
              <w:pStyle w:val="114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20"/>
        </w:trPr>
        <w:tc>
          <w:tcPr>
            <w:tcW w:w="375" w:type="dxa"/>
            <w:vAlign w:val="center"/>
            <w:textDirection w:val="lrTb"/>
            <w:noWrap w:val="false"/>
          </w:tcPr>
          <w:p>
            <w:pPr>
              <w:pStyle w:val="114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14" w:type="dxa"/>
            <w:vAlign w:val="center"/>
            <w:textDirection w:val="lrTb"/>
            <w:noWrap w:val="false"/>
          </w:tcPr>
          <w:p>
            <w:pPr>
              <w:pStyle w:val="114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636" w:type="dxa"/>
            <w:vAlign w:val="center"/>
            <w:textDirection w:val="lrTb"/>
            <w:noWrap w:val="false"/>
          </w:tcPr>
          <w:p>
            <w:pPr>
              <w:pStyle w:val="114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具体规定见第一章《竞争性磋商公告》</w:t>
            </w:r>
            <w:r>
              <w:rPr>
                <w:rFonts w:hint="eastAsia" w:ascii="宋体" w:hAnsi="宋体" w:cs="宋体"/>
                <w:color w:val="000000"/>
                <w:sz w:val="24"/>
                <w:highlight w:val="none"/>
              </w:rPr>
            </w:r>
            <w:r/>
          </w:p>
        </w:tc>
        <w:tc>
          <w:tcPr>
            <w:tcW w:w="973" w:type="dxa"/>
            <w:vAlign w:val="center"/>
            <w:textDirection w:val="lrTb"/>
            <w:noWrap w:val="false"/>
          </w:tcPr>
          <w:p>
            <w:pPr>
              <w:pStyle w:val="114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52"/>
        </w:trPr>
        <w:tc>
          <w:tcPr>
            <w:tcW w:w="375" w:type="dxa"/>
            <w:vAlign w:val="center"/>
            <w:textDirection w:val="lrTb"/>
            <w:noWrap w:val="false"/>
          </w:tcPr>
          <w:p>
            <w:pPr>
              <w:pStyle w:val="114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14" w:type="dxa"/>
            <w:vAlign w:val="center"/>
            <w:textDirection w:val="lrTb"/>
            <w:noWrap w:val="false"/>
          </w:tcPr>
          <w:p>
            <w:pPr>
              <w:pStyle w:val="114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供应商资格声明函</w:t>
            </w:r>
            <w:r>
              <w:rPr>
                <w:rFonts w:hint="eastAsia" w:ascii="宋体" w:hAnsi="宋体" w:cs="宋体"/>
                <w:color w:val="000000"/>
                <w:sz w:val="24"/>
                <w:highlight w:val="none"/>
              </w:rPr>
            </w:r>
            <w:r/>
          </w:p>
        </w:tc>
        <w:tc>
          <w:tcPr>
            <w:tcW w:w="2636" w:type="dxa"/>
            <w:vAlign w:val="center"/>
            <w:textDirection w:val="lrTb"/>
            <w:noWrap w:val="false"/>
          </w:tcPr>
          <w:p>
            <w:pPr>
              <w:pStyle w:val="114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提供了符合采购文件要求的《供应商资格声明函》。</w:t>
            </w:r>
            <w:r>
              <w:rPr>
                <w:rFonts w:hint="eastAsia" w:ascii="宋体" w:hAnsi="宋体" w:cs="宋体"/>
                <w:color w:val="000000"/>
                <w:sz w:val="24"/>
                <w:highlight w:val="none"/>
              </w:rPr>
            </w:r>
            <w:r/>
          </w:p>
        </w:tc>
        <w:tc>
          <w:tcPr>
            <w:tcW w:w="973" w:type="dxa"/>
            <w:vAlign w:val="center"/>
            <w:textDirection w:val="lrTb"/>
            <w:noWrap w:val="false"/>
          </w:tcPr>
          <w:p>
            <w:pPr>
              <w:pStyle w:val="114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格式见《响应文件格式》</w:t>
            </w:r>
            <w:r>
              <w:rPr>
                <w:rFonts w:hint="eastAsia" w:ascii="宋体" w:hAnsi="宋体" w:cs="宋体"/>
                <w:color w:val="000000"/>
                <w:sz w:val="24"/>
                <w:highlight w:val="none"/>
              </w:rPr>
            </w:r>
            <w:r/>
          </w:p>
        </w:tc>
      </w:tr>
      <w:tr>
        <w:trPr>
          <w:cantSplit/>
          <w:trHeight w:val="20"/>
        </w:trPr>
        <w:tc>
          <w:tcPr>
            <w:tcW w:w="375" w:type="dxa"/>
            <w:vAlign w:val="center"/>
            <w:textDirection w:val="lrTb"/>
            <w:noWrap w:val="false"/>
          </w:tcPr>
          <w:p>
            <w:pPr>
              <w:pStyle w:val="114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14" w:type="dxa"/>
            <w:vAlign w:val="center"/>
            <w:textDirection w:val="lrTb"/>
            <w:noWrap w:val="false"/>
          </w:tcPr>
          <w:p>
            <w:pPr>
              <w:pStyle w:val="114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供应商信用记录</w:t>
            </w:r>
            <w:r>
              <w:rPr>
                <w:rFonts w:hint="eastAsia" w:ascii="宋体" w:hAnsi="宋体" w:cs="宋体"/>
                <w:color w:val="000000"/>
                <w:sz w:val="24"/>
                <w:highlight w:val="none"/>
              </w:rPr>
            </w:r>
            <w:r/>
          </w:p>
        </w:tc>
        <w:tc>
          <w:tcPr>
            <w:tcW w:w="2636" w:type="dxa"/>
            <w:vAlign w:val="center"/>
            <w:textDirection w:val="lrTb"/>
            <w:noWrap w:val="false"/>
          </w:tcPr>
          <w:p>
            <w:pPr>
              <w:pStyle w:val="114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w:t>
            </w:r>
            <w:r>
              <w:rPr>
                <w:rFonts w:hint="eastAsia" w:ascii="宋体" w:hAnsi="宋体" w:cs="宋体"/>
                <w:color w:val="000000"/>
                <w:sz w:val="24"/>
                <w:highlight w:val="none"/>
                <w:lang w:eastAsia="zh-CN"/>
              </w:rPr>
              <w:t xml:space="preserve">或</w:t>
            </w:r>
            <w:r>
              <w:rPr>
                <w:rFonts w:hint="eastAsia" w:ascii="宋体" w:hAnsi="宋体" w:cs="宋体"/>
                <w:color w:val="000000"/>
                <w:sz w:val="24"/>
                <w:highlight w:val="none"/>
              </w:rPr>
              <w:t xml:space="preserve">中国政府采购网（www.creditchina.gov.cn、www.ccgp.gov.cn）；</w:t>
            </w:r>
            <w:r>
              <w:rPr>
                <w:rFonts w:hint="eastAsia" w:ascii="宋体" w:hAnsi="宋体" w:cs="宋体"/>
                <w:color w:val="000000"/>
                <w:sz w:val="24"/>
                <w:highlight w:val="none"/>
              </w:rPr>
            </w:r>
            <w:r/>
          </w:p>
          <w:p>
            <w:pPr>
              <w:pStyle w:val="114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截止时点：提交响应文件截止时间以后、资格审查阶段采购人或采购代理机构的实际查询时间；</w:t>
            </w:r>
            <w:r>
              <w:rPr>
                <w:rFonts w:hint="eastAsia" w:ascii="宋体" w:hAnsi="宋体" w:cs="宋体"/>
                <w:color w:val="000000"/>
                <w:sz w:val="24"/>
                <w:highlight w:val="none"/>
              </w:rPr>
            </w:r>
            <w:r/>
          </w:p>
          <w:p>
            <w:pPr>
              <w:pStyle w:val="114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14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。联合体形式响应的，联合体成员存在不良信用记录，视同联合体存在不良信用记录。</w:t>
            </w:r>
            <w:r>
              <w:rPr>
                <w:rFonts w:hint="eastAsia" w:ascii="宋体" w:hAnsi="宋体" w:cs="宋体"/>
                <w:color w:val="000000"/>
                <w:sz w:val="24"/>
                <w:highlight w:val="none"/>
              </w:rPr>
            </w:r>
            <w:r/>
          </w:p>
        </w:tc>
        <w:tc>
          <w:tcPr>
            <w:tcW w:w="973" w:type="dxa"/>
            <w:vAlign w:val="center"/>
            <w:textDirection w:val="lrTb"/>
            <w:noWrap w:val="false"/>
          </w:tcPr>
          <w:p>
            <w:pPr>
              <w:pStyle w:val="1140"/>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无须供应商提供，采购人或采购代理机构</w:t>
            </w:r>
            <w:r>
              <w:rPr>
                <w:rFonts w:hint="eastAsia" w:ascii="宋体" w:hAnsi="宋体" w:cs="宋体"/>
                <w:color w:val="000000"/>
                <w:sz w:val="24"/>
                <w:highlight w:val="none"/>
                <w:lang w:val="en-US" w:eastAsia="zh-CN"/>
              </w:rPr>
              <w:t xml:space="preserve">查询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cantSplit/>
          <w:trHeight w:val="20"/>
        </w:trPr>
        <w:tc>
          <w:tcPr>
            <w:tcW w:w="375" w:type="dxa"/>
            <w:vAlign w:val="center"/>
            <w:textDirection w:val="lrTb"/>
            <w:noWrap w:val="false"/>
          </w:tcPr>
          <w:p>
            <w:pPr>
              <w:pStyle w:val="114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14" w:type="dxa"/>
            <w:vAlign w:val="center"/>
            <w:textDirection w:val="lrTb"/>
            <w:noWrap w:val="false"/>
          </w:tcPr>
          <w:p>
            <w:pPr>
              <w:pStyle w:val="114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636" w:type="dxa"/>
            <w:vAlign w:val="center"/>
            <w:textDirection w:val="lrTb"/>
            <w:noWrap w:val="false"/>
          </w:tcPr>
          <w:p>
            <w:pPr>
              <w:pStyle w:val="114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具体要求见第一章《竞争性磋商公告》</w:t>
            </w:r>
            <w:r>
              <w:rPr>
                <w:rFonts w:hint="eastAsia" w:ascii="宋体" w:hAnsi="宋体" w:cs="宋体"/>
                <w:color w:val="000000"/>
                <w:sz w:val="24"/>
                <w:highlight w:val="none"/>
              </w:rPr>
            </w:r>
            <w:r/>
          </w:p>
        </w:tc>
        <w:tc>
          <w:tcPr>
            <w:tcW w:w="973" w:type="dxa"/>
            <w:vAlign w:val="center"/>
            <w:textDirection w:val="lrTb"/>
            <w:noWrap w:val="false"/>
          </w:tcPr>
          <w:p>
            <w:pPr>
              <w:pStyle w:val="114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375" w:type="dxa"/>
            <w:vAlign w:val="center"/>
            <w:textDirection w:val="lrTb"/>
            <w:noWrap w:val="false"/>
          </w:tcPr>
          <w:p>
            <w:pPr>
              <w:pStyle w:val="1140"/>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rPr>
            </w:r>
            <w:r/>
          </w:p>
        </w:tc>
        <w:tc>
          <w:tcPr>
            <w:tcW w:w="1014" w:type="dxa"/>
            <w:vAlign w:val="center"/>
            <w:textDirection w:val="lrTb"/>
            <w:noWrap w:val="false"/>
          </w:tcPr>
          <w:p>
            <w:pPr>
              <w:pStyle w:val="1140"/>
              <w:tabs>
                <w:tab w:val="left" w:pos="10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中小企业声明函</w:t>
            </w:r>
            <w:r>
              <w:rPr>
                <w:rFonts w:hint="eastAsia" w:ascii="宋体" w:hAnsi="宋体" w:eastAsia="宋体" w:cs="宋体"/>
                <w:color w:val="000000"/>
                <w:sz w:val="24"/>
                <w:highlight w:val="none"/>
                <w:lang w:val="en-US" w:eastAsia="zh-CN"/>
              </w:rPr>
            </w:r>
            <w:r/>
          </w:p>
        </w:tc>
        <w:tc>
          <w:tcPr>
            <w:tcW w:w="2636" w:type="dxa"/>
            <w:vAlign w:val="center"/>
            <w:textDirection w:val="lrTb"/>
            <w:noWrap w:val="false"/>
          </w:tcPr>
          <w:p>
            <w:pPr>
              <w:pStyle w:val="1140"/>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1、供应商单独参与磋商的，应提供中小企业声明函；如为监狱企业或残疾人福利性单位，不必提供中小企业声明函，但须按注1或注2要求提供证明材料。</w:t>
            </w:r>
            <w:r>
              <w:rPr>
                <w:rFonts w:hint="eastAsia" w:ascii="宋体" w:hAnsi="宋体" w:eastAsia="宋体" w:cs="宋体"/>
                <w:color w:val="000000"/>
                <w:sz w:val="24"/>
                <w:highlight w:val="none"/>
              </w:rPr>
            </w:r>
            <w:r/>
          </w:p>
          <w:p>
            <w:pPr>
              <w:pStyle w:val="1140"/>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color w:val="000000"/>
                <w:sz w:val="24"/>
                <w:highlight w:val="none"/>
              </w:rPr>
            </w:r>
            <w:r/>
          </w:p>
          <w:p>
            <w:pPr>
              <w:pStyle w:val="1140"/>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color w:val="000000"/>
                <w:sz w:val="24"/>
                <w:highlight w:val="none"/>
              </w:rPr>
            </w:r>
            <w:r/>
          </w:p>
          <w:p>
            <w:pPr>
              <w:pStyle w:val="1140"/>
              <w:tabs>
                <w:tab w:val="left" w:pos="10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注2：残疾人福利性单位须按磋商文件要求提供《残疾人福利性单位声明函》。</w:t>
            </w:r>
            <w:r>
              <w:rPr>
                <w:rFonts w:hint="eastAsia" w:ascii="宋体" w:hAnsi="宋体" w:eastAsia="宋体" w:cs="宋体"/>
                <w:color w:val="000000"/>
                <w:sz w:val="24"/>
                <w:highlight w:val="none"/>
                <w:lang w:val="en-US" w:eastAsia="zh-CN"/>
              </w:rPr>
            </w:r>
            <w:r/>
          </w:p>
        </w:tc>
        <w:tc>
          <w:tcPr>
            <w:tcW w:w="973" w:type="dxa"/>
            <w:vAlign w:val="center"/>
            <w:textDirection w:val="lrTb"/>
            <w:noWrap w:val="false"/>
          </w:tcPr>
          <w:p>
            <w:pPr>
              <w:pStyle w:val="1140"/>
              <w:tabs>
                <w:tab w:val="left" w:pos="1080" w:leader="none"/>
              </w:tabs>
              <w:rPr>
                <w:rFonts w:hint="eastAsia" w:ascii="宋体" w:hAnsi="宋体" w:cs="宋体"/>
                <w:sz w:val="24"/>
                <w:szCs w:val="24"/>
                <w:highlight w:val="none"/>
                <w:lang w:val="en-US" w:eastAsia="zh-CN" w:bidi="ar-SA"/>
              </w:rPr>
            </w:pPr>
            <w:r>
              <w:rPr>
                <w:sz w:val="24"/>
              </w:rPr>
              <w:t xml:space="preserve">格式见《响应文件格式》</w:t>
            </w:r>
            <w:r>
              <w:rPr>
                <w:rFonts w:hint="eastAsia" w:ascii="宋体" w:hAnsi="宋体" w:cs="宋体"/>
                <w:sz w:val="24"/>
                <w:szCs w:val="24"/>
                <w:highlight w:val="none"/>
                <w:lang w:val="en-US" w:eastAsia="zh-CN" w:bidi="ar-SA"/>
              </w:rPr>
            </w:r>
            <w:r/>
          </w:p>
        </w:tc>
      </w:tr>
      <w:tr>
        <w:trPr>
          <w:cantSplit/>
          <w:trHeight w:val="20"/>
        </w:trPr>
        <w:tc>
          <w:tcPr>
            <w:tcW w:w="375" w:type="dxa"/>
            <w:vAlign w:val="center"/>
            <w:textDirection w:val="lrTb"/>
            <w:noWrap w:val="false"/>
          </w:tcPr>
          <w:p>
            <w:pPr>
              <w:pStyle w:val="114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rPr>
            </w:r>
            <w:r/>
          </w:p>
        </w:tc>
        <w:tc>
          <w:tcPr>
            <w:tcW w:w="1014" w:type="dxa"/>
            <w:vAlign w:val="center"/>
            <w:textDirection w:val="lrTb"/>
            <w:noWrap w:val="false"/>
          </w:tcPr>
          <w:p>
            <w:pPr>
              <w:pStyle w:val="114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拟分包情况说明及分包意向协议（类型一）</w:t>
            </w:r>
            <w:r>
              <w:rPr>
                <w:rFonts w:hint="eastAsia" w:ascii="宋体" w:hAnsi="宋体" w:cs="宋体"/>
                <w:color w:val="000000"/>
                <w:sz w:val="24"/>
                <w:highlight w:val="none"/>
              </w:rPr>
            </w:r>
            <w:r/>
          </w:p>
        </w:tc>
        <w:tc>
          <w:tcPr>
            <w:tcW w:w="2636" w:type="dxa"/>
            <w:vAlign w:val="center"/>
            <w:textDirection w:val="lrTb"/>
            <w:noWrap w:val="false"/>
          </w:tcPr>
          <w:p>
            <w:pPr>
              <w:pStyle w:val="1140"/>
              <w:jc w:val="center"/>
              <w:tabs>
                <w:tab w:val="left" w:pos="108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具体要求见第一章《竞争性磋商公告》</w:t>
            </w:r>
            <w:r>
              <w:rPr>
                <w:rFonts w:hint="eastAsia" w:ascii="宋体" w:hAnsi="宋体" w:cs="宋体"/>
                <w:bCs/>
                <w:color w:val="000000"/>
                <w:sz w:val="24"/>
                <w:highlight w:val="none"/>
              </w:rPr>
            </w:r>
            <w:r/>
          </w:p>
        </w:tc>
        <w:tc>
          <w:tcPr>
            <w:tcW w:w="973" w:type="dxa"/>
            <w:vAlign w:val="center"/>
            <w:textDirection w:val="lrTb"/>
            <w:noWrap w:val="false"/>
          </w:tcPr>
          <w:p>
            <w:pPr>
              <w:pStyle w:val="114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375" w:type="dxa"/>
            <w:vAlign w:val="center"/>
            <w:textDirection w:val="lrTb"/>
            <w:noWrap w:val="false"/>
          </w:tcPr>
          <w:p>
            <w:pPr>
              <w:pStyle w:val="114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14" w:type="dxa"/>
            <w:vAlign w:val="center"/>
            <w:textDirection w:val="lrTb"/>
            <w:noWrap w:val="false"/>
          </w:tcPr>
          <w:p>
            <w:pPr>
              <w:pStyle w:val="114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636" w:type="dxa"/>
            <w:vAlign w:val="center"/>
            <w:textDirection w:val="lrTb"/>
            <w:noWrap w:val="false"/>
          </w:tcPr>
          <w:p>
            <w:pPr>
              <w:pStyle w:val="1140"/>
              <w:jc w:val="center"/>
              <w:tabs>
                <w:tab w:val="left" w:pos="108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具体要求见第一章《竞争性磋商公告》</w:t>
            </w:r>
            <w:r>
              <w:rPr>
                <w:rFonts w:hint="eastAsia" w:ascii="宋体" w:hAnsi="宋体" w:cs="宋体"/>
                <w:bCs/>
                <w:color w:val="000000"/>
                <w:sz w:val="24"/>
                <w:highlight w:val="none"/>
              </w:rPr>
            </w:r>
            <w:r/>
          </w:p>
        </w:tc>
        <w:tc>
          <w:tcPr>
            <w:tcW w:w="973" w:type="dxa"/>
            <w:vAlign w:val="center"/>
            <w:textDirection w:val="lrTb"/>
            <w:noWrap w:val="false"/>
          </w:tcPr>
          <w:p>
            <w:pPr>
              <w:pStyle w:val="114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375" w:type="dxa"/>
            <w:vAlign w:val="center"/>
            <w:textDirection w:val="lrTb"/>
            <w:noWrap w:val="false"/>
          </w:tcPr>
          <w:p>
            <w:pPr>
              <w:pStyle w:val="114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14" w:type="dxa"/>
            <w:vAlign w:val="center"/>
            <w:textDirection w:val="lrTb"/>
            <w:noWrap w:val="false"/>
          </w:tcPr>
          <w:p>
            <w:pPr>
              <w:pStyle w:val="114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636" w:type="dxa"/>
            <w:vAlign w:val="center"/>
            <w:textDirection w:val="lrTb"/>
            <w:noWrap w:val="false"/>
          </w:tcPr>
          <w:p>
            <w:pPr>
              <w:pStyle w:val="1140"/>
              <w:jc w:val="center"/>
              <w:tabs>
                <w:tab w:val="left" w:pos="108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具体要求见第一章《竞争性磋商公告》</w:t>
            </w:r>
            <w:r>
              <w:rPr>
                <w:rFonts w:hint="eastAsia" w:ascii="宋体" w:hAnsi="宋体" w:cs="宋体"/>
                <w:bCs/>
                <w:color w:val="000000"/>
                <w:sz w:val="24"/>
                <w:highlight w:val="none"/>
              </w:rPr>
            </w:r>
            <w:r/>
          </w:p>
        </w:tc>
        <w:tc>
          <w:tcPr>
            <w:tcW w:w="973" w:type="dxa"/>
            <w:vAlign w:val="center"/>
            <w:textDirection w:val="lrTb"/>
            <w:noWrap w:val="false"/>
          </w:tcPr>
          <w:p>
            <w:pPr>
              <w:pStyle w:val="114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375" w:type="dxa"/>
            <w:vAlign w:val="center"/>
            <w:textDirection w:val="lrTb"/>
            <w:noWrap w:val="false"/>
          </w:tcPr>
          <w:p>
            <w:pPr>
              <w:pStyle w:val="114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14" w:type="dxa"/>
            <w:vAlign w:val="center"/>
            <w:textDirection w:val="lrTb"/>
            <w:noWrap w:val="false"/>
          </w:tcPr>
          <w:p>
            <w:pPr>
              <w:pStyle w:val="114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是否接受联合体响应</w:t>
            </w:r>
            <w:r>
              <w:rPr>
                <w:rFonts w:hint="eastAsia" w:ascii="宋体" w:hAnsi="宋体" w:cs="宋体"/>
                <w:color w:val="000000"/>
                <w:sz w:val="24"/>
                <w:highlight w:val="none"/>
              </w:rPr>
            </w:r>
            <w:r/>
          </w:p>
        </w:tc>
        <w:tc>
          <w:tcPr>
            <w:tcW w:w="2636" w:type="dxa"/>
            <w:vAlign w:val="center"/>
            <w:textDirection w:val="lrTb"/>
            <w:noWrap w:val="false"/>
          </w:tcPr>
          <w:p>
            <w:pPr>
              <w:pStyle w:val="1140"/>
              <w:jc w:val="center"/>
              <w:tabs>
                <w:tab w:val="left" w:pos="108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具体要求见第一章《竞争性磋商公告》</w:t>
            </w:r>
            <w:r>
              <w:rPr>
                <w:rFonts w:hint="eastAsia" w:ascii="宋体" w:hAnsi="宋体" w:cs="宋体"/>
                <w:bCs/>
                <w:color w:val="000000"/>
                <w:sz w:val="24"/>
                <w:highlight w:val="none"/>
              </w:rPr>
            </w:r>
            <w:r/>
          </w:p>
        </w:tc>
        <w:tc>
          <w:tcPr>
            <w:tcW w:w="973" w:type="dxa"/>
            <w:vAlign w:val="center"/>
            <w:textDirection w:val="lrTb"/>
            <w:noWrap w:val="false"/>
          </w:tcPr>
          <w:p>
            <w:pPr>
              <w:pStyle w:val="1140"/>
              <w:tabs>
                <w:tab w:val="left" w:pos="1080" w:leader="none"/>
              </w:tabs>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r>
      <w:tr>
        <w:trPr>
          <w:cantSplit/>
          <w:trHeight w:val="20"/>
        </w:trPr>
        <w:tc>
          <w:tcPr>
            <w:tcW w:w="375" w:type="dxa"/>
            <w:vAlign w:val="center"/>
            <w:textDirection w:val="lrTb"/>
            <w:noWrap w:val="false"/>
          </w:tcPr>
          <w:p>
            <w:pPr>
              <w:pStyle w:val="1140"/>
              <w:jc w:val="center"/>
              <w:tabs>
                <w:tab w:val="left" w:pos="108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3-2</w:t>
            </w:r>
            <w:r>
              <w:rPr>
                <w:rFonts w:ascii="宋体" w:hAnsi="宋体" w:eastAsia="宋体" w:cs="宋体"/>
                <w:color w:val="000000"/>
                <w:sz w:val="24"/>
                <w:highlight w:val="none"/>
                <w:lang w:val="en-US" w:eastAsia="zh-CN"/>
              </w:rPr>
            </w:r>
            <w:r/>
          </w:p>
        </w:tc>
        <w:tc>
          <w:tcPr>
            <w:tcW w:w="1014" w:type="dxa"/>
            <w:vAlign w:val="center"/>
            <w:textDirection w:val="lrTb"/>
            <w:noWrap w:val="false"/>
          </w:tcPr>
          <w:p>
            <w:pPr>
              <w:pStyle w:val="1140"/>
              <w:tabs>
                <w:tab w:val="left" w:pos="1080"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zh-CN"/>
              </w:rPr>
              <w:t xml:space="preserve">其他特定资格要求</w:t>
            </w:r>
            <w:r>
              <w:rPr>
                <w:rFonts w:hint="eastAsia" w:ascii="宋体" w:hAnsi="宋体" w:cs="宋体"/>
                <w:color w:val="000000"/>
                <w:sz w:val="24"/>
                <w:highlight w:val="none"/>
              </w:rPr>
            </w:r>
            <w:r/>
          </w:p>
        </w:tc>
        <w:tc>
          <w:tcPr>
            <w:tcW w:w="2636" w:type="dxa"/>
            <w:vAlign w:val="center"/>
            <w:textDirection w:val="lrTb"/>
            <w:noWrap w:val="false"/>
          </w:tcPr>
          <w:p>
            <w:pPr>
              <w:pStyle w:val="114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1、供应商应具备市政公用工程施工总承包叁级（含）以上资质，并具有有效的安全生产许可证；</w:t>
            </w:r>
            <w:r>
              <w:rPr>
                <w:rFonts w:hint="eastAsia" w:ascii="宋体" w:hAnsi="宋体" w:eastAsia="宋体" w:cs="宋体"/>
                <w:color w:val="000000"/>
                <w:sz w:val="24"/>
                <w:szCs w:val="24"/>
                <w:highlight w:val="none"/>
                <w:lang w:val="zh-CN"/>
              </w:rPr>
            </w:r>
            <w:r/>
          </w:p>
          <w:p>
            <w:pPr>
              <w:pStyle w:val="114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2、项目负责人应具有市政公用工程二级（含）以上注册建造师；</w:t>
            </w:r>
            <w:r>
              <w:rPr>
                <w:rFonts w:hint="eastAsia" w:ascii="宋体" w:hAnsi="宋体" w:eastAsia="宋体" w:cs="宋体"/>
                <w:color w:val="000000"/>
                <w:sz w:val="24"/>
                <w:szCs w:val="24"/>
                <w:highlight w:val="none"/>
                <w:lang w:val="zh-CN"/>
              </w:rPr>
            </w:r>
            <w:r/>
          </w:p>
          <w:p>
            <w:pPr>
              <w:pStyle w:val="114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3、项目负责人无在建工程（磋商响应文件中提供无在建工程承诺书并加盖供应商公章，格式自拟）；</w:t>
            </w:r>
            <w:r>
              <w:rPr>
                <w:rFonts w:hint="eastAsia" w:ascii="宋体" w:hAnsi="宋体" w:eastAsia="宋体" w:cs="宋体"/>
                <w:color w:val="000000"/>
                <w:sz w:val="24"/>
                <w:szCs w:val="24"/>
                <w:highlight w:val="none"/>
                <w:lang w:val="zh-CN"/>
              </w:rPr>
            </w:r>
            <w:r/>
          </w:p>
          <w:p>
            <w:pPr>
              <w:pStyle w:val="114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4、项目负责人具有有效的建设行政主管部门核发的安全生产考核合格证（B证）；</w:t>
            </w:r>
            <w:r>
              <w:rPr>
                <w:rFonts w:hint="eastAsia" w:ascii="宋体" w:hAnsi="宋体" w:eastAsia="宋体" w:cs="宋体"/>
                <w:color w:val="000000"/>
                <w:sz w:val="24"/>
                <w:szCs w:val="24"/>
                <w:highlight w:val="none"/>
                <w:lang w:val="zh-CN"/>
              </w:rPr>
            </w:r>
            <w:r/>
          </w:p>
          <w:p>
            <w:pPr>
              <w:pStyle w:val="1140"/>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项目负责人具有社保机构出具的供应商为项目负责人缴纳社会基本养老保险的近三个月任意一个月缴纳凭证。</w:t>
            </w:r>
            <w:r>
              <w:rPr>
                <w:rFonts w:hint="eastAsia" w:ascii="宋体" w:hAnsi="宋体" w:cs="宋体"/>
                <w:color w:val="000000"/>
                <w:sz w:val="24"/>
                <w:highlight w:val="none"/>
              </w:rPr>
            </w:r>
            <w:r/>
          </w:p>
        </w:tc>
        <w:tc>
          <w:tcPr>
            <w:tcW w:w="973" w:type="dxa"/>
            <w:vAlign w:val="center"/>
            <w:textDirection w:val="lrTb"/>
            <w:noWrap w:val="false"/>
          </w:tcPr>
          <w:p>
            <w:pPr>
              <w:pStyle w:val="1140"/>
              <w:tabs>
                <w:tab w:val="left" w:pos="108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按要求提供相关证书和承诺</w:t>
            </w:r>
            <w:r>
              <w:rPr>
                <w:rFonts w:ascii="宋体" w:hAnsi="宋体" w:eastAsia="宋体" w:cs="宋体"/>
                <w:color w:val="000000"/>
                <w:sz w:val="24"/>
                <w:highlight w:val="none"/>
                <w:lang w:val="en-US" w:eastAsia="zh-CN"/>
              </w:rPr>
            </w:r>
            <w:r/>
          </w:p>
        </w:tc>
      </w:tr>
    </w:tbl>
    <w:p>
      <w:pPr>
        <w:pStyle w:val="1140"/>
        <w:jc w:val="left"/>
        <w:widowControl/>
        <w:rPr>
          <w:color w:val="000000"/>
          <w:sz w:val="24"/>
        </w:rPr>
      </w:pPr>
      <w:r>
        <w:rPr>
          <w:rFonts w:hint="eastAsia" w:ascii="宋体" w:hAnsi="宋体" w:eastAsia="宋体" w:cs="宋体"/>
          <w:color w:val="000000"/>
          <w:sz w:val="24"/>
          <w:szCs w:val="24"/>
        </w:rPr>
        <w:br w:type="page" w:clear="all"/>
      </w:r>
      <w:r>
        <w:rPr>
          <w:color w:val="000000"/>
          <w:sz w:val="24"/>
        </w:rPr>
      </w:r>
      <w:r/>
    </w:p>
    <w:p>
      <w:pPr>
        <w:pStyle w:val="1140"/>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《符合性审查要求》见下表：</w:t>
      </w:r>
      <w:r>
        <w:rPr>
          <w:color w:val="000000"/>
          <w:sz w:val="24"/>
        </w:rPr>
      </w:r>
      <w:r/>
    </w:p>
    <w:p>
      <w:pPr>
        <w:pStyle w:val="1140"/>
        <w:jc w:val="center"/>
        <w:spacing w:line="360" w:lineRule="auto"/>
        <w:widowControl/>
        <w:rPr>
          <w:b/>
          <w:color w:val="000000"/>
          <w:sz w:val="24"/>
        </w:rPr>
      </w:pPr>
      <w:r>
        <w:rPr>
          <w:b/>
          <w:color w:val="000000"/>
          <w:sz w:val="24"/>
        </w:rPr>
        <w:t xml:space="preserve">符合性审查要求</w:t>
      </w:r>
      <w:r>
        <w:rPr>
          <w:b/>
          <w:color w:val="000000"/>
          <w:sz w:val="24"/>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63"/>
        <w:gridCol w:w="6475"/>
      </w:tblGrid>
      <w:tr>
        <w:trPr>
          <w:trHeight w:val="300"/>
        </w:trPr>
        <w:tc>
          <w:tcPr>
            <w:tcW w:w="750" w:type="dxa"/>
            <w:vAlign w:val="center"/>
            <w:textDirection w:val="lrTb"/>
            <w:noWrap w:val="false"/>
          </w:tcPr>
          <w:p>
            <w:pPr>
              <w:pStyle w:val="1140"/>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2063" w:type="dxa"/>
            <w:vAlign w:val="center"/>
            <w:textDirection w:val="lrTb"/>
            <w:noWrap w:val="false"/>
          </w:tcPr>
          <w:p>
            <w:pPr>
              <w:pStyle w:val="1140"/>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6475" w:type="dxa"/>
            <w:vAlign w:val="center"/>
            <w:textDirection w:val="lrTb"/>
            <w:noWrap w:val="false"/>
          </w:tcPr>
          <w:p>
            <w:pPr>
              <w:pStyle w:val="1140"/>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750" w:type="dxa"/>
            <w:vAlign w:val="center"/>
            <w:textDirection w:val="lrTb"/>
            <w:noWrap w:val="false"/>
          </w:tcPr>
          <w:p>
            <w:pPr>
              <w:pStyle w:val="1140"/>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2063"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r>
            <w:r/>
          </w:p>
        </w:tc>
        <w:tc>
          <w:tcPr>
            <w:tcW w:w="6475"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eastAsia="宋体" w:cs="宋体"/>
                <w:b/>
                <w:bCs/>
                <w:color w:val="000000"/>
                <w:sz w:val="24"/>
              </w:rPr>
              <w:t xml:space="preserve">；(格式见《投标（响应）文件格式》)</w:t>
            </w:r>
            <w:r>
              <w:rPr>
                <w:rFonts w:hint="eastAsia" w:ascii="宋体" w:hAnsi="宋体" w:cs="宋体"/>
                <w:color w:val="000000"/>
                <w:sz w:val="24"/>
              </w:rPr>
            </w:r>
            <w:r/>
          </w:p>
        </w:tc>
      </w:tr>
      <w:tr>
        <w:trPr>
          <w:trHeight w:val="685"/>
        </w:trPr>
        <w:tc>
          <w:tcPr>
            <w:tcW w:w="750" w:type="dxa"/>
            <w:vAlign w:val="center"/>
            <w:textDirection w:val="lrTb"/>
            <w:noWrap w:val="false"/>
          </w:tcPr>
          <w:p>
            <w:pPr>
              <w:pStyle w:val="1140"/>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2063"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6475"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未将一个采购包中的内容拆开响应；</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40"/>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2063"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6475"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40"/>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2063"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6475"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color w:val="000000"/>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57"/>
        </w:trPr>
        <w:tc>
          <w:tcPr>
            <w:tcW w:w="750" w:type="dxa"/>
            <w:vAlign w:val="center"/>
            <w:textDirection w:val="lrTb"/>
            <w:noWrap w:val="false"/>
          </w:tcPr>
          <w:p>
            <w:pPr>
              <w:pStyle w:val="1140"/>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2063"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6475" w:type="dxa"/>
            <w:vAlign w:val="center"/>
            <w:textDirection w:val="lrTb"/>
            <w:noWrap w:val="false"/>
          </w:tcPr>
          <w:p>
            <w:pPr>
              <w:pStyle w:val="1142"/>
              <w:jc w:val="left"/>
              <w:spacing w:before="0" w:line="360" w:lineRule="auto"/>
              <w:tabs>
                <w:tab w:val="center" w:pos="4592" w:leader="none"/>
                <w:tab w:val="left" w:pos="7860" w:leader="none"/>
              </w:tabs>
              <w:rPr>
                <w:rFonts w:hint="eastAsia" w:ascii="宋体" w:hAnsi="宋体" w:eastAsia="宋体" w:cs="宋体"/>
                <w:color w:val="000000"/>
                <w:sz w:val="24"/>
                <w:szCs w:val="24"/>
              </w:rPr>
            </w:pPr>
            <w:r>
              <w:rPr>
                <w:rFonts w:hint="eastAsia" w:ascii="宋体" w:hAnsi="宋体" w:eastAsia="宋体" w:cs="宋体"/>
                <w:b w:val="0"/>
                <w:color w:val="000000"/>
                <w:sz w:val="24"/>
                <w:szCs w:val="24"/>
              </w:rPr>
              <w:t xml:space="preserve">响应文件中承诺的响应有效期满足磋商文件中载明的响应有效期的</w:t>
            </w:r>
            <w:r>
              <w:rPr>
                <w:rFonts w:hint="eastAsia" w:ascii="宋体" w:hAnsi="宋体" w:eastAsia="宋体" w:cs="宋体"/>
                <w:b/>
                <w:bCs/>
                <w:color w:val="000000"/>
                <w:sz w:val="24"/>
                <w:szCs w:val="24"/>
                <w:lang w:val="en-US" w:eastAsia="zh-CN" w:bidi="ar-SA"/>
              </w:rPr>
              <w:t xml:space="preserve">；由评委审查，无需供应商提供材料。</w:t>
            </w:r>
            <w:r>
              <w:rPr>
                <w:rFonts w:hint="eastAsia" w:ascii="宋体" w:hAnsi="宋体" w:eastAsia="宋体" w:cs="宋体"/>
                <w:color w:val="000000"/>
                <w:sz w:val="24"/>
                <w:szCs w:val="24"/>
              </w:rPr>
            </w:r>
            <w:r/>
          </w:p>
        </w:tc>
      </w:tr>
      <w:tr>
        <w:trPr>
          <w:trHeight w:val="685"/>
        </w:trPr>
        <w:tc>
          <w:tcPr>
            <w:tcW w:w="750" w:type="dxa"/>
            <w:vAlign w:val="center"/>
            <w:textDirection w:val="lrTb"/>
            <w:noWrap w:val="false"/>
          </w:tcPr>
          <w:p>
            <w:pPr>
              <w:pStyle w:val="1140"/>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2063"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6475"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40"/>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2063"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6475"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标记为“实质性格式”的文件均按磋商文件要求提供；</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40"/>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2063"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★号条款响应（如有）</w:t>
            </w:r>
            <w:r>
              <w:rPr>
                <w:rFonts w:hint="eastAsia" w:ascii="宋体" w:hAnsi="宋体" w:cs="宋体"/>
                <w:color w:val="000000"/>
                <w:sz w:val="24"/>
              </w:rPr>
            </w:r>
            <w:r/>
          </w:p>
        </w:tc>
        <w:tc>
          <w:tcPr>
            <w:tcW w:w="6475"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color w:val="000000"/>
                <w:sz w:val="24"/>
              </w:rPr>
              <w:t xml:space="preserve">《采购需求》</w:t>
            </w:r>
            <w:r>
              <w:rPr>
                <w:rFonts w:hint="eastAsia" w:ascii="宋体" w:hAnsi="宋体" w:cs="宋体"/>
                <w:color w:val="000000"/>
                <w:sz w:val="24"/>
              </w:rPr>
              <w:t xml:space="preserve">中★号条款要求的；</w:t>
            </w:r>
            <w:r>
              <w:rPr>
                <w:rFonts w:hint="eastAsia" w:ascii="宋体" w:hAnsi="宋体" w:cs="宋体"/>
                <w:b/>
                <w:bCs/>
                <w:color w:val="000000"/>
                <w:sz w:val="24"/>
              </w:rPr>
              <w:t xml:space="preserve">逐项提供相关证明材料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40"/>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2063"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6475"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1140"/>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2063"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140"/>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475"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color w:val="000000"/>
                <w:sz w:val="24"/>
              </w:rPr>
              <w:t xml:space="preserve">（如有）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1140"/>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2063"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6475"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720"/>
        </w:trPr>
        <w:tc>
          <w:tcPr>
            <w:tcW w:w="750" w:type="dxa"/>
            <w:vAlign w:val="center"/>
            <w:textDirection w:val="lrTb"/>
            <w:noWrap w:val="false"/>
          </w:tcPr>
          <w:p>
            <w:pPr>
              <w:pStyle w:val="1140"/>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2063"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140"/>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475"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磋商文件不接受进口产品响应的内容时，供应商所投产品</w:t>
            </w:r>
            <w:r>
              <w:rPr>
                <w:rFonts w:hint="eastAsia" w:ascii="宋体" w:hAnsi="宋体" w:cs="宋体"/>
                <w:color w:val="000000"/>
                <w:sz w:val="24"/>
                <w:lang w:val="en-US" w:eastAsia="zh-CN"/>
              </w:rPr>
              <w:t xml:space="preserve">应为</w:t>
            </w:r>
            <w:r>
              <w:rPr>
                <w:rFonts w:hint="eastAsia" w:ascii="宋体" w:hAnsi="宋体" w:cs="宋体"/>
                <w:color w:val="000000"/>
                <w:sz w:val="24"/>
              </w:rPr>
              <w:t xml:space="preserve">非进口产品的；</w:t>
            </w:r>
            <w:r>
              <w:rPr>
                <w:rFonts w:hint="eastAsia" w:ascii="宋体" w:hAnsi="宋体" w:cs="宋体"/>
                <w:color w:val="000000"/>
                <w:sz w:val="24"/>
              </w:rPr>
            </w:r>
            <w:r/>
          </w:p>
        </w:tc>
      </w:tr>
      <w:tr>
        <w:trPr>
          <w:trHeight w:val="685"/>
        </w:trPr>
        <w:tc>
          <w:tcPr>
            <w:tcW w:w="750" w:type="dxa"/>
            <w:vAlign w:val="center"/>
            <w:textDirection w:val="lrTb"/>
            <w:noWrap w:val="false"/>
          </w:tcPr>
          <w:p>
            <w:pPr>
              <w:pStyle w:val="1140"/>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2063"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6475" w:type="dxa"/>
            <w:vAlign w:val="center"/>
            <w:textDirection w:val="lrTb"/>
            <w:noWrap w:val="false"/>
          </w:tcPr>
          <w:p>
            <w:pPr>
              <w:pStyle w:val="1140"/>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1140"/>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1140"/>
              <w:jc w:val="left"/>
              <w:widowControl/>
              <w:rPr>
                <w:rFonts w:hint="eastAsia" w:ascii="宋体" w:hAnsi="宋体" w:cs="宋体"/>
                <w:color w:val="000000"/>
                <w:sz w:val="24"/>
              </w:rPr>
            </w:pPr>
            <w:r>
              <w:rPr>
                <w:rFonts w:hint="eastAsia"/>
                <w:color w:val="000000"/>
                <w:sz w:val="24"/>
              </w:rPr>
              <w:t xml:space="preserve">2）</w:t>
            </w:r>
            <w:r>
              <w:rPr>
                <w:color w:val="000000"/>
                <w:sz w:val="24"/>
              </w:rPr>
              <w:t xml:space="preserve">国家</w:t>
            </w:r>
            <w:r>
              <w:rPr>
                <w:rFonts w:hint="eastAsia"/>
                <w:color w:val="000000"/>
                <w:sz w:val="24"/>
              </w:rPr>
              <w:t xml:space="preserve">如</w:t>
            </w:r>
            <w:r>
              <w:rPr>
                <w:color w:val="000000"/>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color w:val="000000"/>
                <w:sz w:val="24"/>
              </w:rPr>
              <w:t xml:space="preserve">。</w:t>
            </w:r>
            <w:r>
              <w:rPr>
                <w:rFonts w:hint="eastAsia" w:ascii="宋体" w:hAnsi="宋体" w:cs="宋体"/>
                <w:color w:val="000000"/>
                <w:sz w:val="24"/>
              </w:rPr>
            </w:r>
            <w:r/>
          </w:p>
        </w:tc>
      </w:tr>
      <w:tr>
        <w:trPr>
          <w:trHeight w:val="685"/>
        </w:trPr>
        <w:tc>
          <w:tcPr>
            <w:tcW w:w="750" w:type="dxa"/>
            <w:vAlign w:val="center"/>
            <w:textDirection w:val="lrTb"/>
            <w:noWrap w:val="false"/>
          </w:tcPr>
          <w:p>
            <w:pPr>
              <w:pStyle w:val="1140"/>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c>
          <w:tcPr>
            <w:tcW w:w="2063"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6475"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40"/>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eastAsia="宋体" w:cs="宋体"/>
                <w:color w:val="000000"/>
                <w:sz w:val="24"/>
                <w:lang w:eastAsia="zh-CN"/>
              </w:rPr>
            </w:r>
            <w:r/>
          </w:p>
        </w:tc>
        <w:tc>
          <w:tcPr>
            <w:tcW w:w="2063"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6475"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40"/>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c>
          <w:tcPr>
            <w:tcW w:w="2063"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6475"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40"/>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rPr>
                <w:rFonts w:hint="eastAsia" w:ascii="宋体" w:hAnsi="宋体" w:eastAsia="宋体" w:cs="宋体"/>
                <w:color w:val="000000"/>
                <w:sz w:val="24"/>
                <w:lang w:eastAsia="zh-CN"/>
              </w:rPr>
            </w:r>
            <w:r/>
          </w:p>
        </w:tc>
        <w:tc>
          <w:tcPr>
            <w:tcW w:w="2063"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6475" w:type="dxa"/>
            <w:vAlign w:val="center"/>
            <w:textDirection w:val="lrTb"/>
            <w:noWrap w:val="false"/>
          </w:tcPr>
          <w:p>
            <w:pPr>
              <w:pStyle w:val="1140"/>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40"/>
              <w:jc w:val="center"/>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18</w:t>
            </w:r>
            <w:r>
              <w:rPr>
                <w:rFonts w:ascii="宋体" w:hAnsi="宋体" w:eastAsia="宋体" w:cs="宋体"/>
                <w:color w:val="000000"/>
                <w:sz w:val="24"/>
                <w:lang w:val="en-US" w:eastAsia="zh-CN"/>
              </w:rPr>
            </w:r>
            <w:r/>
          </w:p>
        </w:tc>
        <w:tc>
          <w:tcPr>
            <w:tcW w:w="2063" w:type="dxa"/>
            <w:vAlign w:val="center"/>
            <w:textDirection w:val="lrTb"/>
            <w:noWrap w:val="false"/>
          </w:tcPr>
          <w:p>
            <w:pPr>
              <w:pStyle w:val="1140"/>
              <w:jc w:val="lef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报价合理性</w:t>
            </w:r>
            <w:r>
              <w:rPr>
                <w:rFonts w:ascii="宋体" w:hAnsi="宋体" w:eastAsia="宋体" w:cs="宋体"/>
                <w:color w:val="000000"/>
                <w:sz w:val="24"/>
                <w:lang w:val="en-US" w:eastAsia="zh-CN"/>
              </w:rPr>
            </w:r>
            <w:r/>
          </w:p>
        </w:tc>
        <w:tc>
          <w:tcPr>
            <w:tcW w:w="6475" w:type="dxa"/>
            <w:vAlign w:val="center"/>
            <w:textDirection w:val="lrTb"/>
            <w:noWrap w:val="false"/>
          </w:tcPr>
          <w:p>
            <w:pPr>
              <w:pStyle w:val="1140"/>
              <w:jc w:val="left"/>
              <w:widowControl/>
              <w:rPr>
                <w:rFonts w:hint="eastAsia" w:ascii="宋体" w:hAnsi="宋体" w:cs="宋体"/>
                <w:color w:val="000000"/>
                <w:sz w:val="24"/>
              </w:rPr>
            </w:pPr>
            <w:r>
              <w:rPr>
                <w:rFonts w:hint="eastAsia" w:ascii="Times New Roman" w:hAnsi="Times New Roman" w:eastAsia="宋体" w:cs="Times New Roman"/>
                <w:b/>
                <w:bCs/>
                <w:color w:val="000000"/>
                <w:sz w:val="24"/>
                <w:szCs w:val="24"/>
                <w:lang w:val="en-US" w:eastAsia="zh-CN" w:bidi="ar-SA"/>
              </w:rPr>
              <w:t xml:space="preserve">本项目执行财库〔2026〕2号《关于推动解决政府采购异常低价问题的通知，</w:t>
            </w:r>
            <w:r>
              <w:rPr>
                <w:rFonts w:hint="eastAsia" w:ascii="宋体" w:hAnsi="宋体"/>
                <w:b/>
                <w:bCs/>
                <w:color w:val="000000"/>
                <w:sz w:val="24"/>
              </w:rPr>
              <w:t xml:space="preserve">实施政府采购异常低价审查。</w:t>
            </w:r>
            <w:r>
              <w:rPr>
                <w:rFonts w:hint="eastAsia" w:ascii="宋体" w:hAnsi="宋体" w:cs="宋体"/>
                <w:color w:val="000000"/>
                <w:sz w:val="24"/>
              </w:rPr>
            </w:r>
            <w:r/>
          </w:p>
        </w:tc>
      </w:tr>
    </w:tbl>
    <w:p>
      <w:pPr>
        <w:pStyle w:val="1140"/>
        <w:numPr>
          <w:ilvl w:val="0"/>
          <w:numId w:val="11"/>
        </w:numPr>
        <w:spacing w:line="360" w:lineRule="auto"/>
        <w:tabs>
          <w:tab w:val="left" w:pos="360" w:leader="none"/>
          <w:tab w:val="left" w:pos="900" w:leader="none"/>
        </w:tabs>
        <w:rPr>
          <w:color w:val="000000"/>
          <w:sz w:val="24"/>
        </w:rPr>
        <w:outlineLvl w:val="1"/>
      </w:pPr>
      <w:r>
        <w:rPr>
          <w:color w:val="000000"/>
          <w:sz w:val="24"/>
        </w:rPr>
        <w:t xml:space="preserve">磋商、响应文件有关事项的澄清、说明或者更正和最终报价</w:t>
      </w:r>
      <w:r>
        <w:rPr>
          <w:color w:val="000000"/>
          <w:sz w:val="24"/>
        </w:rPr>
      </w:r>
      <w:r/>
    </w:p>
    <w:p>
      <w:pPr>
        <w:pStyle w:val="1140"/>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磋商小组所有成员应当集中与单一供应商分别进行磋商，并给予所有参加磋商的供应商平等的磋商机会。</w:t>
      </w:r>
      <w:r>
        <w:rPr>
          <w:color w:val="000000"/>
          <w:sz w:val="24"/>
        </w:rPr>
      </w:r>
      <w:r/>
    </w:p>
    <w:p>
      <w:pPr>
        <w:pStyle w:val="1140"/>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rPr>
      </w:r>
      <w:r/>
    </w:p>
    <w:p>
      <w:pPr>
        <w:pStyle w:val="1140"/>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对磋商文件作出的实质性变动是磋商文件的有效组成部分，磋商小组应当及时</w:t>
      </w:r>
      <w:r>
        <w:rPr>
          <w:rFonts w:hint="eastAsia"/>
          <w:color w:val="000000"/>
          <w:sz w:val="24"/>
        </w:rPr>
        <w:t xml:space="preserve">通过“苏采云”政府采购一体化平台系统</w:t>
      </w:r>
      <w:r>
        <w:rPr>
          <w:color w:val="000000"/>
          <w:sz w:val="24"/>
        </w:rPr>
        <w:t xml:space="preserve">以书面形式同时通知所有参加磋商的供应商。</w:t>
      </w:r>
      <w:r>
        <w:rPr>
          <w:color w:val="000000"/>
          <w:sz w:val="24"/>
        </w:rPr>
      </w:r>
      <w:r/>
    </w:p>
    <w:p>
      <w:pPr>
        <w:pStyle w:val="1140"/>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rPr>
      </w:r>
      <w:r/>
    </w:p>
    <w:p>
      <w:pPr>
        <w:pStyle w:val="1140"/>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响应文件的澄清、说明或者更正</w:t>
      </w:r>
      <w:r>
        <w:rPr>
          <w:rFonts w:hint="eastAsia"/>
          <w:color w:val="000000"/>
          <w:sz w:val="24"/>
        </w:rPr>
        <w:t xml:space="preserve">：</w:t>
      </w:r>
      <w:r>
        <w:rPr>
          <w:color w:val="000000"/>
          <w:sz w:val="24"/>
        </w:rPr>
      </w:r>
      <w:r/>
    </w:p>
    <w:p>
      <w:pPr>
        <w:pStyle w:val="1140"/>
        <w:ind w:left="1080"/>
        <w:spacing w:line="360" w:lineRule="auto"/>
        <w:tabs>
          <w:tab w:val="left" w:pos="1980" w:leader="none"/>
        </w:tabs>
        <w:rPr>
          <w:color w:val="000000"/>
          <w:sz w:val="24"/>
        </w:rPr>
      </w:pPr>
      <w:r>
        <w:rPr>
          <w:rFonts w:hint="eastAsia"/>
          <w:color w:val="000000"/>
          <w:sz w:val="24"/>
        </w:rPr>
        <w:t xml:space="preserve">评审</w:t>
      </w:r>
      <w:r>
        <w:rPr>
          <w:color w:val="000000"/>
          <w:sz w:val="24"/>
        </w:rPr>
        <w:t xml:space="preserve">过程中，</w:t>
      </w:r>
      <w:r>
        <w:rPr>
          <w:rFonts w:hint="eastAsia"/>
          <w:color w:val="000000"/>
          <w:sz w:val="24"/>
        </w:rPr>
        <w:t xml:space="preserve">磋商小组</w:t>
      </w:r>
      <w:r>
        <w:rPr>
          <w:color w:val="000000"/>
          <w:sz w:val="24"/>
        </w:rPr>
        <w:t xml:space="preserve">会将</w:t>
      </w:r>
      <w:r>
        <w:rPr>
          <w:rFonts w:hint="eastAsia"/>
          <w:color w:val="000000"/>
          <w:sz w:val="24"/>
        </w:rPr>
        <w:t xml:space="preserve">通过“苏采云”政府采购一体化平台系统</w:t>
      </w:r>
      <w:r>
        <w:rPr>
          <w:color w:val="000000"/>
          <w:sz w:val="24"/>
        </w:rPr>
        <w:t xml:space="preserve">以书面形式要求</w:t>
      </w:r>
      <w:r>
        <w:rPr>
          <w:rFonts w:hint="eastAsia"/>
          <w:color w:val="000000"/>
          <w:sz w:val="24"/>
        </w:rPr>
        <w:t xml:space="preserve">供应商</w:t>
      </w:r>
      <w:r>
        <w:rPr>
          <w:color w:val="000000"/>
          <w:sz w:val="24"/>
        </w:rPr>
        <w:t xml:space="preserve">对其</w:t>
      </w:r>
      <w:r>
        <w:rPr>
          <w:rFonts w:hint="eastAsia"/>
          <w:color w:val="000000"/>
          <w:sz w:val="24"/>
        </w:rPr>
        <w:t xml:space="preserve">响应</w:t>
      </w:r>
      <w:r>
        <w:rPr>
          <w:color w:val="000000"/>
          <w:sz w:val="24"/>
        </w:rPr>
        <w:t xml:space="preserve">文件中含义不明确、同类问题表述不一致或者有明显文字和计算错误的内容，作出必要的澄清、说明或者补正。</w:t>
      </w:r>
      <w:r>
        <w:rPr>
          <w:rFonts w:hint="eastAsia"/>
          <w:color w:val="000000"/>
          <w:sz w:val="24"/>
        </w:rPr>
        <w:t xml:space="preserve">供应商</w:t>
      </w:r>
      <w:r>
        <w:rPr>
          <w:color w:val="000000"/>
          <w:sz w:val="24"/>
        </w:rPr>
        <w:t xml:space="preserve">的澄清、说明或者补正应当采用书面形式，并加盖</w:t>
      </w:r>
      <w:r>
        <w:rPr>
          <w:rFonts w:hint="eastAsia"/>
          <w:color w:val="000000"/>
          <w:sz w:val="24"/>
        </w:rPr>
        <w:t xml:space="preserve">电子</w:t>
      </w:r>
      <w:r>
        <w:rPr>
          <w:color w:val="000000"/>
          <w:sz w:val="24"/>
        </w:rPr>
        <w:t xml:space="preserve">公章。</w:t>
      </w:r>
      <w:r>
        <w:rPr>
          <w:rFonts w:hint="eastAsia"/>
          <w:color w:val="000000"/>
          <w:sz w:val="24"/>
        </w:rPr>
        <w:t xml:space="preserve">供应商</w:t>
      </w:r>
      <w:r>
        <w:rPr>
          <w:color w:val="000000"/>
          <w:sz w:val="24"/>
        </w:rPr>
        <w:t xml:space="preserve">的澄清、说明或者补正不得超出</w:t>
      </w:r>
      <w:r>
        <w:rPr>
          <w:rFonts w:hint="eastAsia"/>
          <w:color w:val="000000"/>
          <w:sz w:val="24"/>
        </w:rPr>
        <w:t xml:space="preserve">响应</w:t>
      </w:r>
      <w:r>
        <w:rPr>
          <w:color w:val="000000"/>
          <w:sz w:val="24"/>
        </w:rPr>
        <w:t xml:space="preserve">文件的范围或者改变</w:t>
      </w:r>
      <w:r>
        <w:rPr>
          <w:rFonts w:hint="eastAsia"/>
          <w:color w:val="000000"/>
          <w:sz w:val="24"/>
        </w:rPr>
        <w:t xml:space="preserve">响应</w:t>
      </w:r>
      <w:r>
        <w:rPr>
          <w:color w:val="000000"/>
          <w:sz w:val="24"/>
        </w:rPr>
        <w:t xml:space="preserve">文件的实质性内容。澄清文件将作为</w:t>
      </w:r>
      <w:r>
        <w:rPr>
          <w:rFonts w:hint="eastAsia"/>
          <w:color w:val="000000"/>
          <w:sz w:val="24"/>
        </w:rPr>
        <w:t xml:space="preserve">响应</w:t>
      </w:r>
      <w:r>
        <w:rPr>
          <w:color w:val="000000"/>
          <w:sz w:val="24"/>
        </w:rPr>
        <w:t xml:space="preserve">文件内容的一部分。</w:t>
      </w:r>
      <w:r>
        <w:rPr>
          <w:color w:val="000000"/>
          <w:sz w:val="24"/>
        </w:rPr>
      </w:r>
      <w:r/>
    </w:p>
    <w:p>
      <w:pPr>
        <w:pStyle w:val="1140"/>
        <w:numPr>
          <w:ilvl w:val="1"/>
          <w:numId w:val="11"/>
        </w:numPr>
        <w:ind w:left="1350" w:hanging="720"/>
        <w:spacing w:line="360" w:lineRule="auto"/>
        <w:tabs>
          <w:tab w:val="left" w:pos="1080" w:leader="none"/>
          <w:tab w:val="left" w:pos="1589" w:leader="none"/>
          <w:tab w:val="left" w:pos="1872" w:leader="none"/>
        </w:tabs>
        <w:rPr>
          <w:rFonts w:hint="eastAsia" w:ascii="宋体" w:hAnsi="宋体" w:cs="宋体"/>
          <w:b/>
          <w:color w:val="000000"/>
          <w:sz w:val="24"/>
        </w:rPr>
      </w:pPr>
      <w:r>
        <w:rPr>
          <w:rFonts w:hint="eastAsia" w:ascii="宋体" w:hAnsi="宋体" w:cs="宋体"/>
          <w:b/>
          <w:color w:val="000000"/>
          <w:sz w:val="24"/>
        </w:rPr>
        <w:t xml:space="preserve">磋商结束后，磋商小组将要求所有实质性响应的供应商在规定时间内通过“苏采云”政府采购一体化平台系统提交最终报价，未按照磋商小组规定的时间、逾期提交报价的，其响应无效</w:t>
      </w:r>
      <w:r>
        <w:rPr>
          <w:rFonts w:hint="eastAsia" w:ascii="宋体" w:hAnsi="宋体" w:cs="宋体"/>
          <w:color w:val="000000"/>
          <w:sz w:val="24"/>
        </w:rPr>
        <w:t xml:space="preserve">。</w:t>
      </w:r>
      <w:r>
        <w:rPr>
          <w:rFonts w:hint="eastAsia" w:ascii="宋体" w:hAnsi="宋体" w:cs="宋体"/>
          <w:b/>
          <w:color w:val="000000"/>
          <w:sz w:val="24"/>
        </w:rPr>
      </w:r>
      <w:r/>
    </w:p>
    <w:p>
      <w:pPr>
        <w:pStyle w:val="1140"/>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rPr>
      </w:r>
      <w:r/>
    </w:p>
    <w:p>
      <w:pPr>
        <w:pStyle w:val="1140"/>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最终报价是供应商响应文件的有效组成部分。</w:t>
      </w:r>
      <w:r>
        <w:rPr>
          <w:color w:val="000000"/>
          <w:sz w:val="24"/>
        </w:rPr>
      </w:r>
      <w:r/>
    </w:p>
    <w:p>
      <w:pPr>
        <w:pStyle w:val="1140"/>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已提交响应文件的供应商，在提交最终报价之前，可以根据磋商情况退出磋商。</w:t>
      </w:r>
      <w:r>
        <w:rPr>
          <w:color w:val="000000"/>
          <w:sz w:val="24"/>
        </w:rPr>
      </w:r>
      <w:r/>
    </w:p>
    <w:p>
      <w:pPr>
        <w:pStyle w:val="1140"/>
        <w:numPr>
          <w:ilvl w:val="0"/>
          <w:numId w:val="11"/>
        </w:numPr>
        <w:spacing w:line="360" w:lineRule="auto"/>
        <w:tabs>
          <w:tab w:val="left" w:pos="360" w:leader="none"/>
          <w:tab w:val="left" w:pos="900" w:leader="none"/>
        </w:tabs>
        <w:rPr>
          <w:color w:val="000000"/>
          <w:sz w:val="24"/>
        </w:rPr>
        <w:outlineLvl w:val="1"/>
      </w:pPr>
      <w:r>
        <w:rPr>
          <w:color w:val="000000"/>
          <w:sz w:val="24"/>
        </w:rPr>
        <w:t xml:space="preserve">最终报价的算术修正及政策调整</w:t>
      </w:r>
      <w:r>
        <w:rPr>
          <w:color w:val="000000"/>
          <w:sz w:val="24"/>
        </w:rPr>
      </w:r>
      <w:r/>
    </w:p>
    <w:p>
      <w:pPr>
        <w:pStyle w:val="1140"/>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最终报价须包含竞争性磋商文件全部内容，如</w:t>
      </w:r>
      <w:r>
        <w:rPr>
          <w:rFonts w:hint="eastAsia"/>
          <w:color w:val="000000"/>
          <w:sz w:val="24"/>
        </w:rPr>
        <w:t xml:space="preserve">最后</w:t>
      </w:r>
      <w:r>
        <w:rPr>
          <w:color w:val="000000"/>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rPr>
          <w:color w:val="000000"/>
          <w:sz w:val="24"/>
        </w:rPr>
      </w:r>
      <w:r/>
    </w:p>
    <w:p>
      <w:pPr>
        <w:pStyle w:val="1140"/>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最终报价出现前后不一致的，按照下列规定修正：</w:t>
      </w:r>
      <w:r>
        <w:rPr>
          <w:color w:val="000000"/>
          <w:sz w:val="24"/>
        </w:rPr>
      </w:r>
      <w:r/>
    </w:p>
    <w:p>
      <w:pPr>
        <w:pStyle w:val="1140"/>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竞争性磋商文件对于报价修正是否另有规定：</w:t>
      </w:r>
      <w:r>
        <w:rPr>
          <w:color w:val="000000"/>
          <w:sz w:val="24"/>
        </w:rPr>
      </w:r>
      <w:r/>
    </w:p>
    <w:p>
      <w:pPr>
        <w:pStyle w:val="1140"/>
        <w:ind w:left="2035"/>
        <w:spacing w:line="360" w:lineRule="auto"/>
        <w:tabs>
          <w:tab w:val="left" w:pos="1080" w:leader="none"/>
          <w:tab w:val="left" w:pos="1589" w:leader="none"/>
          <w:tab w:val="left" w:pos="2035" w:leader="none"/>
          <w:tab w:val="left" w:pos="2114" w:leader="none"/>
        </w:tabs>
        <w:rPr>
          <w:color w:val="000000"/>
          <w:sz w:val="24"/>
          <w:u w:val="single"/>
        </w:rPr>
      </w:pPr>
      <w:r>
        <w:rPr>
          <w:color w:val="000000"/>
          <w:sz w:val="24"/>
        </w:rPr>
        <w:t xml:space="preserve">□有，具体规定为：___________</w:t>
      </w:r>
      <w:r>
        <w:rPr>
          <w:color w:val="000000"/>
          <w:sz w:val="24"/>
          <w:u w:val="single"/>
        </w:rPr>
      </w:r>
      <w:r/>
    </w:p>
    <w:p>
      <w:pPr>
        <w:pStyle w:val="1140"/>
        <w:ind w:left="2035"/>
        <w:spacing w:line="360" w:lineRule="auto"/>
        <w:tabs>
          <w:tab w:val="left" w:pos="1080" w:leader="none"/>
          <w:tab w:val="left" w:pos="1589" w:leader="none"/>
          <w:tab w:val="left" w:pos="2035" w:leader="none"/>
          <w:tab w:val="left" w:pos="2114" w:leader="none"/>
        </w:tabs>
        <w:rPr>
          <w:color w:val="000000"/>
          <w:sz w:val="24"/>
        </w:rPr>
      </w:pPr>
      <w:r>
        <w:rPr>
          <w:rFonts w:ascii="Wingdings 2" w:hAnsi="Wingdings 2" w:eastAsia="Wingdings 2" w:cs="Wingdings 2"/>
          <w:color w:val="000000"/>
          <w:sz w:val="24"/>
        </w:rPr>
        <w:t xml:space="preserve">R</w:t>
      </w:r>
      <w:r>
        <w:rPr>
          <w:color w:val="000000"/>
          <w:sz w:val="24"/>
        </w:rPr>
        <w:t xml:space="preserve">无，按下述3.2.2-3.2.5项规定修正。</w:t>
      </w:r>
      <w:r>
        <w:rPr>
          <w:color w:val="000000"/>
          <w:sz w:val="24"/>
        </w:rPr>
      </w:r>
      <w:r/>
    </w:p>
    <w:p>
      <w:pPr>
        <w:pStyle w:val="1140"/>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140"/>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1140"/>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140"/>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同时出现两种以上不一致的，按照前款规定的顺序修正。修正后的报价经供应商书面确认后产生约束力，供应商不确认的，</w:t>
      </w:r>
      <w:r>
        <w:rPr>
          <w:b/>
          <w:color w:val="000000"/>
          <w:sz w:val="24"/>
        </w:rPr>
        <w:t xml:space="preserve">其响应无效</w:t>
      </w:r>
      <w:r>
        <w:rPr>
          <w:color w:val="000000"/>
          <w:sz w:val="24"/>
        </w:rPr>
        <w:t xml:space="preserve">。</w:t>
      </w:r>
      <w:r>
        <w:rPr>
          <w:color w:val="000000"/>
          <w:sz w:val="24"/>
        </w:rPr>
      </w:r>
      <w:r/>
    </w:p>
    <w:p>
      <w:pPr>
        <w:pStyle w:val="1140"/>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落实政府采购政策的价格调整：只有符合第二章《供应商须知》4.2条规定情形的，可以享受中小企业扶持政策，用扣除后的价格参加评审；否则，评审时价格不予扣除。</w:t>
      </w:r>
      <w:r>
        <w:rPr>
          <w:color w:val="000000"/>
          <w:sz w:val="24"/>
        </w:rPr>
      </w:r>
      <w:r/>
    </w:p>
    <w:p>
      <w:pPr>
        <w:pStyle w:val="1140"/>
        <w:numPr>
          <w:ilvl w:val="2"/>
          <w:numId w:val="11"/>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对于未预留份额专门面向中小企业采购的采购项目，以及预留份额项目中的非预留部分采购包，对</w:t>
      </w:r>
      <w:r>
        <w:rPr>
          <w:b/>
          <w:color w:val="000000"/>
          <w:sz w:val="24"/>
        </w:rPr>
        <w:t xml:space="preserve">小微企业</w:t>
      </w:r>
      <w:r>
        <w:rPr>
          <w:color w:val="000000"/>
          <w:sz w:val="24"/>
        </w:rPr>
        <w:t xml:space="preserve">报价给予</w:t>
      </w:r>
      <w:r>
        <w:rPr>
          <w:rFonts w:hint="eastAsia"/>
          <w:color w:val="000000"/>
          <w:sz w:val="24"/>
        </w:rPr>
        <w:t xml:space="preserve">20</w:t>
      </w:r>
      <w:r>
        <w:rPr>
          <w:color w:val="000000"/>
          <w:sz w:val="24"/>
        </w:rPr>
        <w:t xml:space="preserve">%的扣除，用扣除后的价格参加评审。</w:t>
      </w:r>
      <w:r>
        <w:rPr>
          <w:color w:val="000000"/>
          <w:sz w:val="24"/>
        </w:rPr>
      </w:r>
      <w:r/>
    </w:p>
    <w:p>
      <w:pPr>
        <w:pStyle w:val="1140"/>
        <w:numPr>
          <w:ilvl w:val="2"/>
          <w:numId w:val="11"/>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对于未预留份额专门面向中小企业采购的采购项目，以及预留份额项目中的非预留部分采购包，且接受大中型企业与</w:t>
      </w:r>
      <w:r>
        <w:rPr>
          <w:b/>
          <w:color w:val="000000"/>
          <w:sz w:val="24"/>
        </w:rPr>
        <w:t xml:space="preserve">小微企业</w:t>
      </w:r>
      <w:r>
        <w:rPr>
          <w:color w:val="000000"/>
          <w:sz w:val="24"/>
        </w:rPr>
        <w:t xml:space="preserve">组成联合体或者允许大中型企业向一家或者多家</w:t>
      </w:r>
      <w:r>
        <w:rPr>
          <w:b/>
          <w:color w:val="000000"/>
          <w:sz w:val="24"/>
        </w:rPr>
        <w:t xml:space="preserve">小微企业</w:t>
      </w:r>
      <w:r>
        <w:rPr>
          <w:color w:val="000000"/>
          <w:sz w:val="24"/>
        </w:rPr>
        <w:t xml:space="preserve">分包的采购项目，对于联合协议或者分包意向协议约定</w:t>
      </w:r>
      <w:r>
        <w:rPr>
          <w:b/>
          <w:color w:val="000000"/>
          <w:sz w:val="24"/>
        </w:rPr>
        <w:t xml:space="preserve">小微企业</w:t>
      </w:r>
      <w:r>
        <w:rPr>
          <w:color w:val="000000"/>
          <w:sz w:val="24"/>
        </w:rPr>
        <w:t xml:space="preserve">的合同份额占到合同总金额 30%以上的联合体或者大中型企业的报价给予</w:t>
      </w:r>
      <w:r>
        <w:rPr>
          <w:rFonts w:hint="eastAsia"/>
          <w:color w:val="000000"/>
          <w:sz w:val="24"/>
        </w:rPr>
        <w:t xml:space="preserve">6</w:t>
      </w:r>
      <w:r>
        <w:rPr>
          <w:color w:val="000000"/>
          <w:sz w:val="24"/>
        </w:rPr>
        <w:t xml:space="preserve">%的扣除，用扣除后的价格参加评审。</w:t>
      </w:r>
      <w:r>
        <w:rPr>
          <w:color w:val="000000"/>
          <w:sz w:val="24"/>
        </w:rPr>
      </w:r>
      <w:r/>
    </w:p>
    <w:p>
      <w:pPr>
        <w:pStyle w:val="1140"/>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组成联合体或者接受分包的小微企业与联合体内其他企业、分包企业之间存在直接控股、管理关系的，不享受价格扣除优惠政策。</w:t>
      </w:r>
      <w:r>
        <w:rPr>
          <w:color w:val="000000"/>
          <w:sz w:val="24"/>
        </w:rPr>
      </w:r>
      <w:r/>
    </w:p>
    <w:p>
      <w:pPr>
        <w:pStyle w:val="1140"/>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价格扣除比例对小型企业和微型企业同等对待，不作区分。</w:t>
      </w:r>
      <w:r>
        <w:rPr>
          <w:color w:val="000000"/>
          <w:sz w:val="24"/>
        </w:rPr>
      </w:r>
      <w:r/>
    </w:p>
    <w:p>
      <w:pPr>
        <w:pStyle w:val="1140"/>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中小企业参加政府采购活动，应当按照竞争性磋商文件给定的格式出具《中小企业声明函》，否则不得享受相关中小企业扶持政策。</w:t>
      </w:r>
      <w:r>
        <w:rPr>
          <w:color w:val="000000"/>
          <w:sz w:val="24"/>
        </w:rPr>
      </w:r>
      <w:r/>
    </w:p>
    <w:p>
      <w:pPr>
        <w:pStyle w:val="1140"/>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监狱企业提供了由省级以上监狱管理局（常州市含教育矫治局）、戒毒管理局（含新疆生产建设兵团）出具的属于监狱企业的证明文件的，视同小微企业。</w:t>
      </w:r>
      <w:r>
        <w:rPr>
          <w:color w:val="000000"/>
          <w:sz w:val="24"/>
        </w:rPr>
      </w:r>
      <w:r/>
    </w:p>
    <w:p>
      <w:pPr>
        <w:pStyle w:val="1140"/>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残疾人福利性单位按竞争性磋商文件要求提供了《残疾人福利性单位声明函》（见附件）的，视同小微企业。</w:t>
      </w:r>
      <w:r>
        <w:rPr>
          <w:color w:val="000000"/>
          <w:sz w:val="24"/>
        </w:rPr>
      </w:r>
      <w:r/>
    </w:p>
    <w:p>
      <w:pPr>
        <w:pStyle w:val="1140"/>
        <w:numPr>
          <w:ilvl w:val="2"/>
          <w:numId w:val="11"/>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若供应商同时属于小型或微型企业、监狱企业、残疾人福利性单位中的两种及以上，将不重复享受小微企业价格扣减的优惠政策。</w:t>
      </w:r>
      <w:r>
        <w:rPr>
          <w:color w:val="000000"/>
          <w:sz w:val="24"/>
        </w:rPr>
      </w:r>
      <w:r/>
    </w:p>
    <w:p>
      <w:pPr>
        <w:pStyle w:val="1140"/>
        <w:numPr>
          <w:ilvl w:val="2"/>
          <w:numId w:val="11"/>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其他为落实政府采购政策实施的优先采购：______。</w:t>
      </w:r>
      <w:r>
        <w:rPr>
          <w:color w:val="000000"/>
          <w:sz w:val="24"/>
        </w:rPr>
      </w:r>
      <w:r/>
    </w:p>
    <w:p>
      <w:pPr>
        <w:pStyle w:val="1140"/>
        <w:numPr>
          <w:ilvl w:val="2"/>
          <w:numId w:val="0"/>
        </w:numPr>
        <w:ind w:left="2035" w:hanging="900"/>
        <w:spacing w:line="360" w:lineRule="auto"/>
        <w:tabs>
          <w:tab w:val="left" w:pos="1080" w:leader="none"/>
          <w:tab w:val="left" w:pos="1589" w:leader="none"/>
          <w:tab w:val="left" w:pos="2035" w:leader="none"/>
        </w:tabs>
        <w:rPr>
          <w:rFonts w:hint="eastAsia" w:eastAsia="宋体"/>
          <w:color w:val="000000"/>
          <w:sz w:val="24"/>
          <w:highlight w:val="none"/>
          <w:lang w:eastAsia="zh-CN"/>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 采购本国产品的支持政策</w:t>
      </w:r>
      <w:r>
        <w:rPr>
          <w:rFonts w:hint="eastAsia"/>
          <w:color w:val="000000"/>
          <w:sz w:val="24"/>
          <w:highlight w:val="none"/>
          <w:lang w:eastAsia="zh-CN"/>
        </w:rPr>
        <w:t xml:space="preserve">（</w:t>
      </w:r>
      <w:r>
        <w:rPr>
          <w:rFonts w:hint="eastAsia"/>
          <w:color w:val="000000"/>
          <w:sz w:val="24"/>
          <w:highlight w:val="none"/>
          <w:lang w:val="en-US" w:eastAsia="zh-CN"/>
        </w:rPr>
        <w:t xml:space="preserve">本项目不涉及</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1140"/>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rPr>
          <w:color w:val="000000"/>
          <w:sz w:val="24"/>
          <w:highlight w:val="none"/>
        </w:rPr>
      </w:r>
      <w:r/>
    </w:p>
    <w:p>
      <w:pPr>
        <w:pStyle w:val="1140"/>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.2 当采购项目或者采购包中含有多种产品，</w:t>
      </w:r>
      <w:r>
        <w:rPr>
          <w:rFonts w:hint="eastAsia"/>
          <w:color w:val="000000"/>
          <w:sz w:val="24"/>
          <w:highlight w:val="none"/>
          <w:lang w:val="en-US" w:eastAsia="zh-CN"/>
        </w:rPr>
        <w:t xml:space="preserve">供应商</w:t>
      </w:r>
      <w:r>
        <w:rPr>
          <w:rFonts w:hint="eastAsia"/>
          <w:color w:val="000000"/>
          <w:sz w:val="24"/>
          <w:highlight w:val="none"/>
        </w:rPr>
        <w:t xml:space="preserve">为该采购项目或者采购包提供的符合本国产品标准的产品成本之和占该供应商提供的全部产品成本之和的比例达到80%以上时（</w:t>
      </w:r>
      <w:r>
        <w:rPr>
          <w:rFonts w:hint="eastAsia"/>
          <w:b/>
          <w:bCs/>
          <w:color w:val="000000"/>
          <w:sz w:val="24"/>
          <w:highlight w:val="none"/>
          <w:lang w:val="en-US" w:eastAsia="zh-CN"/>
        </w:rPr>
        <w:t xml:space="preserve">供应商</w:t>
      </w:r>
      <w:r>
        <w:rPr>
          <w:rFonts w:hint="eastAsia"/>
          <w:b/>
          <w:bCs/>
          <w:color w:val="000000"/>
          <w:sz w:val="24"/>
          <w:highlight w:val="none"/>
        </w:rPr>
        <w:t xml:space="preserve">需在“</w:t>
      </w:r>
      <w:r>
        <w:rPr>
          <w:rFonts w:hint="eastAsia"/>
          <w:b/>
          <w:bCs/>
          <w:color w:val="000000"/>
          <w:sz w:val="24"/>
          <w:highlight w:val="none"/>
          <w:lang w:val="en-US" w:eastAsia="zh-CN"/>
        </w:rPr>
        <w:t xml:space="preserve">响应</w:t>
      </w:r>
      <w:r>
        <w:rPr>
          <w:rFonts w:hint="eastAsia"/>
          <w:b/>
          <w:bCs/>
          <w:color w:val="000000"/>
          <w:sz w:val="24"/>
          <w:highlight w:val="none"/>
        </w:rPr>
        <w:t xml:space="preserve">文件格式”的“投标分项报价表”中填写比例数值）</w:t>
      </w:r>
      <w:r>
        <w:rPr>
          <w:rFonts w:hint="eastAsia"/>
          <w:color w:val="000000"/>
          <w:sz w:val="24"/>
          <w:highlight w:val="none"/>
        </w:rPr>
        <w:t xml:space="preserve">，依法对该</w:t>
      </w:r>
      <w:r>
        <w:rPr>
          <w:rFonts w:hint="eastAsia"/>
          <w:color w:val="000000"/>
          <w:sz w:val="24"/>
          <w:highlight w:val="none"/>
          <w:lang w:val="en-US" w:eastAsia="zh-CN"/>
        </w:rPr>
        <w:t xml:space="preserve">供应商</w:t>
      </w:r>
      <w:r>
        <w:rPr>
          <w:rFonts w:hint="eastAsia"/>
          <w:color w:val="000000"/>
          <w:sz w:val="24"/>
          <w:highlight w:val="none"/>
        </w:rPr>
        <w:t xml:space="preserve">提供的全部产品给予价格评审优惠，即对该</w:t>
      </w:r>
      <w:r>
        <w:rPr>
          <w:rFonts w:hint="eastAsia"/>
          <w:color w:val="000000"/>
          <w:sz w:val="24"/>
          <w:highlight w:val="none"/>
          <w:lang w:val="en-US" w:eastAsia="zh-CN"/>
        </w:rPr>
        <w:t xml:space="preserve">供应商</w:t>
      </w:r>
      <w:r>
        <w:rPr>
          <w:rFonts w:hint="eastAsia"/>
          <w:color w:val="000000"/>
          <w:sz w:val="24"/>
          <w:highlight w:val="none"/>
        </w:rPr>
        <w:t xml:space="preserve">提供的全部产品的总报价给予20%的价格扣除，用扣除后的价格参与评审。</w:t>
      </w:r>
      <w:r>
        <w:rPr>
          <w:rFonts w:hint="eastAsia"/>
          <w:b/>
          <w:bCs/>
          <w:color w:val="000000"/>
          <w:sz w:val="24"/>
          <w:highlight w:val="none"/>
          <w:lang w:val="en-US" w:eastAsia="zh-CN"/>
        </w:rPr>
        <w:t xml:space="preserve">供应商</w:t>
      </w:r>
      <w:r>
        <w:rPr>
          <w:rFonts w:hint="eastAsia"/>
          <w:b/>
          <w:bCs/>
          <w:color w:val="000000"/>
          <w:sz w:val="24"/>
          <w:highlight w:val="none"/>
        </w:rPr>
        <w:t xml:space="preserve">未填写比例数值，或比例数值未达到80%的，将不享受本国产品价格评审优惠。</w:t>
      </w:r>
      <w:r>
        <w:rPr>
          <w:color w:val="000000"/>
          <w:sz w:val="24"/>
          <w:highlight w:val="none"/>
        </w:rPr>
      </w:r>
      <w:r/>
    </w:p>
    <w:p>
      <w:pPr>
        <w:pStyle w:val="1140"/>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.3 </w:t>
      </w:r>
      <w:r>
        <w:rPr>
          <w:rFonts w:hint="eastAsia"/>
          <w:color w:val="000000"/>
          <w:sz w:val="24"/>
          <w:highlight w:val="none"/>
          <w:lang w:val="en-US" w:eastAsia="zh-CN"/>
        </w:rPr>
        <w:t xml:space="preserve">供应商</w:t>
      </w:r>
      <w:r>
        <w:rPr>
          <w:rFonts w:hint="eastAsia"/>
          <w:color w:val="000000"/>
          <w:sz w:val="24"/>
          <w:highlight w:val="none"/>
        </w:rPr>
        <w:t xml:space="preserve">需按照</w:t>
      </w:r>
      <w:r>
        <w:rPr>
          <w:rFonts w:hint="eastAsia"/>
          <w:color w:val="000000"/>
          <w:sz w:val="24"/>
          <w:highlight w:val="none"/>
          <w:lang w:val="en-US" w:eastAsia="zh-CN"/>
        </w:rPr>
        <w:t xml:space="preserve">采购</w:t>
      </w:r>
      <w:r>
        <w:rPr>
          <w:rFonts w:hint="eastAsia"/>
          <w:color w:val="000000"/>
          <w:sz w:val="24"/>
          <w:highlight w:val="none"/>
        </w:rPr>
        <w:t xml:space="preserve">文件的要求提供《关于符合本国产品标准的声明函》（以下简称《声明函》），如不提供将不享受本国产品价格评审优惠。</w:t>
      </w:r>
      <w:r>
        <w:rPr>
          <w:color w:val="000000"/>
          <w:sz w:val="24"/>
          <w:highlight w:val="none"/>
        </w:rPr>
      </w:r>
      <w:r/>
    </w:p>
    <w:p>
      <w:pPr>
        <w:pStyle w:val="1140"/>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.4 </w:t>
      </w:r>
      <w:r>
        <w:rPr>
          <w:rFonts w:hint="eastAsia"/>
          <w:color w:val="000000"/>
          <w:sz w:val="24"/>
          <w:highlight w:val="none"/>
          <w:lang w:val="en-US" w:eastAsia="zh-CN"/>
        </w:rPr>
        <w:t xml:space="preserve">供应商</w:t>
      </w:r>
      <w:r>
        <w:rPr>
          <w:rFonts w:hint="eastAsia"/>
          <w:color w:val="000000"/>
          <w:sz w:val="24"/>
          <w:highlight w:val="none"/>
        </w:rPr>
        <w:t xml:space="preserve">需在《声明函》中逐一、</w:t>
      </w:r>
      <w:r>
        <w:rPr>
          <w:color w:val="000000"/>
          <w:sz w:val="24"/>
          <w:highlight w:val="none"/>
        </w:rPr>
        <w:t xml:space="preserve">准确</w:t>
      </w:r>
      <w:r>
        <w:rPr>
          <w:rFonts w:hint="eastAsia"/>
          <w:color w:val="000000"/>
          <w:sz w:val="24"/>
          <w:highlight w:val="none"/>
        </w:rPr>
        <w:t xml:space="preserve">填写产品名称、厂名、生产厂址三项信息（《声明函》中用删除线划除的地方无需填写），三</w:t>
      </w:r>
      <w:r>
        <w:rPr>
          <w:color w:val="000000"/>
          <w:sz w:val="24"/>
          <w:highlight w:val="none"/>
        </w:rPr>
        <w:t xml:space="preserve">项信息中</w:t>
      </w:r>
      <w:r>
        <w:rPr>
          <w:rFonts w:hint="eastAsia"/>
          <w:color w:val="000000"/>
          <w:sz w:val="24"/>
          <w:highlight w:val="none"/>
        </w:rPr>
        <w:t xml:space="preserve">任意一项未填写的视为该项产品不符合本国产品标准，不享受本国产品价格评审优惠。</w:t>
      </w:r>
      <w:r>
        <w:rPr>
          <w:color w:val="000000"/>
          <w:sz w:val="24"/>
          <w:highlight w:val="none"/>
        </w:rPr>
      </w:r>
      <w:r/>
    </w:p>
    <w:p>
      <w:pPr>
        <w:pStyle w:val="1140"/>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.5 评标过程中，如发现供应商在《声明函》内容</w:t>
      </w:r>
      <w:r>
        <w:rPr>
          <w:color w:val="000000"/>
          <w:sz w:val="24"/>
          <w:highlight w:val="none"/>
        </w:rPr>
        <w:t xml:space="preserve">含义不明确、同类事项与投</w:t>
      </w:r>
      <w:r>
        <w:rPr>
          <w:rFonts w:hint="eastAsia"/>
          <w:color w:val="000000"/>
          <w:sz w:val="24"/>
          <w:highlight w:val="none"/>
        </w:rPr>
        <w:t xml:space="preserve">标</w:t>
      </w:r>
      <w:r>
        <w:rPr>
          <w:color w:val="000000"/>
          <w:sz w:val="24"/>
          <w:highlight w:val="none"/>
        </w:rPr>
        <w:t xml:space="preserve">（</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文件</w:t>
      </w:r>
      <w:r>
        <w:rPr>
          <w:color w:val="000000"/>
          <w:sz w:val="24"/>
          <w:highlight w:val="none"/>
        </w:rPr>
        <w:t xml:space="preserve">表述不一致或者有</w:t>
      </w:r>
      <w:r>
        <w:rPr>
          <w:rFonts w:hint="eastAsia"/>
          <w:color w:val="000000"/>
          <w:sz w:val="24"/>
          <w:highlight w:val="none"/>
        </w:rPr>
        <w:t xml:space="preserve">明显</w:t>
      </w:r>
      <w:r>
        <w:rPr>
          <w:color w:val="000000"/>
          <w:sz w:val="24"/>
          <w:highlight w:val="none"/>
        </w:rPr>
        <w:t xml:space="preserve">文字错误等情况的</w:t>
      </w:r>
      <w:r>
        <w:rPr>
          <w:rFonts w:hint="eastAsia"/>
          <w:color w:val="000000"/>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color w:val="000000"/>
          <w:sz w:val="24"/>
          <w:highlight w:val="none"/>
          <w:lang w:val="en-US" w:eastAsia="zh-CN"/>
        </w:rPr>
        <w:t xml:space="preserve">采购</w:t>
      </w:r>
      <w:r>
        <w:rPr>
          <w:rFonts w:hint="eastAsia"/>
          <w:color w:val="000000"/>
          <w:sz w:val="24"/>
          <w:highlight w:val="none"/>
        </w:rPr>
        <w:t xml:space="preserve">文件规定的，供应商提供的相关产品视为不符合本国产品标准。</w:t>
      </w:r>
      <w:r>
        <w:rPr>
          <w:color w:val="000000"/>
          <w:sz w:val="24"/>
          <w:highlight w:val="none"/>
        </w:rPr>
      </w:r>
      <w:r/>
    </w:p>
    <w:p>
      <w:pPr>
        <w:pStyle w:val="1140"/>
        <w:numPr>
          <w:ilvl w:val="2"/>
          <w:numId w:val="0"/>
        </w:numPr>
        <w:ind w:firstLine="48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sz w:val="24"/>
          <w:highlight w:val="none"/>
        </w:rPr>
      </w:r>
      <w:r/>
    </w:p>
    <w:p>
      <w:pPr>
        <w:pStyle w:val="1140"/>
        <w:numPr>
          <w:ilvl w:val="2"/>
          <w:numId w:val="0"/>
        </w:numPr>
        <w:ind w:firstLine="480"/>
        <w:spacing w:line="360" w:lineRule="auto"/>
        <w:tabs>
          <w:tab w:val="left" w:pos="1080" w:leader="none"/>
          <w:tab w:val="left" w:pos="1589" w:leader="none"/>
          <w:tab w:val="left" w:pos="2035" w:leader="none"/>
        </w:tabs>
        <w:rPr>
          <w:color w:val="000000"/>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rPr>
      </w:r>
      <w:r/>
    </w:p>
    <w:p>
      <w:pPr>
        <w:pStyle w:val="1140"/>
        <w:numPr>
          <w:ilvl w:val="0"/>
          <w:numId w:val="11"/>
        </w:numPr>
        <w:spacing w:line="360" w:lineRule="auto"/>
        <w:tabs>
          <w:tab w:val="left" w:pos="360" w:leader="none"/>
          <w:tab w:val="left" w:pos="900" w:leader="none"/>
        </w:tabs>
        <w:rPr>
          <w:color w:val="000000"/>
          <w:sz w:val="24"/>
        </w:rPr>
        <w:outlineLvl w:val="1"/>
      </w:pPr>
      <w:r>
        <w:rPr>
          <w:color w:val="000000"/>
          <w:sz w:val="24"/>
        </w:rPr>
        <w:t xml:space="preserve">磋商环节及提交最终报价后如出现以下情况的，供应商的</w:t>
      </w:r>
      <w:r>
        <w:rPr>
          <w:b/>
          <w:color w:val="000000"/>
          <w:sz w:val="24"/>
        </w:rPr>
        <w:t xml:space="preserve">响应文件无效</w:t>
      </w:r>
      <w:r>
        <w:rPr>
          <w:color w:val="000000"/>
          <w:sz w:val="24"/>
        </w:rPr>
        <w:t xml:space="preserve">：</w:t>
      </w:r>
      <w:r>
        <w:rPr>
          <w:color w:val="000000"/>
          <w:sz w:val="24"/>
        </w:rPr>
      </w:r>
      <w:r/>
    </w:p>
    <w:p>
      <w:pPr>
        <w:pStyle w:val="1140"/>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供应商对实质性变动不予确认的；</w:t>
      </w:r>
      <w:r>
        <w:rPr>
          <w:color w:val="000000"/>
          <w:sz w:val="24"/>
        </w:rPr>
      </w:r>
      <w:r/>
    </w:p>
    <w:p>
      <w:pPr>
        <w:pStyle w:val="1140"/>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不满足磋商文件</w:t>
      </w:r>
      <w:r>
        <w:rPr>
          <w:rFonts w:ascii="Segoe UI Symbol" w:hAnsi="Segoe UI Symbol" w:cs="Segoe UI Symbol"/>
          <w:color w:val="000000"/>
          <w:sz w:val="24"/>
        </w:rPr>
        <w:t xml:space="preserve">★</w:t>
      </w:r>
      <w:r>
        <w:rPr>
          <w:color w:val="000000"/>
          <w:sz w:val="24"/>
        </w:rPr>
        <w:t xml:space="preserve">号条款或磋商文件技术指标超出磋商文件</w:t>
      </w:r>
      <w:r>
        <w:rPr>
          <w:rFonts w:hint="eastAsia"/>
          <w:color w:val="000000"/>
          <w:sz w:val="24"/>
        </w:rPr>
        <w:t xml:space="preserve">《</w:t>
      </w:r>
      <w:r>
        <w:rPr>
          <w:color w:val="000000"/>
          <w:sz w:val="24"/>
        </w:rPr>
        <w:t xml:space="preserve">采购需求</w:t>
      </w:r>
      <w:r>
        <w:rPr>
          <w:rFonts w:hint="eastAsia"/>
          <w:color w:val="000000"/>
          <w:sz w:val="24"/>
        </w:rPr>
        <w:t xml:space="preserve">》</w:t>
      </w:r>
      <w:r>
        <w:rPr>
          <w:color w:val="000000"/>
          <w:sz w:val="24"/>
        </w:rPr>
        <w:t xml:space="preserve">中主要技术参数允许偏差的最大范围的（如有）；</w:t>
      </w:r>
      <w:r>
        <w:rPr>
          <w:color w:val="000000"/>
          <w:sz w:val="24"/>
        </w:rPr>
      </w:r>
      <w:r/>
    </w:p>
    <w:p>
      <w:pPr>
        <w:pStyle w:val="1140"/>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未按照磋商小组规定的时间、逾期提交最终报价的；</w:t>
      </w:r>
      <w:r>
        <w:rPr>
          <w:color w:val="000000"/>
          <w:sz w:val="24"/>
        </w:rPr>
      </w:r>
      <w:r/>
    </w:p>
    <w:p>
      <w:pPr>
        <w:pStyle w:val="1140"/>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如供应商的最终报价超过竞争性磋商文件中规定的项目/采购包预算金额或者项目/采购包最高限价的；</w:t>
      </w:r>
      <w:r>
        <w:rPr>
          <w:color w:val="000000"/>
          <w:sz w:val="24"/>
        </w:rPr>
      </w:r>
      <w:r/>
    </w:p>
    <w:p>
      <w:pPr>
        <w:pStyle w:val="1140"/>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响应文件中出现可选择性或可调整的报价的（竞争性磋商文件另有规定的除外）；</w:t>
      </w:r>
      <w:r>
        <w:rPr>
          <w:color w:val="000000"/>
          <w:sz w:val="24"/>
        </w:rPr>
      </w:r>
      <w:r/>
    </w:p>
    <w:p>
      <w:pPr>
        <w:pStyle w:val="1140"/>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最终报价出现前后不一致，供应商对修正后的报价不予确认的；</w:t>
      </w:r>
      <w:r>
        <w:rPr>
          <w:color w:val="000000"/>
          <w:sz w:val="24"/>
        </w:rPr>
      </w:r>
      <w:r/>
    </w:p>
    <w:p>
      <w:pPr>
        <w:pStyle w:val="1140"/>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其他：______。</w:t>
      </w:r>
      <w:r>
        <w:rPr>
          <w:color w:val="000000"/>
          <w:sz w:val="24"/>
        </w:rPr>
      </w:r>
      <w:r/>
    </w:p>
    <w:p>
      <w:pPr>
        <w:pStyle w:val="1140"/>
        <w:numPr>
          <w:ilvl w:val="0"/>
          <w:numId w:val="11"/>
        </w:numPr>
        <w:spacing w:line="360" w:lineRule="auto"/>
        <w:tabs>
          <w:tab w:val="left" w:pos="360" w:leader="none"/>
          <w:tab w:val="left" w:pos="900" w:leader="none"/>
        </w:tabs>
        <w:rPr>
          <w:color w:val="000000"/>
          <w:sz w:val="24"/>
        </w:rPr>
        <w:outlineLvl w:val="1"/>
      </w:pPr>
      <w:r/>
      <w:bookmarkEnd w:id="601"/>
      <w:r/>
      <w:bookmarkEnd w:id="602"/>
      <w:r>
        <w:rPr>
          <w:color w:val="000000"/>
          <w:sz w:val="24"/>
        </w:rPr>
        <w:t xml:space="preserve">评审方法和评审标准</w:t>
      </w:r>
      <w:r>
        <w:rPr>
          <w:color w:val="000000"/>
          <w:sz w:val="24"/>
        </w:rPr>
      </w:r>
      <w:r/>
    </w:p>
    <w:p>
      <w:pPr>
        <w:pStyle w:val="1140"/>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rPr>
      </w:r>
      <w:r/>
    </w:p>
    <w:p>
      <w:pPr>
        <w:pStyle w:val="1140"/>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竞争性磋商文件中没有规定的评审标准不得作为评审依据。</w:t>
      </w:r>
      <w:r>
        <w:rPr>
          <w:color w:val="000000"/>
          <w:sz w:val="24"/>
        </w:rPr>
      </w:r>
      <w:r/>
    </w:p>
    <w:p>
      <w:pPr>
        <w:pStyle w:val="1140"/>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非政府强制采购的节能产品或环境标志产品，依据品目清单和认证证书实施政府优先采购。优先采购的具体规定（如涉及）______。</w:t>
      </w:r>
      <w:r>
        <w:rPr>
          <w:color w:val="000000"/>
          <w:sz w:val="24"/>
        </w:rPr>
      </w:r>
      <w:r/>
    </w:p>
    <w:p>
      <w:pPr>
        <w:pStyle w:val="1140"/>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关于无线局域网认证产品政府采购清单中的产品，优先采购的具体规定（如涉及）______。</w:t>
      </w:r>
      <w:r>
        <w:rPr>
          <w:color w:val="000000"/>
          <w:sz w:val="24"/>
        </w:rPr>
      </w:r>
      <w:r/>
    </w:p>
    <w:p>
      <w:pPr>
        <w:pStyle w:val="1140"/>
        <w:numPr>
          <w:ilvl w:val="0"/>
          <w:numId w:val="11"/>
        </w:numPr>
        <w:spacing w:line="360" w:lineRule="auto"/>
        <w:tabs>
          <w:tab w:val="left" w:pos="360" w:leader="none"/>
          <w:tab w:val="left" w:pos="900" w:leader="none"/>
        </w:tabs>
        <w:rPr>
          <w:color w:val="000000"/>
          <w:sz w:val="24"/>
        </w:rPr>
        <w:outlineLvl w:val="1"/>
      </w:pPr>
      <w:r>
        <w:rPr>
          <w:color w:val="000000"/>
          <w:sz w:val="24"/>
        </w:rPr>
        <w:t xml:space="preserve">确定</w:t>
      </w:r>
      <w:bookmarkStart w:id="618" w:name="_Toc150774751"/>
      <w:r/>
      <w:bookmarkStart w:id="619" w:name="_Toc127161460"/>
      <w:r/>
      <w:bookmarkStart w:id="620" w:name="_Toc150774646"/>
      <w:r/>
      <w:bookmarkStart w:id="621" w:name="_Toc151190173"/>
      <w:r/>
      <w:bookmarkStart w:id="622" w:name="_Toc149720839"/>
      <w:r/>
      <w:bookmarkStart w:id="623" w:name="_Ref467307010"/>
      <w:r/>
      <w:bookmarkStart w:id="624" w:name="_Toc151193644"/>
      <w:r/>
      <w:bookmarkStart w:id="625" w:name="_Toc305158888"/>
      <w:r/>
      <w:bookmarkStart w:id="626" w:name="_Toc150480784"/>
      <w:r/>
      <w:bookmarkStart w:id="627" w:name="_Toc305158814"/>
      <w:r/>
      <w:bookmarkStart w:id="628" w:name="_Toc151193716"/>
      <w:r/>
      <w:bookmarkStart w:id="629" w:name="_Toc164229387"/>
      <w:r/>
      <w:bookmarkStart w:id="630" w:name="_Toc195842911"/>
      <w:r/>
      <w:bookmarkStart w:id="631" w:name="_Toc150509297"/>
      <w:r/>
      <w:bookmarkStart w:id="632" w:name="_Toc265228384"/>
      <w:r/>
      <w:bookmarkStart w:id="633" w:name="_Toc164351640"/>
      <w:r/>
      <w:bookmarkStart w:id="634" w:name="_Toc226965736"/>
      <w:r/>
      <w:bookmarkStart w:id="635" w:name="_Toc151193860"/>
      <w:r/>
      <w:bookmarkStart w:id="636" w:name="_Toc164608815"/>
      <w:r/>
      <w:bookmarkStart w:id="637" w:name="_Toc127151546"/>
      <w:r/>
      <w:bookmarkStart w:id="638" w:name="_Toc226309790"/>
      <w:r/>
      <w:bookmarkStart w:id="639" w:name="_Toc151193788"/>
      <w:r/>
      <w:bookmarkStart w:id="640" w:name="_Toc226337242"/>
      <w:r/>
      <w:bookmarkStart w:id="641" w:name="_Toc151193934"/>
      <w:r/>
      <w:bookmarkStart w:id="642" w:name="_Toc164608660"/>
      <w:r/>
      <w:bookmarkStart w:id="643" w:name="_Toc226965819"/>
      <w:r/>
      <w:bookmarkStart w:id="644" w:name="_Toc164229241"/>
      <w:r/>
      <w:bookmarkStart w:id="645" w:name="_Toc520356170"/>
      <w:r/>
      <w:bookmarkStart w:id="646" w:name="_Toc142311048"/>
      <w:r/>
      <w:bookmarkStart w:id="647" w:name="_Toc127151747"/>
      <w:r/>
      <w:bookmarkStart w:id="648" w:name="_Toc264969236"/>
      <w:r>
        <w:rPr>
          <w:color w:val="000000"/>
          <w:sz w:val="24"/>
        </w:rPr>
        <w:t xml:space="preserve">成交候选人名单</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color w:val="000000"/>
          <w:sz w:val="24"/>
        </w:rPr>
      </w:r>
      <w:r/>
    </w:p>
    <w:p>
      <w:pPr>
        <w:pStyle w:val="1140"/>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rPr>
      </w:r>
      <w:r/>
    </w:p>
    <w:p>
      <w:pPr>
        <w:pStyle w:val="1140"/>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szCs w:val="20"/>
        </w:rPr>
        <w:t xml:space="preserve">磋商小组根据上述供应商排序，依次推荐排序前</w:t>
      </w:r>
      <w:r>
        <w:rPr>
          <w:rFonts w:hint="eastAsia"/>
          <w:color w:val="000000"/>
          <w:sz w:val="24"/>
        </w:rPr>
        <w:t xml:space="preserve">3</w:t>
      </w:r>
      <w:r>
        <w:rPr>
          <w:color w:val="000000"/>
          <w:sz w:val="24"/>
        </w:rPr>
        <w:t xml:space="preserve">名</w:t>
      </w:r>
      <w:r>
        <w:rPr>
          <w:color w:val="000000"/>
          <w:sz w:val="24"/>
          <w:szCs w:val="20"/>
        </w:rPr>
        <w:t xml:space="preserve">的供应商为</w:t>
      </w:r>
      <w:r>
        <w:rPr>
          <w:color w:val="000000"/>
          <w:sz w:val="24"/>
          <w:szCs w:val="21"/>
        </w:rPr>
        <w:t xml:space="preserve">成交候选供应商</w:t>
      </w:r>
      <w:r>
        <w:rPr>
          <w:color w:val="000000"/>
          <w:sz w:val="24"/>
          <w:szCs w:val="20"/>
        </w:rPr>
        <w:t xml:space="preserve">（若在磋商文件允许的情形下提交最终报价的供应商为二家，则依次推荐二名供应商为成交候选供应商），并编写评审报告。</w:t>
      </w:r>
      <w:r>
        <w:rPr>
          <w:color w:val="000000"/>
          <w:sz w:val="24"/>
        </w:rPr>
      </w:r>
      <w:r/>
    </w:p>
    <w:p>
      <w:pPr>
        <w:pStyle w:val="1140"/>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磋商小组要对评分汇总情况进行复核，特别是对排名第一的、报价最低的、响应文件被认定为无效的情形进行重点复核。</w:t>
      </w:r>
      <w:r>
        <w:rPr>
          <w:color w:val="000000"/>
          <w:sz w:val="24"/>
        </w:rPr>
      </w:r>
      <w:r/>
    </w:p>
    <w:p>
      <w:pPr>
        <w:pStyle w:val="1140"/>
        <w:numPr>
          <w:ilvl w:val="0"/>
          <w:numId w:val="11"/>
        </w:numPr>
        <w:spacing w:line="360" w:lineRule="auto"/>
        <w:tabs>
          <w:tab w:val="left" w:pos="360" w:leader="none"/>
          <w:tab w:val="left" w:pos="900" w:leader="none"/>
        </w:tabs>
        <w:rPr>
          <w:color w:val="000000"/>
          <w:sz w:val="24"/>
        </w:rPr>
        <w:outlineLvl w:val="1"/>
      </w:pPr>
      <w:r>
        <w:rPr>
          <w:color w:val="000000"/>
          <w:sz w:val="24"/>
        </w:rPr>
        <w:t xml:space="preserve">报告违法行为</w:t>
      </w:r>
      <w:r>
        <w:rPr>
          <w:color w:val="000000"/>
          <w:sz w:val="24"/>
        </w:rPr>
      </w:r>
      <w:r/>
    </w:p>
    <w:p>
      <w:pPr>
        <w:pStyle w:val="1140"/>
        <w:ind w:left="210" w:right="0" w:firstLine="480"/>
        <w:jc w:val="left"/>
        <w:spacing w:before="0" w:after="0" w:line="360" w:lineRule="auto"/>
        <w:rPr>
          <w:rFonts w:ascii="Times New Roman" w:hAnsi="Times New Roman" w:eastAsia="宋体" w:cs="Times New Roman"/>
          <w:b w:val="0"/>
          <w:color w:val="000000"/>
          <w:sz w:val="24"/>
          <w:szCs w:val="24"/>
          <w:lang w:val="en-US" w:eastAsia="zh-CN" w:bidi="ar-SA"/>
        </w:rPr>
        <w:outlineLvl w:val="9"/>
      </w:pPr>
      <w:r>
        <w:rPr>
          <w:rFonts w:ascii="Times New Roman" w:hAnsi="Times New Roman" w:eastAsia="宋体" w:cs="Times New Roman"/>
          <w:b w:val="0"/>
          <w:color w:val="000000"/>
          <w:sz w:val="24"/>
          <w:szCs w:val="24"/>
          <w:lang w:val="en-US" w:eastAsia="zh-CN" w:bidi="ar-SA"/>
        </w:rPr>
        <w:t xml:space="preserve">磋商小组在评审过程中发现供应商有行贿、提供虚假材料或者串通等违法行为时，有向采购人、采购代理机构或者有关部门报告的职责。</w:t>
      </w:r>
      <w:r>
        <w:rPr>
          <w:rFonts w:ascii="Times New Roman" w:hAnsi="Times New Roman" w:eastAsia="宋体" w:cs="Times New Roman"/>
          <w:b w:val="0"/>
          <w:color w:val="000000"/>
          <w:sz w:val="24"/>
          <w:szCs w:val="24"/>
          <w:lang w:val="en-US" w:eastAsia="zh-CN" w:bidi="ar-SA"/>
        </w:rPr>
      </w:r>
      <w:r/>
    </w:p>
    <w:p>
      <w:pPr>
        <w:pStyle w:val="1140"/>
        <w:numPr>
          <w:ilvl w:val="0"/>
          <w:numId w:val="0"/>
        </w:numPr>
        <w:ind w:left="630"/>
        <w:jc w:val="left"/>
        <w:spacing w:line="360" w:lineRule="auto"/>
        <w:widowControl/>
        <w:tabs>
          <w:tab w:val="left" w:pos="1080" w:leader="none"/>
          <w:tab w:val="left" w:pos="1872" w:leader="none"/>
        </w:tabs>
        <w:rPr>
          <w:b/>
          <w:color w:val="000000"/>
          <w:sz w:val="24"/>
          <w:highlight w:val="none"/>
        </w:rPr>
      </w:pPr>
      <w:r>
        <w:rPr>
          <w:b/>
          <w:color w:val="000000"/>
          <w:sz w:val="24"/>
          <w:highlight w:val="none"/>
        </w:rPr>
        <w:br w:type="page" w:clear="all"/>
      </w:r>
      <w:r>
        <w:rPr>
          <w:b/>
          <w:color w:val="000000"/>
          <w:sz w:val="24"/>
          <w:highlight w:val="none"/>
        </w:rPr>
      </w:r>
      <w:r/>
    </w:p>
    <w:p>
      <w:pPr>
        <w:pStyle w:val="1171"/>
        <w:jc w:val="center"/>
        <w:tabs>
          <w:tab w:val="left" w:pos="567" w:leader="none"/>
        </w:tabs>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二、评审标准</w:t>
      </w:r>
      <w:bookmarkStart w:id="649" w:name="_Hlk133415308"/>
      <w:r>
        <w:rPr>
          <w:rFonts w:ascii="Times New Roman" w:hAnsi="Times New Roman" w:eastAsia="宋体" w:cs="Times New Roman"/>
          <w:color w:val="000000"/>
          <w:sz w:val="24"/>
          <w:szCs w:val="24"/>
          <w:highlight w:val="none"/>
          <w:lang w:val="en-US" w:eastAsia="zh-CN" w:bidi="ar-SA"/>
        </w:rPr>
      </w:r>
      <w:r/>
    </w:p>
    <w:tbl>
      <w:tblPr>
        <w:tblW w:w="5031"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242"/>
        <w:gridCol w:w="723"/>
        <w:gridCol w:w="5749"/>
      </w:tblGrid>
      <w:tr>
        <w:trPr>
          <w:trHeight w:val="454"/>
        </w:trPr>
        <w:tc>
          <w:tcPr>
            <w:tcW w:w="988" w:type="dxa"/>
            <w:vAlign w:val="center"/>
            <w:textDirection w:val="lrTb"/>
            <w:noWrap w:val="false"/>
          </w:tcPr>
          <w:p>
            <w:pPr>
              <w:pStyle w:val="1140"/>
              <w:ind w:firstLine="28"/>
              <w:jc w:val="center"/>
              <w:rPr>
                <w:rFonts w:ascii="宋体" w:hAnsi="宋体"/>
                <w:sz w:val="24"/>
                <w:highlight w:val="none"/>
              </w:rPr>
            </w:pPr>
            <w:r/>
            <w:bookmarkEnd w:id="649"/>
            <w:r/>
            <w:bookmarkStart w:id="650" w:name="_Toc10100"/>
            <w:r>
              <w:rPr>
                <w:rFonts w:ascii="宋体" w:hAnsi="宋体"/>
                <w:sz w:val="24"/>
                <w:highlight w:val="none"/>
              </w:rPr>
              <w:t xml:space="preserve">序号</w:t>
            </w:r>
            <w:r>
              <w:rPr>
                <w:rFonts w:ascii="宋体" w:hAnsi="宋体"/>
                <w:sz w:val="24"/>
                <w:highlight w:val="none"/>
              </w:rPr>
            </w:r>
            <w:r/>
          </w:p>
        </w:tc>
        <w:tc>
          <w:tcPr>
            <w:tcW w:w="1305" w:type="dxa"/>
            <w:vAlign w:val="center"/>
            <w:textDirection w:val="lrTb"/>
            <w:noWrap w:val="false"/>
          </w:tcPr>
          <w:p>
            <w:pPr>
              <w:pStyle w:val="1140"/>
              <w:ind w:firstLine="28"/>
              <w:jc w:val="center"/>
              <w:rPr>
                <w:rFonts w:ascii="宋体" w:hAnsi="宋体"/>
                <w:b/>
                <w:sz w:val="24"/>
                <w:highlight w:val="none"/>
              </w:rPr>
            </w:pPr>
            <w:r>
              <w:rPr>
                <w:rFonts w:ascii="宋体" w:hAnsi="宋体"/>
                <w:b/>
                <w:sz w:val="24"/>
                <w:highlight w:val="none"/>
              </w:rPr>
              <w:t xml:space="preserve">评分因素</w:t>
            </w:r>
            <w:r>
              <w:rPr>
                <w:rFonts w:ascii="宋体" w:hAnsi="宋体"/>
                <w:b/>
                <w:sz w:val="24"/>
                <w:highlight w:val="none"/>
              </w:rPr>
            </w:r>
            <w:r/>
          </w:p>
        </w:tc>
        <w:tc>
          <w:tcPr>
            <w:tcW w:w="750" w:type="dxa"/>
            <w:vAlign w:val="center"/>
            <w:textDirection w:val="lrTb"/>
            <w:noWrap w:val="false"/>
          </w:tcPr>
          <w:p>
            <w:pPr>
              <w:pStyle w:val="1140"/>
              <w:ind w:firstLine="28"/>
              <w:jc w:val="center"/>
              <w:rPr>
                <w:rFonts w:ascii="宋体" w:hAnsi="宋体"/>
                <w:b/>
                <w:sz w:val="24"/>
                <w:highlight w:val="none"/>
              </w:rPr>
            </w:pPr>
            <w:r>
              <w:rPr>
                <w:rFonts w:ascii="宋体" w:hAnsi="宋体"/>
                <w:b/>
                <w:sz w:val="24"/>
                <w:highlight w:val="none"/>
              </w:rPr>
              <w:t xml:space="preserve">分值</w:t>
            </w:r>
            <w:r>
              <w:rPr>
                <w:rFonts w:ascii="宋体" w:hAnsi="宋体"/>
                <w:b/>
                <w:sz w:val="24"/>
                <w:highlight w:val="none"/>
              </w:rPr>
            </w:r>
            <w:r/>
          </w:p>
        </w:tc>
        <w:tc>
          <w:tcPr>
            <w:tcW w:w="6303" w:type="dxa"/>
            <w:vAlign w:val="center"/>
            <w:textDirection w:val="lrTb"/>
            <w:noWrap w:val="false"/>
          </w:tcPr>
          <w:p>
            <w:pPr>
              <w:pStyle w:val="1140"/>
              <w:ind w:firstLine="28"/>
              <w:jc w:val="center"/>
              <w:rPr>
                <w:rFonts w:ascii="宋体" w:hAnsi="宋体"/>
                <w:b/>
                <w:sz w:val="24"/>
                <w:highlight w:val="none"/>
              </w:rPr>
            </w:pPr>
            <w:r>
              <w:rPr>
                <w:rFonts w:ascii="宋体" w:hAnsi="宋体"/>
                <w:b/>
                <w:sz w:val="24"/>
                <w:highlight w:val="none"/>
              </w:rPr>
              <w:t xml:space="preserve">评分标准</w:t>
            </w:r>
            <w:r>
              <w:rPr>
                <w:rFonts w:ascii="宋体" w:hAnsi="宋体"/>
                <w:b/>
                <w:sz w:val="24"/>
                <w:highlight w:val="none"/>
              </w:rPr>
            </w:r>
            <w:r/>
          </w:p>
        </w:tc>
      </w:tr>
      <w:tr>
        <w:trPr>
          <w:trHeight w:val="454"/>
        </w:trPr>
        <w:tc>
          <w:tcPr>
            <w:tcW w:w="988" w:type="dxa"/>
            <w:vAlign w:val="center"/>
            <w:textDirection w:val="lrTb"/>
            <w:noWrap w:val="false"/>
          </w:tcPr>
          <w:p>
            <w:pPr>
              <w:pStyle w:val="1140"/>
              <w:ind w:firstLine="28"/>
              <w:jc w:val="center"/>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p>
        </w:tc>
        <w:tc>
          <w:tcPr>
            <w:tcW w:w="1305" w:type="dxa"/>
            <w:vAlign w:val="center"/>
            <w:textDirection w:val="lrTb"/>
            <w:noWrap w:val="false"/>
          </w:tcPr>
          <w:p>
            <w:pPr>
              <w:pStyle w:val="1140"/>
              <w:ind w:firstLine="28"/>
              <w:jc w:val="center"/>
              <w:rPr>
                <w:rFonts w:ascii="宋体" w:hAnsi="宋体"/>
                <w:sz w:val="24"/>
                <w:highlight w:val="none"/>
              </w:rPr>
            </w:pPr>
            <w:r>
              <w:rPr>
                <w:rFonts w:hint="eastAsia" w:ascii="宋体" w:hAnsi="宋体"/>
                <w:sz w:val="24"/>
                <w:highlight w:val="none"/>
              </w:rPr>
              <w:t xml:space="preserve">价格分</w:t>
            </w:r>
            <w:r>
              <w:rPr>
                <w:rFonts w:ascii="宋体" w:hAnsi="宋体"/>
                <w:sz w:val="24"/>
                <w:highlight w:val="none"/>
              </w:rPr>
            </w:r>
            <w:r/>
          </w:p>
        </w:tc>
        <w:tc>
          <w:tcPr>
            <w:tcW w:w="750" w:type="dxa"/>
            <w:vAlign w:val="center"/>
            <w:textDirection w:val="lrTb"/>
            <w:noWrap w:val="false"/>
          </w:tcPr>
          <w:p>
            <w:pPr>
              <w:pStyle w:val="1140"/>
              <w:ind w:firstLine="28"/>
              <w:jc w:val="center"/>
              <w:rPr>
                <w:rFonts w:ascii="宋体" w:hAnsi="宋体" w:eastAsia="宋体"/>
                <w:sz w:val="24"/>
                <w:highlight w:val="none"/>
                <w:lang w:val="en-US" w:eastAsia="zh-CN"/>
              </w:rPr>
            </w:pPr>
            <w:r>
              <w:rPr>
                <w:rFonts w:hint="eastAsia" w:ascii="宋体" w:hAnsi="宋体"/>
                <w:sz w:val="24"/>
                <w:highlight w:val="none"/>
                <w:lang w:val="en-US" w:eastAsia="zh-CN"/>
              </w:rPr>
              <w:t xml:space="preserve">15</w:t>
            </w:r>
            <w:r>
              <w:rPr>
                <w:rFonts w:ascii="宋体" w:hAnsi="宋体" w:eastAsia="宋体"/>
                <w:sz w:val="24"/>
                <w:highlight w:val="none"/>
                <w:lang w:val="en-US" w:eastAsia="zh-CN"/>
              </w:rPr>
            </w:r>
            <w:r/>
          </w:p>
        </w:tc>
        <w:tc>
          <w:tcPr>
            <w:tcW w:w="6303" w:type="dxa"/>
            <w:vAlign w:val="center"/>
            <w:textDirection w:val="lrTb"/>
            <w:noWrap w:val="false"/>
          </w:tcPr>
          <w:p>
            <w:pPr>
              <w:pStyle w:val="1140"/>
              <w:rPr>
                <w:rFonts w:ascii="宋体" w:hAnsi="宋体"/>
                <w:sz w:val="24"/>
                <w:highlight w:val="none"/>
              </w:rPr>
            </w:pPr>
            <w:r>
              <w:rPr>
                <w:rFonts w:ascii="宋体" w:hAnsi="宋体"/>
                <w:sz w:val="24"/>
                <w:highlight w:val="none"/>
              </w:rPr>
              <w:t xml:space="preserve">满足磋商文件要求且</w:t>
            </w:r>
            <w:r>
              <w:rPr>
                <w:rFonts w:hint="eastAsia" w:ascii="宋体" w:hAnsi="宋体"/>
                <w:sz w:val="24"/>
                <w:highlight w:val="none"/>
              </w:rPr>
              <w:t xml:space="preserve">最终报价</w:t>
            </w:r>
            <w:r>
              <w:rPr>
                <w:rFonts w:ascii="宋体" w:hAnsi="宋体"/>
                <w:sz w:val="24"/>
                <w:highlight w:val="none"/>
              </w:rPr>
              <w:t xml:space="preserve">最低的报价为评标基准价，其价格分为满分。其他供应商的价格分统一按照下列公式计算：</w:t>
            </w:r>
            <w:r>
              <w:rPr>
                <w:rFonts w:ascii="宋体" w:hAnsi="宋体"/>
                <w:sz w:val="24"/>
                <w:highlight w:val="none"/>
              </w:rPr>
            </w:r>
            <w:r/>
          </w:p>
          <w:p>
            <w:pPr>
              <w:pStyle w:val="1140"/>
              <w:rPr>
                <w:rFonts w:hint="eastAsia" w:ascii="宋体" w:hAnsi="宋体"/>
                <w:sz w:val="24"/>
                <w:highlight w:val="none"/>
              </w:rPr>
            </w:pPr>
            <w:r>
              <w:rPr>
                <w:rFonts w:hint="eastAsia" w:ascii="宋体" w:hAnsi="宋体"/>
                <w:sz w:val="24"/>
                <w:highlight w:val="none"/>
              </w:rPr>
              <w:t xml:space="preserve">价格分</w:t>
            </w:r>
            <w:r>
              <w:rPr>
                <w:rFonts w:ascii="宋体" w:hAnsi="宋体"/>
                <w:sz w:val="24"/>
                <w:highlight w:val="none"/>
              </w:rPr>
              <w:t xml:space="preserve">得分＝（评标基准价/</w:t>
            </w:r>
            <w:r>
              <w:rPr>
                <w:rFonts w:hint="eastAsia" w:ascii="宋体" w:hAnsi="宋体"/>
                <w:sz w:val="24"/>
                <w:highlight w:val="none"/>
              </w:rPr>
              <w:t xml:space="preserve">最终报价</w:t>
            </w:r>
            <w:r>
              <w:rPr>
                <w:rFonts w:ascii="宋体" w:hAnsi="宋体"/>
                <w:sz w:val="24"/>
                <w:highlight w:val="none"/>
              </w:rPr>
              <w:t xml:space="preserve">）×分值。</w:t>
            </w:r>
            <w:r>
              <w:rPr>
                <w:rFonts w:hint="eastAsia" w:ascii="宋体" w:hAnsi="宋体"/>
                <w:sz w:val="24"/>
                <w:highlight w:val="none"/>
              </w:rPr>
              <w:t xml:space="preserve">所得分保留小数点后面2位。</w:t>
            </w:r>
            <w:r>
              <w:rPr>
                <w:rFonts w:hint="eastAsia" w:ascii="宋体" w:hAnsi="宋体"/>
                <w:sz w:val="24"/>
                <w:highlight w:val="none"/>
              </w:rPr>
            </w:r>
            <w:r/>
          </w:p>
          <w:p>
            <w:pPr>
              <w:pStyle w:val="1140"/>
              <w:rPr>
                <w:rFonts w:hint="eastAsia" w:ascii="宋体" w:hAnsi="宋体" w:eastAsia="宋体"/>
                <w:sz w:val="24"/>
                <w:highlight w:val="none"/>
                <w:lang w:eastAsia="zh-CN"/>
              </w:rPr>
            </w:pPr>
            <w:r>
              <w:rPr>
                <w:rFonts w:hint="eastAsia" w:ascii="宋体" w:hAnsi="宋体"/>
                <w:b/>
                <w:bCs/>
                <w:sz w:val="24"/>
                <w:highlight w:val="none"/>
                <w:lang w:val="en-US" w:eastAsia="zh-CN"/>
              </w:rPr>
              <w:t xml:space="preserve">注：</w:t>
            </w:r>
            <w:r>
              <w:rPr>
                <w:rFonts w:hint="eastAsia" w:ascii="宋体" w:hAnsi="宋体"/>
                <w:b/>
                <w:bCs/>
                <w:sz w:val="24"/>
                <w:highlight w:val="none"/>
              </w:rPr>
              <w:t xml:space="preserve">此处最终报价指经过报价修正，及</w:t>
            </w:r>
            <w:r>
              <w:rPr>
                <w:rFonts w:ascii="宋体" w:hAnsi="宋体"/>
                <w:b/>
                <w:bCs/>
                <w:sz w:val="24"/>
                <w:highlight w:val="none"/>
              </w:rPr>
              <w:t xml:space="preserve">因落实政府采购政策进行价格调整</w:t>
            </w:r>
            <w:r>
              <w:rPr>
                <w:rFonts w:hint="eastAsia" w:ascii="宋体" w:hAnsi="宋体"/>
                <w:b/>
                <w:bCs/>
                <w:sz w:val="24"/>
                <w:highlight w:val="none"/>
              </w:rPr>
              <w:t xml:space="preserve">后</w:t>
            </w:r>
            <w:r>
              <w:rPr>
                <w:rFonts w:ascii="宋体" w:hAnsi="宋体"/>
                <w:b/>
                <w:bCs/>
                <w:sz w:val="24"/>
                <w:highlight w:val="none"/>
              </w:rPr>
              <w:t xml:space="preserve">的</w:t>
            </w:r>
            <w:r>
              <w:rPr>
                <w:rFonts w:hint="eastAsia" w:ascii="宋体" w:hAnsi="宋体"/>
                <w:b/>
                <w:bCs/>
                <w:sz w:val="24"/>
                <w:highlight w:val="none"/>
              </w:rPr>
              <w:t xml:space="preserve">最终报价</w:t>
            </w:r>
            <w:r>
              <w:rPr>
                <w:rFonts w:hint="eastAsia" w:ascii="宋体" w:hAnsi="宋体"/>
                <w:b/>
                <w:bCs/>
                <w:sz w:val="24"/>
                <w:highlight w:val="none"/>
                <w:lang w:eastAsia="zh-CN"/>
              </w:rPr>
              <w:t xml:space="preserve">。</w:t>
            </w:r>
            <w:r>
              <w:rPr>
                <w:rFonts w:hint="eastAsia" w:ascii="宋体" w:hAnsi="宋体" w:eastAsia="宋体"/>
                <w:sz w:val="24"/>
                <w:highlight w:val="none"/>
                <w:lang w:eastAsia="zh-CN"/>
              </w:rPr>
            </w:r>
            <w:r/>
          </w:p>
        </w:tc>
      </w:tr>
      <w:tr>
        <w:trPr>
          <w:trHeight w:val="454"/>
        </w:trPr>
        <w:tc>
          <w:tcPr>
            <w:tcW w:w="988" w:type="dxa"/>
            <w:vAlign w:val="center"/>
            <w:textDirection w:val="lrTb"/>
            <w:noWrap w:val="false"/>
          </w:tcPr>
          <w:p>
            <w:pPr>
              <w:pStyle w:val="1140"/>
              <w:ind w:firstLine="28"/>
              <w:jc w:val="center"/>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p>
        </w:tc>
        <w:tc>
          <w:tcPr>
            <w:tcW w:w="1305" w:type="dxa"/>
            <w:vAlign w:val="center"/>
            <w:textDirection w:val="lrTb"/>
            <w:noWrap w:val="false"/>
          </w:tcPr>
          <w:p>
            <w:pPr>
              <w:pStyle w:val="1140"/>
              <w:ind w:firstLine="28"/>
              <w:jc w:val="center"/>
              <w:rPr>
                <w:rFonts w:ascii="宋体" w:hAnsi="宋体"/>
                <w:sz w:val="24"/>
                <w:highlight w:val="none"/>
              </w:rPr>
            </w:pPr>
            <w:r>
              <w:rPr>
                <w:rFonts w:hint="eastAsia" w:ascii="宋体" w:hAnsi="宋体"/>
                <w:sz w:val="24"/>
                <w:highlight w:val="none"/>
              </w:rPr>
              <w:t xml:space="preserve">主观分</w:t>
            </w:r>
            <w:r>
              <w:rPr>
                <w:rFonts w:ascii="宋体" w:hAnsi="宋体"/>
                <w:sz w:val="24"/>
                <w:highlight w:val="none"/>
              </w:rPr>
            </w:r>
            <w:r/>
          </w:p>
        </w:tc>
        <w:tc>
          <w:tcPr>
            <w:tcW w:w="750" w:type="dxa"/>
            <w:vAlign w:val="center"/>
            <w:textDirection w:val="lrTb"/>
            <w:noWrap w:val="false"/>
          </w:tcPr>
          <w:p>
            <w:pPr>
              <w:pStyle w:val="1140"/>
              <w:ind w:firstLine="28"/>
              <w:jc w:val="center"/>
              <w:rPr>
                <w:rFonts w:ascii="宋体" w:hAnsi="宋体" w:eastAsia="宋体"/>
                <w:sz w:val="24"/>
                <w:highlight w:val="none"/>
                <w:lang w:val="en-US" w:eastAsia="zh-CN"/>
              </w:rPr>
            </w:pPr>
            <w:r>
              <w:rPr>
                <w:rFonts w:hint="eastAsia" w:ascii="宋体" w:hAnsi="宋体"/>
                <w:sz w:val="24"/>
                <w:highlight w:val="none"/>
                <w:lang w:val="en-US" w:eastAsia="zh-CN"/>
              </w:rPr>
              <w:t xml:space="preserve">53</w:t>
            </w:r>
            <w:r>
              <w:rPr>
                <w:rFonts w:ascii="宋体" w:hAnsi="宋体" w:eastAsia="宋体"/>
                <w:sz w:val="24"/>
                <w:highlight w:val="none"/>
                <w:lang w:val="en-US" w:eastAsia="zh-CN"/>
              </w:rPr>
            </w:r>
            <w:r/>
          </w:p>
        </w:tc>
        <w:tc>
          <w:tcPr>
            <w:tcW w:w="6303" w:type="dxa"/>
            <w:vAlign w:val="center"/>
            <w:textDirection w:val="lrTb"/>
            <w:noWrap w:val="false"/>
          </w:tcPr>
          <w:p>
            <w:pPr>
              <w:pStyle w:val="1140"/>
              <w:rPr>
                <w:rFonts w:ascii="宋体" w:hAnsi="宋体"/>
                <w:sz w:val="24"/>
                <w:highlight w:val="none"/>
              </w:rPr>
            </w:pPr>
            <w:r>
              <w:rPr>
                <w:rFonts w:ascii="宋体" w:hAnsi="宋体"/>
                <w:sz w:val="24"/>
                <w:highlight w:val="none"/>
              </w:rPr>
            </w:r>
            <w:r/>
          </w:p>
        </w:tc>
      </w:tr>
      <w:tr>
        <w:trPr>
          <w:trHeight w:val="454"/>
        </w:trPr>
        <w:tc>
          <w:tcPr>
            <w:tcW w:w="988" w:type="dxa"/>
            <w:vAlign w:val="center"/>
            <w:textDirection w:val="lrTb"/>
            <w:noWrap w:val="false"/>
          </w:tcPr>
          <w:p>
            <w:pPr>
              <w:pStyle w:val="1140"/>
              <w:ind w:firstLine="28"/>
              <w:jc w:val="center"/>
              <w:rPr>
                <w:rFonts w:ascii="宋体" w:hAnsi="宋体"/>
                <w:sz w:val="24"/>
                <w:highlight w:val="none"/>
              </w:rPr>
            </w:pPr>
            <w:r>
              <w:rPr>
                <w:rFonts w:hint="eastAsia" w:ascii="宋体" w:hAnsi="宋体"/>
                <w:sz w:val="24"/>
                <w:highlight w:val="none"/>
              </w:rPr>
              <w:t xml:space="preserve">2.1</w:t>
            </w:r>
            <w:r>
              <w:rPr>
                <w:rFonts w:ascii="宋体" w:hAnsi="宋体"/>
                <w:sz w:val="24"/>
                <w:highlight w:val="none"/>
              </w:rPr>
            </w:r>
            <w:r/>
          </w:p>
        </w:tc>
        <w:tc>
          <w:tcPr>
            <w:tcW w:w="1305" w:type="dxa"/>
            <w:vAlign w:val="center"/>
            <w:textDirection w:val="lrTb"/>
            <w:noWrap w:val="false"/>
          </w:tcPr>
          <w:p>
            <w:pPr>
              <w:pStyle w:val="1140"/>
              <w:ind w:firstLine="28"/>
              <w:jc w:val="center"/>
              <w:rPr>
                <w:rFonts w:ascii="宋体" w:hAnsi="宋体"/>
                <w:b w:val="0"/>
                <w:bCs w:val="0"/>
                <w:sz w:val="24"/>
                <w:highlight w:val="none"/>
              </w:rPr>
            </w:pPr>
            <w:r>
              <w:rPr>
                <w:rStyle w:val="1219"/>
                <w:rFonts w:hint="eastAsia" w:ascii="宋体" w:hAnsi="宋体" w:eastAsia="宋体" w:cs="宋体"/>
                <w:b w:val="0"/>
                <w:bCs w:val="0"/>
                <w:color w:val="000000"/>
                <w:sz w:val="24"/>
                <w:szCs w:val="24"/>
                <w:highlight w:val="none"/>
              </w:rPr>
              <w:t xml:space="preserve">施工方案及工程质量保证措施</w:t>
            </w:r>
            <w:r>
              <w:rPr>
                <w:rFonts w:ascii="宋体" w:hAnsi="宋体"/>
                <w:b w:val="0"/>
                <w:bCs w:val="0"/>
                <w:sz w:val="24"/>
                <w:highlight w:val="none"/>
              </w:rPr>
            </w:r>
            <w:r/>
          </w:p>
        </w:tc>
        <w:tc>
          <w:tcPr>
            <w:tcW w:w="750" w:type="dxa"/>
            <w:vAlign w:val="center"/>
            <w:textDirection w:val="lrTb"/>
            <w:noWrap w:val="false"/>
          </w:tcPr>
          <w:p>
            <w:pPr>
              <w:pStyle w:val="1140"/>
              <w:ind w:firstLine="28"/>
              <w:jc w:val="center"/>
              <w:rPr>
                <w:rFonts w:ascii="宋体" w:hAnsi="宋体" w:eastAsia="宋体"/>
                <w:sz w:val="24"/>
                <w:highlight w:val="none"/>
                <w:lang w:val="en-US" w:eastAsia="zh-CN"/>
              </w:rPr>
            </w:pPr>
            <w:r>
              <w:rPr>
                <w:rFonts w:hint="eastAsia" w:ascii="宋体" w:hAnsi="宋体" w:cs="宋体"/>
                <w:sz w:val="24"/>
                <w:szCs w:val="24"/>
                <w:highlight w:val="none"/>
                <w:lang w:val="en-US" w:eastAsia="zh-CN"/>
              </w:rPr>
              <w:t xml:space="preserve">8</w:t>
            </w:r>
            <w:r>
              <w:rPr>
                <w:rFonts w:ascii="宋体" w:hAnsi="宋体" w:eastAsia="宋体"/>
                <w:sz w:val="24"/>
                <w:highlight w:val="none"/>
                <w:lang w:val="en-US" w:eastAsia="zh-CN"/>
              </w:rPr>
            </w:r>
            <w:r/>
          </w:p>
        </w:tc>
        <w:tc>
          <w:tcPr>
            <w:tcW w:w="6303" w:type="dxa"/>
            <w:vAlign w:val="top"/>
            <w:textDirection w:val="lrTb"/>
            <w:noWrap w:val="false"/>
          </w:tcPr>
          <w:p>
            <w:pPr>
              <w:pStyle w:val="1221"/>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施工方案及工程质量保证措施 </w:t>
            </w:r>
            <w:r>
              <w:rPr>
                <w:rFonts w:hint="eastAsia" w:ascii="宋体" w:hAnsi="宋体" w:eastAsia="宋体" w:cs="宋体"/>
                <w:b/>
                <w:bCs/>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供应商根据本项目的实际需求及自身情况编制完整的施工方案及工程质量保证措施（含质保体系、技术保证、材料保证等）方面：</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方案完整、可行，能完全满足项目实施要求，得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方案较具体、可行，能基本满足项目实施要求，得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方案内容较简单，对项目实施要求响应一般，得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方案内容较差、无针对性或可行性较差，得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40"/>
              <w:jc w:val="left"/>
              <w:tabs>
                <w:tab w:val="left" w:pos="5940" w:leader="none"/>
              </w:tabs>
              <w:rPr>
                <w:rFonts w:ascii="宋体" w:hAnsi="宋体"/>
                <w:b/>
                <w:spacing w:val="-6"/>
                <w:sz w:val="24"/>
                <w:highlight w:val="none"/>
              </w:rPr>
            </w:pPr>
            <w:r>
              <w:rPr>
                <w:rFonts w:hint="eastAsia" w:ascii="宋体" w:hAnsi="宋体" w:eastAsia="宋体" w:cs="宋体"/>
                <w:color w:val="000000"/>
                <w:sz w:val="24"/>
                <w:szCs w:val="24"/>
                <w:highlight w:val="none"/>
              </w:rPr>
              <w:t xml:space="preserve">未提供本项不得分。</w:t>
            </w:r>
            <w:r>
              <w:rPr>
                <w:rFonts w:ascii="宋体" w:hAnsi="宋体"/>
                <w:b/>
                <w:spacing w:val="-6"/>
                <w:sz w:val="24"/>
                <w:highlight w:val="none"/>
              </w:rPr>
            </w:r>
            <w:r/>
          </w:p>
        </w:tc>
      </w:tr>
      <w:tr>
        <w:trPr>
          <w:trHeight w:val="454"/>
        </w:trPr>
        <w:tc>
          <w:tcPr>
            <w:tcW w:w="988" w:type="dxa"/>
            <w:vAlign w:val="center"/>
            <w:textDirection w:val="lrTb"/>
            <w:noWrap w:val="false"/>
          </w:tcPr>
          <w:p>
            <w:pPr>
              <w:pStyle w:val="1140"/>
              <w:ind w:firstLine="28"/>
              <w:jc w:val="center"/>
              <w:rPr>
                <w:rFonts w:ascii="宋体" w:hAnsi="宋体"/>
                <w:sz w:val="24"/>
                <w:highlight w:val="none"/>
              </w:rPr>
            </w:pPr>
            <w:r>
              <w:rPr>
                <w:rFonts w:hint="eastAsia" w:ascii="宋体" w:hAnsi="宋体"/>
                <w:sz w:val="24"/>
                <w:highlight w:val="none"/>
              </w:rPr>
              <w:t xml:space="preserve">2.2</w:t>
            </w:r>
            <w:r>
              <w:rPr>
                <w:rFonts w:ascii="宋体" w:hAnsi="宋体"/>
                <w:sz w:val="24"/>
                <w:highlight w:val="none"/>
              </w:rPr>
            </w:r>
            <w:r/>
          </w:p>
        </w:tc>
        <w:tc>
          <w:tcPr>
            <w:tcW w:w="1305" w:type="dxa"/>
            <w:vAlign w:val="center"/>
            <w:textDirection w:val="lrTb"/>
            <w:noWrap w:val="false"/>
          </w:tcPr>
          <w:p>
            <w:pPr>
              <w:pStyle w:val="1140"/>
              <w:jc w:val="center"/>
              <w:widowControl/>
              <w:rPr>
                <w:rFonts w:ascii="宋体" w:hAnsi="宋体"/>
                <w:b w:val="0"/>
                <w:bCs w:val="0"/>
                <w:sz w:val="24"/>
                <w:highlight w:val="none"/>
              </w:rPr>
            </w:pPr>
            <w:r>
              <w:rPr>
                <w:rStyle w:val="1219"/>
                <w:rFonts w:hint="eastAsia" w:ascii="宋体" w:hAnsi="宋体" w:eastAsia="宋体" w:cs="宋体"/>
                <w:b w:val="0"/>
                <w:bCs w:val="0"/>
                <w:color w:val="000000"/>
                <w:sz w:val="24"/>
                <w:szCs w:val="24"/>
                <w:highlight w:val="none"/>
              </w:rPr>
              <w:t xml:space="preserve">安全施工方案及防控措施</w:t>
            </w:r>
            <w:r>
              <w:rPr>
                <w:rFonts w:ascii="宋体" w:hAnsi="宋体"/>
                <w:b w:val="0"/>
                <w:bCs w:val="0"/>
                <w:sz w:val="24"/>
                <w:highlight w:val="none"/>
              </w:rPr>
            </w:r>
            <w:r/>
          </w:p>
        </w:tc>
        <w:tc>
          <w:tcPr>
            <w:tcW w:w="750" w:type="dxa"/>
            <w:vAlign w:val="center"/>
            <w:textDirection w:val="lrTb"/>
            <w:noWrap w:val="false"/>
          </w:tcPr>
          <w:p>
            <w:pPr>
              <w:pStyle w:val="1140"/>
              <w:jc w:val="center"/>
              <w:spacing w:line="360" w:lineRule="exact"/>
              <w:rPr>
                <w:rFonts w:hint="eastAsia" w:ascii="宋体" w:hAnsi="宋体" w:eastAsia="宋体"/>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sz w:val="24"/>
                <w:highlight w:val="none"/>
                <w:lang w:val="en-US" w:eastAsia="zh-CN"/>
              </w:rPr>
            </w:r>
            <w:r/>
          </w:p>
        </w:tc>
        <w:tc>
          <w:tcPr>
            <w:tcW w:w="6303" w:type="dxa"/>
            <w:vAlign w:val="center"/>
            <w:textDirection w:val="lrTb"/>
            <w:noWrap w:val="false"/>
          </w:tcPr>
          <w:p>
            <w:pPr>
              <w:pStyle w:val="1221"/>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安全施工方案及防控措施 </w:t>
            </w:r>
            <w:r>
              <w:rPr>
                <w:rFonts w:hint="eastAsia" w:ascii="宋体" w:hAnsi="宋体" w:eastAsia="宋体" w:cs="宋体"/>
                <w:b/>
                <w:bCs/>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供应商根据本项目的实际需求及自身情况编制相应安全施工方案及防控措施，方案内容包括但不限于安全施工方案、文明施工、环境保护、消防等方面：</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方案完整、可行，能完全满足项目实施要求，得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方案较具体、可行，能基本满足项目实施要求，得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方案内容较简单，对项目实施要求响应一般，得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方案内容较差、无针对性或可行性较差，得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40"/>
              <w:jc w:val="left"/>
              <w:spacing w:line="360" w:lineRule="exact"/>
              <w:rPr>
                <w:rFonts w:ascii="宋体" w:hAnsi="宋体"/>
                <w:b/>
                <w:spacing w:val="-6"/>
                <w:sz w:val="24"/>
                <w:highlight w:val="none"/>
              </w:rPr>
            </w:pPr>
            <w:r>
              <w:rPr>
                <w:rFonts w:hint="eastAsia" w:ascii="宋体" w:hAnsi="宋体" w:eastAsia="宋体" w:cs="宋体"/>
                <w:color w:val="000000"/>
                <w:sz w:val="24"/>
                <w:szCs w:val="24"/>
                <w:highlight w:val="none"/>
              </w:rPr>
              <w:t xml:space="preserve">未提供本项不得分。</w:t>
            </w:r>
            <w:r>
              <w:rPr>
                <w:rFonts w:ascii="宋体" w:hAnsi="宋体"/>
                <w:b/>
                <w:spacing w:val="-6"/>
                <w:sz w:val="24"/>
                <w:highlight w:val="none"/>
              </w:rPr>
            </w:r>
            <w:r/>
          </w:p>
        </w:tc>
      </w:tr>
      <w:tr>
        <w:trPr>
          <w:trHeight w:val="454"/>
        </w:trPr>
        <w:tc>
          <w:tcPr>
            <w:tcW w:w="988" w:type="dxa"/>
            <w:vAlign w:val="center"/>
            <w:textDirection w:val="lrTb"/>
            <w:noWrap w:val="false"/>
          </w:tcPr>
          <w:p>
            <w:pPr>
              <w:pStyle w:val="1140"/>
              <w:ind w:firstLine="28"/>
              <w:jc w:val="center"/>
              <w:rPr>
                <w:rFonts w:ascii="宋体" w:hAnsi="宋体"/>
                <w:sz w:val="24"/>
                <w:highlight w:val="none"/>
              </w:rPr>
            </w:pPr>
            <w:r>
              <w:rPr>
                <w:rFonts w:hint="eastAsia" w:ascii="宋体" w:hAnsi="宋体"/>
                <w:sz w:val="24"/>
                <w:highlight w:val="none"/>
              </w:rPr>
              <w:t xml:space="preserve">2.3</w:t>
            </w:r>
            <w:r>
              <w:rPr>
                <w:rFonts w:ascii="宋体" w:hAnsi="宋体"/>
                <w:sz w:val="24"/>
                <w:highlight w:val="none"/>
              </w:rPr>
            </w:r>
            <w:r/>
          </w:p>
        </w:tc>
        <w:tc>
          <w:tcPr>
            <w:tcW w:w="1305" w:type="dxa"/>
            <w:vAlign w:val="center"/>
            <w:textDirection w:val="lrTb"/>
            <w:noWrap w:val="false"/>
          </w:tcPr>
          <w:p>
            <w:pPr>
              <w:pStyle w:val="1140"/>
              <w:jc w:val="center"/>
              <w:widowControl/>
              <w:rPr>
                <w:rFonts w:ascii="宋体" w:hAnsi="宋体"/>
                <w:b w:val="0"/>
                <w:bCs w:val="0"/>
                <w:sz w:val="24"/>
                <w:highlight w:val="none"/>
              </w:rPr>
            </w:pPr>
            <w:r>
              <w:rPr>
                <w:rStyle w:val="1219"/>
                <w:rFonts w:hint="eastAsia" w:ascii="宋体" w:hAnsi="宋体" w:eastAsia="宋体" w:cs="宋体"/>
                <w:b w:val="0"/>
                <w:bCs w:val="0"/>
                <w:color w:val="000000"/>
                <w:sz w:val="24"/>
                <w:szCs w:val="24"/>
                <w:highlight w:val="none"/>
              </w:rPr>
              <w:t xml:space="preserve">施工进度计划方案及控制措施</w:t>
            </w:r>
            <w:r>
              <w:rPr>
                <w:rFonts w:ascii="宋体" w:hAnsi="宋体"/>
                <w:b w:val="0"/>
                <w:bCs w:val="0"/>
                <w:sz w:val="24"/>
                <w:highlight w:val="none"/>
              </w:rPr>
            </w:r>
            <w:r/>
          </w:p>
        </w:tc>
        <w:tc>
          <w:tcPr>
            <w:tcW w:w="750" w:type="dxa"/>
            <w:vAlign w:val="center"/>
            <w:textDirection w:val="lrTb"/>
            <w:noWrap w:val="false"/>
          </w:tcPr>
          <w:p>
            <w:pPr>
              <w:pStyle w:val="1140"/>
              <w:jc w:val="center"/>
              <w:spacing w:line="360" w:lineRule="exact"/>
              <w:rPr>
                <w:rFonts w:hint="eastAsia" w:ascii="宋体" w:hAnsi="宋体" w:eastAsia="宋体"/>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sz w:val="24"/>
                <w:highlight w:val="none"/>
                <w:lang w:val="en-US" w:eastAsia="zh-CN"/>
              </w:rPr>
            </w:r>
            <w:r/>
          </w:p>
        </w:tc>
        <w:tc>
          <w:tcPr>
            <w:tcW w:w="6303" w:type="dxa"/>
            <w:vAlign w:val="center"/>
            <w:textDirection w:val="lrTb"/>
            <w:noWrap w:val="false"/>
          </w:tcPr>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施工进度计划方案及控制措施 </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供应商根据本项目的实际需求及自身情况编制施工计划方案，方案内容包括但不限于进度计划网络图和各阶段的进度计划表以及进度保证措施等方面：</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方案完整、可行，能完全满足项目实施要求，得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方案较具体、可行，能基本满足项目实施要求，得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方案内容较简单，对项目实施要求响应一般，得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方案内容较差、无针对性或可行性较差，得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40"/>
              <w:jc w:val="left"/>
              <w:spacing w:line="360" w:lineRule="exact"/>
              <w:rPr>
                <w:rFonts w:ascii="宋体" w:hAnsi="宋体"/>
                <w:b/>
                <w:spacing w:val="-6"/>
                <w:sz w:val="24"/>
                <w:highlight w:val="none"/>
              </w:rPr>
            </w:pPr>
            <w:r>
              <w:rPr>
                <w:rFonts w:hint="eastAsia" w:ascii="宋体" w:hAnsi="宋体" w:eastAsia="宋体" w:cs="宋体"/>
                <w:color w:val="000000"/>
                <w:sz w:val="24"/>
                <w:szCs w:val="24"/>
                <w:highlight w:val="none"/>
              </w:rPr>
              <w:t xml:space="preserve">未提供本项不得分。</w:t>
            </w:r>
            <w:r>
              <w:rPr>
                <w:rFonts w:ascii="宋体" w:hAnsi="宋体"/>
                <w:b/>
                <w:spacing w:val="-6"/>
                <w:sz w:val="24"/>
                <w:highlight w:val="none"/>
              </w:rPr>
            </w:r>
            <w:r/>
          </w:p>
        </w:tc>
      </w:tr>
      <w:tr>
        <w:trPr>
          <w:trHeight w:val="454"/>
        </w:trPr>
        <w:tc>
          <w:tcPr>
            <w:tcW w:w="988" w:type="dxa"/>
            <w:vAlign w:val="center"/>
            <w:textDirection w:val="lrTb"/>
            <w:noWrap w:val="false"/>
          </w:tcPr>
          <w:p>
            <w:pPr>
              <w:pStyle w:val="1140"/>
              <w:ind w:firstLine="28"/>
              <w:jc w:val="center"/>
              <w:rPr>
                <w:rFonts w:hint="eastAsia" w:ascii="宋体" w:hAnsi="宋体" w:eastAsia="宋体"/>
                <w:sz w:val="24"/>
                <w:highlight w:val="none"/>
                <w:lang w:eastAsia="zh-CN"/>
              </w:rPr>
            </w:pPr>
            <w:r>
              <w:rPr>
                <w:rFonts w:hint="eastAsia" w:ascii="宋体" w:hAnsi="宋体"/>
                <w:sz w:val="24"/>
                <w:highlight w:val="none"/>
              </w:rPr>
              <w:t xml:space="preserve">2.</w:t>
            </w:r>
            <w:r>
              <w:rPr>
                <w:rFonts w:hint="eastAsia" w:ascii="宋体" w:hAnsi="宋体"/>
                <w:sz w:val="24"/>
                <w:highlight w:val="none"/>
                <w:lang w:val="en-US" w:eastAsia="zh-CN"/>
              </w:rPr>
              <w:t xml:space="preserve">4</w:t>
            </w:r>
            <w:r>
              <w:rPr>
                <w:rFonts w:hint="eastAsia" w:ascii="宋体" w:hAnsi="宋体" w:eastAsia="宋体"/>
                <w:sz w:val="24"/>
                <w:highlight w:val="none"/>
                <w:lang w:eastAsia="zh-CN"/>
              </w:rPr>
            </w:r>
            <w:r/>
          </w:p>
        </w:tc>
        <w:tc>
          <w:tcPr>
            <w:tcW w:w="1305" w:type="dxa"/>
            <w:vAlign w:val="center"/>
            <w:textDirection w:val="lrTb"/>
            <w:noWrap w:val="false"/>
          </w:tcPr>
          <w:p>
            <w:pPr>
              <w:pStyle w:val="1140"/>
              <w:jc w:val="center"/>
              <w:widowControl/>
              <w:rPr>
                <w:rFonts w:ascii="宋体" w:hAnsi="宋体"/>
                <w:b w:val="0"/>
                <w:bCs w:val="0"/>
                <w:sz w:val="24"/>
                <w:highlight w:val="none"/>
              </w:rPr>
            </w:pPr>
            <w:r>
              <w:rPr>
                <w:rStyle w:val="1219"/>
                <w:rFonts w:hint="eastAsia" w:ascii="宋体" w:hAnsi="宋体" w:eastAsia="宋体" w:cs="宋体"/>
                <w:b w:val="0"/>
                <w:bCs w:val="0"/>
                <w:color w:val="000000"/>
                <w:sz w:val="24"/>
                <w:szCs w:val="24"/>
                <w:highlight w:val="none"/>
              </w:rPr>
              <w:t xml:space="preserve">实施项目重点、难点和解决方案</w:t>
            </w:r>
            <w:r>
              <w:rPr>
                <w:rFonts w:ascii="宋体" w:hAnsi="宋体"/>
                <w:b w:val="0"/>
                <w:bCs w:val="0"/>
                <w:sz w:val="24"/>
                <w:highlight w:val="none"/>
              </w:rPr>
            </w:r>
            <w:r/>
          </w:p>
        </w:tc>
        <w:tc>
          <w:tcPr>
            <w:tcW w:w="750" w:type="dxa"/>
            <w:vAlign w:val="center"/>
            <w:textDirection w:val="lrTb"/>
            <w:noWrap w:val="false"/>
          </w:tcPr>
          <w:p>
            <w:pPr>
              <w:pStyle w:val="1140"/>
              <w:jc w:val="center"/>
              <w:spacing w:line="360" w:lineRule="exact"/>
              <w:rPr>
                <w:rFonts w:ascii="宋体" w:hAnsi="宋体"/>
                <w:sz w:val="24"/>
                <w:highlight w:val="none"/>
              </w:rPr>
            </w:pPr>
            <w:r>
              <w:rPr>
                <w:rFonts w:hint="eastAsia" w:ascii="宋体" w:hAnsi="宋体" w:cs="宋体"/>
                <w:sz w:val="24"/>
                <w:szCs w:val="24"/>
                <w:highlight w:val="none"/>
                <w:lang w:val="en-US" w:eastAsia="zh-CN"/>
              </w:rPr>
              <w:t xml:space="preserve">5</w:t>
            </w:r>
            <w:r>
              <w:rPr>
                <w:rFonts w:ascii="宋体" w:hAnsi="宋体"/>
                <w:sz w:val="24"/>
                <w:highlight w:val="none"/>
              </w:rPr>
            </w:r>
            <w:r/>
          </w:p>
        </w:tc>
        <w:tc>
          <w:tcPr>
            <w:tcW w:w="6303" w:type="dxa"/>
            <w:vAlign w:val="center"/>
            <w:textDirection w:val="lrTb"/>
            <w:noWrap w:val="false"/>
          </w:tcPr>
          <w:p>
            <w:pPr>
              <w:pStyle w:val="1221"/>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实施项目重点、难点和解决方案 </w:t>
            </w:r>
            <w:r>
              <w:rPr>
                <w:rFonts w:hint="eastAsia" w:ascii="宋体" w:hAnsi="宋体" w:eastAsia="宋体" w:cs="宋体"/>
                <w:b/>
                <w:bCs/>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供应商根据本项目的实际需求及自身情况提供针对本项目的关键施工技术、工艺及工程项目实施的重点、难点和解决方案等方面：</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关键施工技术的重难点针对性强，解决方案合理的，得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方案较具体、可行，能基本满足项目实施要求，得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方案内容较简单，对项目实施要求响应一般，得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40"/>
              <w:jc w:val="left"/>
              <w:spacing w:line="360" w:lineRule="exact"/>
              <w:rPr>
                <w:rFonts w:ascii="宋体" w:hAnsi="宋体"/>
                <w:b/>
                <w:spacing w:val="-6"/>
                <w:sz w:val="24"/>
                <w:highlight w:val="none"/>
              </w:rPr>
            </w:pPr>
            <w:r>
              <w:rPr>
                <w:rFonts w:hint="eastAsia" w:ascii="宋体" w:hAnsi="宋体" w:eastAsia="宋体" w:cs="宋体"/>
                <w:color w:val="000000"/>
                <w:sz w:val="24"/>
                <w:szCs w:val="24"/>
                <w:highlight w:val="none"/>
              </w:rPr>
              <w:t xml:space="preserve">未提供本项不得分。</w:t>
            </w:r>
            <w:r>
              <w:rPr>
                <w:rFonts w:ascii="宋体" w:hAnsi="宋体"/>
                <w:b/>
                <w:spacing w:val="-6"/>
                <w:sz w:val="24"/>
                <w:highlight w:val="none"/>
              </w:rPr>
            </w:r>
            <w:r/>
          </w:p>
        </w:tc>
      </w:tr>
      <w:tr>
        <w:trPr>
          <w:trHeight w:val="454"/>
        </w:trPr>
        <w:tc>
          <w:tcPr>
            <w:tcW w:w="988" w:type="dxa"/>
            <w:vAlign w:val="center"/>
            <w:textDirection w:val="lrTb"/>
            <w:noWrap w:val="false"/>
          </w:tcPr>
          <w:p>
            <w:pPr>
              <w:pStyle w:val="1140"/>
              <w:ind w:firstLine="28"/>
              <w:jc w:val="center"/>
              <w:rPr>
                <w:rFonts w:hint="eastAsia" w:ascii="宋体" w:hAnsi="宋体" w:eastAsia="宋体"/>
                <w:sz w:val="24"/>
                <w:highlight w:val="none"/>
                <w:lang w:eastAsia="zh-CN"/>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eastAsia="宋体"/>
                <w:sz w:val="24"/>
                <w:highlight w:val="none"/>
                <w:lang w:eastAsia="zh-CN"/>
              </w:rPr>
            </w:r>
            <w:r/>
          </w:p>
        </w:tc>
        <w:tc>
          <w:tcPr>
            <w:tcW w:w="1305" w:type="dxa"/>
            <w:vAlign w:val="center"/>
            <w:textDirection w:val="lrTb"/>
            <w:noWrap w:val="false"/>
          </w:tcPr>
          <w:p>
            <w:pPr>
              <w:pStyle w:val="1140"/>
              <w:jc w:val="center"/>
              <w:widowControl/>
              <w:rPr>
                <w:rFonts w:ascii="宋体" w:hAnsi="宋体" w:cs="宋体"/>
                <w:b w:val="0"/>
                <w:bCs w:val="0"/>
                <w:sz w:val="24"/>
                <w:highlight w:val="none"/>
              </w:rPr>
            </w:pPr>
            <w:r>
              <w:rPr>
                <w:rStyle w:val="1219"/>
                <w:rFonts w:hint="eastAsia" w:ascii="宋体" w:hAnsi="宋体" w:eastAsia="宋体" w:cs="宋体"/>
                <w:b w:val="0"/>
                <w:bCs w:val="0"/>
                <w:color w:val="000000"/>
                <w:sz w:val="24"/>
                <w:szCs w:val="24"/>
                <w:highlight w:val="none"/>
              </w:rPr>
              <w:t xml:space="preserve">应急预案</w:t>
            </w:r>
            <w:r>
              <w:rPr>
                <w:rFonts w:ascii="宋体" w:hAnsi="宋体" w:cs="宋体"/>
                <w:b w:val="0"/>
                <w:bCs w:val="0"/>
                <w:sz w:val="24"/>
                <w:highlight w:val="none"/>
              </w:rPr>
            </w:r>
            <w:r/>
          </w:p>
        </w:tc>
        <w:tc>
          <w:tcPr>
            <w:tcW w:w="750" w:type="dxa"/>
            <w:vAlign w:val="center"/>
            <w:textDirection w:val="lrTb"/>
            <w:noWrap w:val="false"/>
          </w:tcPr>
          <w:p>
            <w:pPr>
              <w:pStyle w:val="1140"/>
              <w:jc w:val="center"/>
              <w:spacing w:line="360" w:lineRule="exact"/>
              <w:rPr>
                <w:rFonts w:ascii="宋体" w:hAnsi="宋体" w:eastAsia="宋体"/>
                <w:sz w:val="24"/>
                <w:highlight w:val="none"/>
                <w:lang w:eastAsia="zh-CN"/>
              </w:rPr>
            </w:pPr>
            <w:r>
              <w:rPr>
                <w:rFonts w:hint="eastAsia" w:ascii="宋体" w:hAnsi="宋体" w:cs="宋体"/>
                <w:color w:val="000000"/>
                <w:sz w:val="24"/>
                <w:szCs w:val="24"/>
                <w:highlight w:val="none"/>
                <w:lang w:val="en-US" w:eastAsia="zh-CN"/>
              </w:rPr>
              <w:t xml:space="preserve">8</w:t>
            </w:r>
            <w:r>
              <w:rPr>
                <w:rFonts w:ascii="宋体" w:hAnsi="宋体" w:eastAsia="宋体"/>
                <w:sz w:val="24"/>
                <w:highlight w:val="none"/>
                <w:lang w:eastAsia="zh-CN"/>
              </w:rPr>
            </w:r>
            <w:r/>
          </w:p>
        </w:tc>
        <w:tc>
          <w:tcPr>
            <w:tcW w:w="6303" w:type="dxa"/>
            <w:vAlign w:val="top"/>
            <w:textDirection w:val="lrTb"/>
            <w:noWrap w:val="false"/>
          </w:tcPr>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应急预案包括但不限于面对突发事件如自然灾害、重特大事故、环境公害及人为破坏的应急管理、指挥、救援计划等；</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方案完整、可行，能完全满足项目实施要求，得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方案较具体、可行，能基本满足项目实施要求，得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方案内容较简单，对项目实施要求响应一般，得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方案内容较差、无针对性或可行性较差，得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ascii="宋体" w:hAnsi="宋体" w:cs="宋体"/>
                <w:bCs/>
                <w:sz w:val="24"/>
                <w:highlight w:val="none"/>
              </w:rPr>
            </w:pPr>
            <w:r>
              <w:rPr>
                <w:rFonts w:hint="eastAsia" w:ascii="宋体" w:hAnsi="宋体" w:eastAsia="宋体" w:cs="宋体"/>
                <w:color w:val="000000"/>
                <w:sz w:val="24"/>
                <w:szCs w:val="24"/>
                <w:highlight w:val="none"/>
              </w:rPr>
              <w:t xml:space="preserve">未提供本项不得分。</w:t>
            </w:r>
            <w:r>
              <w:rPr>
                <w:rFonts w:ascii="宋体" w:hAnsi="宋体" w:cs="宋体"/>
                <w:bCs/>
                <w:sz w:val="24"/>
                <w:highlight w:val="none"/>
              </w:rPr>
            </w:r>
            <w:r/>
          </w:p>
        </w:tc>
      </w:tr>
      <w:tr>
        <w:trPr>
          <w:trHeight w:val="454"/>
        </w:trPr>
        <w:tc>
          <w:tcPr>
            <w:tcW w:w="988" w:type="dxa"/>
            <w:vAlign w:val="center"/>
            <w:textDirection w:val="lrTb"/>
            <w:noWrap w:val="false"/>
          </w:tcPr>
          <w:p>
            <w:pPr>
              <w:pStyle w:val="1140"/>
              <w:ind w:firstLine="28"/>
              <w:jc w:val="center"/>
              <w:rPr>
                <w:rFonts w:hint="eastAsia" w:ascii="宋体" w:hAnsi="宋体" w:eastAsia="宋体"/>
                <w:sz w:val="24"/>
                <w:highlight w:val="none"/>
                <w:lang w:eastAsia="zh-CN"/>
              </w:rPr>
            </w:pPr>
            <w:r>
              <w:rPr>
                <w:rFonts w:hint="eastAsia" w:ascii="宋体" w:hAnsi="宋体"/>
                <w:sz w:val="24"/>
                <w:highlight w:val="none"/>
              </w:rPr>
              <w:t xml:space="preserve">2.</w:t>
            </w:r>
            <w:r>
              <w:rPr>
                <w:rFonts w:hint="eastAsia" w:ascii="宋体" w:hAnsi="宋体"/>
                <w:sz w:val="24"/>
                <w:highlight w:val="none"/>
                <w:lang w:val="en-US" w:eastAsia="zh-CN"/>
              </w:rPr>
              <w:t xml:space="preserve">6</w:t>
            </w:r>
            <w:r>
              <w:rPr>
                <w:rFonts w:hint="eastAsia" w:ascii="宋体" w:hAnsi="宋体" w:eastAsia="宋体"/>
                <w:sz w:val="24"/>
                <w:highlight w:val="none"/>
                <w:lang w:eastAsia="zh-CN"/>
              </w:rPr>
            </w:r>
            <w:r/>
          </w:p>
        </w:tc>
        <w:tc>
          <w:tcPr>
            <w:tcW w:w="1305" w:type="dxa"/>
            <w:vAlign w:val="center"/>
            <w:textDirection w:val="lrTb"/>
            <w:noWrap w:val="false"/>
          </w:tcPr>
          <w:p>
            <w:pPr>
              <w:pStyle w:val="1140"/>
              <w:jc w:val="center"/>
              <w:widowControl/>
              <w:rPr>
                <w:rFonts w:ascii="宋体" w:hAnsi="宋体"/>
                <w:b w:val="0"/>
                <w:bCs w:val="0"/>
                <w:sz w:val="24"/>
                <w:highlight w:val="none"/>
              </w:rPr>
            </w:pPr>
            <w:r>
              <w:rPr>
                <w:rStyle w:val="1219"/>
                <w:rFonts w:hint="eastAsia" w:ascii="宋体" w:hAnsi="宋体" w:eastAsia="宋体" w:cs="宋体"/>
                <w:b w:val="0"/>
                <w:bCs w:val="0"/>
                <w:color w:val="000000"/>
                <w:sz w:val="24"/>
                <w:szCs w:val="24"/>
                <w:highlight w:val="none"/>
              </w:rPr>
              <w:t xml:space="preserve">养护服务</w:t>
            </w:r>
            <w:r>
              <w:rPr>
                <w:rStyle w:val="1219"/>
                <w:rFonts w:hint="eastAsia" w:ascii="宋体" w:hAnsi="宋体" w:cs="宋体"/>
                <w:b w:val="0"/>
                <w:bCs w:val="0"/>
                <w:color w:val="000000"/>
                <w:sz w:val="24"/>
                <w:szCs w:val="24"/>
                <w:highlight w:val="none"/>
                <w:lang w:val="en-US"/>
              </w:rPr>
              <w:t xml:space="preserve">方案</w:t>
            </w:r>
            <w:r>
              <w:rPr>
                <w:rFonts w:ascii="宋体" w:hAnsi="宋体"/>
                <w:b w:val="0"/>
                <w:bCs w:val="0"/>
                <w:sz w:val="24"/>
                <w:highlight w:val="none"/>
              </w:rPr>
            </w:r>
            <w:r/>
          </w:p>
        </w:tc>
        <w:tc>
          <w:tcPr>
            <w:tcW w:w="750" w:type="dxa"/>
            <w:vAlign w:val="center"/>
            <w:textDirection w:val="lrTb"/>
            <w:noWrap w:val="false"/>
          </w:tcPr>
          <w:p>
            <w:pPr>
              <w:pStyle w:val="1140"/>
              <w:jc w:val="center"/>
              <w:spacing w:line="360" w:lineRule="exact"/>
              <w:rPr>
                <w:rFonts w:hint="eastAsia" w:ascii="宋体" w:hAnsi="宋体" w:eastAsia="宋体"/>
                <w:sz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sz w:val="24"/>
                <w:highlight w:val="none"/>
                <w:lang w:val="en-US" w:eastAsia="zh-CN"/>
              </w:rPr>
            </w:r>
            <w:r/>
          </w:p>
        </w:tc>
        <w:tc>
          <w:tcPr>
            <w:tcW w:w="6303" w:type="dxa"/>
            <w:vAlign w:val="center"/>
            <w:textDirection w:val="lrTb"/>
            <w:noWrap w:val="false"/>
          </w:tcPr>
          <w:p>
            <w:pPr>
              <w:pStyle w:val="1221"/>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养护服务方案</w:t>
            </w:r>
            <w:r>
              <w:rPr>
                <w:rFonts w:hint="eastAsia" w:ascii="宋体" w:hAnsi="宋体" w:eastAsia="宋体" w:cs="宋体"/>
                <w:b/>
                <w:bCs/>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供应商根据本项目的实际需求及自身情况编制相应的养护服务，方案内容包括但不限于每月养护计划，养护人员配置，苗木成活率保障方案，每月提供详细的养护资料供采购人验收等：</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方案完整、可行，能完全满足项目实施要求，得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方案较具体、可行，能基本满足项目实施要求，得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方案内容较简单，对项目实施要求响应一般，得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方案内容较差、无针对性或可行性较差，得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ascii="宋体" w:hAnsi="宋体" w:cs="宋体"/>
                <w:bCs/>
                <w:sz w:val="24"/>
                <w:highlight w:val="none"/>
              </w:rPr>
            </w:pPr>
            <w:r>
              <w:rPr>
                <w:rFonts w:hint="eastAsia" w:ascii="宋体" w:hAnsi="宋体" w:eastAsia="宋体" w:cs="宋体"/>
                <w:color w:val="000000"/>
                <w:sz w:val="24"/>
                <w:szCs w:val="24"/>
                <w:highlight w:val="none"/>
              </w:rPr>
              <w:t xml:space="preserve">未提供本项不得分。</w:t>
            </w:r>
            <w:r>
              <w:rPr>
                <w:rFonts w:ascii="宋体" w:hAnsi="宋体" w:cs="宋体"/>
                <w:bCs/>
                <w:sz w:val="24"/>
                <w:highlight w:val="none"/>
              </w:rPr>
            </w:r>
            <w:r/>
          </w:p>
        </w:tc>
      </w:tr>
      <w:tr>
        <w:trPr>
          <w:trHeight w:val="454"/>
        </w:trPr>
        <w:tc>
          <w:tcPr>
            <w:tcW w:w="988" w:type="dxa"/>
            <w:vAlign w:val="center"/>
            <w:textDirection w:val="lrTb"/>
            <w:noWrap w:val="false"/>
          </w:tcPr>
          <w:p>
            <w:pPr>
              <w:pStyle w:val="1140"/>
              <w:ind w:firstLine="28"/>
              <w:jc w:val="center"/>
              <w:rPr>
                <w:rFonts w:hint="eastAsia" w:ascii="宋体" w:hAnsi="宋体" w:eastAsia="宋体"/>
                <w:sz w:val="24"/>
                <w:highlight w:val="none"/>
                <w:lang w:eastAsia="zh-CN"/>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eastAsia="宋体"/>
                <w:sz w:val="24"/>
                <w:highlight w:val="none"/>
                <w:lang w:eastAsia="zh-CN"/>
              </w:rPr>
            </w:r>
            <w:r/>
          </w:p>
        </w:tc>
        <w:tc>
          <w:tcPr>
            <w:tcW w:w="1305" w:type="dxa"/>
            <w:vAlign w:val="center"/>
            <w:textDirection w:val="lrTb"/>
            <w:noWrap w:val="false"/>
          </w:tcPr>
          <w:p>
            <w:pPr>
              <w:pStyle w:val="1140"/>
              <w:jc w:val="center"/>
              <w:widowControl/>
              <w:rPr>
                <w:rFonts w:ascii="宋体" w:hAnsi="宋体"/>
                <w:b w:val="0"/>
                <w:bCs w:val="0"/>
                <w:sz w:val="24"/>
                <w:highlight w:val="none"/>
              </w:rPr>
            </w:pPr>
            <w:r>
              <w:rPr>
                <w:rStyle w:val="1219"/>
                <w:rFonts w:hint="eastAsia" w:ascii="宋体" w:hAnsi="宋体" w:eastAsia="宋体" w:cs="宋体"/>
                <w:b w:val="0"/>
                <w:bCs w:val="0"/>
                <w:color w:val="000000"/>
                <w:sz w:val="24"/>
                <w:szCs w:val="24"/>
                <w:highlight w:val="none"/>
              </w:rPr>
              <w:t xml:space="preserve">配合苗木移出服务方案</w:t>
            </w:r>
            <w:r>
              <w:rPr>
                <w:rFonts w:ascii="宋体" w:hAnsi="宋体"/>
                <w:b w:val="0"/>
                <w:bCs w:val="0"/>
                <w:sz w:val="24"/>
                <w:highlight w:val="none"/>
              </w:rPr>
            </w:r>
            <w:r/>
          </w:p>
        </w:tc>
        <w:tc>
          <w:tcPr>
            <w:tcW w:w="750" w:type="dxa"/>
            <w:vAlign w:val="center"/>
            <w:textDirection w:val="lrTb"/>
            <w:noWrap w:val="false"/>
          </w:tcPr>
          <w:p>
            <w:pPr>
              <w:pStyle w:val="1140"/>
              <w:jc w:val="center"/>
              <w:spacing w:line="360" w:lineRule="exact"/>
              <w:rPr>
                <w:rFonts w:hint="eastAsia" w:ascii="宋体" w:hAnsi="宋体" w:eastAsia="宋体"/>
                <w:sz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sz w:val="24"/>
                <w:highlight w:val="none"/>
                <w:lang w:val="en-US" w:eastAsia="zh-CN"/>
              </w:rPr>
            </w:r>
            <w:r/>
          </w:p>
        </w:tc>
        <w:tc>
          <w:tcPr>
            <w:tcW w:w="6303" w:type="dxa"/>
            <w:vAlign w:val="center"/>
            <w:textDirection w:val="lrTb"/>
            <w:noWrap w:val="false"/>
          </w:tcPr>
          <w:p>
            <w:pPr>
              <w:pStyle w:val="1221"/>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配合</w:t>
            </w:r>
            <w:r>
              <w:rPr>
                <w:rStyle w:val="1219"/>
                <w:rFonts w:hint="eastAsia" w:ascii="宋体" w:hAnsi="宋体" w:eastAsia="宋体" w:cs="宋体"/>
                <w:b/>
                <w:bCs/>
                <w:color w:val="000000"/>
                <w:sz w:val="24"/>
                <w:szCs w:val="24"/>
                <w:highlight w:val="none"/>
              </w:rPr>
              <w:t xml:space="preserve">苗木移出</w:t>
            </w:r>
            <w:r>
              <w:rPr>
                <w:rFonts w:hint="eastAsia" w:ascii="宋体" w:hAnsi="宋体" w:eastAsia="宋体" w:cs="宋体"/>
                <w:b/>
                <w:bCs/>
                <w:color w:val="000000"/>
                <w:sz w:val="24"/>
                <w:szCs w:val="24"/>
                <w:highlight w:val="none"/>
              </w:rPr>
              <w:t xml:space="preserve">服务方案 </w:t>
            </w:r>
            <w:r>
              <w:rPr>
                <w:rFonts w:hint="eastAsia" w:ascii="宋体" w:hAnsi="宋体" w:eastAsia="宋体" w:cs="宋体"/>
                <w:b/>
                <w:bCs/>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供应商根据本项目的实际需求及自身情况编制相应的配合</w:t>
            </w:r>
            <w:r>
              <w:rPr>
                <w:rStyle w:val="1219"/>
                <w:rFonts w:hint="eastAsia" w:ascii="宋体" w:hAnsi="宋体" w:eastAsia="宋体" w:cs="宋体"/>
                <w:color w:val="000000"/>
                <w:sz w:val="24"/>
                <w:szCs w:val="24"/>
                <w:highlight w:val="none"/>
              </w:rPr>
              <w:t xml:space="preserve">苗木移出</w:t>
            </w:r>
            <w:r>
              <w:rPr>
                <w:rFonts w:hint="eastAsia" w:ascii="宋体" w:hAnsi="宋体" w:eastAsia="宋体" w:cs="宋体"/>
                <w:color w:val="000000"/>
                <w:sz w:val="24"/>
                <w:szCs w:val="24"/>
                <w:highlight w:val="none"/>
              </w:rPr>
              <w:t xml:space="preserve">服务方案，方案内容包括但不限于拟投入服务响应时间的及时性保障方案、与移出苗木的单位协调方案等方面：</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方案完整、可行，能完全满足项目实施要求，得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方案较具体、可行，能基本满足项目实施要求，得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方案内容较简单，对项目实施要求响应一般，得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方案内容较差、无针对性或可行性较差，得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21"/>
              <w:spacing w:line="360" w:lineRule="exact"/>
              <w:rPr>
                <w:rFonts w:ascii="宋体" w:hAnsi="宋体"/>
                <w:bCs/>
                <w:sz w:val="24"/>
                <w:highlight w:val="none"/>
              </w:rPr>
            </w:pPr>
            <w:r>
              <w:rPr>
                <w:rFonts w:hint="eastAsia" w:ascii="宋体" w:hAnsi="宋体" w:eastAsia="宋体" w:cs="宋体"/>
                <w:color w:val="000000"/>
                <w:sz w:val="24"/>
                <w:szCs w:val="24"/>
                <w:highlight w:val="none"/>
              </w:rPr>
              <w:t xml:space="preserve">未提供本项不得分。</w:t>
            </w:r>
            <w:r>
              <w:rPr>
                <w:rFonts w:ascii="宋体" w:hAnsi="宋体"/>
                <w:bCs/>
                <w:sz w:val="24"/>
                <w:highlight w:val="none"/>
              </w:rPr>
            </w:r>
            <w:r/>
          </w:p>
        </w:tc>
      </w:tr>
      <w:tr>
        <w:trPr>
          <w:trHeight w:val="454"/>
        </w:trPr>
        <w:tc>
          <w:tcPr>
            <w:tcW w:w="988" w:type="dxa"/>
            <w:vAlign w:val="center"/>
            <w:textDirection w:val="lrTb"/>
            <w:noWrap w:val="false"/>
          </w:tcPr>
          <w:p>
            <w:pPr>
              <w:pStyle w:val="1140"/>
              <w:ind w:firstLine="28"/>
              <w:jc w:val="center"/>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p>
        </w:tc>
        <w:tc>
          <w:tcPr>
            <w:tcW w:w="1305" w:type="dxa"/>
            <w:vAlign w:val="center"/>
            <w:textDirection w:val="lrTb"/>
            <w:noWrap w:val="false"/>
          </w:tcPr>
          <w:p>
            <w:pPr>
              <w:pStyle w:val="1140"/>
              <w:ind w:firstLine="28"/>
              <w:jc w:val="center"/>
              <w:rPr>
                <w:rFonts w:ascii="宋体" w:hAnsi="宋体"/>
                <w:sz w:val="24"/>
                <w:highlight w:val="none"/>
              </w:rPr>
            </w:pPr>
            <w:r>
              <w:rPr>
                <w:rFonts w:hint="eastAsia" w:ascii="宋体" w:hAnsi="宋体"/>
                <w:sz w:val="24"/>
                <w:highlight w:val="none"/>
              </w:rPr>
              <w:t xml:space="preserve">客观分</w:t>
            </w:r>
            <w:r>
              <w:rPr>
                <w:rFonts w:ascii="宋体" w:hAnsi="宋体"/>
                <w:sz w:val="24"/>
                <w:highlight w:val="none"/>
              </w:rPr>
            </w:r>
            <w:r/>
          </w:p>
        </w:tc>
        <w:tc>
          <w:tcPr>
            <w:tcW w:w="750" w:type="dxa"/>
            <w:vAlign w:val="center"/>
            <w:textDirection w:val="lrTb"/>
            <w:noWrap w:val="false"/>
          </w:tcPr>
          <w:p>
            <w:pPr>
              <w:pStyle w:val="1140"/>
              <w:ind w:firstLine="28"/>
              <w:jc w:val="center"/>
              <w:rPr>
                <w:rFonts w:ascii="宋体" w:hAnsi="宋体" w:eastAsia="宋体"/>
                <w:sz w:val="24"/>
                <w:highlight w:val="none"/>
                <w:lang w:val="en-US" w:eastAsia="zh-CN"/>
              </w:rPr>
            </w:pPr>
            <w:r>
              <w:rPr>
                <w:rFonts w:hint="eastAsia" w:ascii="宋体" w:hAnsi="宋体"/>
                <w:sz w:val="24"/>
                <w:highlight w:val="none"/>
                <w:lang w:val="en-US" w:eastAsia="zh-CN"/>
              </w:rPr>
              <w:t xml:space="preserve">32</w:t>
            </w:r>
            <w:r>
              <w:rPr>
                <w:rFonts w:ascii="宋体" w:hAnsi="宋体" w:eastAsia="宋体"/>
                <w:sz w:val="24"/>
                <w:highlight w:val="none"/>
                <w:lang w:val="en-US" w:eastAsia="zh-CN"/>
              </w:rPr>
            </w:r>
            <w:r/>
          </w:p>
        </w:tc>
        <w:tc>
          <w:tcPr>
            <w:tcW w:w="6303" w:type="dxa"/>
            <w:vAlign w:val="top"/>
            <w:textDirection w:val="lrTb"/>
            <w:noWrap w:val="false"/>
          </w:tcPr>
          <w:p>
            <w:pPr>
              <w:pStyle w:val="1140"/>
              <w:ind w:firstLine="420"/>
              <w:rPr>
                <w:rFonts w:ascii="宋体" w:hAnsi="宋体" w:cs="宋体"/>
                <w:bCs/>
                <w:sz w:val="24"/>
                <w:highlight w:val="none"/>
              </w:rPr>
            </w:pPr>
            <w:r>
              <w:rPr>
                <w:rFonts w:ascii="宋体" w:hAnsi="宋体" w:cs="宋体"/>
                <w:bCs/>
                <w:sz w:val="24"/>
                <w:highlight w:val="none"/>
              </w:rPr>
            </w:r>
            <w:r/>
          </w:p>
        </w:tc>
      </w:tr>
      <w:tr>
        <w:trPr>
          <w:trHeight w:val="967"/>
        </w:trPr>
        <w:tc>
          <w:tcPr>
            <w:tcW w:w="988" w:type="dxa"/>
            <w:vAlign w:val="center"/>
            <w:textDirection w:val="lrTb"/>
            <w:noWrap w:val="false"/>
          </w:tcPr>
          <w:p>
            <w:pPr>
              <w:pStyle w:val="1140"/>
              <w:ind w:firstLine="28"/>
              <w:jc w:val="center"/>
              <w:rPr>
                <w:rFonts w:ascii="宋体" w:hAnsi="宋体" w:eastAsia="宋体"/>
                <w:sz w:val="24"/>
                <w:highlight w:val="none"/>
                <w:lang w:val="en-US" w:eastAsia="zh-CN"/>
              </w:rPr>
            </w:pPr>
            <w:r>
              <w:rPr>
                <w:rFonts w:hint="eastAsia" w:ascii="宋体" w:hAnsi="宋体"/>
                <w:sz w:val="24"/>
                <w:highlight w:val="none"/>
              </w:rPr>
              <w:t xml:space="preserve">3.</w:t>
            </w:r>
            <w:r>
              <w:rPr>
                <w:rFonts w:hint="eastAsia" w:ascii="宋体" w:hAnsi="宋体"/>
                <w:sz w:val="24"/>
                <w:highlight w:val="none"/>
                <w:lang w:val="en-US" w:eastAsia="zh-CN"/>
              </w:rPr>
              <w:t xml:space="preserve">1</w:t>
            </w:r>
            <w:r>
              <w:rPr>
                <w:rFonts w:ascii="宋体" w:hAnsi="宋体" w:eastAsia="宋体"/>
                <w:sz w:val="24"/>
                <w:highlight w:val="none"/>
                <w:lang w:val="en-US" w:eastAsia="zh-CN"/>
              </w:rPr>
            </w:r>
            <w:r/>
          </w:p>
        </w:tc>
        <w:tc>
          <w:tcPr>
            <w:tcW w:w="1305" w:type="dxa"/>
            <w:vAlign w:val="center"/>
            <w:textDirection w:val="lrTb"/>
            <w:noWrap w:val="false"/>
          </w:tcPr>
          <w:p>
            <w:pPr>
              <w:pStyle w:val="1140"/>
              <w:ind w:firstLine="28"/>
              <w:jc w:val="center"/>
              <w:rPr>
                <w:rFonts w:hint="eastAsia" w:ascii="宋体" w:hAnsi="宋体" w:eastAsia="宋体" w:cs="等线"/>
                <w:bCs/>
                <w:sz w:val="24"/>
                <w:highlight w:val="none"/>
                <w:lang w:val="en-US" w:eastAsia="zh-CN"/>
              </w:rPr>
            </w:pPr>
            <w:r>
              <w:rPr>
                <w:rFonts w:hint="eastAsia" w:ascii="宋体" w:hAnsi="宋体"/>
                <w:sz w:val="24"/>
                <w:highlight w:val="none"/>
                <w:lang w:val="en-US" w:eastAsia="zh-CN"/>
              </w:rPr>
              <w:t xml:space="preserve">企业认证</w:t>
            </w:r>
            <w:r>
              <w:rPr>
                <w:rFonts w:hint="eastAsia" w:ascii="宋体" w:hAnsi="宋体" w:eastAsia="宋体" w:cs="等线"/>
                <w:bCs/>
                <w:sz w:val="24"/>
                <w:highlight w:val="none"/>
                <w:lang w:val="en-US" w:eastAsia="zh-CN"/>
              </w:rPr>
            </w:r>
            <w:r/>
          </w:p>
        </w:tc>
        <w:tc>
          <w:tcPr>
            <w:tcW w:w="750" w:type="dxa"/>
            <w:vAlign w:val="center"/>
            <w:textDirection w:val="lrTb"/>
            <w:noWrap w:val="false"/>
          </w:tcPr>
          <w:p>
            <w:pPr>
              <w:pStyle w:val="1140"/>
              <w:ind w:firstLine="28"/>
              <w:jc w:val="center"/>
              <w:rPr>
                <w:rFonts w:ascii="宋体" w:hAnsi="宋体"/>
                <w:sz w:val="24"/>
                <w:highlight w:val="none"/>
                <w:lang w:val="en-US" w:eastAsia="zh-CN"/>
              </w:rPr>
            </w:pPr>
            <w:r>
              <w:rPr>
                <w:rFonts w:hint="eastAsia" w:ascii="宋体" w:hAnsi="宋体"/>
                <w:sz w:val="24"/>
                <w:highlight w:val="none"/>
                <w:lang w:val="en-US" w:eastAsia="zh-CN"/>
              </w:rPr>
              <w:t xml:space="preserve">6</w:t>
            </w:r>
            <w:r>
              <w:rPr>
                <w:rFonts w:ascii="宋体" w:hAnsi="宋体"/>
                <w:sz w:val="24"/>
                <w:highlight w:val="none"/>
                <w:lang w:val="en-US" w:eastAsia="zh-CN"/>
              </w:rPr>
            </w:r>
            <w:r/>
          </w:p>
        </w:tc>
        <w:tc>
          <w:tcPr>
            <w:tcW w:w="6303" w:type="dxa"/>
            <w:vAlign w:val="top"/>
            <w:textDirection w:val="lrTb"/>
            <w:noWrap w:val="false"/>
          </w:tcPr>
          <w:p>
            <w:pPr>
              <w:pStyle w:val="1140"/>
              <w:rPr>
                <w:rFonts w:hint="eastAsia"/>
                <w:sz w:val="24"/>
                <w:highlight w:val="none"/>
              </w:rPr>
            </w:pPr>
            <w:r>
              <w:rPr>
                <w:rFonts w:hint="eastAsia"/>
                <w:sz w:val="24"/>
                <w:highlight w:val="none"/>
              </w:rPr>
              <w:t xml:space="preserve">具有有效的质量管理体系认证证书、环境管理体系认证证书、职业健康管理体系认证证书，</w:t>
            </w:r>
            <w:r>
              <w:rPr>
                <w:rFonts w:hint="eastAsia"/>
                <w:sz w:val="24"/>
                <w:highlight w:val="none"/>
                <w:lang w:val="en-US" w:eastAsia="zh-CN"/>
              </w:rPr>
              <w:t xml:space="preserve">每</w:t>
            </w:r>
            <w:r>
              <w:rPr>
                <w:rFonts w:hint="eastAsia"/>
                <w:sz w:val="24"/>
                <w:highlight w:val="none"/>
              </w:rPr>
              <w:t xml:space="preserve">有一项得</w:t>
            </w:r>
            <w:r>
              <w:rPr>
                <w:rFonts w:hint="eastAsia"/>
                <w:sz w:val="24"/>
                <w:highlight w:val="none"/>
                <w:lang w:val="en-US" w:eastAsia="zh-CN"/>
              </w:rPr>
              <w:t xml:space="preserve">2</w:t>
            </w:r>
            <w:r>
              <w:rPr>
                <w:rFonts w:hint="eastAsia"/>
                <w:sz w:val="24"/>
                <w:highlight w:val="none"/>
              </w:rPr>
              <w:t xml:space="preserve">分，</w:t>
            </w:r>
            <w:r>
              <w:rPr>
                <w:rFonts w:hint="eastAsia"/>
                <w:sz w:val="24"/>
                <w:highlight w:val="none"/>
                <w:lang w:val="en-US" w:eastAsia="zh-CN"/>
              </w:rPr>
              <w:t xml:space="preserve">本项</w:t>
            </w:r>
            <w:r>
              <w:rPr>
                <w:rFonts w:hint="eastAsia"/>
                <w:sz w:val="24"/>
                <w:highlight w:val="none"/>
              </w:rPr>
              <w:t xml:space="preserve">最高得</w:t>
            </w:r>
            <w:r>
              <w:rPr>
                <w:rFonts w:hint="eastAsia"/>
                <w:sz w:val="24"/>
                <w:highlight w:val="none"/>
                <w:lang w:val="en-US" w:eastAsia="zh-CN"/>
              </w:rPr>
              <w:t xml:space="preserve">6</w:t>
            </w:r>
            <w:r>
              <w:rPr>
                <w:rFonts w:hint="eastAsia"/>
                <w:sz w:val="24"/>
                <w:highlight w:val="none"/>
              </w:rPr>
              <w:t xml:space="preserve">分。</w:t>
            </w:r>
            <w:r>
              <w:rPr>
                <w:rFonts w:hint="eastAsia"/>
                <w:sz w:val="24"/>
                <w:highlight w:val="none"/>
              </w:rPr>
            </w:r>
            <w:r/>
          </w:p>
          <w:p>
            <w:pPr>
              <w:pStyle w:val="1140"/>
              <w:rPr>
                <w:rFonts w:hint="eastAsia" w:ascii="宋体" w:hAnsi="宋体" w:cs="等线"/>
                <w:b w:val="0"/>
                <w:bCs/>
                <w:sz w:val="24"/>
                <w:highlight w:val="none"/>
                <w:lang w:val="en-US" w:eastAsia="zh-CN"/>
              </w:rPr>
            </w:pPr>
            <w:r>
              <w:rPr>
                <w:rFonts w:hint="eastAsia"/>
                <w:b/>
                <w:bCs/>
                <w:sz w:val="24"/>
                <w:highlight w:val="none"/>
                <w:lang w:val="zh-CN"/>
              </w:rPr>
              <w:t xml:space="preserve">响应文件中提供有效证书的原件扫描件或电子证书及国家认证委官网的有效期内的查询状态“有效”的截图加盖供应商公章，否则不得分。</w:t>
            </w:r>
            <w:r>
              <w:rPr>
                <w:rFonts w:hint="eastAsia" w:ascii="宋体" w:hAnsi="宋体" w:cs="等线"/>
                <w:b w:val="0"/>
                <w:bCs/>
                <w:sz w:val="24"/>
                <w:highlight w:val="none"/>
                <w:lang w:val="en-US" w:eastAsia="zh-CN"/>
              </w:rPr>
            </w:r>
            <w:r/>
          </w:p>
        </w:tc>
      </w:tr>
      <w:tr>
        <w:trPr>
          <w:trHeight w:val="967"/>
        </w:trPr>
        <w:tc>
          <w:tcPr>
            <w:tcW w:w="988" w:type="dxa"/>
            <w:vAlign w:val="center"/>
            <w:textDirection w:val="lrTb"/>
            <w:noWrap w:val="false"/>
          </w:tcPr>
          <w:p>
            <w:pPr>
              <w:pStyle w:val="1140"/>
              <w:ind w:firstLine="28"/>
              <w:jc w:val="center"/>
              <w:rPr>
                <w:rFonts w:ascii="宋体" w:hAnsi="宋体"/>
                <w:sz w:val="24"/>
                <w:highlight w:val="none"/>
                <w:lang w:val="en-US" w:eastAsia="zh-CN"/>
              </w:rPr>
            </w:pPr>
            <w:r>
              <w:rPr>
                <w:rFonts w:hint="eastAsia" w:ascii="宋体" w:hAnsi="宋体"/>
                <w:sz w:val="24"/>
                <w:highlight w:val="none"/>
                <w:lang w:val="en-US" w:eastAsia="zh-CN"/>
              </w:rPr>
              <w:t xml:space="preserve">3.2</w:t>
            </w:r>
            <w:r>
              <w:rPr>
                <w:rFonts w:ascii="宋体" w:hAnsi="宋体"/>
                <w:sz w:val="24"/>
                <w:highlight w:val="none"/>
                <w:lang w:val="en-US" w:eastAsia="zh-CN"/>
              </w:rPr>
            </w:r>
            <w:r/>
          </w:p>
        </w:tc>
        <w:tc>
          <w:tcPr>
            <w:tcW w:w="1305" w:type="dxa"/>
            <w:vAlign w:val="center"/>
            <w:textDirection w:val="lrTb"/>
            <w:noWrap w:val="false"/>
          </w:tcPr>
          <w:p>
            <w:pPr>
              <w:pStyle w:val="1140"/>
              <w:ind w:firstLine="28"/>
              <w:jc w:val="center"/>
              <w:rPr>
                <w:rFonts w:ascii="宋体" w:hAnsi="宋体" w:cs="等线"/>
                <w:bCs/>
                <w:sz w:val="24"/>
                <w:highlight w:val="none"/>
                <w:lang w:val="en-US" w:eastAsia="zh-CN"/>
              </w:rPr>
            </w:pPr>
            <w:r>
              <w:rPr>
                <w:rFonts w:hint="eastAsia" w:ascii="宋体" w:hAnsi="宋体" w:cs="等线"/>
                <w:bCs/>
                <w:sz w:val="24"/>
                <w:highlight w:val="none"/>
                <w:lang w:val="en-US" w:eastAsia="zh-CN"/>
              </w:rPr>
              <w:t xml:space="preserve">业绩</w:t>
            </w:r>
            <w:r>
              <w:rPr>
                <w:rFonts w:ascii="宋体" w:hAnsi="宋体" w:cs="等线"/>
                <w:bCs/>
                <w:sz w:val="24"/>
                <w:highlight w:val="none"/>
                <w:lang w:val="en-US" w:eastAsia="zh-CN"/>
              </w:rPr>
            </w:r>
            <w:r/>
          </w:p>
        </w:tc>
        <w:tc>
          <w:tcPr>
            <w:tcW w:w="750" w:type="dxa"/>
            <w:vAlign w:val="center"/>
            <w:textDirection w:val="lrTb"/>
            <w:noWrap w:val="false"/>
          </w:tcPr>
          <w:p>
            <w:pPr>
              <w:pStyle w:val="1140"/>
              <w:ind w:firstLine="28"/>
              <w:jc w:val="center"/>
              <w:rPr>
                <w:rFonts w:ascii="宋体" w:hAnsi="宋体"/>
                <w:sz w:val="24"/>
                <w:highlight w:val="none"/>
                <w:lang w:val="en-US" w:eastAsia="zh-CN"/>
              </w:rPr>
            </w:pPr>
            <w:r>
              <w:rPr>
                <w:rFonts w:hint="eastAsia" w:ascii="宋体" w:hAnsi="宋体"/>
                <w:sz w:val="24"/>
                <w:highlight w:val="none"/>
                <w:lang w:val="en-US" w:eastAsia="zh-CN"/>
              </w:rPr>
              <w:t xml:space="preserve">8</w:t>
            </w:r>
            <w:r>
              <w:rPr>
                <w:rFonts w:ascii="宋体" w:hAnsi="宋体"/>
                <w:sz w:val="24"/>
                <w:highlight w:val="none"/>
                <w:lang w:val="en-US" w:eastAsia="zh-CN"/>
              </w:rPr>
            </w:r>
            <w:r/>
          </w:p>
        </w:tc>
        <w:tc>
          <w:tcPr>
            <w:tcW w:w="6303" w:type="dxa"/>
            <w:vAlign w:val="top"/>
            <w:textDirection w:val="lrTb"/>
            <w:noWrap w:val="false"/>
          </w:tcPr>
          <w:p>
            <w:pPr>
              <w:pStyle w:val="1140"/>
              <w:numPr>
                <w:ilvl w:val="0"/>
                <w:numId w:val="0"/>
              </w:numPr>
              <w:rPr>
                <w:rFonts w:hint="eastAsia" w:ascii="宋体" w:hAnsi="宋体" w:cs="等线"/>
                <w:b w:val="0"/>
                <w:bCs/>
                <w:sz w:val="24"/>
                <w:highlight w:val="none"/>
                <w:lang w:val="en-US" w:eastAsia="zh-CN"/>
              </w:rPr>
            </w:pPr>
            <w:r>
              <w:rPr>
                <w:rFonts w:hint="eastAsia" w:ascii="宋体" w:hAnsi="宋体" w:cs="等线"/>
                <w:b w:val="0"/>
                <w:bCs/>
                <w:sz w:val="24"/>
                <w:highlight w:val="none"/>
                <w:lang w:val="en-US" w:eastAsia="zh-CN"/>
              </w:rPr>
              <w:t xml:space="preserve">供应商提供自2023年1月1日（以合同签订日期为准）以来的类似绿化移植业绩，每个得2分，本项目最高得8分。</w:t>
            </w:r>
            <w:r>
              <w:rPr>
                <w:rFonts w:hint="eastAsia" w:ascii="宋体" w:hAnsi="宋体" w:cs="等线"/>
                <w:b w:val="0"/>
                <w:bCs/>
                <w:sz w:val="24"/>
                <w:highlight w:val="none"/>
                <w:lang w:val="en-US" w:eastAsia="zh-CN"/>
              </w:rPr>
            </w:r>
            <w:r/>
          </w:p>
          <w:p>
            <w:pPr>
              <w:pStyle w:val="1140"/>
              <w:numPr>
                <w:ilvl w:val="0"/>
                <w:numId w:val="0"/>
              </w:numPr>
              <w:rPr>
                <w:rFonts w:hint="eastAsia" w:ascii="宋体" w:hAnsi="宋体" w:cs="等线"/>
                <w:bCs/>
                <w:sz w:val="24"/>
                <w:highlight w:val="none"/>
                <w:lang w:val="en-US" w:eastAsia="zh-CN"/>
              </w:rPr>
            </w:pPr>
            <w:r>
              <w:rPr>
                <w:rFonts w:hint="eastAsia" w:ascii="宋体" w:hAnsi="宋体" w:cs="等线"/>
                <w:b/>
                <w:bCs w:val="0"/>
                <w:sz w:val="24"/>
                <w:highlight w:val="none"/>
                <w:lang w:val="en-US" w:eastAsia="zh-CN"/>
              </w:rPr>
              <w:t xml:space="preserve">响应文件中提供合同原件扫描件（合同需体现双方盖章、签订时间、关键页等内容），未提供的或资料不全的或无效的不得分。</w:t>
            </w:r>
            <w:r>
              <w:rPr>
                <w:rFonts w:hint="eastAsia" w:ascii="宋体" w:hAnsi="宋体" w:cs="等线"/>
                <w:bCs/>
                <w:sz w:val="24"/>
                <w:highlight w:val="none"/>
                <w:lang w:val="en-US" w:eastAsia="zh-CN"/>
              </w:rPr>
            </w:r>
            <w:r/>
          </w:p>
        </w:tc>
      </w:tr>
      <w:tr>
        <w:trPr>
          <w:trHeight w:val="967"/>
        </w:trPr>
        <w:tc>
          <w:tcPr>
            <w:tcW w:w="988" w:type="dxa"/>
            <w:vAlign w:val="center"/>
            <w:textDirection w:val="lrTb"/>
            <w:noWrap w:val="false"/>
          </w:tcPr>
          <w:p>
            <w:pPr>
              <w:pStyle w:val="1140"/>
              <w:ind w:firstLine="28"/>
              <w:jc w:val="center"/>
              <w:rPr>
                <w:rFonts w:ascii="宋体" w:hAnsi="宋体"/>
                <w:sz w:val="24"/>
                <w:highlight w:val="none"/>
                <w:lang w:val="en-US" w:eastAsia="zh-CN"/>
              </w:rPr>
            </w:pPr>
            <w:r>
              <w:rPr>
                <w:rFonts w:hint="eastAsia" w:ascii="宋体" w:hAnsi="宋体"/>
                <w:sz w:val="24"/>
                <w:highlight w:val="none"/>
                <w:lang w:val="en-US" w:eastAsia="zh-CN"/>
              </w:rPr>
              <w:t xml:space="preserve">3.3</w:t>
            </w:r>
            <w:r>
              <w:rPr>
                <w:rFonts w:ascii="宋体" w:hAnsi="宋体"/>
                <w:sz w:val="24"/>
                <w:highlight w:val="none"/>
                <w:lang w:val="en-US" w:eastAsia="zh-CN"/>
              </w:rPr>
            </w:r>
            <w:r/>
          </w:p>
        </w:tc>
        <w:tc>
          <w:tcPr>
            <w:tcW w:w="1305" w:type="dxa"/>
            <w:vAlign w:val="center"/>
            <w:textDirection w:val="lrTb"/>
            <w:noWrap w:val="false"/>
          </w:tcPr>
          <w:p>
            <w:pPr>
              <w:pStyle w:val="1140"/>
              <w:ind w:firstLine="28"/>
              <w:jc w:val="center"/>
              <w:rPr>
                <w:rFonts w:ascii="宋体" w:hAnsi="宋体" w:cs="等线"/>
                <w:bCs/>
                <w:sz w:val="24"/>
                <w:highlight w:val="none"/>
                <w:lang w:val="en-US" w:eastAsia="zh-CN"/>
              </w:rPr>
            </w:pPr>
            <w:r>
              <w:rPr>
                <w:rFonts w:hint="eastAsia" w:ascii="宋体" w:hAnsi="宋体" w:cs="等线"/>
                <w:bCs/>
                <w:sz w:val="24"/>
                <w:highlight w:val="none"/>
              </w:rPr>
              <w:t xml:space="preserve">项目</w:t>
            </w:r>
            <w:r>
              <w:rPr>
                <w:rFonts w:hint="eastAsia" w:ascii="宋体" w:hAnsi="宋体" w:cs="等线"/>
                <w:bCs/>
                <w:sz w:val="24"/>
                <w:highlight w:val="none"/>
                <w:lang w:val="en-US" w:eastAsia="zh-CN"/>
              </w:rPr>
              <w:t xml:space="preserve">负责人</w:t>
            </w:r>
            <w:r>
              <w:rPr>
                <w:rFonts w:ascii="宋体" w:hAnsi="宋体" w:cs="等线"/>
                <w:bCs/>
                <w:sz w:val="24"/>
                <w:highlight w:val="none"/>
                <w:lang w:val="en-US" w:eastAsia="zh-CN"/>
              </w:rPr>
            </w:r>
            <w:r/>
          </w:p>
        </w:tc>
        <w:tc>
          <w:tcPr>
            <w:tcW w:w="750" w:type="dxa"/>
            <w:vAlign w:val="center"/>
            <w:textDirection w:val="lrTb"/>
            <w:noWrap w:val="false"/>
          </w:tcPr>
          <w:p>
            <w:pPr>
              <w:pStyle w:val="1140"/>
              <w:ind w:firstLine="28"/>
              <w:jc w:val="center"/>
              <w:rPr>
                <w:rFonts w:ascii="宋体" w:hAnsi="宋体"/>
                <w:sz w:val="24"/>
                <w:highlight w:val="none"/>
                <w:lang w:val="en-US" w:eastAsia="zh-CN"/>
              </w:rPr>
            </w:pPr>
            <w:r>
              <w:rPr>
                <w:rFonts w:hint="eastAsia" w:ascii="宋体" w:hAnsi="宋体"/>
                <w:sz w:val="24"/>
                <w:highlight w:val="none"/>
                <w:lang w:val="en-US" w:eastAsia="zh-CN"/>
              </w:rPr>
              <w:t xml:space="preserve">4</w:t>
            </w:r>
            <w:r>
              <w:rPr>
                <w:rFonts w:ascii="宋体" w:hAnsi="宋体"/>
                <w:sz w:val="24"/>
                <w:highlight w:val="none"/>
                <w:lang w:val="en-US" w:eastAsia="zh-CN"/>
              </w:rPr>
            </w:r>
            <w:r/>
          </w:p>
        </w:tc>
        <w:tc>
          <w:tcPr>
            <w:tcW w:w="6303" w:type="dxa"/>
            <w:vAlign w:val="top"/>
            <w:textDirection w:val="lrTb"/>
            <w:noWrap w:val="false"/>
          </w:tcPr>
          <w:p>
            <w:pPr>
              <w:pStyle w:val="1140"/>
              <w:numPr>
                <w:ilvl w:val="0"/>
                <w:numId w:val="0"/>
              </w:numPr>
              <w:rPr>
                <w:rFonts w:hint="eastAsia" w:ascii="宋体" w:hAnsi="宋体" w:cs="等线"/>
                <w:b/>
                <w:sz w:val="24"/>
                <w:highlight w:val="none"/>
                <w:lang w:val="zh-CN"/>
              </w:rPr>
            </w:pPr>
            <w:r>
              <w:rPr>
                <w:rFonts w:hint="eastAsia" w:ascii="宋体" w:hAnsi="宋体" w:eastAsia="宋体" w:cs="宋体"/>
                <w:bCs/>
                <w:sz w:val="24"/>
                <w:szCs w:val="24"/>
                <w:highlight w:val="none"/>
                <w:lang w:val="en-US" w:eastAsia="zh-CN"/>
              </w:rPr>
              <w:t xml:space="preserve">项目负责人具备（园林绿化专业）中级工程师职称证书得 2 分；具备（园林绿化专业）高级工程师及以上职称证书得 </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rPr>
              <w:t xml:space="preserve">分；最高得</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rPr>
              <w:t xml:space="preserve">分（如证书中未标明专业的结合学历证书专业类别）</w:t>
            </w:r>
            <w:r>
              <w:rPr>
                <w:rFonts w:hint="eastAsia" w:ascii="宋体" w:hAnsi="宋体" w:cs="等线"/>
                <w:b/>
                <w:sz w:val="24"/>
                <w:highlight w:val="none"/>
                <w:lang w:val="zh-CN"/>
              </w:rPr>
            </w:r>
            <w:r/>
          </w:p>
          <w:p>
            <w:pPr>
              <w:pStyle w:val="1140"/>
              <w:numPr>
                <w:ilvl w:val="0"/>
                <w:numId w:val="0"/>
              </w:numPr>
              <w:rPr>
                <w:rFonts w:hint="eastAsia" w:ascii="宋体" w:hAnsi="宋体" w:cs="等线"/>
                <w:b/>
                <w:sz w:val="24"/>
                <w:highlight w:val="none"/>
              </w:rPr>
            </w:pPr>
            <w:r>
              <w:rPr>
                <w:rFonts w:hint="eastAsia" w:ascii="宋体" w:hAnsi="宋体" w:cs="等线"/>
                <w:b/>
                <w:sz w:val="24"/>
                <w:highlight w:val="none"/>
                <w:lang w:val="en-US" w:eastAsia="zh-CN"/>
              </w:rPr>
              <w:t xml:space="preserve">响应文件中</w:t>
            </w:r>
            <w:r>
              <w:rPr>
                <w:rFonts w:hint="eastAsia" w:ascii="宋体" w:hAnsi="宋体" w:cs="等线"/>
                <w:b/>
                <w:sz w:val="24"/>
                <w:highlight w:val="none"/>
              </w:rPr>
              <w:t xml:space="preserve">提供人员</w:t>
            </w:r>
            <w:r>
              <w:rPr>
                <w:rFonts w:hint="eastAsia" w:ascii="宋体" w:hAnsi="宋体" w:cs="等线"/>
                <w:b/>
                <w:sz w:val="24"/>
                <w:highlight w:val="none"/>
                <w:lang w:val="en-US" w:eastAsia="zh-CN"/>
              </w:rPr>
              <w:t xml:space="preserve">职称</w:t>
            </w:r>
            <w:r>
              <w:rPr>
                <w:rFonts w:hint="eastAsia" w:ascii="宋体" w:hAnsi="宋体" w:cs="等线"/>
                <w:b/>
                <w:sz w:val="24"/>
                <w:highlight w:val="none"/>
              </w:rPr>
              <w:t xml:space="preserve">证书</w:t>
            </w:r>
            <w:r>
              <w:rPr>
                <w:rFonts w:hint="eastAsia" w:ascii="宋体" w:hAnsi="宋体" w:cs="等线"/>
                <w:b/>
                <w:sz w:val="24"/>
                <w:highlight w:val="none"/>
                <w:lang w:val="en-US" w:eastAsia="zh-CN"/>
              </w:rPr>
              <w:t xml:space="preserve">原件扫描件</w:t>
            </w:r>
            <w:r>
              <w:rPr>
                <w:rFonts w:hint="eastAsia" w:ascii="宋体" w:hAnsi="宋体" w:cs="等线"/>
                <w:b/>
                <w:sz w:val="24"/>
                <w:highlight w:val="none"/>
              </w:rPr>
              <w:t xml:space="preserve">及由社保机构出具的</w:t>
            </w:r>
            <w:r>
              <w:rPr>
                <w:rFonts w:hint="eastAsia" w:ascii="宋体" w:hAnsi="宋体" w:cs="等线"/>
                <w:b/>
                <w:sz w:val="24"/>
                <w:highlight w:val="none"/>
                <w:lang w:val="en-US" w:eastAsia="zh-CN"/>
              </w:rPr>
              <w:t xml:space="preserve">供应商</w:t>
            </w:r>
            <w:r>
              <w:rPr>
                <w:rFonts w:hint="eastAsia" w:ascii="宋体" w:hAnsi="宋体" w:cs="等线"/>
                <w:b/>
                <w:sz w:val="24"/>
                <w:highlight w:val="none"/>
              </w:rPr>
              <w:t xml:space="preserve">为</w:t>
            </w:r>
            <w:r>
              <w:rPr>
                <w:rFonts w:hint="eastAsia" w:ascii="宋体" w:hAnsi="宋体" w:cs="等线"/>
                <w:b/>
                <w:sz w:val="24"/>
                <w:highlight w:val="none"/>
                <w:lang w:val="en-US" w:eastAsia="zh-CN"/>
              </w:rPr>
              <w:t xml:space="preserve">该人员</w:t>
            </w:r>
            <w:r>
              <w:rPr>
                <w:rFonts w:hint="eastAsia" w:ascii="宋体" w:hAnsi="宋体" w:cs="等线"/>
                <w:b/>
                <w:sz w:val="24"/>
                <w:highlight w:val="none"/>
              </w:rPr>
              <w:t xml:space="preserve">缴纳的社会保险的凭证加盖社保机构公章或社保中心官网上缴纳记录（缴纳时间为：202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7</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9</w:t>
            </w:r>
            <w:r>
              <w:rPr>
                <w:rFonts w:hint="eastAsia" w:ascii="宋体" w:hAnsi="宋体" w:cs="等线"/>
                <w:b/>
                <w:sz w:val="24"/>
                <w:highlight w:val="none"/>
              </w:rPr>
              <w:t xml:space="preserve">月</w:t>
            </w:r>
            <w:r>
              <w:rPr>
                <w:rFonts w:hint="eastAsia" w:ascii="宋体" w:hAnsi="宋体" w:cs="等线"/>
                <w:b/>
                <w:sz w:val="24"/>
                <w:highlight w:val="none"/>
                <w:lang w:val="en-US" w:eastAsia="zh-CN"/>
              </w:rPr>
              <w:t xml:space="preserve">任意一个</w:t>
            </w:r>
            <w:r>
              <w:rPr>
                <w:rFonts w:hint="eastAsia" w:ascii="宋体" w:hAnsi="宋体" w:cs="等线"/>
                <w:b/>
                <w:sz w:val="24"/>
                <w:highlight w:val="none"/>
              </w:rPr>
              <w:t xml:space="preserve">月）</w:t>
            </w:r>
            <w:r>
              <w:rPr>
                <w:rFonts w:hint="eastAsia" w:ascii="宋体" w:hAnsi="宋体" w:cs="等线"/>
                <w:b/>
                <w:sz w:val="24"/>
                <w:highlight w:val="none"/>
                <w:lang w:eastAsia="zh-CN"/>
              </w:rPr>
              <w:t xml:space="preserve">，</w:t>
            </w:r>
            <w:r>
              <w:rPr>
                <w:rFonts w:hint="eastAsia" w:ascii="宋体" w:hAnsi="宋体" w:cs="等线"/>
                <w:b/>
                <w:sz w:val="24"/>
                <w:highlight w:val="none"/>
                <w:lang w:val="en-US" w:eastAsia="zh-CN"/>
              </w:rPr>
              <w:t xml:space="preserve">否则不得分</w:t>
            </w:r>
            <w:r>
              <w:rPr>
                <w:rFonts w:hint="eastAsia" w:ascii="宋体" w:hAnsi="宋体" w:cs="等线"/>
                <w:b/>
                <w:sz w:val="24"/>
                <w:highlight w:val="none"/>
              </w:rPr>
            </w:r>
            <w:r/>
          </w:p>
        </w:tc>
      </w:tr>
      <w:tr>
        <w:trPr>
          <w:trHeight w:val="967"/>
        </w:trPr>
        <w:tc>
          <w:tcPr>
            <w:tcW w:w="988" w:type="dxa"/>
            <w:vAlign w:val="center"/>
            <w:textDirection w:val="lrTb"/>
            <w:noWrap w:val="false"/>
          </w:tcPr>
          <w:p>
            <w:pPr>
              <w:pStyle w:val="1140"/>
              <w:ind w:firstLine="28"/>
              <w:jc w:val="center"/>
              <w:rPr>
                <w:rFonts w:ascii="宋体" w:hAnsi="宋体"/>
                <w:sz w:val="24"/>
                <w:highlight w:val="none"/>
                <w:lang w:val="en-US" w:eastAsia="zh-CN"/>
              </w:rPr>
            </w:pPr>
            <w:r>
              <w:rPr>
                <w:rFonts w:hint="eastAsia" w:ascii="宋体" w:hAnsi="宋体"/>
                <w:sz w:val="24"/>
                <w:highlight w:val="none"/>
                <w:lang w:val="en-US" w:eastAsia="zh-CN"/>
              </w:rPr>
              <w:t xml:space="preserve">3.4</w:t>
            </w:r>
            <w:r>
              <w:rPr>
                <w:rFonts w:ascii="宋体" w:hAnsi="宋体"/>
                <w:sz w:val="24"/>
                <w:highlight w:val="none"/>
                <w:lang w:val="en-US" w:eastAsia="zh-CN"/>
              </w:rPr>
            </w:r>
            <w:r/>
          </w:p>
        </w:tc>
        <w:tc>
          <w:tcPr>
            <w:tcW w:w="1305" w:type="dxa"/>
            <w:vAlign w:val="center"/>
            <w:textDirection w:val="lrTb"/>
            <w:noWrap w:val="false"/>
          </w:tcPr>
          <w:p>
            <w:pPr>
              <w:pStyle w:val="1140"/>
              <w:ind w:firstLine="28"/>
              <w:jc w:val="center"/>
              <w:rPr>
                <w:rFonts w:hint="eastAsia" w:ascii="宋体" w:hAnsi="宋体" w:cs="等线"/>
                <w:bCs/>
                <w:sz w:val="24"/>
                <w:highlight w:val="none"/>
                <w:lang w:val="en-US" w:eastAsia="zh-CN"/>
              </w:rPr>
            </w:pPr>
            <w:r>
              <w:rPr>
                <w:rFonts w:hint="eastAsia" w:ascii="宋体" w:hAnsi="宋体" w:cs="等线"/>
                <w:bCs/>
                <w:sz w:val="24"/>
                <w:highlight w:val="none"/>
                <w:lang w:val="en-US" w:eastAsia="zh-CN"/>
              </w:rPr>
              <w:t xml:space="preserve">项目组其他人员</w:t>
            </w:r>
            <w:r>
              <w:rPr>
                <w:rFonts w:hint="eastAsia" w:ascii="宋体" w:hAnsi="宋体" w:cs="等线"/>
                <w:bCs/>
                <w:sz w:val="24"/>
                <w:highlight w:val="none"/>
                <w:lang w:val="en-US" w:eastAsia="zh-CN"/>
              </w:rPr>
            </w:r>
            <w:r/>
          </w:p>
        </w:tc>
        <w:tc>
          <w:tcPr>
            <w:tcW w:w="750" w:type="dxa"/>
            <w:vAlign w:val="center"/>
            <w:textDirection w:val="lrTb"/>
            <w:noWrap w:val="false"/>
          </w:tcPr>
          <w:p>
            <w:pPr>
              <w:pStyle w:val="1140"/>
              <w:ind w:firstLine="28"/>
              <w:jc w:val="center"/>
              <w:rPr>
                <w:rFonts w:ascii="宋体" w:hAnsi="宋体"/>
                <w:sz w:val="24"/>
                <w:highlight w:val="none"/>
                <w:lang w:val="en-US" w:eastAsia="zh-CN"/>
              </w:rPr>
            </w:pPr>
            <w:r>
              <w:rPr>
                <w:rFonts w:hint="eastAsia" w:ascii="宋体" w:hAnsi="宋体"/>
                <w:sz w:val="24"/>
                <w:highlight w:val="none"/>
                <w:lang w:val="en-US" w:eastAsia="zh-CN"/>
              </w:rPr>
              <w:t xml:space="preserve">6</w:t>
            </w:r>
            <w:r>
              <w:rPr>
                <w:rFonts w:ascii="宋体" w:hAnsi="宋体"/>
                <w:sz w:val="24"/>
                <w:highlight w:val="none"/>
                <w:lang w:val="en-US" w:eastAsia="zh-CN"/>
              </w:rPr>
            </w:r>
            <w:r/>
          </w:p>
        </w:tc>
        <w:tc>
          <w:tcPr>
            <w:tcW w:w="6303" w:type="dxa"/>
            <w:vAlign w:val="top"/>
            <w:textDirection w:val="lrTb"/>
            <w:noWrap w:val="false"/>
          </w:tcPr>
          <w:p>
            <w:pPr>
              <w:pStyle w:val="1140"/>
              <w:numPr>
                <w:ilvl w:val="0"/>
                <w:numId w:val="0"/>
              </w:numPr>
              <w:rPr>
                <w:rFonts w:ascii="宋体" w:hAnsi="宋体" w:cs="等线"/>
                <w:bCs/>
                <w:sz w:val="24"/>
                <w:highlight w:val="none"/>
              </w:rPr>
            </w:pPr>
            <w:r>
              <w:rPr>
                <w:rFonts w:hint="eastAsia" w:ascii="宋体" w:hAnsi="宋体" w:cs="等线"/>
                <w:bCs/>
                <w:sz w:val="24"/>
                <w:highlight w:val="none"/>
              </w:rPr>
              <w:t xml:space="preserve">项目组</w:t>
            </w:r>
            <w:r>
              <w:rPr>
                <w:rFonts w:hint="eastAsia" w:ascii="宋体" w:hAnsi="宋体" w:cs="等线"/>
                <w:bCs/>
                <w:sz w:val="24"/>
                <w:highlight w:val="none"/>
                <w:lang w:val="en-US" w:eastAsia="zh-CN"/>
              </w:rPr>
              <w:t xml:space="preserve">其他人员</w:t>
            </w:r>
            <w:r>
              <w:rPr>
                <w:rFonts w:hint="eastAsia" w:ascii="宋体" w:hAnsi="宋体" w:cs="等线"/>
                <w:bCs/>
                <w:sz w:val="24"/>
                <w:highlight w:val="none"/>
              </w:rPr>
              <w:t xml:space="preserve">（除</w:t>
            </w:r>
            <w:r>
              <w:rPr>
                <w:rFonts w:ascii="宋体" w:hAnsi="宋体" w:cs="等线"/>
                <w:bCs/>
                <w:sz w:val="24"/>
                <w:highlight w:val="none"/>
              </w:rPr>
              <w:t xml:space="preserve">项目</w:t>
            </w:r>
            <w:r>
              <w:rPr>
                <w:rFonts w:hint="eastAsia" w:ascii="宋体" w:hAnsi="宋体" w:cs="等线"/>
                <w:bCs/>
                <w:sz w:val="24"/>
                <w:highlight w:val="none"/>
                <w:lang w:val="en-US" w:eastAsia="zh-CN"/>
              </w:rPr>
              <w:t xml:space="preserve">负责人</w:t>
            </w:r>
            <w:r>
              <w:rPr>
                <w:rFonts w:ascii="宋体" w:hAnsi="宋体" w:cs="等线"/>
                <w:bCs/>
                <w:sz w:val="24"/>
                <w:highlight w:val="none"/>
              </w:rPr>
              <w:t xml:space="preserve">外</w:t>
            </w:r>
            <w:r>
              <w:rPr>
                <w:rFonts w:hint="eastAsia" w:ascii="宋体" w:hAnsi="宋体" w:cs="等线"/>
                <w:bCs/>
                <w:sz w:val="24"/>
                <w:highlight w:val="none"/>
              </w:rPr>
              <w:t xml:space="preserve">）：</w:t>
            </w:r>
            <w:r>
              <w:rPr>
                <w:rFonts w:ascii="宋体" w:hAnsi="宋体" w:cs="等线"/>
                <w:bCs/>
                <w:sz w:val="24"/>
                <w:highlight w:val="none"/>
              </w:rPr>
            </w:r>
            <w:r/>
          </w:p>
          <w:p>
            <w:pPr>
              <w:pStyle w:val="1140"/>
              <w:numPr>
                <w:ilvl w:val="0"/>
                <w:numId w:val="0"/>
              </w:numPr>
              <w:rPr>
                <w:rFonts w:hint="eastAsia" w:ascii="宋体" w:hAnsi="宋体" w:cs="等线"/>
                <w:b/>
                <w:sz w:val="24"/>
                <w:highlight w:val="none"/>
              </w:rPr>
            </w:pPr>
            <w:r>
              <w:rPr>
                <w:rFonts w:hint="eastAsia" w:ascii="宋体" w:hAnsi="宋体" w:cs="等线"/>
                <w:b w:val="0"/>
                <w:bCs/>
                <w:sz w:val="24"/>
                <w:highlight w:val="none"/>
              </w:rPr>
              <w:t xml:space="preserve">具备园林绿化类相关专业中级及以上职称的，每投入一人得2分，本项最高得</w:t>
            </w:r>
            <w:r>
              <w:rPr>
                <w:rFonts w:hint="eastAsia" w:ascii="宋体" w:hAnsi="宋体" w:cs="等线"/>
                <w:b w:val="0"/>
                <w:bCs/>
                <w:sz w:val="24"/>
                <w:highlight w:val="none"/>
                <w:lang w:val="en-US" w:eastAsia="zh-CN"/>
              </w:rPr>
              <w:t xml:space="preserve">6</w:t>
            </w:r>
            <w:r>
              <w:rPr>
                <w:rFonts w:hint="eastAsia" w:ascii="宋体" w:hAnsi="宋体" w:cs="等线"/>
                <w:b w:val="0"/>
                <w:bCs/>
                <w:sz w:val="24"/>
                <w:highlight w:val="none"/>
              </w:rPr>
              <w:t xml:space="preserve">分。</w:t>
            </w:r>
            <w:r>
              <w:rPr>
                <w:rFonts w:hint="eastAsia" w:ascii="宋体" w:hAnsi="宋体" w:cs="等线"/>
                <w:b/>
                <w:sz w:val="24"/>
                <w:highlight w:val="none"/>
              </w:rPr>
            </w:r>
            <w:r/>
          </w:p>
          <w:p>
            <w:pPr>
              <w:pStyle w:val="1140"/>
              <w:numPr>
                <w:ilvl w:val="0"/>
                <w:numId w:val="0"/>
              </w:numPr>
              <w:rPr>
                <w:rFonts w:hint="eastAsia" w:ascii="宋体" w:hAnsi="宋体" w:cs="等线"/>
                <w:b/>
                <w:sz w:val="24"/>
                <w:highlight w:val="none"/>
              </w:rPr>
            </w:pPr>
            <w:r>
              <w:rPr>
                <w:rFonts w:hint="eastAsia" w:ascii="宋体" w:hAnsi="宋体" w:cs="等线"/>
                <w:b/>
                <w:sz w:val="24"/>
                <w:highlight w:val="none"/>
                <w:lang w:val="en-US" w:eastAsia="zh-CN"/>
              </w:rPr>
              <w:t xml:space="preserve">响应文件中</w:t>
            </w:r>
            <w:r>
              <w:rPr>
                <w:rFonts w:hint="eastAsia" w:ascii="宋体" w:hAnsi="宋体" w:cs="等线"/>
                <w:b/>
                <w:sz w:val="24"/>
                <w:highlight w:val="none"/>
              </w:rPr>
              <w:t xml:space="preserve">提供人员</w:t>
            </w:r>
            <w:r>
              <w:rPr>
                <w:rFonts w:hint="eastAsia" w:ascii="宋体" w:hAnsi="宋体" w:cs="等线"/>
                <w:b/>
                <w:sz w:val="24"/>
                <w:highlight w:val="none"/>
                <w:lang w:val="en-US" w:eastAsia="zh-CN"/>
              </w:rPr>
              <w:t xml:space="preserve">职称</w:t>
            </w:r>
            <w:r>
              <w:rPr>
                <w:rFonts w:hint="eastAsia" w:ascii="宋体" w:hAnsi="宋体" w:cs="等线"/>
                <w:b/>
                <w:sz w:val="24"/>
                <w:highlight w:val="none"/>
              </w:rPr>
              <w:t xml:space="preserve">证书</w:t>
            </w:r>
            <w:r>
              <w:rPr>
                <w:rFonts w:hint="eastAsia" w:ascii="宋体" w:hAnsi="宋体" w:cs="等线"/>
                <w:b/>
                <w:sz w:val="24"/>
                <w:highlight w:val="none"/>
                <w:lang w:val="en-US" w:eastAsia="zh-CN"/>
              </w:rPr>
              <w:t xml:space="preserve">原件扫描件</w:t>
            </w:r>
            <w:r>
              <w:rPr>
                <w:rFonts w:hint="eastAsia" w:ascii="宋体" w:hAnsi="宋体" w:cs="等线"/>
                <w:b/>
                <w:sz w:val="24"/>
                <w:highlight w:val="none"/>
              </w:rPr>
              <w:t xml:space="preserve">及由社保机构出具的</w:t>
            </w:r>
            <w:r>
              <w:rPr>
                <w:rFonts w:hint="eastAsia" w:ascii="宋体" w:hAnsi="宋体" w:cs="等线"/>
                <w:b/>
                <w:sz w:val="24"/>
                <w:highlight w:val="none"/>
                <w:lang w:val="en-US" w:eastAsia="zh-CN"/>
              </w:rPr>
              <w:t xml:space="preserve">供应商</w:t>
            </w:r>
            <w:r>
              <w:rPr>
                <w:rFonts w:hint="eastAsia" w:ascii="宋体" w:hAnsi="宋体" w:cs="等线"/>
                <w:b/>
                <w:sz w:val="24"/>
                <w:highlight w:val="none"/>
              </w:rPr>
              <w:t xml:space="preserve">为</w:t>
            </w:r>
            <w:r>
              <w:rPr>
                <w:rFonts w:hint="eastAsia" w:ascii="宋体" w:hAnsi="宋体" w:cs="等线"/>
                <w:b/>
                <w:sz w:val="24"/>
                <w:highlight w:val="none"/>
                <w:lang w:val="en-US" w:eastAsia="zh-CN"/>
              </w:rPr>
              <w:t xml:space="preserve">该人员</w:t>
            </w:r>
            <w:r>
              <w:rPr>
                <w:rFonts w:hint="eastAsia" w:ascii="宋体" w:hAnsi="宋体" w:cs="等线"/>
                <w:b/>
                <w:sz w:val="24"/>
                <w:highlight w:val="none"/>
              </w:rPr>
              <w:t xml:space="preserve">缴纳的社会保险的凭证加盖社保机构公章或社保中心官网上缴纳记录（缴纳时间为：202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7</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9</w:t>
            </w:r>
            <w:r>
              <w:rPr>
                <w:rFonts w:hint="eastAsia" w:ascii="宋体" w:hAnsi="宋体" w:cs="等线"/>
                <w:b/>
                <w:sz w:val="24"/>
                <w:highlight w:val="none"/>
              </w:rPr>
              <w:t xml:space="preserve">月</w:t>
            </w:r>
            <w:r>
              <w:rPr>
                <w:rFonts w:hint="eastAsia" w:ascii="宋体" w:hAnsi="宋体" w:cs="等线"/>
                <w:b/>
                <w:sz w:val="24"/>
                <w:highlight w:val="none"/>
                <w:lang w:val="en-US" w:eastAsia="zh-CN"/>
              </w:rPr>
              <w:t xml:space="preserve">任意一个</w:t>
            </w:r>
            <w:r>
              <w:rPr>
                <w:rFonts w:hint="eastAsia" w:ascii="宋体" w:hAnsi="宋体" w:cs="等线"/>
                <w:b/>
                <w:sz w:val="24"/>
                <w:highlight w:val="none"/>
              </w:rPr>
              <w:t xml:space="preserve">月）</w:t>
            </w:r>
            <w:r>
              <w:rPr>
                <w:rFonts w:hint="eastAsia" w:ascii="宋体" w:hAnsi="宋体" w:cs="等线"/>
                <w:b/>
                <w:sz w:val="24"/>
                <w:highlight w:val="none"/>
                <w:lang w:eastAsia="zh-CN"/>
              </w:rPr>
              <w:t xml:space="preserve">，</w:t>
            </w:r>
            <w:r>
              <w:rPr>
                <w:rFonts w:hint="eastAsia" w:ascii="宋体" w:hAnsi="宋体" w:cs="等线"/>
                <w:b/>
                <w:sz w:val="24"/>
                <w:highlight w:val="none"/>
                <w:lang w:val="en-US" w:eastAsia="zh-CN"/>
              </w:rPr>
              <w:t xml:space="preserve">否则不得分</w:t>
            </w:r>
            <w:r>
              <w:rPr>
                <w:rFonts w:hint="eastAsia" w:ascii="宋体" w:hAnsi="宋体" w:cs="等线"/>
                <w:b/>
                <w:sz w:val="24"/>
                <w:highlight w:val="none"/>
              </w:rPr>
            </w:r>
            <w:r/>
          </w:p>
        </w:tc>
      </w:tr>
      <w:tr>
        <w:trPr>
          <w:trHeight w:val="967"/>
        </w:trPr>
        <w:tc>
          <w:tcPr>
            <w:tcW w:w="988" w:type="dxa"/>
            <w:vAlign w:val="center"/>
            <w:textDirection w:val="lrTb"/>
            <w:noWrap w:val="false"/>
          </w:tcPr>
          <w:p>
            <w:pPr>
              <w:pStyle w:val="1140"/>
              <w:ind w:firstLine="28"/>
              <w:jc w:val="center"/>
              <w:rPr>
                <w:rFonts w:ascii="宋体" w:hAnsi="宋体"/>
                <w:sz w:val="24"/>
                <w:highlight w:val="none"/>
                <w:lang w:val="en-US" w:eastAsia="zh-CN"/>
              </w:rPr>
            </w:pPr>
            <w:r>
              <w:rPr>
                <w:rFonts w:hint="eastAsia" w:ascii="宋体" w:hAnsi="宋体"/>
                <w:sz w:val="24"/>
                <w:highlight w:val="none"/>
                <w:lang w:val="en-US" w:eastAsia="zh-CN"/>
              </w:rPr>
              <w:t xml:space="preserve">3.5</w:t>
            </w:r>
            <w:r>
              <w:rPr>
                <w:rFonts w:ascii="宋体" w:hAnsi="宋体"/>
                <w:sz w:val="24"/>
                <w:highlight w:val="none"/>
                <w:lang w:val="en-US" w:eastAsia="zh-CN"/>
              </w:rPr>
            </w:r>
            <w:r/>
          </w:p>
        </w:tc>
        <w:tc>
          <w:tcPr>
            <w:tcW w:w="1305" w:type="dxa"/>
            <w:vAlign w:val="center"/>
            <w:textDirection w:val="lrTb"/>
            <w:noWrap w:val="false"/>
          </w:tcPr>
          <w:p>
            <w:pPr>
              <w:pStyle w:val="1140"/>
              <w:ind w:firstLine="28"/>
              <w:jc w:val="center"/>
              <w:rPr>
                <w:rFonts w:hint="eastAsia" w:ascii="宋体" w:hAnsi="宋体" w:cs="等线"/>
                <w:bCs/>
                <w:sz w:val="24"/>
                <w:highlight w:val="none"/>
                <w:lang w:val="en-US" w:eastAsia="zh-CN"/>
              </w:rPr>
            </w:pPr>
            <w:r>
              <w:rPr>
                <w:rFonts w:hint="eastAsia" w:ascii="宋体" w:hAnsi="宋体" w:eastAsia="宋体" w:cs="宋体"/>
                <w:color w:val="000000"/>
                <w:sz w:val="24"/>
                <w:highlight w:val="none"/>
              </w:rPr>
              <w:t xml:space="preserve">投入车辆、设备</w:t>
            </w:r>
            <w:r>
              <w:rPr>
                <w:rFonts w:hint="eastAsia" w:ascii="宋体" w:hAnsi="宋体" w:cs="等线"/>
                <w:bCs/>
                <w:sz w:val="24"/>
                <w:highlight w:val="none"/>
                <w:lang w:val="en-US" w:eastAsia="zh-CN"/>
              </w:rPr>
            </w:r>
            <w:r/>
          </w:p>
        </w:tc>
        <w:tc>
          <w:tcPr>
            <w:tcW w:w="750" w:type="dxa"/>
            <w:vAlign w:val="center"/>
            <w:textDirection w:val="lrTb"/>
            <w:noWrap w:val="false"/>
          </w:tcPr>
          <w:p>
            <w:pPr>
              <w:pStyle w:val="1140"/>
              <w:ind w:firstLine="28"/>
              <w:jc w:val="center"/>
              <w:rPr>
                <w:rFonts w:ascii="宋体" w:hAnsi="宋体"/>
                <w:sz w:val="24"/>
                <w:highlight w:val="none"/>
                <w:lang w:val="en-US" w:eastAsia="zh-CN"/>
              </w:rPr>
            </w:pPr>
            <w:r>
              <w:rPr>
                <w:rFonts w:hint="eastAsia" w:ascii="宋体" w:hAnsi="宋体"/>
                <w:sz w:val="24"/>
                <w:highlight w:val="none"/>
                <w:lang w:val="en-US" w:eastAsia="zh-CN"/>
              </w:rPr>
              <w:t xml:space="preserve">8</w:t>
            </w:r>
            <w:r>
              <w:rPr>
                <w:rFonts w:ascii="宋体" w:hAnsi="宋体"/>
                <w:sz w:val="24"/>
                <w:highlight w:val="none"/>
                <w:lang w:val="en-US" w:eastAsia="zh-CN"/>
              </w:rPr>
            </w:r>
            <w:r/>
          </w:p>
        </w:tc>
        <w:tc>
          <w:tcPr>
            <w:tcW w:w="6303" w:type="dxa"/>
            <w:vAlign w:val="top"/>
            <w:textDirection w:val="lrTb"/>
            <w:noWrap w:val="false"/>
          </w:tcPr>
          <w:p>
            <w:pPr>
              <w:pStyle w:val="1140"/>
              <w:jc w:val="lef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rPr>
              <w:t xml:space="preserve">供应商</w:t>
            </w:r>
            <w:r>
              <w:rPr>
                <w:rFonts w:hint="eastAsia" w:ascii="宋体" w:hAnsi="宋体" w:eastAsia="宋体" w:cs="宋体"/>
                <w:color w:val="000000"/>
                <w:sz w:val="24"/>
                <w:highlight w:val="none"/>
              </w:rPr>
              <w:t xml:space="preserve">应针对本项目特点，投入与本项目相关的车辆、机具设备，如</w:t>
            </w:r>
            <w:r>
              <w:rPr>
                <w:rFonts w:hint="eastAsia"/>
                <w:sz w:val="24"/>
                <w:szCs w:val="20"/>
                <w:highlight w:val="none"/>
              </w:rPr>
              <w:t xml:space="preserve">洒水车</w:t>
            </w:r>
            <w:r>
              <w:rPr>
                <w:rFonts w:hint="eastAsia"/>
                <w:sz w:val="24"/>
                <w:szCs w:val="20"/>
                <w:highlight w:val="none"/>
                <w:lang w:eastAsia="zh-CN"/>
              </w:rPr>
              <w:t xml:space="preserve">、</w:t>
            </w:r>
            <w:r>
              <w:rPr>
                <w:rFonts w:hint="eastAsia" w:ascii="宋体" w:hAnsi="宋体" w:eastAsia="宋体" w:cs="宋体"/>
                <w:color w:val="000000"/>
                <w:sz w:val="24"/>
                <w:highlight w:val="none"/>
                <w:lang w:val="zh-CN"/>
              </w:rPr>
              <w:t xml:space="preserve">清运卡车、随车起重运输车、</w:t>
            </w:r>
            <w:r>
              <w:rPr>
                <w:rFonts w:hint="eastAsia"/>
                <w:sz w:val="24"/>
                <w:szCs w:val="20"/>
                <w:highlight w:val="none"/>
              </w:rPr>
              <w:t xml:space="preserve">巡查车（车型不限）</w:t>
            </w:r>
            <w:r>
              <w:rPr>
                <w:rFonts w:hint="eastAsia"/>
                <w:sz w:val="24"/>
                <w:szCs w:val="20"/>
                <w:highlight w:val="none"/>
                <w:lang w:eastAsia="zh-CN"/>
              </w:rPr>
              <w:t xml:space="preserve">、</w:t>
            </w:r>
            <w:r>
              <w:rPr>
                <w:rFonts w:hint="eastAsia" w:ascii="宋体" w:hAnsi="宋体" w:eastAsia="宋体" w:cs="宋体"/>
                <w:color w:val="000000"/>
                <w:sz w:val="24"/>
                <w:highlight w:val="none"/>
                <w:lang w:val="zh-CN"/>
              </w:rPr>
              <w:t xml:space="preserve">三轮车、草坪修剪机、喷药机、打草机，</w:t>
            </w:r>
            <w:r>
              <w:rPr>
                <w:rFonts w:hint="eastAsia" w:ascii="宋体" w:hAnsi="宋体" w:eastAsia="宋体" w:cs="宋体"/>
                <w:color w:val="000000"/>
                <w:sz w:val="24"/>
                <w:highlight w:val="none"/>
              </w:rPr>
              <w:t xml:space="preserve">每有一种车型，得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分，每有一种机具设备，得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cs="宋体"/>
                <w:color w:val="000000"/>
                <w:sz w:val="24"/>
                <w:highlight w:val="none"/>
                <w:lang w:val="en-US" w:eastAsia="zh-CN"/>
              </w:rPr>
              <w:t xml:space="preserve">本项最高得8分。</w:t>
            </w:r>
            <w:r>
              <w:rPr>
                <w:rFonts w:ascii="宋体" w:hAnsi="宋体" w:eastAsia="宋体" w:cs="宋体"/>
                <w:color w:val="000000"/>
                <w:sz w:val="24"/>
                <w:highlight w:val="none"/>
                <w:lang w:val="en-US" w:eastAsia="zh-CN"/>
              </w:rPr>
            </w:r>
            <w:r/>
          </w:p>
          <w:p>
            <w:pPr>
              <w:pStyle w:val="1140"/>
              <w:numPr>
                <w:ilvl w:val="0"/>
                <w:numId w:val="0"/>
              </w:numPr>
              <w:rPr>
                <w:rFonts w:hint="eastAsia" w:ascii="宋体" w:hAnsi="宋体" w:cs="等线"/>
                <w:b/>
                <w:sz w:val="24"/>
                <w:highlight w:val="none"/>
              </w:rPr>
            </w:pPr>
            <w:r>
              <w:rPr>
                <w:rFonts w:hint="eastAsia" w:ascii="宋体" w:hAnsi="宋体" w:eastAsia="宋体" w:cs="宋体"/>
                <w:b/>
                <w:bCs/>
                <w:color w:val="000000"/>
                <w:sz w:val="24"/>
                <w:highlight w:val="none"/>
              </w:rPr>
              <w:t xml:space="preserve">注：供应商自有的车辆、设备，提供购买发票复印件加盖供应商公章；供应商租赁的车辆、设备，提供租赁合同复印件并加盖供应商公章，否则不得分。</w:t>
            </w:r>
            <w:r>
              <w:rPr>
                <w:rFonts w:hint="eastAsia" w:ascii="宋体" w:hAnsi="宋体" w:cs="等线"/>
                <w:b/>
                <w:sz w:val="24"/>
                <w:highlight w:val="none"/>
              </w:rPr>
            </w:r>
            <w:r/>
          </w:p>
        </w:tc>
      </w:tr>
    </w:tbl>
    <w:p>
      <w:pPr>
        <w:pStyle w:val="1140"/>
        <w:jc w:val="center"/>
        <w:spacing w:line="360" w:lineRule="auto"/>
        <w:rPr>
          <w:b/>
          <w:color w:val="000000"/>
          <w:sz w:val="36"/>
          <w:szCs w:val="36"/>
          <w:highlight w:val="none"/>
        </w:rPr>
        <w:outlineLvl w:val="0"/>
      </w:pPr>
      <w:r>
        <w:rPr>
          <w:b/>
          <w:color w:val="000000"/>
          <w:sz w:val="36"/>
          <w:szCs w:val="36"/>
          <w:highlight w:val="none"/>
        </w:rPr>
        <w:br w:type="page" w:clear="all"/>
      </w:r>
      <w:r>
        <w:rPr>
          <w:b/>
          <w:color w:val="000000"/>
          <w:sz w:val="36"/>
          <w:szCs w:val="36"/>
          <w:highlight w:val="none"/>
        </w:rPr>
        <w:t xml:space="preserve">第四章   采购需求</w:t>
      </w:r>
      <w:bookmarkEnd w:id="650"/>
      <w:r>
        <w:rPr>
          <w:b/>
          <w:color w:val="000000"/>
          <w:sz w:val="36"/>
          <w:szCs w:val="36"/>
          <w:highlight w:val="none"/>
        </w:rPr>
      </w:r>
      <w:r/>
    </w:p>
    <w:p>
      <w:pPr>
        <w:pStyle w:val="1140"/>
        <w:ind w:firstLine="482"/>
        <w:jc w:val="left"/>
        <w:keepLines w:val="0"/>
        <w:keepNext w:val="0"/>
        <w:pageBreakBefore w:val="0"/>
        <w:spacing w:line="360" w:lineRule="auto"/>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一、采购标的</w:t>
      </w:r>
      <w:r>
        <w:rPr>
          <w:rFonts w:hint="eastAsia" w:ascii="宋体" w:hAnsi="宋体" w:eastAsia="宋体" w:cs="宋体"/>
          <w:b/>
          <w:bCs/>
          <w:color w:val="000000"/>
          <w:sz w:val="24"/>
          <w:lang w:val="en-US" w:eastAsia="zh-CN"/>
        </w:rPr>
      </w:r>
      <w:r/>
    </w:p>
    <w:p>
      <w:pPr>
        <w:pStyle w:val="1140"/>
        <w:ind w:firstLine="488"/>
        <w:jc w:val="left"/>
        <w:keepLines w:val="0"/>
        <w:keepNext w:val="0"/>
        <w:pageBreakBefore w:val="0"/>
        <w:spacing w:line="360" w:lineRule="auto"/>
        <w:widowControl/>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本项目是</w:t>
      </w:r>
      <w:r>
        <w:rPr>
          <w:rFonts w:hint="eastAsia" w:ascii="宋体" w:hAnsi="宋体" w:cs="宋体"/>
          <w:sz w:val="24"/>
          <w:lang w:eastAsia="zh-CN"/>
        </w:rPr>
        <w:t xml:space="preserve">城东污水施工公用绿化移植工程</w:t>
      </w:r>
      <w:r>
        <w:rPr>
          <w:rFonts w:hint="eastAsia" w:ascii="宋体" w:hAnsi="宋体" w:eastAsia="宋体" w:cs="宋体"/>
          <w:spacing w:val="2"/>
          <w:sz w:val="24"/>
          <w:highlight w:val="none"/>
          <w:lang w:val="en-US" w:eastAsia="zh-CN"/>
        </w:rPr>
        <w:t xml:space="preserve">，项目包括但不限于采购文件及其基本技术要求范围内相应设计、工程开工前的准备（包括现场踏勘、技术核对等）、技术资料、施工、技术服务、主管单位验收、</w:t>
      </w:r>
      <w:r>
        <w:rPr>
          <w:rFonts w:hint="eastAsia" w:ascii="宋体" w:hAnsi="宋体" w:eastAsia="宋体" w:cs="宋体"/>
          <w:b w:val="0"/>
          <w:bCs/>
          <w:color w:val="000000"/>
          <w:sz w:val="24"/>
          <w:szCs w:val="24"/>
          <w:highlight w:val="none"/>
          <w:u w:val="none"/>
        </w:rPr>
        <w:t xml:space="preserve">缺陷责任期</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b w:val="0"/>
          <w:bCs/>
          <w:color w:val="000000"/>
          <w:sz w:val="24"/>
          <w:szCs w:val="24"/>
          <w:highlight w:val="none"/>
          <w:u w:val="none"/>
          <w:lang w:val="en-US" w:eastAsia="zh-CN"/>
        </w:rPr>
        <w:t xml:space="preserve">质保、养护期</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spacing w:val="2"/>
          <w:sz w:val="24"/>
          <w:highlight w:val="none"/>
          <w:lang w:val="en-US" w:eastAsia="zh-CN"/>
        </w:rPr>
        <w:t xml:space="preserve">和采购文件所要求的相关服务等全部内容。</w:t>
      </w:r>
      <w:r>
        <w:rPr>
          <w:rFonts w:hint="eastAsia" w:ascii="宋体" w:hAnsi="宋体" w:eastAsia="宋体" w:cs="宋体"/>
          <w:spacing w:val="2"/>
          <w:sz w:val="24"/>
          <w:highlight w:val="none"/>
          <w:lang w:val="en-US" w:eastAsia="zh-CN"/>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1.工程地点：</w:t>
      </w:r>
      <w:r>
        <w:rPr>
          <w:rFonts w:hint="eastAsia" w:ascii="宋体" w:hAnsi="宋体" w:eastAsia="宋体" w:cs="宋体"/>
          <w:color w:val="000000"/>
          <w:sz w:val="24"/>
          <w:highlight w:val="none"/>
          <w:lang w:val="en-US" w:eastAsia="zh-CN"/>
        </w:rPr>
        <w:t xml:space="preserve">常州市天宁区</w:t>
      </w:r>
      <w:r>
        <w:rPr>
          <w:rFonts w:hint="eastAsia" w:ascii="宋体" w:hAnsi="宋体" w:eastAsia="宋体" w:cs="宋体"/>
          <w:color w:val="000000"/>
          <w:sz w:val="24"/>
          <w:highlight w:val="none"/>
          <w:lang w:val="en-US" w:eastAsia="zh-CN"/>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2.质量等级要求：</w:t>
      </w:r>
      <w:r>
        <w:rPr>
          <w:rFonts w:hint="eastAsia" w:ascii="宋体" w:hAnsi="宋体" w:eastAsia="宋体" w:cs="宋体"/>
          <w:color w:val="000000"/>
          <w:sz w:val="24"/>
          <w:highlight w:val="none"/>
          <w:lang w:val="en-US" w:eastAsia="zh-CN"/>
        </w:rPr>
        <w:t xml:space="preserve">一次性验收合格</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40"/>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eastAsia="宋体" w:cs="宋体"/>
          <w:b w:val="0"/>
          <w:bCs/>
          <w:color w:val="000000"/>
          <w:sz w:val="24"/>
          <w:szCs w:val="24"/>
          <w:highlight w:val="none"/>
          <w:u w:val="none"/>
        </w:rPr>
        <w:t xml:space="preserve">缺陷责任期</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b w:val="0"/>
          <w:bCs/>
          <w:color w:val="000000"/>
          <w:sz w:val="24"/>
          <w:szCs w:val="24"/>
          <w:highlight w:val="none"/>
          <w:u w:val="none"/>
          <w:lang w:val="en-US" w:eastAsia="zh-CN"/>
        </w:rPr>
        <w:t xml:space="preserve">质保、养护期</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color w:val="000000"/>
          <w:sz w:val="24"/>
          <w:highlight w:val="none"/>
          <w:lang w:val="en-US" w:eastAsia="zh-CN"/>
        </w:rPr>
        <w:t xml:space="preserve">：2年，</w:t>
      </w:r>
      <w:r>
        <w:rPr>
          <w:rFonts w:hint="eastAsia" w:ascii="宋体" w:hAnsi="宋体" w:eastAsia="宋体" w:cs="宋体"/>
          <w:color w:val="000000"/>
          <w:sz w:val="24"/>
          <w:highlight w:val="none"/>
          <w:lang w:val="en-US" w:eastAsia="zh-CN"/>
        </w:rPr>
        <w:t xml:space="preserve">在养护期内苗木成活率低于98%</w:t>
      </w:r>
      <w:r>
        <w:rPr>
          <w:rFonts w:ascii="宋体" w:hAnsi="宋体" w:eastAsia="宋体" w:cs="宋体"/>
          <w:color w:val="000000"/>
          <w:sz w:val="24"/>
          <w:highlight w:val="none"/>
          <w:lang w:val="en-US" w:eastAsia="zh-CN"/>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本次</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范围：工程量清单及图纸范围内的全部工作内容。</w:t>
      </w:r>
      <w:r>
        <w:rPr>
          <w:rFonts w:hint="eastAsia" w:ascii="宋体" w:hAnsi="宋体" w:eastAsia="宋体" w:cs="宋体"/>
          <w:color w:val="000000"/>
          <w:sz w:val="24"/>
          <w:highlight w:val="none"/>
        </w:rPr>
      </w:r>
      <w:r/>
    </w:p>
    <w:p>
      <w:pPr>
        <w:pStyle w:val="1140"/>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二、商务要求</w:t>
      </w:r>
      <w:r>
        <w:rPr>
          <w:rFonts w:hint="eastAsia" w:ascii="宋体" w:hAnsi="宋体" w:eastAsia="宋体" w:cs="宋体"/>
          <w:b/>
          <w:bCs/>
          <w:color w:val="000000"/>
          <w:sz w:val="24"/>
          <w:highlight w:val="none"/>
          <w:lang w:val="en-US" w:eastAsia="zh-CN"/>
        </w:rPr>
      </w:r>
      <w:r/>
    </w:p>
    <w:p>
      <w:pPr>
        <w:pStyle w:val="1140"/>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1.工期：</w:t>
      </w:r>
      <w:r>
        <w:rPr>
          <w:rFonts w:hint="eastAsia" w:ascii="宋体" w:hAnsi="宋体" w:eastAsia="宋体" w:cs="宋体"/>
          <w:bCs/>
          <w:color w:val="000000"/>
          <w:sz w:val="24"/>
          <w:szCs w:val="24"/>
          <w:highlight w:val="none"/>
          <w:lang w:val="zh-CN" w:eastAsia="zh-CN" w:bidi="ar-SA"/>
        </w:rPr>
        <w:t xml:space="preserve">自收到采购人开工通知后</w:t>
      </w:r>
      <w:r>
        <w:rPr>
          <w:rFonts w:hint="eastAsia" w:ascii="宋体" w:hAnsi="宋体" w:eastAsia="宋体" w:cs="宋体"/>
          <w:bCs/>
          <w:color w:val="000000"/>
          <w:sz w:val="24"/>
          <w:szCs w:val="24"/>
          <w:highlight w:val="none"/>
          <w:u w:val="single"/>
          <w:lang w:val="en-US" w:eastAsia="zh-CN" w:bidi="ar-SA"/>
        </w:rPr>
        <w:t xml:space="preserve">  15  </w:t>
      </w:r>
      <w:r>
        <w:rPr>
          <w:rFonts w:hint="eastAsia" w:ascii="宋体" w:hAnsi="宋体" w:eastAsia="宋体" w:cs="宋体"/>
          <w:bCs/>
          <w:color w:val="000000"/>
          <w:sz w:val="24"/>
          <w:szCs w:val="24"/>
          <w:highlight w:val="none"/>
          <w:lang w:val="zh-CN" w:eastAsia="zh-CN" w:bidi="ar-SA"/>
        </w:rPr>
        <w:t xml:space="preserve">个日历日内完工并通过验收，同时施工工期必须严格服从采购人的安排，满足工程进度的要求。</w:t>
      </w:r>
      <w:r>
        <w:rPr>
          <w:rFonts w:ascii="宋体" w:hAnsi="宋体" w:eastAsia="宋体" w:cs="宋体"/>
          <w:color w:val="000000"/>
          <w:sz w:val="24"/>
          <w:highlight w:val="none"/>
          <w:lang w:val="en-US" w:eastAsia="zh-CN"/>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highlight w:val="yellow"/>
          <w:lang w:val="en-US" w:eastAsia="zh-CN"/>
        </w:rPr>
      </w:pPr>
      <w:r>
        <w:rPr>
          <w:rFonts w:hint="eastAsia" w:ascii="宋体" w:hAnsi="宋体" w:eastAsia="宋体" w:cs="宋体"/>
          <w:color w:val="000000"/>
          <w:sz w:val="24"/>
          <w:highlight w:val="none"/>
          <w:lang w:val="en-US" w:eastAsia="zh-CN"/>
        </w:rPr>
        <w:t xml:space="preserve">2.付款条件：项目开工前，支付合同总价10%的预付款（供应商明确表示无需预付款或者主动要求降低预付款比例的，采购人可不适用前述规定），项目完工经验收合格60日内付至审定价的97%，两年</w:t>
      </w:r>
      <w:r>
        <w:rPr>
          <w:rFonts w:hint="eastAsia" w:ascii="宋体" w:hAnsi="宋体" w:eastAsia="宋体" w:cs="宋体"/>
          <w:b w:val="0"/>
          <w:bCs/>
          <w:color w:val="000000"/>
          <w:sz w:val="24"/>
          <w:szCs w:val="24"/>
          <w:highlight w:val="none"/>
          <w:u w:val="none"/>
        </w:rPr>
        <w:t xml:space="preserve">缺陷责任期</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b w:val="0"/>
          <w:bCs/>
          <w:color w:val="000000"/>
          <w:sz w:val="24"/>
          <w:szCs w:val="24"/>
          <w:highlight w:val="none"/>
          <w:u w:val="none"/>
          <w:lang w:val="en-US" w:eastAsia="zh-CN"/>
        </w:rPr>
        <w:t xml:space="preserve">质保、养护期</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color w:val="000000"/>
          <w:sz w:val="24"/>
          <w:highlight w:val="none"/>
          <w:lang w:val="en-US" w:eastAsia="zh-CN"/>
        </w:rPr>
        <w:t xml:space="preserve">结束后付至审定价的100%（无息）</w:t>
      </w:r>
      <w:r>
        <w:rPr>
          <w:rFonts w:hint="eastAsia" w:ascii="宋体" w:hAnsi="宋体" w:eastAsia="宋体" w:cs="宋体"/>
          <w:color w:val="000000"/>
          <w:sz w:val="24"/>
          <w:highlight w:val="yellow"/>
          <w:lang w:val="en-US" w:eastAsia="zh-CN"/>
        </w:rPr>
      </w:r>
      <w:r/>
    </w:p>
    <w:p>
      <w:pPr>
        <w:pStyle w:val="1140"/>
        <w:ind w:firstLine="482"/>
        <w:jc w:val="left"/>
        <w:keepLines w:val="0"/>
        <w:keepNext w:val="0"/>
        <w:pageBreakBefore w:val="0"/>
        <w:spacing w:line="360" w:lineRule="auto"/>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三、技术要求</w:t>
      </w:r>
      <w:r>
        <w:rPr>
          <w:rFonts w:hint="eastAsia" w:ascii="宋体" w:hAnsi="宋体" w:eastAsia="宋体" w:cs="宋体"/>
          <w:b/>
          <w:bCs/>
          <w:color w:val="000000"/>
          <w:sz w:val="24"/>
          <w:lang w:val="en-US" w:eastAsia="zh-CN"/>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本次绿化移植完成后供应商应提供绿植数量竣工资料，并按采购人认可的尺寸规格、品种或其他计量方法进行计算，经采购人确认，最终按工程量清单的单价和总价进行结算与支付。工程量清单中所列工程量的变动，丝毫不会降低或影响合同条件的效力，也不免除成交供应商按规定的标准进行施工和修复缺陷的责任。</w:t>
      </w:r>
      <w:r>
        <w:rPr>
          <w:rFonts w:hint="eastAsia" w:ascii="宋体" w:hAnsi="宋体" w:eastAsia="宋体" w:cs="宋体"/>
          <w:color w:val="000000"/>
          <w:sz w:val="24"/>
          <w:highlight w:val="none"/>
          <w:lang w:val="en-US" w:eastAsia="zh-CN"/>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2、工程施工期间涉及安全由成交供应商全部负责，涉及安全所产生的相关费用一律由成交供应商承担。</w:t>
      </w:r>
      <w:r>
        <w:rPr>
          <w:rFonts w:hint="eastAsia" w:ascii="宋体" w:hAnsi="宋体" w:eastAsia="宋体" w:cs="宋体"/>
          <w:color w:val="000000"/>
          <w:sz w:val="24"/>
          <w:highlight w:val="none"/>
          <w:lang w:val="en-US" w:eastAsia="zh-CN"/>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3、在养护期内苗木成活率低于98%的，则由供应商按原有的品种规格进行补种。</w:t>
      </w:r>
      <w:r>
        <w:rPr>
          <w:rFonts w:hint="eastAsia" w:ascii="宋体" w:hAnsi="宋体" w:eastAsia="宋体" w:cs="宋体"/>
          <w:color w:val="000000"/>
          <w:sz w:val="24"/>
          <w:highlight w:val="none"/>
          <w:lang w:val="en-US" w:eastAsia="zh-CN"/>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4、成交供应商应当办理有关施工现场交通、环卫、施工噪声等管理手续，若发生费用由成交供应商负责。</w:t>
      </w:r>
      <w:r>
        <w:rPr>
          <w:rFonts w:hint="eastAsia" w:ascii="宋体" w:hAnsi="宋体" w:eastAsia="宋体" w:cs="宋体"/>
          <w:color w:val="000000"/>
          <w:sz w:val="24"/>
          <w:highlight w:val="none"/>
          <w:lang w:val="en-US" w:eastAsia="zh-CN"/>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5、施工人员应服从采购人安全管理。</w:t>
      </w:r>
      <w:r>
        <w:rPr>
          <w:rFonts w:hint="eastAsia" w:ascii="宋体" w:hAnsi="宋体" w:eastAsia="宋体" w:cs="宋体"/>
          <w:color w:val="000000"/>
          <w:sz w:val="24"/>
          <w:highlight w:val="none"/>
          <w:lang w:val="en-US" w:eastAsia="zh-CN"/>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6、在移植之前，成交供应商应对本次移栽的绿植进行保护和防止丢失。</w:t>
      </w:r>
      <w:r>
        <w:rPr>
          <w:rFonts w:hint="eastAsia" w:ascii="宋体" w:hAnsi="宋体" w:eastAsia="宋体" w:cs="宋体"/>
          <w:color w:val="000000"/>
          <w:sz w:val="24"/>
          <w:highlight w:val="none"/>
          <w:lang w:val="en-US" w:eastAsia="zh-CN"/>
        </w:rPr>
      </w:r>
      <w:r/>
    </w:p>
    <w:p>
      <w:pPr>
        <w:pStyle w:val="1140"/>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p>
      <w:pPr>
        <w:pStyle w:val="1140"/>
        <w:ind w:firstLine="480"/>
        <w:jc w:val="left"/>
        <w:keepLines w:val="0"/>
        <w:keepNext w:val="0"/>
        <w:pageBreakBefore w:val="0"/>
        <w:spacing w:line="360" w:lineRule="auto"/>
        <w:widowControl/>
        <w:rPr>
          <w:rFonts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7、具体要求详见工程量清单。</w:t>
      </w:r>
      <w:r>
        <w:rPr>
          <w:rFonts w:ascii="宋体" w:hAnsi="宋体" w:eastAsia="宋体" w:cs="宋体"/>
          <w:b w:val="0"/>
          <w:bCs w:val="0"/>
          <w:color w:val="000000"/>
          <w:sz w:val="24"/>
          <w:lang w:val="en-US" w:eastAsia="zh-CN"/>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其他要求</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color w:val="000000"/>
          <w:sz w:val="24"/>
          <w:lang w:val="en-US" w:eastAsia="zh-CN"/>
        </w:rPr>
        <w:t xml:space="preserve"> 100</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1140"/>
        <w:ind w:firstLine="482"/>
        <w:jc w:val="left"/>
        <w:keepLines w:val="0"/>
        <w:keepNext w:val="0"/>
        <w:pageBreakBefore w:val="0"/>
        <w:spacing w:line="360" w:lineRule="auto"/>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四、磋商报价</w:t>
      </w:r>
      <w:r>
        <w:rPr>
          <w:rFonts w:hint="eastAsia" w:ascii="宋体" w:hAnsi="宋体" w:eastAsia="宋体" w:cs="宋体"/>
          <w:b/>
          <w:bCs/>
          <w:color w:val="000000"/>
          <w:sz w:val="24"/>
          <w:lang w:val="en-US" w:eastAsia="zh-CN"/>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本工程磋商报价采用工程量清单报价。供应商应按要求提供已标价工程量清单</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已标价工程量清单包括（根据最新工程量清单计价规范提供）:单位工程费汇总表、分部分项工程和单价措施项目清单计价表、总价措施项目清单与计价表、其他项目清单与计价汇总表、暂列金额明细表、材料暂估价格表、专业工程暂估价表、规费、税金项目清单计价表、乙供主要材料及设备价格表。</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本项目磋商报价为</w:t>
      </w:r>
      <w:r>
        <w:rPr>
          <w:rFonts w:hint="eastAsia" w:ascii="宋体" w:hAnsi="宋体" w:eastAsia="宋体" w:cs="宋体"/>
          <w:b/>
          <w:bCs/>
          <w:color w:val="000000"/>
          <w:sz w:val="24"/>
          <w:highlight w:val="none"/>
        </w:rPr>
        <w:t xml:space="preserve">固定综合单价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rPr>
        <w:t xml:space="preserve">磋商报价为供应商在磋商响应文件中提出的各项支付金额的总和。</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供应商所填报的各项基价中的各种材料单价在合同实施期间不因市场价格变化因素而变动，供应商在报综合单价时应考虑各种风险因素和自己的承受能力。</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因设计变更引起工程项目、工程量变化的，变更合同价款详见合同条款。</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5.禁止</w:t>
      </w:r>
      <w:r>
        <w:rPr>
          <w:rFonts w:hint="eastAsia" w:ascii="宋体" w:hAnsi="宋体" w:eastAsia="宋体" w:cs="宋体"/>
          <w:color w:val="000000"/>
          <w:sz w:val="24"/>
        </w:rPr>
        <w:t xml:space="preserve">盲目压低报价。</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磋商报价的编制要求：</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招标的磋商报价时，不能进行磋商总价的优惠让利，供应商对磋商报价的任何优惠让利均应反映在相应清单项目的综合单价中，不可竞争费不得优惠让利。</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其他项目清单中的材料暂估价、暂列金额、专业工程暂估价、预留金均不能优惠，虽在开标时计入供应商的报价中，但不应视为供应商所有。</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工程量清单是按建设方提供相关的图纸、规范、标准图集和技术资料、《建设工程工程量清单计价规范》（GB50500-2013）及其工程量计算规范</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2007年《江苏省园林古建工程计价表》（上、下册）、2010年《江苏省房屋修缮工程计价表》（土建、安装）、2014年《江苏省建筑与装饰工程计价定额》、2014年《江苏省建设工程费用定额》营改增后调整内容、苏建价[2014]448号文、苏建价[2016]154号文、苏建函价[2019]178号文</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江苏省住房和城乡建设厅公告[2018]第24号、[2019]第19号</w:t>
      </w:r>
      <w:r>
        <w:rPr>
          <w:rFonts w:hint="eastAsia" w:ascii="宋体" w:hAnsi="宋体" w:eastAsia="宋体" w:cs="宋体"/>
          <w:color w:val="000000"/>
          <w:sz w:val="24"/>
          <w:lang w:eastAsia="zh-CN"/>
        </w:rPr>
        <w:t xml:space="preserve">、常建（2014）279号文、常建（2016）94号文、常建[2017]103号文、常建[2019]1号文</w:t>
      </w:r>
      <w:r>
        <w:rPr>
          <w:rFonts w:hint="eastAsia" w:ascii="宋体" w:hAnsi="宋体" w:eastAsia="宋体" w:cs="宋体"/>
          <w:color w:val="000000"/>
          <w:sz w:val="24"/>
        </w:rPr>
        <w:t xml:space="preserve">、江苏省机械台班计价定额含税价与除税价表、江苏省及常州市有关现行文件编制。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围挡）、工地施工过程管理、渣土装载运输等，应认真落实执行相关配套文件精神，有关费用承包人须在项目措施费中落实。</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供应商应按采购人提供的工程量清单填报价格，填写的项目编码、项目名称、项目特征、计量单位、工程量必须与采购人提供的一致。</w:t>
      </w:r>
      <w:r>
        <w:rPr>
          <w:rFonts w:hint="eastAsia" w:ascii="宋体" w:hAnsi="宋体" w:eastAsia="宋体" w:cs="宋体"/>
          <w:b/>
          <w:bCs/>
          <w:color w:val="000000"/>
          <w:sz w:val="24"/>
          <w:highlight w:val="none"/>
          <w:lang w:val="en-US" w:eastAsia="zh-CN"/>
        </w:rPr>
        <w:t xml:space="preserve">磋商报价不得高于最高限价和清单子目综合单价，且不得改变不可竞争费费率，否则作为无效响应处理。</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分部分项工程费应依据最新计价规范综合单价组成内容，按分部分项工程量清单项目的特征描述确定综合单价（当施工图纸与工程量清单项目特征描述不一致时，以工程量清单项目特征描述为准）。综合单价中应考虑磋商响应文件中要求供应商承担的风险费用。暂估单价的材料，按暂估的单价计入综合单价。</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因工程变更造成施工方案变更,引起措施项目发生变化时。措施项目费进行相应的调整，详见合同条款。</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承包人供应主要材料一览表”中应注明供应商所选择的材料（设备）的品牌（或规格、型号、产地），未注明上述信息的，视为供应商同意由采购人选择相应材料（设备）的品牌（或规格、型号、产地），但材料（设备）价格不予调</w:t>
      </w:r>
      <w:r>
        <w:rPr>
          <w:rFonts w:hint="eastAsia" w:ascii="宋体" w:hAnsi="宋体" w:eastAsia="宋体" w:cs="宋体"/>
          <w:color w:val="000000"/>
          <w:sz w:val="24"/>
        </w:rPr>
        <w:t xml:space="preserve">整。因可选品牌材料（设备）之间客观存在的差异所引起的价格差异由供应商在磋商报价时综合考虑。成交后，供应商不得因此提出价格调整的要求。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rPr>
          <w:rFonts w:hint="eastAsia" w:ascii="宋体" w:hAnsi="宋体" w:eastAsia="宋体" w:cs="宋体"/>
          <w:color w:val="000000"/>
          <w:sz w:val="24"/>
        </w:rPr>
      </w:r>
      <w:r/>
    </w:p>
    <w:p>
      <w:pPr>
        <w:pStyle w:val="1140"/>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13</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用于本工程的所有材料、设备必须符合有关规范、设计图纸规定的质量要求。且所有材料及设备的品牌、规格型号、色号、产地、生产产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产家、参数、性能、价格等负责。</w:t>
      </w:r>
      <w:r>
        <w:rPr>
          <w:rFonts w:hint="eastAsia" w:ascii="宋体" w:hAnsi="宋体" w:eastAsia="宋体" w:cs="宋体"/>
          <w:color w:val="000000"/>
          <w:sz w:val="24"/>
        </w:rPr>
      </w:r>
      <w:r/>
    </w:p>
    <w:p>
      <w:pPr>
        <w:pStyle w:val="1140"/>
        <w:ind w:firstLine="482"/>
        <w:jc w:val="left"/>
        <w:keepLines w:val="0"/>
        <w:keepNext w:val="0"/>
        <w:pageBreakBefore w:val="0"/>
        <w:spacing w:line="360" w:lineRule="auto"/>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7.供应商的最终报价作为评分依据，如最终报价与首次报价不一致，则</w:t>
      </w:r>
      <w:r>
        <w:rPr>
          <w:rFonts w:hint="eastAsia" w:ascii="宋体" w:hAnsi="宋体" w:eastAsia="宋体" w:cs="宋体"/>
          <w:b/>
          <w:bCs/>
          <w:color w:val="000000"/>
          <w:sz w:val="24"/>
        </w:rPr>
        <w:t xml:space="preserve">签订合同时</w:t>
      </w:r>
      <w:r>
        <w:rPr>
          <w:rFonts w:hint="eastAsia" w:ascii="宋体" w:hAnsi="宋体" w:eastAsia="宋体" w:cs="宋体"/>
          <w:b/>
          <w:bCs/>
          <w:color w:val="000000"/>
          <w:sz w:val="24"/>
          <w:lang w:val="en-US" w:eastAsia="zh-CN"/>
        </w:rPr>
        <w:t xml:space="preserve">各项投标</w:t>
      </w:r>
      <w:r>
        <w:rPr>
          <w:rFonts w:hint="eastAsia" w:ascii="宋体" w:hAnsi="宋体" w:eastAsia="宋体" w:cs="宋体"/>
          <w:b/>
          <w:bCs/>
          <w:color w:val="000000"/>
          <w:sz w:val="24"/>
        </w:rPr>
        <w:t xml:space="preserve">单价根据最终报价与首次报价之比</w:t>
      </w:r>
      <w:r>
        <w:rPr>
          <w:rFonts w:hint="eastAsia" w:ascii="宋体" w:hAnsi="宋体" w:eastAsia="宋体" w:cs="宋体"/>
          <w:b/>
          <w:bCs/>
          <w:color w:val="000000"/>
          <w:sz w:val="24"/>
          <w:lang w:val="en-US" w:eastAsia="zh-CN"/>
        </w:rPr>
        <w:t xml:space="preserve">同比例下浮（暂列金额（含规费及税金）、暂估价（含规费及税金）等不可竞争的费用除外）。</w:t>
      </w:r>
      <w:r>
        <w:rPr>
          <w:rFonts w:hint="eastAsia" w:ascii="宋体" w:hAnsi="宋体" w:eastAsia="宋体" w:cs="宋体"/>
          <w:b/>
          <w:bCs/>
          <w:color w:val="000000"/>
          <w:sz w:val="24"/>
          <w:lang w:val="en-US" w:eastAsia="zh-CN"/>
        </w:rPr>
      </w:r>
      <w:r/>
    </w:p>
    <w:p>
      <w:pPr>
        <w:pStyle w:val="1140"/>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五、验收要求</w:t>
      </w:r>
      <w:r>
        <w:rPr>
          <w:rFonts w:hint="eastAsia" w:ascii="宋体" w:hAnsi="宋体" w:eastAsia="宋体" w:cs="宋体"/>
          <w:b/>
          <w:bCs/>
          <w:color w:val="000000"/>
          <w:sz w:val="24"/>
          <w:highlight w:val="none"/>
          <w:lang w:val="en-US" w:eastAsia="zh-CN"/>
        </w:rPr>
      </w:r>
      <w:r/>
    </w:p>
    <w:p>
      <w:pPr>
        <w:pStyle w:val="1140"/>
        <w:contextualSpacing/>
        <w:ind w:firstLine="480"/>
        <w:keepLines w:val="0"/>
        <w:keepNext w:val="0"/>
        <w:pageBreakBefore w:val="0"/>
        <w:spacing w:line="360" w:lineRule="auto"/>
        <w:widowControl w:val="off"/>
        <w:rPr>
          <w:rFonts w:ascii="宋体" w:hAnsi="宋体" w:eastAsia="宋体" w:cs="宋体"/>
          <w:bCs/>
          <w:color w:val="000000"/>
          <w:sz w:val="24"/>
          <w:szCs w:val="24"/>
          <w:highlight w:val="none"/>
          <w:shd w:val="clear" w:color="auto" w:fill="auto"/>
          <w:lang w:val="en-US" w:eastAsia="zh-CN"/>
        </w:rPr>
      </w:pPr>
      <w:r>
        <w:rPr>
          <w:rFonts w:hint="eastAsia" w:ascii="宋体" w:hAnsi="宋体" w:cs="宋体"/>
          <w:bCs/>
          <w:color w:val="000000"/>
          <w:sz w:val="24"/>
          <w:szCs w:val="24"/>
          <w:highlight w:val="none"/>
          <w:shd w:val="clear" w:color="auto" w:fill="auto"/>
          <w:lang w:val="en-US" w:eastAsia="zh-CN"/>
        </w:rPr>
        <w:t xml:space="preserve">1、</w:t>
      </w:r>
      <w:r>
        <w:rPr>
          <w:rFonts w:ascii="宋体" w:hAnsi="宋体" w:eastAsia="宋体" w:cs="宋体"/>
          <w:bCs/>
          <w:color w:val="000000"/>
          <w:sz w:val="24"/>
          <w:szCs w:val="24"/>
          <w:highlight w:val="none"/>
          <w:shd w:val="clear" w:color="auto" w:fill="auto"/>
          <w:lang w:val="en-US" w:eastAsia="zh-CN"/>
        </w:rPr>
        <w:t xml:space="preserve">验收主体：采购人</w:t>
      </w:r>
      <w:r>
        <w:rPr>
          <w:rFonts w:ascii="宋体" w:hAnsi="宋体" w:eastAsia="宋体" w:cs="宋体"/>
          <w:bCs/>
          <w:color w:val="000000"/>
          <w:sz w:val="24"/>
          <w:szCs w:val="24"/>
          <w:highlight w:val="none"/>
          <w:shd w:val="clear" w:color="auto" w:fill="auto"/>
          <w:lang w:val="en-US" w:eastAsia="zh-CN"/>
        </w:rPr>
      </w:r>
      <w:r/>
    </w:p>
    <w:p>
      <w:pPr>
        <w:pStyle w:val="1140"/>
        <w:contextualSpacing/>
        <w:ind w:firstLine="480"/>
        <w:keepLines w:val="0"/>
        <w:keepNext w:val="0"/>
        <w:pageBreakBefore w:val="0"/>
        <w:spacing w:line="360" w:lineRule="auto"/>
        <w:widowControl w:val="off"/>
        <w:rPr>
          <w:rFonts w:ascii="宋体" w:hAnsi="宋体" w:eastAsia="宋体" w:cs="宋体"/>
          <w:bCs/>
          <w:color w:val="000000"/>
          <w:sz w:val="24"/>
          <w:szCs w:val="24"/>
          <w:highlight w:val="none"/>
          <w:shd w:val="clear" w:color="auto" w:fill="auto"/>
          <w:lang w:val="en-US" w:eastAsia="zh-CN"/>
        </w:rPr>
      </w:pPr>
      <w:r>
        <w:rPr>
          <w:rFonts w:hint="eastAsia" w:ascii="宋体" w:hAnsi="宋体" w:eastAsia="宋体" w:cs="宋体"/>
          <w:bCs/>
          <w:color w:val="000000"/>
          <w:sz w:val="24"/>
          <w:szCs w:val="24"/>
          <w:highlight w:val="none"/>
          <w:shd w:val="clear" w:color="auto" w:fill="auto"/>
          <w:lang w:val="en-US" w:eastAsia="zh-CN"/>
        </w:rPr>
        <w:t xml:space="preserve">2、</w:t>
      </w:r>
      <w:r>
        <w:rPr>
          <w:rFonts w:ascii="宋体" w:hAnsi="宋体" w:eastAsia="宋体" w:cs="宋体"/>
          <w:bCs/>
          <w:color w:val="000000"/>
          <w:sz w:val="24"/>
          <w:szCs w:val="24"/>
          <w:highlight w:val="none"/>
          <w:shd w:val="clear" w:color="auto" w:fill="auto"/>
          <w:lang w:val="en-US" w:eastAsia="zh-CN"/>
        </w:rPr>
        <w:t xml:space="preserve">验收时间：履约验收条件达到时，采购人应当在5个工作日内启动履约验收工作，并向供应商发出《履约验收通知单》。</w:t>
      </w:r>
      <w:r>
        <w:rPr>
          <w:rFonts w:ascii="宋体" w:hAnsi="宋体" w:eastAsia="宋体" w:cs="宋体"/>
          <w:bCs/>
          <w:color w:val="000000"/>
          <w:sz w:val="24"/>
          <w:szCs w:val="24"/>
          <w:highlight w:val="none"/>
          <w:shd w:val="clear" w:color="auto" w:fill="auto"/>
          <w:lang w:val="en-US" w:eastAsia="zh-CN"/>
        </w:rPr>
      </w:r>
      <w:r/>
    </w:p>
    <w:p>
      <w:pPr>
        <w:pStyle w:val="1140"/>
        <w:contextualSpacing/>
        <w:ind w:firstLine="480"/>
        <w:keepLines w:val="0"/>
        <w:keepNext w:val="0"/>
        <w:pageBreakBefore w:val="0"/>
        <w:spacing w:line="360" w:lineRule="auto"/>
        <w:widowControl w:val="off"/>
        <w:rPr>
          <w:rFonts w:ascii="宋体" w:hAnsi="宋体" w:eastAsia="宋体" w:cs="宋体"/>
          <w:bCs/>
          <w:color w:val="000000"/>
          <w:sz w:val="24"/>
          <w:szCs w:val="24"/>
          <w:highlight w:val="none"/>
          <w:shd w:val="clear" w:color="auto" w:fill="auto"/>
          <w:lang w:val="en-US" w:eastAsia="zh-CN"/>
        </w:rPr>
      </w:pPr>
      <w:r>
        <w:rPr>
          <w:rFonts w:hint="eastAsia" w:ascii="宋体" w:hAnsi="宋体" w:cs="宋体"/>
          <w:bCs/>
          <w:color w:val="000000"/>
          <w:sz w:val="24"/>
          <w:szCs w:val="24"/>
          <w:highlight w:val="none"/>
          <w:shd w:val="clear" w:color="auto" w:fill="auto"/>
          <w:lang w:val="en-US" w:eastAsia="zh-CN"/>
        </w:rPr>
        <w:t xml:space="preserve">3、</w:t>
      </w:r>
      <w:r>
        <w:rPr>
          <w:rFonts w:ascii="宋体" w:hAnsi="宋体" w:eastAsia="宋体" w:cs="宋体"/>
          <w:bCs/>
          <w:color w:val="000000"/>
          <w:sz w:val="24"/>
          <w:szCs w:val="24"/>
          <w:highlight w:val="none"/>
          <w:shd w:val="clear" w:color="auto" w:fill="auto"/>
          <w:lang w:val="en-US" w:eastAsia="zh-CN"/>
        </w:rPr>
        <w:t xml:space="preserve">验收方式：采购人应当成立验收小组，负责采购项目履约验收具体工作。</w:t>
      </w:r>
      <w:r>
        <w:rPr>
          <w:rFonts w:ascii="宋体" w:hAnsi="宋体" w:eastAsia="宋体" w:cs="宋体"/>
          <w:bCs/>
          <w:color w:val="000000"/>
          <w:sz w:val="24"/>
          <w:szCs w:val="24"/>
          <w:highlight w:val="none"/>
          <w:shd w:val="clear" w:color="auto" w:fill="auto"/>
          <w:lang w:val="en-US" w:eastAsia="zh-CN"/>
        </w:rPr>
      </w:r>
      <w:r/>
    </w:p>
    <w:p>
      <w:pPr>
        <w:pStyle w:val="1140"/>
        <w:contextualSpacing/>
        <w:ind w:firstLine="480"/>
        <w:keepLines w:val="0"/>
        <w:keepNext w:val="0"/>
        <w:pageBreakBefore w:val="0"/>
        <w:spacing w:line="360" w:lineRule="auto"/>
        <w:widowControl w:val="off"/>
        <w:rPr>
          <w:rFonts w:ascii="宋体" w:hAnsi="宋体" w:eastAsia="宋体" w:cs="宋体"/>
          <w:b/>
          <w:bCs/>
          <w:color w:val="000000"/>
          <w:sz w:val="24"/>
          <w:lang w:val="en-US" w:eastAsia="zh-CN"/>
        </w:rPr>
      </w:pPr>
      <w:r>
        <w:rPr>
          <w:rFonts w:hint="eastAsia" w:ascii="宋体" w:hAnsi="宋体" w:eastAsia="宋体" w:cs="宋体"/>
          <w:bCs/>
          <w:color w:val="000000"/>
          <w:sz w:val="24"/>
          <w:szCs w:val="24"/>
          <w:highlight w:val="none"/>
          <w:shd w:val="clear" w:color="auto" w:fill="auto"/>
          <w:lang w:val="en-US" w:eastAsia="zh-CN"/>
        </w:rPr>
        <w:t xml:space="preserve">4、</w:t>
      </w:r>
      <w:r>
        <w:rPr>
          <w:rFonts w:ascii="宋体" w:hAnsi="宋体" w:eastAsia="宋体" w:cs="宋体"/>
          <w:bCs/>
          <w:color w:val="000000"/>
          <w:sz w:val="24"/>
          <w:szCs w:val="24"/>
          <w:highlight w:val="none"/>
          <w:shd w:val="clear" w:color="auto" w:fill="auto"/>
          <w:lang w:val="en-US" w:eastAsia="zh-CN"/>
        </w:rPr>
        <w:t xml:space="preserve">验收内容</w:t>
      </w:r>
      <w:r>
        <w:rPr>
          <w:rFonts w:hint="eastAsia" w:ascii="宋体" w:hAnsi="宋体" w:eastAsia="宋体" w:cs="宋体"/>
          <w:bCs/>
          <w:color w:val="000000"/>
          <w:sz w:val="24"/>
          <w:szCs w:val="24"/>
          <w:highlight w:val="none"/>
          <w:shd w:val="clear" w:color="auto" w:fill="auto"/>
          <w:lang w:val="en-US" w:eastAsia="zh-CN"/>
        </w:rPr>
        <w:t xml:space="preserve">及标准</w:t>
      </w:r>
      <w:r>
        <w:rPr>
          <w:rFonts w:ascii="宋体" w:hAnsi="宋体" w:eastAsia="宋体" w:cs="宋体"/>
          <w:bCs/>
          <w:color w:val="000000"/>
          <w:sz w:val="24"/>
          <w:szCs w:val="24"/>
          <w:highlight w:val="none"/>
          <w:shd w:val="clear" w:color="auto" w:fill="auto"/>
          <w:lang w:val="en-US" w:eastAsia="zh-CN"/>
        </w:rPr>
        <w:t xml:space="preserve">：</w:t>
      </w:r>
      <w:r>
        <w:rPr>
          <w:rFonts w:hint="eastAsia" w:ascii="宋体" w:hAnsi="宋体" w:eastAsia="宋体" w:cs="宋体"/>
          <w:bCs/>
          <w:color w:val="000000"/>
          <w:sz w:val="24"/>
          <w:szCs w:val="24"/>
          <w:highlight w:val="none"/>
          <w:shd w:val="clear" w:color="auto" w:fill="auto"/>
          <w:lang w:val="en-US" w:eastAsia="zh-CN"/>
        </w:rPr>
        <w:t xml:space="preserve">按照</w:t>
      </w:r>
      <w:r>
        <w:rPr>
          <w:rFonts w:ascii="宋体" w:hAnsi="宋体" w:eastAsia="宋体" w:cs="宋体"/>
          <w:bCs/>
          <w:color w:val="000000"/>
          <w:sz w:val="24"/>
          <w:szCs w:val="24"/>
          <w:highlight w:val="none"/>
          <w:shd w:val="clear" w:color="auto" w:fill="auto"/>
          <w:lang w:val="en-US" w:eastAsia="zh-CN"/>
        </w:rPr>
        <w:t xml:space="preserve">验收小组</w:t>
      </w:r>
      <w:r>
        <w:rPr>
          <w:rFonts w:hint="eastAsia" w:ascii="宋体" w:hAnsi="宋体" w:eastAsia="宋体" w:cs="宋体"/>
          <w:bCs/>
          <w:color w:val="000000"/>
          <w:sz w:val="24"/>
          <w:szCs w:val="24"/>
          <w:highlight w:val="none"/>
          <w:shd w:val="clear" w:color="auto" w:fill="auto"/>
          <w:lang w:val="en-US" w:eastAsia="zh-CN"/>
        </w:rPr>
        <w:t xml:space="preserve">根据采购文件要求、响应文件承诺、相关</w:t>
      </w:r>
      <w:r>
        <w:rPr>
          <w:rFonts w:ascii="宋体" w:hAnsi="宋体" w:eastAsia="宋体" w:cs="宋体"/>
          <w:bCs/>
          <w:color w:val="000000"/>
          <w:sz w:val="24"/>
          <w:szCs w:val="24"/>
          <w:highlight w:val="none"/>
          <w:shd w:val="clear" w:color="auto" w:fill="auto"/>
          <w:lang w:val="en-US" w:eastAsia="zh-CN"/>
        </w:rPr>
        <w:t xml:space="preserve">法律法规等，</w:t>
      </w:r>
      <w:r>
        <w:rPr>
          <w:rFonts w:ascii="宋体" w:hAnsi="宋体" w:eastAsia="宋体" w:cs="宋体"/>
          <w:bCs/>
          <w:color w:val="000000"/>
          <w:sz w:val="24"/>
          <w:szCs w:val="24"/>
          <w:highlight w:val="none"/>
          <w:shd w:val="clear" w:color="auto" w:fill="auto"/>
          <w:lang w:val="en-US" w:eastAsia="zh-CN"/>
        </w:rPr>
        <w:t xml:space="preserve">制定验收工作实施方案</w:t>
      </w:r>
      <w:r>
        <w:rPr>
          <w:rFonts w:hint="eastAsia" w:ascii="宋体" w:hAnsi="宋体" w:eastAsia="宋体" w:cs="宋体"/>
          <w:bCs/>
          <w:color w:val="000000"/>
          <w:sz w:val="24"/>
          <w:szCs w:val="24"/>
          <w:highlight w:val="none"/>
          <w:shd w:val="clear" w:color="auto" w:fill="auto"/>
          <w:lang w:val="en-US" w:eastAsia="zh-CN"/>
        </w:rPr>
        <w:t xml:space="preserve">，并</w:t>
      </w:r>
      <w:r>
        <w:rPr>
          <w:rFonts w:ascii="宋体" w:hAnsi="宋体" w:eastAsia="宋体" w:cs="宋体"/>
          <w:bCs/>
          <w:color w:val="000000"/>
          <w:sz w:val="24"/>
          <w:szCs w:val="24"/>
          <w:highlight w:val="none"/>
          <w:shd w:val="clear" w:color="auto" w:fill="auto"/>
          <w:lang w:val="en-US" w:eastAsia="zh-CN"/>
        </w:rPr>
        <w:t xml:space="preserve">开展验收，出具验收意见。</w:t>
      </w:r>
      <w:r>
        <w:rPr>
          <w:rFonts w:ascii="宋体" w:hAnsi="宋体" w:eastAsia="宋体" w:cs="宋体"/>
          <w:b/>
          <w:bCs/>
          <w:color w:val="000000"/>
          <w:sz w:val="24"/>
          <w:lang w:val="en-US" w:eastAsia="zh-CN"/>
        </w:rPr>
      </w:r>
      <w:r/>
    </w:p>
    <w:p>
      <w:pPr>
        <w:pStyle w:val="1140"/>
        <w:ind w:firstLine="482"/>
        <w:jc w:val="lef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pStyle w:val="1140"/>
        <w:ind w:firstLine="482"/>
        <w:jc w:val="left"/>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附件：</w:t>
      </w:r>
      <w:r>
        <w:rPr>
          <w:rFonts w:hint="eastAsia" w:ascii="宋体" w:hAnsi="宋体" w:eastAsia="宋体" w:cs="宋体"/>
          <w:b/>
          <w:bCs/>
          <w:color w:val="000000"/>
          <w:sz w:val="24"/>
          <w:highlight w:val="none"/>
          <w:lang w:val="en-US" w:eastAsia="zh-CN"/>
        </w:rPr>
        <w:t xml:space="preserve">招标控制价（工程量清单）</w:t>
      </w:r>
      <w:r>
        <w:rPr>
          <w:rFonts w:hint="eastAsia" w:ascii="宋体" w:hAnsi="宋体" w:eastAsia="宋体" w:cs="宋体"/>
          <w:b/>
          <w:bCs/>
          <w:color w:val="000000"/>
          <w:sz w:val="24"/>
          <w:highlight w:val="none"/>
          <w:lang w:val="en-US" w:eastAsia="zh-CN"/>
        </w:rPr>
      </w:r>
      <w:r/>
    </w:p>
    <w:p>
      <w:pPr>
        <w:pStyle w:val="1140"/>
        <w:ind w:firstLine="482"/>
        <w:jc w:val="left"/>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p>
      <w:pPr>
        <w:pStyle w:val="1140"/>
        <w:ind w:firstLine="482"/>
        <w:jc w:val="left"/>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8pt;height:66.0pt;mso-wrap-distance-left:0.0pt;mso-wrap-distance-top:0.0pt;mso-wrap-distance-right:0.0pt;mso-wrap-distance-bottom:0.0pt;" filled="f" stroked="f">
            <v:path textboxrect="0,0,0,0"/>
            <v:imagedata r:id="rId26" o:title=""/>
          </v:shape>
          <o:OLEObject DrawAspect="Content" r:id="rId27" ObjectID="_1525046" ProgID="Package" ShapeID="_x0000_i6" Type="Embed"/>
        </w:object>
      </w:r>
      <w:r>
        <w:rPr>
          <w:rFonts w:hint="eastAsia" w:ascii="宋体" w:hAnsi="宋体" w:eastAsia="宋体" w:cs="宋体"/>
          <w:b/>
          <w:bCs/>
          <w:color w:val="000000"/>
          <w:sz w:val="24"/>
          <w:highlight w:val="none"/>
          <w:lang w:val="en-US" w:eastAsia="zh-CN"/>
        </w:rPr>
      </w:r>
      <w:r/>
    </w:p>
    <w:p>
      <w:pPr>
        <w:pStyle w:val="1140"/>
        <w:ind w:firstLine="482"/>
        <w:jc w:val="left"/>
        <w:widowControl/>
        <w:rPr>
          <w:b/>
          <w:color w:val="000000"/>
          <w:sz w:val="36"/>
          <w:szCs w:val="36"/>
          <w:highlight w:val="none"/>
        </w:rPr>
      </w:pPr>
      <w:r>
        <w:rPr>
          <w:rFonts w:hint="eastAsia" w:ascii="宋体" w:hAnsi="宋体" w:eastAsia="宋体" w:cs="宋体"/>
          <w:b/>
          <w:bCs/>
          <w:color w:val="000000"/>
          <w:sz w:val="24"/>
          <w:highlight w:val="none"/>
          <w:lang w:val="en-US" w:eastAsia="zh-CN"/>
        </w:rPr>
        <w:t xml:space="preserve">双击打开</w:t>
      </w:r>
      <w:r>
        <w:rPr>
          <w:b/>
          <w:color w:val="000000"/>
          <w:sz w:val="36"/>
          <w:szCs w:val="36"/>
          <w:highlight w:val="none"/>
        </w:rPr>
        <w:br w:type="page" w:clear="all"/>
      </w:r>
      <w:r>
        <w:rPr>
          <w:b/>
          <w:color w:val="000000"/>
          <w:sz w:val="36"/>
          <w:szCs w:val="36"/>
          <w:highlight w:val="none"/>
        </w:rPr>
      </w:r>
      <w:r/>
    </w:p>
    <w:p>
      <w:pPr>
        <w:pStyle w:val="1140"/>
        <w:numPr>
          <w:ilvl w:val="0"/>
          <w:numId w:val="12"/>
        </w:numPr>
        <w:jc w:val="center"/>
        <w:spacing w:line="360" w:lineRule="auto"/>
        <w:widowControl/>
        <w:rPr>
          <w:rFonts w:ascii="宋体" w:hAnsi="宋体"/>
          <w:b/>
          <w:sz w:val="32"/>
          <w:szCs w:val="32"/>
        </w:rPr>
      </w:pPr>
      <w:r/>
      <w:bookmarkStart w:id="651" w:name="_Toc19655"/>
      <w:r>
        <w:rPr>
          <w:b/>
          <w:color w:val="000000"/>
          <w:sz w:val="36"/>
          <w:szCs w:val="36"/>
          <w:highlight w:val="none"/>
        </w:rPr>
        <w:t xml:space="preserve">  </w:t>
      </w:r>
      <w:r>
        <w:rPr>
          <w:rFonts w:ascii="宋体" w:hAnsi="宋体"/>
          <w:b/>
          <w:sz w:val="32"/>
          <w:szCs w:val="32"/>
        </w:rPr>
        <w:t xml:space="preserve">合同草案条款</w:t>
      </w:r>
      <w:r>
        <w:rPr>
          <w:rFonts w:ascii="宋体" w:hAnsi="宋体"/>
          <w:b/>
          <w:sz w:val="32"/>
          <w:szCs w:val="32"/>
        </w:rPr>
      </w:r>
      <w:r/>
    </w:p>
    <w:p>
      <w:pPr>
        <w:pStyle w:val="1140"/>
        <w:ind w:left="9" w:right="1375" w:firstLine="3"/>
        <w:jc w:val="left"/>
        <w:spacing w:before="150" w:line="347" w:lineRule="auto"/>
        <w:rPr>
          <w:rFonts w:ascii="宋体" w:hAnsi="宋体" w:eastAsia="宋体" w:cs="宋体"/>
          <w:color w:val="000000"/>
          <w:sz w:val="24"/>
          <w:szCs w:val="24"/>
          <w:highlight w:val="none"/>
          <w:lang w:val="en-US" w:eastAsia="en-US" w:bidi="ar-SA"/>
        </w:rPr>
      </w:pPr>
      <w:r/>
      <w:bookmarkEnd w:id="651"/>
      <w:r/>
      <w:bookmarkStart w:id="652" w:name="_Toc30458"/>
      <w:r>
        <w:rPr>
          <w:rFonts w:ascii="宋体" w:hAnsi="宋体" w:eastAsia="宋体" w:cs="宋体"/>
          <w:color w:val="000000"/>
          <w:spacing w:val="-3"/>
          <w:sz w:val="24"/>
          <w:szCs w:val="24"/>
          <w:highlight w:val="none"/>
          <w:lang w:val="en-US" w:eastAsia="en-US" w:bidi="ar-SA"/>
        </w:rPr>
        <w:t xml:space="preserve">发包人（甲方</w:t>
      </w:r>
      <w:r>
        <w:rPr>
          <w:rFonts w:ascii="宋体" w:hAnsi="宋体" w:eastAsia="宋体" w:cs="宋体"/>
          <w:color w:val="000000"/>
          <w:spacing w:val="1"/>
          <w:sz w:val="24"/>
          <w:szCs w:val="24"/>
          <w:highlight w:val="none"/>
          <w:lang w:val="en-US" w:eastAsia="en-US" w:bidi="ar-SA"/>
        </w:rPr>
        <w:t xml:space="preserve">）：</w:t>
      </w:r>
      <w:r>
        <w:rPr>
          <w:rFonts w:ascii="宋体" w:hAnsi="宋体" w:eastAsia="宋体" w:cs="宋体"/>
          <w:color w:val="000000"/>
          <w:sz w:val="24"/>
          <w:szCs w:val="24"/>
          <w:highlight w:val="none"/>
          <w:u w:val="single"/>
          <w:lang w:val="en-US" w:eastAsia="en-US" w:bidi="ar-SA"/>
        </w:rPr>
        <w:t xml:space="preserve">                                           </w:t>
      </w:r>
      <w:r>
        <w:rPr>
          <w:rFonts w:ascii="宋体" w:hAnsi="宋体" w:eastAsia="宋体" w:cs="宋体"/>
          <w:color w:val="000000"/>
          <w:sz w:val="24"/>
          <w:szCs w:val="24"/>
          <w:highlight w:val="none"/>
          <w:lang w:val="en-US" w:eastAsia="en-US" w:bidi="ar-SA"/>
        </w:rPr>
        <w:t xml:space="preserve"> </w:t>
      </w:r>
      <w:r>
        <w:rPr>
          <w:rFonts w:ascii="宋体" w:hAnsi="宋体" w:eastAsia="宋体" w:cs="宋体"/>
          <w:color w:val="000000"/>
          <w:spacing w:val="-2"/>
          <w:sz w:val="24"/>
          <w:szCs w:val="24"/>
          <w:highlight w:val="none"/>
          <w:lang w:val="en-US" w:eastAsia="en-US" w:bidi="ar-SA"/>
        </w:rPr>
        <w:t xml:space="preserve">承包人（乙方</w:t>
      </w:r>
      <w:r>
        <w:rPr>
          <w:rFonts w:ascii="宋体" w:hAnsi="宋体" w:eastAsia="宋体" w:cs="宋体"/>
          <w:color w:val="000000"/>
          <w:sz w:val="24"/>
          <w:szCs w:val="24"/>
          <w:highlight w:val="none"/>
          <w:lang w:val="en-US" w:eastAsia="en-US" w:bidi="ar-SA"/>
        </w:rPr>
        <w:t xml:space="preserve">）：</w:t>
      </w:r>
      <w:r>
        <w:rPr>
          <w:rFonts w:ascii="宋体" w:hAnsi="宋体" w:eastAsia="宋体" w:cs="宋体"/>
          <w:color w:val="000000"/>
          <w:sz w:val="24"/>
          <w:szCs w:val="24"/>
          <w:highlight w:val="none"/>
          <w:u w:val="single"/>
          <w:lang w:val="en-US" w:eastAsia="en-US" w:bidi="ar-SA"/>
        </w:rPr>
        <w:t xml:space="preserve">                                           </w:t>
      </w:r>
      <w:r>
        <w:rPr>
          <w:rFonts w:ascii="宋体" w:hAnsi="宋体" w:eastAsia="宋体" w:cs="宋体"/>
          <w:color w:val="000000"/>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根据《中华人民共和国民法典》及城市绿化美化标准、有关法律规定，遵循</w:t>
      </w:r>
      <w:r>
        <w:rPr>
          <w:rFonts w:ascii="宋体" w:hAnsi="宋体" w:eastAsia="宋体" w:cs="宋体"/>
          <w:color w:val="000000"/>
          <w:spacing w:val="15"/>
          <w:sz w:val="24"/>
          <w:szCs w:val="24"/>
          <w:highlight w:val="none"/>
          <w:lang w:val="en-US" w:eastAsia="en-US" w:bidi="ar-SA"/>
        </w:rPr>
        <w:t xml:space="preserve"> </w:t>
      </w:r>
      <w:r>
        <w:rPr>
          <w:rFonts w:ascii="宋体" w:hAnsi="宋体" w:eastAsia="宋体" w:cs="宋体"/>
          <w:color w:val="000000"/>
          <w:spacing w:val="-1"/>
          <w:sz w:val="24"/>
          <w:szCs w:val="24"/>
          <w:highlight w:val="none"/>
          <w:lang w:val="en-US" w:eastAsia="en-US" w:bidi="ar-SA"/>
        </w:rPr>
        <w:t xml:space="preserve">平等、自愿、公平和诚实信用的原则，双方就</w:t>
      </w:r>
      <w:r>
        <w:rPr>
          <w:rFonts w:hint="eastAsia" w:ascii="宋体" w:hAnsi="宋体" w:eastAsia="宋体" w:cs="宋体"/>
          <w:color w:val="000000"/>
          <w:spacing w:val="-1"/>
          <w:sz w:val="24"/>
          <w:szCs w:val="24"/>
          <w:highlight w:val="none"/>
          <w:u w:val="single"/>
          <w:lang w:val="en-US" w:eastAsia="zh-CN" w:bidi="ar-SA"/>
        </w:rPr>
        <w:t xml:space="preserve">        </w:t>
      </w:r>
      <w:r>
        <w:rPr>
          <w:rFonts w:hint="eastAsia" w:ascii="宋体" w:hAnsi="宋体" w:eastAsia="宋体" w:cs="宋体"/>
          <w:color w:val="000000"/>
          <w:spacing w:val="-1"/>
          <w:sz w:val="24"/>
          <w:szCs w:val="24"/>
          <w:highlight w:val="none"/>
          <w:lang w:val="en-US" w:eastAsia="zh-CN" w:bidi="ar-SA"/>
        </w:rPr>
        <w:t xml:space="preserve">项目</w:t>
      </w:r>
      <w:r>
        <w:rPr>
          <w:rFonts w:ascii="宋体" w:hAnsi="宋体" w:eastAsia="宋体" w:cs="宋体"/>
          <w:color w:val="000000"/>
          <w:spacing w:val="-1"/>
          <w:sz w:val="24"/>
          <w:szCs w:val="24"/>
          <w:highlight w:val="none"/>
          <w:lang w:val="en-US" w:eastAsia="en-US" w:bidi="ar-SA"/>
        </w:rPr>
        <w:t xml:space="preserve">有关事项协商一致，共同达成如下协议：</w:t>
      </w:r>
      <w:r>
        <w:rPr>
          <w:rFonts w:ascii="宋体" w:hAnsi="宋体" w:eastAsia="宋体" w:cs="宋体"/>
          <w:color w:val="000000"/>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一、项目概况</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1.项目名称： </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2.项目编号/包号：</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3.资金来源：财政资金 100%。</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hint="eastAsia" w:ascii="宋体" w:hAnsi="宋体" w:eastAsia="宋体" w:cs="宋体"/>
          <w:color w:val="000000"/>
          <w:spacing w:val="-1"/>
          <w:sz w:val="24"/>
          <w:szCs w:val="24"/>
          <w:highlight w:val="none"/>
          <w:lang w:val="en-US" w:eastAsia="zh-CN" w:bidi="ar-SA"/>
        </w:rPr>
      </w:pPr>
      <w:r>
        <w:rPr>
          <w:rFonts w:ascii="宋体" w:hAnsi="宋体" w:eastAsia="宋体" w:cs="宋体"/>
          <w:color w:val="000000"/>
          <w:spacing w:val="-1"/>
          <w:sz w:val="24"/>
          <w:szCs w:val="24"/>
          <w:highlight w:val="none"/>
          <w:lang w:val="en-US" w:eastAsia="en-US" w:bidi="ar-SA"/>
        </w:rPr>
        <w:t xml:space="preserve">4.工作内容：</w:t>
      </w:r>
      <w:r>
        <w:rPr>
          <w:rFonts w:hint="eastAsia" w:ascii="宋体" w:hAnsi="宋体" w:eastAsia="宋体" w:cs="宋体"/>
          <w:color w:val="000000"/>
          <w:spacing w:val="-1"/>
          <w:sz w:val="24"/>
          <w:szCs w:val="24"/>
          <w:highlight w:val="none"/>
          <w:lang w:val="en-US" w:eastAsia="zh-CN"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二、移栽工期及绿化养护期</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1.移栽工期：</w:t>
      </w:r>
      <w:r>
        <w:rPr>
          <w:rFonts w:hint="eastAsia" w:ascii="宋体" w:hAnsi="宋体" w:eastAsia="宋体" w:cs="宋体"/>
          <w:color w:val="000000"/>
          <w:spacing w:val="-1"/>
          <w:sz w:val="24"/>
          <w:szCs w:val="24"/>
          <w:highlight w:val="none"/>
          <w:lang w:val="en-US" w:eastAsia="zh-CN" w:bidi="ar-SA"/>
        </w:rPr>
        <w:t xml:space="preserve">                   。</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2.苗木绿化养护期：</w:t>
      </w:r>
      <w:r>
        <w:rPr>
          <w:rFonts w:hint="eastAsia" w:ascii="宋体" w:hAnsi="宋体" w:cs="宋体"/>
          <w:color w:val="000000"/>
          <w:spacing w:val="-1"/>
          <w:sz w:val="24"/>
          <w:szCs w:val="24"/>
          <w:highlight w:val="none"/>
          <w:lang w:val="en-US" w:eastAsia="zh-CN" w:bidi="ar-SA"/>
        </w:rPr>
        <w:t xml:space="preserve">2年</w:t>
      </w:r>
      <w:r>
        <w:rPr>
          <w:rFonts w:ascii="宋体" w:hAnsi="宋体" w:eastAsia="宋体" w:cs="宋体"/>
          <w:color w:val="000000"/>
          <w:spacing w:val="-1"/>
          <w:sz w:val="24"/>
          <w:szCs w:val="24"/>
          <w:highlight w:val="none"/>
          <w:lang w:val="en-US" w:eastAsia="en-US" w:bidi="ar-SA"/>
        </w:rPr>
        <w:t xml:space="preserve">。是指承包人按照合同约定进行绿化养护的期限，从移栽工作完成之日起计算。</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hint="eastAsia" w:ascii="宋体" w:hAnsi="宋体" w:eastAsia="宋体" w:cs="宋体"/>
          <w:color w:val="000000"/>
          <w:spacing w:val="-1"/>
          <w:sz w:val="24"/>
          <w:szCs w:val="24"/>
          <w:highlight w:val="none"/>
          <w:lang w:val="en-US" w:eastAsia="zh-CN" w:bidi="ar-SA"/>
        </w:rPr>
      </w:pPr>
      <w:r>
        <w:rPr>
          <w:rFonts w:ascii="宋体" w:hAnsi="宋体" w:eastAsia="宋体" w:cs="宋体"/>
          <w:color w:val="000000"/>
          <w:spacing w:val="-1"/>
          <w:sz w:val="24"/>
          <w:szCs w:val="24"/>
          <w:highlight w:val="none"/>
          <w:lang w:val="en-US" w:eastAsia="en-US" w:bidi="ar-SA"/>
        </w:rPr>
        <w:t xml:space="preserve">三、质量标准</w:t>
      </w:r>
      <w:r>
        <w:rPr>
          <w:rFonts w:hint="eastAsia" w:ascii="宋体" w:hAnsi="宋体" w:cs="宋体"/>
          <w:color w:val="000000"/>
          <w:spacing w:val="-1"/>
          <w:sz w:val="24"/>
          <w:szCs w:val="24"/>
          <w:highlight w:val="none"/>
          <w:lang w:val="en-US" w:eastAsia="zh-CN" w:bidi="ar-SA"/>
        </w:rPr>
        <w:t xml:space="preserve"> </w:t>
      </w:r>
      <w:r>
        <w:rPr>
          <w:rFonts w:hint="eastAsia" w:ascii="宋体" w:hAnsi="宋体" w:eastAsia="宋体" w:cs="宋体"/>
          <w:color w:val="000000"/>
          <w:spacing w:val="-1"/>
          <w:sz w:val="24"/>
          <w:szCs w:val="24"/>
          <w:highlight w:val="none"/>
          <w:lang w:val="en-US" w:eastAsia="zh-CN"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工程质量符合：园林绿化工程施工及验收规范（CJJ82）；园林绿化养护标 准（CJJ/T287）；其他与园林绿化行业相关的行业标准、地方标准。</w:t>
      </w:r>
      <w:r>
        <w:rPr>
          <w:rFonts w:ascii="宋体" w:hAnsi="宋体" w:eastAsia="宋体" w:cs="宋体"/>
          <w:color w:val="000000"/>
          <w:spacing w:val="-1"/>
          <w:sz w:val="24"/>
          <w:szCs w:val="24"/>
          <w:highlight w:val="none"/>
          <w:lang w:val="en-US" w:eastAsia="en-US" w:bidi="ar-SA"/>
        </w:rPr>
      </w:r>
      <w:r/>
    </w:p>
    <w:p>
      <w:pPr>
        <w:pStyle w:val="1140"/>
        <w:ind w:left="511"/>
        <w:jc w:val="left"/>
        <w:spacing w:before="34" w:line="218" w:lineRule="auto"/>
        <w:rPr>
          <w:rFonts w:ascii="宋体" w:hAnsi="宋体" w:eastAsia="宋体" w:cs="宋体"/>
          <w:color w:val="000000"/>
          <w:sz w:val="24"/>
          <w:szCs w:val="24"/>
          <w:highlight w:val="none"/>
          <w:lang w:val="en-US" w:eastAsia="en-US" w:bidi="ar-SA"/>
        </w:rPr>
        <w:outlineLvl w:val="1"/>
      </w:pPr>
      <w:r>
        <w:rPr>
          <w:rFonts w:ascii="宋体" w:hAnsi="宋体" w:eastAsia="宋体" w:cs="宋体"/>
          <w:b/>
          <w:bCs/>
          <w:color w:val="000000"/>
          <w:spacing w:val="-4"/>
          <w:sz w:val="24"/>
          <w:szCs w:val="24"/>
          <w:highlight w:val="none"/>
          <w:lang w:val="en-US" w:eastAsia="en-US" w:bidi="ar-SA"/>
        </w:rPr>
        <w:t xml:space="preserve">四、签约合同价与合同价格形式</w:t>
      </w:r>
      <w:r>
        <w:rPr>
          <w:rFonts w:ascii="宋体" w:hAnsi="宋体" w:eastAsia="宋体" w:cs="宋体"/>
          <w:color w:val="000000"/>
          <w:sz w:val="24"/>
          <w:szCs w:val="24"/>
          <w:highlight w:val="none"/>
          <w:lang w:val="en-US" w:eastAsia="en-US" w:bidi="ar-SA"/>
        </w:rPr>
      </w:r>
      <w:r/>
    </w:p>
    <w:p>
      <w:pPr>
        <w:pStyle w:val="1140"/>
        <w:ind w:left="506"/>
        <w:jc w:val="left"/>
        <w:spacing w:before="185" w:line="218"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3"/>
          <w:sz w:val="24"/>
          <w:szCs w:val="24"/>
          <w:highlight w:val="none"/>
          <w:lang w:val="en-US" w:eastAsia="en-US" w:bidi="ar-SA"/>
        </w:rPr>
        <w:t xml:space="preserve">1.中标合同总价（不含税</w:t>
      </w:r>
      <w:r>
        <w:rPr>
          <w:rFonts w:ascii="宋体" w:hAnsi="宋体" w:eastAsia="宋体" w:cs="宋体"/>
          <w:color w:val="000000"/>
          <w:spacing w:val="3"/>
          <w:sz w:val="24"/>
          <w:szCs w:val="24"/>
          <w:highlight w:val="none"/>
          <w:lang w:val="en-US" w:eastAsia="en-US" w:bidi="ar-SA"/>
        </w:rPr>
        <w:t xml:space="preserve">）：</w:t>
      </w:r>
      <w:r>
        <w:rPr>
          <w:rFonts w:ascii="宋体" w:hAnsi="宋体" w:eastAsia="宋体" w:cs="宋体"/>
          <w:color w:val="000000"/>
          <w:sz w:val="24"/>
          <w:szCs w:val="24"/>
          <w:highlight w:val="none"/>
          <w:lang w:val="en-US" w:eastAsia="en-US" w:bidi="ar-SA"/>
        </w:rPr>
      </w:r>
      <w:r/>
    </w:p>
    <w:p>
      <w:pPr>
        <w:pStyle w:val="1140"/>
        <w:ind w:left="489" w:right="21" w:firstLine="1"/>
        <w:jc w:val="left"/>
        <w:spacing w:before="78" w:line="346"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5"/>
          <w:sz w:val="24"/>
          <w:szCs w:val="24"/>
          <w:highlight w:val="none"/>
          <w:lang w:val="en-US" w:eastAsia="en-US" w:bidi="ar-SA"/>
        </w:rPr>
        <w:t xml:space="preserve">人民币（大写）</w:t>
      </w:r>
      <w:r>
        <w:rPr>
          <w:rFonts w:ascii="宋体" w:hAnsi="宋体" w:eastAsia="宋体" w:cs="宋体"/>
          <w:color w:val="000000"/>
          <w:spacing w:val="-5"/>
          <w:sz w:val="24"/>
          <w:szCs w:val="24"/>
          <w:highlight w:val="none"/>
          <w:u w:val="single"/>
          <w:lang w:val="en-US" w:eastAsia="en-US" w:bidi="ar-SA"/>
        </w:rPr>
        <w:t xml:space="preserve">                          </w:t>
      </w:r>
      <w:r>
        <w:rPr>
          <w:rFonts w:ascii="宋体" w:hAnsi="宋体" w:eastAsia="宋体" w:cs="宋体"/>
          <w:color w:val="000000"/>
          <w:spacing w:val="-61"/>
          <w:sz w:val="24"/>
          <w:szCs w:val="24"/>
          <w:highlight w:val="none"/>
          <w:lang w:val="en-US" w:eastAsia="en-US" w:bidi="ar-SA"/>
        </w:rPr>
        <w:t xml:space="preserve"> </w:t>
      </w:r>
      <w:r>
        <w:rPr>
          <w:rFonts w:ascii="宋体" w:hAnsi="宋体" w:eastAsia="宋体" w:cs="宋体"/>
          <w:color w:val="000000"/>
          <w:spacing w:val="-5"/>
          <w:sz w:val="24"/>
          <w:szCs w:val="24"/>
          <w:highlight w:val="none"/>
          <w:lang w:val="en-US" w:eastAsia="en-US" w:bidi="ar-SA"/>
        </w:rPr>
        <w:t xml:space="preserve">(¥</w:t>
      </w:r>
      <w:r>
        <w:rPr>
          <w:rFonts w:ascii="宋体" w:hAnsi="宋体" w:eastAsia="宋体" w:cs="宋体"/>
          <w:color w:val="000000"/>
          <w:spacing w:val="-5"/>
          <w:sz w:val="24"/>
          <w:szCs w:val="24"/>
          <w:highlight w:val="none"/>
          <w:u w:val="single"/>
          <w:lang w:val="en-US" w:eastAsia="en-US" w:bidi="ar-SA"/>
        </w:rPr>
        <w:t xml:space="preserve">        </w:t>
      </w:r>
      <w:r>
        <w:rPr>
          <w:rFonts w:ascii="宋体" w:hAnsi="宋体" w:eastAsia="宋体" w:cs="宋体"/>
          <w:color w:val="000000"/>
          <w:spacing w:val="-109"/>
          <w:sz w:val="24"/>
          <w:szCs w:val="24"/>
          <w:highlight w:val="none"/>
          <w:lang w:val="en-US" w:eastAsia="en-US" w:bidi="ar-SA"/>
        </w:rPr>
        <w:t xml:space="preserve"> </w:t>
      </w:r>
      <w:r>
        <w:rPr>
          <w:rFonts w:ascii="宋体" w:hAnsi="宋体" w:eastAsia="宋体" w:cs="宋体"/>
          <w:color w:val="000000"/>
          <w:spacing w:val="-5"/>
          <w:sz w:val="24"/>
          <w:szCs w:val="24"/>
          <w:highlight w:val="none"/>
          <w:lang w:val="en-US" w:eastAsia="en-US" w:bidi="ar-SA"/>
        </w:rPr>
        <w:t xml:space="preserve">元)；税率：</w:t>
      </w:r>
      <w:r>
        <w:rPr>
          <w:rFonts w:ascii="宋体" w:hAnsi="宋体" w:eastAsia="宋体" w:cs="宋体"/>
          <w:color w:val="000000"/>
          <w:spacing w:val="-5"/>
          <w:sz w:val="24"/>
          <w:szCs w:val="24"/>
          <w:highlight w:val="none"/>
          <w:u w:val="single"/>
          <w:lang w:val="en-US" w:eastAsia="en-US" w:bidi="ar-SA"/>
        </w:rPr>
        <w:t xml:space="preserve">    </w:t>
      </w:r>
      <w:r>
        <w:rPr>
          <w:rFonts w:ascii="宋体" w:hAnsi="宋体" w:eastAsia="宋体" w:cs="宋体"/>
          <w:color w:val="000000"/>
          <w:spacing w:val="-116"/>
          <w:sz w:val="24"/>
          <w:szCs w:val="24"/>
          <w:highlight w:val="none"/>
          <w:lang w:val="en-US" w:eastAsia="en-US" w:bidi="ar-SA"/>
        </w:rPr>
        <w:t xml:space="preserve"> </w:t>
      </w:r>
      <w:r>
        <w:rPr>
          <w:rFonts w:ascii="宋体" w:hAnsi="宋体" w:eastAsia="宋体" w:cs="宋体"/>
          <w:color w:val="000000"/>
          <w:spacing w:val="-5"/>
          <w:sz w:val="24"/>
          <w:szCs w:val="24"/>
          <w:highlight w:val="none"/>
          <w:lang w:val="en-US" w:eastAsia="en-US" w:bidi="ar-SA"/>
        </w:rPr>
        <w:t xml:space="preserve">%；</w:t>
      </w:r>
      <w:r>
        <w:rPr>
          <w:rFonts w:ascii="宋体" w:hAnsi="宋体" w:eastAsia="宋体" w:cs="宋体"/>
          <w:color w:val="000000"/>
          <w:sz w:val="24"/>
          <w:szCs w:val="24"/>
          <w:highlight w:val="none"/>
          <w:lang w:val="en-US" w:eastAsia="en-US" w:bidi="ar-SA"/>
        </w:rPr>
        <w:t xml:space="preserve"> </w:t>
      </w:r>
      <w:r>
        <w:rPr>
          <w:rFonts w:ascii="宋体" w:hAnsi="宋体" w:eastAsia="宋体" w:cs="宋体"/>
          <w:color w:val="000000"/>
          <w:spacing w:val="-2"/>
          <w:sz w:val="24"/>
          <w:szCs w:val="24"/>
          <w:highlight w:val="none"/>
          <w:lang w:val="en-US" w:eastAsia="en-US" w:bidi="ar-SA"/>
        </w:rPr>
        <w:t xml:space="preserve">含税金额：人民币（大写）</w:t>
      </w:r>
      <w:r>
        <w:rPr>
          <w:rFonts w:ascii="宋体" w:hAnsi="宋体" w:eastAsia="宋体" w:cs="宋体"/>
          <w:color w:val="000000"/>
          <w:spacing w:val="-2"/>
          <w:sz w:val="24"/>
          <w:szCs w:val="24"/>
          <w:highlight w:val="none"/>
          <w:u w:val="single"/>
          <w:lang w:val="en-US" w:eastAsia="en-US" w:bidi="ar-SA"/>
        </w:rPr>
        <w:t xml:space="preserve">                </w:t>
      </w:r>
      <w:r>
        <w:rPr>
          <w:rFonts w:ascii="宋体" w:hAnsi="宋体" w:eastAsia="宋体" w:cs="宋体"/>
          <w:color w:val="000000"/>
          <w:spacing w:val="-61"/>
          <w:sz w:val="24"/>
          <w:szCs w:val="24"/>
          <w:highlight w:val="none"/>
          <w:lang w:val="en-US" w:eastAsia="en-US" w:bidi="ar-SA"/>
        </w:rPr>
        <w:t xml:space="preserve"> </w:t>
      </w:r>
      <w:r>
        <w:rPr>
          <w:rFonts w:ascii="宋体" w:hAnsi="宋体" w:eastAsia="宋体" w:cs="宋体"/>
          <w:color w:val="000000"/>
          <w:spacing w:val="-2"/>
          <w:sz w:val="24"/>
          <w:szCs w:val="24"/>
          <w:highlight w:val="none"/>
          <w:lang w:val="en-US" w:eastAsia="en-US" w:bidi="ar-SA"/>
        </w:rPr>
        <w:t xml:space="preserve">(¥</w:t>
      </w:r>
      <w:r>
        <w:rPr>
          <w:rFonts w:ascii="宋体" w:hAnsi="宋体" w:eastAsia="宋体" w:cs="宋体"/>
          <w:color w:val="000000"/>
          <w:spacing w:val="-2"/>
          <w:sz w:val="24"/>
          <w:szCs w:val="24"/>
          <w:highlight w:val="none"/>
          <w:u w:val="single"/>
          <w:lang w:val="en-US" w:eastAsia="en-US" w:bidi="ar-SA"/>
        </w:rPr>
        <w:t xml:space="preserve">        </w:t>
      </w:r>
      <w:r>
        <w:rPr>
          <w:rFonts w:ascii="宋体" w:hAnsi="宋体" w:eastAsia="宋体" w:cs="宋体"/>
          <w:color w:val="000000"/>
          <w:spacing w:val="-108"/>
          <w:sz w:val="24"/>
          <w:szCs w:val="24"/>
          <w:highlight w:val="none"/>
          <w:lang w:val="en-US" w:eastAsia="en-US" w:bidi="ar-SA"/>
        </w:rPr>
        <w:t xml:space="preserve"> </w:t>
      </w:r>
      <w:r>
        <w:rPr>
          <w:rFonts w:ascii="宋体" w:hAnsi="宋体" w:eastAsia="宋体" w:cs="宋体"/>
          <w:color w:val="000000"/>
          <w:spacing w:val="-2"/>
          <w:sz w:val="24"/>
          <w:szCs w:val="24"/>
          <w:highlight w:val="none"/>
          <w:lang w:val="en-US" w:eastAsia="en-US" w:bidi="ar-SA"/>
        </w:rPr>
        <w:t xml:space="preserve">元)。</w:t>
      </w:r>
      <w:r>
        <w:rPr>
          <w:rFonts w:ascii="宋体" w:hAnsi="宋体" w:eastAsia="宋体" w:cs="宋体"/>
          <w:color w:val="000000"/>
          <w:sz w:val="24"/>
          <w:szCs w:val="24"/>
          <w:highlight w:val="none"/>
          <w:lang w:val="en-US" w:eastAsia="en-US" w:bidi="ar-SA"/>
        </w:rPr>
      </w:r>
      <w:r/>
    </w:p>
    <w:p>
      <w:pPr>
        <w:pStyle w:val="1140"/>
        <w:ind w:left="493"/>
        <w:jc w:val="left"/>
        <w:spacing w:before="35" w:line="218"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项目最终价格以通过审计的结算价为准。</w:t>
      </w:r>
      <w:r>
        <w:rPr>
          <w:rFonts w:ascii="宋体" w:hAnsi="宋体" w:eastAsia="宋体" w:cs="宋体"/>
          <w:color w:val="000000"/>
          <w:sz w:val="24"/>
          <w:szCs w:val="24"/>
          <w:highlight w:val="none"/>
          <w:lang w:val="en-US" w:eastAsia="en-US" w:bidi="ar-SA"/>
        </w:rPr>
      </w:r>
      <w:r/>
    </w:p>
    <w:p>
      <w:pPr>
        <w:pStyle w:val="1140"/>
        <w:ind w:left="9" w:right="18" w:firstLine="482"/>
        <w:jc w:val="left"/>
        <w:spacing w:before="187" w:line="355" w:lineRule="auto"/>
        <w:rPr>
          <w:sz w:val="24"/>
          <w:szCs w:val="24"/>
          <w:highlight w:val="none"/>
        </w:rPr>
      </w:pPr>
      <w:r>
        <w:rPr>
          <w:rFonts w:ascii="宋体" w:hAnsi="宋体" w:eastAsia="宋体" w:cs="宋体"/>
          <w:color w:val="000000"/>
          <w:spacing w:val="-1"/>
          <w:sz w:val="24"/>
          <w:szCs w:val="24"/>
          <w:highlight w:val="none"/>
          <w:lang w:val="en-US" w:eastAsia="en-US" w:bidi="ar-SA"/>
        </w:rPr>
        <w:t xml:space="preserve">2.合同价格形式：</w:t>
      </w:r>
      <w:r>
        <w:rPr>
          <w:rFonts w:hint="eastAsia" w:ascii="宋体" w:hAnsi="宋体" w:eastAsia="宋体" w:cs="宋体"/>
          <w:color w:val="000000"/>
          <w:spacing w:val="-1"/>
          <w:sz w:val="24"/>
          <w:szCs w:val="24"/>
          <w:highlight w:val="none"/>
          <w:u w:val="single"/>
          <w:lang w:val="en-US" w:eastAsia="zh-CN" w:bidi="ar-SA"/>
        </w:rPr>
        <w:t xml:space="preserve">固定综合单价</w:t>
      </w:r>
      <w:r>
        <w:rPr>
          <w:rFonts w:ascii="宋体" w:hAnsi="宋体" w:eastAsia="宋体" w:cs="宋体"/>
          <w:color w:val="000000"/>
          <w:spacing w:val="-1"/>
          <w:sz w:val="24"/>
          <w:szCs w:val="24"/>
          <w:highlight w:val="none"/>
          <w:u w:val="single"/>
          <w:lang w:val="en-US" w:eastAsia="en-US" w:bidi="ar-SA"/>
        </w:rPr>
        <w:t xml:space="preserve">。按工程量清单计价。在合同约定的风</w:t>
      </w:r>
      <w:r>
        <w:rPr>
          <w:rFonts w:ascii="宋体" w:hAnsi="宋体" w:eastAsia="宋体" w:cs="宋体"/>
          <w:color w:val="000000"/>
          <w:spacing w:val="-5"/>
          <w:sz w:val="24"/>
          <w:szCs w:val="24"/>
          <w:highlight w:val="none"/>
          <w:u w:val="single"/>
          <w:lang w:val="en-US" w:eastAsia="en-US" w:bidi="ar-SA"/>
        </w:rPr>
        <w:t xml:space="preserve">险范围内综合单价不调整，工程量按实结算</w:t>
      </w:r>
      <w:r>
        <w:rPr>
          <w:rFonts w:ascii="宋体" w:hAnsi="宋体" w:eastAsia="宋体" w:cs="宋体"/>
          <w:color w:val="000000"/>
          <w:spacing w:val="-6"/>
          <w:sz w:val="24"/>
          <w:szCs w:val="24"/>
          <w:highlight w:val="none"/>
          <w:u w:val="single"/>
          <w:lang w:val="en-US" w:eastAsia="en-US" w:bidi="ar-SA"/>
        </w:rPr>
        <w:t xml:space="preserve">。移栽、养护工作结束经验收合格后，</w:t>
      </w:r>
      <w:r>
        <w:rPr>
          <w:rFonts w:ascii="宋体" w:hAnsi="宋体" w:eastAsia="宋体" w:cs="宋体"/>
          <w:color w:val="000000"/>
          <w:spacing w:val="-1"/>
          <w:sz w:val="24"/>
          <w:szCs w:val="24"/>
          <w:highlight w:val="none"/>
          <w:u w:val="single"/>
          <w:lang w:val="en-US" w:eastAsia="en-US" w:bidi="ar-SA"/>
        </w:rPr>
        <w:t xml:space="preserve">双方同意，对实际发生的移栽、养护费用进行审计，按照审定价结算。承包人应</w:t>
      </w:r>
      <w:r>
        <w:rPr>
          <w:rFonts w:ascii="宋体" w:hAnsi="宋体" w:eastAsia="宋体" w:cs="宋体"/>
          <w:color w:val="000000"/>
          <w:spacing w:val="-3"/>
          <w:sz w:val="24"/>
          <w:szCs w:val="24"/>
          <w:highlight w:val="none"/>
          <w:u w:val="single"/>
          <w:lang w:val="en-US" w:eastAsia="en-US" w:bidi="ar-SA"/>
        </w:rPr>
        <w:t xml:space="preserve">实事求是地递交工程结算资料，如工程结算经审计审核后累计核减率大于</w:t>
      </w:r>
      <w:r>
        <w:rPr>
          <w:rFonts w:ascii="宋体" w:hAnsi="宋体" w:eastAsia="宋体" w:cs="宋体"/>
          <w:color w:val="000000"/>
          <w:spacing w:val="-31"/>
          <w:sz w:val="24"/>
          <w:szCs w:val="24"/>
          <w:highlight w:val="none"/>
          <w:u w:val="single"/>
          <w:lang w:val="en-US" w:eastAsia="en-US" w:bidi="ar-SA"/>
        </w:rPr>
        <w:t xml:space="preserve"> </w:t>
      </w:r>
      <w:r>
        <w:rPr>
          <w:rFonts w:ascii="宋体" w:hAnsi="宋体" w:eastAsia="宋体" w:cs="宋体"/>
          <w:color w:val="000000"/>
          <w:spacing w:val="-3"/>
          <w:sz w:val="24"/>
          <w:szCs w:val="24"/>
          <w:highlight w:val="none"/>
          <w:u w:val="single"/>
          <w:lang w:val="en-US" w:eastAsia="en-US" w:bidi="ar-SA"/>
        </w:rPr>
        <w:t xml:space="preserve">6%时，</w:t>
      </w:r>
      <w:r>
        <w:rPr>
          <w:rFonts w:ascii="宋体" w:hAnsi="宋体" w:eastAsia="宋体" w:cs="宋体"/>
          <w:color w:val="000000"/>
          <w:sz w:val="24"/>
          <w:szCs w:val="24"/>
          <w:highlight w:val="none"/>
          <w:lang w:val="en-US" w:eastAsia="en-US" w:bidi="ar-SA"/>
        </w:rPr>
        <w:t xml:space="preserve"> </w:t>
      </w:r>
      <w:r>
        <w:rPr>
          <w:rFonts w:ascii="宋体" w:hAnsi="宋体" w:eastAsia="宋体" w:cs="宋体"/>
          <w:color w:val="000000"/>
          <w:spacing w:val="-1"/>
          <w:sz w:val="24"/>
          <w:szCs w:val="24"/>
          <w:highlight w:val="none"/>
          <w:u w:val="single"/>
          <w:lang w:val="en-US" w:eastAsia="en-US" w:bidi="ar-SA"/>
        </w:rPr>
        <w:t xml:space="preserve">6%以外的核减由承包人承担审计服务酬金。发包人总支付费用不得超过中标合同</w:t>
      </w:r>
      <w:r>
        <w:rPr>
          <w:rFonts w:ascii="宋体" w:hAnsi="宋体" w:eastAsia="宋体" w:cs="宋体"/>
          <w:color w:val="000000"/>
          <w:spacing w:val="11"/>
          <w:sz w:val="24"/>
          <w:szCs w:val="24"/>
          <w:highlight w:val="none"/>
          <w:u w:val="single"/>
          <w:lang w:val="en-US" w:eastAsia="en-US" w:bidi="ar-SA"/>
        </w:rPr>
        <w:t xml:space="preserve">价。</w:t>
      </w:r>
      <w:r>
        <w:rPr>
          <w:sz w:val="24"/>
          <w:szCs w:val="24"/>
          <w:highlight w:val="none"/>
        </w:rPr>
      </w:r>
      <w:r/>
    </w:p>
    <w:p>
      <w:pPr>
        <w:pStyle w:val="1140"/>
        <w:ind w:left="493"/>
        <w:jc w:val="left"/>
        <w:spacing w:before="36" w:line="219" w:lineRule="auto"/>
        <w:rPr>
          <w:rFonts w:ascii="宋体" w:hAnsi="宋体" w:eastAsia="宋体" w:cs="宋体"/>
          <w:color w:val="000000"/>
          <w:sz w:val="24"/>
          <w:szCs w:val="24"/>
          <w:highlight w:val="none"/>
          <w:lang w:val="en-US" w:eastAsia="en-US" w:bidi="ar-SA"/>
        </w:rPr>
        <w:outlineLvl w:val="1"/>
      </w:pPr>
      <w:r>
        <w:rPr>
          <w:rFonts w:ascii="宋体" w:hAnsi="宋体" w:eastAsia="宋体" w:cs="宋体"/>
          <w:b/>
          <w:bCs/>
          <w:color w:val="000000"/>
          <w:spacing w:val="-3"/>
          <w:sz w:val="24"/>
          <w:szCs w:val="24"/>
          <w:highlight w:val="none"/>
          <w:lang w:val="en-US" w:eastAsia="en-US" w:bidi="ar-SA"/>
        </w:rPr>
        <w:t xml:space="preserve">五、发包人、承包人代表</w:t>
      </w:r>
      <w:r>
        <w:rPr>
          <w:rFonts w:ascii="宋体" w:hAnsi="宋体" w:eastAsia="宋体" w:cs="宋体"/>
          <w:color w:val="000000"/>
          <w:sz w:val="24"/>
          <w:szCs w:val="24"/>
          <w:highlight w:val="none"/>
          <w:lang w:val="en-US" w:eastAsia="en-US" w:bidi="ar-SA"/>
        </w:rPr>
      </w:r>
      <w:r/>
    </w:p>
    <w:p>
      <w:pPr>
        <w:pStyle w:val="1140"/>
        <w:ind w:left="490" w:firstLine="16"/>
        <w:jc w:val="left"/>
        <w:spacing w:before="182" w:line="348"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8"/>
          <w:sz w:val="24"/>
          <w:szCs w:val="24"/>
          <w:highlight w:val="none"/>
          <w:lang w:val="en-US" w:eastAsia="en-US" w:bidi="ar-SA"/>
        </w:rPr>
        <w:t xml:space="preserve">1.发包人负责人姓名</w:t>
      </w:r>
      <w:r>
        <w:rPr>
          <w:rFonts w:ascii="宋体" w:hAnsi="宋体" w:eastAsia="宋体" w:cs="宋体"/>
          <w:color w:val="000000"/>
          <w:spacing w:val="-34"/>
          <w:sz w:val="24"/>
          <w:szCs w:val="24"/>
          <w:highlight w:val="none"/>
          <w:lang w:val="en-US" w:eastAsia="en-US" w:bidi="ar-SA"/>
        </w:rPr>
        <w:t xml:space="preserve">：</w:t>
      </w:r>
      <w:r>
        <w:rPr>
          <w:rFonts w:ascii="宋体" w:hAnsi="宋体" w:eastAsia="宋体" w:cs="宋体"/>
          <w:color w:val="000000"/>
          <w:spacing w:val="10"/>
          <w:sz w:val="24"/>
          <w:szCs w:val="24"/>
          <w:highlight w:val="none"/>
          <w:u w:val="single"/>
          <w:lang w:val="en-US" w:eastAsia="en-US" w:bidi="ar-SA"/>
        </w:rPr>
        <w:t xml:space="preserve">           </w:t>
      </w:r>
      <w:r>
        <w:rPr>
          <w:rFonts w:ascii="宋体" w:hAnsi="宋体" w:eastAsia="宋体" w:cs="宋体"/>
          <w:color w:val="000000"/>
          <w:spacing w:val="-34"/>
          <w:sz w:val="24"/>
          <w:szCs w:val="24"/>
          <w:highlight w:val="none"/>
          <w:lang w:val="en-US" w:eastAsia="en-US" w:bidi="ar-SA"/>
        </w:rPr>
        <w:t xml:space="preserve">；</w:t>
      </w:r>
      <w:r>
        <w:rPr>
          <w:rFonts w:ascii="宋体" w:hAnsi="宋体" w:eastAsia="宋体" w:cs="宋体"/>
          <w:color w:val="000000"/>
          <w:spacing w:val="-8"/>
          <w:sz w:val="24"/>
          <w:szCs w:val="24"/>
          <w:highlight w:val="none"/>
          <w:lang w:val="en-US" w:eastAsia="en-US" w:bidi="ar-SA"/>
        </w:rPr>
        <w:t xml:space="preserve">身份证号：</w:t>
      </w:r>
      <w:r>
        <w:rPr>
          <w:rFonts w:ascii="宋体" w:hAnsi="宋体" w:eastAsia="宋体" w:cs="宋体"/>
          <w:color w:val="000000"/>
          <w:sz w:val="24"/>
          <w:szCs w:val="24"/>
          <w:highlight w:val="none"/>
          <w:u w:val="single"/>
          <w:lang w:val="en-US" w:eastAsia="en-US" w:bidi="ar-SA"/>
        </w:rPr>
        <w:t xml:space="preserve">                      </w:t>
      </w:r>
      <w:r>
        <w:rPr>
          <w:rFonts w:ascii="宋体" w:hAnsi="宋体" w:eastAsia="宋体" w:cs="宋体"/>
          <w:color w:val="000000"/>
          <w:spacing w:val="-8"/>
          <w:sz w:val="24"/>
          <w:szCs w:val="24"/>
          <w:highlight w:val="none"/>
          <w:lang w:val="en-US" w:eastAsia="en-US" w:bidi="ar-SA"/>
        </w:rPr>
        <w:t xml:space="preserve">。</w:t>
      </w:r>
      <w:r>
        <w:rPr>
          <w:rFonts w:ascii="宋体" w:hAnsi="宋体" w:eastAsia="宋体" w:cs="宋体"/>
          <w:color w:val="000000"/>
          <w:spacing w:val="10"/>
          <w:sz w:val="24"/>
          <w:szCs w:val="24"/>
          <w:highlight w:val="none"/>
          <w:lang w:val="en-US" w:eastAsia="en-US" w:bidi="ar-SA"/>
        </w:rPr>
        <w:t xml:space="preserve"> </w:t>
      </w:r>
      <w:r>
        <w:rPr>
          <w:rFonts w:ascii="宋体" w:hAnsi="宋体" w:eastAsia="宋体" w:cs="宋体"/>
          <w:color w:val="000000"/>
          <w:spacing w:val="-1"/>
          <w:sz w:val="24"/>
          <w:szCs w:val="24"/>
          <w:highlight w:val="none"/>
          <w:lang w:val="en-US" w:eastAsia="en-US" w:bidi="ar-SA"/>
        </w:rPr>
        <w:t xml:space="preserve">联系电话：</w:t>
      </w:r>
      <w:r>
        <w:rPr>
          <w:rFonts w:ascii="宋体" w:hAnsi="宋体" w:eastAsia="宋体" w:cs="宋体"/>
          <w:color w:val="000000"/>
          <w:spacing w:val="-1"/>
          <w:sz w:val="24"/>
          <w:szCs w:val="24"/>
          <w:highlight w:val="none"/>
          <w:u w:val="single"/>
          <w:lang w:val="en-US" w:eastAsia="en-US" w:bidi="ar-SA"/>
        </w:rPr>
        <w:t xml:space="preserve">                      </w:t>
      </w:r>
      <w:r>
        <w:rPr>
          <w:rFonts w:ascii="宋体" w:hAnsi="宋体" w:eastAsia="宋体" w:cs="宋体"/>
          <w:color w:val="000000"/>
          <w:spacing w:val="-1"/>
          <w:sz w:val="24"/>
          <w:szCs w:val="24"/>
          <w:highlight w:val="none"/>
          <w:lang w:val="en-US" w:eastAsia="en-US" w:bidi="ar-SA"/>
        </w:rPr>
        <w:t xml:space="preserve">。</w:t>
      </w:r>
      <w:r>
        <w:rPr>
          <w:rFonts w:ascii="宋体" w:hAnsi="宋体" w:eastAsia="宋体" w:cs="宋体"/>
          <w:color w:val="000000"/>
          <w:sz w:val="24"/>
          <w:szCs w:val="24"/>
          <w:highlight w:val="none"/>
          <w:lang w:val="en-US" w:eastAsia="en-US" w:bidi="ar-SA"/>
        </w:rPr>
      </w:r>
      <w:r/>
    </w:p>
    <w:p>
      <w:pPr>
        <w:pStyle w:val="1140"/>
        <w:ind w:left="488"/>
        <w:jc w:val="left"/>
        <w:spacing w:before="32"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t xml:space="preserve">接收文件的通讯地址：</w:t>
      </w:r>
      <w:r>
        <w:rPr>
          <w:rFonts w:ascii="宋体" w:hAnsi="宋体" w:eastAsia="宋体" w:cs="宋体"/>
          <w:color w:val="000000"/>
          <w:sz w:val="24"/>
          <w:szCs w:val="24"/>
          <w:highlight w:val="none"/>
          <w:u w:val="single"/>
          <w:lang w:val="en-US" w:eastAsia="en-US" w:bidi="ar-SA"/>
        </w:rPr>
        <w:t xml:space="preserve">                     </w:t>
      </w:r>
      <w:r>
        <w:rPr>
          <w:rFonts w:ascii="宋体" w:hAnsi="宋体" w:eastAsia="宋体" w:cs="宋体"/>
          <w:color w:val="000000"/>
          <w:spacing w:val="-1"/>
          <w:sz w:val="24"/>
          <w:szCs w:val="24"/>
          <w:highlight w:val="none"/>
          <w:u w:val="single"/>
          <w:lang w:val="en-US" w:eastAsia="en-US" w:bidi="ar-SA"/>
        </w:rPr>
        <w:t xml:space="preserve">          </w:t>
      </w:r>
      <w:r>
        <w:rPr>
          <w:rFonts w:ascii="宋体" w:hAnsi="宋体" w:eastAsia="宋体" w:cs="宋体"/>
          <w:color w:val="000000"/>
          <w:spacing w:val="-1"/>
          <w:sz w:val="24"/>
          <w:szCs w:val="24"/>
          <w:highlight w:val="none"/>
          <w:lang w:val="en-US" w:eastAsia="en-US" w:bidi="ar-SA"/>
        </w:rPr>
        <w:t xml:space="preserve">。</w:t>
      </w:r>
      <w:r>
        <w:rPr>
          <w:rFonts w:ascii="宋体" w:hAnsi="宋体" w:eastAsia="宋体" w:cs="宋体"/>
          <w:color w:val="000000"/>
          <w:sz w:val="24"/>
          <w:szCs w:val="24"/>
          <w:highlight w:val="none"/>
          <w:lang w:val="en-US" w:eastAsia="en-US" w:bidi="ar-SA"/>
        </w:rPr>
      </w:r>
      <w:r/>
    </w:p>
    <w:p>
      <w:pPr>
        <w:pStyle w:val="1140"/>
        <w:ind w:left="490" w:firstLine="1"/>
        <w:jc w:val="left"/>
        <w:spacing w:before="183" w:line="348"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7"/>
          <w:sz w:val="24"/>
          <w:szCs w:val="24"/>
          <w:highlight w:val="none"/>
          <w:lang w:val="en-US" w:eastAsia="en-US" w:bidi="ar-SA"/>
        </w:rPr>
        <w:t xml:space="preserve">2.承包人负责人姓名</w:t>
      </w:r>
      <w:r>
        <w:rPr>
          <w:rFonts w:ascii="宋体" w:hAnsi="宋体" w:eastAsia="宋体" w:cs="宋体"/>
          <w:color w:val="000000"/>
          <w:spacing w:val="-35"/>
          <w:sz w:val="24"/>
          <w:szCs w:val="24"/>
          <w:highlight w:val="none"/>
          <w:lang w:val="en-US" w:eastAsia="en-US" w:bidi="ar-SA"/>
        </w:rPr>
        <w:t xml:space="preserve">：</w:t>
      </w:r>
      <w:r>
        <w:rPr>
          <w:rFonts w:ascii="宋体" w:hAnsi="宋体" w:eastAsia="宋体" w:cs="宋体"/>
          <w:color w:val="000000"/>
          <w:spacing w:val="11"/>
          <w:sz w:val="24"/>
          <w:szCs w:val="24"/>
          <w:highlight w:val="none"/>
          <w:u w:val="single"/>
          <w:lang w:val="en-US" w:eastAsia="en-US" w:bidi="ar-SA"/>
        </w:rPr>
        <w:t xml:space="preserve">           </w:t>
      </w:r>
      <w:r>
        <w:rPr>
          <w:rFonts w:ascii="宋体" w:hAnsi="宋体" w:eastAsia="宋体" w:cs="宋体"/>
          <w:color w:val="000000"/>
          <w:spacing w:val="-35"/>
          <w:sz w:val="24"/>
          <w:szCs w:val="24"/>
          <w:highlight w:val="none"/>
          <w:lang w:val="en-US" w:eastAsia="en-US" w:bidi="ar-SA"/>
        </w:rPr>
        <w:t xml:space="preserve">；</w:t>
      </w:r>
      <w:r>
        <w:rPr>
          <w:rFonts w:ascii="宋体" w:hAnsi="宋体" w:eastAsia="宋体" w:cs="宋体"/>
          <w:color w:val="000000"/>
          <w:spacing w:val="-7"/>
          <w:sz w:val="24"/>
          <w:szCs w:val="24"/>
          <w:highlight w:val="none"/>
          <w:lang w:val="en-US" w:eastAsia="en-US" w:bidi="ar-SA"/>
        </w:rPr>
        <w:t xml:space="preserve">身份证号：</w:t>
      </w:r>
      <w:r>
        <w:rPr>
          <w:rFonts w:ascii="宋体" w:hAnsi="宋体" w:eastAsia="宋体" w:cs="宋体"/>
          <w:color w:val="000000"/>
          <w:sz w:val="24"/>
          <w:szCs w:val="24"/>
          <w:highlight w:val="none"/>
          <w:u w:val="single"/>
          <w:lang w:val="en-US" w:eastAsia="en-US" w:bidi="ar-SA"/>
        </w:rPr>
        <w:t xml:space="preserve">                      </w:t>
      </w:r>
      <w:r>
        <w:rPr>
          <w:rFonts w:ascii="宋体" w:hAnsi="宋体" w:eastAsia="宋体" w:cs="宋体"/>
          <w:color w:val="000000"/>
          <w:spacing w:val="-7"/>
          <w:sz w:val="24"/>
          <w:szCs w:val="24"/>
          <w:highlight w:val="none"/>
          <w:lang w:val="en-US" w:eastAsia="en-US" w:bidi="ar-SA"/>
        </w:rPr>
        <w:t xml:space="preserve">。</w:t>
      </w:r>
      <w:r>
        <w:rPr>
          <w:rFonts w:ascii="宋体" w:hAnsi="宋体" w:eastAsia="宋体" w:cs="宋体"/>
          <w:color w:val="000000"/>
          <w:sz w:val="24"/>
          <w:szCs w:val="24"/>
          <w:highlight w:val="none"/>
          <w:lang w:val="en-US" w:eastAsia="en-US" w:bidi="ar-SA"/>
        </w:rPr>
        <w:t xml:space="preserve"> </w:t>
      </w:r>
      <w:r>
        <w:rPr>
          <w:rFonts w:ascii="宋体" w:hAnsi="宋体" w:eastAsia="宋体" w:cs="宋体"/>
          <w:color w:val="000000"/>
          <w:spacing w:val="-1"/>
          <w:sz w:val="24"/>
          <w:szCs w:val="24"/>
          <w:highlight w:val="none"/>
          <w:lang w:val="en-US" w:eastAsia="en-US" w:bidi="ar-SA"/>
        </w:rPr>
        <w:t xml:space="preserve">联系电话：</w:t>
      </w:r>
      <w:r>
        <w:rPr>
          <w:rFonts w:ascii="宋体" w:hAnsi="宋体" w:eastAsia="宋体" w:cs="宋体"/>
          <w:color w:val="000000"/>
          <w:spacing w:val="-1"/>
          <w:sz w:val="24"/>
          <w:szCs w:val="24"/>
          <w:highlight w:val="none"/>
          <w:u w:val="single"/>
          <w:lang w:val="en-US" w:eastAsia="en-US" w:bidi="ar-SA"/>
        </w:rPr>
        <w:t xml:space="preserve">                      </w:t>
      </w:r>
      <w:r>
        <w:rPr>
          <w:rFonts w:ascii="宋体" w:hAnsi="宋体" w:eastAsia="宋体" w:cs="宋体"/>
          <w:color w:val="000000"/>
          <w:spacing w:val="-1"/>
          <w:sz w:val="24"/>
          <w:szCs w:val="24"/>
          <w:highlight w:val="none"/>
          <w:lang w:val="en-US" w:eastAsia="en-US" w:bidi="ar-SA"/>
        </w:rPr>
        <w:t xml:space="preserve">。</w:t>
      </w:r>
      <w:r>
        <w:rPr>
          <w:rFonts w:ascii="宋体" w:hAnsi="宋体" w:eastAsia="宋体" w:cs="宋体"/>
          <w:color w:val="000000"/>
          <w:sz w:val="24"/>
          <w:szCs w:val="24"/>
          <w:highlight w:val="none"/>
          <w:lang w:val="en-US" w:eastAsia="en-US" w:bidi="ar-SA"/>
        </w:rPr>
      </w:r>
      <w:r/>
    </w:p>
    <w:p>
      <w:pPr>
        <w:pStyle w:val="1140"/>
        <w:ind w:left="488"/>
        <w:jc w:val="left"/>
        <w:spacing w:before="32"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t xml:space="preserve">接收文件的通讯地址：</w:t>
      </w:r>
      <w:r>
        <w:rPr>
          <w:rFonts w:ascii="宋体" w:hAnsi="宋体" w:eastAsia="宋体" w:cs="宋体"/>
          <w:color w:val="000000"/>
          <w:sz w:val="24"/>
          <w:szCs w:val="24"/>
          <w:highlight w:val="none"/>
          <w:u w:val="single"/>
          <w:lang w:val="en-US" w:eastAsia="en-US" w:bidi="ar-SA"/>
        </w:rPr>
        <w:t xml:space="preserve">                     </w:t>
      </w:r>
      <w:r>
        <w:rPr>
          <w:rFonts w:ascii="宋体" w:hAnsi="宋体" w:eastAsia="宋体" w:cs="宋体"/>
          <w:color w:val="000000"/>
          <w:spacing w:val="-1"/>
          <w:sz w:val="24"/>
          <w:szCs w:val="24"/>
          <w:highlight w:val="none"/>
          <w:u w:val="single"/>
          <w:lang w:val="en-US" w:eastAsia="en-US" w:bidi="ar-SA"/>
        </w:rPr>
        <w:t xml:space="preserve">          </w:t>
      </w:r>
      <w:r>
        <w:rPr>
          <w:rFonts w:ascii="宋体" w:hAnsi="宋体" w:eastAsia="宋体" w:cs="宋体"/>
          <w:color w:val="000000"/>
          <w:spacing w:val="-1"/>
          <w:sz w:val="24"/>
          <w:szCs w:val="24"/>
          <w:highlight w:val="none"/>
          <w:lang w:val="en-US" w:eastAsia="en-US" w:bidi="ar-SA"/>
        </w:rPr>
        <w:t xml:space="preserve">。</w:t>
      </w:r>
      <w:r>
        <w:rPr>
          <w:rFonts w:ascii="宋体" w:hAnsi="宋体" w:eastAsia="宋体" w:cs="宋体"/>
          <w:color w:val="000000"/>
          <w:sz w:val="24"/>
          <w:szCs w:val="24"/>
          <w:highlight w:val="none"/>
          <w:lang w:val="en-US" w:eastAsia="en-US" w:bidi="ar-SA"/>
        </w:rPr>
      </w:r>
      <w:r/>
    </w:p>
    <w:p>
      <w:pPr>
        <w:pStyle w:val="1140"/>
        <w:ind w:left="493"/>
        <w:jc w:val="left"/>
        <w:spacing w:before="36" w:line="219" w:lineRule="auto"/>
        <w:rPr>
          <w:rFonts w:ascii="宋体" w:hAnsi="宋体" w:eastAsia="宋体" w:cs="宋体"/>
          <w:b/>
          <w:bCs/>
          <w:color w:val="000000"/>
          <w:spacing w:val="-3"/>
          <w:sz w:val="24"/>
          <w:szCs w:val="24"/>
          <w:highlight w:val="none"/>
          <w:lang w:val="en-US" w:eastAsia="en-US" w:bidi="ar-SA"/>
        </w:rPr>
        <w:outlineLvl w:val="1"/>
      </w:pPr>
      <w:r>
        <w:rPr>
          <w:rFonts w:ascii="宋体" w:hAnsi="宋体" w:eastAsia="宋体" w:cs="宋体"/>
          <w:b/>
          <w:bCs/>
          <w:color w:val="000000"/>
          <w:spacing w:val="-3"/>
          <w:sz w:val="24"/>
          <w:szCs w:val="24"/>
          <w:highlight w:val="none"/>
          <w:lang w:val="en-US" w:eastAsia="en-US" w:bidi="ar-SA"/>
        </w:rPr>
        <w:t xml:space="preserve">六、付款方式</w:t>
      </w:r>
      <w:r>
        <w:rPr>
          <w:rFonts w:ascii="宋体" w:hAnsi="宋体" w:eastAsia="宋体" w:cs="宋体"/>
          <w:b/>
          <w:bCs/>
          <w:color w:val="000000"/>
          <w:spacing w:val="-3"/>
          <w:sz w:val="24"/>
          <w:szCs w:val="24"/>
          <w:highlight w:val="none"/>
          <w:lang w:val="en-US" w:eastAsia="en-US" w:bidi="ar-SA"/>
        </w:rPr>
      </w:r>
      <w:r/>
    </w:p>
    <w:p>
      <w:pPr>
        <w:pStyle w:val="1140"/>
        <w:ind w:left="0" w:firstLine="476"/>
        <w:jc w:val="left"/>
        <w:keepLines w:val="0"/>
        <w:keepNext w:val="0"/>
        <w:pageBreakBefore w:val="0"/>
        <w:spacing w:line="360" w:lineRule="auto"/>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项目开工前，支付合同总价10%的预付款（</w:t>
      </w:r>
      <w:r>
        <w:rPr>
          <w:rFonts w:ascii="宋体" w:hAnsi="宋体" w:eastAsia="宋体" w:cs="宋体"/>
          <w:color w:val="000000"/>
          <w:spacing w:val="-7"/>
          <w:sz w:val="24"/>
          <w:szCs w:val="24"/>
          <w:highlight w:val="none"/>
          <w:lang w:val="en-US" w:eastAsia="en-US" w:bidi="ar-SA"/>
        </w:rPr>
        <w:t xml:space="preserve">承包人</w:t>
      </w:r>
      <w:r>
        <w:rPr>
          <w:rFonts w:hint="eastAsia" w:ascii="宋体" w:hAnsi="宋体" w:eastAsia="宋体" w:cs="宋体"/>
          <w:color w:val="000000"/>
          <w:spacing w:val="-1"/>
          <w:sz w:val="24"/>
          <w:szCs w:val="24"/>
          <w:highlight w:val="none"/>
          <w:lang w:val="en-US" w:eastAsia="zh-CN" w:bidi="ar-SA"/>
        </w:rPr>
        <w:t xml:space="preserve">明确表示无需预付款或者主动要求降低预付款比例的，</w:t>
      </w:r>
      <w:r>
        <w:rPr>
          <w:rFonts w:ascii="宋体" w:hAnsi="宋体" w:eastAsia="宋体" w:cs="宋体"/>
          <w:color w:val="000000"/>
          <w:spacing w:val="-8"/>
          <w:sz w:val="24"/>
          <w:szCs w:val="24"/>
          <w:highlight w:val="none"/>
          <w:lang w:val="en-US" w:eastAsia="en-US" w:bidi="ar-SA"/>
        </w:rPr>
        <w:t xml:space="preserve">发包人</w:t>
      </w:r>
      <w:r>
        <w:rPr>
          <w:rFonts w:hint="eastAsia" w:ascii="宋体" w:hAnsi="宋体" w:eastAsia="宋体" w:cs="宋体"/>
          <w:color w:val="000000"/>
          <w:spacing w:val="-1"/>
          <w:sz w:val="24"/>
          <w:szCs w:val="24"/>
          <w:highlight w:val="none"/>
          <w:lang w:val="en-US" w:eastAsia="zh-CN" w:bidi="ar-SA"/>
        </w:rPr>
        <w:t xml:space="preserve">可不适用前述规定），项目完工经验收合格60日内付至审定价的97%，两年</w:t>
      </w:r>
      <w:r>
        <w:rPr>
          <w:rFonts w:hint="eastAsia" w:ascii="宋体" w:hAnsi="宋体" w:eastAsia="宋体" w:cs="宋体"/>
          <w:color w:val="000000"/>
          <w:spacing w:val="-1"/>
          <w:sz w:val="24"/>
          <w:szCs w:val="24"/>
          <w:highlight w:val="none"/>
          <w:lang w:val="en-US" w:eastAsia="en-US" w:bidi="ar-SA"/>
        </w:rPr>
        <w:t xml:space="preserve">缺陷责任期</w:t>
      </w:r>
      <w:r>
        <w:rPr>
          <w:rFonts w:hint="eastAsia" w:ascii="宋体" w:hAnsi="宋体" w:eastAsia="宋体" w:cs="宋体"/>
          <w:color w:val="000000"/>
          <w:spacing w:val="-1"/>
          <w:sz w:val="24"/>
          <w:szCs w:val="24"/>
          <w:highlight w:val="none"/>
          <w:lang w:val="en-US" w:eastAsia="zh-CN" w:bidi="ar-SA"/>
        </w:rPr>
        <w:t xml:space="preserve">（质保、养护期）结束后付至审定价的100%（无息）</w:t>
      </w:r>
      <w:r>
        <w:rPr>
          <w:rFonts w:hint="eastAsia" w:ascii="宋体" w:hAnsi="宋体" w:eastAsia="宋体" w:cs="宋体"/>
          <w:color w:val="000000"/>
          <w:spacing w:val="-1"/>
          <w:sz w:val="24"/>
          <w:szCs w:val="24"/>
          <w:highlight w:val="none"/>
          <w:lang w:val="en-US" w:eastAsia="zh-CN" w:bidi="ar-SA"/>
        </w:rPr>
      </w:r>
      <w:r/>
    </w:p>
    <w:p>
      <w:pPr>
        <w:pStyle w:val="1140"/>
        <w:ind w:left="488"/>
        <w:jc w:val="left"/>
        <w:spacing w:before="36" w:line="219" w:lineRule="auto"/>
        <w:rPr>
          <w:rFonts w:ascii="宋体" w:hAnsi="宋体" w:eastAsia="宋体" w:cs="宋体"/>
          <w:color w:val="000000"/>
          <w:sz w:val="24"/>
          <w:szCs w:val="24"/>
          <w:highlight w:val="none"/>
          <w:lang w:val="en-US" w:eastAsia="en-US" w:bidi="ar-SA"/>
        </w:rPr>
        <w:outlineLvl w:val="1"/>
      </w:pPr>
      <w:r>
        <w:rPr>
          <w:rFonts w:ascii="宋体" w:hAnsi="宋体" w:eastAsia="宋体" w:cs="宋体"/>
          <w:b/>
          <w:bCs/>
          <w:color w:val="000000"/>
          <w:spacing w:val="-4"/>
          <w:sz w:val="24"/>
          <w:szCs w:val="24"/>
          <w:highlight w:val="none"/>
          <w:lang w:val="en-US" w:eastAsia="en-US" w:bidi="ar-SA"/>
        </w:rPr>
        <w:t xml:space="preserve">七、发包人义务</w:t>
      </w:r>
      <w:r>
        <w:rPr>
          <w:rFonts w:ascii="宋体" w:hAnsi="宋体" w:eastAsia="宋体" w:cs="宋体"/>
          <w:color w:val="000000"/>
          <w:sz w:val="24"/>
          <w:szCs w:val="24"/>
          <w:highlight w:val="none"/>
          <w:lang w:val="en-US" w:eastAsia="en-US" w:bidi="ar-SA"/>
        </w:rPr>
      </w:r>
      <w:r/>
    </w:p>
    <w:p>
      <w:pPr>
        <w:pStyle w:val="1140"/>
        <w:ind w:left="506"/>
        <w:jc w:val="left"/>
        <w:spacing w:before="183"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2"/>
          <w:sz w:val="24"/>
          <w:szCs w:val="24"/>
          <w:highlight w:val="none"/>
          <w:lang w:val="en-US" w:eastAsia="en-US" w:bidi="ar-SA"/>
        </w:rPr>
        <w:t xml:space="preserve">1.按合同约定向承包人支付费用。</w:t>
      </w:r>
      <w:r>
        <w:rPr>
          <w:rFonts w:ascii="宋体" w:hAnsi="宋体" w:eastAsia="宋体" w:cs="宋体"/>
          <w:color w:val="000000"/>
          <w:sz w:val="24"/>
          <w:szCs w:val="24"/>
          <w:highlight w:val="none"/>
          <w:lang w:val="en-US" w:eastAsia="en-US" w:bidi="ar-SA"/>
        </w:rPr>
      </w:r>
      <w:r/>
    </w:p>
    <w:p>
      <w:pPr>
        <w:pStyle w:val="1140"/>
        <w:ind w:left="492"/>
        <w:jc w:val="left"/>
        <w:spacing w:before="182"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2.提供相关图纸、资料及养护所需用水、电的接驳点。</w:t>
      </w:r>
      <w:r>
        <w:rPr>
          <w:rFonts w:ascii="宋体" w:hAnsi="宋体" w:eastAsia="宋体" w:cs="宋体"/>
          <w:color w:val="000000"/>
          <w:sz w:val="24"/>
          <w:szCs w:val="24"/>
          <w:highlight w:val="none"/>
          <w:lang w:val="en-US" w:eastAsia="en-US" w:bidi="ar-SA"/>
        </w:rPr>
      </w:r>
      <w:r/>
    </w:p>
    <w:p>
      <w:pPr>
        <w:pStyle w:val="1140"/>
        <w:ind w:left="9" w:right="18" w:firstLine="484"/>
        <w:jc w:val="left"/>
        <w:spacing w:before="185" w:line="346"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6"/>
          <w:sz w:val="24"/>
          <w:szCs w:val="24"/>
          <w:highlight w:val="none"/>
          <w:lang w:val="en-US" w:eastAsia="en-US" w:bidi="ar-SA"/>
        </w:rPr>
        <w:t xml:space="preserve">3.在养护期间，发包人应及时将水电供应部门的停电、停水通知送达承包人，</w:t>
      </w:r>
      <w:r>
        <w:rPr>
          <w:rFonts w:ascii="宋体" w:hAnsi="宋体" w:eastAsia="宋体" w:cs="宋体"/>
          <w:color w:val="000000"/>
          <w:spacing w:val="9"/>
          <w:sz w:val="24"/>
          <w:szCs w:val="24"/>
          <w:highlight w:val="none"/>
          <w:lang w:val="en-US" w:eastAsia="en-US" w:bidi="ar-SA"/>
        </w:rPr>
        <w:t xml:space="preserve"> </w:t>
      </w:r>
      <w:r>
        <w:rPr>
          <w:rFonts w:ascii="宋体" w:hAnsi="宋体" w:eastAsia="宋体" w:cs="宋体"/>
          <w:color w:val="000000"/>
          <w:spacing w:val="-1"/>
          <w:sz w:val="24"/>
          <w:szCs w:val="24"/>
          <w:highlight w:val="none"/>
          <w:lang w:val="en-US" w:eastAsia="en-US" w:bidi="ar-SA"/>
        </w:rPr>
        <w:t xml:space="preserve">承包人应自行采取停电、停水期间的相应养护措施。</w:t>
      </w:r>
      <w:r>
        <w:rPr>
          <w:rFonts w:ascii="宋体" w:hAnsi="宋体" w:eastAsia="宋体" w:cs="宋体"/>
          <w:color w:val="000000"/>
          <w:sz w:val="24"/>
          <w:szCs w:val="24"/>
          <w:highlight w:val="none"/>
          <w:lang w:val="en-US" w:eastAsia="en-US" w:bidi="ar-SA"/>
        </w:rPr>
      </w:r>
      <w:r/>
    </w:p>
    <w:p>
      <w:pPr>
        <w:pStyle w:val="1140"/>
        <w:ind w:left="9" w:right="80" w:firstLine="479"/>
        <w:jc w:val="left"/>
        <w:spacing w:before="35" w:line="347" w:lineRule="auto"/>
        <w:rPr>
          <w:rFonts w:ascii="宋体" w:hAnsi="宋体" w:eastAsia="宋体" w:cs="宋体"/>
          <w:color w:val="000000"/>
          <w:spacing w:val="-2"/>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4.负责在养护期结束后对绿化苗木的质量及苗木规格验收等工作，全程监督</w:t>
      </w:r>
      <w:r>
        <w:rPr>
          <w:rFonts w:ascii="宋体" w:hAnsi="宋体" w:eastAsia="宋体" w:cs="宋体"/>
          <w:color w:val="000000"/>
          <w:spacing w:val="17"/>
          <w:sz w:val="24"/>
          <w:szCs w:val="24"/>
          <w:highlight w:val="none"/>
          <w:lang w:val="en-US" w:eastAsia="en-US" w:bidi="ar-SA"/>
        </w:rPr>
        <w:t xml:space="preserve"> </w:t>
      </w:r>
      <w:r>
        <w:rPr>
          <w:rFonts w:ascii="宋体" w:hAnsi="宋体" w:eastAsia="宋体" w:cs="宋体"/>
          <w:color w:val="000000"/>
          <w:spacing w:val="-2"/>
          <w:sz w:val="24"/>
          <w:szCs w:val="24"/>
          <w:highlight w:val="none"/>
          <w:lang w:val="en-US" w:eastAsia="en-US" w:bidi="ar-SA"/>
        </w:rPr>
        <w:t xml:space="preserve">承包人施工作业。</w:t>
      </w:r>
      <w:r>
        <w:rPr>
          <w:rFonts w:ascii="宋体" w:hAnsi="宋体" w:eastAsia="宋体" w:cs="宋体"/>
          <w:color w:val="000000"/>
          <w:spacing w:val="-2"/>
          <w:sz w:val="24"/>
          <w:szCs w:val="24"/>
          <w:highlight w:val="none"/>
          <w:lang w:val="en-US" w:eastAsia="en-US" w:bidi="ar-SA"/>
        </w:rPr>
      </w:r>
      <w:r/>
    </w:p>
    <w:p>
      <w:pPr>
        <w:pStyle w:val="1140"/>
        <w:ind w:left="11" w:right="200" w:firstLine="482"/>
        <w:jc w:val="left"/>
        <w:spacing w:before="78" w:line="347"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5.发包人协助承包人办理所需证件、批件和临时用地、用水用电等的申请批</w:t>
      </w:r>
      <w:r>
        <w:rPr>
          <w:rFonts w:ascii="宋体" w:hAnsi="宋体" w:eastAsia="宋体" w:cs="宋体"/>
          <w:color w:val="000000"/>
          <w:spacing w:val="11"/>
          <w:sz w:val="24"/>
          <w:szCs w:val="24"/>
          <w:highlight w:val="none"/>
          <w:lang w:val="en-US" w:eastAsia="en-US" w:bidi="ar-SA"/>
        </w:rPr>
        <w:t xml:space="preserve"> </w:t>
      </w:r>
      <w:r>
        <w:rPr>
          <w:rFonts w:ascii="宋体" w:hAnsi="宋体" w:eastAsia="宋体" w:cs="宋体"/>
          <w:color w:val="000000"/>
          <w:spacing w:val="-3"/>
          <w:sz w:val="24"/>
          <w:szCs w:val="24"/>
          <w:highlight w:val="none"/>
          <w:lang w:val="en-US" w:eastAsia="en-US" w:bidi="ar-SA"/>
        </w:rPr>
        <w:t xml:space="preserve">准手续。</w:t>
      </w:r>
      <w:r>
        <w:rPr>
          <w:rFonts w:ascii="宋体" w:hAnsi="宋体" w:eastAsia="宋体" w:cs="宋体"/>
          <w:color w:val="000000"/>
          <w:sz w:val="24"/>
          <w:szCs w:val="24"/>
          <w:highlight w:val="none"/>
          <w:lang w:val="en-US" w:eastAsia="en-US" w:bidi="ar-SA"/>
        </w:rPr>
      </w:r>
      <w:r/>
    </w:p>
    <w:p>
      <w:pPr>
        <w:pStyle w:val="1140"/>
        <w:ind w:left="488"/>
        <w:jc w:val="left"/>
        <w:spacing w:before="36" w:line="219" w:lineRule="auto"/>
        <w:rPr>
          <w:rFonts w:ascii="宋体" w:hAnsi="宋体" w:eastAsia="宋体" w:cs="宋体"/>
          <w:b/>
          <w:bCs/>
          <w:color w:val="000000"/>
          <w:spacing w:val="-4"/>
          <w:sz w:val="24"/>
          <w:szCs w:val="24"/>
          <w:highlight w:val="none"/>
          <w:lang w:val="en-US" w:eastAsia="en-US" w:bidi="ar-SA"/>
        </w:rPr>
        <w:outlineLvl w:val="1"/>
      </w:pPr>
      <w:r>
        <w:rPr>
          <w:rFonts w:ascii="宋体" w:hAnsi="宋体" w:eastAsia="宋体" w:cs="宋体"/>
          <w:b/>
          <w:bCs/>
          <w:color w:val="000000"/>
          <w:spacing w:val="-4"/>
          <w:sz w:val="24"/>
          <w:szCs w:val="24"/>
          <w:highlight w:val="none"/>
          <w:lang w:val="en-US" w:eastAsia="en-US" w:bidi="ar-SA"/>
        </w:rPr>
        <w:t xml:space="preserve">八、承包人义务</w:t>
      </w:r>
      <w:r>
        <w:rPr>
          <w:rFonts w:ascii="宋体" w:hAnsi="宋体" w:eastAsia="宋体" w:cs="宋体"/>
          <w:b/>
          <w:bCs/>
          <w:color w:val="000000"/>
          <w:spacing w:val="-4"/>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1.承包人保证具备与本次移栽工作匹配的专业技术管理人员、技术工人、资 金、设备等，并按照审定的施工图施工。</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2.承包人应当按招标文件、设计图纸、合同约定开展移栽、养护工作。承包 人应当遵守政府有关主管部门对施工场地交通、噪音以及环境保护和安全生产等 的管理规定，按规定办理有关手续。</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3.移栽过程中如产生道路污损、设施损坏、垃圾清运等，由承包人负责清洗、 修复、处理，费用均由承包人承担。移栽后，承包人应及时填埋树坑，清理现场。</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4.承包人应当建立完善的养护责任制度，制定养护岗位职责以及各岗位规范、 操作规程、养护制度（包括节假日值班制度、防汛防台期间的值班制度和应急抢  险工作制度）。根据招投标文件或发包人要求，配备项目负责人、技术管理人员、 养护操作人员、安全管理员等并将岗位规范、操作规程、管理制度及工作人员的  名单交发包人。</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5.根据发包人要求及时做好养护区域的局部调整，保证绿化观赏的整体性。</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6.在养护期内承包人接到发包人的养护通知后，必须 24 小时内对接养护、 整改工作，48 小时内派专门人员进行养护、整改。</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7.承包人应当做好管线和公共设施保护，配合发包人做好垃圾分类、应急处 置等工作。</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b/>
          <w:bCs/>
          <w:color w:val="000000"/>
          <w:spacing w:val="-1"/>
          <w:sz w:val="24"/>
          <w:szCs w:val="24"/>
          <w:highlight w:val="none"/>
          <w:lang w:val="en-US" w:eastAsia="en-US" w:bidi="ar-SA"/>
        </w:rPr>
      </w:pPr>
      <w:r>
        <w:rPr>
          <w:rFonts w:ascii="宋体" w:hAnsi="宋体" w:eastAsia="宋体" w:cs="宋体"/>
          <w:b/>
          <w:bCs/>
          <w:color w:val="000000"/>
          <w:spacing w:val="-1"/>
          <w:sz w:val="24"/>
          <w:szCs w:val="24"/>
          <w:highlight w:val="none"/>
          <w:lang w:val="en-US" w:eastAsia="en-US" w:bidi="ar-SA"/>
        </w:rPr>
        <w:t xml:space="preserve">九、移栽及养护期相关约定</w:t>
      </w:r>
      <w:r>
        <w:rPr>
          <w:rFonts w:ascii="宋体" w:hAnsi="宋体" w:eastAsia="宋体" w:cs="宋体"/>
          <w:b/>
          <w:bCs/>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1.移栽工作完成时，由发包人组织承包人清点移栽数量、质量，双方在验收 清单上签字确认。</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2.移栽过程及移栽完工验收应当满足《园林绿化工程施工及验收规范》 （CJJ82-2012）等标准。</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3.承包人负责养护的绿化范围：承包人所移栽的全部苗木。   </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4.承包人负责养护期内的病虫防治、修剪定型、扶正补苗等。养护期间必须 做到浇水、修剪、松土、追肥、病虫害防治、喷药、防冻、防风等保护养护措施， 并且应当保持绿化带内清洁干净。</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5.移栽及绿化养护期全过程内由承包人负责保护苗木，直到养护期结束移交 发包人之日止。如在移栽及绿化养护期全过程内任何树木植物死亡，承包人须按 原品种和规格更换补种，更换补种费用由承包人承担。</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更换的苗木应生长健壮、枝繁叶茂、冠形完整、色泽正常、根系发达、无病 虫害和机械损坏。承包人应提供该苗木无病虫害检疫报告材料。</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6.承包人负责养护工作人员的劳动保护和人身安全。除双方另有约定外，养 护工作人员的餐饮、住宿由承包人自行承担。</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7.承包人应建立和健全养护管理档案，对养护管理工作中采集的各种信息、 资料及时做好分析整理和归档保存工作，并报送发包人备案。养护期结束移交时， 承包人应将完整的竣工验收绿化档案资料、养护设备设施移交发包人。</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8.养护期满移交时苗木成活率约定（含乔木、灌木、地被、草坪等）：移栽绿化成活率要求</w:t>
      </w:r>
      <w:r>
        <w:rPr>
          <w:rFonts w:hint="eastAsia" w:ascii="宋体" w:hAnsi="宋体" w:eastAsia="宋体" w:cs="宋体"/>
          <w:color w:val="000000"/>
          <w:spacing w:val="-1"/>
          <w:sz w:val="24"/>
          <w:szCs w:val="24"/>
          <w:highlight w:val="none"/>
          <w:lang w:val="en-US" w:eastAsia="zh-CN" w:bidi="ar-SA"/>
        </w:rPr>
        <w:t xml:space="preserve">98</w:t>
      </w:r>
      <w:r>
        <w:rPr>
          <w:rFonts w:ascii="宋体" w:hAnsi="宋体" w:eastAsia="宋体" w:cs="宋体"/>
          <w:color w:val="000000"/>
          <w:spacing w:val="-1"/>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zh-CN" w:bidi="ar-SA"/>
        </w:rPr>
        <w:t xml:space="preserve">，</w:t>
      </w:r>
      <w:r>
        <w:rPr>
          <w:rFonts w:ascii="宋体" w:hAnsi="宋体" w:eastAsia="宋体" w:cs="宋体"/>
          <w:color w:val="000000"/>
          <w:spacing w:val="-1"/>
          <w:sz w:val="24"/>
          <w:szCs w:val="24"/>
          <w:highlight w:val="none"/>
          <w:lang w:val="en-US" w:eastAsia="en-US" w:bidi="ar-SA"/>
        </w:rPr>
        <w:t xml:space="preserve">如养护不达标、养护期结束苗木死亡未补栽整改到位等情形，应按照发包人需支付的养护修复费用、或死亡苗木的市场价值扣除承包人相应费用，如剩余价款不足扣除的承包人应当向发包人支付。</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9.养护范围内的生活垃圾应按规定处置，植物养护产生的绿化废弃物由承包 人负责进行无害化处置，费用由承包人承担。</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b/>
          <w:bCs/>
          <w:color w:val="000000"/>
          <w:spacing w:val="-1"/>
          <w:sz w:val="24"/>
          <w:szCs w:val="24"/>
          <w:highlight w:val="none"/>
          <w:lang w:val="en-US" w:eastAsia="en-US" w:bidi="ar-SA"/>
        </w:rPr>
      </w:pPr>
      <w:r>
        <w:rPr>
          <w:rFonts w:ascii="宋体" w:hAnsi="宋体" w:eastAsia="宋体" w:cs="宋体"/>
          <w:b/>
          <w:bCs/>
          <w:color w:val="000000"/>
          <w:spacing w:val="-1"/>
          <w:sz w:val="24"/>
          <w:szCs w:val="24"/>
          <w:highlight w:val="none"/>
          <w:lang w:val="en-US" w:eastAsia="en-US" w:bidi="ar-SA"/>
        </w:rPr>
        <w:t xml:space="preserve">10.绿化养护期内水电费由承包人承担。</w:t>
      </w:r>
      <w:r>
        <w:rPr>
          <w:rFonts w:ascii="宋体" w:hAnsi="宋体" w:eastAsia="宋体" w:cs="宋体"/>
          <w:b/>
          <w:bCs/>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十、承诺及违约责任</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1.承包人承诺按照法律规定及合同约定组织完成工作，确保工作质量和安全， 不进行转包及违法分包。</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2.发包人和承包人通过招投标形式签订合同的，双方理解并承诺不再就同一 工程另行签订与合同实质性内容相背离的协议。本合同内容与中标通知书、招投 标文件不一致的，以中标通知书、招投标文件为准。</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3.如由于承包人原因未能按规定的期限完成移栽，发包人有权要求承包人每 日按中标合同总价的 3%向发包人支付违约金。由于承包人原因影响工程进度延期 15 日以上，发包人有权单方解除合同，且承包人需向发包人承担中标合同总价  20%的违约金，并赔偿其他损失。</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十一、不可抗力与异常恶劣气候条件</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如发生不可抗力事件、异常恶劣自然气候，致使不能履行本合同，完成本合</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同的时间可根据事件发生的时间长短延期进行。</w:t>
      </w:r>
      <w:r>
        <w:rPr>
          <w:rFonts w:ascii="宋体" w:hAnsi="宋体" w:eastAsia="宋体" w:cs="宋体"/>
          <w:color w:val="000000"/>
          <w:spacing w:val="-1"/>
          <w:sz w:val="24"/>
          <w:szCs w:val="24"/>
          <w:highlight w:val="none"/>
          <w:lang w:val="en-US" w:eastAsia="en-US" w:bidi="ar-SA"/>
        </w:rPr>
      </w:r>
      <w:r/>
    </w:p>
    <w:p>
      <w:pPr>
        <w:pStyle w:val="1140"/>
        <w:ind w:left="8" w:right="61" w:firstLine="480"/>
        <w:jc w:val="both"/>
        <w:spacing w:before="35" w:line="351" w:lineRule="auto"/>
        <w:rPr>
          <w:rFonts w:ascii="宋体" w:hAnsi="宋体" w:eastAsia="宋体" w:cs="宋体"/>
          <w:color w:val="000000"/>
          <w:spacing w:val="-1"/>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受不可抗力影响的一方，应尽快告知其他各方，并用书面形式确认不可抗力 事件的终止或消除。因国家法律规定发生变化或国家政策障碍致使合同不能履行 的，适用不可抗力条款。因不可抗力导致本合同不能履行的，双方互不追究责任。</w:t>
      </w:r>
      <w:r>
        <w:rPr>
          <w:rFonts w:ascii="宋体" w:hAnsi="宋体" w:eastAsia="宋体" w:cs="宋体"/>
          <w:color w:val="000000"/>
          <w:spacing w:val="-1"/>
          <w:sz w:val="24"/>
          <w:szCs w:val="24"/>
          <w:highlight w:val="none"/>
          <w:lang w:val="en-US" w:eastAsia="en-US" w:bidi="ar-SA"/>
        </w:rPr>
      </w:r>
      <w:r/>
    </w:p>
    <w:p>
      <w:pPr>
        <w:pStyle w:val="1140"/>
        <w:ind w:left="490"/>
        <w:jc w:val="left"/>
        <w:spacing w:before="35" w:line="221" w:lineRule="auto"/>
        <w:rPr>
          <w:rFonts w:ascii="宋体" w:hAnsi="宋体" w:eastAsia="宋体" w:cs="宋体"/>
          <w:color w:val="000000"/>
          <w:sz w:val="24"/>
          <w:szCs w:val="24"/>
          <w:highlight w:val="none"/>
          <w:lang w:val="en-US" w:eastAsia="en-US" w:bidi="ar-SA"/>
        </w:rPr>
        <w:outlineLvl w:val="1"/>
      </w:pPr>
      <w:r>
        <w:rPr>
          <w:rFonts w:ascii="宋体" w:hAnsi="宋体" w:eastAsia="宋体" w:cs="宋体"/>
          <w:b/>
          <w:bCs/>
          <w:color w:val="000000"/>
          <w:spacing w:val="-3"/>
          <w:sz w:val="24"/>
          <w:szCs w:val="24"/>
          <w:highlight w:val="none"/>
          <w:lang w:val="en-US" w:eastAsia="en-US" w:bidi="ar-SA"/>
        </w:rPr>
        <w:t xml:space="preserve">十二、签订时间及地点</w:t>
      </w:r>
      <w:r>
        <w:rPr>
          <w:rFonts w:ascii="宋体" w:hAnsi="宋体" w:eastAsia="宋体" w:cs="宋体"/>
          <w:color w:val="000000"/>
          <w:sz w:val="24"/>
          <w:szCs w:val="24"/>
          <w:highlight w:val="none"/>
          <w:lang w:val="en-US" w:eastAsia="en-US" w:bidi="ar-SA"/>
        </w:rPr>
      </w:r>
      <w:r/>
    </w:p>
    <w:p>
      <w:pPr>
        <w:pStyle w:val="1140"/>
        <w:ind w:left="490"/>
        <w:jc w:val="left"/>
        <w:spacing w:before="180"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9"/>
          <w:sz w:val="24"/>
          <w:szCs w:val="24"/>
          <w:highlight w:val="none"/>
          <w:lang w:val="en-US" w:eastAsia="en-US" w:bidi="ar-SA"/>
        </w:rPr>
        <w:t xml:space="preserve">本合同于</w:t>
      </w:r>
      <w:r>
        <w:rPr>
          <w:rFonts w:ascii="宋体" w:hAnsi="宋体" w:eastAsia="宋体" w:cs="宋体"/>
          <w:color w:val="000000"/>
          <w:spacing w:val="1"/>
          <w:sz w:val="24"/>
          <w:szCs w:val="24"/>
          <w:highlight w:val="none"/>
          <w:u w:val="single"/>
          <w:lang w:val="en-US" w:eastAsia="en-US" w:bidi="ar-SA"/>
        </w:rPr>
        <w:t xml:space="preserve">        </w:t>
      </w:r>
      <w:r>
        <w:rPr>
          <w:rFonts w:ascii="宋体" w:hAnsi="宋体" w:eastAsia="宋体" w:cs="宋体"/>
          <w:color w:val="000000"/>
          <w:spacing w:val="-9"/>
          <w:sz w:val="24"/>
          <w:szCs w:val="24"/>
          <w:highlight w:val="none"/>
          <w:u w:val="single"/>
          <w:lang w:val="en-US" w:eastAsia="en-US" w:bidi="ar-SA"/>
        </w:rPr>
        <w:t xml:space="preserve">年</w:t>
      </w:r>
      <w:r>
        <w:rPr>
          <w:rFonts w:ascii="宋体" w:hAnsi="宋体" w:eastAsia="宋体" w:cs="宋体"/>
          <w:color w:val="000000"/>
          <w:spacing w:val="5"/>
          <w:sz w:val="24"/>
          <w:szCs w:val="24"/>
          <w:highlight w:val="none"/>
          <w:u w:val="single"/>
          <w:lang w:val="en-US" w:eastAsia="en-US" w:bidi="ar-SA"/>
        </w:rPr>
        <w:t xml:space="preserve">    </w:t>
      </w:r>
      <w:r>
        <w:rPr>
          <w:rFonts w:ascii="宋体" w:hAnsi="宋体" w:eastAsia="宋体" w:cs="宋体"/>
          <w:color w:val="000000"/>
          <w:spacing w:val="-9"/>
          <w:sz w:val="24"/>
          <w:szCs w:val="24"/>
          <w:highlight w:val="none"/>
          <w:u w:val="single"/>
          <w:lang w:val="en-US" w:eastAsia="en-US" w:bidi="ar-SA"/>
        </w:rPr>
        <w:t xml:space="preserve">月</w:t>
      </w:r>
      <w:r>
        <w:rPr>
          <w:rFonts w:ascii="宋体" w:hAnsi="宋体" w:eastAsia="宋体" w:cs="宋体"/>
          <w:color w:val="000000"/>
          <w:spacing w:val="12"/>
          <w:sz w:val="24"/>
          <w:szCs w:val="24"/>
          <w:highlight w:val="none"/>
          <w:u w:val="single"/>
          <w:lang w:val="en-US" w:eastAsia="en-US" w:bidi="ar-SA"/>
        </w:rPr>
        <w:t xml:space="preserve">    </w:t>
      </w:r>
      <w:r>
        <w:rPr>
          <w:rFonts w:ascii="宋体" w:hAnsi="宋体" w:eastAsia="宋体" w:cs="宋体"/>
          <w:color w:val="000000"/>
          <w:spacing w:val="-9"/>
          <w:sz w:val="24"/>
          <w:szCs w:val="24"/>
          <w:highlight w:val="none"/>
          <w:u w:val="single"/>
          <w:lang w:val="en-US" w:eastAsia="en-US" w:bidi="ar-SA"/>
        </w:rPr>
        <w:t xml:space="preserve">日</w:t>
      </w:r>
      <w:r>
        <w:rPr>
          <w:rFonts w:ascii="宋体" w:hAnsi="宋体" w:eastAsia="宋体" w:cs="宋体"/>
          <w:color w:val="000000"/>
          <w:spacing w:val="-9"/>
          <w:sz w:val="24"/>
          <w:szCs w:val="24"/>
          <w:highlight w:val="none"/>
          <w:lang w:val="en-US" w:eastAsia="en-US" w:bidi="ar-SA"/>
        </w:rPr>
        <w:t xml:space="preserve">签订。</w:t>
      </w:r>
      <w:r>
        <w:rPr>
          <w:rFonts w:ascii="宋体" w:hAnsi="宋体" w:eastAsia="宋体" w:cs="宋体"/>
          <w:color w:val="000000"/>
          <w:sz w:val="24"/>
          <w:szCs w:val="24"/>
          <w:highlight w:val="none"/>
          <w:lang w:val="en-US" w:eastAsia="en-US" w:bidi="ar-SA"/>
        </w:rPr>
      </w:r>
      <w:r/>
    </w:p>
    <w:p>
      <w:pPr>
        <w:pStyle w:val="1140"/>
        <w:ind w:left="490"/>
        <w:jc w:val="left"/>
        <w:spacing w:before="183"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t xml:space="preserve">本合同在</w:t>
      </w:r>
      <w:r>
        <w:rPr>
          <w:rFonts w:ascii="宋体" w:hAnsi="宋体" w:eastAsia="宋体" w:cs="宋体"/>
          <w:color w:val="000000"/>
          <w:sz w:val="24"/>
          <w:szCs w:val="24"/>
          <w:highlight w:val="none"/>
          <w:u w:val="single"/>
          <w:lang w:val="en-US" w:eastAsia="en-US" w:bidi="ar-SA"/>
        </w:rPr>
        <w:t xml:space="preserve">                    </w:t>
      </w:r>
      <w:r>
        <w:rPr>
          <w:rFonts w:ascii="宋体" w:hAnsi="宋体" w:eastAsia="宋体" w:cs="宋体"/>
          <w:color w:val="000000"/>
          <w:spacing w:val="-1"/>
          <w:sz w:val="24"/>
          <w:szCs w:val="24"/>
          <w:highlight w:val="none"/>
          <w:u w:val="single"/>
          <w:lang w:val="en-US" w:eastAsia="en-US" w:bidi="ar-SA"/>
        </w:rPr>
        <w:t xml:space="preserve">                   </w:t>
      </w:r>
      <w:r>
        <w:rPr>
          <w:rFonts w:ascii="宋体" w:hAnsi="宋体" w:eastAsia="宋体" w:cs="宋体"/>
          <w:color w:val="000000"/>
          <w:spacing w:val="-110"/>
          <w:sz w:val="24"/>
          <w:szCs w:val="24"/>
          <w:highlight w:val="none"/>
          <w:lang w:val="en-US" w:eastAsia="en-US" w:bidi="ar-SA"/>
        </w:rPr>
        <w:t xml:space="preserve"> </w:t>
      </w:r>
      <w:r>
        <w:rPr>
          <w:rFonts w:ascii="宋体" w:hAnsi="宋体" w:eastAsia="宋体" w:cs="宋体"/>
          <w:color w:val="000000"/>
          <w:spacing w:val="-1"/>
          <w:sz w:val="24"/>
          <w:szCs w:val="24"/>
          <w:highlight w:val="none"/>
          <w:lang w:val="en-US" w:eastAsia="en-US" w:bidi="ar-SA"/>
        </w:rPr>
        <w:t xml:space="preserve">签订。</w:t>
      </w:r>
      <w:r>
        <w:rPr>
          <w:rFonts w:ascii="宋体" w:hAnsi="宋体" w:eastAsia="宋体" w:cs="宋体"/>
          <w:color w:val="000000"/>
          <w:sz w:val="24"/>
          <w:szCs w:val="24"/>
          <w:highlight w:val="none"/>
          <w:lang w:val="en-US" w:eastAsia="en-US" w:bidi="ar-SA"/>
        </w:rPr>
      </w:r>
      <w:r/>
    </w:p>
    <w:p>
      <w:pPr>
        <w:pStyle w:val="1140"/>
        <w:ind w:left="490"/>
        <w:jc w:val="left"/>
        <w:spacing w:before="184" w:line="219" w:lineRule="auto"/>
        <w:rPr>
          <w:rFonts w:ascii="宋体" w:hAnsi="宋体" w:eastAsia="宋体" w:cs="宋体"/>
          <w:color w:val="000000"/>
          <w:sz w:val="24"/>
          <w:szCs w:val="24"/>
          <w:highlight w:val="none"/>
          <w:lang w:val="en-US" w:eastAsia="en-US" w:bidi="ar-SA"/>
        </w:rPr>
        <w:outlineLvl w:val="1"/>
      </w:pPr>
      <w:r>
        <w:rPr>
          <w:rFonts w:ascii="宋体" w:hAnsi="宋体" w:eastAsia="宋体" w:cs="宋体"/>
          <w:b/>
          <w:bCs/>
          <w:color w:val="000000"/>
          <w:spacing w:val="-4"/>
          <w:sz w:val="24"/>
          <w:szCs w:val="24"/>
          <w:highlight w:val="none"/>
          <w:lang w:val="en-US" w:eastAsia="en-US" w:bidi="ar-SA"/>
        </w:rPr>
        <w:t xml:space="preserve">十三、争议解决</w:t>
      </w:r>
      <w:r>
        <w:rPr>
          <w:rFonts w:ascii="宋体" w:hAnsi="宋体" w:eastAsia="宋体" w:cs="宋体"/>
          <w:color w:val="000000"/>
          <w:sz w:val="24"/>
          <w:szCs w:val="24"/>
          <w:highlight w:val="none"/>
          <w:lang w:val="en-US" w:eastAsia="en-US" w:bidi="ar-SA"/>
        </w:rPr>
      </w:r>
      <w:r/>
    </w:p>
    <w:p>
      <w:pPr>
        <w:pStyle w:val="1140"/>
        <w:ind w:left="8" w:right="312" w:firstLine="480"/>
        <w:jc w:val="left"/>
        <w:spacing w:before="183" w:line="346" w:lineRule="auto"/>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t xml:space="preserve">双方同意将因本合同引起的或与本合同有关的任</w:t>
      </w:r>
      <w:r>
        <w:rPr>
          <w:rFonts w:ascii="宋体" w:hAnsi="宋体" w:eastAsia="宋体" w:cs="宋体"/>
          <w:color w:val="000000"/>
          <w:spacing w:val="-1"/>
          <w:sz w:val="24"/>
          <w:szCs w:val="24"/>
          <w:highlight w:val="none"/>
          <w:lang w:val="en-US" w:eastAsia="en-US" w:bidi="ar-SA"/>
        </w:rPr>
        <w:t xml:space="preserve">何争议提交常州仲裁委员</w:t>
      </w:r>
      <w:r>
        <w:rPr>
          <w:rFonts w:ascii="宋体" w:hAnsi="宋体" w:eastAsia="宋体" w:cs="宋体"/>
          <w:color w:val="000000"/>
          <w:sz w:val="24"/>
          <w:szCs w:val="24"/>
          <w:highlight w:val="none"/>
          <w:lang w:val="en-US" w:eastAsia="en-US" w:bidi="ar-SA"/>
        </w:rPr>
        <w:t xml:space="preserve"> 会按照该会仲裁规则进行仲裁。仲裁裁决是终局的</w:t>
      </w:r>
      <w:r>
        <w:rPr>
          <w:rFonts w:ascii="宋体" w:hAnsi="宋体" w:eastAsia="宋体" w:cs="宋体"/>
          <w:color w:val="000000"/>
          <w:spacing w:val="-1"/>
          <w:sz w:val="24"/>
          <w:szCs w:val="24"/>
          <w:highlight w:val="none"/>
          <w:lang w:val="en-US" w:eastAsia="en-US" w:bidi="ar-SA"/>
        </w:rPr>
        <w:t xml:space="preserve">，对双方均有约束力。</w:t>
      </w:r>
      <w:r>
        <w:rPr>
          <w:rFonts w:ascii="宋体" w:hAnsi="宋体" w:eastAsia="宋体" w:cs="宋体"/>
          <w:color w:val="000000"/>
          <w:sz w:val="24"/>
          <w:szCs w:val="24"/>
          <w:highlight w:val="none"/>
          <w:lang w:val="en-US" w:eastAsia="en-US" w:bidi="ar-SA"/>
        </w:rPr>
      </w:r>
      <w:r/>
    </w:p>
    <w:p>
      <w:pPr>
        <w:pStyle w:val="1140"/>
        <w:ind w:left="490"/>
        <w:jc w:val="left"/>
        <w:spacing w:before="36" w:line="220" w:lineRule="auto"/>
        <w:rPr>
          <w:rFonts w:ascii="宋体" w:hAnsi="宋体" w:eastAsia="宋体" w:cs="宋体"/>
          <w:color w:val="000000"/>
          <w:sz w:val="24"/>
          <w:szCs w:val="24"/>
          <w:highlight w:val="none"/>
          <w:lang w:val="en-US" w:eastAsia="en-US" w:bidi="ar-SA"/>
        </w:rPr>
        <w:outlineLvl w:val="1"/>
      </w:pPr>
      <w:r>
        <w:rPr>
          <w:rFonts w:ascii="宋体" w:hAnsi="宋体" w:eastAsia="宋体" w:cs="宋体"/>
          <w:b/>
          <w:bCs/>
          <w:color w:val="000000"/>
          <w:spacing w:val="-4"/>
          <w:sz w:val="24"/>
          <w:szCs w:val="24"/>
          <w:highlight w:val="none"/>
          <w:lang w:val="en-US" w:eastAsia="en-US" w:bidi="ar-SA"/>
        </w:rPr>
        <w:t xml:space="preserve">十四、补充协议</w:t>
      </w:r>
      <w:r>
        <w:rPr>
          <w:rFonts w:ascii="宋体" w:hAnsi="宋体" w:eastAsia="宋体" w:cs="宋体"/>
          <w:color w:val="000000"/>
          <w:sz w:val="24"/>
          <w:szCs w:val="24"/>
          <w:highlight w:val="none"/>
          <w:lang w:val="en-US" w:eastAsia="en-US" w:bidi="ar-SA"/>
        </w:rPr>
      </w:r>
      <w:r/>
    </w:p>
    <w:p>
      <w:pPr>
        <w:pStyle w:val="1140"/>
        <w:jc w:val="right"/>
        <w:spacing w:before="182"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5"/>
          <w:sz w:val="24"/>
          <w:szCs w:val="24"/>
          <w:highlight w:val="none"/>
          <w:lang w:val="en-US" w:eastAsia="en-US" w:bidi="ar-SA"/>
        </w:rPr>
        <w:t xml:space="preserve">合同未尽事宜，合同当事人另行签订补充协议，补充协议</w:t>
      </w:r>
      <w:r>
        <w:rPr>
          <w:rFonts w:ascii="宋体" w:hAnsi="宋体" w:eastAsia="宋体" w:cs="宋体"/>
          <w:color w:val="000000"/>
          <w:spacing w:val="-6"/>
          <w:sz w:val="24"/>
          <w:szCs w:val="24"/>
          <w:highlight w:val="none"/>
          <w:lang w:val="en-US" w:eastAsia="en-US" w:bidi="ar-SA"/>
        </w:rPr>
        <w:t xml:space="preserve">是合同的组成部分。</w:t>
      </w:r>
      <w:r>
        <w:rPr>
          <w:rFonts w:ascii="宋体" w:hAnsi="宋体" w:eastAsia="宋体" w:cs="宋体"/>
          <w:color w:val="000000"/>
          <w:sz w:val="24"/>
          <w:szCs w:val="24"/>
          <w:highlight w:val="none"/>
          <w:lang w:val="en-US" w:eastAsia="en-US" w:bidi="ar-SA"/>
        </w:rPr>
      </w:r>
      <w:r/>
    </w:p>
    <w:p>
      <w:pPr>
        <w:pStyle w:val="1140"/>
        <w:ind w:left="490"/>
        <w:jc w:val="left"/>
        <w:spacing w:before="183" w:line="220" w:lineRule="auto"/>
        <w:rPr>
          <w:rFonts w:ascii="宋体" w:hAnsi="宋体" w:eastAsia="宋体" w:cs="宋体"/>
          <w:color w:val="000000"/>
          <w:sz w:val="24"/>
          <w:szCs w:val="24"/>
          <w:highlight w:val="none"/>
          <w:lang w:val="en-US" w:eastAsia="en-US" w:bidi="ar-SA"/>
        </w:rPr>
        <w:outlineLvl w:val="1"/>
      </w:pPr>
      <w:r>
        <w:rPr>
          <w:rFonts w:ascii="宋体" w:hAnsi="宋体" w:eastAsia="宋体" w:cs="宋体"/>
          <w:b/>
          <w:bCs/>
          <w:color w:val="000000"/>
          <w:spacing w:val="-4"/>
          <w:sz w:val="24"/>
          <w:szCs w:val="24"/>
          <w:highlight w:val="none"/>
          <w:lang w:val="en-US" w:eastAsia="en-US" w:bidi="ar-SA"/>
        </w:rPr>
        <w:t xml:space="preserve">十五、合同生效</w:t>
      </w:r>
      <w:r>
        <w:rPr>
          <w:rFonts w:ascii="宋体" w:hAnsi="宋体" w:eastAsia="宋体" w:cs="宋体"/>
          <w:color w:val="000000"/>
          <w:sz w:val="24"/>
          <w:szCs w:val="24"/>
          <w:highlight w:val="none"/>
          <w:lang w:val="en-US" w:eastAsia="en-US" w:bidi="ar-SA"/>
        </w:rPr>
      </w:r>
      <w:r/>
    </w:p>
    <w:p>
      <w:pPr>
        <w:pStyle w:val="1140"/>
        <w:ind w:left="490"/>
        <w:jc w:val="left"/>
        <w:spacing w:before="182"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本合同自</w:t>
      </w:r>
      <w:r>
        <w:rPr>
          <w:rFonts w:ascii="宋体" w:hAnsi="宋体" w:eastAsia="宋体" w:cs="宋体"/>
          <w:color w:val="000000"/>
          <w:spacing w:val="-1"/>
          <w:sz w:val="24"/>
          <w:szCs w:val="24"/>
          <w:highlight w:val="none"/>
          <w:u w:val="single"/>
          <w:lang w:val="en-US" w:eastAsia="en-US" w:bidi="ar-SA"/>
        </w:rPr>
        <w:t xml:space="preserve">  双方盖章且法定代表人签字后  </w:t>
      </w:r>
      <w:r>
        <w:rPr>
          <w:rFonts w:ascii="宋体" w:hAnsi="宋体" w:eastAsia="宋体" w:cs="宋体"/>
          <w:color w:val="000000"/>
          <w:spacing w:val="-108"/>
          <w:sz w:val="24"/>
          <w:szCs w:val="24"/>
          <w:highlight w:val="none"/>
          <w:lang w:val="en-US" w:eastAsia="en-US" w:bidi="ar-SA"/>
        </w:rPr>
        <w:t xml:space="preserve"> </w:t>
      </w:r>
      <w:r>
        <w:rPr>
          <w:rFonts w:ascii="宋体" w:hAnsi="宋体" w:eastAsia="宋体" w:cs="宋体"/>
          <w:color w:val="000000"/>
          <w:spacing w:val="-1"/>
          <w:sz w:val="24"/>
          <w:szCs w:val="24"/>
          <w:highlight w:val="none"/>
          <w:lang w:val="en-US" w:eastAsia="en-US" w:bidi="ar-SA"/>
        </w:rPr>
        <w:t xml:space="preserve">生效。</w:t>
      </w:r>
      <w:r>
        <w:rPr>
          <w:rFonts w:ascii="宋体" w:hAnsi="宋体" w:eastAsia="宋体" w:cs="宋体"/>
          <w:color w:val="000000"/>
          <w:sz w:val="24"/>
          <w:szCs w:val="24"/>
          <w:highlight w:val="none"/>
          <w:lang w:val="en-US" w:eastAsia="en-US" w:bidi="ar-SA"/>
        </w:rPr>
      </w:r>
      <w:r/>
    </w:p>
    <w:p>
      <w:pPr>
        <w:pStyle w:val="1140"/>
        <w:ind w:left="490"/>
        <w:jc w:val="left"/>
        <w:spacing w:before="184" w:line="219" w:lineRule="auto"/>
        <w:rPr>
          <w:rFonts w:ascii="宋体" w:hAnsi="宋体" w:eastAsia="宋体" w:cs="宋体"/>
          <w:color w:val="000000"/>
          <w:sz w:val="24"/>
          <w:szCs w:val="24"/>
          <w:highlight w:val="none"/>
          <w:lang w:val="en-US" w:eastAsia="en-US" w:bidi="ar-SA"/>
        </w:rPr>
        <w:outlineLvl w:val="1"/>
      </w:pPr>
      <w:r>
        <w:rPr>
          <w:rFonts w:ascii="宋体" w:hAnsi="宋体" w:eastAsia="宋体" w:cs="宋体"/>
          <w:b/>
          <w:bCs/>
          <w:color w:val="000000"/>
          <w:spacing w:val="-4"/>
          <w:sz w:val="24"/>
          <w:szCs w:val="24"/>
          <w:highlight w:val="none"/>
          <w:lang w:val="en-US" w:eastAsia="en-US" w:bidi="ar-SA"/>
        </w:rPr>
        <w:t xml:space="preserve">十六、合同份数</w:t>
      </w:r>
      <w:r>
        <w:rPr>
          <w:rFonts w:ascii="宋体" w:hAnsi="宋体" w:eastAsia="宋体" w:cs="宋体"/>
          <w:color w:val="000000"/>
          <w:sz w:val="24"/>
          <w:szCs w:val="24"/>
          <w:highlight w:val="none"/>
          <w:lang w:val="en-US" w:eastAsia="en-US" w:bidi="ar-SA"/>
        </w:rPr>
      </w:r>
      <w:r/>
    </w:p>
    <w:p>
      <w:pPr>
        <w:pStyle w:val="1140"/>
        <w:jc w:val="right"/>
        <w:spacing w:before="182" w:line="219" w:lineRule="auto"/>
        <w:rPr>
          <w:rFonts w:ascii="宋体" w:hAnsi="宋体" w:eastAsia="宋体" w:cs="宋体"/>
          <w:color w:val="000000"/>
          <w:spacing w:val="-6"/>
          <w:sz w:val="24"/>
          <w:szCs w:val="24"/>
          <w:highlight w:val="none"/>
          <w:lang w:val="en-US" w:eastAsia="en-US" w:bidi="ar-SA"/>
        </w:rPr>
      </w:pPr>
      <w:r>
        <w:rPr>
          <w:rFonts w:ascii="宋体" w:hAnsi="宋体" w:eastAsia="宋体" w:cs="宋体"/>
          <w:color w:val="000000"/>
          <w:spacing w:val="-5"/>
          <w:sz w:val="24"/>
          <w:szCs w:val="24"/>
          <w:highlight w:val="none"/>
          <w:lang w:val="en-US" w:eastAsia="en-US" w:bidi="ar-SA"/>
        </w:rPr>
        <w:t xml:space="preserve">本合同一式</w:t>
      </w:r>
      <w:r>
        <w:rPr>
          <w:rFonts w:ascii="宋体" w:hAnsi="宋体" w:eastAsia="宋体" w:cs="宋体"/>
          <w:color w:val="000000"/>
          <w:spacing w:val="-5"/>
          <w:sz w:val="24"/>
          <w:szCs w:val="24"/>
          <w:highlight w:val="none"/>
          <w:u w:val="single"/>
          <w:lang w:val="en-US" w:eastAsia="en-US" w:bidi="ar-SA"/>
        </w:rPr>
        <w:t xml:space="preserve"> 伍 </w:t>
      </w:r>
      <w:r>
        <w:rPr>
          <w:rFonts w:ascii="宋体" w:hAnsi="宋体" w:eastAsia="宋体" w:cs="宋体"/>
          <w:color w:val="000000"/>
          <w:spacing w:val="-5"/>
          <w:sz w:val="24"/>
          <w:szCs w:val="24"/>
          <w:highlight w:val="none"/>
          <w:lang w:val="en-US" w:eastAsia="en-US" w:bidi="ar-SA"/>
        </w:rPr>
        <w:t xml:space="preserve">份，具有同等法律效力，发包人执</w:t>
      </w:r>
      <w:r>
        <w:rPr>
          <w:rFonts w:ascii="宋体" w:hAnsi="宋体" w:eastAsia="宋体" w:cs="宋体"/>
          <w:color w:val="000000"/>
          <w:spacing w:val="-5"/>
          <w:sz w:val="24"/>
          <w:szCs w:val="24"/>
          <w:highlight w:val="none"/>
          <w:u w:val="single"/>
          <w:lang w:val="en-US" w:eastAsia="en-US" w:bidi="ar-SA"/>
        </w:rPr>
        <w:t xml:space="preserve"> 叁 </w:t>
      </w:r>
      <w:r>
        <w:rPr>
          <w:rFonts w:ascii="宋体" w:hAnsi="宋体" w:eastAsia="宋体" w:cs="宋体"/>
          <w:color w:val="000000"/>
          <w:spacing w:val="-5"/>
          <w:sz w:val="24"/>
          <w:szCs w:val="24"/>
          <w:highlight w:val="none"/>
          <w:lang w:val="en-US" w:eastAsia="en-US" w:bidi="ar-SA"/>
        </w:rPr>
        <w:t xml:space="preserve">份，</w:t>
      </w:r>
      <w:r>
        <w:rPr>
          <w:rFonts w:ascii="宋体" w:hAnsi="宋体" w:eastAsia="宋体" w:cs="宋体"/>
          <w:color w:val="000000"/>
          <w:spacing w:val="-6"/>
          <w:sz w:val="24"/>
          <w:szCs w:val="24"/>
          <w:highlight w:val="none"/>
          <w:lang w:val="en-US" w:eastAsia="en-US" w:bidi="ar-SA"/>
        </w:rPr>
        <w:t xml:space="preserve">承包人执</w:t>
      </w:r>
      <w:r>
        <w:rPr>
          <w:rFonts w:ascii="宋体" w:hAnsi="宋体" w:eastAsia="宋体" w:cs="宋体"/>
          <w:color w:val="000000"/>
          <w:spacing w:val="-6"/>
          <w:sz w:val="24"/>
          <w:szCs w:val="24"/>
          <w:highlight w:val="none"/>
          <w:u w:val="single"/>
          <w:lang w:val="en-US" w:eastAsia="en-US" w:bidi="ar-SA"/>
        </w:rPr>
        <w:t xml:space="preserve"> 贰</w:t>
      </w:r>
      <w:r>
        <w:rPr>
          <w:rFonts w:ascii="宋体" w:hAnsi="宋体" w:eastAsia="宋体" w:cs="宋体"/>
          <w:color w:val="000000"/>
          <w:spacing w:val="9"/>
          <w:sz w:val="24"/>
          <w:szCs w:val="24"/>
          <w:highlight w:val="none"/>
          <w:u w:val="single"/>
          <w:lang w:val="en-US" w:eastAsia="en-US" w:bidi="ar-SA"/>
        </w:rPr>
        <w:t xml:space="preserve"> </w:t>
      </w:r>
      <w:r>
        <w:rPr>
          <w:rFonts w:ascii="宋体" w:hAnsi="宋体" w:eastAsia="宋体" w:cs="宋体"/>
          <w:color w:val="000000"/>
          <w:spacing w:val="-6"/>
          <w:sz w:val="24"/>
          <w:szCs w:val="24"/>
          <w:highlight w:val="none"/>
          <w:lang w:val="en-US" w:eastAsia="en-US" w:bidi="ar-SA"/>
        </w:rPr>
        <w:t xml:space="preserve">份。</w:t>
      </w:r>
      <w:r>
        <w:rPr>
          <w:rFonts w:ascii="宋体" w:hAnsi="宋体" w:eastAsia="宋体" w:cs="宋体"/>
          <w:color w:val="000000"/>
          <w:spacing w:val="-6"/>
          <w:sz w:val="24"/>
          <w:szCs w:val="24"/>
          <w:highlight w:val="none"/>
          <w:lang w:val="en-US" w:eastAsia="en-US" w:bidi="ar-SA"/>
        </w:rPr>
      </w:r>
      <w:r/>
    </w:p>
    <w:p>
      <w:pPr>
        <w:pStyle w:val="1140"/>
        <w:jc w:val="right"/>
        <w:spacing w:before="182" w:line="219" w:lineRule="auto"/>
        <w:rPr>
          <w:rFonts w:ascii="宋体" w:hAnsi="宋体" w:eastAsia="宋体" w:cs="宋体"/>
          <w:color w:val="000000"/>
          <w:spacing w:val="-6"/>
          <w:sz w:val="24"/>
          <w:szCs w:val="24"/>
          <w:highlight w:val="none"/>
          <w:lang w:val="en-US" w:eastAsia="en-US" w:bidi="ar-SA"/>
        </w:rPr>
      </w:pPr>
      <w:r>
        <w:rPr>
          <w:rFonts w:ascii="宋体" w:hAnsi="宋体" w:eastAsia="宋体" w:cs="宋体"/>
          <w:color w:val="000000"/>
          <w:spacing w:val="-6"/>
          <w:sz w:val="24"/>
          <w:szCs w:val="24"/>
          <w:highlight w:val="none"/>
          <w:lang w:val="en-US" w:eastAsia="en-US" w:bidi="ar-SA"/>
        </w:rPr>
      </w:r>
      <w:r/>
    </w:p>
    <w:p>
      <w:pPr>
        <w:pStyle w:val="1140"/>
        <w:ind w:firstLine="476"/>
        <w:jc w:val="left"/>
        <w:spacing w:before="78" w:line="221"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【合同签署页】</w:t>
      </w:r>
      <w:r>
        <w:rPr>
          <w:rFonts w:ascii="宋体" w:hAnsi="宋体" w:eastAsia="宋体" w:cs="宋体"/>
          <w:color w:val="000000"/>
          <w:sz w:val="24"/>
          <w:szCs w:val="24"/>
          <w:highlight w:val="none"/>
          <w:lang w:val="en-US" w:eastAsia="en-US" w:bidi="ar-SA"/>
        </w:rPr>
      </w:r>
      <w:r/>
    </w:p>
    <w:p>
      <w:pPr>
        <w:pStyle w:val="1140"/>
        <w:ind w:left="493"/>
        <w:jc w:val="left"/>
        <w:spacing w:before="180"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3"/>
          <w:sz w:val="24"/>
          <w:szCs w:val="24"/>
          <w:highlight w:val="none"/>
          <w:lang w:val="en-US" w:eastAsia="en-US" w:bidi="ar-SA"/>
        </w:rPr>
        <w:t xml:space="preserve">发包人</w:t>
      </w:r>
      <w:r>
        <w:rPr>
          <w:rFonts w:ascii="宋体" w:hAnsi="宋体" w:eastAsia="宋体" w:cs="宋体"/>
          <w:color w:val="000000"/>
          <w:spacing w:val="-15"/>
          <w:sz w:val="24"/>
          <w:szCs w:val="24"/>
          <w:highlight w:val="none"/>
          <w:lang w:val="en-US" w:eastAsia="en-US" w:bidi="ar-SA"/>
        </w:rPr>
        <w:t xml:space="preserve">：（</w:t>
      </w:r>
      <w:r>
        <w:rPr>
          <w:rFonts w:ascii="宋体" w:hAnsi="宋体" w:eastAsia="宋体" w:cs="宋体"/>
          <w:color w:val="000000"/>
          <w:spacing w:val="3"/>
          <w:sz w:val="24"/>
          <w:szCs w:val="24"/>
          <w:highlight w:val="none"/>
          <w:lang w:val="en-US" w:eastAsia="en-US" w:bidi="ar-SA"/>
        </w:rPr>
        <w:t xml:space="preserve">公章）</w:t>
      </w:r>
      <w:r>
        <w:rPr>
          <w:rFonts w:ascii="宋体" w:hAnsi="宋体" w:eastAsia="宋体" w:cs="宋体"/>
          <w:color w:val="000000"/>
          <w:sz w:val="24"/>
          <w:szCs w:val="24"/>
          <w:highlight w:val="none"/>
          <w:lang w:val="en-US" w:eastAsia="en-US" w:bidi="ar-SA"/>
        </w:rPr>
        <w:t xml:space="preserve">              </w:t>
      </w:r>
      <w:r>
        <w:rPr>
          <w:rFonts w:ascii="宋体" w:hAnsi="宋体" w:eastAsia="宋体" w:cs="宋体"/>
          <w:color w:val="000000"/>
          <w:spacing w:val="3"/>
          <w:sz w:val="24"/>
          <w:szCs w:val="24"/>
          <w:highlight w:val="none"/>
          <w:lang w:val="en-US" w:eastAsia="en-US" w:bidi="ar-SA"/>
        </w:rPr>
        <w:t xml:space="preserve">承包人</w:t>
      </w:r>
      <w:r>
        <w:rPr>
          <w:rFonts w:ascii="宋体" w:hAnsi="宋体" w:eastAsia="宋体" w:cs="宋体"/>
          <w:color w:val="000000"/>
          <w:spacing w:val="-15"/>
          <w:sz w:val="24"/>
          <w:szCs w:val="24"/>
          <w:highlight w:val="none"/>
          <w:lang w:val="en-US" w:eastAsia="en-US" w:bidi="ar-SA"/>
        </w:rPr>
        <w:t xml:space="preserve">：（</w:t>
      </w:r>
      <w:r>
        <w:rPr>
          <w:rFonts w:ascii="宋体" w:hAnsi="宋体" w:eastAsia="宋体" w:cs="宋体"/>
          <w:color w:val="000000"/>
          <w:spacing w:val="3"/>
          <w:sz w:val="24"/>
          <w:szCs w:val="24"/>
          <w:highlight w:val="none"/>
          <w:lang w:val="en-US" w:eastAsia="en-US" w:bidi="ar-SA"/>
        </w:rPr>
        <w:t xml:space="preserve">公章）</w:t>
      </w:r>
      <w:r>
        <w:rPr>
          <w:rFonts w:ascii="宋体" w:hAnsi="宋体" w:eastAsia="宋体" w:cs="宋体"/>
          <w:color w:val="000000"/>
          <w:sz w:val="24"/>
          <w:szCs w:val="24"/>
          <w:highlight w:val="none"/>
          <w:lang w:val="en-US" w:eastAsia="en-US" w:bidi="ar-SA"/>
        </w:rPr>
      </w:r>
      <w:r/>
    </w:p>
    <w:p>
      <w:pPr>
        <w:pStyle w:val="1140"/>
        <w:jc w:val="left"/>
        <w:spacing w:line="285"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1140"/>
        <w:jc w:val="left"/>
        <w:spacing w:line="285"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1140"/>
        <w:ind w:left="490"/>
        <w:jc w:val="left"/>
        <w:spacing w:before="78"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法定代表人或其委托代理人：    法定代表人或其委托代理人：</w:t>
      </w:r>
      <w:r>
        <w:rPr>
          <w:rFonts w:ascii="宋体" w:hAnsi="宋体" w:eastAsia="宋体" w:cs="宋体"/>
          <w:color w:val="000000"/>
          <w:sz w:val="24"/>
          <w:szCs w:val="24"/>
          <w:highlight w:val="none"/>
          <w:lang w:val="en-US" w:eastAsia="en-US" w:bidi="ar-SA"/>
        </w:rPr>
      </w:r>
      <w:r/>
    </w:p>
    <w:p>
      <w:pPr>
        <w:pStyle w:val="1140"/>
        <w:ind w:left="500"/>
        <w:jc w:val="left"/>
        <w:spacing w:before="183"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2"/>
          <w:sz w:val="24"/>
          <w:szCs w:val="24"/>
          <w:highlight w:val="none"/>
          <w:lang w:val="en-US" w:eastAsia="en-US" w:bidi="ar-SA"/>
        </w:rPr>
        <w:t xml:space="preserve">（签字</w:t>
      </w:r>
      <w:r>
        <w:rPr>
          <w:rFonts w:ascii="宋体" w:hAnsi="宋体" w:eastAsia="宋体" w:cs="宋体"/>
          <w:color w:val="000000"/>
          <w:spacing w:val="-17"/>
          <w:sz w:val="24"/>
          <w:szCs w:val="24"/>
          <w:highlight w:val="none"/>
          <w:lang w:val="en-US" w:eastAsia="en-US" w:bidi="ar-SA"/>
        </w:rPr>
        <w:t xml:space="preserve">）</w:t>
      </w:r>
      <w:r>
        <w:rPr>
          <w:rFonts w:ascii="宋体" w:hAnsi="宋体" w:eastAsia="宋体" w:cs="宋体"/>
          <w:color w:val="000000"/>
          <w:spacing w:val="5"/>
          <w:sz w:val="24"/>
          <w:szCs w:val="24"/>
          <w:highlight w:val="none"/>
          <w:lang w:val="en-US" w:eastAsia="en-US" w:bidi="ar-SA"/>
        </w:rPr>
        <w:t xml:space="preserve">                     </w:t>
      </w:r>
      <w:r>
        <w:rPr>
          <w:rFonts w:ascii="宋体" w:hAnsi="宋体" w:eastAsia="宋体" w:cs="宋体"/>
          <w:color w:val="000000"/>
          <w:spacing w:val="-17"/>
          <w:sz w:val="24"/>
          <w:szCs w:val="24"/>
          <w:highlight w:val="none"/>
          <w:lang w:val="en-US" w:eastAsia="en-US" w:bidi="ar-SA"/>
        </w:rPr>
        <w:t xml:space="preserve">（</w:t>
      </w:r>
      <w:r>
        <w:rPr>
          <w:rFonts w:ascii="宋体" w:hAnsi="宋体" w:eastAsia="宋体" w:cs="宋体"/>
          <w:color w:val="000000"/>
          <w:spacing w:val="2"/>
          <w:sz w:val="24"/>
          <w:szCs w:val="24"/>
          <w:highlight w:val="none"/>
          <w:lang w:val="en-US" w:eastAsia="en-US" w:bidi="ar-SA"/>
        </w:rPr>
        <w:t xml:space="preserve">签字）</w:t>
      </w:r>
      <w:r>
        <w:rPr>
          <w:rFonts w:ascii="宋体" w:hAnsi="宋体" w:eastAsia="宋体" w:cs="宋体"/>
          <w:color w:val="000000"/>
          <w:sz w:val="24"/>
          <w:szCs w:val="24"/>
          <w:highlight w:val="none"/>
          <w:lang w:val="en-US" w:eastAsia="en-US" w:bidi="ar-SA"/>
        </w:rPr>
      </w:r>
      <w:r/>
    </w:p>
    <w:p>
      <w:pPr>
        <w:pStyle w:val="1140"/>
        <w:jc w:val="left"/>
        <w:spacing w:line="284"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1140"/>
        <w:jc w:val="left"/>
        <w:spacing w:line="284"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1140"/>
        <w:ind w:left="491"/>
        <w:jc w:val="left"/>
        <w:spacing w:before="78"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社会统一信用代码：</w:t>
      </w:r>
      <w:r>
        <w:rPr>
          <w:rFonts w:ascii="宋体" w:hAnsi="宋体" w:eastAsia="宋体" w:cs="宋体"/>
          <w:color w:val="000000"/>
          <w:spacing w:val="-1"/>
          <w:sz w:val="24"/>
          <w:szCs w:val="24"/>
          <w:highlight w:val="none"/>
          <w:u w:val="single"/>
          <w:lang w:val="en-US" w:eastAsia="en-US" w:bidi="ar-SA"/>
        </w:rPr>
        <w:t xml:space="preserve">          </w:t>
      </w:r>
      <w:r>
        <w:rPr>
          <w:rFonts w:ascii="宋体" w:hAnsi="宋体" w:eastAsia="宋体" w:cs="宋体"/>
          <w:color w:val="000000"/>
          <w:spacing w:val="-1"/>
          <w:sz w:val="24"/>
          <w:szCs w:val="24"/>
          <w:highlight w:val="none"/>
          <w:lang w:val="en-US" w:eastAsia="en-US" w:bidi="ar-SA"/>
        </w:rPr>
        <w:t xml:space="preserve">  社会统一信用代码：</w:t>
      </w:r>
      <w:r>
        <w:rPr>
          <w:rFonts w:ascii="宋体" w:hAnsi="宋体" w:eastAsia="宋体" w:cs="宋体"/>
          <w:color w:val="000000"/>
          <w:spacing w:val="1"/>
          <w:sz w:val="24"/>
          <w:szCs w:val="24"/>
          <w:highlight w:val="none"/>
          <w:u w:val="single"/>
          <w:lang w:val="en-US" w:eastAsia="en-US" w:bidi="ar-SA"/>
        </w:rPr>
        <w:t xml:space="preserve">              </w:t>
      </w:r>
      <w:r>
        <w:rPr>
          <w:rFonts w:ascii="宋体" w:hAnsi="宋体" w:eastAsia="宋体" w:cs="宋体"/>
          <w:color w:val="000000"/>
          <w:sz w:val="24"/>
          <w:szCs w:val="24"/>
          <w:highlight w:val="none"/>
          <w:lang w:val="en-US" w:eastAsia="en-US" w:bidi="ar-SA"/>
        </w:rPr>
      </w:r>
      <w:r/>
    </w:p>
    <w:p>
      <w:pPr>
        <w:pStyle w:val="1140"/>
        <w:ind w:left="489"/>
        <w:jc w:val="left"/>
        <w:spacing w:before="184" w:line="22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17"/>
          <w:sz w:val="24"/>
          <w:szCs w:val="24"/>
          <w:highlight w:val="none"/>
          <w:lang w:val="en-US" w:eastAsia="en-US" w:bidi="ar-SA"/>
        </w:rPr>
        <w:t xml:space="preserve">地</w:t>
      </w:r>
      <w:r>
        <w:rPr>
          <w:rFonts w:ascii="宋体" w:hAnsi="宋体" w:eastAsia="宋体" w:cs="宋体"/>
          <w:color w:val="000000"/>
          <w:spacing w:val="5"/>
          <w:sz w:val="24"/>
          <w:szCs w:val="24"/>
          <w:highlight w:val="none"/>
          <w:lang w:val="en-US" w:eastAsia="en-US" w:bidi="ar-SA"/>
        </w:rPr>
        <w:t xml:space="preserve">  </w:t>
      </w:r>
      <w:r>
        <w:rPr>
          <w:rFonts w:ascii="宋体" w:hAnsi="宋体" w:eastAsia="宋体" w:cs="宋体"/>
          <w:color w:val="000000"/>
          <w:spacing w:val="-17"/>
          <w:sz w:val="24"/>
          <w:szCs w:val="24"/>
          <w:highlight w:val="none"/>
          <w:lang w:val="en-US" w:eastAsia="en-US" w:bidi="ar-SA"/>
        </w:rPr>
        <w:t xml:space="preserve">址</w:t>
      </w:r>
      <w:r>
        <w:rPr>
          <w:rFonts w:ascii="宋体" w:hAnsi="宋体" w:eastAsia="宋体" w:cs="宋体"/>
          <w:color w:val="000000"/>
          <w:spacing w:val="-90"/>
          <w:sz w:val="24"/>
          <w:szCs w:val="24"/>
          <w:highlight w:val="none"/>
          <w:lang w:val="en-US" w:eastAsia="en-US" w:bidi="ar-SA"/>
        </w:rPr>
        <w:t xml:space="preserve"> </w:t>
      </w:r>
      <w:r>
        <w:rPr>
          <w:rFonts w:ascii="宋体" w:hAnsi="宋体" w:eastAsia="宋体" w:cs="宋体"/>
          <w:color w:val="000000"/>
          <w:spacing w:val="-17"/>
          <w:sz w:val="24"/>
          <w:szCs w:val="24"/>
          <w:highlight w:val="none"/>
          <w:lang w:val="en-US" w:eastAsia="en-US" w:bidi="ar-SA"/>
        </w:rPr>
        <w:t xml:space="preserve">：</w:t>
      </w:r>
      <w:r>
        <w:rPr>
          <w:rFonts w:ascii="宋体" w:hAnsi="宋体" w:eastAsia="宋体" w:cs="宋体"/>
          <w:color w:val="000000"/>
          <w:spacing w:val="6"/>
          <w:sz w:val="24"/>
          <w:szCs w:val="24"/>
          <w:highlight w:val="none"/>
          <w:u w:val="single"/>
          <w:lang w:val="en-US" w:eastAsia="en-US" w:bidi="ar-SA"/>
        </w:rPr>
        <w:t xml:space="preserve">                   </w:t>
      </w:r>
      <w:r>
        <w:rPr>
          <w:rFonts w:ascii="宋体" w:hAnsi="宋体" w:eastAsia="宋体" w:cs="宋体"/>
          <w:color w:val="000000"/>
          <w:spacing w:val="8"/>
          <w:sz w:val="24"/>
          <w:szCs w:val="24"/>
          <w:highlight w:val="none"/>
          <w:lang w:val="en-US" w:eastAsia="en-US" w:bidi="ar-SA"/>
        </w:rPr>
        <w:t xml:space="preserve">  </w:t>
      </w:r>
      <w:r>
        <w:rPr>
          <w:rFonts w:ascii="宋体" w:hAnsi="宋体" w:eastAsia="宋体" w:cs="宋体"/>
          <w:color w:val="000000"/>
          <w:spacing w:val="-17"/>
          <w:sz w:val="24"/>
          <w:szCs w:val="24"/>
          <w:highlight w:val="none"/>
          <w:lang w:val="en-US" w:eastAsia="en-US" w:bidi="ar-SA"/>
        </w:rPr>
        <w:t xml:space="preserve">地</w:t>
      </w:r>
      <w:r>
        <w:rPr>
          <w:rFonts w:ascii="宋体" w:hAnsi="宋体" w:eastAsia="宋体" w:cs="宋体"/>
          <w:color w:val="000000"/>
          <w:spacing w:val="5"/>
          <w:sz w:val="24"/>
          <w:szCs w:val="24"/>
          <w:highlight w:val="none"/>
          <w:lang w:val="en-US" w:eastAsia="en-US" w:bidi="ar-SA"/>
        </w:rPr>
        <w:t xml:space="preserve">  </w:t>
      </w:r>
      <w:r>
        <w:rPr>
          <w:rFonts w:ascii="宋体" w:hAnsi="宋体" w:eastAsia="宋体" w:cs="宋体"/>
          <w:color w:val="000000"/>
          <w:spacing w:val="-17"/>
          <w:sz w:val="24"/>
          <w:szCs w:val="24"/>
          <w:highlight w:val="none"/>
          <w:lang w:val="en-US" w:eastAsia="en-US" w:bidi="ar-SA"/>
        </w:rPr>
        <w:t xml:space="preserve">址</w:t>
      </w:r>
      <w:r>
        <w:rPr>
          <w:rFonts w:ascii="宋体" w:hAnsi="宋体" w:eastAsia="宋体" w:cs="宋体"/>
          <w:color w:val="000000"/>
          <w:spacing w:val="-90"/>
          <w:sz w:val="24"/>
          <w:szCs w:val="24"/>
          <w:highlight w:val="none"/>
          <w:lang w:val="en-US" w:eastAsia="en-US" w:bidi="ar-SA"/>
        </w:rPr>
        <w:t xml:space="preserve"> </w:t>
      </w:r>
      <w:r>
        <w:rPr>
          <w:rFonts w:ascii="宋体" w:hAnsi="宋体" w:eastAsia="宋体" w:cs="宋体"/>
          <w:color w:val="000000"/>
          <w:spacing w:val="-17"/>
          <w:sz w:val="24"/>
          <w:szCs w:val="24"/>
          <w:highlight w:val="none"/>
          <w:lang w:val="en-US" w:eastAsia="en-US" w:bidi="ar-SA"/>
        </w:rPr>
        <w:t xml:space="preserve">：</w:t>
      </w:r>
      <w:r>
        <w:rPr>
          <w:rFonts w:ascii="宋体" w:hAnsi="宋体" w:eastAsia="宋体" w:cs="宋体"/>
          <w:color w:val="000000"/>
          <w:sz w:val="24"/>
          <w:szCs w:val="24"/>
          <w:highlight w:val="none"/>
          <w:u w:val="single"/>
          <w:lang w:val="en-US" w:eastAsia="en-US" w:bidi="ar-SA"/>
        </w:rPr>
        <w:t xml:space="preserve">                      </w:t>
      </w:r>
      <w:r>
        <w:rPr>
          <w:rFonts w:ascii="宋体" w:hAnsi="宋体" w:eastAsia="宋体" w:cs="宋体"/>
          <w:color w:val="000000"/>
          <w:sz w:val="24"/>
          <w:szCs w:val="24"/>
          <w:highlight w:val="none"/>
          <w:lang w:val="en-US" w:eastAsia="en-US" w:bidi="ar-SA"/>
        </w:rPr>
      </w:r>
      <w:r/>
    </w:p>
    <w:p>
      <w:pPr>
        <w:pStyle w:val="1140"/>
        <w:ind w:left="506"/>
        <w:jc w:val="left"/>
        <w:spacing w:before="171"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6"/>
          <w:sz w:val="24"/>
          <w:szCs w:val="24"/>
          <w:highlight w:val="none"/>
          <w:lang w:val="en-US" w:eastAsia="en-US" w:bidi="ar-SA"/>
        </w:rPr>
        <w:t xml:space="preserve">邮政编码：</w:t>
      </w:r>
      <w:r>
        <w:rPr>
          <w:rFonts w:ascii="宋体" w:hAnsi="宋体" w:eastAsia="宋体" w:cs="宋体"/>
          <w:color w:val="000000"/>
          <w:sz w:val="24"/>
          <w:szCs w:val="24"/>
          <w:highlight w:val="none"/>
          <w:u w:val="single"/>
          <w:lang w:val="en-US" w:eastAsia="en-US" w:bidi="ar-SA"/>
        </w:rPr>
        <w:t xml:space="preserve">                  </w:t>
      </w:r>
      <w:r>
        <w:rPr>
          <w:rFonts w:ascii="宋体" w:hAnsi="宋体" w:eastAsia="宋体" w:cs="宋体"/>
          <w:color w:val="000000"/>
          <w:spacing w:val="15"/>
          <w:sz w:val="24"/>
          <w:szCs w:val="24"/>
          <w:highlight w:val="none"/>
          <w:lang w:val="en-US" w:eastAsia="en-US" w:bidi="ar-SA"/>
        </w:rPr>
        <w:t xml:space="preserve">  </w:t>
      </w:r>
      <w:r>
        <w:rPr>
          <w:rFonts w:ascii="宋体" w:hAnsi="宋体" w:eastAsia="宋体" w:cs="宋体"/>
          <w:color w:val="000000"/>
          <w:spacing w:val="-6"/>
          <w:sz w:val="24"/>
          <w:szCs w:val="24"/>
          <w:highlight w:val="none"/>
          <w:lang w:val="en-US" w:eastAsia="en-US" w:bidi="ar-SA"/>
        </w:rPr>
        <w:t xml:space="preserve">邮政编码：</w:t>
      </w:r>
      <w:r>
        <w:rPr>
          <w:rFonts w:ascii="宋体" w:hAnsi="宋体" w:eastAsia="宋体" w:cs="宋体"/>
          <w:color w:val="000000"/>
          <w:sz w:val="24"/>
          <w:szCs w:val="24"/>
          <w:highlight w:val="none"/>
          <w:u w:val="single"/>
          <w:lang w:val="en-US" w:eastAsia="en-US" w:bidi="ar-SA"/>
        </w:rPr>
        <w:t xml:space="preserve">                   </w:t>
      </w:r>
      <w:r>
        <w:rPr>
          <w:rFonts w:ascii="宋体" w:hAnsi="宋体" w:eastAsia="宋体" w:cs="宋体"/>
          <w:color w:val="000000"/>
          <w:sz w:val="24"/>
          <w:szCs w:val="24"/>
          <w:highlight w:val="none"/>
          <w:lang w:val="en-US" w:eastAsia="en-US" w:bidi="ar-SA"/>
        </w:rPr>
      </w:r>
      <w:r/>
    </w:p>
    <w:p>
      <w:pPr>
        <w:pStyle w:val="1140"/>
        <w:ind w:left="490"/>
        <w:jc w:val="left"/>
        <w:spacing w:before="183"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法定代表人：</w:t>
      </w:r>
      <w:r>
        <w:rPr>
          <w:rFonts w:ascii="宋体" w:hAnsi="宋体" w:eastAsia="宋体" w:cs="宋体"/>
          <w:color w:val="000000"/>
          <w:spacing w:val="-1"/>
          <w:sz w:val="24"/>
          <w:szCs w:val="24"/>
          <w:highlight w:val="none"/>
          <w:u w:val="single"/>
          <w:lang w:val="en-US" w:eastAsia="en-US" w:bidi="ar-SA"/>
        </w:rPr>
        <w:t xml:space="preserve">                </w:t>
      </w:r>
      <w:r>
        <w:rPr>
          <w:rFonts w:ascii="宋体" w:hAnsi="宋体" w:eastAsia="宋体" w:cs="宋体"/>
          <w:color w:val="000000"/>
          <w:spacing w:val="-1"/>
          <w:sz w:val="24"/>
          <w:szCs w:val="24"/>
          <w:highlight w:val="none"/>
          <w:lang w:val="en-US" w:eastAsia="en-US" w:bidi="ar-SA"/>
        </w:rPr>
        <w:t xml:space="preserve">  法定代表人：</w:t>
      </w:r>
      <w:r>
        <w:rPr>
          <w:rFonts w:ascii="宋体" w:hAnsi="宋体" w:eastAsia="宋体" w:cs="宋体"/>
          <w:color w:val="000000"/>
          <w:spacing w:val="1"/>
          <w:sz w:val="24"/>
          <w:szCs w:val="24"/>
          <w:highlight w:val="none"/>
          <w:u w:val="single"/>
          <w:lang w:val="en-US" w:eastAsia="en-US" w:bidi="ar-SA"/>
        </w:rPr>
        <w:t xml:space="preserve">                 </w:t>
      </w:r>
      <w:r>
        <w:rPr>
          <w:rFonts w:ascii="宋体" w:hAnsi="宋体" w:eastAsia="宋体" w:cs="宋体"/>
          <w:color w:val="000000"/>
          <w:sz w:val="24"/>
          <w:szCs w:val="24"/>
          <w:highlight w:val="none"/>
          <w:lang w:val="en-US" w:eastAsia="en-US" w:bidi="ar-SA"/>
        </w:rPr>
      </w:r>
      <w:r/>
    </w:p>
    <w:p>
      <w:pPr>
        <w:pStyle w:val="1140"/>
        <w:ind w:left="488"/>
        <w:jc w:val="left"/>
        <w:spacing w:before="184"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t xml:space="preserve">委托代理人：</w:t>
      </w:r>
      <w:r>
        <w:rPr>
          <w:rFonts w:ascii="宋体" w:hAnsi="宋体" w:eastAsia="宋体" w:cs="宋体"/>
          <w:color w:val="000000"/>
          <w:sz w:val="24"/>
          <w:szCs w:val="24"/>
          <w:highlight w:val="none"/>
          <w:u w:val="single"/>
          <w:lang w:val="en-US" w:eastAsia="en-US" w:bidi="ar-SA"/>
        </w:rPr>
        <w:t xml:space="preserve">             </w:t>
      </w:r>
      <w:r>
        <w:rPr>
          <w:rFonts w:ascii="宋体" w:hAnsi="宋体" w:eastAsia="宋体" w:cs="宋体"/>
          <w:color w:val="000000"/>
          <w:spacing w:val="-1"/>
          <w:sz w:val="24"/>
          <w:szCs w:val="24"/>
          <w:highlight w:val="none"/>
          <w:u w:val="single"/>
          <w:lang w:val="en-US" w:eastAsia="en-US" w:bidi="ar-SA"/>
        </w:rPr>
        <w:t xml:space="preserve">   </w:t>
      </w:r>
      <w:r>
        <w:rPr>
          <w:rFonts w:ascii="宋体" w:hAnsi="宋体" w:eastAsia="宋体" w:cs="宋体"/>
          <w:color w:val="000000"/>
          <w:spacing w:val="-1"/>
          <w:sz w:val="24"/>
          <w:szCs w:val="24"/>
          <w:highlight w:val="none"/>
          <w:lang w:val="en-US" w:eastAsia="en-US" w:bidi="ar-SA"/>
        </w:rPr>
        <w:t xml:space="preserve">  委托代理人：</w:t>
      </w:r>
      <w:r>
        <w:rPr>
          <w:rFonts w:ascii="宋体" w:hAnsi="宋体" w:eastAsia="宋体" w:cs="宋体"/>
          <w:color w:val="000000"/>
          <w:sz w:val="24"/>
          <w:szCs w:val="24"/>
          <w:highlight w:val="none"/>
          <w:u w:val="single"/>
          <w:lang w:val="en-US" w:eastAsia="en-US" w:bidi="ar-SA"/>
        </w:rPr>
        <w:t xml:space="preserve">                 </w:t>
      </w:r>
      <w:r>
        <w:rPr>
          <w:rFonts w:ascii="宋体" w:hAnsi="宋体" w:eastAsia="宋体" w:cs="宋体"/>
          <w:color w:val="000000"/>
          <w:sz w:val="24"/>
          <w:szCs w:val="24"/>
          <w:highlight w:val="none"/>
          <w:lang w:val="en-US" w:eastAsia="en-US" w:bidi="ar-SA"/>
        </w:rPr>
      </w:r>
      <w:r/>
    </w:p>
    <w:p>
      <w:pPr>
        <w:pStyle w:val="1140"/>
        <w:ind w:left="517"/>
        <w:jc w:val="left"/>
        <w:spacing w:before="183" w:line="221"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26"/>
          <w:sz w:val="24"/>
          <w:szCs w:val="24"/>
          <w:highlight w:val="none"/>
          <w:lang w:val="en-US" w:eastAsia="en-US" w:bidi="ar-SA"/>
        </w:rPr>
        <w:t xml:space="preserve">电</w:t>
      </w:r>
      <w:r>
        <w:rPr>
          <w:rFonts w:ascii="宋体" w:hAnsi="宋体" w:eastAsia="宋体" w:cs="宋体"/>
          <w:color w:val="000000"/>
          <w:spacing w:val="4"/>
          <w:sz w:val="24"/>
          <w:szCs w:val="24"/>
          <w:highlight w:val="none"/>
          <w:lang w:val="en-US" w:eastAsia="en-US" w:bidi="ar-SA"/>
        </w:rPr>
        <w:t xml:space="preserve">  </w:t>
      </w:r>
      <w:r>
        <w:rPr>
          <w:rFonts w:ascii="宋体" w:hAnsi="宋体" w:eastAsia="宋体" w:cs="宋体"/>
          <w:color w:val="000000"/>
          <w:spacing w:val="-26"/>
          <w:sz w:val="24"/>
          <w:szCs w:val="24"/>
          <w:highlight w:val="none"/>
          <w:lang w:val="en-US" w:eastAsia="en-US" w:bidi="ar-SA"/>
        </w:rPr>
        <w:t xml:space="preserve">话</w:t>
      </w:r>
      <w:r>
        <w:rPr>
          <w:rFonts w:ascii="宋体" w:hAnsi="宋体" w:eastAsia="宋体" w:cs="宋体"/>
          <w:color w:val="000000"/>
          <w:spacing w:val="-89"/>
          <w:sz w:val="24"/>
          <w:szCs w:val="24"/>
          <w:highlight w:val="none"/>
          <w:lang w:val="en-US" w:eastAsia="en-US" w:bidi="ar-SA"/>
        </w:rPr>
        <w:t xml:space="preserve"> </w:t>
      </w:r>
      <w:r>
        <w:rPr>
          <w:rFonts w:ascii="宋体" w:hAnsi="宋体" w:eastAsia="宋体" w:cs="宋体"/>
          <w:color w:val="000000"/>
          <w:spacing w:val="-26"/>
          <w:sz w:val="24"/>
          <w:szCs w:val="24"/>
          <w:highlight w:val="none"/>
          <w:lang w:val="en-US" w:eastAsia="en-US" w:bidi="ar-SA"/>
        </w:rPr>
        <w:t xml:space="preserve">：</w:t>
      </w:r>
      <w:r>
        <w:rPr>
          <w:rFonts w:ascii="宋体" w:hAnsi="宋体" w:eastAsia="宋体" w:cs="宋体"/>
          <w:color w:val="000000"/>
          <w:spacing w:val="6"/>
          <w:sz w:val="24"/>
          <w:szCs w:val="24"/>
          <w:highlight w:val="none"/>
          <w:u w:val="single"/>
          <w:lang w:val="en-US" w:eastAsia="en-US" w:bidi="ar-SA"/>
        </w:rPr>
        <w:t xml:space="preserve">                   </w:t>
      </w:r>
      <w:r>
        <w:rPr>
          <w:rFonts w:ascii="宋体" w:hAnsi="宋体" w:eastAsia="宋体" w:cs="宋体"/>
          <w:color w:val="000000"/>
          <w:spacing w:val="22"/>
          <w:sz w:val="24"/>
          <w:szCs w:val="24"/>
          <w:highlight w:val="none"/>
          <w:lang w:val="en-US" w:eastAsia="en-US" w:bidi="ar-SA"/>
        </w:rPr>
        <w:t xml:space="preserve">  </w:t>
      </w:r>
      <w:r>
        <w:rPr>
          <w:rFonts w:ascii="宋体" w:hAnsi="宋体" w:eastAsia="宋体" w:cs="宋体"/>
          <w:color w:val="000000"/>
          <w:spacing w:val="-26"/>
          <w:sz w:val="24"/>
          <w:szCs w:val="24"/>
          <w:highlight w:val="none"/>
          <w:lang w:val="en-US" w:eastAsia="en-US" w:bidi="ar-SA"/>
        </w:rPr>
        <w:t xml:space="preserve">电</w:t>
      </w:r>
      <w:r>
        <w:rPr>
          <w:rFonts w:ascii="宋体" w:hAnsi="宋体" w:eastAsia="宋体" w:cs="宋体"/>
          <w:color w:val="000000"/>
          <w:spacing w:val="4"/>
          <w:sz w:val="24"/>
          <w:szCs w:val="24"/>
          <w:highlight w:val="none"/>
          <w:lang w:val="en-US" w:eastAsia="en-US" w:bidi="ar-SA"/>
        </w:rPr>
        <w:t xml:space="preserve">  </w:t>
      </w:r>
      <w:r>
        <w:rPr>
          <w:rFonts w:ascii="宋体" w:hAnsi="宋体" w:eastAsia="宋体" w:cs="宋体"/>
          <w:color w:val="000000"/>
          <w:spacing w:val="-26"/>
          <w:sz w:val="24"/>
          <w:szCs w:val="24"/>
          <w:highlight w:val="none"/>
          <w:lang w:val="en-US" w:eastAsia="en-US" w:bidi="ar-SA"/>
        </w:rPr>
        <w:t xml:space="preserve">话</w:t>
      </w:r>
      <w:r>
        <w:rPr>
          <w:rFonts w:ascii="宋体" w:hAnsi="宋体" w:eastAsia="宋体" w:cs="宋体"/>
          <w:color w:val="000000"/>
          <w:spacing w:val="-89"/>
          <w:sz w:val="24"/>
          <w:szCs w:val="24"/>
          <w:highlight w:val="none"/>
          <w:lang w:val="en-US" w:eastAsia="en-US" w:bidi="ar-SA"/>
        </w:rPr>
        <w:t xml:space="preserve"> </w:t>
      </w:r>
      <w:r>
        <w:rPr>
          <w:rFonts w:ascii="宋体" w:hAnsi="宋体" w:eastAsia="宋体" w:cs="宋体"/>
          <w:color w:val="000000"/>
          <w:spacing w:val="-26"/>
          <w:sz w:val="24"/>
          <w:szCs w:val="24"/>
          <w:highlight w:val="none"/>
          <w:lang w:val="en-US" w:eastAsia="en-US" w:bidi="ar-SA"/>
        </w:rPr>
        <w:t xml:space="preserve">：</w:t>
      </w:r>
      <w:r>
        <w:rPr>
          <w:rFonts w:ascii="宋体" w:hAnsi="宋体" w:eastAsia="宋体" w:cs="宋体"/>
          <w:color w:val="000000"/>
          <w:sz w:val="24"/>
          <w:szCs w:val="24"/>
          <w:highlight w:val="none"/>
          <w:u w:val="single"/>
          <w:lang w:val="en-US" w:eastAsia="en-US" w:bidi="ar-SA"/>
        </w:rPr>
        <w:t xml:space="preserve">                     </w:t>
      </w:r>
      <w:r>
        <w:rPr>
          <w:rFonts w:ascii="宋体" w:hAnsi="宋体" w:eastAsia="宋体" w:cs="宋体"/>
          <w:color w:val="000000"/>
          <w:sz w:val="24"/>
          <w:szCs w:val="24"/>
          <w:highlight w:val="none"/>
          <w:lang w:val="en-US" w:eastAsia="en-US" w:bidi="ar-SA"/>
        </w:rPr>
      </w:r>
      <w:r/>
    </w:p>
    <w:p>
      <w:pPr>
        <w:pStyle w:val="1140"/>
        <w:ind w:left="487"/>
        <w:jc w:val="left"/>
        <w:spacing w:before="180"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17"/>
          <w:sz w:val="24"/>
          <w:szCs w:val="24"/>
          <w:highlight w:val="none"/>
          <w:lang w:val="en-US" w:eastAsia="en-US" w:bidi="ar-SA"/>
        </w:rPr>
        <w:t xml:space="preserve">传</w:t>
      </w:r>
      <w:r>
        <w:rPr>
          <w:rFonts w:ascii="宋体" w:hAnsi="宋体" w:eastAsia="宋体" w:cs="宋体"/>
          <w:color w:val="000000"/>
          <w:spacing w:val="6"/>
          <w:sz w:val="24"/>
          <w:szCs w:val="24"/>
          <w:highlight w:val="none"/>
          <w:lang w:val="en-US" w:eastAsia="en-US" w:bidi="ar-SA"/>
        </w:rPr>
        <w:t xml:space="preserve">  </w:t>
      </w:r>
      <w:r>
        <w:rPr>
          <w:rFonts w:ascii="宋体" w:hAnsi="宋体" w:eastAsia="宋体" w:cs="宋体"/>
          <w:color w:val="000000"/>
          <w:spacing w:val="-17"/>
          <w:sz w:val="24"/>
          <w:szCs w:val="24"/>
          <w:highlight w:val="none"/>
          <w:lang w:val="en-US" w:eastAsia="en-US" w:bidi="ar-SA"/>
        </w:rPr>
        <w:t xml:space="preserve">真</w:t>
      </w:r>
      <w:r>
        <w:rPr>
          <w:rFonts w:ascii="宋体" w:hAnsi="宋体" w:eastAsia="宋体" w:cs="宋体"/>
          <w:color w:val="000000"/>
          <w:spacing w:val="-90"/>
          <w:sz w:val="24"/>
          <w:szCs w:val="24"/>
          <w:highlight w:val="none"/>
          <w:lang w:val="en-US" w:eastAsia="en-US" w:bidi="ar-SA"/>
        </w:rPr>
        <w:t xml:space="preserve"> </w:t>
      </w:r>
      <w:r>
        <w:rPr>
          <w:rFonts w:ascii="宋体" w:hAnsi="宋体" w:eastAsia="宋体" w:cs="宋体"/>
          <w:color w:val="000000"/>
          <w:spacing w:val="-17"/>
          <w:sz w:val="24"/>
          <w:szCs w:val="24"/>
          <w:highlight w:val="none"/>
          <w:lang w:val="en-US" w:eastAsia="en-US" w:bidi="ar-SA"/>
        </w:rPr>
        <w:t xml:space="preserve">：</w:t>
      </w:r>
      <w:r>
        <w:rPr>
          <w:rFonts w:ascii="宋体" w:hAnsi="宋体" w:eastAsia="宋体" w:cs="宋体"/>
          <w:color w:val="000000"/>
          <w:spacing w:val="6"/>
          <w:sz w:val="24"/>
          <w:szCs w:val="24"/>
          <w:highlight w:val="none"/>
          <w:u w:val="single"/>
          <w:lang w:val="en-US" w:eastAsia="en-US" w:bidi="ar-SA"/>
        </w:rPr>
        <w:t xml:space="preserve">                   </w:t>
      </w:r>
      <w:r>
        <w:rPr>
          <w:rFonts w:ascii="宋体" w:hAnsi="宋体" w:eastAsia="宋体" w:cs="宋体"/>
          <w:color w:val="000000"/>
          <w:spacing w:val="7"/>
          <w:sz w:val="24"/>
          <w:szCs w:val="24"/>
          <w:highlight w:val="none"/>
          <w:lang w:val="en-US" w:eastAsia="en-US" w:bidi="ar-SA"/>
        </w:rPr>
        <w:t xml:space="preserve">  </w:t>
      </w:r>
      <w:r>
        <w:rPr>
          <w:rFonts w:ascii="宋体" w:hAnsi="宋体" w:eastAsia="宋体" w:cs="宋体"/>
          <w:color w:val="000000"/>
          <w:spacing w:val="-17"/>
          <w:sz w:val="24"/>
          <w:szCs w:val="24"/>
          <w:highlight w:val="none"/>
          <w:lang w:val="en-US" w:eastAsia="en-US" w:bidi="ar-SA"/>
        </w:rPr>
        <w:t xml:space="preserve">传</w:t>
      </w:r>
      <w:r>
        <w:rPr>
          <w:rFonts w:ascii="宋体" w:hAnsi="宋体" w:eastAsia="宋体" w:cs="宋体"/>
          <w:color w:val="000000"/>
          <w:spacing w:val="6"/>
          <w:sz w:val="24"/>
          <w:szCs w:val="24"/>
          <w:highlight w:val="none"/>
          <w:lang w:val="en-US" w:eastAsia="en-US" w:bidi="ar-SA"/>
        </w:rPr>
        <w:t xml:space="preserve">  </w:t>
      </w:r>
      <w:r>
        <w:rPr>
          <w:rFonts w:ascii="宋体" w:hAnsi="宋体" w:eastAsia="宋体" w:cs="宋体"/>
          <w:color w:val="000000"/>
          <w:spacing w:val="-17"/>
          <w:sz w:val="24"/>
          <w:szCs w:val="24"/>
          <w:highlight w:val="none"/>
          <w:lang w:val="en-US" w:eastAsia="en-US" w:bidi="ar-SA"/>
        </w:rPr>
        <w:t xml:space="preserve">真</w:t>
      </w:r>
      <w:r>
        <w:rPr>
          <w:rFonts w:ascii="宋体" w:hAnsi="宋体" w:eastAsia="宋体" w:cs="宋体"/>
          <w:color w:val="000000"/>
          <w:spacing w:val="-90"/>
          <w:sz w:val="24"/>
          <w:szCs w:val="24"/>
          <w:highlight w:val="none"/>
          <w:lang w:val="en-US" w:eastAsia="en-US" w:bidi="ar-SA"/>
        </w:rPr>
        <w:t xml:space="preserve"> </w:t>
      </w:r>
      <w:r>
        <w:rPr>
          <w:rFonts w:ascii="宋体" w:hAnsi="宋体" w:eastAsia="宋体" w:cs="宋体"/>
          <w:color w:val="000000"/>
          <w:spacing w:val="-17"/>
          <w:sz w:val="24"/>
          <w:szCs w:val="24"/>
          <w:highlight w:val="none"/>
          <w:lang w:val="en-US" w:eastAsia="en-US" w:bidi="ar-SA"/>
        </w:rPr>
        <w:t xml:space="preserve">：</w:t>
      </w:r>
      <w:r>
        <w:rPr>
          <w:rFonts w:ascii="宋体" w:hAnsi="宋体" w:eastAsia="宋体" w:cs="宋体"/>
          <w:color w:val="000000"/>
          <w:sz w:val="24"/>
          <w:szCs w:val="24"/>
          <w:highlight w:val="none"/>
          <w:u w:val="single"/>
          <w:lang w:val="en-US" w:eastAsia="en-US" w:bidi="ar-SA"/>
        </w:rPr>
        <w:t xml:space="preserve">                     </w:t>
      </w:r>
      <w:r>
        <w:rPr>
          <w:rFonts w:ascii="宋体" w:hAnsi="宋体" w:eastAsia="宋体" w:cs="宋体"/>
          <w:color w:val="000000"/>
          <w:sz w:val="24"/>
          <w:szCs w:val="24"/>
          <w:highlight w:val="none"/>
          <w:lang w:val="en-US" w:eastAsia="en-US" w:bidi="ar-SA"/>
        </w:rPr>
      </w:r>
      <w:r/>
    </w:p>
    <w:p>
      <w:pPr>
        <w:pStyle w:val="1140"/>
        <w:ind w:left="517"/>
        <w:jc w:val="left"/>
        <w:spacing w:before="184"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8"/>
          <w:sz w:val="24"/>
          <w:szCs w:val="24"/>
          <w:highlight w:val="none"/>
          <w:lang w:val="en-US" w:eastAsia="en-US" w:bidi="ar-SA"/>
        </w:rPr>
        <w:t xml:space="preserve">电子信箱：</w:t>
      </w:r>
      <w:r>
        <w:rPr>
          <w:rFonts w:ascii="宋体" w:hAnsi="宋体" w:eastAsia="宋体" w:cs="宋体"/>
          <w:color w:val="000000"/>
          <w:sz w:val="24"/>
          <w:szCs w:val="24"/>
          <w:highlight w:val="none"/>
          <w:u w:val="single"/>
          <w:lang w:val="en-US" w:eastAsia="en-US" w:bidi="ar-SA"/>
        </w:rPr>
        <w:t xml:space="preserve">                  </w:t>
      </w:r>
      <w:r>
        <w:rPr>
          <w:rFonts w:ascii="宋体" w:hAnsi="宋体" w:eastAsia="宋体" w:cs="宋体"/>
          <w:color w:val="000000"/>
          <w:spacing w:val="20"/>
          <w:sz w:val="24"/>
          <w:szCs w:val="24"/>
          <w:highlight w:val="none"/>
          <w:lang w:val="en-US" w:eastAsia="en-US" w:bidi="ar-SA"/>
        </w:rPr>
        <w:t xml:space="preserve">  </w:t>
      </w:r>
      <w:r>
        <w:rPr>
          <w:rFonts w:ascii="宋体" w:hAnsi="宋体" w:eastAsia="宋体" w:cs="宋体"/>
          <w:color w:val="000000"/>
          <w:spacing w:val="-8"/>
          <w:sz w:val="24"/>
          <w:szCs w:val="24"/>
          <w:highlight w:val="none"/>
          <w:lang w:val="en-US" w:eastAsia="en-US" w:bidi="ar-SA"/>
        </w:rPr>
        <w:t xml:space="preserve">电子信箱：</w:t>
      </w:r>
      <w:r>
        <w:rPr>
          <w:rFonts w:ascii="宋体" w:hAnsi="宋体" w:eastAsia="宋体" w:cs="宋体"/>
          <w:color w:val="000000"/>
          <w:sz w:val="24"/>
          <w:szCs w:val="24"/>
          <w:highlight w:val="none"/>
          <w:u w:val="single"/>
          <w:lang w:val="en-US" w:eastAsia="en-US" w:bidi="ar-SA"/>
        </w:rPr>
        <w:t xml:space="preserve">                   </w:t>
      </w:r>
      <w:r>
        <w:rPr>
          <w:rFonts w:ascii="宋体" w:hAnsi="宋体" w:eastAsia="宋体" w:cs="宋体"/>
          <w:color w:val="000000"/>
          <w:sz w:val="24"/>
          <w:szCs w:val="24"/>
          <w:highlight w:val="none"/>
          <w:lang w:val="en-US" w:eastAsia="en-US" w:bidi="ar-SA"/>
        </w:rPr>
      </w:r>
      <w:r/>
    </w:p>
    <w:p>
      <w:pPr>
        <w:pStyle w:val="1140"/>
        <w:ind w:left="490"/>
        <w:jc w:val="left"/>
        <w:spacing w:before="183" w:line="220"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1"/>
          <w:sz w:val="24"/>
          <w:szCs w:val="24"/>
          <w:highlight w:val="none"/>
          <w:lang w:val="en-US" w:eastAsia="en-US" w:bidi="ar-SA"/>
        </w:rPr>
        <w:t xml:space="preserve">开户银行：</w:t>
      </w:r>
      <w:r>
        <w:rPr>
          <w:rFonts w:ascii="宋体" w:hAnsi="宋体" w:eastAsia="宋体" w:cs="宋体"/>
          <w:color w:val="000000"/>
          <w:spacing w:val="-1"/>
          <w:sz w:val="24"/>
          <w:szCs w:val="24"/>
          <w:highlight w:val="none"/>
          <w:u w:val="single"/>
          <w:lang w:val="en-US" w:eastAsia="en-US" w:bidi="ar-SA"/>
        </w:rPr>
        <w:t xml:space="preserve">                  </w:t>
      </w:r>
      <w:r>
        <w:rPr>
          <w:rFonts w:ascii="宋体" w:hAnsi="宋体" w:eastAsia="宋体" w:cs="宋体"/>
          <w:color w:val="000000"/>
          <w:spacing w:val="-1"/>
          <w:sz w:val="24"/>
          <w:szCs w:val="24"/>
          <w:highlight w:val="none"/>
          <w:lang w:val="en-US" w:eastAsia="en-US" w:bidi="ar-SA"/>
        </w:rPr>
        <w:t xml:space="preserve">  开户银行：</w:t>
      </w:r>
      <w:r>
        <w:rPr>
          <w:rFonts w:ascii="宋体" w:hAnsi="宋体" w:eastAsia="宋体" w:cs="宋体"/>
          <w:color w:val="000000"/>
          <w:sz w:val="24"/>
          <w:szCs w:val="24"/>
          <w:highlight w:val="none"/>
          <w:u w:val="single"/>
          <w:lang w:val="en-US" w:eastAsia="en-US" w:bidi="ar-SA"/>
        </w:rPr>
        <w:t xml:space="preserve">                   </w:t>
      </w:r>
      <w:r>
        <w:rPr>
          <w:rFonts w:ascii="宋体" w:hAnsi="宋体" w:eastAsia="宋体" w:cs="宋体"/>
          <w:color w:val="000000"/>
          <w:sz w:val="24"/>
          <w:szCs w:val="24"/>
          <w:highlight w:val="none"/>
          <w:lang w:val="en-US" w:eastAsia="en-US" w:bidi="ar-SA"/>
        </w:rPr>
      </w:r>
      <w:r/>
    </w:p>
    <w:p>
      <w:pPr>
        <w:pStyle w:val="1140"/>
        <w:ind w:left="493"/>
        <w:jc w:val="left"/>
        <w:spacing w:before="181" w:line="221"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13"/>
          <w:sz w:val="24"/>
          <w:szCs w:val="24"/>
          <w:highlight w:val="none"/>
          <w:lang w:val="en-US" w:eastAsia="en-US" w:bidi="ar-SA"/>
        </w:rPr>
        <w:t xml:space="preserve">账</w:t>
      </w:r>
      <w:r>
        <w:rPr>
          <w:rFonts w:ascii="宋体" w:hAnsi="宋体" w:eastAsia="宋体" w:cs="宋体"/>
          <w:color w:val="000000"/>
          <w:spacing w:val="16"/>
          <w:sz w:val="24"/>
          <w:szCs w:val="24"/>
          <w:highlight w:val="none"/>
          <w:lang w:val="en-US" w:eastAsia="en-US" w:bidi="ar-SA"/>
        </w:rPr>
        <w:t xml:space="preserve">  </w:t>
      </w:r>
      <w:r>
        <w:rPr>
          <w:rFonts w:ascii="宋体" w:hAnsi="宋体" w:eastAsia="宋体" w:cs="宋体"/>
          <w:color w:val="000000"/>
          <w:spacing w:val="-13"/>
          <w:sz w:val="24"/>
          <w:szCs w:val="24"/>
          <w:highlight w:val="none"/>
          <w:lang w:val="en-US" w:eastAsia="en-US" w:bidi="ar-SA"/>
        </w:rPr>
        <w:t xml:space="preserve">号</w:t>
      </w:r>
      <w:r>
        <w:rPr>
          <w:rFonts w:ascii="宋体" w:hAnsi="宋体" w:eastAsia="宋体" w:cs="宋体"/>
          <w:color w:val="000000"/>
          <w:spacing w:val="-90"/>
          <w:sz w:val="24"/>
          <w:szCs w:val="24"/>
          <w:highlight w:val="none"/>
          <w:lang w:val="en-US" w:eastAsia="en-US" w:bidi="ar-SA"/>
        </w:rPr>
        <w:t xml:space="preserve"> </w:t>
      </w:r>
      <w:r>
        <w:rPr>
          <w:rFonts w:ascii="宋体" w:hAnsi="宋体" w:eastAsia="宋体" w:cs="宋体"/>
          <w:color w:val="000000"/>
          <w:spacing w:val="-13"/>
          <w:sz w:val="24"/>
          <w:szCs w:val="24"/>
          <w:highlight w:val="none"/>
          <w:lang w:val="en-US" w:eastAsia="en-US" w:bidi="ar-SA"/>
        </w:rPr>
        <w:t xml:space="preserve">：</w:t>
      </w:r>
      <w:r>
        <w:rPr>
          <w:rFonts w:ascii="宋体" w:hAnsi="宋体" w:eastAsia="宋体" w:cs="宋体"/>
          <w:color w:val="000000"/>
          <w:spacing w:val="6"/>
          <w:sz w:val="24"/>
          <w:szCs w:val="24"/>
          <w:highlight w:val="none"/>
          <w:u w:val="single"/>
          <w:lang w:val="en-US" w:eastAsia="en-US" w:bidi="ar-SA"/>
        </w:rPr>
        <w:t xml:space="preserve">                   </w:t>
      </w:r>
      <w:r>
        <w:rPr>
          <w:rFonts w:ascii="宋体" w:hAnsi="宋体" w:eastAsia="宋体" w:cs="宋体"/>
          <w:color w:val="000000"/>
          <w:spacing w:val="10"/>
          <w:sz w:val="24"/>
          <w:szCs w:val="24"/>
          <w:highlight w:val="none"/>
          <w:lang w:val="en-US" w:eastAsia="en-US" w:bidi="ar-SA"/>
        </w:rPr>
        <w:t xml:space="preserve">  </w:t>
      </w:r>
      <w:r>
        <w:rPr>
          <w:rFonts w:ascii="宋体" w:hAnsi="宋体" w:eastAsia="宋体" w:cs="宋体"/>
          <w:color w:val="000000"/>
          <w:spacing w:val="-13"/>
          <w:sz w:val="24"/>
          <w:szCs w:val="24"/>
          <w:highlight w:val="none"/>
          <w:lang w:val="en-US" w:eastAsia="en-US" w:bidi="ar-SA"/>
        </w:rPr>
        <w:t xml:space="preserve">账</w:t>
      </w:r>
      <w:r>
        <w:rPr>
          <w:rFonts w:ascii="宋体" w:hAnsi="宋体" w:eastAsia="宋体" w:cs="宋体"/>
          <w:color w:val="000000"/>
          <w:spacing w:val="7"/>
          <w:sz w:val="24"/>
          <w:szCs w:val="24"/>
          <w:highlight w:val="none"/>
          <w:lang w:val="en-US" w:eastAsia="en-US" w:bidi="ar-SA"/>
        </w:rPr>
        <w:t xml:space="preserve">  </w:t>
      </w:r>
      <w:r>
        <w:rPr>
          <w:rFonts w:ascii="宋体" w:hAnsi="宋体" w:eastAsia="宋体" w:cs="宋体"/>
          <w:color w:val="000000"/>
          <w:spacing w:val="-13"/>
          <w:sz w:val="24"/>
          <w:szCs w:val="24"/>
          <w:highlight w:val="none"/>
          <w:lang w:val="en-US" w:eastAsia="en-US" w:bidi="ar-SA"/>
        </w:rPr>
        <w:t xml:space="preserve">号</w:t>
      </w:r>
      <w:r>
        <w:rPr>
          <w:rFonts w:ascii="宋体" w:hAnsi="宋体" w:eastAsia="宋体" w:cs="宋体"/>
          <w:color w:val="000000"/>
          <w:spacing w:val="-89"/>
          <w:sz w:val="24"/>
          <w:szCs w:val="24"/>
          <w:highlight w:val="none"/>
          <w:lang w:val="en-US" w:eastAsia="en-US" w:bidi="ar-SA"/>
        </w:rPr>
        <w:t xml:space="preserve"> </w:t>
      </w:r>
      <w:r>
        <w:rPr>
          <w:rFonts w:ascii="宋体" w:hAnsi="宋体" w:eastAsia="宋体" w:cs="宋体"/>
          <w:color w:val="000000"/>
          <w:spacing w:val="-13"/>
          <w:sz w:val="24"/>
          <w:szCs w:val="24"/>
          <w:highlight w:val="none"/>
          <w:lang w:val="en-US" w:eastAsia="en-US" w:bidi="ar-SA"/>
        </w:rPr>
        <w:t xml:space="preserve">：</w:t>
      </w:r>
      <w:r>
        <w:rPr>
          <w:rFonts w:ascii="宋体" w:hAnsi="宋体" w:eastAsia="宋体" w:cs="宋体"/>
          <w:color w:val="000000"/>
          <w:spacing w:val="-13"/>
          <w:sz w:val="24"/>
          <w:szCs w:val="24"/>
          <w:highlight w:val="none"/>
          <w:u w:val="single"/>
          <w:lang w:val="en-US" w:eastAsia="en-US" w:bidi="ar-SA"/>
        </w:rPr>
        <w:t xml:space="preserve">                       </w:t>
      </w:r>
      <w:r>
        <w:rPr>
          <w:rFonts w:ascii="宋体" w:hAnsi="宋体" w:eastAsia="宋体" w:cs="宋体"/>
          <w:color w:val="000000"/>
          <w:sz w:val="24"/>
          <w:szCs w:val="24"/>
          <w:highlight w:val="none"/>
          <w:lang w:val="en-US" w:eastAsia="en-US" w:bidi="ar-SA"/>
        </w:rPr>
      </w:r>
      <w:r/>
    </w:p>
    <w:p>
      <w:pPr>
        <w:pStyle w:val="1140"/>
        <w:spacing w:line="221" w:lineRule="auto"/>
        <w:rPr>
          <w:sz w:val="24"/>
          <w:szCs w:val="24"/>
          <w:highlight w:val="none"/>
        </w:rPr>
        <w:sectPr>
          <w:headerReference w:type="default" r:id="rId11"/>
          <w:footerReference w:type="default" r:id="rId22"/>
          <w:footnotePr/>
          <w:endnotePr/>
          <w:type w:val="nextPage"/>
          <w:pgSz w:w="11906" w:h="16839" w:orient="portrait"/>
          <w:pgMar w:top="1134" w:right="1756" w:bottom="1157" w:left="1757" w:header="862" w:footer="992" w:gutter="0"/>
          <w:cols w:num="1" w:sep="0" w:space="1701" w:equalWidth="1"/>
          <w:docGrid w:linePitch="360"/>
        </w:sectPr>
      </w:pPr>
      <w:r>
        <w:rPr>
          <w:sz w:val="24"/>
          <w:szCs w:val="24"/>
          <w:highlight w:val="none"/>
        </w:rPr>
      </w:r>
      <w:r/>
    </w:p>
    <w:p>
      <w:pPr>
        <w:pStyle w:val="1140"/>
        <w:jc w:val="left"/>
        <w:spacing w:line="288"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1140"/>
        <w:jc w:val="left"/>
        <w:spacing w:line="289"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1140"/>
        <w:ind w:left="115"/>
        <w:jc w:val="left"/>
        <w:spacing w:before="78" w:line="219" w:lineRule="auto"/>
        <w:rPr>
          <w:rFonts w:ascii="宋体" w:hAnsi="宋体" w:eastAsia="宋体" w:cs="宋体"/>
          <w:color w:val="000000"/>
          <w:sz w:val="24"/>
          <w:szCs w:val="24"/>
          <w:highlight w:val="none"/>
          <w:lang w:val="en-US" w:eastAsia="en-US" w:bidi="ar-SA"/>
        </w:rPr>
        <w:outlineLvl w:val="1"/>
      </w:pPr>
      <w:r>
        <w:rPr>
          <w:rFonts w:ascii="宋体" w:hAnsi="宋体" w:eastAsia="宋体" w:cs="宋体"/>
          <w:color w:val="000000"/>
          <w:spacing w:val="-10"/>
          <w:sz w:val="24"/>
          <w:szCs w:val="24"/>
          <w:highlight w:val="none"/>
          <w:lang w:val="en-US" w:eastAsia="en-US" w:bidi="ar-SA"/>
        </w:rPr>
        <w:t xml:space="preserve">附件：</w:t>
      </w:r>
      <w:r>
        <w:rPr>
          <w:rFonts w:ascii="宋体" w:hAnsi="宋体" w:eastAsia="宋体" w:cs="宋体"/>
          <w:color w:val="000000"/>
          <w:sz w:val="24"/>
          <w:szCs w:val="24"/>
          <w:highlight w:val="none"/>
          <w:lang w:val="en-US" w:eastAsia="en-US" w:bidi="ar-SA"/>
        </w:rPr>
      </w:r>
      <w:r/>
    </w:p>
    <w:p>
      <w:pPr>
        <w:pStyle w:val="1140"/>
        <w:ind w:left="5936"/>
        <w:jc w:val="left"/>
        <w:spacing w:before="35" w:line="222" w:lineRule="auto"/>
        <w:widowControl/>
        <w:rPr>
          <w:rFonts w:ascii="黑体" w:hAnsi="黑体" w:eastAsia="黑体" w:cs="黑体"/>
          <w:color w:val="000000"/>
          <w:sz w:val="30"/>
          <w:szCs w:val="30"/>
          <w:highlight w:val="none"/>
          <w:lang w:eastAsia="en-US"/>
        </w:rPr>
        <w:outlineLvl w:val="1"/>
      </w:pPr>
      <w:r>
        <w:rPr>
          <w:rFonts w:ascii="黑体" w:hAnsi="黑体" w:eastAsia="黑体" w:cs="黑体"/>
          <w:color w:val="000000"/>
          <w:spacing w:val="-2"/>
          <w:sz w:val="30"/>
          <w:szCs w:val="30"/>
          <w:highlight w:val="none"/>
          <w:lang w:eastAsia="en-US"/>
        </w:rPr>
        <w:t xml:space="preserve">现状苗木一览表</w:t>
      </w:r>
      <w:r>
        <w:rPr>
          <w:rFonts w:ascii="黑体" w:hAnsi="黑体" w:eastAsia="黑体" w:cs="黑体"/>
          <w:color w:val="000000"/>
          <w:sz w:val="30"/>
          <w:szCs w:val="30"/>
          <w:highlight w:val="none"/>
          <w:lang w:eastAsia="en-US"/>
        </w:rPr>
      </w:r>
      <w:r/>
    </w:p>
    <w:p>
      <w:pPr>
        <w:pStyle w:val="1140"/>
        <w:jc w:val="left"/>
        <w:spacing w:line="198" w:lineRule="exact"/>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r>
      <w:r/>
    </w:p>
    <w:tbl>
      <w:tblPr>
        <w:tblStyle w:val="1389"/>
        <w:tblW w:w="1406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54"/>
        <w:gridCol w:w="1606"/>
        <w:gridCol w:w="1057"/>
        <w:gridCol w:w="1218"/>
        <w:gridCol w:w="3597"/>
        <w:gridCol w:w="1987"/>
        <w:gridCol w:w="2194"/>
        <w:gridCol w:w="1048"/>
      </w:tblGrid>
      <w:tr>
        <w:trPr>
          <w:trHeight w:val="851"/>
        </w:trPr>
        <w:tc>
          <w:tcPr>
            <w:tcW w:w="1354" w:type="dxa"/>
            <w:vAlign w:val="top"/>
            <w:textDirection w:val="lrTb"/>
            <w:noWrap w:val="false"/>
          </w:tcPr>
          <w:p>
            <w:pPr>
              <w:pStyle w:val="1140"/>
              <w:jc w:val="center"/>
              <w:spacing w:line="333"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1140"/>
              <w:ind w:left="90"/>
              <w:jc w:val="center"/>
              <w:spacing w:before="78" w:line="220"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3"/>
                <w:sz w:val="24"/>
                <w:szCs w:val="24"/>
                <w:highlight w:val="none"/>
                <w:lang w:val="en-US" w:eastAsia="en-US" w:bidi="ar-SA"/>
              </w:rPr>
              <w:t xml:space="preserve">苗木名称</w:t>
            </w:r>
            <w:r>
              <w:rPr>
                <w:rFonts w:ascii="宋体" w:hAnsi="宋体" w:eastAsia="宋体" w:cs="宋体"/>
                <w:color w:val="000000"/>
                <w:sz w:val="24"/>
                <w:szCs w:val="24"/>
                <w:highlight w:val="none"/>
                <w:lang w:val="en-US" w:eastAsia="en-US" w:bidi="ar-SA"/>
              </w:rPr>
            </w:r>
            <w:r/>
          </w:p>
        </w:tc>
        <w:tc>
          <w:tcPr>
            <w:tcW w:w="1606" w:type="dxa"/>
            <w:vAlign w:val="top"/>
            <w:textDirection w:val="lrTb"/>
            <w:noWrap w:val="false"/>
          </w:tcPr>
          <w:p>
            <w:pPr>
              <w:pStyle w:val="1140"/>
              <w:jc w:val="center"/>
              <w:spacing w:line="334"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1140"/>
              <w:ind w:left="89"/>
              <w:jc w:val="center"/>
              <w:spacing w:before="78"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6"/>
                <w:sz w:val="24"/>
                <w:szCs w:val="24"/>
                <w:highlight w:val="none"/>
                <w:lang w:val="en-US" w:eastAsia="en-US" w:bidi="ar-SA"/>
              </w:rPr>
              <w:t xml:space="preserve">规格</w:t>
            </w:r>
            <w:r>
              <w:rPr>
                <w:rFonts w:ascii="宋体" w:hAnsi="宋体" w:eastAsia="宋体" w:cs="宋体"/>
                <w:color w:val="000000"/>
                <w:sz w:val="24"/>
                <w:szCs w:val="24"/>
                <w:highlight w:val="none"/>
                <w:lang w:val="en-US" w:eastAsia="en-US" w:bidi="ar-SA"/>
              </w:rPr>
            </w:r>
            <w:r/>
          </w:p>
        </w:tc>
        <w:tc>
          <w:tcPr>
            <w:tcW w:w="1057" w:type="dxa"/>
            <w:vAlign w:val="top"/>
            <w:textDirection w:val="lrTb"/>
            <w:noWrap w:val="false"/>
          </w:tcPr>
          <w:p>
            <w:pPr>
              <w:pStyle w:val="1140"/>
              <w:jc w:val="center"/>
              <w:spacing w:line="334"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1140"/>
              <w:ind w:left="92"/>
              <w:jc w:val="center"/>
              <w:spacing w:before="78"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6"/>
                <w:sz w:val="24"/>
                <w:szCs w:val="24"/>
                <w:highlight w:val="none"/>
                <w:lang w:val="en-US" w:eastAsia="en-US" w:bidi="ar-SA"/>
              </w:rPr>
              <w:t xml:space="preserve">数量</w:t>
            </w:r>
            <w:r>
              <w:rPr>
                <w:rFonts w:ascii="宋体" w:hAnsi="宋体" w:eastAsia="宋体" w:cs="宋体"/>
                <w:color w:val="000000"/>
                <w:sz w:val="24"/>
                <w:szCs w:val="24"/>
                <w:highlight w:val="none"/>
                <w:lang w:val="en-US" w:eastAsia="en-US" w:bidi="ar-SA"/>
              </w:rPr>
            </w:r>
            <w:r/>
          </w:p>
        </w:tc>
        <w:tc>
          <w:tcPr>
            <w:tcW w:w="1218" w:type="dxa"/>
            <w:vAlign w:val="top"/>
            <w:textDirection w:val="lrTb"/>
            <w:noWrap w:val="false"/>
          </w:tcPr>
          <w:p>
            <w:pPr>
              <w:pStyle w:val="1140"/>
              <w:jc w:val="center"/>
              <w:spacing w:line="333"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1140"/>
              <w:ind w:left="94"/>
              <w:jc w:val="center"/>
              <w:spacing w:before="78" w:line="220"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6"/>
                <w:sz w:val="24"/>
                <w:szCs w:val="24"/>
                <w:highlight w:val="none"/>
                <w:lang w:val="en-US" w:eastAsia="en-US" w:bidi="ar-SA"/>
              </w:rPr>
              <w:t xml:space="preserve">单位</w:t>
            </w:r>
            <w:r>
              <w:rPr>
                <w:rFonts w:ascii="宋体" w:hAnsi="宋体" w:eastAsia="宋体" w:cs="宋体"/>
                <w:color w:val="000000"/>
                <w:sz w:val="24"/>
                <w:szCs w:val="24"/>
                <w:highlight w:val="none"/>
                <w:lang w:val="en-US" w:eastAsia="en-US" w:bidi="ar-SA"/>
              </w:rPr>
            </w:r>
            <w:r/>
          </w:p>
        </w:tc>
        <w:tc>
          <w:tcPr>
            <w:tcW w:w="3597" w:type="dxa"/>
            <w:vAlign w:val="top"/>
            <w:textDirection w:val="lrTb"/>
            <w:noWrap w:val="false"/>
          </w:tcPr>
          <w:p>
            <w:pPr>
              <w:pStyle w:val="1140"/>
              <w:jc w:val="center"/>
              <w:spacing w:line="333"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1140"/>
              <w:ind w:left="97"/>
              <w:jc w:val="center"/>
              <w:spacing w:before="78" w:line="220"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3"/>
                <w:sz w:val="24"/>
                <w:szCs w:val="24"/>
                <w:highlight w:val="none"/>
                <w:lang w:val="en-US" w:eastAsia="en-US" w:bidi="ar-SA"/>
              </w:rPr>
              <w:t xml:space="preserve">生长情况</w:t>
            </w:r>
            <w:r>
              <w:rPr>
                <w:rFonts w:ascii="宋体" w:hAnsi="宋体" w:eastAsia="宋体" w:cs="宋体"/>
                <w:color w:val="000000"/>
                <w:sz w:val="24"/>
                <w:szCs w:val="24"/>
                <w:highlight w:val="none"/>
                <w:lang w:val="en-US" w:eastAsia="en-US" w:bidi="ar-SA"/>
              </w:rPr>
            </w:r>
            <w:r/>
          </w:p>
        </w:tc>
        <w:tc>
          <w:tcPr>
            <w:tcW w:w="1987" w:type="dxa"/>
            <w:vAlign w:val="top"/>
            <w:textDirection w:val="lrTb"/>
            <w:noWrap w:val="false"/>
          </w:tcPr>
          <w:p>
            <w:pPr>
              <w:pStyle w:val="1140"/>
              <w:jc w:val="center"/>
              <w:spacing w:line="334"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1140"/>
              <w:ind w:left="104"/>
              <w:jc w:val="center"/>
              <w:spacing w:before="78" w:line="219"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3"/>
                <w:sz w:val="24"/>
                <w:szCs w:val="24"/>
                <w:highlight w:val="none"/>
                <w:lang w:val="en-US" w:eastAsia="en-US" w:bidi="ar-SA"/>
              </w:rPr>
              <w:t xml:space="preserve">是否古树名木</w:t>
            </w:r>
            <w:r>
              <w:rPr>
                <w:rFonts w:ascii="宋体" w:hAnsi="宋体" w:eastAsia="宋体" w:cs="宋体"/>
                <w:color w:val="000000"/>
                <w:sz w:val="24"/>
                <w:szCs w:val="24"/>
                <w:highlight w:val="none"/>
                <w:lang w:val="en-US" w:eastAsia="en-US" w:bidi="ar-SA"/>
              </w:rPr>
            </w:r>
            <w:r/>
          </w:p>
        </w:tc>
        <w:tc>
          <w:tcPr>
            <w:tcW w:w="2194" w:type="dxa"/>
            <w:vAlign w:val="top"/>
            <w:textDirection w:val="lrTb"/>
            <w:noWrap w:val="false"/>
          </w:tcPr>
          <w:p>
            <w:pPr>
              <w:pStyle w:val="1140"/>
              <w:jc w:val="center"/>
              <w:spacing w:line="333"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1140"/>
              <w:ind w:left="108"/>
              <w:jc w:val="center"/>
              <w:spacing w:before="78" w:line="220"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4"/>
                <w:sz w:val="24"/>
                <w:szCs w:val="24"/>
                <w:highlight w:val="none"/>
                <w:lang w:val="en-US" w:eastAsia="en-US" w:bidi="ar-SA"/>
              </w:rPr>
              <w:t xml:space="preserve">处置情况</w:t>
            </w:r>
            <w:r>
              <w:rPr>
                <w:rFonts w:ascii="宋体" w:hAnsi="宋体" w:eastAsia="宋体" w:cs="宋体"/>
                <w:color w:val="000000"/>
                <w:sz w:val="24"/>
                <w:szCs w:val="24"/>
                <w:highlight w:val="none"/>
                <w:lang w:val="en-US" w:eastAsia="en-US" w:bidi="ar-SA"/>
              </w:rPr>
            </w:r>
            <w:r/>
          </w:p>
        </w:tc>
        <w:tc>
          <w:tcPr>
            <w:tcW w:w="1048" w:type="dxa"/>
            <w:vAlign w:val="top"/>
            <w:textDirection w:val="lrTb"/>
            <w:noWrap w:val="false"/>
          </w:tcPr>
          <w:p>
            <w:pPr>
              <w:pStyle w:val="1140"/>
              <w:jc w:val="center"/>
              <w:spacing w:line="333"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1140"/>
              <w:ind w:left="111"/>
              <w:jc w:val="center"/>
              <w:spacing w:before="78" w:line="221" w:lineRule="auto"/>
              <w:rPr>
                <w:rFonts w:ascii="宋体" w:hAnsi="宋体" w:eastAsia="宋体" w:cs="宋体"/>
                <w:color w:val="000000"/>
                <w:sz w:val="24"/>
                <w:szCs w:val="24"/>
                <w:highlight w:val="none"/>
                <w:lang w:val="en-US" w:eastAsia="en-US" w:bidi="ar-SA"/>
              </w:rPr>
            </w:pPr>
            <w:r>
              <w:rPr>
                <w:rFonts w:ascii="宋体" w:hAnsi="宋体" w:eastAsia="宋体" w:cs="宋体"/>
                <w:color w:val="000000"/>
                <w:spacing w:val="-7"/>
                <w:sz w:val="24"/>
                <w:szCs w:val="24"/>
                <w:highlight w:val="none"/>
                <w:lang w:val="en-US" w:eastAsia="en-US" w:bidi="ar-SA"/>
              </w:rPr>
              <w:t xml:space="preserve">备注</w:t>
            </w:r>
            <w:r>
              <w:rPr>
                <w:rFonts w:ascii="宋体" w:hAnsi="宋体" w:eastAsia="宋体" w:cs="宋体"/>
                <w:color w:val="000000"/>
                <w:sz w:val="24"/>
                <w:szCs w:val="24"/>
                <w:highlight w:val="none"/>
                <w:lang w:val="en-US" w:eastAsia="en-US" w:bidi="ar-SA"/>
              </w:rPr>
            </w:r>
            <w:r/>
          </w:p>
        </w:tc>
      </w:tr>
      <w:tr>
        <w:trPr>
          <w:trHeight w:val="607"/>
        </w:trPr>
        <w:tc>
          <w:tcPr>
            <w:tcW w:w="135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606"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5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21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59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98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9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4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70"/>
        </w:trPr>
        <w:tc>
          <w:tcPr>
            <w:tcW w:w="135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606"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5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21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59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98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9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4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70"/>
        </w:trPr>
        <w:tc>
          <w:tcPr>
            <w:tcW w:w="135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606"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5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21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59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98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9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4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70"/>
        </w:trPr>
        <w:tc>
          <w:tcPr>
            <w:tcW w:w="135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606"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5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21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59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98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9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4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70"/>
        </w:trPr>
        <w:tc>
          <w:tcPr>
            <w:tcW w:w="135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606"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5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21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59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98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9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4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70"/>
        </w:trPr>
        <w:tc>
          <w:tcPr>
            <w:tcW w:w="135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606"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5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21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59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98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9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4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70"/>
        </w:trPr>
        <w:tc>
          <w:tcPr>
            <w:tcW w:w="135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606"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5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21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59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98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9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4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70"/>
        </w:trPr>
        <w:tc>
          <w:tcPr>
            <w:tcW w:w="135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606"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5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21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59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98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9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4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70"/>
        </w:trPr>
        <w:tc>
          <w:tcPr>
            <w:tcW w:w="135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606"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5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21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59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98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9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4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89"/>
        </w:trPr>
        <w:tc>
          <w:tcPr>
            <w:tcW w:w="135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606"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5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21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59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987"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94"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048" w:type="dxa"/>
            <w:vAlign w:val="top"/>
            <w:textDirection w:val="lrTb"/>
            <w:noWrap w:val="false"/>
          </w:tcPr>
          <w:p>
            <w:pPr>
              <w:pStyle w:val="1140"/>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bl>
    <w:p>
      <w:pPr>
        <w:pStyle w:val="1140"/>
        <w:jc w:val="center"/>
        <w:spacing w:line="480" w:lineRule="auto"/>
        <w:rPr>
          <w:rFonts w:hint="eastAsia" w:ascii="仿宋" w:hAnsi="仿宋" w:eastAsia="仿宋" w:cs="仿宋"/>
          <w:b/>
          <w:sz w:val="36"/>
          <w:szCs w:val="36"/>
          <w:lang w:eastAsia="zh-CN"/>
        </w:rPr>
        <w:sectPr>
          <w:headerReference w:type="default" r:id="rId12"/>
          <w:footerReference w:type="default" r:id="rId23"/>
          <w:footnotePr/>
          <w:endnotePr/>
          <w:type w:val="nextPage"/>
          <w:pgSz w:w="16838" w:h="11905" w:orient="landscape"/>
          <w:pgMar w:top="1757" w:right="1134" w:bottom="1757" w:left="1157" w:header="862" w:footer="992" w:gutter="0"/>
          <w:cols w:num="1" w:sep="0" w:space="1701" w:equalWidth="1"/>
          <w:docGrid w:linePitch="360"/>
        </w:sectPr>
      </w:pPr>
      <w:r>
        <w:rPr>
          <w:rFonts w:hint="eastAsia" w:ascii="仿宋" w:hAnsi="仿宋" w:eastAsia="仿宋" w:cs="仿宋"/>
          <w:b/>
          <w:sz w:val="36"/>
          <w:szCs w:val="36"/>
          <w:lang w:eastAsia="zh-CN"/>
        </w:rPr>
      </w:r>
      <w:r/>
    </w:p>
    <w:p>
      <w:pPr>
        <w:pStyle w:val="1140"/>
        <w:jc w:val="center"/>
        <w:spacing w:line="480" w:lineRule="auto"/>
        <w:rPr>
          <w:rFonts w:hint="eastAsia" w:ascii="仿宋" w:hAnsi="仿宋" w:eastAsia="仿宋" w:cs="仿宋"/>
          <w:sz w:val="36"/>
          <w:szCs w:val="36"/>
        </w:rPr>
      </w:pPr>
      <w:r>
        <w:rPr>
          <w:rFonts w:hint="eastAsia" w:ascii="仿宋" w:hAnsi="仿宋" w:eastAsia="仿宋" w:cs="仿宋"/>
          <w:b/>
          <w:sz w:val="36"/>
          <w:szCs w:val="36"/>
          <w:lang w:eastAsia="zh-CN"/>
        </w:rPr>
        <w:t xml:space="preserve">廉</w:t>
      </w:r>
      <w:r>
        <w:rPr>
          <w:rFonts w:hint="eastAsia" w:ascii="仿宋" w:hAnsi="仿宋" w:eastAsia="仿宋" w:cs="仿宋"/>
          <w:b/>
          <w:sz w:val="36"/>
          <w:szCs w:val="36"/>
        </w:rPr>
        <w:t xml:space="preserve">政责任书</w:t>
      </w:r>
      <w:r>
        <w:rPr>
          <w:rFonts w:hint="eastAsia" w:ascii="仿宋" w:hAnsi="仿宋" w:eastAsia="仿宋" w:cs="仿宋"/>
          <w:sz w:val="36"/>
          <w:szCs w:val="36"/>
        </w:rPr>
      </w:r>
      <w:r/>
    </w:p>
    <w:p>
      <w:pPr>
        <w:pStyle w:val="1140"/>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为进一步加强零星工程的廉政建设，特订立如下责任书。</w:t>
      </w:r>
      <w:r>
        <w:rPr>
          <w:rFonts w:hint="eastAsia" w:ascii="Times New Roman" w:hAnsi="Times New Roman" w:eastAsia="宋体" w:cs="Times New Roman"/>
          <w:color w:val="000000"/>
          <w:sz w:val="24"/>
          <w:highlight w:val="none"/>
        </w:rPr>
      </w:r>
      <w:r/>
    </w:p>
    <w:p>
      <w:pPr>
        <w:pStyle w:val="1140"/>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一、甲、乙双方的权利和义务</w:t>
      </w:r>
      <w:r>
        <w:rPr>
          <w:rFonts w:hint="eastAsia" w:ascii="Times New Roman" w:hAnsi="Times New Roman" w:eastAsia="宋体" w:cs="Times New Roman"/>
          <w:color w:val="000000"/>
          <w:sz w:val="24"/>
          <w:highlight w:val="none"/>
        </w:rPr>
      </w:r>
      <w:r/>
    </w:p>
    <w:p>
      <w:pPr>
        <w:pStyle w:val="1140"/>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1.甲乙双方应严格遵守党的政策规定和国家有关法律法规。</w:t>
      </w:r>
      <w:r>
        <w:rPr>
          <w:rFonts w:hint="eastAsia" w:ascii="Times New Roman" w:hAnsi="Times New Roman" w:eastAsia="宋体" w:cs="Times New Roman"/>
          <w:color w:val="000000"/>
          <w:sz w:val="24"/>
          <w:highlight w:val="none"/>
        </w:rPr>
      </w:r>
      <w:r/>
    </w:p>
    <w:p>
      <w:pPr>
        <w:pStyle w:val="1140"/>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2.甲乙双方应严格执行项目的合同文件，自觉按合同办事。</w:t>
      </w:r>
      <w:r>
        <w:rPr>
          <w:rFonts w:hint="eastAsia" w:ascii="Times New Roman" w:hAnsi="Times New Roman" w:eastAsia="宋体" w:cs="Times New Roman"/>
          <w:color w:val="000000"/>
          <w:sz w:val="24"/>
          <w:highlight w:val="none"/>
        </w:rPr>
      </w:r>
      <w:r/>
    </w:p>
    <w:p>
      <w:pPr>
        <w:pStyle w:val="1140"/>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3.甲乙双方的业务活动应坚持公开、公平、公正、诚信、透明的原则。</w:t>
      </w:r>
      <w:r>
        <w:rPr>
          <w:rFonts w:hint="eastAsia" w:ascii="Times New Roman" w:hAnsi="Times New Roman" w:eastAsia="宋体" w:cs="Times New Roman"/>
          <w:color w:val="000000"/>
          <w:sz w:val="24"/>
          <w:highlight w:val="none"/>
        </w:rPr>
      </w:r>
      <w:r/>
    </w:p>
    <w:p>
      <w:pPr>
        <w:pStyle w:val="1140"/>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4.甲乙双方不得以任何理由向对方工作人员行贿或馈赠礼金、有价证券、贵重礼品。不得在对方报销任何应由个人支付的费用。</w:t>
      </w:r>
      <w:r>
        <w:rPr>
          <w:rFonts w:hint="eastAsia" w:ascii="Times New Roman" w:hAnsi="Times New Roman" w:eastAsia="宋体" w:cs="Times New Roman"/>
          <w:color w:val="000000"/>
          <w:sz w:val="24"/>
          <w:highlight w:val="none"/>
        </w:rPr>
      </w:r>
      <w:r/>
    </w:p>
    <w:p>
      <w:pPr>
        <w:pStyle w:val="1140"/>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5.甲乙双方不得以任何理由违反廉洁自律的有关规定。</w:t>
      </w:r>
      <w:r>
        <w:rPr>
          <w:rFonts w:hint="eastAsia" w:ascii="Times New Roman" w:hAnsi="Times New Roman" w:eastAsia="宋体" w:cs="Times New Roman"/>
          <w:color w:val="000000"/>
          <w:sz w:val="24"/>
          <w:highlight w:val="none"/>
        </w:rPr>
      </w:r>
      <w:r/>
    </w:p>
    <w:p>
      <w:pPr>
        <w:pStyle w:val="1140"/>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6.甲乙双方发现对方严重违反本协议条款的行为，有及时提醒对方、向其上级有关部门举报、建议给予处理并要求告知处理结果的权利。</w:t>
      </w:r>
      <w:r>
        <w:rPr>
          <w:rFonts w:hint="eastAsia" w:ascii="Times New Roman" w:hAnsi="Times New Roman" w:eastAsia="宋体" w:cs="Times New Roman"/>
          <w:color w:val="000000"/>
          <w:sz w:val="24"/>
          <w:highlight w:val="none"/>
        </w:rPr>
      </w:r>
      <w:r/>
    </w:p>
    <w:p>
      <w:pPr>
        <w:pStyle w:val="1140"/>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二、违约责任</w:t>
      </w:r>
      <w:r>
        <w:rPr>
          <w:rFonts w:hint="eastAsia" w:ascii="Times New Roman" w:hAnsi="Times New Roman" w:eastAsia="宋体" w:cs="Times New Roman"/>
          <w:color w:val="000000"/>
          <w:sz w:val="24"/>
          <w:highlight w:val="none"/>
        </w:rPr>
      </w:r>
      <w:r/>
    </w:p>
    <w:p>
      <w:pPr>
        <w:pStyle w:val="1140"/>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Times New Roman" w:hAnsi="Times New Roman" w:eastAsia="宋体" w:cs="Times New Roman"/>
          <w:color w:val="000000"/>
          <w:sz w:val="24"/>
          <w:highlight w:val="none"/>
        </w:rPr>
      </w:r>
      <w:r/>
    </w:p>
    <w:p>
      <w:pPr>
        <w:pStyle w:val="1140"/>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rPr>
        <w:t xml:space="preserve">2.本协议一式</w:t>
      </w:r>
      <w:r>
        <w:rPr>
          <w:rFonts w:hint="eastAsia" w:ascii="Times New Roman" w:hAnsi="Times New Roman" w:eastAsia="宋体" w:cs="Times New Roman"/>
          <w:color w:val="000000"/>
          <w:sz w:val="24"/>
          <w:highlight w:val="none"/>
          <w:lang w:val="en-US" w:eastAsia="zh-CN"/>
        </w:rPr>
        <w:t xml:space="preserve">玖</w:t>
      </w:r>
      <w:r>
        <w:rPr>
          <w:rFonts w:hint="eastAsia" w:ascii="Times New Roman" w:hAnsi="Times New Roman" w:eastAsia="宋体" w:cs="Times New Roman"/>
          <w:color w:val="000000"/>
          <w:sz w:val="24"/>
          <w:highlight w:val="none"/>
        </w:rPr>
        <w:t xml:space="preserve">份，</w:t>
      </w:r>
      <w:r>
        <w:rPr>
          <w:rFonts w:hint="eastAsia" w:ascii="Times New Roman" w:hAnsi="Times New Roman" w:eastAsia="宋体" w:cs="Times New Roman"/>
          <w:color w:val="000000"/>
          <w:sz w:val="24"/>
          <w:highlight w:val="none"/>
          <w:lang w:eastAsia="zh-CN"/>
        </w:rPr>
        <w:t xml:space="preserve">附在主合同后。</w:t>
      </w:r>
      <w:r>
        <w:rPr>
          <w:rFonts w:hint="eastAsia" w:ascii="Times New Roman" w:hAnsi="Times New Roman" w:eastAsia="宋体" w:cs="Times New Roman"/>
          <w:color w:val="000000"/>
          <w:sz w:val="24"/>
          <w:highlight w:val="none"/>
          <w:lang w:eastAsia="zh-CN"/>
        </w:rPr>
      </w:r>
      <w:r/>
    </w:p>
    <w:p>
      <w:pPr>
        <w:pStyle w:val="1140"/>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eastAsia="zh-CN"/>
        </w:rPr>
      </w:r>
      <w:r/>
    </w:p>
    <w:p>
      <w:pPr>
        <w:pStyle w:val="1140"/>
        <w:ind w:left="142"/>
        <w:spacing w:line="360" w:lineRule="auto"/>
        <w:tabs>
          <w:tab w:val="left" w:pos="900" w:leader="none"/>
          <w:tab w:val="left" w:pos="1980" w:leader="none"/>
        </w:tabs>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甲方单位（盖章）：</w:t>
      </w:r>
      <w:r>
        <w:rPr>
          <w:rFonts w:hint="eastAsia" w:ascii="Times New Roman" w:hAnsi="Times New Roman" w:eastAsia="宋体" w:cs="Times New Roman"/>
          <w:color w:val="000000"/>
          <w:sz w:val="24"/>
          <w:highlight w:val="none"/>
          <w:lang w:val="en-US" w:eastAsia="zh-CN"/>
        </w:rPr>
        <w:t xml:space="preserve">                  </w:t>
      </w:r>
      <w:r>
        <w:rPr>
          <w:rFonts w:hint="eastAsia" w:ascii="Times New Roman" w:hAnsi="Times New Roman" w:eastAsia="宋体" w:cs="Times New Roman"/>
          <w:color w:val="000000"/>
          <w:sz w:val="24"/>
          <w:highlight w:val="none"/>
        </w:rPr>
        <w:t xml:space="preserve">乙方单位（盖章）：</w:t>
      </w:r>
      <w:r>
        <w:rPr>
          <w:rFonts w:ascii="Times New Roman" w:hAnsi="Times New Roman" w:eastAsia="宋体" w:cs="Times New Roman"/>
          <w:color w:val="000000"/>
          <w:sz w:val="24"/>
          <w:highlight w:val="none"/>
          <w:lang w:val="en-US" w:eastAsia="zh-CN"/>
        </w:rPr>
      </w:r>
      <w:r/>
    </w:p>
    <w:p>
      <w:pPr>
        <w:pStyle w:val="1140"/>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r>
      <w:r/>
    </w:p>
    <w:p>
      <w:pPr>
        <w:pStyle w:val="1140"/>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委托代理人：                       法定代表人：</w:t>
      </w:r>
      <w:r>
        <w:rPr>
          <w:rFonts w:hint="eastAsia" w:ascii="Times New Roman" w:hAnsi="Times New Roman" w:eastAsia="宋体" w:cs="Times New Roman"/>
          <w:color w:val="000000"/>
          <w:sz w:val="24"/>
          <w:highlight w:val="none"/>
        </w:rPr>
      </w:r>
      <w:r/>
    </w:p>
    <w:p>
      <w:pPr>
        <w:pStyle w:val="1140"/>
        <w:ind w:left="142"/>
        <w:spacing w:line="360" w:lineRule="auto"/>
        <w:tabs>
          <w:tab w:val="left" w:pos="900" w:leader="none"/>
          <w:tab w:val="left" w:pos="19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    年  月  日                        年  月  日</w:t>
      </w:r>
      <w:r>
        <w:rPr>
          <w:rFonts w:ascii="Times New Roman" w:hAnsi="Times New Roman" w:eastAsia="宋体" w:cs="Times New Roman"/>
          <w:color w:val="000000"/>
          <w:sz w:val="24"/>
          <w:highlight w:val="none"/>
        </w:rPr>
      </w:r>
      <w:r/>
    </w:p>
    <w:p>
      <w:pPr>
        <w:pStyle w:val="1140"/>
        <w:jc w:val="center"/>
        <w:spacing w:line="360" w:lineRule="auto"/>
        <w:rPr>
          <w:b/>
          <w:color w:val="000000"/>
          <w:sz w:val="36"/>
          <w:szCs w:val="36"/>
          <w:highlight w:val="none"/>
        </w:rPr>
        <w:outlineLvl w:val="0"/>
      </w:pPr>
      <w:r>
        <w:rPr>
          <w:b/>
          <w:color w:val="000000"/>
          <w:sz w:val="36"/>
          <w:szCs w:val="36"/>
          <w:highlight w:val="none"/>
        </w:rPr>
      </w:r>
      <w:r/>
    </w:p>
    <w:p>
      <w:pPr>
        <w:pStyle w:val="1140"/>
        <w:jc w:val="center"/>
        <w:spacing w:line="360" w:lineRule="auto"/>
        <w:rPr>
          <w:b/>
          <w:color w:val="000000"/>
          <w:sz w:val="36"/>
          <w:szCs w:val="36"/>
          <w:highlight w:val="none"/>
        </w:rPr>
        <w:outlineLvl w:val="0"/>
      </w:pPr>
      <w:r>
        <w:rPr>
          <w:b/>
          <w:color w:val="000000"/>
          <w:sz w:val="36"/>
          <w:szCs w:val="36"/>
          <w:highlight w:val="none"/>
        </w:rPr>
      </w:r>
      <w:r/>
    </w:p>
    <w:p>
      <w:pPr>
        <w:pStyle w:val="1140"/>
        <w:jc w:val="center"/>
        <w:spacing w:line="360" w:lineRule="auto"/>
        <w:rPr>
          <w:b/>
          <w:color w:val="000000"/>
          <w:sz w:val="36"/>
          <w:szCs w:val="36"/>
          <w:highlight w:val="none"/>
        </w:rPr>
        <w:outlineLvl w:val="0"/>
      </w:pPr>
      <w:r>
        <w:rPr>
          <w:b/>
          <w:color w:val="000000"/>
          <w:sz w:val="36"/>
          <w:szCs w:val="36"/>
          <w:highlight w:val="none"/>
        </w:rPr>
      </w:r>
      <w:r/>
    </w:p>
    <w:p>
      <w:pPr>
        <w:pStyle w:val="1140"/>
        <w:jc w:val="center"/>
        <w:spacing w:line="360" w:lineRule="auto"/>
        <w:rPr>
          <w:b/>
          <w:color w:val="000000"/>
          <w:sz w:val="36"/>
          <w:szCs w:val="36"/>
          <w:highlight w:val="none"/>
        </w:rPr>
        <w:outlineLvl w:val="0"/>
      </w:pPr>
      <w:r>
        <w:rPr>
          <w:b/>
          <w:color w:val="000000"/>
          <w:sz w:val="36"/>
          <w:szCs w:val="36"/>
          <w:highlight w:val="none"/>
        </w:rPr>
      </w:r>
      <w:r/>
    </w:p>
    <w:p>
      <w:pPr>
        <w:pStyle w:val="1140"/>
        <w:jc w:val="center"/>
        <w:spacing w:line="360" w:lineRule="auto"/>
        <w:rPr>
          <w:b/>
          <w:color w:val="000000"/>
          <w:sz w:val="36"/>
          <w:szCs w:val="36"/>
          <w:highlight w:val="none"/>
        </w:rPr>
        <w:outlineLvl w:val="0"/>
      </w:pPr>
      <w:r>
        <w:rPr>
          <w:b/>
          <w:color w:val="000000"/>
          <w:sz w:val="36"/>
          <w:szCs w:val="36"/>
          <w:highlight w:val="none"/>
        </w:rPr>
      </w:r>
      <w:r/>
    </w:p>
    <w:p>
      <w:pPr>
        <w:pStyle w:val="1143"/>
        <w:rPr>
          <w:b w:val="0"/>
          <w:color w:val="000000"/>
          <w:sz w:val="36"/>
          <w:szCs w:val="36"/>
          <w:highlight w:val="none"/>
        </w:rPr>
      </w:pPr>
      <w:r>
        <w:rPr>
          <w:b w:val="0"/>
          <w:color w:val="000000"/>
          <w:sz w:val="36"/>
          <w:szCs w:val="36"/>
          <w:highlight w:val="none"/>
        </w:rPr>
      </w:r>
      <w:r/>
    </w:p>
    <w:p>
      <w:pPr>
        <w:pStyle w:val="1140"/>
      </w:pPr>
      <w:r/>
      <w:r/>
    </w:p>
    <w:p>
      <w:pPr>
        <w:pStyle w:val="1140"/>
        <w:jc w:val="center"/>
        <w:spacing w:line="360" w:lineRule="auto"/>
        <w:rPr>
          <w:b/>
          <w:color w:val="000000"/>
          <w:sz w:val="36"/>
          <w:szCs w:val="36"/>
          <w:highlight w:val="none"/>
        </w:rPr>
        <w:outlineLvl w:val="0"/>
      </w:pPr>
      <w:r>
        <w:rPr>
          <w:b/>
          <w:color w:val="000000"/>
          <w:sz w:val="36"/>
          <w:szCs w:val="36"/>
          <w:highlight w:val="none"/>
        </w:rPr>
      </w:r>
      <w:r/>
    </w:p>
    <w:p>
      <w:pPr>
        <w:pStyle w:val="1140"/>
        <w:jc w:val="center"/>
        <w:spacing w:line="360" w:lineRule="auto"/>
        <w:rPr>
          <w:b/>
          <w:color w:val="000000"/>
          <w:sz w:val="36"/>
          <w:szCs w:val="36"/>
          <w:highlight w:val="none"/>
        </w:rPr>
        <w:outlineLvl w:val="0"/>
      </w:pPr>
      <w:r>
        <w:rPr>
          <w:b/>
          <w:color w:val="000000"/>
          <w:sz w:val="36"/>
          <w:szCs w:val="36"/>
          <w:highlight w:val="none"/>
        </w:rPr>
        <w:t xml:space="preserve">第六章   响应文件格式</w:t>
      </w:r>
      <w:bookmarkEnd w:id="652"/>
      <w:r>
        <w:rPr>
          <w:b/>
          <w:color w:val="000000"/>
          <w:sz w:val="36"/>
          <w:szCs w:val="36"/>
          <w:highlight w:val="none"/>
        </w:rPr>
      </w:r>
      <w:r/>
    </w:p>
    <w:p>
      <w:pPr>
        <w:pStyle w:val="1140"/>
        <w:jc w:val="left"/>
        <w:spacing w:line="360" w:lineRule="auto"/>
        <w:widowControl/>
        <w:rPr>
          <w:b/>
          <w:color w:val="000000"/>
          <w:sz w:val="24"/>
          <w:highlight w:val="none"/>
        </w:rPr>
      </w:pPr>
      <w:r>
        <w:rPr>
          <w:b/>
          <w:color w:val="000000"/>
          <w:sz w:val="24"/>
          <w:highlight w:val="none"/>
        </w:rPr>
      </w:r>
      <w:r/>
    </w:p>
    <w:p>
      <w:pPr>
        <w:pStyle w:val="1140"/>
        <w:jc w:val="left"/>
        <w:spacing w:line="360" w:lineRule="auto"/>
        <w:widowControl/>
        <w:rPr>
          <w:b/>
          <w:color w:val="000000"/>
          <w:sz w:val="24"/>
          <w:highlight w:val="none"/>
        </w:rPr>
      </w:pPr>
      <w:r>
        <w:rPr>
          <w:b/>
          <w:color w:val="000000"/>
          <w:sz w:val="24"/>
          <w:highlight w:val="none"/>
        </w:rPr>
      </w:r>
      <w:r/>
    </w:p>
    <w:p>
      <w:pPr>
        <w:pStyle w:val="1140"/>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1140"/>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1140"/>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140"/>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1140"/>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1140"/>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1140"/>
        <w:jc w:val="left"/>
        <w:widowControl/>
        <w:rPr>
          <w:color w:val="000000"/>
          <w:sz w:val="24"/>
          <w:highlight w:val="none"/>
        </w:rPr>
      </w:pPr>
      <w:r>
        <w:rPr>
          <w:color w:val="000000"/>
          <w:sz w:val="24"/>
          <w:highlight w:val="none"/>
        </w:rPr>
        <w:br w:type="page" w:clear="all"/>
      </w:r>
      <w:r>
        <w:rPr>
          <w:color w:val="000000"/>
          <w:sz w:val="24"/>
          <w:highlight w:val="none"/>
        </w:rPr>
      </w:r>
      <w:r/>
    </w:p>
    <w:p>
      <w:pPr>
        <w:pStyle w:val="1140"/>
        <w:rPr>
          <w:b/>
          <w:color w:val="000000"/>
          <w:spacing w:val="20"/>
          <w:szCs w:val="21"/>
          <w:highlight w:val="none"/>
        </w:rPr>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Pr>
          <w:b/>
          <w:color w:val="000000"/>
          <w:spacing w:val="20"/>
          <w:szCs w:val="21"/>
          <w:highlight w:val="none"/>
        </w:rPr>
      </w:r>
      <w:r/>
    </w:p>
    <w:p>
      <w:pPr>
        <w:pStyle w:val="1140"/>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1140"/>
        <w:jc w:val="center"/>
        <w:rPr>
          <w:color w:val="000000"/>
          <w:szCs w:val="21"/>
          <w:highlight w:val="none"/>
        </w:rPr>
      </w:pPr>
      <w:r>
        <w:rPr>
          <w:color w:val="000000"/>
          <w:szCs w:val="21"/>
          <w:highlight w:val="none"/>
        </w:rPr>
      </w:r>
      <w:r/>
    </w:p>
    <w:p>
      <w:pPr>
        <w:pStyle w:val="1140"/>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1140"/>
        <w:jc w:val="center"/>
        <w:rPr>
          <w:b/>
          <w:color w:val="000000"/>
          <w:spacing w:val="60"/>
          <w:sz w:val="52"/>
          <w:szCs w:val="52"/>
          <w:highlight w:val="none"/>
        </w:rPr>
      </w:pPr>
      <w:r>
        <w:rPr>
          <w:b/>
          <w:color w:val="000000"/>
          <w:spacing w:val="60"/>
          <w:sz w:val="52"/>
          <w:szCs w:val="52"/>
          <w:highlight w:val="none"/>
        </w:rPr>
      </w:r>
      <w:r/>
    </w:p>
    <w:p>
      <w:pPr>
        <w:pStyle w:val="1140"/>
        <w:ind w:firstLine="542"/>
        <w:rPr>
          <w:b/>
          <w:color w:val="000000"/>
          <w:spacing w:val="20"/>
          <w:sz w:val="32"/>
          <w:szCs w:val="32"/>
          <w:highlight w:val="none"/>
        </w:rPr>
      </w:pPr>
      <w:r>
        <w:rPr>
          <w:b/>
          <w:color w:val="000000"/>
          <w:spacing w:val="20"/>
          <w:sz w:val="32"/>
          <w:szCs w:val="32"/>
          <w:highlight w:val="none"/>
        </w:rPr>
      </w:r>
      <w:r/>
    </w:p>
    <w:p>
      <w:pPr>
        <w:pStyle w:val="1140"/>
        <w:ind w:firstLine="542"/>
        <w:rPr>
          <w:b/>
          <w:color w:val="000000"/>
          <w:spacing w:val="20"/>
          <w:sz w:val="32"/>
          <w:szCs w:val="32"/>
          <w:highlight w:val="none"/>
        </w:rPr>
      </w:pPr>
      <w:r>
        <w:rPr>
          <w:b/>
          <w:color w:val="000000"/>
          <w:spacing w:val="20"/>
          <w:sz w:val="32"/>
          <w:szCs w:val="32"/>
          <w:highlight w:val="none"/>
        </w:rPr>
      </w:r>
      <w:r/>
    </w:p>
    <w:p>
      <w:pPr>
        <w:pStyle w:val="114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4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40"/>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4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40"/>
        <w:jc w:val="center"/>
        <w:rPr>
          <w:b/>
          <w:color w:val="000000"/>
          <w:sz w:val="32"/>
          <w:szCs w:val="32"/>
          <w:highlight w:val="none"/>
        </w:rPr>
      </w:pPr>
      <w:r>
        <w:rPr>
          <w:b/>
          <w:color w:val="000000"/>
          <w:sz w:val="32"/>
          <w:szCs w:val="32"/>
          <w:highlight w:val="none"/>
        </w:rPr>
      </w:r>
      <w:r/>
    </w:p>
    <w:p>
      <w:pPr>
        <w:pStyle w:val="1140"/>
        <w:rPr>
          <w:b/>
          <w:color w:val="000000"/>
          <w:highlight w:val="none"/>
        </w:rPr>
      </w:pPr>
      <w:r>
        <w:rPr>
          <w:b/>
          <w:color w:val="000000"/>
          <w:spacing w:val="20"/>
          <w:sz w:val="32"/>
          <w:szCs w:val="32"/>
          <w:highlight w:val="none"/>
        </w:rPr>
        <w:br w:type="page" w:clear="all"/>
      </w:r>
      <w:r>
        <w:rPr>
          <w:b/>
          <w:color w:val="000000"/>
          <w:highlight w:val="none"/>
        </w:rPr>
      </w:r>
      <w:r/>
    </w:p>
    <w:p>
      <w:pPr>
        <w:pStyle w:val="1140"/>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143"/>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14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14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1155"/>
        <w:ind w:firstLine="480"/>
        <w:spacing w:line="460" w:lineRule="exact"/>
        <w:rPr>
          <w:color w:val="000000"/>
          <w:highlight w:val="none"/>
        </w:rPr>
      </w:pP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致：常州正衡招投标有限公司</w:t>
      </w:r>
      <w:r>
        <w:rPr>
          <w:color w:val="000000"/>
          <w:highlight w:val="none"/>
        </w:rPr>
      </w:r>
      <w:r/>
    </w:p>
    <w:p>
      <w:pPr>
        <w:pStyle w:val="1155"/>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155"/>
        <w:ind w:firstLine="480"/>
        <w:spacing w:line="460" w:lineRule="exact"/>
        <w:rPr>
          <w:color w:val="000000"/>
          <w:highlight w:val="none"/>
        </w:rPr>
      </w:pP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w:t>
      </w:r>
      <w:r>
        <w:rPr>
          <w:rFonts w:hint="eastAsia"/>
          <w:color w:val="000000"/>
          <w:highlight w:val="none"/>
        </w:rPr>
        <w:t xml:space="preserve">（或参与设计）</w:t>
      </w:r>
      <w:r>
        <w:rPr>
          <w:color w:val="000000"/>
          <w:highlight w:val="none"/>
        </w:rPr>
        <w:t xml:space="preserve">、规范编制或者项目管理、监理、检测等服务的供应商。</w:t>
      </w: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1155"/>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155"/>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155"/>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155"/>
        <w:ind w:firstLine="480"/>
        <w:spacing w:line="460" w:lineRule="exact"/>
        <w:rPr>
          <w:color w:val="000000"/>
          <w:highlight w:val="none"/>
        </w:rPr>
      </w:pP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155"/>
        <w:ind w:firstLine="480"/>
        <w:spacing w:line="460" w:lineRule="exact"/>
        <w:rPr>
          <w:color w:val="000000"/>
          <w:highlight w:val="none"/>
        </w:rPr>
      </w:pPr>
      <w:r>
        <w:rPr>
          <w:color w:val="000000"/>
          <w:highlight w:val="none"/>
        </w:rPr>
      </w:r>
      <w:r/>
    </w:p>
    <w:p>
      <w:pPr>
        <w:pStyle w:val="1155"/>
        <w:ind w:firstLine="480"/>
        <w:spacing w:line="460" w:lineRule="exact"/>
        <w:rPr>
          <w:color w:val="000000"/>
          <w:highlight w:val="none"/>
        </w:rPr>
      </w:pP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1155"/>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155"/>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140"/>
        <w:spacing w:line="360" w:lineRule="auto"/>
        <w:rPr>
          <w:rFonts w:hint="eastAsia"/>
          <w:color w:val="000000"/>
          <w:sz w:val="24"/>
          <w:highlight w:val="none"/>
        </w:rPr>
      </w:pPr>
      <w:r>
        <w:rPr>
          <w:rFonts w:hint="eastAsia"/>
          <w:color w:val="000000"/>
          <w:sz w:val="24"/>
          <w:highlight w:val="none"/>
        </w:rPr>
      </w:r>
      <w:r/>
    </w:p>
    <w:p>
      <w:pPr>
        <w:pStyle w:val="1140"/>
        <w:spacing w:line="360" w:lineRule="auto"/>
        <w:rPr>
          <w:rFonts w:hint="eastAsia"/>
          <w:color w:val="000000"/>
          <w:sz w:val="24"/>
          <w:highlight w:val="none"/>
        </w:rPr>
      </w:pPr>
      <w:r>
        <w:rPr>
          <w:rFonts w:hint="eastAsia"/>
          <w:color w:val="000000"/>
          <w:sz w:val="24"/>
          <w:highlight w:val="none"/>
        </w:rPr>
      </w:r>
      <w:r/>
    </w:p>
    <w:p>
      <w:pPr>
        <w:pStyle w:val="1140"/>
        <w:spacing w:line="360" w:lineRule="auto"/>
        <w:rPr>
          <w:rFonts w:hint="eastAsia"/>
          <w:color w:val="000000"/>
          <w:sz w:val="24"/>
          <w:highlight w:val="none"/>
        </w:rPr>
      </w:pPr>
      <w:r>
        <w:rPr>
          <w:rFonts w:hint="eastAsia"/>
          <w:color w:val="000000"/>
          <w:sz w:val="24"/>
          <w:highlight w:val="none"/>
        </w:rPr>
      </w:r>
      <w:r/>
    </w:p>
    <w:p>
      <w:pPr>
        <w:pStyle w:val="1140"/>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140"/>
        <w:spacing w:line="360" w:lineRule="auto"/>
        <w:tabs>
          <w:tab w:val="left" w:pos="5580" w:leader="none"/>
        </w:tabs>
        <w:rPr>
          <w:color w:val="000000"/>
          <w:sz w:val="24"/>
          <w:szCs w:val="20"/>
          <w:highlight w:val="none"/>
        </w:rPr>
      </w:pPr>
      <w:r>
        <w:rPr>
          <w:color w:val="000000"/>
          <w:sz w:val="24"/>
          <w:highlight w:val="none"/>
        </w:rPr>
        <w:br w:type="page" w:clear="all"/>
      </w:r>
      <w:r>
        <w:rPr>
          <w:rFonts w:hint="eastAsia"/>
          <w:color w:val="000000"/>
          <w:sz w:val="24"/>
          <w:highlight w:val="none"/>
          <w:lang w:val="en-US" w:eastAsia="zh-CN"/>
        </w:rPr>
        <w:t xml:space="preserve">1-2 营业执照副本</w:t>
      </w:r>
      <w:r>
        <w:rPr>
          <w:color w:val="000000"/>
          <w:sz w:val="24"/>
          <w:szCs w:val="20"/>
          <w:highlight w:val="none"/>
        </w:rPr>
        <w:t xml:space="preserve">（实质性格式）</w:t>
      </w:r>
      <w:r>
        <w:rPr>
          <w:color w:val="000000"/>
          <w:sz w:val="24"/>
          <w:szCs w:val="20"/>
          <w:highlight w:val="none"/>
        </w:rPr>
      </w:r>
      <w:r/>
    </w:p>
    <w:p>
      <w:pPr>
        <w:pStyle w:val="1140"/>
        <w:spacing w:line="360" w:lineRule="auto"/>
        <w:tabs>
          <w:tab w:val="left" w:pos="5580" w:leader="none"/>
        </w:tabs>
        <w:rPr>
          <w:rFonts w:eastAsia="宋体"/>
          <w:color w:val="000000"/>
          <w:sz w:val="24"/>
          <w:highlight w:val="none"/>
          <w:lang w:val="en-US" w:eastAsia="zh-CN"/>
        </w:rPr>
        <w:sectPr>
          <w:footnotePr/>
          <w:endnotePr/>
          <w:type w:val="nextPage"/>
          <w:pgSz w:w="11905" w:h="16838" w:orient="portrait"/>
          <w:pgMar w:top="1134" w:right="1757" w:bottom="1157" w:left="1757" w:header="862" w:footer="992" w:gutter="0"/>
          <w:cols w:num="1" w:sep="0" w:space="1701" w:equalWidth="1"/>
          <w:docGrid w:linePitch="360"/>
        </w:sectPr>
      </w:pPr>
      <w:r>
        <w:rPr>
          <w:color w:val="000000"/>
          <w:sz w:val="24"/>
          <w:szCs w:val="20"/>
          <w:highlight w:val="none"/>
        </w:rPr>
      </w:r>
      <w:r>
        <w:rPr>
          <w:rFonts w:hint="eastAsia"/>
          <w:color w:val="000000"/>
          <w:sz w:val="24"/>
          <w:szCs w:val="20"/>
          <w:highlight w:val="none"/>
          <w:lang w:val="en-US" w:eastAsia="zh-CN"/>
        </w:rPr>
        <w:t xml:space="preserve">1-3 </w:t>
      </w:r>
      <w:r>
        <w:rPr>
          <w:rFonts w:hint="eastAsia" w:ascii="宋体" w:hAnsi="宋体" w:eastAsia="宋体" w:cs="宋体"/>
          <w:color w:val="000000"/>
          <w:sz w:val="24"/>
          <w:highlight w:val="none"/>
          <w:lang w:val="en-US" w:eastAsia="zh-CN"/>
        </w:rPr>
        <w:t xml:space="preserve">其他特定资格要求</w:t>
      </w:r>
      <w:r>
        <w:rPr>
          <w:rFonts w:eastAsia="宋体"/>
          <w:color w:val="000000"/>
          <w:sz w:val="24"/>
          <w:highlight w:val="none"/>
          <w:lang w:val="en-US" w:eastAsia="zh-CN"/>
        </w:rPr>
      </w:r>
      <w:r/>
    </w:p>
    <w:p>
      <w:pPr>
        <w:pStyle w:val="1140"/>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1140"/>
        <w:spacing w:line="360" w:lineRule="auto"/>
        <w:rPr>
          <w:sz w:val="24"/>
          <w:highlight w:val="none"/>
        </w:rPr>
        <w:outlineLvl w:val="2"/>
      </w:pPr>
      <w:r>
        <w:rPr>
          <w:color w:val="000000"/>
          <w:sz w:val="24"/>
          <w:szCs w:val="20"/>
          <w:highlight w:val="none"/>
        </w:rPr>
        <w:t xml:space="preserve">中小企业声明函</w:t>
      </w:r>
      <w:r>
        <w:rPr>
          <w:sz w:val="24"/>
          <w:highlight w:val="none"/>
        </w:rPr>
      </w:r>
      <w:r/>
    </w:p>
    <w:p>
      <w:pPr>
        <w:pStyle w:val="1140"/>
        <w:spacing w:line="360" w:lineRule="auto"/>
        <w:tabs>
          <w:tab w:val="left" w:pos="5580" w:leader="none"/>
        </w:tabs>
        <w:rPr>
          <w:sz w:val="24"/>
        </w:rPr>
      </w:pPr>
      <w:r>
        <w:rPr>
          <w:sz w:val="24"/>
        </w:rPr>
        <w:t xml:space="preserve">说明：</w:t>
      </w:r>
      <w:r>
        <w:rPr>
          <w:sz w:val="24"/>
        </w:rPr>
      </w:r>
      <w:r/>
    </w:p>
    <w:p>
      <w:pPr>
        <w:pStyle w:val="1140"/>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rPr>
          <w:sz w:val="24"/>
        </w:rPr>
      </w:r>
      <w:r/>
    </w:p>
    <w:p>
      <w:pPr>
        <w:pStyle w:val="1140"/>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1140"/>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1140"/>
        <w:spacing w:line="360" w:lineRule="auto"/>
        <w:tabs>
          <w:tab w:val="left" w:pos="5580" w:leader="none"/>
        </w:tabs>
        <w:rPr>
          <w:sz w:val="24"/>
        </w:rPr>
      </w:pPr>
      <w:r>
        <w:rPr>
          <w:sz w:val="24"/>
        </w:rPr>
        <w:t xml:space="preserve">（4）其它</w:t>
      </w:r>
      <w:r>
        <w:rPr>
          <w:sz w:val="24"/>
        </w:rPr>
      </w:r>
      <w:r/>
    </w:p>
    <w:p>
      <w:pPr>
        <w:pStyle w:val="1140"/>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1140"/>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140"/>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1140"/>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1140"/>
        <w:spacing w:line="360" w:lineRule="auto"/>
        <w:tabs>
          <w:tab w:val="left" w:pos="5580" w:leader="none"/>
        </w:tabs>
        <w:rPr>
          <w:sz w:val="24"/>
        </w:rPr>
      </w:pPr>
      <w:r>
        <w:rPr>
          <w:sz w:val="24"/>
        </w:rPr>
      </w:r>
      <w:r/>
    </w:p>
    <w:p>
      <w:pPr>
        <w:pStyle w:val="1140"/>
        <w:jc w:val="left"/>
        <w:widowControl/>
        <w:rPr>
          <w:sz w:val="24"/>
        </w:rPr>
      </w:pPr>
      <w:r>
        <w:rPr>
          <w:sz w:val="24"/>
        </w:rPr>
      </w:r>
      <w:r/>
    </w:p>
    <w:p>
      <w:pPr>
        <w:pStyle w:val="1140"/>
        <w:spacing w:line="360" w:lineRule="auto"/>
        <w:rPr>
          <w:color w:val="000000"/>
          <w:sz w:val="24"/>
        </w:rPr>
      </w:pPr>
      <w:r>
        <w:rPr>
          <w:color w:val="000000"/>
          <w:sz w:val="24"/>
        </w:rPr>
      </w:r>
      <w:r/>
    </w:p>
    <w:p>
      <w:pPr>
        <w:pStyle w:val="1140"/>
        <w:jc w:val="center"/>
        <w:spacing w:before="240" w:after="240" w:line="360" w:lineRule="auto"/>
        <w:rPr>
          <w:b/>
          <w:bCs/>
          <w:color w:val="000000"/>
          <w:sz w:val="36"/>
          <w:szCs w:val="36"/>
        </w:rPr>
      </w:pPr>
      <w:r>
        <w:rPr>
          <w:color w:val="000000"/>
          <w:sz w:val="24"/>
        </w:rPr>
        <w:br w:type="page" w:clear="all"/>
      </w:r>
      <w:r>
        <w:rPr>
          <w:rFonts w:hint="eastAsia"/>
          <w:b/>
          <w:bCs/>
          <w:color w:val="000000"/>
          <w:sz w:val="36"/>
          <w:szCs w:val="36"/>
        </w:rPr>
        <w:t xml:space="preserve">中小企业声明函（工程、服务）格式</w:t>
      </w:r>
      <w:r>
        <w:rPr>
          <w:b/>
          <w:bCs/>
          <w:color w:val="000000"/>
          <w:sz w:val="36"/>
          <w:szCs w:val="36"/>
        </w:rPr>
      </w:r>
      <w:r/>
    </w:p>
    <w:p>
      <w:pPr>
        <w:pStyle w:val="1140"/>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140"/>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140"/>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140"/>
        <w:ind w:firstLine="504"/>
        <w:spacing w:line="360" w:lineRule="auto"/>
        <w:rPr>
          <w:spacing w:val="6"/>
          <w:sz w:val="24"/>
        </w:rPr>
      </w:pPr>
      <w:r>
        <w:rPr>
          <w:spacing w:val="6"/>
          <w:sz w:val="24"/>
        </w:rPr>
      </w:r>
      <w:r/>
    </w:p>
    <w:p>
      <w:pPr>
        <w:pStyle w:val="1140"/>
        <w:ind w:firstLine="504"/>
        <w:spacing w:line="360" w:lineRule="auto"/>
        <w:rPr>
          <w:spacing w:val="6"/>
          <w:sz w:val="24"/>
        </w:rPr>
      </w:pPr>
      <w:r>
        <w:rPr>
          <w:spacing w:val="6"/>
          <w:sz w:val="24"/>
        </w:rPr>
        <w:t xml:space="preserve">……</w:t>
      </w:r>
      <w:r>
        <w:rPr>
          <w:spacing w:val="6"/>
          <w:sz w:val="24"/>
        </w:rPr>
      </w:r>
      <w:r/>
    </w:p>
    <w:p>
      <w:pPr>
        <w:pStyle w:val="1140"/>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140"/>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140"/>
        <w:ind w:right="360" w:firstLine="480"/>
        <w:jc w:val="right"/>
        <w:spacing w:line="360" w:lineRule="auto"/>
        <w:rPr>
          <w:color w:val="000000"/>
          <w:sz w:val="24"/>
        </w:rPr>
      </w:pPr>
      <w:r>
        <w:rPr>
          <w:color w:val="000000"/>
          <w:sz w:val="24"/>
        </w:rPr>
      </w:r>
      <w:r/>
    </w:p>
    <w:p>
      <w:pPr>
        <w:pStyle w:val="1140"/>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140"/>
        <w:ind w:right="360" w:firstLine="480"/>
        <w:jc w:val="right"/>
        <w:spacing w:line="360" w:lineRule="auto"/>
        <w:rPr>
          <w:color w:val="000000"/>
          <w:sz w:val="24"/>
        </w:rPr>
      </w:pPr>
      <w:r>
        <w:rPr>
          <w:color w:val="000000"/>
          <w:sz w:val="24"/>
        </w:rPr>
        <w:t xml:space="preserve">日 期：________</w:t>
      </w:r>
      <w:r>
        <w:rPr>
          <w:color w:val="000000"/>
          <w:sz w:val="24"/>
        </w:rPr>
      </w:r>
      <w:r/>
    </w:p>
    <w:p>
      <w:pPr>
        <w:pStyle w:val="1140"/>
        <w:jc w:val="left"/>
        <w:rPr>
          <w:color w:val="000000"/>
          <w:sz w:val="24"/>
          <w:szCs w:val="21"/>
        </w:rPr>
      </w:pPr>
      <w:r>
        <w:rPr>
          <w:color w:val="000000"/>
          <w:sz w:val="24"/>
          <w:szCs w:val="21"/>
        </w:rPr>
      </w:r>
      <w:r/>
    </w:p>
    <w:p>
      <w:pPr>
        <w:pStyle w:val="1140"/>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07"/>
      </w:tblGrid>
      <w:tr>
        <w:trPr/>
        <w:tc>
          <w:tcPr>
            <w:tcW w:w="8946" w:type="dxa"/>
            <w:vAlign w:val="top"/>
            <w:textDirection w:val="lrTb"/>
            <w:noWrap w:val="false"/>
          </w:tcPr>
          <w:p>
            <w:pPr>
              <w:pStyle w:val="1140"/>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140"/>
        <w:jc w:val="left"/>
        <w:rPr>
          <w:color w:val="000000"/>
          <w:szCs w:val="21"/>
          <w:vertAlign w:val="superscript"/>
        </w:rPr>
      </w:pPr>
      <w:r>
        <w:rPr>
          <w:color w:val="000000"/>
          <w:szCs w:val="21"/>
          <w:vertAlign w:val="superscript"/>
        </w:rPr>
      </w:r>
      <w:r/>
    </w:p>
    <w:p>
      <w:pPr>
        <w:pStyle w:val="1140"/>
        <w:ind w:right="360" w:firstLine="480"/>
        <w:jc w:val="right"/>
        <w:spacing w:line="360" w:lineRule="auto"/>
        <w:rPr>
          <w:color w:val="000000"/>
          <w:sz w:val="24"/>
        </w:rPr>
      </w:pPr>
      <w:r>
        <w:rPr>
          <w:color w:val="000000"/>
          <w:sz w:val="24"/>
        </w:rPr>
      </w:r>
      <w:r/>
    </w:p>
    <w:p>
      <w:pPr>
        <w:pStyle w:val="1140"/>
        <w:jc w:val="center"/>
        <w:spacing w:before="240" w:after="240" w:line="360" w:lineRule="auto"/>
        <w:rPr>
          <w:rFonts w:hint="eastAsia"/>
          <w:color w:val="000000"/>
          <w:sz w:val="24"/>
          <w:szCs w:val="20"/>
        </w:rPr>
      </w:pPr>
      <w:r>
        <w:rPr>
          <w:rFonts w:hint="eastAsia"/>
          <w:color w:val="000000"/>
          <w:sz w:val="24"/>
          <w:szCs w:val="20"/>
        </w:rPr>
      </w:r>
      <w:r/>
    </w:p>
    <w:p>
      <w:pPr>
        <w:pStyle w:val="1140"/>
        <w:jc w:val="center"/>
        <w:spacing w:before="240" w:after="240" w:line="360" w:lineRule="auto"/>
        <w:rPr>
          <w:rFonts w:hint="eastAsia"/>
          <w:color w:val="000000"/>
          <w:sz w:val="24"/>
          <w:szCs w:val="20"/>
        </w:rPr>
      </w:pPr>
      <w:r>
        <w:rPr>
          <w:rFonts w:hint="eastAsia"/>
          <w:color w:val="000000"/>
          <w:sz w:val="24"/>
          <w:szCs w:val="20"/>
        </w:rPr>
      </w:r>
      <w:r/>
    </w:p>
    <w:p>
      <w:pPr>
        <w:pStyle w:val="1140"/>
        <w:jc w:val="center"/>
        <w:spacing w:before="240" w:after="240" w:line="360" w:lineRule="auto"/>
        <w:rPr>
          <w:rFonts w:hint="eastAsia"/>
          <w:color w:val="000000"/>
          <w:sz w:val="24"/>
          <w:szCs w:val="20"/>
        </w:rPr>
      </w:pPr>
      <w:r>
        <w:rPr>
          <w:rFonts w:hint="eastAsia"/>
          <w:color w:val="000000"/>
          <w:sz w:val="24"/>
          <w:szCs w:val="20"/>
        </w:rPr>
      </w:r>
      <w:r/>
    </w:p>
    <w:p>
      <w:pPr>
        <w:pStyle w:val="1140"/>
        <w:jc w:val="center"/>
        <w:spacing w:before="240" w:after="240" w:line="360" w:lineRule="auto"/>
        <w:rPr>
          <w:rFonts w:hint="eastAsia"/>
          <w:color w:val="000000"/>
          <w:sz w:val="24"/>
          <w:szCs w:val="20"/>
        </w:rPr>
      </w:pPr>
      <w:r>
        <w:rPr>
          <w:rFonts w:hint="eastAsia"/>
          <w:color w:val="000000"/>
          <w:sz w:val="24"/>
          <w:szCs w:val="20"/>
        </w:rPr>
      </w:r>
      <w:r/>
    </w:p>
    <w:p>
      <w:pPr>
        <w:pStyle w:val="1140"/>
        <w:jc w:val="center"/>
        <w:spacing w:before="240" w:after="240" w:line="360" w:lineRule="auto"/>
        <w:rPr>
          <w:color w:val="000000"/>
          <w:sz w:val="24"/>
          <w:szCs w:val="20"/>
        </w:rPr>
      </w:pPr>
      <w:r>
        <w:rPr>
          <w:color w:val="000000"/>
          <w:sz w:val="24"/>
          <w:szCs w:val="20"/>
        </w:rPr>
      </w:r>
      <w:r/>
    </w:p>
    <w:p>
      <w:pPr>
        <w:pStyle w:val="1140"/>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140"/>
        <w:jc w:val="center"/>
        <w:rPr>
          <w:color w:val="000000"/>
          <w:sz w:val="36"/>
          <w:szCs w:val="36"/>
        </w:rPr>
      </w:pPr>
      <w:r>
        <w:rPr>
          <w:color w:val="000000"/>
          <w:sz w:val="36"/>
          <w:szCs w:val="36"/>
        </w:rPr>
      </w:r>
      <w:r/>
    </w:p>
    <w:p>
      <w:pPr>
        <w:pStyle w:val="1140"/>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140"/>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140"/>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140"/>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140"/>
        <w:ind w:firstLine="504"/>
        <w:spacing w:line="588" w:lineRule="exact"/>
        <w:rPr>
          <w:spacing w:val="6"/>
          <w:sz w:val="24"/>
        </w:rPr>
      </w:pPr>
      <w:r>
        <w:rPr>
          <w:spacing w:val="6"/>
          <w:sz w:val="24"/>
        </w:rPr>
      </w:r>
      <w:r/>
    </w:p>
    <w:p>
      <w:pPr>
        <w:pStyle w:val="1140"/>
        <w:ind w:firstLine="504"/>
        <w:spacing w:line="588" w:lineRule="exact"/>
        <w:rPr>
          <w:spacing w:val="6"/>
          <w:sz w:val="24"/>
        </w:rPr>
      </w:pPr>
      <w:r>
        <w:rPr>
          <w:spacing w:val="6"/>
          <w:sz w:val="24"/>
        </w:rPr>
      </w:r>
      <w:r/>
    </w:p>
    <w:p>
      <w:pPr>
        <w:pStyle w:val="1140"/>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1140"/>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143"/>
        <w:rPr>
          <w:rFonts w:hint="eastAsia"/>
        </w:rPr>
      </w:pPr>
      <w:r>
        <w:rPr>
          <w:rFonts w:hint="eastAsia"/>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tabs>
          <w:tab w:val="left" w:pos="5580" w:leader="none"/>
        </w:tabs>
        <w:rPr>
          <w:color w:val="000000"/>
          <w:sz w:val="24"/>
          <w:szCs w:val="20"/>
          <w:highlight w:val="none"/>
        </w:rPr>
      </w:pPr>
      <w:r>
        <w:rPr>
          <w:color w:val="000000"/>
          <w:sz w:val="24"/>
          <w:szCs w:val="20"/>
          <w:highlight w:val="none"/>
        </w:rPr>
      </w:r>
      <w:r/>
    </w:p>
    <w:p>
      <w:pPr>
        <w:pStyle w:val="1140"/>
        <w:spacing w:line="360" w:lineRule="auto"/>
        <w:rPr>
          <w:color w:val="000000"/>
          <w:sz w:val="24"/>
          <w:szCs w:val="20"/>
          <w:highlight w:val="none"/>
        </w:rPr>
        <w:outlineLvl w:val="2"/>
      </w:pPr>
      <w:r>
        <w:rPr>
          <w:b/>
          <w:color w:val="000000"/>
          <w:sz w:val="24"/>
          <w:highlight w:val="none"/>
        </w:rPr>
        <w:br w:type="page" w:clear="all"/>
      </w:r>
      <w:bookmarkStart w:id="653" w:name="_Toc127151557"/>
      <w:r/>
      <w:bookmarkStart w:id="654" w:name="_Toc226965747"/>
      <w:r/>
      <w:bookmarkStart w:id="655" w:name="_Ref467988705"/>
      <w:r/>
      <w:bookmarkStart w:id="656" w:name="_Toc265228395"/>
      <w:r/>
      <w:bookmarkStart w:id="657" w:name="_Toc195842922"/>
      <w:r/>
      <w:bookmarkStart w:id="658" w:name="_Toc520356218"/>
      <w:r/>
      <w:bookmarkStart w:id="659" w:name="_Toc305158825"/>
      <w:r/>
      <w:bookmarkStart w:id="660" w:name="_Toc150480795"/>
      <w:r/>
      <w:bookmarkStart w:id="661" w:name="_Toc226309801"/>
      <w:r/>
      <w:bookmarkStart w:id="662" w:name="_Toc142311059"/>
      <w:r/>
      <w:bookmarkStart w:id="663" w:name="_Toc480942350"/>
      <w:r/>
      <w:bookmarkStart w:id="664" w:name="_Toc226965830"/>
      <w:r/>
      <w:bookmarkStart w:id="665" w:name="_Toc305158899"/>
      <w:r/>
      <w:bookmarkStart w:id="666" w:name="_Toc226337253"/>
      <w:r/>
      <w:bookmarkStart w:id="667" w:name="_Toc264969247"/>
      <w:r/>
      <w:bookmarkStart w:id="668" w:name="_Toc150774762"/>
      <w:r>
        <w:rPr>
          <w:rFonts w:hint="eastAsia"/>
          <w:color w:val="000000"/>
          <w:sz w:val="24"/>
          <w:highlight w:val="none"/>
          <w:lang w:val="en-US" w:eastAsia="zh-CN"/>
        </w:rPr>
        <w:t xml:space="preserve">3</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140"/>
        <w:spacing w:line="360" w:lineRule="auto"/>
        <w:tabs>
          <w:tab w:val="left" w:pos="5580" w:leader="none"/>
        </w:tabs>
        <w:rPr>
          <w:color w:val="000000"/>
          <w:sz w:val="24"/>
          <w:highlight w:val="none"/>
        </w:rPr>
      </w:pPr>
      <w:r>
        <w:rPr>
          <w:color w:val="000000"/>
          <w:sz w:val="24"/>
          <w:highlight w:val="none"/>
        </w:rPr>
      </w:r>
      <w:r/>
    </w:p>
    <w:p>
      <w:pPr>
        <w:pStyle w:val="1140"/>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1140"/>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140"/>
        <w:spacing w:line="360" w:lineRule="auto"/>
        <w:tabs>
          <w:tab w:val="left" w:pos="5580" w:leader="none"/>
        </w:tabs>
        <w:rPr>
          <w:color w:val="000000"/>
          <w:sz w:val="24"/>
          <w:szCs w:val="20"/>
          <w:highlight w:val="none"/>
        </w:rPr>
      </w:pPr>
      <w:r>
        <w:rPr>
          <w:color w:val="000000"/>
          <w:sz w:val="24"/>
          <w:szCs w:val="20"/>
          <w:highlight w:val="none"/>
        </w:rPr>
      </w:r>
      <w:r/>
    </w:p>
    <w:p>
      <w:pPr>
        <w:pStyle w:val="1140"/>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140"/>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1140"/>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140"/>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1140"/>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140"/>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sz w:val="24"/>
          <w:highlight w:val="none"/>
        </w:rPr>
      </w:r>
      <w:r/>
    </w:p>
    <w:p>
      <w:pPr>
        <w:pStyle w:val="1140"/>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140"/>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1140"/>
        <w:ind w:left="420"/>
        <w:spacing w:line="360" w:lineRule="auto"/>
        <w:tabs>
          <w:tab w:val="left" w:pos="5580" w:leader="none"/>
        </w:tabs>
        <w:rPr>
          <w:color w:val="000000"/>
          <w:sz w:val="24"/>
          <w:szCs w:val="20"/>
          <w:highlight w:val="none"/>
        </w:rPr>
      </w:pPr>
      <w:r>
        <w:rPr>
          <w:color w:val="000000"/>
          <w:sz w:val="24"/>
          <w:szCs w:val="20"/>
          <w:highlight w:val="none"/>
        </w:rPr>
      </w:r>
      <w:r/>
    </w:p>
    <w:p>
      <w:pPr>
        <w:pStyle w:val="1140"/>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140"/>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140"/>
        <w:ind w:left="420"/>
        <w:spacing w:line="360" w:lineRule="auto"/>
        <w:tabs>
          <w:tab w:val="left" w:pos="5580" w:leader="none"/>
        </w:tabs>
        <w:rPr>
          <w:color w:val="000000"/>
          <w:sz w:val="24"/>
          <w:szCs w:val="20"/>
          <w:highlight w:val="none"/>
        </w:rPr>
      </w:pPr>
      <w:r>
        <w:rPr>
          <w:color w:val="000000"/>
          <w:sz w:val="24"/>
          <w:szCs w:val="20"/>
          <w:highlight w:val="none"/>
        </w:rPr>
      </w:r>
      <w:r/>
    </w:p>
    <w:p>
      <w:pPr>
        <w:pStyle w:val="1140"/>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1140"/>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140"/>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140"/>
        <w:jc w:val="left"/>
        <w:widowControl/>
        <w:rPr>
          <w:rFonts w:hint="eastAsia"/>
          <w:color w:val="000000"/>
          <w:sz w:val="24"/>
          <w:highlight w:val="none"/>
        </w:rPr>
      </w:pPr>
      <w:r/>
      <w:bookmarkStart w:id="669" w:name="_Hlt520355938"/>
      <w:r/>
      <w:bookmarkEnd w:id="669"/>
      <w:r/>
      <w:bookmarkStart w:id="670" w:name="_Hlt520356243"/>
      <w:r/>
      <w:bookmarkEnd w:id="670"/>
      <w:r>
        <w:rPr>
          <w:color w:val="000000"/>
          <w:sz w:val="24"/>
          <w:highlight w:val="none"/>
        </w:rPr>
        <w:br w:type="page" w:clear="all"/>
      </w: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lang w:val="en-US" w:eastAsia="zh-CN"/>
        </w:rPr>
        <w:t xml:space="preserve">4</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114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4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140"/>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14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14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14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rPr>
          <w:rFonts w:ascii="宋体" w:hAnsi="宋体"/>
          <w:color w:val="000000"/>
          <w:sz w:val="24"/>
          <w:highlight w:val="none"/>
        </w:rPr>
      </w:r>
      <w:r/>
    </w:p>
    <w:p>
      <w:pPr>
        <w:pStyle w:val="114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140"/>
        <w:spacing w:line="560" w:lineRule="exact"/>
        <w:rPr>
          <w:rFonts w:ascii="宋体" w:hAnsi="宋体"/>
          <w:color w:val="000000"/>
          <w:sz w:val="24"/>
          <w:highlight w:val="none"/>
        </w:rPr>
      </w:pPr>
      <w:r>
        <w:rPr>
          <w:rFonts w:ascii="宋体" w:hAnsi="宋体"/>
          <w:color w:val="000000"/>
          <w:sz w:val="24"/>
          <w:highlight w:val="none"/>
        </w:rPr>
      </w:r>
      <w:r/>
    </w:p>
    <w:p>
      <w:pPr>
        <w:pStyle w:val="117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4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4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4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14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4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4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140"/>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114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140"/>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14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140"/>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w:t>
      </w:r>
      <w:r>
        <w:rPr>
          <w:rFonts w:ascii="宋体" w:hAnsi="宋体"/>
          <w:i/>
          <w:color w:val="000000"/>
          <w:sz w:val="24"/>
          <w:szCs w:val="20"/>
          <w:highlight w:val="none"/>
          <w:u w:val="singl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3"/>
        <w:rPr>
          <w:rFonts w:hint="eastAsia"/>
        </w:rPr>
      </w:pPr>
      <w:r>
        <w:rPr>
          <w:rFonts w:hint="eastAsia"/>
        </w:rPr>
      </w:r>
      <w:r/>
    </w:p>
    <w:p>
      <w:pPr>
        <w:pStyle w:val="1140"/>
        <w:jc w:val="left"/>
        <w:widowControl/>
        <w:rPr>
          <w:rFonts w:hint="eastAsia"/>
          <w:color w:val="000000"/>
          <w:sz w:val="24"/>
          <w:highlight w:val="none"/>
        </w:rPr>
      </w:pPr>
      <w:r>
        <w:rPr>
          <w:rFonts w:hint="eastAsia"/>
          <w:color w:val="000000"/>
          <w:sz w:val="24"/>
          <w:highlight w:val="none"/>
        </w:rPr>
      </w:r>
      <w:r/>
    </w:p>
    <w:p>
      <w:pPr>
        <w:pStyle w:val="1140"/>
        <w:jc w:val="center"/>
        <w:spacing w:line="240" w:lineRule="atLeas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40"/>
        <w:jc w:val="center"/>
        <w:spacing w:line="240" w:lineRule="atLeas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授权委托书</w:t>
      </w:r>
      <w:r>
        <w:rPr>
          <w:rFonts w:hint="eastAsia" w:ascii="宋体" w:hAnsi="宋体" w:cs="宋体"/>
          <w:b/>
          <w:color w:val="000000"/>
          <w:sz w:val="32"/>
          <w:szCs w:val="32"/>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号）项目投标的合法代理人，全权负责参加本次政府采购项目的投标、签订合约以及与之相关的各项工作。本投标人对代理人的签名负全部责任。</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本授权书于__________年_______月________日签字生效，特此声明。</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法定代表人签字或盖章：             日期：</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委托代理人签字或盖章：             日期：</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投标人公章： </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1140"/>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71"/>
        <w:ind w:right="-46"/>
        <w:spacing w:line="583" w:lineRule="auto"/>
        <w:tabs>
          <w:tab w:val="left" w:pos="567" w:leader="none"/>
        </w:tabs>
        <w:rPr>
          <w:rFonts w:hint="eastAsia" w:cs="宋体"/>
          <w:color w:val="000000"/>
          <w:spacing w:val="-3"/>
          <w:highlight w:val="none"/>
        </w:rPr>
      </w:pPr>
      <w:r>
        <w:rPr>
          <w:rFonts w:hint="eastAsia" w:cs="宋体"/>
          <w:color w:val="000000"/>
          <w:highlight w:val="none"/>
        </w:rPr>
        <w:t xml:space="preserve">附：</w:t>
      </w:r>
      <w:r>
        <w:rPr>
          <w:rFonts w:hint="eastAsia" w:cs="宋体"/>
          <w:color w:val="000000"/>
          <w:szCs w:val="21"/>
          <w:highlight w:val="none"/>
        </w:rPr>
        <w:t xml:space="preserve">代理人</w:t>
      </w:r>
      <w:r>
        <w:rPr>
          <w:rFonts w:hint="eastAsia" w:cs="宋体"/>
          <w:color w:val="000000"/>
          <w:spacing w:val="-3"/>
          <w:highlight w:val="none"/>
        </w:rPr>
        <w:t xml:space="preserve">有效期内的身份证正反面电子件。</w:t>
      </w:r>
      <w:r>
        <w:rPr>
          <w:rFonts w:hint="eastAsia" w:cs="宋体"/>
          <w:color w:val="000000"/>
          <w:spacing w:val="-3"/>
          <w:highlight w:val="none"/>
        </w:rPr>
      </w:r>
      <w:r/>
    </w:p>
    <w:p>
      <w:pPr>
        <w:pStyle w:val="1140"/>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40"/>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（复印件）粘贴处</w:t>
      </w:r>
      <w:r>
        <w:rPr>
          <w:rFonts w:hint="eastAsia" w:ascii="宋体" w:hAnsi="宋体" w:cs="宋体"/>
          <w:color w:val="000000"/>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14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4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4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4536" w:type="dxa"/>
            <w:vAlign w:val="top"/>
            <w:textDirection w:val="lrTb"/>
            <w:noWrap w:val="false"/>
          </w:tcPr>
          <w:p>
            <w:pPr>
              <w:pStyle w:val="114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4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4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1140"/>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p>
      <w:pPr>
        <w:pStyle w:val="114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1、法定代表人参加的，提供法人资格证明和本人身份证原件。</w:t>
      </w:r>
      <w:r>
        <w:rPr>
          <w:rFonts w:hint="eastAsia" w:ascii="宋体" w:hAnsi="宋体" w:cs="宋体"/>
          <w:color w:val="000000"/>
          <w:sz w:val="24"/>
          <w:highlight w:val="none"/>
        </w:rPr>
      </w:r>
      <w:r/>
    </w:p>
    <w:p>
      <w:pPr>
        <w:pStyle w:val="1140"/>
        <w:jc w:val="left"/>
        <w:widowControl/>
        <w:rPr>
          <w:rFonts w:hint="eastAsia"/>
          <w:color w:val="000000"/>
          <w:sz w:val="24"/>
          <w:highlight w:val="none"/>
        </w:rPr>
      </w:pPr>
      <w:r>
        <w:rPr>
          <w:rFonts w:hint="eastAsia" w:ascii="宋体" w:hAnsi="宋体" w:cs="宋体"/>
          <w:color w:val="000000"/>
          <w:sz w:val="24"/>
          <w:highlight w:val="none"/>
        </w:rPr>
        <w:t xml:space="preserve">2、委托代理人参加的，提供法人资格证明、授权委托书和本人身份证原件。</w:t>
      </w: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r>
      <w:r/>
    </w:p>
    <w:p>
      <w:pPr>
        <w:pStyle w:val="1140"/>
        <w:jc w:val="left"/>
        <w:widowControl/>
        <w:rPr>
          <w:rFonts w:hint="eastAsia"/>
          <w:color w:val="000000"/>
          <w:sz w:val="24"/>
          <w:highlight w:val="none"/>
        </w:rPr>
      </w:pPr>
      <w:r>
        <w:rPr>
          <w:rFonts w:hint="eastAsia"/>
          <w:color w:val="000000"/>
          <w:sz w:val="24"/>
          <w:highlight w:val="none"/>
        </w:rPr>
        <w:br w:type="page" w:clear="all"/>
      </w:r>
      <w:r>
        <w:rPr>
          <w:rFonts w:hint="eastAsia"/>
          <w:color w:val="000000"/>
          <w:sz w:val="24"/>
          <w:highlight w:val="none"/>
          <w:lang w:val="en-US" w:eastAsia="zh-CN"/>
        </w:rPr>
        <w:t xml:space="preserve">5</w:t>
      </w:r>
      <w:r>
        <w:rPr>
          <w:rFonts w:hint="eastAsia"/>
          <w:color w:val="000000"/>
          <w:sz w:val="24"/>
          <w:highlight w:val="none"/>
        </w:rPr>
        <w:t xml:space="preserve">  政府采购供应商信用承诺书</w:t>
      </w:r>
      <w:r>
        <w:rPr>
          <w:color w:val="000000"/>
          <w:sz w:val="24"/>
          <w:szCs w:val="20"/>
          <w:highlight w:val="none"/>
        </w:rPr>
        <w:t xml:space="preserve">（实质性格式）</w:t>
      </w:r>
      <w:r>
        <w:rPr>
          <w:rFonts w:hint="eastAsia"/>
          <w:color w:val="000000"/>
          <w:sz w:val="24"/>
          <w:highlight w:val="none"/>
        </w:rPr>
      </w:r>
      <w:r/>
    </w:p>
    <w:p>
      <w:pPr>
        <w:pStyle w:val="1140"/>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140"/>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140"/>
        <w:ind w:firstLine="640"/>
        <w:rPr>
          <w:color w:val="000000"/>
          <w:highlight w:val="none"/>
        </w:rPr>
      </w:pPr>
      <w:r>
        <w:rPr>
          <w:color w:val="000000"/>
          <w:highlight w:val="none"/>
        </w:rPr>
      </w:r>
      <w:r/>
    </w:p>
    <w:p>
      <w:pPr>
        <w:pStyle w:val="11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1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1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1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1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1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1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1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1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1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1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14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90"/>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140"/>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140"/>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40"/>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1140"/>
        <w:spacing w:line="360" w:lineRule="auto"/>
        <w:rPr>
          <w:color w:val="000000"/>
          <w:sz w:val="24"/>
          <w:szCs w:val="20"/>
          <w:highlight w:val="none"/>
        </w:rPr>
        <w:outlineLvl w:val="2"/>
      </w:pPr>
      <w:r>
        <w:rPr>
          <w:rFonts w:hint="eastAsia"/>
          <w:color w:val="000000"/>
          <w:sz w:val="24"/>
          <w:szCs w:val="20"/>
          <w:highlight w:val="none"/>
          <w:lang w:val="en-US" w:eastAsia="zh-CN"/>
        </w:rPr>
        <w:t xml:space="preserve">6</w:t>
      </w:r>
      <w:r>
        <w:rPr>
          <w:color w:val="000000"/>
          <w:sz w:val="24"/>
          <w:szCs w:val="20"/>
          <w:highlight w:val="none"/>
        </w:rPr>
        <w:t xml:space="preserve">  报价一览表</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color w:val="000000"/>
          <w:sz w:val="24"/>
          <w:szCs w:val="20"/>
          <w:highlight w:val="none"/>
        </w:rPr>
      </w:r>
      <w:r/>
    </w:p>
    <w:p>
      <w:pPr>
        <w:pStyle w:val="1140"/>
        <w:jc w:val="center"/>
        <w:rPr>
          <w:b/>
          <w:color w:val="000000"/>
          <w:sz w:val="36"/>
          <w:szCs w:val="36"/>
          <w:highlight w:val="none"/>
        </w:rPr>
      </w:pPr>
      <w:r/>
      <w:bookmarkStart w:id="671" w:name="_Toc265228396"/>
      <w:r/>
      <w:bookmarkStart w:id="672" w:name="_Toc226309802"/>
      <w:r/>
      <w:bookmarkStart w:id="673" w:name="_Toc195842923"/>
      <w:r/>
      <w:bookmarkStart w:id="674" w:name="_Toc164608827"/>
      <w:r/>
      <w:bookmarkStart w:id="675" w:name="_Toc264969248"/>
      <w:r/>
      <w:bookmarkStart w:id="676" w:name="_Toc164608672"/>
      <w:r/>
      <w:bookmarkStart w:id="677" w:name="_Toc305158826"/>
      <w:r/>
      <w:bookmarkStart w:id="678" w:name="_Toc226965831"/>
      <w:r/>
      <w:bookmarkStart w:id="679" w:name="_Toc226965748"/>
      <w:r/>
      <w:bookmarkStart w:id="680" w:name="_Toc226337254"/>
      <w:r/>
      <w:bookmarkStart w:id="681" w:name="_Toc305158900"/>
      <w:r>
        <w:rPr>
          <w:rFonts w:hint="eastAsia"/>
          <w:b/>
          <w:color w:val="000000"/>
          <w:sz w:val="36"/>
          <w:szCs w:val="36"/>
          <w:highlight w:val="none"/>
        </w:rPr>
        <w:t xml:space="preserve">报价一览表</w:t>
      </w:r>
      <w:bookmarkEnd w:id="671"/>
      <w:r/>
      <w:bookmarkEnd w:id="672"/>
      <w:r/>
      <w:bookmarkEnd w:id="673"/>
      <w:r/>
      <w:bookmarkEnd w:id="674"/>
      <w:r/>
      <w:bookmarkEnd w:id="675"/>
      <w:r/>
      <w:bookmarkEnd w:id="676"/>
      <w:r/>
      <w:bookmarkEnd w:id="677"/>
      <w:r/>
      <w:bookmarkEnd w:id="678"/>
      <w:r/>
      <w:bookmarkEnd w:id="679"/>
      <w:r/>
      <w:bookmarkEnd w:id="680"/>
      <w:r/>
      <w:bookmarkEnd w:id="681"/>
      <w:r>
        <w:rPr>
          <w:b/>
          <w:color w:val="000000"/>
          <w:sz w:val="36"/>
          <w:szCs w:val="36"/>
          <w:highlight w:val="none"/>
        </w:rPr>
      </w:r>
      <w:r/>
    </w:p>
    <w:p>
      <w:pPr>
        <w:pStyle w:val="1140"/>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1140"/>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1140"/>
        <w:ind w:firstLine="24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w:t>
      </w:r>
      <w:r>
        <w:rPr>
          <w:color w:val="000000"/>
          <w:sz w:val="24"/>
          <w:highlight w:val="none"/>
        </w:rPr>
      </w:r>
      <w:r/>
    </w:p>
    <w:p>
      <w:pPr>
        <w:pStyle w:val="1140"/>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项目名称：_______________________</w:t>
      </w:r>
      <w:r>
        <w:rPr>
          <w:color w:val="000000"/>
          <w:sz w:val="24"/>
          <w:highlight w:val="none"/>
          <w:u w:val="single"/>
        </w:rPr>
      </w:r>
      <w:r/>
    </w:p>
    <w:tbl>
      <w:tblPr>
        <w:tblW w:w="4517" w:type="pct"/>
        <w:jc w:val="center"/>
        <w:tblInd w:w="4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50"/>
        <w:gridCol w:w="2976"/>
        <w:gridCol w:w="2118"/>
        <w:gridCol w:w="1745"/>
      </w:tblGrid>
      <w:tr>
        <w:trPr>
          <w:trHeight w:val="531"/>
        </w:trPr>
        <w:tc>
          <w:tcPr>
            <w:tcW w:w="494" w:type="dxa"/>
            <w:vAlign w:val="center"/>
            <w:vMerge w:val="restart"/>
            <w:textDirection w:val="lrTb"/>
            <w:noWrap w:val="false"/>
          </w:tcPr>
          <w:p>
            <w:pPr>
              <w:pStyle w:val="1140"/>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val="false"/>
          </w:tcPr>
          <w:p>
            <w:pPr>
              <w:pStyle w:val="1140"/>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gridSpan w:val="2"/>
            <w:tcW w:w="3863" w:type="dxa"/>
            <w:vAlign w:val="center"/>
            <w:textDirection w:val="lrTb"/>
            <w:noWrap w:val="false"/>
          </w:tcPr>
          <w:p>
            <w:pPr>
              <w:pStyle w:val="1140"/>
              <w:jc w:val="center"/>
              <w:tabs>
                <w:tab w:val="left" w:pos="5580" w:leader="none"/>
              </w:tabs>
              <w:rPr>
                <w:rFonts w:hint="eastAsia"/>
                <w:b/>
                <w:color w:val="000000"/>
                <w:sz w:val="24"/>
                <w:highlight w:val="none"/>
              </w:rPr>
            </w:pPr>
            <w:r>
              <w:rPr>
                <w:rFonts w:hint="eastAsia"/>
                <w:b/>
                <w:color w:val="000000"/>
                <w:sz w:val="24"/>
                <w:highlight w:val="none"/>
              </w:rPr>
              <w:t xml:space="preserve">报价</w:t>
            </w:r>
            <w:r>
              <w:rPr>
                <w:rFonts w:hint="eastAsia"/>
                <w:b/>
                <w:color w:val="000000"/>
                <w:sz w:val="24"/>
                <w:highlight w:val="none"/>
              </w:rPr>
            </w:r>
            <w:r/>
          </w:p>
        </w:tc>
      </w:tr>
      <w:tr>
        <w:trPr>
          <w:trHeight w:val="674"/>
        </w:trPr>
        <w:tc>
          <w:tcPr>
            <w:tcW w:w="750" w:type="dxa"/>
            <w:vAlign w:val="center"/>
            <w:vMerge w:val="continue"/>
            <w:textDirection w:val="lrTb"/>
            <w:noWrap w:val="false"/>
          </w:tcPr>
          <w:p>
            <w:pPr>
              <w:pStyle w:val="1140"/>
              <w:jc w:val="left"/>
              <w:widowControl/>
              <w:rPr>
                <w:b/>
                <w:color w:val="000000"/>
                <w:sz w:val="24"/>
                <w:highlight w:val="none"/>
              </w:rPr>
            </w:pPr>
            <w:r>
              <w:rPr>
                <w:b/>
                <w:color w:val="000000"/>
                <w:sz w:val="24"/>
                <w:highlight w:val="none"/>
              </w:rPr>
            </w:r>
            <w:r/>
          </w:p>
        </w:tc>
        <w:tc>
          <w:tcPr>
            <w:tcW w:w="2976" w:type="dxa"/>
            <w:vAlign w:val="center"/>
            <w:vMerge w:val="continue"/>
            <w:textDirection w:val="lrTb"/>
            <w:noWrap w:val="false"/>
          </w:tcPr>
          <w:p>
            <w:pPr>
              <w:pStyle w:val="1140"/>
              <w:jc w:val="left"/>
              <w:widowControl/>
              <w:rPr>
                <w:b/>
                <w:color w:val="000000"/>
                <w:sz w:val="24"/>
                <w:highlight w:val="none"/>
              </w:rPr>
            </w:pPr>
            <w:r>
              <w:rPr>
                <w:b/>
                <w:color w:val="000000"/>
                <w:sz w:val="24"/>
                <w:highlight w:val="none"/>
              </w:rPr>
            </w:r>
            <w:r/>
          </w:p>
        </w:tc>
        <w:tc>
          <w:tcPr>
            <w:tcW w:w="1395" w:type="dxa"/>
            <w:vAlign w:val="center"/>
            <w:textDirection w:val="lrTb"/>
            <w:noWrap w:val="false"/>
          </w:tcPr>
          <w:p>
            <w:pPr>
              <w:pStyle w:val="1140"/>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1149" w:type="dxa"/>
            <w:vAlign w:val="center"/>
            <w:textDirection w:val="lrTb"/>
            <w:noWrap w:val="false"/>
          </w:tcPr>
          <w:p>
            <w:pPr>
              <w:pStyle w:val="1140"/>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494" w:type="dxa"/>
            <w:vAlign w:val="center"/>
            <w:textDirection w:val="lrTb"/>
            <w:noWrap w:val="false"/>
          </w:tcPr>
          <w:p>
            <w:pPr>
              <w:pStyle w:val="1140"/>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pStyle w:val="1140"/>
              <w:jc w:val="center"/>
              <w:tabs>
                <w:tab w:val="left" w:pos="5580" w:leader="none"/>
              </w:tabs>
              <w:rPr>
                <w:color w:val="000000"/>
                <w:sz w:val="24"/>
                <w:highlight w:val="none"/>
              </w:rPr>
            </w:pPr>
            <w:r>
              <w:rPr>
                <w:color w:val="000000"/>
                <w:sz w:val="24"/>
                <w:highlight w:val="none"/>
              </w:rPr>
            </w:r>
            <w:r/>
          </w:p>
        </w:tc>
        <w:tc>
          <w:tcPr>
            <w:tcW w:w="1395" w:type="dxa"/>
            <w:vAlign w:val="center"/>
            <w:textDirection w:val="lrTb"/>
            <w:noWrap w:val="false"/>
          </w:tcPr>
          <w:p>
            <w:pPr>
              <w:pStyle w:val="1140"/>
              <w:ind w:firstLine="482"/>
              <w:jc w:val="both"/>
              <w:tabs>
                <w:tab w:val="left" w:pos="5580" w:leader="none"/>
              </w:tabs>
              <w:rPr>
                <w:rFonts w:eastAsia="宋体"/>
                <w:b/>
                <w:bCs/>
                <w:color w:val="000000"/>
                <w:sz w:val="24"/>
                <w:highlight w:val="none"/>
                <w:u w:val="single"/>
                <w:lang w:val="en-US" w:eastAsia="zh-CN"/>
              </w:rPr>
            </w:pPr>
            <w:r>
              <w:rPr>
                <w:rFonts w:eastAsia="宋体"/>
                <w:b/>
                <w:bCs/>
                <w:color w:val="000000"/>
                <w:sz w:val="24"/>
                <w:highlight w:val="none"/>
                <w:u w:val="single"/>
                <w:lang w:val="en-US" w:eastAsia="zh-CN"/>
              </w:rPr>
            </w:r>
            <w:r/>
          </w:p>
        </w:tc>
        <w:tc>
          <w:tcPr>
            <w:tcW w:w="1149" w:type="dxa"/>
            <w:vAlign w:val="center"/>
            <w:textDirection w:val="lrTb"/>
            <w:noWrap w:val="false"/>
          </w:tcPr>
          <w:p>
            <w:pPr>
              <w:pStyle w:val="1140"/>
              <w:jc w:val="center"/>
              <w:tabs>
                <w:tab w:val="left" w:pos="5580" w:leader="none"/>
              </w:tabs>
              <w:rPr>
                <w:rFonts w:hint="eastAsia" w:eastAsia="宋体"/>
                <w:b/>
                <w:bCs/>
                <w:color w:val="000000"/>
                <w:sz w:val="24"/>
                <w:highlight w:val="none"/>
                <w:lang w:val="en-US" w:eastAsia="zh-CN"/>
              </w:rPr>
            </w:pPr>
            <w:r>
              <w:rPr>
                <w:rFonts w:hint="eastAsia" w:eastAsia="宋体"/>
                <w:b/>
                <w:bCs/>
                <w:color w:val="000000"/>
                <w:sz w:val="24"/>
                <w:highlight w:val="none"/>
                <w:lang w:val="en-US" w:eastAsia="zh-CN"/>
              </w:rPr>
            </w:r>
            <w:r/>
          </w:p>
        </w:tc>
      </w:tr>
    </w:tbl>
    <w:p>
      <w:pPr>
        <w:pStyle w:val="1140"/>
        <w:jc w:val="left"/>
        <w:rPr>
          <w:color w:val="000000"/>
          <w:sz w:val="24"/>
          <w:highlight w:val="none"/>
        </w:rPr>
      </w:pPr>
      <w:r>
        <w:rPr>
          <w:color w:val="000000"/>
          <w:sz w:val="24"/>
          <w:highlight w:val="none"/>
        </w:rPr>
      </w:r>
      <w:r/>
    </w:p>
    <w:p>
      <w:pPr>
        <w:pStyle w:val="1140"/>
        <w:spacing w:before="25" w:after="25" w:line="360" w:lineRule="auto"/>
        <w:rPr>
          <w:color w:val="000000"/>
          <w:sz w:val="24"/>
          <w:highlight w:val="none"/>
        </w:rPr>
      </w:pPr>
      <w:r>
        <w:rPr>
          <w:color w:val="000000"/>
          <w:sz w:val="24"/>
          <w:highlight w:val="none"/>
        </w:rPr>
      </w:r>
      <w:r/>
    </w:p>
    <w:p>
      <w:pPr>
        <w:pStyle w:val="1140"/>
        <w:spacing w:before="25" w:after="25" w:line="360" w:lineRule="auto"/>
        <w:rPr>
          <w:color w:val="000000"/>
          <w:sz w:val="24"/>
          <w:highlight w:val="none"/>
        </w:rPr>
      </w:pPr>
      <w:r>
        <w:rPr>
          <w:color w:val="000000"/>
          <w:sz w:val="24"/>
          <w:highlight w:val="none"/>
        </w:rPr>
      </w:r>
      <w:r/>
    </w:p>
    <w:p>
      <w:pPr>
        <w:pStyle w:val="1140"/>
        <w:spacing w:before="25" w:after="25" w:line="360" w:lineRule="auto"/>
        <w:rPr>
          <w:color w:val="000000"/>
          <w:sz w:val="24"/>
          <w:highlight w:val="none"/>
        </w:rPr>
      </w:pPr>
      <w:r>
        <w:rPr>
          <w:color w:val="000000"/>
          <w:sz w:val="24"/>
          <w:highlight w:val="none"/>
        </w:rPr>
      </w:r>
      <w:r/>
    </w:p>
    <w:p>
      <w:pPr>
        <w:pStyle w:val="1140"/>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140"/>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40"/>
        <w:spacing w:line="360" w:lineRule="auto"/>
        <w:rPr>
          <w:color w:val="000000"/>
          <w:sz w:val="24"/>
          <w:szCs w:val="20"/>
          <w:highlight w:val="none"/>
        </w:rPr>
        <w:outlineLvl w:val="2"/>
      </w:pPr>
      <w:r/>
      <w:bookmarkStart w:id="682" w:name="_Toc264969252"/>
      <w:r/>
      <w:bookmarkStart w:id="683" w:name="_Toc226965835"/>
      <w:r/>
      <w:bookmarkStart w:id="684" w:name="_Toc305158904"/>
      <w:r/>
      <w:bookmarkStart w:id="685" w:name="_Toc305158830"/>
      <w:r/>
      <w:bookmarkStart w:id="686" w:name="_Toc142311062"/>
      <w:r/>
      <w:bookmarkStart w:id="687" w:name="_Toc226337258"/>
      <w:r/>
      <w:bookmarkStart w:id="688" w:name="_Toc150480798"/>
      <w:r/>
      <w:bookmarkStart w:id="689" w:name="_Toc195842927"/>
      <w:r/>
      <w:bookmarkStart w:id="690" w:name="_Toc127151562"/>
      <w:r/>
      <w:bookmarkStart w:id="691" w:name="_Toc150774765"/>
      <w:r/>
      <w:bookmarkStart w:id="692" w:name="_Toc226309806"/>
      <w:r/>
      <w:bookmarkStart w:id="693" w:name="_Toc265228400"/>
      <w:r/>
      <w:bookmarkStart w:id="694" w:name="_Toc226965752"/>
      <w:r/>
      <w:bookmarkStart w:id="695" w:name="_Toc150774764"/>
      <w:r/>
      <w:bookmarkStart w:id="696" w:name="_Toc305158903"/>
      <w:r/>
      <w:bookmarkStart w:id="697" w:name="_Toc150480797"/>
      <w:r/>
      <w:bookmarkStart w:id="698" w:name="_Toc127151561"/>
      <w:r/>
      <w:bookmarkStart w:id="699" w:name="_Toc226965834"/>
      <w:r/>
      <w:bookmarkStart w:id="700" w:name="_Toc264969251"/>
      <w:r/>
      <w:bookmarkStart w:id="701" w:name="_Toc195842926"/>
      <w:r/>
      <w:bookmarkStart w:id="702" w:name="_Toc305158829"/>
      <w:r/>
      <w:bookmarkStart w:id="703" w:name="_Toc226309805"/>
      <w:r/>
      <w:bookmarkStart w:id="704" w:name="_Toc142311061"/>
      <w:r/>
      <w:bookmarkStart w:id="705" w:name="_Toc265228399"/>
      <w:r/>
      <w:bookmarkStart w:id="706" w:name="_Toc226965751"/>
      <w:r/>
      <w:bookmarkStart w:id="707" w:name="_Toc226337257"/>
      <w:r>
        <w:rPr>
          <w:color w:val="000000"/>
          <w:sz w:val="24"/>
          <w:szCs w:val="20"/>
          <w:highlight w:val="none"/>
        </w:rPr>
      </w:r>
      <w:r/>
    </w:p>
    <w:p>
      <w:pPr>
        <w:pStyle w:val="1171"/>
        <w:tabs>
          <w:tab w:val="left" w:pos="567" w:leader="none"/>
        </w:tabs>
        <w:rPr>
          <w:color w:val="000000"/>
          <w:sz w:val="24"/>
          <w:szCs w:val="20"/>
          <w:highlight w:val="none"/>
        </w:rPr>
      </w:pPr>
      <w:r>
        <w:rPr>
          <w:color w:val="000000"/>
          <w:sz w:val="24"/>
          <w:szCs w:val="20"/>
          <w:highlight w:val="none"/>
        </w:rPr>
      </w:r>
      <w:r/>
    </w:p>
    <w:p>
      <w:pPr>
        <w:pStyle w:val="1140"/>
        <w:rPr>
          <w:color w:val="000000"/>
          <w:sz w:val="24"/>
          <w:szCs w:val="20"/>
          <w:highlight w:val="none"/>
        </w:rPr>
      </w:pPr>
      <w:r>
        <w:rPr>
          <w:color w:val="000000"/>
          <w:sz w:val="24"/>
          <w:szCs w:val="20"/>
          <w:highlight w:val="none"/>
        </w:rPr>
      </w:r>
      <w:r/>
    </w:p>
    <w:p>
      <w:pPr>
        <w:pStyle w:val="1171"/>
        <w:tabs>
          <w:tab w:val="left" w:pos="567" w:leader="none"/>
        </w:tabs>
        <w:rPr>
          <w:color w:val="000000"/>
          <w:sz w:val="24"/>
          <w:szCs w:val="20"/>
          <w:highlight w:val="none"/>
        </w:rPr>
      </w:pPr>
      <w:r>
        <w:rPr>
          <w:color w:val="000000"/>
          <w:sz w:val="24"/>
          <w:szCs w:val="20"/>
          <w:highlight w:val="none"/>
        </w:rPr>
      </w:r>
      <w:r/>
    </w:p>
    <w:p>
      <w:pPr>
        <w:pStyle w:val="1140"/>
        <w:rPr>
          <w:color w:val="000000"/>
          <w:sz w:val="24"/>
          <w:szCs w:val="20"/>
          <w:highlight w:val="none"/>
        </w:rPr>
      </w:pPr>
      <w:r>
        <w:rPr>
          <w:color w:val="000000"/>
          <w:sz w:val="24"/>
          <w:szCs w:val="20"/>
          <w:highlight w:val="none"/>
        </w:rPr>
      </w:r>
      <w:r/>
    </w:p>
    <w:p>
      <w:pPr>
        <w:pStyle w:val="1171"/>
        <w:tabs>
          <w:tab w:val="left" w:pos="567" w:leader="none"/>
        </w:tabs>
        <w:rPr>
          <w:color w:val="000000"/>
          <w:sz w:val="24"/>
          <w:szCs w:val="20"/>
          <w:highlight w:val="none"/>
        </w:rPr>
      </w:pPr>
      <w:r>
        <w:rPr>
          <w:color w:val="000000"/>
          <w:sz w:val="24"/>
          <w:szCs w:val="20"/>
          <w:highlight w:val="none"/>
        </w:rPr>
      </w:r>
      <w:r/>
    </w:p>
    <w:p>
      <w:pPr>
        <w:pStyle w:val="1140"/>
        <w:rPr>
          <w:color w:val="000000"/>
          <w:sz w:val="24"/>
          <w:szCs w:val="20"/>
          <w:highlight w:val="none"/>
        </w:rPr>
      </w:pPr>
      <w:r>
        <w:rPr>
          <w:color w:val="000000"/>
          <w:sz w:val="24"/>
          <w:szCs w:val="20"/>
          <w:highlight w:val="none"/>
        </w:rPr>
      </w:r>
      <w:r/>
    </w:p>
    <w:p>
      <w:pPr>
        <w:pStyle w:val="1171"/>
        <w:numPr>
          <w:ilvl w:val="0"/>
          <w:numId w:val="0"/>
        </w:numPr>
        <w:ind w:left="420"/>
        <w:tabs>
          <w:tab w:val="left" w:pos="567" w:leader="none"/>
        </w:tabs>
        <w:rPr>
          <w:rFonts w:hint="eastAsia"/>
          <w:color w:val="000000"/>
          <w:sz w:val="24"/>
          <w:szCs w:val="20"/>
          <w:highlight w:val="none"/>
          <w:lang w:val="en-US" w:eastAsia="zh-CN"/>
        </w:rPr>
      </w:pPr>
      <w:r>
        <w:rPr>
          <w:color w:val="000000"/>
          <w:sz w:val="24"/>
          <w:szCs w:val="20"/>
          <w:highlight w:val="none"/>
        </w:rPr>
        <w:br w:type="page" w:clear="all"/>
      </w:r>
      <w:r>
        <w:rPr>
          <w:rFonts w:hint="eastAsia"/>
          <w:color w:val="000000"/>
          <w:sz w:val="24"/>
          <w:szCs w:val="20"/>
          <w:highlight w:val="none"/>
          <w:lang w:val="en-US" w:eastAsia="zh-CN"/>
        </w:rPr>
        <w:t xml:space="preserve">7 分项报价表</w:t>
      </w:r>
      <w:r>
        <w:rPr>
          <w:rFonts w:hint="eastAsia"/>
          <w:color w:val="000000"/>
          <w:sz w:val="24"/>
          <w:szCs w:val="20"/>
          <w:highlight w:val="none"/>
          <w:lang w:val="en-US" w:eastAsia="zh-CN"/>
        </w:rPr>
      </w:r>
      <w:r/>
    </w:p>
    <w:p>
      <w:pPr>
        <w:pStyle w:val="1171"/>
        <w:numPr>
          <w:ilvl w:val="0"/>
          <w:numId w:val="0"/>
        </w:numPr>
        <w:tabs>
          <w:tab w:val="left" w:pos="567" w:leader="none"/>
        </w:tabs>
        <w:rPr>
          <w:color w:val="000000"/>
          <w:sz w:val="24"/>
          <w:szCs w:val="20"/>
          <w:highlight w:val="none"/>
          <w:lang w:val="en-US" w:eastAsia="zh-CN"/>
        </w:rPr>
      </w:pPr>
      <w:r>
        <w:rPr>
          <w:color w:val="000000"/>
          <w:sz w:val="24"/>
          <w:szCs w:val="20"/>
          <w:highlight w:val="none"/>
          <w:lang w:val="en-US" w:eastAsia="zh-CN"/>
        </w:rPr>
      </w:r>
      <w:r/>
    </w:p>
    <w:p>
      <w:pPr>
        <w:pStyle w:val="1140"/>
        <w:rPr>
          <w:color w:val="000000"/>
          <w:sz w:val="24"/>
          <w:szCs w:val="20"/>
          <w:highlight w:val="none"/>
        </w:rPr>
      </w:pPr>
      <w:r>
        <w:rPr>
          <w:color w:val="000000"/>
          <w:sz w:val="24"/>
          <w:szCs w:val="20"/>
          <w:highlight w:val="none"/>
        </w:rPr>
      </w:r>
      <w:r/>
    </w:p>
    <w:p>
      <w:pPr>
        <w:pStyle w:val="1171"/>
        <w:jc w:val="center"/>
        <w:tabs>
          <w:tab w:val="left" w:pos="567" w:leader="none"/>
        </w:tabs>
        <w:rPr>
          <w:rFonts w:hint="eastAsia" w:ascii="Times New Roman" w:hAnsi="Times New Roman" w:eastAsia="宋体" w:cs="Times New Roman"/>
          <w:b/>
          <w:color w:val="000000"/>
          <w:sz w:val="36"/>
          <w:szCs w:val="36"/>
          <w:highlight w:val="none"/>
          <w:lang w:val="en-US" w:eastAsia="zh-CN" w:bidi="ar-SA"/>
        </w:rPr>
      </w:pPr>
      <w:r>
        <w:rPr>
          <w:rFonts w:hint="eastAsia" w:ascii="Times New Roman" w:hAnsi="Times New Roman" w:eastAsia="宋体" w:cs="Times New Roman"/>
          <w:b/>
          <w:color w:val="000000"/>
          <w:sz w:val="36"/>
          <w:szCs w:val="36"/>
          <w:highlight w:val="none"/>
          <w:lang w:val="en-US" w:eastAsia="zh-CN" w:bidi="ar-SA"/>
        </w:rPr>
        <w:t xml:space="preserve">分项报价表</w:t>
      </w:r>
      <w:r>
        <w:rPr>
          <w:rFonts w:hint="eastAsia" w:ascii="Times New Roman" w:hAnsi="Times New Roman" w:eastAsia="宋体" w:cs="Times New Roman"/>
          <w:b/>
          <w:color w:val="000000"/>
          <w:sz w:val="36"/>
          <w:szCs w:val="36"/>
          <w:highlight w:val="none"/>
          <w:lang w:val="en-US" w:eastAsia="zh-CN" w:bidi="ar-SA"/>
        </w:rPr>
      </w:r>
      <w:r/>
    </w:p>
    <w:p>
      <w:pPr>
        <w:pStyle w:val="1140"/>
        <w:rPr>
          <w:color w:val="000000"/>
          <w:sz w:val="24"/>
          <w:szCs w:val="20"/>
          <w:highlight w:val="none"/>
        </w:rPr>
      </w:pPr>
      <w:r>
        <w:rPr>
          <w:color w:val="000000"/>
          <w:sz w:val="24"/>
          <w:szCs w:val="20"/>
          <w:highlight w:val="none"/>
        </w:rPr>
      </w:r>
      <w:r/>
    </w:p>
    <w:p>
      <w:pPr>
        <w:pStyle w:val="1140"/>
        <w:jc w:val="center"/>
        <w:spacing w:line="260" w:lineRule="exact"/>
        <w:rPr>
          <w:color w:val="000000"/>
          <w:sz w:val="36"/>
          <w:szCs w:val="36"/>
        </w:rPr>
      </w:pPr>
      <w:r>
        <w:rPr>
          <w:color w:val="000000"/>
          <w:sz w:val="36"/>
          <w:szCs w:val="36"/>
        </w:rPr>
      </w:r>
      <w:r/>
    </w:p>
    <w:p>
      <w:pPr>
        <w:pStyle w:val="1140"/>
        <w:jc w:val="center"/>
        <w:rPr>
          <w:b/>
          <w:color w:val="000000"/>
          <w:sz w:val="28"/>
          <w:szCs w:val="36"/>
        </w:rPr>
      </w:pPr>
      <w:r>
        <w:rPr>
          <w:b/>
          <w:color w:val="000000"/>
          <w:sz w:val="28"/>
          <w:szCs w:val="36"/>
        </w:rPr>
      </w:r>
      <w:r/>
    </w:p>
    <w:p>
      <w:pPr>
        <w:pStyle w:val="1140"/>
        <w:jc w:val="center"/>
        <w:rPr>
          <w:b/>
          <w:color w:val="000000"/>
          <w:sz w:val="36"/>
          <w:szCs w:val="36"/>
        </w:rPr>
      </w:pPr>
      <w:r>
        <w:rPr>
          <w:rFonts w:hint="eastAsia"/>
          <w:b/>
          <w:color w:val="000000"/>
          <w:sz w:val="28"/>
          <w:szCs w:val="36"/>
        </w:rPr>
        <w:t xml:space="preserve">详见工程量清单</w:t>
      </w:r>
      <w:r>
        <w:rPr>
          <w:b/>
          <w:color w:val="000000"/>
          <w:sz w:val="36"/>
          <w:szCs w:val="36"/>
        </w:rPr>
      </w:r>
      <w:r/>
    </w:p>
    <w:p>
      <w:pPr>
        <w:pStyle w:val="1140"/>
        <w:jc w:val="left"/>
        <w:tabs>
          <w:tab w:val="left" w:pos="1800" w:leader="none"/>
          <w:tab w:val="left" w:pos="5580" w:leader="none"/>
        </w:tabs>
        <w:rPr>
          <w:rFonts w:hint="eastAsia"/>
          <w:color w:val="000000"/>
          <w:sz w:val="24"/>
        </w:rPr>
      </w:pPr>
      <w:r>
        <w:rPr>
          <w:rFonts w:hint="eastAsia"/>
          <w:color w:val="000000"/>
          <w:sz w:val="24"/>
        </w:rPr>
      </w:r>
      <w:r/>
    </w:p>
    <w:p>
      <w:pPr>
        <w:pStyle w:val="1140"/>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140"/>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140"/>
        <w:jc w:val="left"/>
        <w:keepLines w:val="0"/>
        <w:keepNext w:val="0"/>
        <w:pageBreakBefore w:val="0"/>
        <w:spacing w:line="360" w:lineRule="auto"/>
        <w:widowControl w:val="off"/>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pStyle w:val="1140"/>
        <w:jc w:val="left"/>
        <w:keepLines w:val="0"/>
        <w:keepNext w:val="0"/>
        <w:pageBreakBefore w:val="0"/>
        <w:spacing w:line="360" w:lineRule="auto"/>
        <w:widowControl w:val="off"/>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pStyle w:val="1140"/>
        <w:jc w:val="left"/>
        <w:keepLines w:val="0"/>
        <w:keepNext w:val="0"/>
        <w:pageBreakBefore w:val="0"/>
        <w:spacing w:line="360" w:lineRule="auto"/>
        <w:widowControl w:val="off"/>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t xml:space="preserve">注：</w:t>
      </w:r>
      <w:r>
        <w:rPr>
          <w:rFonts w:hint="eastAsia" w:ascii="宋体" w:hAnsi="宋体" w:eastAsia="宋体" w:cs="Times New Roman"/>
          <w:color w:val="000000"/>
          <w:sz w:val="24"/>
          <w:lang w:val="en-US" w:eastAsia="zh-CN"/>
        </w:rPr>
        <w:t xml:space="preserve">1、</w:t>
      </w:r>
      <w:r>
        <w:rPr>
          <w:rFonts w:ascii="宋体" w:hAnsi="宋体" w:eastAsia="宋体" w:cs="Times New Roman"/>
          <w:color w:val="000000"/>
          <w:sz w:val="24"/>
        </w:rPr>
        <w:t xml:space="preserve">如果不提供分项报价将视为没有实质性响应磋商文件。</w:t>
      </w:r>
      <w:r>
        <w:rPr>
          <w:rFonts w:ascii="宋体" w:hAnsi="宋体" w:eastAsia="宋体" w:cs="Times New Roman"/>
          <w:color w:val="000000"/>
          <w:sz w:val="24"/>
        </w:rPr>
      </w:r>
      <w:r/>
    </w:p>
    <w:p>
      <w:pPr>
        <w:pStyle w:val="1140"/>
        <w:jc w:val="left"/>
        <w:keepLines w:val="0"/>
        <w:keepNext w:val="0"/>
        <w:pageBreakBefore w:val="0"/>
        <w:spacing w:line="360" w:lineRule="auto"/>
        <w:widowControl w:val="off"/>
        <w:tabs>
          <w:tab w:val="left" w:pos="1800" w:leader="none"/>
          <w:tab w:val="left" w:pos="5580" w:leader="none"/>
        </w:tabs>
        <w:rPr>
          <w:rFonts w:ascii="宋体" w:hAnsi="宋体"/>
          <w:color w:val="000000"/>
          <w:sz w:val="24"/>
          <w:lang w:val="zh-CN"/>
        </w:rPr>
      </w:pPr>
      <w:r>
        <w:rPr>
          <w:rFonts w:ascii="宋体" w:hAnsi="宋体" w:eastAsia="宋体" w:cs="Times New Roman"/>
          <w:color w:val="000000"/>
          <w:sz w:val="24"/>
          <w:lang w:val="zh-CN"/>
        </w:rPr>
        <w:t xml:space="preserve"> </w:t>
      </w:r>
      <w:r>
        <w:rPr>
          <w:rFonts w:ascii="宋体" w:hAnsi="宋体" w:eastAsia="宋体" w:cs="Times New Roman"/>
          <w:color w:val="000000"/>
          <w:sz w:val="24"/>
          <w:highlight w:val="none"/>
          <w:lang w:val="zh-CN"/>
        </w:rPr>
        <w:t xml:space="preserve">   </w:t>
      </w:r>
      <w:r>
        <w:rPr>
          <w:rFonts w:ascii="宋体" w:hAnsi="宋体"/>
          <w:color w:val="000000"/>
          <w:sz w:val="24"/>
          <w:lang w:val="zh-CN"/>
        </w:rPr>
      </w:r>
      <w:r/>
    </w:p>
    <w:p>
      <w:pPr>
        <w:pStyle w:val="1140"/>
        <w:spacing w:before="25" w:after="25" w:line="360" w:lineRule="auto"/>
        <w:rPr>
          <w:rFonts w:ascii="宋体" w:hAnsi="宋体"/>
          <w:color w:val="000000"/>
          <w:sz w:val="24"/>
        </w:rPr>
      </w:pPr>
      <w:r>
        <w:rPr>
          <w:rFonts w:ascii="宋体" w:hAnsi="宋体"/>
          <w:color w:val="000000"/>
          <w:sz w:val="24"/>
        </w:rPr>
      </w:r>
      <w:r/>
    </w:p>
    <w:p>
      <w:pPr>
        <w:pStyle w:val="1140"/>
        <w:spacing w:before="25" w:after="25" w:line="360" w:lineRule="auto"/>
        <w:rPr>
          <w:rFonts w:ascii="宋体" w:hAnsi="宋体"/>
          <w:color w:val="000000"/>
          <w:sz w:val="24"/>
        </w:rPr>
      </w:pPr>
      <w:r>
        <w:rPr>
          <w:rFonts w:ascii="宋体" w:hAnsi="宋体"/>
          <w:color w:val="000000"/>
          <w:sz w:val="24"/>
        </w:rPr>
      </w:r>
      <w:r/>
    </w:p>
    <w:p>
      <w:pPr>
        <w:pStyle w:val="1140"/>
        <w:spacing w:before="25" w:after="25" w:line="360" w:lineRule="auto"/>
        <w:rPr>
          <w:rFonts w:ascii="宋体" w:hAnsi="宋体"/>
          <w:color w:val="000000"/>
          <w:sz w:val="24"/>
        </w:rPr>
      </w:pPr>
      <w:r>
        <w:rPr>
          <w:rFonts w:ascii="宋体" w:hAnsi="宋体"/>
          <w:color w:val="000000"/>
          <w:sz w:val="24"/>
        </w:rPr>
      </w:r>
      <w:r/>
    </w:p>
    <w:p>
      <w:pPr>
        <w:pStyle w:val="1140"/>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：____________</w:t>
      </w:r>
      <w:r>
        <w:rPr>
          <w:rFonts w:ascii="宋体" w:hAnsi="宋体"/>
          <w:color w:val="000000"/>
          <w:sz w:val="24"/>
          <w:lang w:val="zh-CN"/>
        </w:rPr>
      </w:r>
      <w:r/>
    </w:p>
    <w:p>
      <w:pPr>
        <w:pStyle w:val="1171"/>
        <w:tabs>
          <w:tab w:val="left" w:pos="567" w:leader="none"/>
        </w:tabs>
        <w:rPr>
          <w:color w:val="000000"/>
          <w:sz w:val="24"/>
          <w:szCs w:val="20"/>
          <w:highlight w:val="none"/>
        </w:rPr>
      </w:pPr>
      <w:r>
        <w:rPr>
          <w:rFonts w:ascii="宋体" w:hAnsi="宋体"/>
          <w:color w:val="000000"/>
          <w:sz w:val="24"/>
          <w:szCs w:val="20"/>
        </w:rPr>
        <w:t xml:space="preserve">日期：_____年______月______日   </w:t>
      </w:r>
      <w:r>
        <w:rPr>
          <w:rFonts w:ascii="宋体" w:hAnsi="宋体"/>
          <w:color w:val="000000"/>
          <w:sz w:val="24"/>
          <w:szCs w:val="20"/>
        </w:rPr>
        <w:br w:type="page" w:clear="all"/>
      </w:r>
      <w:r>
        <w:rPr>
          <w:color w:val="000000"/>
          <w:sz w:val="24"/>
          <w:szCs w:val="20"/>
          <w:highlight w:val="none"/>
        </w:rPr>
      </w:r>
      <w:r/>
    </w:p>
    <w:p>
      <w:pPr>
        <w:pStyle w:val="1140"/>
        <w:spacing w:line="360" w:lineRule="auto"/>
        <w:rPr>
          <w:color w:val="000000"/>
          <w:sz w:val="24"/>
          <w:szCs w:val="20"/>
          <w:highlight w:val="none"/>
        </w:rPr>
        <w:outlineLvl w:val="2"/>
      </w:pPr>
      <w:r>
        <w:rPr>
          <w:color w:val="000000"/>
          <w:sz w:val="24"/>
          <w:szCs w:val="20"/>
          <w:highlight w:val="none"/>
        </w:rPr>
      </w:r>
      <w:r/>
    </w:p>
    <w:p>
      <w:pPr>
        <w:pStyle w:val="1140"/>
        <w:spacing w:line="360" w:lineRule="auto"/>
        <w:rPr>
          <w:color w:val="000000"/>
          <w:sz w:val="24"/>
          <w:szCs w:val="20"/>
          <w:highlight w:val="none"/>
        </w:rPr>
        <w:outlineLvl w:val="2"/>
      </w:pPr>
      <w:r>
        <w:rPr>
          <w:rFonts w:hint="eastAsia"/>
          <w:color w:val="000000"/>
          <w:sz w:val="24"/>
          <w:szCs w:val="20"/>
          <w:highlight w:val="none"/>
          <w:lang w:val="en-US" w:eastAsia="zh-CN"/>
        </w:rPr>
        <w:t xml:space="preserve">8</w:t>
      </w:r>
      <w:r>
        <w:rPr>
          <w:color w:val="000000"/>
          <w:sz w:val="24"/>
          <w:szCs w:val="20"/>
          <w:highlight w:val="none"/>
        </w:rPr>
        <w:t xml:space="preserve">  合同条款偏离表</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Pr>
          <w:color w:val="000000"/>
          <w:sz w:val="24"/>
          <w:szCs w:val="20"/>
          <w:highlight w:val="none"/>
        </w:rPr>
        <w:t xml:space="preserve">（实质性格式）</w:t>
      </w:r>
      <w:r>
        <w:rPr>
          <w:color w:val="000000"/>
          <w:sz w:val="24"/>
          <w:szCs w:val="20"/>
          <w:highlight w:val="none"/>
        </w:rPr>
      </w:r>
      <w:r/>
    </w:p>
    <w:p>
      <w:pPr>
        <w:pStyle w:val="1140"/>
        <w:spacing w:line="360" w:lineRule="auto"/>
        <w:rPr>
          <w:color w:val="000000"/>
          <w:sz w:val="24"/>
          <w:szCs w:val="20"/>
          <w:highlight w:val="none"/>
        </w:rPr>
      </w:pPr>
      <w:r>
        <w:rPr>
          <w:color w:val="000000"/>
          <w:sz w:val="24"/>
          <w:szCs w:val="20"/>
          <w:highlight w:val="none"/>
        </w:rPr>
      </w:r>
      <w:r/>
    </w:p>
    <w:p>
      <w:pPr>
        <w:pStyle w:val="1140"/>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140"/>
        <w:jc w:val="center"/>
        <w:rPr>
          <w:color w:val="000000"/>
          <w:sz w:val="36"/>
          <w:szCs w:val="36"/>
          <w:highlight w:val="none"/>
        </w:rPr>
      </w:pPr>
      <w:r>
        <w:rPr>
          <w:color w:val="000000"/>
          <w:sz w:val="36"/>
          <w:szCs w:val="36"/>
          <w:highlight w:val="none"/>
        </w:rPr>
      </w:r>
      <w:r/>
    </w:p>
    <w:p>
      <w:pPr>
        <w:pStyle w:val="1140"/>
        <w:spacing w:line="360" w:lineRule="auto"/>
        <w:rPr>
          <w:color w:val="000000"/>
          <w:sz w:val="24"/>
          <w:szCs w:val="20"/>
          <w:highlight w:val="none"/>
        </w:rPr>
      </w:pPr>
      <w:r>
        <w:rPr>
          <w:color w:val="000000"/>
          <w:sz w:val="24"/>
          <w:szCs w:val="20"/>
          <w:highlight w:val="none"/>
        </w:rPr>
      </w:r>
      <w:r/>
    </w:p>
    <w:p>
      <w:pPr>
        <w:pStyle w:val="1140"/>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1224"/>
        <w:gridCol w:w="1809"/>
        <w:gridCol w:w="1810"/>
        <w:gridCol w:w="2233"/>
        <w:gridCol w:w="746"/>
      </w:tblGrid>
      <w:tr>
        <w:trPr>
          <w:trHeight w:val="930"/>
        </w:trPr>
        <w:tc>
          <w:tcPr>
            <w:gridSpan w:val="6"/>
            <w:tcW w:w="8607" w:type="dxa"/>
            <w:vAlign w:val="center"/>
            <w:textDirection w:val="lrTb"/>
            <w:noWrap w:val="false"/>
          </w:tcPr>
          <w:p>
            <w:pPr>
              <w:pStyle w:val="1140"/>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1140"/>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140"/>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1140"/>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140"/>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140"/>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140"/>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1140"/>
              <w:jc w:val="center"/>
              <w:rPr>
                <w:color w:val="000000"/>
                <w:sz w:val="24"/>
                <w:highlight w:val="none"/>
              </w:rPr>
            </w:pPr>
            <w:r>
              <w:rPr>
                <w:color w:val="000000"/>
                <w:sz w:val="24"/>
                <w:highlight w:val="none"/>
              </w:rPr>
              <w:t xml:space="preserve">偏离情况</w:t>
            </w:r>
            <w:r>
              <w:rPr>
                <w:color w:val="000000"/>
                <w:sz w:val="24"/>
                <w:highlight w:val="none"/>
              </w:rPr>
            </w:r>
            <w:r/>
          </w:p>
          <w:p>
            <w:pPr>
              <w:pStyle w:val="1140"/>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1140"/>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140"/>
              <w:jc w:val="center"/>
              <w:rPr>
                <w:color w:val="000000"/>
                <w:sz w:val="24"/>
                <w:highlight w:val="none"/>
              </w:rPr>
            </w:pPr>
            <w:r>
              <w:rPr>
                <w:color w:val="000000"/>
                <w:sz w:val="24"/>
                <w:highlight w:val="none"/>
              </w:rPr>
            </w:r>
            <w:r/>
          </w:p>
        </w:tc>
        <w:tc>
          <w:tcPr>
            <w:tcW w:w="1301" w:type="dxa"/>
            <w:vAlign w:val="center"/>
            <w:textDirection w:val="lrTb"/>
            <w:noWrap w:val="false"/>
          </w:tcPr>
          <w:p>
            <w:pPr>
              <w:pStyle w:val="1140"/>
              <w:jc w:val="center"/>
              <w:rPr>
                <w:color w:val="000000"/>
                <w:sz w:val="24"/>
                <w:highlight w:val="none"/>
              </w:rPr>
            </w:pPr>
            <w:r>
              <w:rPr>
                <w:color w:val="000000"/>
                <w:sz w:val="24"/>
                <w:highlight w:val="none"/>
              </w:rPr>
            </w:r>
            <w:r/>
          </w:p>
        </w:tc>
        <w:tc>
          <w:tcPr>
            <w:tcW w:w="2007" w:type="dxa"/>
            <w:vAlign w:val="center"/>
            <w:textDirection w:val="lrTb"/>
            <w:noWrap w:val="false"/>
          </w:tcPr>
          <w:p>
            <w:pPr>
              <w:pStyle w:val="1140"/>
              <w:jc w:val="center"/>
              <w:rPr>
                <w:color w:val="000000"/>
                <w:sz w:val="24"/>
                <w:highlight w:val="none"/>
              </w:rPr>
            </w:pPr>
            <w:r>
              <w:rPr>
                <w:color w:val="000000"/>
                <w:sz w:val="24"/>
                <w:highlight w:val="none"/>
              </w:rPr>
            </w:r>
            <w:r/>
          </w:p>
        </w:tc>
        <w:tc>
          <w:tcPr>
            <w:tcW w:w="2008" w:type="dxa"/>
            <w:vAlign w:val="center"/>
            <w:textDirection w:val="lrTb"/>
            <w:noWrap w:val="false"/>
          </w:tcPr>
          <w:p>
            <w:pPr>
              <w:pStyle w:val="1140"/>
              <w:jc w:val="center"/>
              <w:rPr>
                <w:color w:val="000000"/>
                <w:sz w:val="24"/>
                <w:highlight w:val="none"/>
              </w:rPr>
            </w:pPr>
            <w:r>
              <w:rPr>
                <w:color w:val="000000"/>
                <w:sz w:val="24"/>
                <w:highlight w:val="none"/>
              </w:rPr>
            </w:r>
            <w:r/>
          </w:p>
        </w:tc>
        <w:tc>
          <w:tcPr>
            <w:tcW w:w="2458" w:type="dxa"/>
            <w:vAlign w:val="center"/>
            <w:textDirection w:val="lrTb"/>
            <w:noWrap w:val="false"/>
          </w:tcPr>
          <w:p>
            <w:pPr>
              <w:pStyle w:val="1140"/>
              <w:jc w:val="center"/>
              <w:rPr>
                <w:color w:val="000000"/>
                <w:sz w:val="24"/>
                <w:highlight w:val="none"/>
              </w:rPr>
            </w:pPr>
            <w:r>
              <w:rPr>
                <w:color w:val="000000"/>
                <w:sz w:val="24"/>
                <w:highlight w:val="none"/>
              </w:rPr>
            </w:r>
            <w:r/>
          </w:p>
        </w:tc>
        <w:tc>
          <w:tcPr>
            <w:tcW w:w="788" w:type="dxa"/>
            <w:vAlign w:val="center"/>
            <w:textDirection w:val="lrTb"/>
            <w:noWrap w:val="false"/>
          </w:tcPr>
          <w:p>
            <w:pPr>
              <w:pStyle w:val="1140"/>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140"/>
              <w:jc w:val="center"/>
              <w:rPr>
                <w:color w:val="000000"/>
                <w:sz w:val="24"/>
                <w:highlight w:val="none"/>
              </w:rPr>
            </w:pPr>
            <w:r>
              <w:rPr>
                <w:color w:val="000000"/>
                <w:sz w:val="24"/>
                <w:highlight w:val="none"/>
              </w:rPr>
            </w:r>
            <w:r/>
          </w:p>
        </w:tc>
        <w:tc>
          <w:tcPr>
            <w:tcW w:w="1301" w:type="dxa"/>
            <w:vAlign w:val="center"/>
            <w:textDirection w:val="lrTb"/>
            <w:noWrap w:val="false"/>
          </w:tcPr>
          <w:p>
            <w:pPr>
              <w:pStyle w:val="1140"/>
              <w:jc w:val="center"/>
              <w:rPr>
                <w:color w:val="000000"/>
                <w:sz w:val="24"/>
                <w:highlight w:val="none"/>
              </w:rPr>
            </w:pPr>
            <w:r>
              <w:rPr>
                <w:color w:val="000000"/>
                <w:sz w:val="24"/>
                <w:highlight w:val="none"/>
              </w:rPr>
            </w:r>
            <w:r/>
          </w:p>
        </w:tc>
        <w:tc>
          <w:tcPr>
            <w:tcW w:w="2007" w:type="dxa"/>
            <w:vAlign w:val="center"/>
            <w:textDirection w:val="lrTb"/>
            <w:noWrap w:val="false"/>
          </w:tcPr>
          <w:p>
            <w:pPr>
              <w:pStyle w:val="1140"/>
              <w:jc w:val="center"/>
              <w:rPr>
                <w:color w:val="000000"/>
                <w:sz w:val="24"/>
                <w:highlight w:val="none"/>
              </w:rPr>
            </w:pPr>
            <w:r>
              <w:rPr>
                <w:color w:val="000000"/>
                <w:sz w:val="24"/>
                <w:highlight w:val="none"/>
              </w:rPr>
            </w:r>
            <w:r/>
          </w:p>
        </w:tc>
        <w:tc>
          <w:tcPr>
            <w:tcW w:w="2008" w:type="dxa"/>
            <w:vAlign w:val="center"/>
            <w:textDirection w:val="lrTb"/>
            <w:noWrap w:val="false"/>
          </w:tcPr>
          <w:p>
            <w:pPr>
              <w:pStyle w:val="1140"/>
              <w:jc w:val="center"/>
              <w:rPr>
                <w:color w:val="000000"/>
                <w:sz w:val="24"/>
                <w:highlight w:val="none"/>
              </w:rPr>
            </w:pPr>
            <w:r>
              <w:rPr>
                <w:color w:val="000000"/>
                <w:sz w:val="24"/>
                <w:highlight w:val="none"/>
              </w:rPr>
            </w:r>
            <w:r/>
          </w:p>
        </w:tc>
        <w:tc>
          <w:tcPr>
            <w:tcW w:w="2458" w:type="dxa"/>
            <w:vAlign w:val="center"/>
            <w:textDirection w:val="lrTb"/>
            <w:noWrap w:val="false"/>
          </w:tcPr>
          <w:p>
            <w:pPr>
              <w:pStyle w:val="1140"/>
              <w:jc w:val="center"/>
              <w:rPr>
                <w:color w:val="000000"/>
                <w:sz w:val="24"/>
                <w:highlight w:val="none"/>
              </w:rPr>
            </w:pPr>
            <w:r>
              <w:rPr>
                <w:color w:val="000000"/>
                <w:sz w:val="24"/>
                <w:highlight w:val="none"/>
              </w:rPr>
            </w:r>
            <w:r/>
          </w:p>
        </w:tc>
        <w:tc>
          <w:tcPr>
            <w:tcW w:w="788" w:type="dxa"/>
            <w:vAlign w:val="center"/>
            <w:textDirection w:val="lrTb"/>
            <w:noWrap w:val="false"/>
          </w:tcPr>
          <w:p>
            <w:pPr>
              <w:pStyle w:val="1140"/>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140"/>
              <w:jc w:val="center"/>
              <w:rPr>
                <w:color w:val="000000"/>
                <w:sz w:val="24"/>
                <w:highlight w:val="none"/>
              </w:rPr>
            </w:pPr>
            <w:r>
              <w:rPr>
                <w:color w:val="000000"/>
                <w:sz w:val="24"/>
                <w:highlight w:val="none"/>
              </w:rPr>
            </w:r>
            <w:r/>
          </w:p>
        </w:tc>
        <w:tc>
          <w:tcPr>
            <w:tcW w:w="1301" w:type="dxa"/>
            <w:vAlign w:val="center"/>
            <w:textDirection w:val="lrTb"/>
            <w:noWrap w:val="false"/>
          </w:tcPr>
          <w:p>
            <w:pPr>
              <w:pStyle w:val="1140"/>
              <w:jc w:val="center"/>
              <w:rPr>
                <w:color w:val="000000"/>
                <w:sz w:val="24"/>
                <w:highlight w:val="none"/>
              </w:rPr>
            </w:pPr>
            <w:r>
              <w:rPr>
                <w:color w:val="000000"/>
                <w:sz w:val="24"/>
                <w:highlight w:val="none"/>
              </w:rPr>
            </w:r>
            <w:r/>
          </w:p>
        </w:tc>
        <w:tc>
          <w:tcPr>
            <w:tcW w:w="2007" w:type="dxa"/>
            <w:vAlign w:val="center"/>
            <w:textDirection w:val="lrTb"/>
            <w:noWrap w:val="false"/>
          </w:tcPr>
          <w:p>
            <w:pPr>
              <w:pStyle w:val="1140"/>
              <w:jc w:val="center"/>
              <w:rPr>
                <w:color w:val="000000"/>
                <w:sz w:val="24"/>
                <w:highlight w:val="none"/>
              </w:rPr>
            </w:pPr>
            <w:r>
              <w:rPr>
                <w:color w:val="000000"/>
                <w:sz w:val="24"/>
                <w:highlight w:val="none"/>
              </w:rPr>
            </w:r>
            <w:r/>
          </w:p>
        </w:tc>
        <w:tc>
          <w:tcPr>
            <w:tcW w:w="2008" w:type="dxa"/>
            <w:vAlign w:val="center"/>
            <w:textDirection w:val="lrTb"/>
            <w:noWrap w:val="false"/>
          </w:tcPr>
          <w:p>
            <w:pPr>
              <w:pStyle w:val="1140"/>
              <w:jc w:val="center"/>
              <w:rPr>
                <w:color w:val="000000"/>
                <w:sz w:val="24"/>
                <w:highlight w:val="none"/>
              </w:rPr>
            </w:pPr>
            <w:r>
              <w:rPr>
                <w:color w:val="000000"/>
                <w:sz w:val="24"/>
                <w:highlight w:val="none"/>
              </w:rPr>
            </w:r>
            <w:r/>
          </w:p>
        </w:tc>
        <w:tc>
          <w:tcPr>
            <w:tcW w:w="2458" w:type="dxa"/>
            <w:vAlign w:val="center"/>
            <w:textDirection w:val="lrTb"/>
            <w:noWrap w:val="false"/>
          </w:tcPr>
          <w:p>
            <w:pPr>
              <w:pStyle w:val="1140"/>
              <w:jc w:val="center"/>
              <w:rPr>
                <w:color w:val="000000"/>
                <w:sz w:val="24"/>
                <w:highlight w:val="none"/>
              </w:rPr>
            </w:pPr>
            <w:r>
              <w:rPr>
                <w:color w:val="000000"/>
                <w:sz w:val="24"/>
                <w:highlight w:val="none"/>
              </w:rPr>
            </w:r>
            <w:r/>
          </w:p>
        </w:tc>
        <w:tc>
          <w:tcPr>
            <w:tcW w:w="788" w:type="dxa"/>
            <w:vAlign w:val="center"/>
            <w:textDirection w:val="lrTb"/>
            <w:noWrap w:val="false"/>
          </w:tcPr>
          <w:p>
            <w:pPr>
              <w:pStyle w:val="1140"/>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140"/>
              <w:jc w:val="center"/>
              <w:rPr>
                <w:color w:val="000000"/>
                <w:sz w:val="24"/>
                <w:highlight w:val="none"/>
              </w:rPr>
            </w:pPr>
            <w:r>
              <w:rPr>
                <w:color w:val="000000"/>
                <w:sz w:val="24"/>
                <w:highlight w:val="none"/>
              </w:rPr>
            </w:r>
            <w:r/>
          </w:p>
        </w:tc>
        <w:tc>
          <w:tcPr>
            <w:tcW w:w="1301" w:type="dxa"/>
            <w:vAlign w:val="center"/>
            <w:textDirection w:val="lrTb"/>
            <w:noWrap w:val="false"/>
          </w:tcPr>
          <w:p>
            <w:pPr>
              <w:pStyle w:val="1140"/>
              <w:jc w:val="center"/>
              <w:rPr>
                <w:color w:val="000000"/>
                <w:sz w:val="24"/>
                <w:highlight w:val="none"/>
              </w:rPr>
            </w:pPr>
            <w:r>
              <w:rPr>
                <w:color w:val="000000"/>
                <w:sz w:val="24"/>
                <w:highlight w:val="none"/>
              </w:rPr>
            </w:r>
            <w:r/>
          </w:p>
        </w:tc>
        <w:tc>
          <w:tcPr>
            <w:tcW w:w="2007" w:type="dxa"/>
            <w:vAlign w:val="center"/>
            <w:textDirection w:val="lrTb"/>
            <w:noWrap w:val="false"/>
          </w:tcPr>
          <w:p>
            <w:pPr>
              <w:pStyle w:val="1140"/>
              <w:jc w:val="center"/>
              <w:rPr>
                <w:color w:val="000000"/>
                <w:sz w:val="24"/>
                <w:highlight w:val="none"/>
              </w:rPr>
            </w:pPr>
            <w:r>
              <w:rPr>
                <w:color w:val="000000"/>
                <w:sz w:val="24"/>
                <w:highlight w:val="none"/>
              </w:rPr>
            </w:r>
            <w:r/>
          </w:p>
        </w:tc>
        <w:tc>
          <w:tcPr>
            <w:tcW w:w="2008" w:type="dxa"/>
            <w:vAlign w:val="center"/>
            <w:textDirection w:val="lrTb"/>
            <w:noWrap w:val="false"/>
          </w:tcPr>
          <w:p>
            <w:pPr>
              <w:pStyle w:val="1140"/>
              <w:jc w:val="center"/>
              <w:rPr>
                <w:color w:val="000000"/>
                <w:sz w:val="24"/>
                <w:highlight w:val="none"/>
              </w:rPr>
            </w:pPr>
            <w:r>
              <w:rPr>
                <w:color w:val="000000"/>
                <w:sz w:val="24"/>
                <w:highlight w:val="none"/>
              </w:rPr>
            </w:r>
            <w:r/>
          </w:p>
        </w:tc>
        <w:tc>
          <w:tcPr>
            <w:tcW w:w="2458" w:type="dxa"/>
            <w:vAlign w:val="center"/>
            <w:textDirection w:val="lrTb"/>
            <w:noWrap w:val="false"/>
          </w:tcPr>
          <w:p>
            <w:pPr>
              <w:pStyle w:val="1140"/>
              <w:jc w:val="center"/>
              <w:rPr>
                <w:color w:val="000000"/>
                <w:sz w:val="24"/>
                <w:highlight w:val="none"/>
              </w:rPr>
            </w:pPr>
            <w:r>
              <w:rPr>
                <w:color w:val="000000"/>
                <w:sz w:val="24"/>
                <w:highlight w:val="none"/>
              </w:rPr>
            </w:r>
            <w:r/>
          </w:p>
        </w:tc>
        <w:tc>
          <w:tcPr>
            <w:tcW w:w="788" w:type="dxa"/>
            <w:vAlign w:val="center"/>
            <w:textDirection w:val="lrTb"/>
            <w:noWrap w:val="false"/>
          </w:tcPr>
          <w:p>
            <w:pPr>
              <w:pStyle w:val="1140"/>
              <w:jc w:val="center"/>
              <w:rPr>
                <w:color w:val="000000"/>
                <w:sz w:val="24"/>
                <w:highlight w:val="none"/>
              </w:rPr>
            </w:pPr>
            <w:r>
              <w:rPr>
                <w:color w:val="000000"/>
                <w:sz w:val="24"/>
                <w:highlight w:val="none"/>
              </w:rPr>
            </w:r>
            <w:r/>
          </w:p>
        </w:tc>
      </w:tr>
    </w:tbl>
    <w:p>
      <w:pPr>
        <w:pStyle w:val="1140"/>
        <w:jc w:val="left"/>
        <w:tabs>
          <w:tab w:val="left" w:pos="1800" w:leader="none"/>
          <w:tab w:val="left" w:pos="5580" w:leader="none"/>
        </w:tabs>
        <w:rPr>
          <w:color w:val="000000"/>
          <w:sz w:val="24"/>
          <w:highlight w:val="none"/>
        </w:rPr>
      </w:pPr>
      <w:r>
        <w:rPr>
          <w:color w:val="000000"/>
          <w:sz w:val="24"/>
          <w:highlight w:val="none"/>
        </w:rPr>
      </w:r>
      <w:r/>
    </w:p>
    <w:p>
      <w:pPr>
        <w:pStyle w:val="1140"/>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1140"/>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1140"/>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1140"/>
        <w:spacing w:line="360" w:lineRule="auto"/>
        <w:rPr>
          <w:color w:val="000000"/>
          <w:sz w:val="24"/>
          <w:szCs w:val="20"/>
          <w:highlight w:val="none"/>
        </w:rPr>
      </w:pPr>
      <w:r>
        <w:rPr>
          <w:color w:val="000000"/>
          <w:sz w:val="24"/>
          <w:szCs w:val="20"/>
          <w:highlight w:val="none"/>
        </w:rPr>
      </w:r>
      <w:r/>
    </w:p>
    <w:p>
      <w:pPr>
        <w:pStyle w:val="114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40"/>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140"/>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40"/>
        <w:spacing w:line="360" w:lineRule="auto"/>
        <w:rPr>
          <w:rFonts w:hint="eastAsia"/>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r>
      <w:r/>
    </w:p>
    <w:p>
      <w:pPr>
        <w:pStyle w:val="1140"/>
        <w:spacing w:line="360" w:lineRule="auto"/>
        <w:rPr>
          <w:color w:val="000000"/>
          <w:sz w:val="24"/>
          <w:szCs w:val="20"/>
          <w:highlight w:val="none"/>
        </w:rPr>
        <w:outlineLvl w:val="2"/>
      </w:pPr>
      <w:r>
        <w:rPr>
          <w:rFonts w:hint="eastAsia"/>
          <w:color w:val="000000"/>
          <w:sz w:val="24"/>
          <w:szCs w:val="20"/>
          <w:highlight w:val="none"/>
          <w:lang w:val="en-US" w:eastAsia="zh-CN"/>
        </w:rPr>
        <w:t xml:space="preserve">9</w:t>
      </w:r>
      <w:r>
        <w:rPr>
          <w:color w:val="000000"/>
          <w:sz w:val="24"/>
          <w:szCs w:val="20"/>
          <w:highlight w:val="none"/>
        </w:rPr>
        <w:t xml:space="preserve"> </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Pr>
          <w:color w:val="000000"/>
          <w:sz w:val="24"/>
          <w:szCs w:val="20"/>
          <w:highlight w:val="none"/>
        </w:rPr>
        <w:t xml:space="preserve">采购需求偏离表（实质性格式）</w:t>
      </w:r>
      <w:r>
        <w:rPr>
          <w:color w:val="000000"/>
          <w:sz w:val="24"/>
          <w:szCs w:val="20"/>
          <w:highlight w:val="none"/>
        </w:rPr>
      </w:r>
      <w:r/>
    </w:p>
    <w:p>
      <w:pPr>
        <w:pStyle w:val="1140"/>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140"/>
        <w:jc w:val="center"/>
        <w:rPr>
          <w:color w:val="000000"/>
          <w:sz w:val="36"/>
          <w:szCs w:val="36"/>
          <w:highlight w:val="none"/>
        </w:rPr>
      </w:pPr>
      <w:r>
        <w:rPr>
          <w:color w:val="000000"/>
          <w:sz w:val="36"/>
          <w:szCs w:val="36"/>
          <w:highlight w:val="none"/>
        </w:rPr>
      </w:r>
      <w:r/>
    </w:p>
    <w:p>
      <w:pPr>
        <w:pStyle w:val="1140"/>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40"/>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140"/>
              <w:jc w:val="center"/>
              <w:rPr>
                <w:color w:val="000000"/>
                <w:sz w:val="24"/>
                <w:highlight w:val="none"/>
              </w:rPr>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1140"/>
              <w:jc w:val="center"/>
              <w:rPr>
                <w:color w:val="000000"/>
                <w:sz w:val="24"/>
                <w:highlight w:val="none"/>
              </w:rPr>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1140"/>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1140"/>
              <w:jc w:val="center"/>
              <w:rPr>
                <w:color w:val="000000"/>
                <w:sz w:val="24"/>
                <w:highlight w:val="none"/>
              </w:rPr>
            </w:pPr>
            <w:r>
              <w:rPr>
                <w:color w:val="000000"/>
                <w:sz w:val="24"/>
                <w:highlight w:val="none"/>
              </w:rPr>
              <w:t xml:space="preserve">偏离情况</w:t>
            </w:r>
            <w:r>
              <w:rPr>
                <w:color w:val="000000"/>
                <w:sz w:val="24"/>
                <w:highlight w:val="none"/>
              </w:rPr>
            </w:r>
            <w:r/>
          </w:p>
          <w:p>
            <w:pPr>
              <w:pStyle w:val="1140"/>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1140"/>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140"/>
              <w:jc w:val="center"/>
              <w:rPr>
                <w:color w:val="000000"/>
                <w:sz w:val="24"/>
                <w:highlight w:val="none"/>
              </w:rPr>
            </w:pPr>
            <w:r>
              <w:rPr>
                <w:color w:val="000000"/>
                <w:sz w:val="24"/>
                <w:highlight w:val="none"/>
              </w:rPr>
            </w:r>
            <w:r/>
          </w:p>
        </w:tc>
        <w:tc>
          <w:tcPr>
            <w:tcW w:w="1482" w:type="dxa"/>
            <w:vAlign w:val="center"/>
            <w:textDirection w:val="lrTb"/>
            <w:noWrap w:val="false"/>
          </w:tcPr>
          <w:p>
            <w:pPr>
              <w:pStyle w:val="1140"/>
              <w:jc w:val="center"/>
              <w:rPr>
                <w:color w:val="000000"/>
                <w:sz w:val="24"/>
                <w:highlight w:val="none"/>
              </w:rPr>
            </w:pPr>
            <w:r>
              <w:rPr>
                <w:color w:val="000000"/>
                <w:sz w:val="24"/>
                <w:highlight w:val="none"/>
              </w:rPr>
            </w:r>
            <w:r/>
          </w:p>
        </w:tc>
        <w:tc>
          <w:tcPr>
            <w:tcW w:w="2384" w:type="dxa"/>
            <w:vAlign w:val="center"/>
            <w:textDirection w:val="lrTb"/>
            <w:noWrap w:val="false"/>
          </w:tcPr>
          <w:p>
            <w:pPr>
              <w:pStyle w:val="1140"/>
              <w:jc w:val="center"/>
              <w:rPr>
                <w:color w:val="000000"/>
                <w:sz w:val="24"/>
                <w:highlight w:val="none"/>
              </w:rPr>
            </w:pPr>
            <w:r>
              <w:rPr>
                <w:color w:val="000000"/>
                <w:sz w:val="24"/>
                <w:highlight w:val="none"/>
              </w:rPr>
            </w:r>
            <w:r/>
          </w:p>
        </w:tc>
        <w:tc>
          <w:tcPr>
            <w:tcW w:w="2126" w:type="dxa"/>
            <w:vAlign w:val="center"/>
            <w:textDirection w:val="lrTb"/>
            <w:noWrap w:val="false"/>
          </w:tcPr>
          <w:p>
            <w:pPr>
              <w:pStyle w:val="1140"/>
              <w:jc w:val="center"/>
              <w:rPr>
                <w:color w:val="000000"/>
                <w:sz w:val="24"/>
                <w:highlight w:val="none"/>
              </w:rPr>
            </w:pPr>
            <w:r>
              <w:rPr>
                <w:color w:val="000000"/>
                <w:sz w:val="24"/>
                <w:highlight w:val="none"/>
              </w:rPr>
            </w:r>
            <w:r/>
          </w:p>
        </w:tc>
        <w:tc>
          <w:tcPr>
            <w:tcW w:w="1875" w:type="dxa"/>
            <w:vAlign w:val="center"/>
            <w:textDirection w:val="lrTb"/>
            <w:noWrap w:val="false"/>
          </w:tcPr>
          <w:p>
            <w:pPr>
              <w:pStyle w:val="1140"/>
              <w:jc w:val="center"/>
              <w:rPr>
                <w:color w:val="000000"/>
                <w:sz w:val="24"/>
                <w:highlight w:val="none"/>
              </w:rPr>
            </w:pPr>
            <w:r>
              <w:rPr>
                <w:color w:val="000000"/>
                <w:sz w:val="24"/>
                <w:highlight w:val="none"/>
              </w:rPr>
            </w:r>
            <w:r/>
          </w:p>
        </w:tc>
        <w:tc>
          <w:tcPr>
            <w:tcW w:w="1009" w:type="dxa"/>
            <w:vAlign w:val="center"/>
            <w:textDirection w:val="lrTb"/>
            <w:noWrap w:val="false"/>
          </w:tcPr>
          <w:p>
            <w:pPr>
              <w:pStyle w:val="1140"/>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40"/>
              <w:jc w:val="center"/>
              <w:rPr>
                <w:color w:val="000000"/>
                <w:sz w:val="24"/>
                <w:highlight w:val="none"/>
              </w:rPr>
            </w:pPr>
            <w:r>
              <w:rPr>
                <w:color w:val="000000"/>
                <w:sz w:val="24"/>
                <w:highlight w:val="none"/>
              </w:rPr>
            </w:r>
            <w:r/>
          </w:p>
        </w:tc>
        <w:tc>
          <w:tcPr>
            <w:tcW w:w="1482" w:type="dxa"/>
            <w:vAlign w:val="center"/>
            <w:textDirection w:val="lrTb"/>
            <w:noWrap w:val="false"/>
          </w:tcPr>
          <w:p>
            <w:pPr>
              <w:pStyle w:val="1140"/>
              <w:jc w:val="center"/>
              <w:rPr>
                <w:color w:val="000000"/>
                <w:sz w:val="24"/>
                <w:highlight w:val="none"/>
              </w:rPr>
            </w:pPr>
            <w:r>
              <w:rPr>
                <w:color w:val="000000"/>
                <w:sz w:val="24"/>
                <w:highlight w:val="none"/>
              </w:rPr>
            </w:r>
            <w:r/>
          </w:p>
        </w:tc>
        <w:tc>
          <w:tcPr>
            <w:tcW w:w="2384" w:type="dxa"/>
            <w:vAlign w:val="center"/>
            <w:textDirection w:val="lrTb"/>
            <w:noWrap w:val="false"/>
          </w:tcPr>
          <w:p>
            <w:pPr>
              <w:pStyle w:val="1140"/>
              <w:jc w:val="center"/>
              <w:rPr>
                <w:color w:val="000000"/>
                <w:sz w:val="24"/>
                <w:highlight w:val="none"/>
              </w:rPr>
            </w:pPr>
            <w:r>
              <w:rPr>
                <w:color w:val="000000"/>
                <w:sz w:val="24"/>
                <w:highlight w:val="none"/>
              </w:rPr>
            </w:r>
            <w:r/>
          </w:p>
        </w:tc>
        <w:tc>
          <w:tcPr>
            <w:tcW w:w="2126" w:type="dxa"/>
            <w:vAlign w:val="center"/>
            <w:textDirection w:val="lrTb"/>
            <w:noWrap w:val="false"/>
          </w:tcPr>
          <w:p>
            <w:pPr>
              <w:pStyle w:val="1140"/>
              <w:jc w:val="center"/>
              <w:rPr>
                <w:color w:val="000000"/>
                <w:sz w:val="24"/>
                <w:highlight w:val="none"/>
              </w:rPr>
            </w:pPr>
            <w:r>
              <w:rPr>
                <w:color w:val="000000"/>
                <w:sz w:val="24"/>
                <w:highlight w:val="none"/>
              </w:rPr>
            </w:r>
            <w:r/>
          </w:p>
        </w:tc>
        <w:tc>
          <w:tcPr>
            <w:tcW w:w="1875" w:type="dxa"/>
            <w:vAlign w:val="center"/>
            <w:textDirection w:val="lrTb"/>
            <w:noWrap w:val="false"/>
          </w:tcPr>
          <w:p>
            <w:pPr>
              <w:pStyle w:val="1140"/>
              <w:jc w:val="center"/>
              <w:rPr>
                <w:color w:val="000000"/>
                <w:sz w:val="24"/>
                <w:highlight w:val="none"/>
              </w:rPr>
            </w:pPr>
            <w:r>
              <w:rPr>
                <w:color w:val="000000"/>
                <w:sz w:val="24"/>
                <w:highlight w:val="none"/>
              </w:rPr>
            </w:r>
            <w:r/>
          </w:p>
        </w:tc>
        <w:tc>
          <w:tcPr>
            <w:tcW w:w="1009" w:type="dxa"/>
            <w:vAlign w:val="center"/>
            <w:textDirection w:val="lrTb"/>
            <w:noWrap w:val="false"/>
          </w:tcPr>
          <w:p>
            <w:pPr>
              <w:pStyle w:val="1140"/>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40"/>
              <w:jc w:val="center"/>
              <w:rPr>
                <w:color w:val="000000"/>
                <w:sz w:val="24"/>
                <w:highlight w:val="none"/>
              </w:rPr>
            </w:pPr>
            <w:r>
              <w:rPr>
                <w:color w:val="000000"/>
                <w:sz w:val="24"/>
                <w:highlight w:val="none"/>
              </w:rPr>
            </w:r>
            <w:r/>
          </w:p>
        </w:tc>
        <w:tc>
          <w:tcPr>
            <w:tcW w:w="1482" w:type="dxa"/>
            <w:vAlign w:val="center"/>
            <w:textDirection w:val="lrTb"/>
            <w:noWrap w:val="false"/>
          </w:tcPr>
          <w:p>
            <w:pPr>
              <w:pStyle w:val="1140"/>
              <w:jc w:val="center"/>
              <w:rPr>
                <w:color w:val="000000"/>
                <w:sz w:val="24"/>
                <w:highlight w:val="none"/>
              </w:rPr>
            </w:pPr>
            <w:r>
              <w:rPr>
                <w:color w:val="000000"/>
                <w:sz w:val="24"/>
                <w:highlight w:val="none"/>
              </w:rPr>
            </w:r>
            <w:r/>
          </w:p>
        </w:tc>
        <w:tc>
          <w:tcPr>
            <w:tcW w:w="2384" w:type="dxa"/>
            <w:vAlign w:val="center"/>
            <w:textDirection w:val="lrTb"/>
            <w:noWrap w:val="false"/>
          </w:tcPr>
          <w:p>
            <w:pPr>
              <w:pStyle w:val="1140"/>
              <w:jc w:val="center"/>
              <w:rPr>
                <w:color w:val="000000"/>
                <w:sz w:val="24"/>
                <w:highlight w:val="none"/>
              </w:rPr>
            </w:pPr>
            <w:r>
              <w:rPr>
                <w:color w:val="000000"/>
                <w:sz w:val="24"/>
                <w:highlight w:val="none"/>
              </w:rPr>
            </w:r>
            <w:r/>
          </w:p>
        </w:tc>
        <w:tc>
          <w:tcPr>
            <w:tcW w:w="2126" w:type="dxa"/>
            <w:vAlign w:val="center"/>
            <w:textDirection w:val="lrTb"/>
            <w:noWrap w:val="false"/>
          </w:tcPr>
          <w:p>
            <w:pPr>
              <w:pStyle w:val="1140"/>
              <w:jc w:val="center"/>
              <w:rPr>
                <w:color w:val="000000"/>
                <w:sz w:val="24"/>
                <w:highlight w:val="none"/>
              </w:rPr>
            </w:pPr>
            <w:r>
              <w:rPr>
                <w:color w:val="000000"/>
                <w:sz w:val="24"/>
                <w:highlight w:val="none"/>
              </w:rPr>
            </w:r>
            <w:r/>
          </w:p>
        </w:tc>
        <w:tc>
          <w:tcPr>
            <w:tcW w:w="1875" w:type="dxa"/>
            <w:vAlign w:val="center"/>
            <w:textDirection w:val="lrTb"/>
            <w:noWrap w:val="false"/>
          </w:tcPr>
          <w:p>
            <w:pPr>
              <w:pStyle w:val="1140"/>
              <w:jc w:val="center"/>
              <w:rPr>
                <w:color w:val="000000"/>
                <w:sz w:val="24"/>
                <w:highlight w:val="none"/>
              </w:rPr>
            </w:pPr>
            <w:r>
              <w:rPr>
                <w:color w:val="000000"/>
                <w:sz w:val="24"/>
                <w:highlight w:val="none"/>
              </w:rPr>
            </w:r>
            <w:r/>
          </w:p>
        </w:tc>
        <w:tc>
          <w:tcPr>
            <w:tcW w:w="1009" w:type="dxa"/>
            <w:vAlign w:val="center"/>
            <w:textDirection w:val="lrTb"/>
            <w:noWrap w:val="false"/>
          </w:tcPr>
          <w:p>
            <w:pPr>
              <w:pStyle w:val="1140"/>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40"/>
              <w:jc w:val="center"/>
              <w:rPr>
                <w:color w:val="000000"/>
                <w:sz w:val="24"/>
                <w:highlight w:val="none"/>
              </w:rPr>
            </w:pPr>
            <w:r>
              <w:rPr>
                <w:color w:val="000000"/>
                <w:sz w:val="24"/>
                <w:highlight w:val="none"/>
              </w:rPr>
            </w:r>
            <w:r/>
          </w:p>
        </w:tc>
        <w:tc>
          <w:tcPr>
            <w:tcW w:w="1482" w:type="dxa"/>
            <w:vAlign w:val="center"/>
            <w:textDirection w:val="lrTb"/>
            <w:noWrap w:val="false"/>
          </w:tcPr>
          <w:p>
            <w:pPr>
              <w:pStyle w:val="1140"/>
              <w:jc w:val="center"/>
              <w:rPr>
                <w:color w:val="000000"/>
                <w:sz w:val="24"/>
                <w:highlight w:val="none"/>
              </w:rPr>
            </w:pPr>
            <w:r>
              <w:rPr>
                <w:color w:val="000000"/>
                <w:sz w:val="24"/>
                <w:highlight w:val="none"/>
              </w:rPr>
            </w:r>
            <w:r/>
          </w:p>
        </w:tc>
        <w:tc>
          <w:tcPr>
            <w:tcW w:w="2384" w:type="dxa"/>
            <w:vAlign w:val="center"/>
            <w:textDirection w:val="lrTb"/>
            <w:noWrap w:val="false"/>
          </w:tcPr>
          <w:p>
            <w:pPr>
              <w:pStyle w:val="1140"/>
              <w:jc w:val="center"/>
              <w:rPr>
                <w:color w:val="000000"/>
                <w:sz w:val="24"/>
                <w:highlight w:val="none"/>
              </w:rPr>
            </w:pPr>
            <w:r>
              <w:rPr>
                <w:color w:val="000000"/>
                <w:sz w:val="24"/>
                <w:highlight w:val="none"/>
              </w:rPr>
            </w:r>
            <w:r/>
          </w:p>
        </w:tc>
        <w:tc>
          <w:tcPr>
            <w:tcW w:w="2126" w:type="dxa"/>
            <w:vAlign w:val="center"/>
            <w:textDirection w:val="lrTb"/>
            <w:noWrap w:val="false"/>
          </w:tcPr>
          <w:p>
            <w:pPr>
              <w:pStyle w:val="1140"/>
              <w:jc w:val="center"/>
              <w:rPr>
                <w:color w:val="000000"/>
                <w:sz w:val="24"/>
                <w:highlight w:val="none"/>
              </w:rPr>
            </w:pPr>
            <w:r>
              <w:rPr>
                <w:color w:val="000000"/>
                <w:sz w:val="24"/>
                <w:highlight w:val="none"/>
              </w:rPr>
            </w:r>
            <w:r/>
          </w:p>
        </w:tc>
        <w:tc>
          <w:tcPr>
            <w:tcW w:w="1875" w:type="dxa"/>
            <w:vAlign w:val="center"/>
            <w:textDirection w:val="lrTb"/>
            <w:noWrap w:val="false"/>
          </w:tcPr>
          <w:p>
            <w:pPr>
              <w:pStyle w:val="1140"/>
              <w:jc w:val="center"/>
              <w:rPr>
                <w:color w:val="000000"/>
                <w:sz w:val="24"/>
                <w:highlight w:val="none"/>
              </w:rPr>
            </w:pPr>
            <w:r>
              <w:rPr>
                <w:color w:val="000000"/>
                <w:sz w:val="24"/>
                <w:highlight w:val="none"/>
              </w:rPr>
            </w:r>
            <w:r/>
          </w:p>
        </w:tc>
        <w:tc>
          <w:tcPr>
            <w:tcW w:w="1009" w:type="dxa"/>
            <w:vAlign w:val="center"/>
            <w:textDirection w:val="lrTb"/>
            <w:noWrap w:val="false"/>
          </w:tcPr>
          <w:p>
            <w:pPr>
              <w:pStyle w:val="1140"/>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40"/>
              <w:jc w:val="center"/>
              <w:rPr>
                <w:color w:val="000000"/>
                <w:sz w:val="24"/>
                <w:highlight w:val="none"/>
              </w:rPr>
            </w:pPr>
            <w:r>
              <w:rPr>
                <w:color w:val="000000"/>
                <w:sz w:val="24"/>
                <w:highlight w:val="none"/>
              </w:rPr>
            </w:r>
            <w:r/>
          </w:p>
        </w:tc>
        <w:tc>
          <w:tcPr>
            <w:tcW w:w="1482" w:type="dxa"/>
            <w:vAlign w:val="center"/>
            <w:textDirection w:val="lrTb"/>
            <w:noWrap w:val="false"/>
          </w:tcPr>
          <w:p>
            <w:pPr>
              <w:pStyle w:val="1140"/>
              <w:jc w:val="center"/>
              <w:rPr>
                <w:color w:val="000000"/>
                <w:sz w:val="24"/>
                <w:highlight w:val="none"/>
              </w:rPr>
            </w:pPr>
            <w:r>
              <w:rPr>
                <w:color w:val="000000"/>
                <w:sz w:val="24"/>
                <w:highlight w:val="none"/>
              </w:rPr>
            </w:r>
            <w:r/>
          </w:p>
        </w:tc>
        <w:tc>
          <w:tcPr>
            <w:tcW w:w="2384" w:type="dxa"/>
            <w:vAlign w:val="center"/>
            <w:textDirection w:val="lrTb"/>
            <w:noWrap w:val="false"/>
          </w:tcPr>
          <w:p>
            <w:pPr>
              <w:pStyle w:val="1140"/>
              <w:jc w:val="center"/>
              <w:rPr>
                <w:color w:val="000000"/>
                <w:sz w:val="24"/>
                <w:highlight w:val="none"/>
              </w:rPr>
            </w:pPr>
            <w:r>
              <w:rPr>
                <w:color w:val="000000"/>
                <w:sz w:val="24"/>
                <w:highlight w:val="none"/>
              </w:rPr>
            </w:r>
            <w:r/>
          </w:p>
        </w:tc>
        <w:tc>
          <w:tcPr>
            <w:tcW w:w="2126" w:type="dxa"/>
            <w:vAlign w:val="center"/>
            <w:textDirection w:val="lrTb"/>
            <w:noWrap w:val="false"/>
          </w:tcPr>
          <w:p>
            <w:pPr>
              <w:pStyle w:val="1140"/>
              <w:jc w:val="center"/>
              <w:rPr>
                <w:color w:val="000000"/>
                <w:sz w:val="24"/>
                <w:highlight w:val="none"/>
              </w:rPr>
            </w:pPr>
            <w:r>
              <w:rPr>
                <w:color w:val="000000"/>
                <w:sz w:val="24"/>
                <w:highlight w:val="none"/>
              </w:rPr>
            </w:r>
            <w:r/>
          </w:p>
        </w:tc>
        <w:tc>
          <w:tcPr>
            <w:tcW w:w="1875" w:type="dxa"/>
            <w:vAlign w:val="center"/>
            <w:textDirection w:val="lrTb"/>
            <w:noWrap w:val="false"/>
          </w:tcPr>
          <w:p>
            <w:pPr>
              <w:pStyle w:val="1140"/>
              <w:jc w:val="center"/>
              <w:rPr>
                <w:color w:val="000000"/>
                <w:sz w:val="24"/>
                <w:highlight w:val="none"/>
              </w:rPr>
            </w:pPr>
            <w:r>
              <w:rPr>
                <w:color w:val="000000"/>
                <w:sz w:val="24"/>
                <w:highlight w:val="none"/>
              </w:rPr>
            </w:r>
            <w:r/>
          </w:p>
        </w:tc>
        <w:tc>
          <w:tcPr>
            <w:tcW w:w="1009" w:type="dxa"/>
            <w:vAlign w:val="center"/>
            <w:textDirection w:val="lrTb"/>
            <w:noWrap w:val="false"/>
          </w:tcPr>
          <w:p>
            <w:pPr>
              <w:pStyle w:val="1140"/>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40"/>
              <w:jc w:val="center"/>
              <w:rPr>
                <w:color w:val="000000"/>
                <w:sz w:val="24"/>
                <w:highlight w:val="none"/>
              </w:rPr>
            </w:pPr>
            <w:r>
              <w:rPr>
                <w:color w:val="000000"/>
                <w:sz w:val="24"/>
                <w:highlight w:val="none"/>
              </w:rPr>
            </w:r>
            <w:r/>
          </w:p>
        </w:tc>
        <w:tc>
          <w:tcPr>
            <w:tcW w:w="1482" w:type="dxa"/>
            <w:vAlign w:val="center"/>
            <w:textDirection w:val="lrTb"/>
            <w:noWrap w:val="false"/>
          </w:tcPr>
          <w:p>
            <w:pPr>
              <w:pStyle w:val="1140"/>
              <w:jc w:val="center"/>
              <w:rPr>
                <w:color w:val="000000"/>
                <w:sz w:val="24"/>
                <w:highlight w:val="none"/>
              </w:rPr>
            </w:pPr>
            <w:r>
              <w:rPr>
                <w:color w:val="000000"/>
                <w:sz w:val="24"/>
                <w:highlight w:val="none"/>
              </w:rPr>
            </w:r>
            <w:r/>
          </w:p>
        </w:tc>
        <w:tc>
          <w:tcPr>
            <w:tcW w:w="2384" w:type="dxa"/>
            <w:vAlign w:val="center"/>
            <w:textDirection w:val="lrTb"/>
            <w:noWrap w:val="false"/>
          </w:tcPr>
          <w:p>
            <w:pPr>
              <w:pStyle w:val="1140"/>
              <w:jc w:val="center"/>
              <w:rPr>
                <w:color w:val="000000"/>
                <w:sz w:val="24"/>
                <w:highlight w:val="none"/>
              </w:rPr>
            </w:pPr>
            <w:r>
              <w:rPr>
                <w:color w:val="000000"/>
                <w:sz w:val="24"/>
                <w:highlight w:val="none"/>
              </w:rPr>
            </w:r>
            <w:r/>
          </w:p>
        </w:tc>
        <w:tc>
          <w:tcPr>
            <w:tcW w:w="2126" w:type="dxa"/>
            <w:vAlign w:val="center"/>
            <w:textDirection w:val="lrTb"/>
            <w:noWrap w:val="false"/>
          </w:tcPr>
          <w:p>
            <w:pPr>
              <w:pStyle w:val="1140"/>
              <w:jc w:val="center"/>
              <w:rPr>
                <w:color w:val="000000"/>
                <w:sz w:val="24"/>
                <w:highlight w:val="none"/>
              </w:rPr>
            </w:pPr>
            <w:r>
              <w:rPr>
                <w:color w:val="000000"/>
                <w:sz w:val="24"/>
                <w:highlight w:val="none"/>
              </w:rPr>
            </w:r>
            <w:r/>
          </w:p>
        </w:tc>
        <w:tc>
          <w:tcPr>
            <w:tcW w:w="1875" w:type="dxa"/>
            <w:vAlign w:val="center"/>
            <w:textDirection w:val="lrTb"/>
            <w:noWrap w:val="false"/>
          </w:tcPr>
          <w:p>
            <w:pPr>
              <w:pStyle w:val="1140"/>
              <w:jc w:val="center"/>
              <w:rPr>
                <w:color w:val="000000"/>
                <w:sz w:val="24"/>
                <w:highlight w:val="none"/>
              </w:rPr>
            </w:pPr>
            <w:r>
              <w:rPr>
                <w:color w:val="000000"/>
                <w:sz w:val="24"/>
                <w:highlight w:val="none"/>
              </w:rPr>
            </w:r>
            <w:r/>
          </w:p>
        </w:tc>
        <w:tc>
          <w:tcPr>
            <w:tcW w:w="1009" w:type="dxa"/>
            <w:vAlign w:val="center"/>
            <w:textDirection w:val="lrTb"/>
            <w:noWrap w:val="false"/>
          </w:tcPr>
          <w:p>
            <w:pPr>
              <w:pStyle w:val="1140"/>
              <w:jc w:val="center"/>
              <w:rPr>
                <w:color w:val="000000"/>
                <w:sz w:val="24"/>
                <w:highlight w:val="none"/>
              </w:rPr>
            </w:pPr>
            <w:r>
              <w:rPr>
                <w:color w:val="000000"/>
                <w:sz w:val="24"/>
                <w:highlight w:val="none"/>
              </w:rPr>
            </w:r>
            <w:r/>
          </w:p>
        </w:tc>
      </w:tr>
    </w:tbl>
    <w:p>
      <w:pPr>
        <w:pStyle w:val="1140"/>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140"/>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140"/>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140"/>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40"/>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1140"/>
        <w:jc w:val="left"/>
        <w:tabs>
          <w:tab w:val="left" w:pos="1800" w:leader="none"/>
          <w:tab w:val="left" w:pos="5580" w:leader="none"/>
        </w:tabs>
        <w:rPr>
          <w:color w:val="000000"/>
          <w:sz w:val="24"/>
          <w:highlight w:val="none"/>
        </w:rPr>
      </w:pPr>
      <w:r>
        <w:rPr>
          <w:color w:val="000000"/>
          <w:sz w:val="24"/>
          <w:highlight w:val="none"/>
        </w:rPr>
      </w:r>
      <w:r/>
    </w:p>
    <w:p>
      <w:pPr>
        <w:pStyle w:val="1140"/>
        <w:rPr>
          <w:color w:val="000000"/>
          <w:sz w:val="24"/>
          <w:szCs w:val="20"/>
          <w:highlight w:val="none"/>
        </w:rPr>
      </w:pPr>
      <w:r>
        <w:rPr>
          <w:color w:val="000000"/>
          <w:sz w:val="24"/>
          <w:szCs w:val="20"/>
          <w:highlight w:val="none"/>
        </w:rPr>
      </w:r>
      <w:r/>
    </w:p>
    <w:p>
      <w:pPr>
        <w:pStyle w:val="114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40"/>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140"/>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40"/>
        <w:spacing w:line="360" w:lineRule="auto"/>
        <w:rPr>
          <w:b/>
          <w:color w:val="000000"/>
          <w:sz w:val="24"/>
          <w:highlight w:val="none"/>
        </w:rPr>
        <w:outlineLvl w:val="2"/>
      </w:pPr>
      <w:r>
        <w:rPr>
          <w:b/>
          <w:color w:val="000000"/>
          <w:sz w:val="24"/>
          <w:highlight w:val="none"/>
        </w:rPr>
      </w:r>
      <w:r/>
    </w:p>
    <w:p>
      <w:pPr>
        <w:pStyle w:val="1140"/>
        <w:rPr>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0</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1140"/>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1140"/>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1140"/>
        <w:spacing w:line="360" w:lineRule="auto"/>
        <w:rPr>
          <w:rFonts w:eastAsia="宋体"/>
          <w:color w:val="000000"/>
          <w:sz w:val="24"/>
          <w:szCs w:val="20"/>
          <w:highlight w:val="none"/>
          <w:lang w:val="en-US" w:eastAsia="zh-CN"/>
        </w:rPr>
        <w:outlineLvl w:val="2"/>
      </w:pPr>
      <w:r>
        <w:rPr>
          <w:rFonts w:hint="eastAsia"/>
          <w:color w:val="000000"/>
          <w:sz w:val="24"/>
          <w:szCs w:val="20"/>
          <w:highlight w:val="none"/>
          <w:lang w:val="en-US" w:eastAsia="zh-CN"/>
        </w:rPr>
        <w:t xml:space="preserve">根据评分标准中的方案填写</w:t>
      </w:r>
      <w:r>
        <w:rPr>
          <w:rFonts w:eastAsia="宋体"/>
          <w:color w:val="000000"/>
          <w:sz w:val="24"/>
          <w:szCs w:val="20"/>
          <w:highlight w:val="none"/>
          <w:lang w:val="en-US" w:eastAsia="zh-CN"/>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br w:type="page" w:clear="all"/>
      </w:r>
      <w:r>
        <w:rPr>
          <w:rFonts w:hint="eastAsia"/>
          <w:color w:val="000000"/>
          <w:sz w:val="24"/>
          <w:szCs w:val="20"/>
          <w:highlight w:val="none"/>
        </w:rPr>
      </w:r>
      <w:r/>
    </w:p>
    <w:p>
      <w:pPr>
        <w:pStyle w:val="1140"/>
        <w:rPr>
          <w:rFonts w:hint="eastAsia"/>
          <w:color w:val="000000"/>
          <w:sz w:val="24"/>
          <w:szCs w:val="20"/>
          <w:highlight w:val="none"/>
        </w:rPr>
      </w:pPr>
      <w:r>
        <w:rPr>
          <w:rFonts w:hint="eastAsia"/>
          <w:color w:val="000000"/>
          <w:sz w:val="24"/>
          <w:szCs w:val="20"/>
          <w:highlight w:val="none"/>
        </w:rPr>
      </w:r>
      <w:r/>
    </w:p>
    <w:p>
      <w:pPr>
        <w:pStyle w:val="1140"/>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rFonts w:hint="eastAsia"/>
          <w:color w:val="000000"/>
          <w:sz w:val="24"/>
          <w:szCs w:val="20"/>
          <w:highlight w:val="none"/>
        </w:rPr>
        <w:t xml:space="preserve"> 参加本项目人员一览表</w:t>
      </w:r>
      <w:r>
        <w:rPr>
          <w:color w:val="000000"/>
          <w:sz w:val="24"/>
          <w:szCs w:val="20"/>
          <w:highlight w:val="none"/>
        </w:rPr>
      </w:r>
      <w:r/>
    </w:p>
    <w:p>
      <w:pPr>
        <w:pStyle w:val="114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4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140"/>
        <w:spacing w:line="360" w:lineRule="auto"/>
        <w:rPr>
          <w:rFonts w:ascii="宋体" w:hAnsi="宋体"/>
          <w:color w:val="000000"/>
          <w:sz w:val="22"/>
          <w:highlight w:val="none"/>
        </w:rPr>
      </w:pPr>
      <w:r>
        <w:rPr>
          <w:rFonts w:ascii="宋体" w:hAnsi="宋体"/>
          <w:color w:val="000000"/>
          <w:sz w:val="22"/>
          <w:highlight w:val="none"/>
        </w:rPr>
      </w:r>
      <w:r/>
    </w:p>
    <w:p>
      <w:pPr>
        <w:pStyle w:val="11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1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14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14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14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1140"/>
        <w:spacing w:line="360" w:lineRule="auto"/>
        <w:rPr>
          <w:rFonts w:ascii="宋体" w:hAnsi="宋体"/>
          <w:color w:val="000000"/>
          <w:sz w:val="24"/>
          <w:highlight w:val="none"/>
        </w:rPr>
      </w:pPr>
      <w:r>
        <w:rPr>
          <w:rFonts w:ascii="宋体" w:hAnsi="宋体"/>
          <w:color w:val="000000"/>
          <w:sz w:val="24"/>
          <w:highlight w:val="none"/>
        </w:rPr>
      </w:r>
      <w:r/>
    </w:p>
    <w:p>
      <w:pPr>
        <w:pStyle w:val="1140"/>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140"/>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40"/>
        <w:rPr>
          <w:rFonts w:hint="eastAsia"/>
          <w:color w:val="000000"/>
          <w:sz w:val="22"/>
          <w:highlight w:val="none"/>
        </w:rPr>
      </w:pPr>
      <w:r>
        <w:rPr>
          <w:color w:val="000000"/>
          <w:sz w:val="22"/>
          <w:highlight w:val="none"/>
        </w:rPr>
        <w:br w:type="page" w:clear="all"/>
      </w:r>
      <w:bookmarkStart w:id="708" w:name="_Toc288738397"/>
      <w:r/>
      <w:bookmarkStart w:id="709" w:name="_Toc288738839"/>
      <w:r>
        <w:rPr>
          <w:rFonts w:hint="eastAsia"/>
          <w:color w:val="000000"/>
          <w:sz w:val="22"/>
          <w:highlight w:val="none"/>
        </w:rPr>
      </w:r>
      <w:r/>
    </w:p>
    <w:p>
      <w:pPr>
        <w:pStyle w:val="1140"/>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相关业绩案例一览表</w:t>
      </w:r>
      <w:r>
        <w:rPr>
          <w:color w:val="000000"/>
          <w:sz w:val="24"/>
          <w:szCs w:val="20"/>
          <w:highlight w:val="none"/>
        </w:rPr>
      </w:r>
      <w:r/>
    </w:p>
    <w:p>
      <w:pPr>
        <w:pStyle w:val="1140"/>
        <w:rPr>
          <w:color w:val="000000"/>
          <w:sz w:val="24"/>
          <w:szCs w:val="20"/>
          <w:highlight w:val="none"/>
        </w:rPr>
      </w:pPr>
      <w:r>
        <w:rPr>
          <w:color w:val="000000"/>
          <w:sz w:val="24"/>
          <w:szCs w:val="20"/>
          <w:highlight w:val="none"/>
        </w:rPr>
      </w:r>
      <w:r/>
    </w:p>
    <w:p>
      <w:pPr>
        <w:pStyle w:val="114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08"/>
      <w:r/>
      <w:bookmarkEnd w:id="709"/>
      <w:r>
        <w:rPr>
          <w:rFonts w:ascii="宋体" w:hAnsi="宋体"/>
          <w:b/>
          <w:color w:val="000000"/>
          <w:sz w:val="32"/>
          <w:szCs w:val="32"/>
          <w:highlight w:val="none"/>
        </w:rPr>
      </w:r>
      <w:r/>
    </w:p>
    <w:p>
      <w:pPr>
        <w:pStyle w:val="114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14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4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4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4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4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14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140"/>
        <w:spacing w:line="360" w:lineRule="auto"/>
        <w:rPr>
          <w:rFonts w:ascii="宋体" w:hAnsi="宋体" w:cs="宋体"/>
          <w:color w:val="000000"/>
          <w:sz w:val="24"/>
          <w:highlight w:val="none"/>
        </w:rPr>
      </w:pPr>
      <w:r>
        <w:rPr>
          <w:rFonts w:ascii="宋体" w:hAnsi="宋体" w:cs="宋体"/>
          <w:color w:val="000000"/>
          <w:sz w:val="24"/>
          <w:highlight w:val="none"/>
        </w:rPr>
      </w:r>
      <w:r/>
    </w:p>
    <w:p>
      <w:pPr>
        <w:pStyle w:val="1140"/>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140"/>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rFonts w:hint="eastAsia"/>
          <w:color w:val="000000"/>
          <w:sz w:val="24"/>
          <w:szCs w:val="20"/>
          <w:highlight w:val="none"/>
        </w:rPr>
        <w:outlineLvl w:val="2"/>
      </w:pPr>
      <w:r>
        <w:rPr>
          <w:rFonts w:hint="eastAsia"/>
          <w:color w:val="000000"/>
          <w:sz w:val="24"/>
          <w:szCs w:val="20"/>
          <w:highlight w:val="none"/>
        </w:rPr>
      </w:r>
      <w:r/>
    </w:p>
    <w:p>
      <w:pPr>
        <w:pStyle w:val="1140"/>
        <w:spacing w:line="360" w:lineRule="auto"/>
        <w:rPr>
          <w:b/>
          <w:color w:val="000000"/>
          <w:sz w:val="24"/>
          <w:highlight w:val="none"/>
        </w:rPr>
      </w:pPr>
      <w:r>
        <w:rPr>
          <w:b/>
          <w:color w:val="000000"/>
          <w:sz w:val="24"/>
          <w:highlight w:val="none"/>
        </w:rPr>
      </w:r>
      <w:r/>
    </w:p>
    <w:p>
      <w:pPr>
        <w:pStyle w:val="1140"/>
        <w:spacing w:line="360" w:lineRule="auto"/>
        <w:rPr>
          <w:color w:val="000000"/>
          <w:sz w:val="24"/>
          <w:highlight w:val="none"/>
        </w:rPr>
        <w:outlineLvl w:val="2"/>
      </w:pPr>
      <w:r>
        <w:rPr>
          <w:color w:val="000000"/>
          <w:sz w:val="24"/>
          <w:szCs w:val="20"/>
          <w:highlight w:val="none"/>
        </w:rPr>
        <w:br w:type="page" w:clear="all"/>
      </w:r>
      <w:r>
        <w:rPr>
          <w:color w:val="000000"/>
          <w:sz w:val="24"/>
          <w:szCs w:val="20"/>
          <w:highlight w:val="none"/>
        </w:rPr>
        <w:t xml:space="preserve">1</w:t>
      </w:r>
      <w:r>
        <w:rPr>
          <w:rFonts w:hint="eastAsia"/>
          <w:color w:val="000000"/>
          <w:sz w:val="24"/>
          <w:szCs w:val="20"/>
          <w:highlight w:val="none"/>
          <w:lang w:val="en-US" w:eastAsia="zh-CN"/>
        </w:rPr>
        <w:t xml:space="preserve">3</w:t>
      </w:r>
      <w:r>
        <w:rPr>
          <w:color w:val="000000"/>
          <w:sz w:val="24"/>
          <w:szCs w:val="20"/>
          <w:highlight w:val="none"/>
        </w:rPr>
        <w:t xml:space="preserve">  磋商文件要求提供或供应商认为应附的其他材料</w:t>
      </w:r>
      <w:r>
        <w:rPr>
          <w:color w:val="000000"/>
          <w:sz w:val="24"/>
          <w:highlight w:val="none"/>
        </w:rPr>
      </w:r>
      <w:r/>
    </w:p>
    <w:p>
      <w:pPr>
        <w:pStyle w:val="1140"/>
        <w:rPr>
          <w:b/>
          <w:color w:val="000000"/>
          <w:sz w:val="36"/>
          <w:szCs w:val="36"/>
          <w:highlight w:val="none"/>
        </w:rPr>
      </w:pPr>
      <w:r>
        <w:rPr>
          <w:b/>
          <w:color w:val="000000"/>
          <w:sz w:val="36"/>
          <w:szCs w:val="36"/>
          <w:highlight w:val="none"/>
        </w:rPr>
      </w:r>
      <w:r/>
    </w:p>
    <w:p>
      <w:pPr>
        <w:pStyle w:val="1140"/>
        <w:rPr>
          <w:color w:val="000000"/>
          <w:sz w:val="24"/>
          <w:highlight w:val="none"/>
          <w:lang w:val="zh-CN"/>
        </w:rPr>
      </w:pPr>
      <w:r>
        <w:rPr>
          <w:color w:val="000000"/>
          <w:sz w:val="24"/>
          <w:szCs w:val="20"/>
          <w:highlight w:val="none"/>
        </w:rPr>
        <w:t xml:space="preserve"> </w:t>
      </w:r>
      <w:r>
        <w:rPr>
          <w:color w:val="000000"/>
          <w:sz w:val="24"/>
          <w:highlight w:val="none"/>
          <w:lang w:val="zh-CN"/>
        </w:rPr>
      </w:r>
      <w:r/>
    </w:p>
    <w:sectPr>
      <w:headerReference w:type="even" r:id="rId13"/>
      <w:headerReference w:type="first" r:id="rId14"/>
      <w:footerReference w:type="even" r:id="rId24"/>
      <w:footerReference w:type="first" r:id="rId25"/>
      <w:footnotePr/>
      <w:endnotePr/>
      <w:type w:val="nextPage"/>
      <w:pgSz w:w="11905" w:h="16838" w:orient="portrait"/>
      <w:pgMar w:top="1134" w:right="1757" w:bottom="1157" w:left="1757" w:header="862"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egoe UI Symbol">
    <w:panose1 w:val="020B0502040204020203"/>
  </w:font>
  <w:font w:name="Wingdings 2">
    <w:panose1 w:val="05020102010507070707"/>
  </w:font>
  <w:font w:name="Wingdings">
    <w:panose1 w:val="05000000000000000000"/>
  </w:font>
  <w:font w:name="华文楷体">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ESI黑体-GB2312">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rPr>
        <w:rStyle w:val="1213"/>
      </w:rPr>
      <w:framePr w:wrap="around" w:vAnchor="text" w:hAnchor="margin" w:xAlign="center" w:y="1"/>
    </w:pPr>
    <w:r>
      <w:fldChar w:fldCharType="begin"/>
    </w:r>
    <w:r>
      <w:rPr>
        <w:rStyle w:val="1213"/>
      </w:rPr>
      <w:instrText xml:space="preserve">PAGE  </w:instrText>
    </w:r>
    <w:r>
      <w:fldChar w:fldCharType="separate"/>
    </w:r>
    <w:r>
      <w:fldChar w:fldCharType="end"/>
    </w:r>
    <w:r>
      <w:rPr>
        <w:rStyle w:val="1213"/>
      </w:rPr>
    </w:r>
    <w:r/>
  </w:p>
  <w:p>
    <w:pPr>
      <w:pStyle w:val="118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65</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both"/>
      <w:tabs>
        <w:tab w:val="center" w:pos="4153" w:leader="none"/>
        <w:tab w:val="right" w:pos="8306" w:leader="none"/>
      </w:tabs>
      <w:rPr>
        <w:rFonts w:ascii="Times New Roman"/>
      </w:rPr>
    </w:pPr>
    <w:r>
      <w:rPr>
        <w:rFonts w:ascii="Times New Roman"/>
      </w:rPr>
    </w:r>
    <w:r/>
  </w:p>
  <w:p>
    <w:pPr>
      <w:pStyle w:val="1188"/>
      <w:jc w:val="both"/>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8"/>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14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8"/>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140"/>
                    </w:pPr>
                    <w:r/>
                    <w:r/>
                  </w:p>
                </w:txbxContent>
              </v:textbox>
            </v:shape>
          </w:pict>
        </mc:Fallback>
      </mc:AlternateContent>
    </w:r>
    <w:r>
      <w:rPr>
        <w:rFonts w:ascii="Times New Roman"/>
      </w:rPr>
    </w:r>
    <w:r/>
  </w:p>
  <w:p>
    <w:pPr>
      <w:pStyle w:val="1188"/>
      <w:jc w:val="both"/>
      <w:tabs>
        <w:tab w:val="center" w:pos="4153" w:leader="none"/>
        <w:tab w:val="right" w:pos="8306" w:leader="none"/>
      </w:tabs>
      <w:rPr>
        <w:rFonts w:ascii="Times New Roman"/>
      </w:rPr>
    </w:pP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rPr>
        <w:rStyle w:val="1213"/>
      </w:rPr>
      <w:framePr w:wrap="around" w:vAnchor="text" w:hAnchor="margin" w:xAlign="center" w:y="1"/>
    </w:pPr>
    <w:r>
      <w:rPr>
        <w:rStyle w:val="1213"/>
      </w:rPr>
      <w:fldChar w:fldCharType="begin"/>
    </w:r>
    <w:r>
      <w:rPr>
        <w:rStyle w:val="1213"/>
      </w:rPr>
      <w:instrText xml:space="preserve">PAGE  </w:instrText>
    </w:r>
    <w:r>
      <w:rPr>
        <w:rStyle w:val="1213"/>
      </w:rPr>
      <w:fldChar w:fldCharType="end"/>
    </w:r>
    <w:r>
      <w:rPr>
        <w:rStyle w:val="1213"/>
      </w:rPr>
    </w:r>
    <w:r/>
  </w:p>
  <w:p>
    <w:pPr>
      <w:pStyle w:val="1188"/>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ind w:left="4107"/>
      <w:jc w:val="left"/>
      <w:spacing w:line="169" w:lineRule="auto"/>
      <w:widowControl/>
      <w:rPr>
        <w:rFonts w:ascii="Calibri" w:hAnsi="Calibri" w:eastAsia="Calibri" w:cs="Calibri"/>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8"/>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140"/>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8"/>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140"/>
                    </w:pPr>
                    <w:r/>
                    <w:r/>
                  </w:p>
                </w:txbxContent>
              </v:textbox>
            </v:shape>
          </w:pict>
        </mc:Fallback>
      </mc:AlternateContent>
    </w:r>
    <w:r>
      <w:rPr>
        <w:rFonts w:ascii="Calibri" w:hAnsi="Calibri" w:eastAsia="Calibri" w:cs="Calibri"/>
        <w:color w:val="000000"/>
        <w:sz w:val="18"/>
        <w:szCs w:val="18"/>
        <w:lang w:eastAsia="en-US"/>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ind w:left="6888"/>
      <w:jc w:val="left"/>
      <w:spacing w:line="168" w:lineRule="auto"/>
      <w:widowControl/>
      <w:rPr>
        <w:rFonts w:ascii="Calibri" w:hAnsi="Calibri" w:eastAsia="Calibri" w:cs="Calibri"/>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140"/>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140"/>
                    </w:pPr>
                    <w:r/>
                    <w:r/>
                  </w:p>
                </w:txbxContent>
              </v:textbox>
            </v:shape>
          </w:pict>
        </mc:Fallback>
      </mc:AlternateContent>
    </w:r>
    <w:r>
      <w:rPr>
        <w:rFonts w:ascii="Calibri" w:hAnsi="Calibri" w:eastAsia="Calibri" w:cs="Calibri"/>
        <w:color w:val="000000"/>
        <w:sz w:val="18"/>
        <w:szCs w:val="18"/>
        <w:lang w:eastAsia="en-US"/>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rPr>
        <w:rStyle w:val="1213"/>
      </w:rPr>
      <w:framePr w:wrap="around" w:vAnchor="text" w:hAnchor="margin" w:xAlign="right" w:y="1"/>
    </w:pPr>
    <w:r>
      <w:rPr>
        <w:rStyle w:val="1213"/>
      </w:rPr>
      <w:fldChar w:fldCharType="begin"/>
    </w:r>
    <w:r>
      <w:rPr>
        <w:rStyle w:val="1213"/>
      </w:rPr>
      <w:instrText xml:space="preserve">PAGE  </w:instrText>
    </w:r>
    <w:r>
      <w:rPr>
        <w:rStyle w:val="1213"/>
      </w:rPr>
      <w:fldChar w:fldCharType="end"/>
    </w:r>
    <w:r>
      <w:rPr>
        <w:rStyle w:val="1213"/>
      </w:rPr>
    </w:r>
    <w:r/>
  </w:p>
  <w:p>
    <w:pPr>
      <w:pStyle w:val="1188"/>
      <w:ind w:right="360"/>
      <w:tabs>
        <w:tab w:val="center" w:pos="4153" w:leader="none"/>
        <w:tab w:val="right" w:pos="8306" w:leader="none"/>
      </w:tabs>
    </w:pPr>
    <w:r/>
    <w:r/>
  </w:p>
  <w:p>
    <w:pPr>
      <w:pStyle w:val="1140"/>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enter" w:pos="4153" w:leader="none"/>
        <w:tab w:val="right" w:pos="8306" w:leader="none"/>
      </w:tabs>
      <w:rPr>
        <w:rFonts w:hint="eastAsia"/>
        <w:lang w:val="en-US" w:eastAsia="zh-CN"/>
      </w:rPr>
      <w:pBdr>
        <w:bottom w:val="none" w:color="000000" w:sz="0" w:space="1"/>
      </w:pBdr>
    </w:pPr>
    <w:r>
      <w:rPr>
        <w:rFonts w:hint="eastAsia"/>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enter" w:pos="4153" w:leader="none"/>
        <w:tab w:val="right" w:pos="8306" w:leader="none"/>
      </w:tabs>
      <w:rPr>
        <w:rFonts w:hint="eastAsia"/>
        <w:lang w:val="en-US" w:eastAsia="zh-CN"/>
      </w:rPr>
      <w:pBdr>
        <w:bottom w:val="none" w:color="000000" w:sz="0" w:space="1"/>
      </w:pBdr>
    </w:pPr>
    <w:r>
      <w:rPr>
        <w:rFonts w:hint="eastAsia"/>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enter" w:pos="4153" w:leader="none"/>
        <w:tab w:val="right" w:pos="8306" w:leader="none"/>
      </w:tabs>
    </w:pPr>
    <w:r/>
    <w:r/>
  </w:p>
  <w:p>
    <w:pPr>
      <w:pStyle w:val="114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11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140"/>
        <w:ind w:left="4941" w:hanging="1140"/>
        <w:tabs>
          <w:tab w:val="num" w:pos="4941" w:leader="none"/>
        </w:tabs>
      </w:pPr>
      <w:rPr>
        <w:rFonts w:hint="eastAsia"/>
      </w:rPr>
    </w:lvl>
    <w:lvl w:ilvl="1">
      <w:start w:val="1"/>
      <w:numFmt w:val="lowerLetter"/>
      <w:isLgl w:val="false"/>
      <w:suff w:val="tab"/>
      <w:lvlText w:val="%2)"/>
      <w:lvlJc w:val="left"/>
      <w:pPr>
        <w:pStyle w:val="1140"/>
        <w:ind w:left="4641" w:hanging="420"/>
        <w:tabs>
          <w:tab w:val="num" w:pos="4641" w:leader="none"/>
        </w:tabs>
      </w:pPr>
    </w:lvl>
    <w:lvl w:ilvl="2">
      <w:start w:val="1"/>
      <w:numFmt w:val="lowerRoman"/>
      <w:isLgl w:val="false"/>
      <w:suff w:val="tab"/>
      <w:lvlText w:val="%3."/>
      <w:lvlJc w:val="right"/>
      <w:pPr>
        <w:pStyle w:val="1140"/>
        <w:ind w:left="5061" w:hanging="420"/>
        <w:tabs>
          <w:tab w:val="num" w:pos="5061" w:leader="none"/>
        </w:tabs>
      </w:pPr>
    </w:lvl>
    <w:lvl w:ilvl="3">
      <w:start w:val="1"/>
      <w:numFmt w:val="decimal"/>
      <w:isLgl w:val="false"/>
      <w:suff w:val="tab"/>
      <w:lvlText w:val="%4."/>
      <w:lvlJc w:val="left"/>
      <w:pPr>
        <w:pStyle w:val="1140"/>
        <w:ind w:left="5481" w:hanging="420"/>
        <w:tabs>
          <w:tab w:val="num" w:pos="5481" w:leader="none"/>
        </w:tabs>
      </w:pPr>
    </w:lvl>
    <w:lvl w:ilvl="4">
      <w:start w:val="1"/>
      <w:numFmt w:val="lowerLetter"/>
      <w:isLgl w:val="false"/>
      <w:suff w:val="tab"/>
      <w:lvlText w:val="%5)"/>
      <w:lvlJc w:val="left"/>
      <w:pPr>
        <w:pStyle w:val="1140"/>
        <w:ind w:left="5901" w:hanging="420"/>
        <w:tabs>
          <w:tab w:val="num" w:pos="5901" w:leader="none"/>
        </w:tabs>
      </w:pPr>
    </w:lvl>
    <w:lvl w:ilvl="5">
      <w:start w:val="1"/>
      <w:numFmt w:val="lowerRoman"/>
      <w:isLgl w:val="false"/>
      <w:suff w:val="tab"/>
      <w:lvlText w:val="%6."/>
      <w:lvlJc w:val="right"/>
      <w:pPr>
        <w:pStyle w:val="1140"/>
        <w:ind w:left="6321" w:hanging="420"/>
        <w:tabs>
          <w:tab w:val="num" w:pos="6321" w:leader="none"/>
        </w:tabs>
      </w:pPr>
    </w:lvl>
    <w:lvl w:ilvl="6">
      <w:start w:val="1"/>
      <w:numFmt w:val="decimal"/>
      <w:isLgl w:val="false"/>
      <w:suff w:val="tab"/>
      <w:lvlText w:val="%7."/>
      <w:lvlJc w:val="left"/>
      <w:pPr>
        <w:pStyle w:val="1140"/>
        <w:ind w:left="6741" w:hanging="420"/>
        <w:tabs>
          <w:tab w:val="num" w:pos="6741" w:leader="none"/>
        </w:tabs>
      </w:pPr>
    </w:lvl>
    <w:lvl w:ilvl="7">
      <w:start w:val="1"/>
      <w:numFmt w:val="lowerLetter"/>
      <w:isLgl w:val="false"/>
      <w:suff w:val="tab"/>
      <w:lvlText w:val="%8)"/>
      <w:lvlJc w:val="left"/>
      <w:pPr>
        <w:pStyle w:val="1140"/>
        <w:ind w:left="7161" w:hanging="420"/>
        <w:tabs>
          <w:tab w:val="num" w:pos="7161" w:leader="none"/>
        </w:tabs>
      </w:pPr>
    </w:lvl>
    <w:lvl w:ilvl="8">
      <w:start w:val="1"/>
      <w:numFmt w:val="lowerRoman"/>
      <w:isLgl w:val="false"/>
      <w:suff w:val="tab"/>
      <w:lvlText w:val="%9."/>
      <w:lvlJc w:val="right"/>
      <w:pPr>
        <w:pStyle w:val="1140"/>
        <w:ind w:left="7581" w:hanging="420"/>
        <w:tabs>
          <w:tab w:val="num" w:pos="7581" w:leader="none"/>
        </w:tabs>
      </w:pPr>
    </w:lvl>
  </w:abstractNum>
  <w:abstractNum w:abstractNumId="2">
    <w:multiLevelType w:val="hybridMultilevel"/>
    <w:lvl w:ilvl="0">
      <w:start w:val="1"/>
      <w:numFmt w:val="decimal"/>
      <w:pStyle w:val="1252"/>
      <w:isLgl w:val="false"/>
      <w:suff w:val="tab"/>
      <w:lvlText w:val="%1."/>
      <w:lvlJc w:val="left"/>
      <w:pPr>
        <w:pStyle w:val="1140"/>
        <w:ind w:left="420" w:hanging="420"/>
      </w:pPr>
    </w:lvl>
    <w:lvl w:ilvl="1">
      <w:start w:val="1"/>
      <w:numFmt w:val="decimal"/>
      <w:isLgl w:val="false"/>
      <w:suff w:val="tab"/>
      <w:lvlText w:val="（%2）"/>
      <w:lvlJc w:val="left"/>
      <w:pPr>
        <w:pStyle w:val="1140"/>
        <w:ind w:left="1140" w:hanging="720"/>
        <w:tabs>
          <w:tab w:val="num" w:pos="1140" w:leader="none"/>
        </w:tabs>
      </w:pPr>
      <w:rPr>
        <w:rFonts w:hint="eastAsia"/>
      </w:rPr>
    </w:lvl>
    <w:lvl w:ilvl="2">
      <w:start w:val="1"/>
      <w:numFmt w:val="lowerRoman"/>
      <w:isLgl w:val="false"/>
      <w:suff w:val="tab"/>
      <w:lvlText w:val="%3."/>
      <w:lvlJc w:val="right"/>
      <w:pPr>
        <w:pStyle w:val="1140"/>
        <w:ind w:left="1260" w:hanging="420"/>
      </w:pPr>
    </w:lvl>
    <w:lvl w:ilvl="3">
      <w:start w:val="1"/>
      <w:numFmt w:val="decimal"/>
      <w:isLgl w:val="false"/>
      <w:suff w:val="tab"/>
      <w:lvlText w:val="%4."/>
      <w:lvlJc w:val="left"/>
      <w:pPr>
        <w:pStyle w:val="1140"/>
        <w:ind w:left="1680" w:hanging="420"/>
      </w:pPr>
    </w:lvl>
    <w:lvl w:ilvl="4">
      <w:start w:val="1"/>
      <w:numFmt w:val="lowerLetter"/>
      <w:isLgl w:val="false"/>
      <w:suff w:val="tab"/>
      <w:lvlText w:val="%5)"/>
      <w:lvlJc w:val="left"/>
      <w:pPr>
        <w:pStyle w:val="1140"/>
        <w:ind w:left="2100" w:hanging="420"/>
      </w:pPr>
    </w:lvl>
    <w:lvl w:ilvl="5">
      <w:start w:val="1"/>
      <w:numFmt w:val="lowerRoman"/>
      <w:isLgl w:val="false"/>
      <w:suff w:val="tab"/>
      <w:lvlText w:val="%6."/>
      <w:lvlJc w:val="right"/>
      <w:pPr>
        <w:pStyle w:val="1140"/>
        <w:ind w:left="2520" w:hanging="420"/>
      </w:pPr>
    </w:lvl>
    <w:lvl w:ilvl="6">
      <w:start w:val="1"/>
      <w:numFmt w:val="decimal"/>
      <w:isLgl w:val="false"/>
      <w:suff w:val="tab"/>
      <w:lvlText w:val="%7."/>
      <w:lvlJc w:val="left"/>
      <w:pPr>
        <w:pStyle w:val="1140"/>
        <w:ind w:left="2940" w:hanging="420"/>
      </w:pPr>
    </w:lvl>
    <w:lvl w:ilvl="7">
      <w:start w:val="1"/>
      <w:numFmt w:val="lowerLetter"/>
      <w:isLgl w:val="false"/>
      <w:suff w:val="tab"/>
      <w:lvlText w:val="%8)"/>
      <w:lvlJc w:val="left"/>
      <w:pPr>
        <w:pStyle w:val="1140"/>
        <w:ind w:left="3360" w:hanging="420"/>
      </w:pPr>
    </w:lvl>
    <w:lvl w:ilvl="8">
      <w:start w:val="1"/>
      <w:numFmt w:val="lowerRoman"/>
      <w:isLgl w:val="false"/>
      <w:suff w:val="tab"/>
      <w:lvlText w:val="%9."/>
      <w:lvlJc w:val="right"/>
      <w:pPr>
        <w:pStyle w:val="1140"/>
        <w:ind w:left="3780" w:hanging="420"/>
      </w:pPr>
    </w:lvl>
  </w:abstractNum>
  <w:abstractNum w:abstractNumId="3">
    <w:multiLevelType w:val="hybridMultilevel"/>
    <w:lvl w:ilvl="0">
      <w:start w:val="1"/>
      <w:numFmt w:val="lowerLetter"/>
      <w:pStyle w:val="1326"/>
      <w:isLgl w:val="false"/>
      <w:suff w:val="tab"/>
      <w:lvlText w:val="%1)"/>
      <w:lvlJc w:val="left"/>
      <w:pPr>
        <w:pStyle w:val="1140"/>
        <w:ind w:left="902" w:hanging="420"/>
      </w:pPr>
      <w:rPr>
        <w:color w:val="000000"/>
      </w:rPr>
    </w:lvl>
    <w:lvl w:ilvl="1">
      <w:start w:val="1"/>
      <w:numFmt w:val="lowerLetter"/>
      <w:isLgl w:val="false"/>
      <w:suff w:val="tab"/>
      <w:lvlText w:val="%2)"/>
      <w:lvlJc w:val="left"/>
      <w:pPr>
        <w:pStyle w:val="1140"/>
        <w:ind w:left="1322" w:hanging="420"/>
      </w:pPr>
    </w:lvl>
    <w:lvl w:ilvl="2">
      <w:start w:val="1"/>
      <w:numFmt w:val="lowerRoman"/>
      <w:isLgl w:val="false"/>
      <w:suff w:val="tab"/>
      <w:lvlText w:val="%3."/>
      <w:lvlJc w:val="right"/>
      <w:pPr>
        <w:pStyle w:val="1140"/>
        <w:ind w:left="1742" w:hanging="420"/>
      </w:pPr>
    </w:lvl>
    <w:lvl w:ilvl="3">
      <w:start w:val="1"/>
      <w:numFmt w:val="decimal"/>
      <w:isLgl w:val="false"/>
      <w:suff w:val="tab"/>
      <w:lvlText w:val="%4."/>
      <w:lvlJc w:val="left"/>
      <w:pPr>
        <w:pStyle w:val="1140"/>
        <w:ind w:left="2162" w:hanging="420"/>
      </w:pPr>
    </w:lvl>
    <w:lvl w:ilvl="4">
      <w:start w:val="1"/>
      <w:numFmt w:val="lowerLetter"/>
      <w:isLgl w:val="false"/>
      <w:suff w:val="tab"/>
      <w:lvlText w:val="%5)"/>
      <w:lvlJc w:val="left"/>
      <w:pPr>
        <w:pStyle w:val="1140"/>
        <w:ind w:left="2582" w:hanging="420"/>
      </w:pPr>
    </w:lvl>
    <w:lvl w:ilvl="5">
      <w:start w:val="1"/>
      <w:numFmt w:val="lowerRoman"/>
      <w:isLgl w:val="false"/>
      <w:suff w:val="tab"/>
      <w:lvlText w:val="%6."/>
      <w:lvlJc w:val="right"/>
      <w:pPr>
        <w:pStyle w:val="1140"/>
        <w:ind w:left="3002" w:hanging="420"/>
      </w:pPr>
    </w:lvl>
    <w:lvl w:ilvl="6">
      <w:start w:val="1"/>
      <w:numFmt w:val="decimal"/>
      <w:isLgl w:val="false"/>
      <w:suff w:val="tab"/>
      <w:lvlText w:val="%7."/>
      <w:lvlJc w:val="left"/>
      <w:pPr>
        <w:pStyle w:val="1140"/>
        <w:ind w:left="3422" w:hanging="420"/>
      </w:pPr>
    </w:lvl>
    <w:lvl w:ilvl="7">
      <w:start w:val="1"/>
      <w:numFmt w:val="lowerLetter"/>
      <w:isLgl w:val="false"/>
      <w:suff w:val="tab"/>
      <w:lvlText w:val="%8)"/>
      <w:lvlJc w:val="left"/>
      <w:pPr>
        <w:pStyle w:val="1140"/>
        <w:ind w:left="3842" w:hanging="420"/>
      </w:pPr>
    </w:lvl>
    <w:lvl w:ilvl="8">
      <w:start w:val="1"/>
      <w:numFmt w:val="lowerRoman"/>
      <w:isLgl w:val="false"/>
      <w:suff w:val="tab"/>
      <w:lvlText w:val="%9."/>
      <w:lvlJc w:val="right"/>
      <w:pPr>
        <w:pStyle w:val="1140"/>
        <w:ind w:left="4262" w:hanging="420"/>
      </w:pPr>
    </w:lvl>
  </w:abstractNum>
  <w:abstractNum w:abstractNumId="4">
    <w:multiLevelType w:val="hybridMultilevel"/>
    <w:lvl w:ilvl="0">
      <w:start w:val="1"/>
      <w:numFmt w:val="decimal"/>
      <w:pStyle w:val="1297"/>
      <w:isLgl w:val="false"/>
      <w:suff w:val="tab"/>
      <w:lvlText w:val="%1."/>
      <w:lvlJc w:val="left"/>
      <w:pPr>
        <w:pStyle w:val="114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46"/>
      <w:isLgl w:val="false"/>
      <w:suff w:val="nothing"/>
      <w:lvlText w:val="%1　"/>
      <w:lvlJc w:val="left"/>
      <w:pPr>
        <w:pStyle w:val="114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4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40"/>
        <w:ind w:left="-25" w:firstLine="0"/>
      </w:pPr>
      <w:rPr>
        <w:rFonts w:ascii="Times New Roman" w:hAnsi="Times New Roman" w:eastAsia="黑体"/>
        <w:b/>
        <w:i w:val="0"/>
        <w:sz w:val="28"/>
      </w:rPr>
    </w:lvl>
    <w:lvl w:ilvl="3">
      <w:start w:val="1"/>
      <w:numFmt w:val="decimal"/>
      <w:pStyle w:val="1282"/>
      <w:isLgl w:val="false"/>
      <w:suff w:val="nothing"/>
      <w:lvlText w:val="%1.%2.%3.%4　"/>
      <w:lvlJc w:val="left"/>
      <w:pPr>
        <w:pStyle w:val="114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4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40"/>
        <w:ind w:left="-25" w:firstLine="0"/>
      </w:pPr>
      <w:rPr>
        <w:rFonts w:ascii="Times New Roman" w:hAnsi="Times New Roman" w:eastAsia="宋体"/>
        <w:b/>
        <w:i w:val="0"/>
        <w:sz w:val="28"/>
      </w:rPr>
    </w:lvl>
    <w:lvl w:ilvl="6">
      <w:start w:val="1"/>
      <w:numFmt w:val="lowerLetter"/>
      <w:pStyle w:val="1303"/>
      <w:isLgl w:val="false"/>
      <w:suff w:val="tab"/>
      <w:lvlText w:val="%7) "/>
      <w:lvlJc w:val="left"/>
      <w:pPr>
        <w:pStyle w:val="1140"/>
        <w:ind w:left="-125" w:firstLine="400"/>
        <w:tabs>
          <w:tab w:val="num" w:pos="635" w:leader="none"/>
        </w:tabs>
      </w:pPr>
      <w:rPr>
        <w:rFonts w:ascii="Times New Roman" w:hAnsi="Times New Roman" w:eastAsia="宋体"/>
        <w:b/>
        <w:i w:val="0"/>
        <w:color w:val="000000"/>
        <w:sz w:val="28"/>
        <w:u w:val="none"/>
      </w:rPr>
    </w:lvl>
    <w:lvl w:ilvl="7">
      <w:start w:val="1"/>
      <w:numFmt w:val="decimal"/>
      <w:pStyle w:val="1266"/>
      <w:isLgl w:val="false"/>
      <w:suff w:val="tab"/>
      <w:lvlText w:val="%8) "/>
      <w:lvlJc w:val="left"/>
      <w:pPr>
        <w:pStyle w:val="114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40"/>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40"/>
        <w:ind w:left="768" w:hanging="360"/>
        <w:tabs>
          <w:tab w:val="num" w:pos="768" w:leader="none"/>
        </w:tabs>
      </w:pPr>
      <w:rPr>
        <w:rFonts w:hint="eastAsia"/>
      </w:rPr>
    </w:lvl>
    <w:lvl w:ilvl="1">
      <w:start w:val="1"/>
      <w:numFmt w:val="decimal"/>
      <w:pStyle w:val="1284"/>
      <w:isLgl w:val="false"/>
      <w:suff w:val="tab"/>
      <w:lvlText w:val="%2、"/>
      <w:lvlJc w:val="left"/>
      <w:pPr>
        <w:pStyle w:val="1140"/>
        <w:ind w:left="1188" w:hanging="360"/>
        <w:tabs>
          <w:tab w:val="num" w:pos="1188" w:leader="none"/>
        </w:tabs>
      </w:pPr>
      <w:rPr>
        <w:rFonts w:hint="eastAsia"/>
      </w:rPr>
    </w:lvl>
    <w:lvl w:ilvl="2">
      <w:start w:val="1"/>
      <w:numFmt w:val="decimal"/>
      <w:isLgl w:val="false"/>
      <w:suff w:val="tab"/>
      <w:lvlText w:val="（%3）"/>
      <w:lvlJc w:val="left"/>
      <w:pPr>
        <w:pStyle w:val="1140"/>
        <w:ind w:left="1968" w:hanging="720"/>
        <w:tabs>
          <w:tab w:val="num" w:pos="1968" w:leader="none"/>
        </w:tabs>
      </w:pPr>
      <w:rPr>
        <w:rFonts w:hint="eastAsia"/>
        <w:u w:val="none"/>
      </w:rPr>
    </w:lvl>
    <w:lvl w:ilvl="3">
      <w:start w:val="1"/>
      <w:numFmt w:val="decimal"/>
      <w:isLgl w:val="false"/>
      <w:suff w:val="tab"/>
      <w:lvlText w:val="%4."/>
      <w:lvlJc w:val="left"/>
      <w:pPr>
        <w:pStyle w:val="1140"/>
        <w:ind w:left="2088" w:hanging="420"/>
        <w:tabs>
          <w:tab w:val="num" w:pos="2088" w:leader="none"/>
        </w:tabs>
      </w:pPr>
    </w:lvl>
    <w:lvl w:ilvl="4">
      <w:start w:val="1"/>
      <w:numFmt w:val="lowerLetter"/>
      <w:isLgl w:val="false"/>
      <w:suff w:val="tab"/>
      <w:lvlText w:val="%5)"/>
      <w:lvlJc w:val="left"/>
      <w:pPr>
        <w:pStyle w:val="1140"/>
        <w:ind w:left="2508" w:hanging="420"/>
        <w:tabs>
          <w:tab w:val="num" w:pos="2508" w:leader="none"/>
        </w:tabs>
      </w:pPr>
    </w:lvl>
    <w:lvl w:ilvl="5">
      <w:start w:val="1"/>
      <w:numFmt w:val="lowerRoman"/>
      <w:isLgl w:val="false"/>
      <w:suff w:val="tab"/>
      <w:lvlText w:val="%6."/>
      <w:lvlJc w:val="right"/>
      <w:pPr>
        <w:pStyle w:val="1140"/>
        <w:ind w:left="2928" w:hanging="420"/>
        <w:tabs>
          <w:tab w:val="num" w:pos="2928" w:leader="none"/>
        </w:tabs>
      </w:pPr>
    </w:lvl>
    <w:lvl w:ilvl="6">
      <w:start w:val="1"/>
      <w:numFmt w:val="decimal"/>
      <w:isLgl w:val="false"/>
      <w:suff w:val="tab"/>
      <w:lvlText w:val="%7."/>
      <w:lvlJc w:val="left"/>
      <w:pPr>
        <w:pStyle w:val="1140"/>
        <w:ind w:left="3348" w:hanging="420"/>
        <w:tabs>
          <w:tab w:val="num" w:pos="3348" w:leader="none"/>
        </w:tabs>
      </w:pPr>
    </w:lvl>
    <w:lvl w:ilvl="7">
      <w:start w:val="1"/>
      <w:numFmt w:val="lowerLetter"/>
      <w:isLgl w:val="false"/>
      <w:suff w:val="tab"/>
      <w:lvlText w:val="%8)"/>
      <w:lvlJc w:val="left"/>
      <w:pPr>
        <w:pStyle w:val="1140"/>
        <w:ind w:left="3768" w:hanging="420"/>
        <w:tabs>
          <w:tab w:val="num" w:pos="3768" w:leader="none"/>
        </w:tabs>
      </w:pPr>
    </w:lvl>
    <w:lvl w:ilvl="8">
      <w:start w:val="1"/>
      <w:numFmt w:val="lowerRoman"/>
      <w:isLgl w:val="false"/>
      <w:suff w:val="tab"/>
      <w:lvlText w:val="%9."/>
      <w:lvlJc w:val="right"/>
      <w:pPr>
        <w:pStyle w:val="1140"/>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140"/>
        <w:ind w:left="900" w:hanging="900"/>
        <w:tabs>
          <w:tab w:val="num" w:pos="900" w:leader="none"/>
        </w:tabs>
      </w:pPr>
      <w:rPr>
        <w:rFonts w:hint="eastAsia"/>
      </w:rPr>
    </w:lvl>
    <w:lvl w:ilvl="1">
      <w:start w:val="1"/>
      <w:numFmt w:val="decimal"/>
      <w:isLgl w:val="false"/>
      <w:suff w:val="tab"/>
      <w:lvlText w:val="%1.%2"/>
      <w:lvlJc w:val="left"/>
      <w:pPr>
        <w:pStyle w:val="114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40"/>
        <w:ind w:left="1980" w:hanging="900"/>
        <w:tabs>
          <w:tab w:val="num" w:pos="1980" w:leader="none"/>
        </w:tabs>
      </w:pPr>
      <w:rPr>
        <w:rFonts w:hint="eastAsia"/>
      </w:rPr>
    </w:lvl>
    <w:lvl w:ilvl="3">
      <w:start w:val="1"/>
      <w:numFmt w:val="decimal"/>
      <w:isLgl w:val="false"/>
      <w:suff w:val="tab"/>
      <w:lvlText w:val="%1.%2.%3.%4"/>
      <w:lvlJc w:val="left"/>
      <w:pPr>
        <w:pStyle w:val="1140"/>
        <w:ind w:left="900" w:hanging="900"/>
        <w:tabs>
          <w:tab w:val="num" w:pos="900" w:leader="none"/>
        </w:tabs>
      </w:pPr>
      <w:rPr>
        <w:rFonts w:hint="eastAsia"/>
      </w:rPr>
    </w:lvl>
    <w:lvl w:ilvl="4">
      <w:start w:val="1"/>
      <w:numFmt w:val="decimal"/>
      <w:isLgl w:val="false"/>
      <w:suff w:val="tab"/>
      <w:lvlText w:val="%1.%2.%3.%4.%5"/>
      <w:lvlJc w:val="left"/>
      <w:pPr>
        <w:pStyle w:val="1140"/>
        <w:ind w:left="900" w:hanging="900"/>
        <w:tabs>
          <w:tab w:val="num" w:pos="900" w:leader="none"/>
        </w:tabs>
      </w:pPr>
      <w:rPr>
        <w:rFonts w:hint="eastAsia"/>
      </w:rPr>
    </w:lvl>
    <w:lvl w:ilvl="5">
      <w:start w:val="1"/>
      <w:numFmt w:val="decimal"/>
      <w:isLgl w:val="false"/>
      <w:suff w:val="tab"/>
      <w:lvlText w:val="%1.%2.%3.%4.%5.%6"/>
      <w:lvlJc w:val="left"/>
      <w:pPr>
        <w:pStyle w:val="1140"/>
        <w:ind w:left="900" w:hanging="900"/>
        <w:tabs>
          <w:tab w:val="num" w:pos="900" w:leader="none"/>
        </w:tabs>
      </w:pPr>
      <w:rPr>
        <w:rFonts w:hint="eastAsia"/>
      </w:rPr>
    </w:lvl>
    <w:lvl w:ilvl="6">
      <w:start w:val="1"/>
      <w:numFmt w:val="decimal"/>
      <w:isLgl w:val="false"/>
      <w:suff w:val="tab"/>
      <w:lvlText w:val="%1.%2.%3.%4.%5.%6.%7"/>
      <w:lvlJc w:val="left"/>
      <w:pPr>
        <w:pStyle w:val="1140"/>
        <w:ind w:left="900" w:hanging="900"/>
        <w:tabs>
          <w:tab w:val="num" w:pos="900" w:leader="none"/>
        </w:tabs>
      </w:pPr>
      <w:rPr>
        <w:rFonts w:hint="eastAsia"/>
      </w:rPr>
    </w:lvl>
    <w:lvl w:ilvl="7">
      <w:start w:val="1"/>
      <w:numFmt w:val="decimal"/>
      <w:isLgl w:val="false"/>
      <w:suff w:val="tab"/>
      <w:lvlText w:val="%1.%2.%3.%4.%5.%6.%7.%8"/>
      <w:lvlJc w:val="left"/>
      <w:pPr>
        <w:pStyle w:val="1140"/>
        <w:ind w:left="900" w:hanging="900"/>
        <w:tabs>
          <w:tab w:val="num" w:pos="900" w:leader="none"/>
        </w:tabs>
      </w:pPr>
      <w:rPr>
        <w:rFonts w:hint="eastAsia"/>
      </w:rPr>
    </w:lvl>
    <w:lvl w:ilvl="8">
      <w:start w:val="1"/>
      <w:numFmt w:val="decimal"/>
      <w:isLgl w:val="false"/>
      <w:suff w:val="tab"/>
      <w:lvlText w:val="%1.%2.%3.%4.%5.%6.%7.%8.%9"/>
      <w:lvlJc w:val="left"/>
      <w:pPr>
        <w:pStyle w:val="1140"/>
        <w:ind w:left="900" w:hanging="900"/>
        <w:tabs>
          <w:tab w:val="num" w:pos="900" w:leader="none"/>
        </w:tabs>
      </w:pPr>
      <w:rPr>
        <w:rFonts w:hint="eastAsia"/>
      </w:rPr>
    </w:lvl>
  </w:abstractNum>
  <w:abstractNum w:abstractNumId="8">
    <w:multiLevelType w:val="hybridMultilevel"/>
    <w:lvl w:ilvl="0">
      <w:start w:val="1"/>
      <w:numFmt w:val="decimal"/>
      <w:pStyle w:val="1251"/>
      <w:isLgl w:val="false"/>
      <w:suff w:val="tab"/>
      <w:lvlText w:val="%1)"/>
      <w:lvlJc w:val="left"/>
      <w:pPr>
        <w:pStyle w:val="1140"/>
        <w:ind w:left="420" w:hanging="420"/>
      </w:pPr>
    </w:lvl>
    <w:lvl w:ilvl="1">
      <w:start w:val="1"/>
      <w:numFmt w:val="lowerLetter"/>
      <w:isLgl w:val="false"/>
      <w:suff w:val="tab"/>
      <w:lvlText w:val="%2)"/>
      <w:lvlJc w:val="left"/>
      <w:pPr>
        <w:pStyle w:val="1140"/>
        <w:ind w:left="840" w:hanging="420"/>
      </w:pPr>
    </w:lvl>
    <w:lvl w:ilvl="2">
      <w:start w:val="1"/>
      <w:numFmt w:val="lowerRoman"/>
      <w:isLgl w:val="false"/>
      <w:suff w:val="tab"/>
      <w:lvlText w:val="%3."/>
      <w:lvlJc w:val="right"/>
      <w:pPr>
        <w:pStyle w:val="1140"/>
        <w:ind w:left="1260" w:hanging="420"/>
      </w:pPr>
    </w:lvl>
    <w:lvl w:ilvl="3">
      <w:start w:val="1"/>
      <w:numFmt w:val="decimal"/>
      <w:isLgl w:val="false"/>
      <w:suff w:val="tab"/>
      <w:lvlText w:val="%4."/>
      <w:lvlJc w:val="left"/>
      <w:pPr>
        <w:pStyle w:val="1140"/>
        <w:ind w:left="1680" w:hanging="420"/>
      </w:pPr>
    </w:lvl>
    <w:lvl w:ilvl="4">
      <w:start w:val="1"/>
      <w:numFmt w:val="lowerLetter"/>
      <w:isLgl w:val="false"/>
      <w:suff w:val="tab"/>
      <w:lvlText w:val="%5)"/>
      <w:lvlJc w:val="left"/>
      <w:pPr>
        <w:pStyle w:val="1140"/>
        <w:ind w:left="2100" w:hanging="420"/>
      </w:pPr>
    </w:lvl>
    <w:lvl w:ilvl="5">
      <w:start w:val="1"/>
      <w:numFmt w:val="lowerRoman"/>
      <w:isLgl w:val="false"/>
      <w:suff w:val="tab"/>
      <w:lvlText w:val="%6."/>
      <w:lvlJc w:val="right"/>
      <w:pPr>
        <w:pStyle w:val="1140"/>
        <w:ind w:left="2520" w:hanging="420"/>
      </w:pPr>
    </w:lvl>
    <w:lvl w:ilvl="6">
      <w:start w:val="1"/>
      <w:numFmt w:val="decimal"/>
      <w:isLgl w:val="false"/>
      <w:suff w:val="tab"/>
      <w:lvlText w:val="%7."/>
      <w:lvlJc w:val="left"/>
      <w:pPr>
        <w:pStyle w:val="1140"/>
        <w:ind w:left="2940" w:hanging="420"/>
      </w:pPr>
    </w:lvl>
    <w:lvl w:ilvl="7">
      <w:start w:val="1"/>
      <w:numFmt w:val="lowerLetter"/>
      <w:isLgl w:val="false"/>
      <w:suff w:val="tab"/>
      <w:lvlText w:val="%8)"/>
      <w:lvlJc w:val="left"/>
      <w:pPr>
        <w:pStyle w:val="1140"/>
        <w:ind w:left="3360" w:hanging="420"/>
      </w:pPr>
    </w:lvl>
    <w:lvl w:ilvl="8">
      <w:start w:val="1"/>
      <w:numFmt w:val="lowerRoman"/>
      <w:isLgl w:val="false"/>
      <w:suff w:val="tab"/>
      <w:lvlText w:val="%9."/>
      <w:lvlJc w:val="right"/>
      <w:pPr>
        <w:pStyle w:val="1140"/>
        <w:ind w:left="3780" w:hanging="420"/>
      </w:pPr>
    </w:lvl>
  </w:abstractNum>
  <w:abstractNum w:abstractNumId="9">
    <w:multiLevelType w:val="hybridMultilevel"/>
    <w:lvl w:ilvl="0">
      <w:start w:val="1"/>
      <w:numFmt w:val="decimal"/>
      <w:pStyle w:val="1351"/>
      <w:isLgl w:val="false"/>
      <w:suff w:val="tab"/>
      <w:lvlText w:val="%1"/>
      <w:lvlJc w:val="left"/>
      <w:pPr>
        <w:pStyle w:val="1140"/>
        <w:ind w:left="680" w:hanging="680"/>
      </w:pPr>
      <w:rPr>
        <w:rFonts w:hint="eastAsia" w:ascii="宋体" w:hAnsi="宋体" w:eastAsia="宋体"/>
      </w:rPr>
    </w:lvl>
    <w:lvl w:ilvl="1">
      <w:start w:val="1"/>
      <w:numFmt w:val="decimal"/>
      <w:pStyle w:val="1352"/>
      <w:isLgl w:val="false"/>
      <w:suff w:val="tab"/>
      <w:lvlText w:val="%1.%2"/>
      <w:lvlJc w:val="left"/>
      <w:pPr>
        <w:pStyle w:val="1140"/>
        <w:ind w:left="851" w:hanging="851"/>
      </w:pPr>
      <w:rPr>
        <w:rFonts w:hint="eastAsia" w:ascii="宋体" w:hAnsi="宋体" w:eastAsia="宋体"/>
        <w:color w:val="000000"/>
      </w:rPr>
    </w:lvl>
    <w:lvl w:ilvl="2">
      <w:start w:val="1"/>
      <w:numFmt w:val="decimal"/>
      <w:pStyle w:val="1353"/>
      <w:isLgl w:val="false"/>
      <w:suff w:val="tab"/>
      <w:lvlText w:val="%1.%2.%3"/>
      <w:lvlJc w:val="left"/>
      <w:pPr>
        <w:pStyle w:val="1140"/>
        <w:ind w:left="851" w:hanging="851"/>
      </w:pPr>
      <w:rPr>
        <w:rFonts w:hint="eastAsia"/>
      </w:rPr>
    </w:lvl>
    <w:lvl w:ilvl="3">
      <w:start w:val="1"/>
      <w:numFmt w:val="decimal"/>
      <w:isLgl w:val="false"/>
      <w:suff w:val="tab"/>
      <w:lvlText w:val="%1.%2.%3.%4"/>
      <w:lvlJc w:val="left"/>
      <w:pPr>
        <w:pStyle w:val="1140"/>
        <w:ind w:left="680" w:hanging="680"/>
      </w:pPr>
      <w:rPr>
        <w:rFonts w:hint="eastAsia"/>
      </w:rPr>
    </w:lvl>
    <w:lvl w:ilvl="4">
      <w:start w:val="1"/>
      <w:numFmt w:val="decimal"/>
      <w:isLgl w:val="false"/>
      <w:suff w:val="tab"/>
      <w:lvlText w:val="%1.%2.%3.%4.%5"/>
      <w:lvlJc w:val="left"/>
      <w:pPr>
        <w:pStyle w:val="1140"/>
        <w:ind w:left="680" w:hanging="680"/>
      </w:pPr>
      <w:rPr>
        <w:rFonts w:hint="eastAsia"/>
      </w:rPr>
    </w:lvl>
    <w:lvl w:ilvl="5">
      <w:start w:val="1"/>
      <w:numFmt w:val="decimal"/>
      <w:isLgl w:val="false"/>
      <w:suff w:val="tab"/>
      <w:lvlText w:val="%1.%2.%3.%4.%5.%6"/>
      <w:lvlJc w:val="left"/>
      <w:pPr>
        <w:pStyle w:val="1140"/>
        <w:ind w:left="680" w:hanging="680"/>
      </w:pPr>
      <w:rPr>
        <w:rFonts w:hint="eastAsia"/>
      </w:rPr>
    </w:lvl>
    <w:lvl w:ilvl="6">
      <w:start w:val="1"/>
      <w:numFmt w:val="decimal"/>
      <w:isLgl w:val="false"/>
      <w:suff w:val="tab"/>
      <w:lvlText w:val="%1.%2.%3.%4.%5.%6.%7"/>
      <w:lvlJc w:val="left"/>
      <w:pPr>
        <w:pStyle w:val="1140"/>
        <w:ind w:left="680" w:hanging="680"/>
      </w:pPr>
      <w:rPr>
        <w:rFonts w:hint="eastAsia"/>
      </w:rPr>
    </w:lvl>
    <w:lvl w:ilvl="7">
      <w:start w:val="1"/>
      <w:numFmt w:val="decimal"/>
      <w:isLgl w:val="false"/>
      <w:suff w:val="tab"/>
      <w:lvlText w:val="%1.%2.%3.%4.%5.%6.%7.%8"/>
      <w:lvlJc w:val="left"/>
      <w:pPr>
        <w:pStyle w:val="1140"/>
        <w:ind w:left="680" w:hanging="680"/>
      </w:pPr>
      <w:rPr>
        <w:rFonts w:hint="eastAsia"/>
      </w:rPr>
    </w:lvl>
    <w:lvl w:ilvl="8">
      <w:start w:val="1"/>
      <w:numFmt w:val="decimal"/>
      <w:isLgl w:val="false"/>
      <w:suff w:val="tab"/>
      <w:lvlText w:val="%1.%2.%3.%4.%5.%6.%7.%8.%9"/>
      <w:lvlJc w:val="left"/>
      <w:pPr>
        <w:pStyle w:val="1140"/>
        <w:ind w:left="680" w:hanging="680"/>
      </w:pPr>
      <w:rPr>
        <w:rFonts w:hint="eastAsia"/>
      </w:rPr>
    </w:lvl>
  </w:abstractNum>
  <w:abstractNum w:abstractNumId="10">
    <w:multiLevelType w:val="hybridMultilevel"/>
    <w:lvl w:ilvl="0">
      <w:start w:val="1"/>
      <w:numFmt w:val="decimal"/>
      <w:isLgl w:val="false"/>
      <w:suff w:val="tab"/>
      <w:lvlText w:val="%1"/>
      <w:lvlJc w:val="left"/>
      <w:pPr>
        <w:pStyle w:val="1140"/>
        <w:ind w:left="900" w:hanging="900"/>
        <w:tabs>
          <w:tab w:val="num" w:pos="900" w:leader="none"/>
        </w:tabs>
      </w:pPr>
      <w:rPr>
        <w:rFonts w:hint="eastAsia"/>
      </w:rPr>
    </w:lvl>
    <w:lvl w:ilvl="1">
      <w:start w:val="1"/>
      <w:numFmt w:val="decimal"/>
      <w:isLgl w:val="false"/>
      <w:suff w:val="tab"/>
      <w:lvlText w:val="%1.%2"/>
      <w:lvlJc w:val="left"/>
      <w:pPr>
        <w:pStyle w:val="1140"/>
        <w:ind w:left="1741"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140"/>
        <w:ind w:left="1980" w:hanging="900"/>
        <w:tabs>
          <w:tab w:val="num" w:pos="1980" w:leader="none"/>
        </w:tabs>
      </w:pPr>
      <w:rPr>
        <w:rFonts w:hint="eastAsia"/>
      </w:rPr>
    </w:lvl>
    <w:lvl w:ilvl="3">
      <w:start w:val="1"/>
      <w:numFmt w:val="decimal"/>
      <w:isLgl w:val="false"/>
      <w:suff w:val="tab"/>
      <w:lvlText w:val="%1.%2.%3.%4"/>
      <w:lvlJc w:val="left"/>
      <w:pPr>
        <w:pStyle w:val="1140"/>
        <w:ind w:left="900" w:hanging="900"/>
        <w:tabs>
          <w:tab w:val="num" w:pos="900" w:leader="none"/>
        </w:tabs>
      </w:pPr>
      <w:rPr>
        <w:rFonts w:hint="eastAsia"/>
      </w:rPr>
    </w:lvl>
    <w:lvl w:ilvl="4">
      <w:start w:val="1"/>
      <w:numFmt w:val="decimal"/>
      <w:isLgl w:val="false"/>
      <w:suff w:val="tab"/>
      <w:lvlText w:val="%1.%2.%3.%4.%5"/>
      <w:lvlJc w:val="left"/>
      <w:pPr>
        <w:pStyle w:val="1140"/>
        <w:ind w:left="900" w:hanging="900"/>
        <w:tabs>
          <w:tab w:val="num" w:pos="900" w:leader="none"/>
        </w:tabs>
      </w:pPr>
      <w:rPr>
        <w:rFonts w:hint="eastAsia"/>
      </w:rPr>
    </w:lvl>
    <w:lvl w:ilvl="5">
      <w:start w:val="1"/>
      <w:numFmt w:val="decimal"/>
      <w:isLgl w:val="false"/>
      <w:suff w:val="tab"/>
      <w:lvlText w:val="%1.%2.%3.%4.%5.%6"/>
      <w:lvlJc w:val="left"/>
      <w:pPr>
        <w:pStyle w:val="1140"/>
        <w:ind w:left="900" w:hanging="900"/>
        <w:tabs>
          <w:tab w:val="num" w:pos="900" w:leader="none"/>
        </w:tabs>
      </w:pPr>
      <w:rPr>
        <w:rFonts w:hint="eastAsia"/>
      </w:rPr>
    </w:lvl>
    <w:lvl w:ilvl="6">
      <w:start w:val="1"/>
      <w:numFmt w:val="decimal"/>
      <w:isLgl w:val="false"/>
      <w:suff w:val="tab"/>
      <w:lvlText w:val="%1.%2.%3.%4.%5.%6.%7"/>
      <w:lvlJc w:val="left"/>
      <w:pPr>
        <w:pStyle w:val="1140"/>
        <w:ind w:left="900" w:hanging="900"/>
        <w:tabs>
          <w:tab w:val="num" w:pos="900" w:leader="none"/>
        </w:tabs>
      </w:pPr>
      <w:rPr>
        <w:rFonts w:hint="eastAsia"/>
      </w:rPr>
    </w:lvl>
    <w:lvl w:ilvl="7">
      <w:start w:val="1"/>
      <w:numFmt w:val="decimal"/>
      <w:isLgl w:val="false"/>
      <w:suff w:val="tab"/>
      <w:lvlText w:val="%1.%2.%3.%4.%5.%6.%7.%8"/>
      <w:lvlJc w:val="left"/>
      <w:pPr>
        <w:pStyle w:val="1140"/>
        <w:ind w:left="900" w:hanging="900"/>
        <w:tabs>
          <w:tab w:val="num" w:pos="900" w:leader="none"/>
        </w:tabs>
      </w:pPr>
      <w:rPr>
        <w:rFonts w:hint="eastAsia"/>
      </w:rPr>
    </w:lvl>
    <w:lvl w:ilvl="8">
      <w:start w:val="1"/>
      <w:numFmt w:val="decimal"/>
      <w:isLgl w:val="false"/>
      <w:suff w:val="tab"/>
      <w:lvlText w:val="%1.%2.%3.%4.%5.%6.%7.%8.%9"/>
      <w:lvlJc w:val="left"/>
      <w:pPr>
        <w:pStyle w:val="114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140"/>
        <w:ind w:left="900" w:hanging="900"/>
        <w:tabs>
          <w:tab w:val="num" w:pos="900" w:leader="none"/>
        </w:tabs>
      </w:pPr>
      <w:rPr>
        <w:rFonts w:hint="eastAsia"/>
      </w:rPr>
    </w:lvl>
    <w:lvl w:ilvl="1">
      <w:start w:val="1"/>
      <w:numFmt w:val="decimal"/>
      <w:isLgl w:val="false"/>
      <w:suff w:val="tab"/>
      <w:lvlText w:val="%1.%2"/>
      <w:lvlJc w:val="left"/>
      <w:pPr>
        <w:pStyle w:val="114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40"/>
        <w:ind w:left="1980" w:hanging="900"/>
        <w:tabs>
          <w:tab w:val="num" w:pos="1980" w:leader="none"/>
        </w:tabs>
      </w:pPr>
      <w:rPr>
        <w:rFonts w:hint="eastAsia"/>
      </w:rPr>
    </w:lvl>
    <w:lvl w:ilvl="3">
      <w:start w:val="1"/>
      <w:numFmt w:val="decimal"/>
      <w:isLgl w:val="false"/>
      <w:suff w:val="tab"/>
      <w:lvlText w:val="%1.%2.%3.%4"/>
      <w:lvlJc w:val="left"/>
      <w:pPr>
        <w:pStyle w:val="1140"/>
        <w:ind w:left="900" w:hanging="900"/>
        <w:tabs>
          <w:tab w:val="num" w:pos="900" w:leader="none"/>
        </w:tabs>
      </w:pPr>
      <w:rPr>
        <w:rFonts w:hint="eastAsia"/>
      </w:rPr>
    </w:lvl>
    <w:lvl w:ilvl="4">
      <w:start w:val="1"/>
      <w:numFmt w:val="decimal"/>
      <w:isLgl w:val="false"/>
      <w:suff w:val="tab"/>
      <w:lvlText w:val="%1.%2.%3.%4.%5"/>
      <w:lvlJc w:val="left"/>
      <w:pPr>
        <w:pStyle w:val="1140"/>
        <w:ind w:left="900" w:hanging="900"/>
        <w:tabs>
          <w:tab w:val="num" w:pos="900" w:leader="none"/>
        </w:tabs>
      </w:pPr>
      <w:rPr>
        <w:rFonts w:hint="eastAsia"/>
      </w:rPr>
    </w:lvl>
    <w:lvl w:ilvl="5">
      <w:start w:val="1"/>
      <w:numFmt w:val="decimal"/>
      <w:isLgl w:val="false"/>
      <w:suff w:val="tab"/>
      <w:lvlText w:val="%1.%2.%3.%4.%5.%6"/>
      <w:lvlJc w:val="left"/>
      <w:pPr>
        <w:pStyle w:val="1140"/>
        <w:ind w:left="900" w:hanging="900"/>
        <w:tabs>
          <w:tab w:val="num" w:pos="900" w:leader="none"/>
        </w:tabs>
      </w:pPr>
      <w:rPr>
        <w:rFonts w:hint="eastAsia"/>
      </w:rPr>
    </w:lvl>
    <w:lvl w:ilvl="6">
      <w:start w:val="1"/>
      <w:numFmt w:val="decimal"/>
      <w:isLgl w:val="false"/>
      <w:suff w:val="tab"/>
      <w:lvlText w:val="%1.%2.%3.%4.%5.%6.%7"/>
      <w:lvlJc w:val="left"/>
      <w:pPr>
        <w:pStyle w:val="1140"/>
        <w:ind w:left="900" w:hanging="900"/>
        <w:tabs>
          <w:tab w:val="num" w:pos="900" w:leader="none"/>
        </w:tabs>
      </w:pPr>
      <w:rPr>
        <w:rFonts w:hint="eastAsia"/>
      </w:rPr>
    </w:lvl>
    <w:lvl w:ilvl="7">
      <w:start w:val="1"/>
      <w:numFmt w:val="decimal"/>
      <w:isLgl w:val="false"/>
      <w:suff w:val="tab"/>
      <w:lvlText w:val="%1.%2.%3.%4.%5.%6.%7.%8"/>
      <w:lvlJc w:val="left"/>
      <w:pPr>
        <w:pStyle w:val="1140"/>
        <w:ind w:left="900" w:hanging="900"/>
        <w:tabs>
          <w:tab w:val="num" w:pos="900" w:leader="none"/>
        </w:tabs>
      </w:pPr>
      <w:rPr>
        <w:rFonts w:hint="eastAsia"/>
      </w:rPr>
    </w:lvl>
    <w:lvl w:ilvl="8">
      <w:start w:val="1"/>
      <w:numFmt w:val="decimal"/>
      <w:isLgl w:val="false"/>
      <w:suff w:val="tab"/>
      <w:lvlText w:val="%1.%2.%3.%4.%5.%6.%7.%8.%9"/>
      <w:lvlJc w:val="left"/>
      <w:pPr>
        <w:pStyle w:val="1140"/>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2">
    <w:name w:val="Heading 1"/>
    <w:basedOn w:val="1140"/>
    <w:next w:val="1140"/>
    <w:link w:val="963"/>
    <w:uiPriority w:val="9"/>
    <w:qFormat/>
    <w:pPr>
      <w:keepLines/>
      <w:keepNext/>
      <w:spacing w:before="480" w:after="200"/>
      <w:outlineLvl w:val="0"/>
    </w:pPr>
    <w:rPr>
      <w:rFonts w:ascii="Arial" w:hAnsi="Arial" w:eastAsia="Arial" w:cs="Arial"/>
      <w:sz w:val="40"/>
      <w:szCs w:val="40"/>
    </w:rPr>
  </w:style>
  <w:style w:type="character" w:styleId="963">
    <w:name w:val="Heading 1 Char"/>
    <w:link w:val="962"/>
    <w:uiPriority w:val="9"/>
    <w:rPr>
      <w:rFonts w:ascii="Arial" w:hAnsi="Arial" w:eastAsia="Arial" w:cs="Arial"/>
      <w:sz w:val="40"/>
      <w:szCs w:val="40"/>
    </w:rPr>
  </w:style>
  <w:style w:type="paragraph" w:styleId="964">
    <w:name w:val="Heading 2"/>
    <w:basedOn w:val="1140"/>
    <w:next w:val="1140"/>
    <w:link w:val="965"/>
    <w:uiPriority w:val="9"/>
    <w:unhideWhenUsed/>
    <w:qFormat/>
    <w:pPr>
      <w:keepLines/>
      <w:keepNext/>
      <w:spacing w:before="360" w:after="200"/>
      <w:outlineLvl w:val="1"/>
    </w:pPr>
    <w:rPr>
      <w:rFonts w:ascii="Arial" w:hAnsi="Arial" w:eastAsia="Arial" w:cs="Arial"/>
      <w:sz w:val="34"/>
    </w:rPr>
  </w:style>
  <w:style w:type="character" w:styleId="965">
    <w:name w:val="Heading 2 Char"/>
    <w:link w:val="964"/>
    <w:uiPriority w:val="9"/>
    <w:rPr>
      <w:rFonts w:ascii="Arial" w:hAnsi="Arial" w:eastAsia="Arial" w:cs="Arial"/>
      <w:sz w:val="34"/>
    </w:rPr>
  </w:style>
  <w:style w:type="paragraph" w:styleId="966">
    <w:name w:val="Heading 3"/>
    <w:basedOn w:val="1140"/>
    <w:next w:val="1140"/>
    <w:link w:val="967"/>
    <w:uiPriority w:val="9"/>
    <w:unhideWhenUsed/>
    <w:qFormat/>
    <w:pPr>
      <w:keepLines/>
      <w:keepNext/>
      <w:spacing w:before="320" w:after="200"/>
      <w:outlineLvl w:val="2"/>
    </w:pPr>
    <w:rPr>
      <w:rFonts w:ascii="Arial" w:hAnsi="Arial" w:eastAsia="Arial" w:cs="Arial"/>
      <w:sz w:val="30"/>
      <w:szCs w:val="30"/>
    </w:rPr>
  </w:style>
  <w:style w:type="character" w:styleId="967">
    <w:name w:val="Heading 3 Char"/>
    <w:link w:val="966"/>
    <w:uiPriority w:val="9"/>
    <w:rPr>
      <w:rFonts w:ascii="Arial" w:hAnsi="Arial" w:eastAsia="Arial" w:cs="Arial"/>
      <w:sz w:val="30"/>
      <w:szCs w:val="30"/>
    </w:rPr>
  </w:style>
  <w:style w:type="paragraph" w:styleId="968">
    <w:name w:val="Heading 4"/>
    <w:basedOn w:val="1140"/>
    <w:next w:val="1140"/>
    <w:link w:val="969"/>
    <w:uiPriority w:val="9"/>
    <w:unhideWhenUsed/>
    <w:qFormat/>
    <w:pPr>
      <w:keepLines/>
      <w:keepNext/>
      <w:spacing w:before="320" w:after="200"/>
      <w:outlineLvl w:val="3"/>
    </w:pPr>
    <w:rPr>
      <w:rFonts w:ascii="Arial" w:hAnsi="Arial" w:eastAsia="Arial" w:cs="Arial"/>
      <w:b/>
      <w:bCs/>
      <w:sz w:val="26"/>
      <w:szCs w:val="26"/>
    </w:rPr>
  </w:style>
  <w:style w:type="character" w:styleId="969">
    <w:name w:val="Heading 4 Char"/>
    <w:link w:val="968"/>
    <w:uiPriority w:val="9"/>
    <w:rPr>
      <w:rFonts w:ascii="Arial" w:hAnsi="Arial" w:eastAsia="Arial" w:cs="Arial"/>
      <w:b/>
      <w:bCs/>
      <w:sz w:val="26"/>
      <w:szCs w:val="26"/>
    </w:rPr>
  </w:style>
  <w:style w:type="paragraph" w:styleId="970">
    <w:name w:val="Heading 5"/>
    <w:basedOn w:val="1140"/>
    <w:next w:val="1140"/>
    <w:link w:val="971"/>
    <w:uiPriority w:val="9"/>
    <w:unhideWhenUsed/>
    <w:qFormat/>
    <w:pPr>
      <w:keepLines/>
      <w:keepNext/>
      <w:spacing w:before="320" w:after="200"/>
      <w:outlineLvl w:val="4"/>
    </w:pPr>
    <w:rPr>
      <w:rFonts w:ascii="Arial" w:hAnsi="Arial" w:eastAsia="Arial" w:cs="Arial"/>
      <w:b/>
      <w:bCs/>
      <w:sz w:val="24"/>
      <w:szCs w:val="24"/>
    </w:rPr>
  </w:style>
  <w:style w:type="character" w:styleId="971">
    <w:name w:val="Heading 5 Char"/>
    <w:link w:val="970"/>
    <w:uiPriority w:val="9"/>
    <w:rPr>
      <w:rFonts w:ascii="Arial" w:hAnsi="Arial" w:eastAsia="Arial" w:cs="Arial"/>
      <w:b/>
      <w:bCs/>
      <w:sz w:val="24"/>
      <w:szCs w:val="24"/>
    </w:rPr>
  </w:style>
  <w:style w:type="paragraph" w:styleId="972">
    <w:name w:val="Heading 6"/>
    <w:basedOn w:val="1140"/>
    <w:next w:val="1140"/>
    <w:link w:val="973"/>
    <w:uiPriority w:val="9"/>
    <w:unhideWhenUsed/>
    <w:qFormat/>
    <w:pPr>
      <w:keepLines/>
      <w:keepNext/>
      <w:spacing w:before="320" w:after="200"/>
      <w:outlineLvl w:val="5"/>
    </w:pPr>
    <w:rPr>
      <w:rFonts w:ascii="Arial" w:hAnsi="Arial" w:eastAsia="Arial" w:cs="Arial"/>
      <w:b/>
      <w:bCs/>
      <w:sz w:val="22"/>
      <w:szCs w:val="22"/>
    </w:rPr>
  </w:style>
  <w:style w:type="character" w:styleId="973">
    <w:name w:val="Heading 6 Char"/>
    <w:link w:val="972"/>
    <w:uiPriority w:val="9"/>
    <w:rPr>
      <w:rFonts w:ascii="Arial" w:hAnsi="Arial" w:eastAsia="Arial" w:cs="Arial"/>
      <w:b/>
      <w:bCs/>
      <w:sz w:val="22"/>
      <w:szCs w:val="22"/>
    </w:rPr>
  </w:style>
  <w:style w:type="paragraph" w:styleId="974">
    <w:name w:val="Heading 7"/>
    <w:basedOn w:val="1140"/>
    <w:next w:val="1140"/>
    <w:link w:val="975"/>
    <w:uiPriority w:val="9"/>
    <w:unhideWhenUsed/>
    <w:qFormat/>
    <w:pPr>
      <w:keepLines/>
      <w:keepNext/>
      <w:spacing w:before="320" w:after="200"/>
      <w:outlineLvl w:val="6"/>
    </w:pPr>
    <w:rPr>
      <w:rFonts w:ascii="Arial" w:hAnsi="Arial" w:eastAsia="Arial" w:cs="Arial"/>
      <w:b/>
      <w:bCs/>
      <w:i/>
      <w:iCs/>
      <w:sz w:val="22"/>
      <w:szCs w:val="22"/>
    </w:rPr>
  </w:style>
  <w:style w:type="character" w:styleId="975">
    <w:name w:val="Heading 7 Char"/>
    <w:link w:val="974"/>
    <w:uiPriority w:val="9"/>
    <w:rPr>
      <w:rFonts w:ascii="Arial" w:hAnsi="Arial" w:eastAsia="Arial" w:cs="Arial"/>
      <w:b/>
      <w:bCs/>
      <w:i/>
      <w:iCs/>
      <w:sz w:val="22"/>
      <w:szCs w:val="22"/>
    </w:rPr>
  </w:style>
  <w:style w:type="paragraph" w:styleId="976">
    <w:name w:val="Heading 8"/>
    <w:basedOn w:val="1140"/>
    <w:next w:val="1140"/>
    <w:link w:val="977"/>
    <w:uiPriority w:val="9"/>
    <w:unhideWhenUsed/>
    <w:qFormat/>
    <w:pPr>
      <w:keepLines/>
      <w:keepNext/>
      <w:spacing w:before="320" w:after="200"/>
      <w:outlineLvl w:val="7"/>
    </w:pPr>
    <w:rPr>
      <w:rFonts w:ascii="Arial" w:hAnsi="Arial" w:eastAsia="Arial" w:cs="Arial"/>
      <w:i/>
      <w:iCs/>
      <w:sz w:val="22"/>
      <w:szCs w:val="22"/>
    </w:rPr>
  </w:style>
  <w:style w:type="character" w:styleId="977">
    <w:name w:val="Heading 8 Char"/>
    <w:link w:val="976"/>
    <w:uiPriority w:val="9"/>
    <w:rPr>
      <w:rFonts w:ascii="Arial" w:hAnsi="Arial" w:eastAsia="Arial" w:cs="Arial"/>
      <w:i/>
      <w:iCs/>
      <w:sz w:val="22"/>
      <w:szCs w:val="22"/>
    </w:rPr>
  </w:style>
  <w:style w:type="paragraph" w:styleId="978">
    <w:name w:val="Heading 9"/>
    <w:basedOn w:val="1140"/>
    <w:next w:val="1140"/>
    <w:link w:val="979"/>
    <w:uiPriority w:val="9"/>
    <w:unhideWhenUsed/>
    <w:qFormat/>
    <w:pPr>
      <w:keepLines/>
      <w:keepNext/>
      <w:spacing w:before="320" w:after="200"/>
      <w:outlineLvl w:val="8"/>
    </w:pPr>
    <w:rPr>
      <w:rFonts w:ascii="Arial" w:hAnsi="Arial" w:eastAsia="Arial" w:cs="Arial"/>
      <w:i/>
      <w:iCs/>
      <w:sz w:val="21"/>
      <w:szCs w:val="21"/>
    </w:rPr>
  </w:style>
  <w:style w:type="character" w:styleId="979">
    <w:name w:val="Heading 9 Char"/>
    <w:link w:val="978"/>
    <w:uiPriority w:val="9"/>
    <w:rPr>
      <w:rFonts w:ascii="Arial" w:hAnsi="Arial" w:eastAsia="Arial" w:cs="Arial"/>
      <w:i/>
      <w:iCs/>
      <w:sz w:val="21"/>
      <w:szCs w:val="21"/>
    </w:rPr>
  </w:style>
  <w:style w:type="paragraph" w:styleId="980">
    <w:name w:val="List Paragraph"/>
    <w:basedOn w:val="1140"/>
    <w:uiPriority w:val="34"/>
    <w:qFormat/>
    <w:pPr>
      <w:contextualSpacing/>
      <w:ind w:left="720"/>
    </w:pPr>
  </w:style>
  <w:style w:type="paragraph" w:styleId="981">
    <w:name w:val="No Spacing"/>
    <w:uiPriority w:val="1"/>
    <w:qFormat/>
    <w:pPr>
      <w:spacing w:before="0" w:after="0" w:line="240" w:lineRule="auto"/>
    </w:pPr>
  </w:style>
  <w:style w:type="paragraph" w:styleId="982">
    <w:name w:val="Title"/>
    <w:basedOn w:val="1140"/>
    <w:next w:val="1140"/>
    <w:link w:val="983"/>
    <w:uiPriority w:val="10"/>
    <w:qFormat/>
    <w:pPr>
      <w:contextualSpacing/>
      <w:spacing w:before="300" w:after="200"/>
    </w:pPr>
    <w:rPr>
      <w:sz w:val="48"/>
      <w:szCs w:val="48"/>
    </w:rPr>
  </w:style>
  <w:style w:type="character" w:styleId="983">
    <w:name w:val="Title Char"/>
    <w:link w:val="982"/>
    <w:uiPriority w:val="10"/>
    <w:rPr>
      <w:sz w:val="48"/>
      <w:szCs w:val="48"/>
    </w:rPr>
  </w:style>
  <w:style w:type="paragraph" w:styleId="984">
    <w:name w:val="Subtitle"/>
    <w:basedOn w:val="1140"/>
    <w:next w:val="1140"/>
    <w:link w:val="985"/>
    <w:uiPriority w:val="11"/>
    <w:qFormat/>
    <w:pPr>
      <w:spacing w:before="200" w:after="200"/>
    </w:pPr>
    <w:rPr>
      <w:sz w:val="24"/>
      <w:szCs w:val="24"/>
    </w:rPr>
  </w:style>
  <w:style w:type="character" w:styleId="985">
    <w:name w:val="Subtitle Char"/>
    <w:link w:val="984"/>
    <w:uiPriority w:val="11"/>
    <w:rPr>
      <w:sz w:val="24"/>
      <w:szCs w:val="24"/>
    </w:rPr>
  </w:style>
  <w:style w:type="paragraph" w:styleId="986">
    <w:name w:val="Quote"/>
    <w:basedOn w:val="1140"/>
    <w:next w:val="1140"/>
    <w:link w:val="987"/>
    <w:uiPriority w:val="29"/>
    <w:qFormat/>
    <w:pPr>
      <w:ind w:left="720" w:right="720"/>
    </w:pPr>
    <w:rPr>
      <w:i/>
    </w:rPr>
  </w:style>
  <w:style w:type="character" w:styleId="987">
    <w:name w:val="Quote Char"/>
    <w:link w:val="986"/>
    <w:uiPriority w:val="29"/>
    <w:rPr>
      <w:i/>
    </w:rPr>
  </w:style>
  <w:style w:type="paragraph" w:styleId="988">
    <w:name w:val="Intense Quote"/>
    <w:basedOn w:val="1140"/>
    <w:next w:val="1140"/>
    <w:link w:val="9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9">
    <w:name w:val="Intense Quote Char"/>
    <w:link w:val="988"/>
    <w:uiPriority w:val="30"/>
    <w:rPr>
      <w:i/>
    </w:rPr>
  </w:style>
  <w:style w:type="paragraph" w:styleId="990">
    <w:name w:val="Header"/>
    <w:basedOn w:val="1140"/>
    <w:link w:val="991"/>
    <w:uiPriority w:val="99"/>
    <w:unhideWhenUsed/>
    <w:pPr>
      <w:spacing w:after="0" w:line="240" w:lineRule="auto"/>
      <w:tabs>
        <w:tab w:val="center" w:pos="7143" w:leader="none"/>
        <w:tab w:val="right" w:pos="14287" w:leader="none"/>
      </w:tabs>
    </w:pPr>
  </w:style>
  <w:style w:type="character" w:styleId="991">
    <w:name w:val="Header Char"/>
    <w:link w:val="990"/>
    <w:uiPriority w:val="99"/>
  </w:style>
  <w:style w:type="paragraph" w:styleId="992">
    <w:name w:val="Footer"/>
    <w:basedOn w:val="1140"/>
    <w:link w:val="995"/>
    <w:uiPriority w:val="99"/>
    <w:unhideWhenUsed/>
    <w:pPr>
      <w:spacing w:after="0" w:line="240" w:lineRule="auto"/>
      <w:tabs>
        <w:tab w:val="center" w:pos="7143" w:leader="none"/>
        <w:tab w:val="right" w:pos="14287" w:leader="none"/>
      </w:tabs>
    </w:pPr>
  </w:style>
  <w:style w:type="character" w:styleId="993">
    <w:name w:val="Footer Char"/>
    <w:link w:val="992"/>
    <w:uiPriority w:val="99"/>
  </w:style>
  <w:style w:type="paragraph" w:styleId="994">
    <w:name w:val="Caption"/>
    <w:basedOn w:val="1140"/>
    <w:next w:val="1140"/>
    <w:uiPriority w:val="35"/>
    <w:semiHidden/>
    <w:unhideWhenUsed/>
    <w:qFormat/>
    <w:pPr>
      <w:spacing w:line="276" w:lineRule="auto"/>
    </w:pPr>
    <w:rPr>
      <w:b/>
      <w:bCs/>
      <w:color w:val="4f81bd" w:themeColor="accent1"/>
      <w:sz w:val="18"/>
      <w:szCs w:val="18"/>
    </w:rPr>
  </w:style>
  <w:style w:type="character" w:styleId="995">
    <w:name w:val="Caption Char"/>
    <w:basedOn w:val="994"/>
    <w:link w:val="992"/>
    <w:uiPriority w:val="99"/>
  </w:style>
  <w:style w:type="table" w:styleId="9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2">
    <w:name w:val="Hyperlink"/>
    <w:uiPriority w:val="99"/>
    <w:unhideWhenUsed/>
    <w:rPr>
      <w:color w:val="0000ff" w:themeColor="hyperlink"/>
      <w:u w:val="single"/>
    </w:rPr>
  </w:style>
  <w:style w:type="paragraph" w:styleId="1123">
    <w:name w:val="footnote text"/>
    <w:basedOn w:val="1140"/>
    <w:link w:val="1124"/>
    <w:uiPriority w:val="99"/>
    <w:semiHidden/>
    <w:unhideWhenUsed/>
    <w:pPr>
      <w:spacing w:after="40" w:line="240" w:lineRule="auto"/>
    </w:pPr>
    <w:rPr>
      <w:sz w:val="18"/>
    </w:rPr>
  </w:style>
  <w:style w:type="character" w:styleId="1124">
    <w:name w:val="Footnote Text Char"/>
    <w:link w:val="1123"/>
    <w:uiPriority w:val="99"/>
    <w:rPr>
      <w:sz w:val="18"/>
    </w:rPr>
  </w:style>
  <w:style w:type="character" w:styleId="1125">
    <w:name w:val="footnote reference"/>
    <w:uiPriority w:val="99"/>
    <w:unhideWhenUsed/>
    <w:rPr>
      <w:vertAlign w:val="superscript"/>
    </w:rPr>
  </w:style>
  <w:style w:type="paragraph" w:styleId="1126">
    <w:name w:val="endnote text"/>
    <w:basedOn w:val="1140"/>
    <w:link w:val="1127"/>
    <w:uiPriority w:val="99"/>
    <w:semiHidden/>
    <w:unhideWhenUsed/>
    <w:pPr>
      <w:spacing w:after="0" w:line="240" w:lineRule="auto"/>
    </w:pPr>
    <w:rPr>
      <w:sz w:val="20"/>
    </w:rPr>
  </w:style>
  <w:style w:type="character" w:styleId="1127">
    <w:name w:val="Endnote Text Char"/>
    <w:link w:val="1126"/>
    <w:uiPriority w:val="99"/>
    <w:rPr>
      <w:sz w:val="20"/>
    </w:rPr>
  </w:style>
  <w:style w:type="character" w:styleId="1128">
    <w:name w:val="endnote reference"/>
    <w:uiPriority w:val="99"/>
    <w:semiHidden/>
    <w:unhideWhenUsed/>
    <w:rPr>
      <w:vertAlign w:val="superscript"/>
    </w:rPr>
  </w:style>
  <w:style w:type="paragraph" w:styleId="1129">
    <w:name w:val="toc 1"/>
    <w:basedOn w:val="1140"/>
    <w:next w:val="1140"/>
    <w:uiPriority w:val="39"/>
    <w:unhideWhenUsed/>
    <w:pPr>
      <w:ind w:left="0" w:right="0" w:firstLine="0"/>
      <w:spacing w:after="57"/>
    </w:pPr>
  </w:style>
  <w:style w:type="paragraph" w:styleId="1130">
    <w:name w:val="toc 2"/>
    <w:basedOn w:val="1140"/>
    <w:next w:val="1140"/>
    <w:uiPriority w:val="39"/>
    <w:unhideWhenUsed/>
    <w:pPr>
      <w:ind w:left="283" w:right="0" w:firstLine="0"/>
      <w:spacing w:after="57"/>
    </w:pPr>
  </w:style>
  <w:style w:type="paragraph" w:styleId="1131">
    <w:name w:val="toc 3"/>
    <w:basedOn w:val="1140"/>
    <w:next w:val="1140"/>
    <w:uiPriority w:val="39"/>
    <w:unhideWhenUsed/>
    <w:pPr>
      <w:ind w:left="567" w:right="0" w:firstLine="0"/>
      <w:spacing w:after="57"/>
    </w:pPr>
  </w:style>
  <w:style w:type="paragraph" w:styleId="1132">
    <w:name w:val="toc 4"/>
    <w:basedOn w:val="1140"/>
    <w:next w:val="1140"/>
    <w:uiPriority w:val="39"/>
    <w:unhideWhenUsed/>
    <w:pPr>
      <w:ind w:left="850" w:right="0" w:firstLine="0"/>
      <w:spacing w:after="57"/>
    </w:pPr>
  </w:style>
  <w:style w:type="paragraph" w:styleId="1133">
    <w:name w:val="toc 5"/>
    <w:basedOn w:val="1140"/>
    <w:next w:val="1140"/>
    <w:uiPriority w:val="39"/>
    <w:unhideWhenUsed/>
    <w:pPr>
      <w:ind w:left="1134" w:right="0" w:firstLine="0"/>
      <w:spacing w:after="57"/>
    </w:pPr>
  </w:style>
  <w:style w:type="paragraph" w:styleId="1134">
    <w:name w:val="toc 6"/>
    <w:basedOn w:val="1140"/>
    <w:next w:val="1140"/>
    <w:uiPriority w:val="39"/>
    <w:unhideWhenUsed/>
    <w:pPr>
      <w:ind w:left="1417" w:right="0" w:firstLine="0"/>
      <w:spacing w:after="57"/>
    </w:pPr>
  </w:style>
  <w:style w:type="paragraph" w:styleId="1135">
    <w:name w:val="toc 7"/>
    <w:basedOn w:val="1140"/>
    <w:next w:val="1140"/>
    <w:uiPriority w:val="39"/>
    <w:unhideWhenUsed/>
    <w:pPr>
      <w:ind w:left="1701" w:right="0" w:firstLine="0"/>
      <w:spacing w:after="57"/>
    </w:pPr>
  </w:style>
  <w:style w:type="paragraph" w:styleId="1136">
    <w:name w:val="toc 8"/>
    <w:basedOn w:val="1140"/>
    <w:next w:val="1140"/>
    <w:uiPriority w:val="39"/>
    <w:unhideWhenUsed/>
    <w:pPr>
      <w:ind w:left="1984" w:right="0" w:firstLine="0"/>
      <w:spacing w:after="57"/>
    </w:pPr>
  </w:style>
  <w:style w:type="paragraph" w:styleId="1137">
    <w:name w:val="toc 9"/>
    <w:basedOn w:val="1140"/>
    <w:next w:val="1140"/>
    <w:uiPriority w:val="39"/>
    <w:unhideWhenUsed/>
    <w:pPr>
      <w:ind w:left="2268" w:right="0" w:firstLine="0"/>
      <w:spacing w:after="57"/>
    </w:pPr>
  </w:style>
  <w:style w:type="paragraph" w:styleId="1138">
    <w:name w:val="TOC Heading"/>
    <w:uiPriority w:val="39"/>
    <w:unhideWhenUsed/>
  </w:style>
  <w:style w:type="paragraph" w:styleId="1139">
    <w:name w:val="table of figures"/>
    <w:basedOn w:val="1140"/>
    <w:next w:val="1140"/>
    <w:uiPriority w:val="99"/>
    <w:unhideWhenUsed/>
    <w:pPr>
      <w:spacing w:after="0" w:afterAutospacing="0"/>
    </w:pPr>
  </w:style>
  <w:style w:type="paragraph" w:styleId="1140" w:default="1">
    <w:name w:val="Normal"/>
    <w:next w:val="1143"/>
    <w:link w:val="1140"/>
    <w:qFormat/>
    <w:pPr>
      <w:jc w:val="both"/>
      <w:widowControl w:val="off"/>
    </w:pPr>
    <w:rPr>
      <w:sz w:val="21"/>
      <w:szCs w:val="24"/>
      <w:lang w:val="en-US" w:eastAsia="zh-CN" w:bidi="ar-SA"/>
    </w:rPr>
  </w:style>
  <w:style w:type="paragraph" w:styleId="1141">
    <w:name w:val="标题 1"/>
    <w:basedOn w:val="1140"/>
    <w:next w:val="1140"/>
    <w:link w:val="1153"/>
    <w:qFormat/>
    <w:pPr>
      <w:jc w:val="center"/>
      <w:keepLines/>
      <w:keepNext/>
      <w:spacing w:before="240" w:after="120" w:line="300" w:lineRule="auto"/>
      <w:outlineLvl w:val="0"/>
    </w:pPr>
    <w:rPr>
      <w:rFonts w:ascii="宋体"/>
      <w:b/>
      <w:sz w:val="32"/>
      <w:szCs w:val="20"/>
    </w:rPr>
  </w:style>
  <w:style w:type="paragraph" w:styleId="1142">
    <w:name w:val="标题 2"/>
    <w:basedOn w:val="1140"/>
    <w:next w:val="1155"/>
    <w:link w:val="1154"/>
    <w:qFormat/>
    <w:pPr>
      <w:jc w:val="center"/>
      <w:keepLines/>
      <w:keepNext/>
      <w:spacing w:before="120" w:line="300" w:lineRule="auto"/>
      <w:outlineLvl w:val="1"/>
    </w:pPr>
    <w:rPr>
      <w:rFonts w:ascii="Arial" w:hAnsi="Arial" w:eastAsia="黑体"/>
      <w:b/>
      <w:sz w:val="30"/>
      <w:szCs w:val="20"/>
    </w:rPr>
  </w:style>
  <w:style w:type="paragraph" w:styleId="1143">
    <w:name w:val="标题 3"/>
    <w:basedOn w:val="1140"/>
    <w:next w:val="1140"/>
    <w:link w:val="1152"/>
    <w:qFormat/>
    <w:pPr>
      <w:jc w:val="left"/>
      <w:keepLines/>
      <w:keepNext/>
      <w:spacing w:before="360" w:after="120"/>
      <w:outlineLvl w:val="2"/>
    </w:pPr>
    <w:rPr>
      <w:rFonts w:ascii="宋体"/>
      <w:b/>
      <w:sz w:val="24"/>
      <w:szCs w:val="20"/>
      <w:u w:val="single"/>
    </w:rPr>
  </w:style>
  <w:style w:type="paragraph" w:styleId="1144">
    <w:name w:val="标题 4"/>
    <w:basedOn w:val="1140"/>
    <w:next w:val="1140"/>
    <w:link w:val="1157"/>
    <w:qFormat/>
    <w:pPr>
      <w:keepLines/>
      <w:keepNext/>
      <w:spacing w:before="280" w:after="290" w:line="376" w:lineRule="atLeast"/>
      <w:outlineLvl w:val="3"/>
    </w:pPr>
    <w:rPr>
      <w:rFonts w:ascii="Arial" w:hAnsi="Arial" w:eastAsia="黑体"/>
      <w:b/>
      <w:sz w:val="28"/>
      <w:szCs w:val="20"/>
    </w:rPr>
  </w:style>
  <w:style w:type="paragraph" w:styleId="1145">
    <w:name w:val="标题 5"/>
    <w:basedOn w:val="1140"/>
    <w:next w:val="1140"/>
    <w:link w:val="1158"/>
    <w:qFormat/>
    <w:pPr>
      <w:keepLines/>
      <w:keepNext/>
      <w:spacing w:before="280" w:after="290" w:line="376" w:lineRule="atLeast"/>
      <w:outlineLvl w:val="4"/>
    </w:pPr>
    <w:rPr>
      <w:b/>
      <w:sz w:val="28"/>
      <w:szCs w:val="20"/>
    </w:rPr>
  </w:style>
  <w:style w:type="paragraph" w:styleId="1146">
    <w:name w:val="标题 6"/>
    <w:basedOn w:val="1140"/>
    <w:next w:val="1140"/>
    <w:link w:val="1159"/>
    <w:qFormat/>
    <w:pPr>
      <w:keepLines/>
      <w:keepNext/>
      <w:spacing w:before="240" w:after="64" w:line="320" w:lineRule="atLeast"/>
      <w:outlineLvl w:val="5"/>
    </w:pPr>
    <w:rPr>
      <w:rFonts w:ascii="Arial" w:hAnsi="Arial" w:eastAsia="黑体"/>
      <w:b/>
      <w:sz w:val="24"/>
      <w:szCs w:val="20"/>
    </w:rPr>
  </w:style>
  <w:style w:type="paragraph" w:styleId="1147">
    <w:name w:val="标题 7"/>
    <w:basedOn w:val="1140"/>
    <w:next w:val="1140"/>
    <w:link w:val="1160"/>
    <w:qFormat/>
    <w:pPr>
      <w:keepLines/>
      <w:keepNext/>
      <w:spacing w:before="240" w:after="64" w:line="320" w:lineRule="atLeast"/>
      <w:outlineLvl w:val="6"/>
    </w:pPr>
    <w:rPr>
      <w:b/>
      <w:sz w:val="24"/>
      <w:szCs w:val="20"/>
    </w:rPr>
  </w:style>
  <w:style w:type="paragraph" w:styleId="1148">
    <w:name w:val="标题 8"/>
    <w:basedOn w:val="1140"/>
    <w:next w:val="1140"/>
    <w:link w:val="1161"/>
    <w:qFormat/>
    <w:pPr>
      <w:keepLines/>
      <w:keepNext/>
      <w:spacing w:before="240" w:after="64" w:line="320" w:lineRule="atLeast"/>
      <w:outlineLvl w:val="7"/>
    </w:pPr>
    <w:rPr>
      <w:rFonts w:ascii="Arial" w:hAnsi="Arial" w:eastAsia="黑体"/>
      <w:sz w:val="24"/>
      <w:szCs w:val="20"/>
    </w:rPr>
  </w:style>
  <w:style w:type="paragraph" w:styleId="1149">
    <w:name w:val="标题 9"/>
    <w:basedOn w:val="1140"/>
    <w:next w:val="1140"/>
    <w:link w:val="1162"/>
    <w:qFormat/>
    <w:pPr>
      <w:keepLines/>
      <w:keepNext/>
      <w:spacing w:before="240" w:after="64" w:line="320" w:lineRule="atLeast"/>
      <w:outlineLvl w:val="8"/>
    </w:pPr>
    <w:rPr>
      <w:rFonts w:ascii="Arial" w:hAnsi="Arial" w:eastAsia="黑体"/>
      <w:szCs w:val="20"/>
    </w:rPr>
  </w:style>
  <w:style w:type="character" w:styleId="1150">
    <w:name w:val="默认段落字体"/>
    <w:next w:val="1150"/>
    <w:link w:val="1140"/>
    <w:uiPriority w:val="1"/>
    <w:unhideWhenUsed/>
    <w:qFormat/>
  </w:style>
  <w:style w:type="table" w:styleId="1151">
    <w:name w:val="普通表格"/>
    <w:next w:val="1151"/>
    <w:link w:val="1140"/>
    <w:uiPriority w:val="99"/>
    <w:unhideWhenUsed/>
    <w:qFormat/>
    <w:tblPr/>
  </w:style>
  <w:style w:type="character" w:styleId="1152">
    <w:name w:val="标题 3 Char1"/>
    <w:next w:val="1152"/>
    <w:link w:val="1143"/>
    <w:qFormat/>
    <w:rPr>
      <w:rFonts w:ascii="宋体" w:eastAsia="宋体"/>
      <w:b/>
      <w:sz w:val="24"/>
      <w:u w:val="single"/>
      <w:lang w:val="en-US" w:eastAsia="zh-CN" w:bidi="ar-SA"/>
    </w:rPr>
  </w:style>
  <w:style w:type="character" w:styleId="1153">
    <w:name w:val="标题 1 Char"/>
    <w:next w:val="1153"/>
    <w:link w:val="1141"/>
    <w:qFormat/>
    <w:rPr>
      <w:rFonts w:ascii="宋体"/>
      <w:b/>
      <w:sz w:val="32"/>
    </w:rPr>
  </w:style>
  <w:style w:type="character" w:styleId="1154">
    <w:name w:val="标题 2 Char1"/>
    <w:next w:val="1154"/>
    <w:link w:val="1142"/>
    <w:qFormat/>
    <w:rPr>
      <w:rFonts w:ascii="Arial" w:hAnsi="Arial" w:eastAsia="黑体"/>
      <w:b/>
      <w:sz w:val="30"/>
      <w:lang w:val="en-US" w:eastAsia="zh-CN" w:bidi="ar-SA"/>
    </w:rPr>
  </w:style>
  <w:style w:type="paragraph" w:styleId="1155">
    <w:name w:val="正文缩进"/>
    <w:basedOn w:val="1140"/>
    <w:next w:val="1140"/>
    <w:link w:val="1156"/>
    <w:qFormat/>
    <w:pPr>
      <w:ind w:firstLine="420"/>
      <w:jc w:val="left"/>
    </w:pPr>
    <w:rPr>
      <w:rFonts w:ascii="宋体"/>
      <w:sz w:val="24"/>
    </w:rPr>
  </w:style>
  <w:style w:type="character" w:styleId="1156">
    <w:name w:val="正文缩进 Char1"/>
    <w:next w:val="1156"/>
    <w:link w:val="1155"/>
    <w:qFormat/>
    <w:rPr>
      <w:rFonts w:ascii="宋体" w:eastAsia="宋体"/>
      <w:sz w:val="24"/>
      <w:szCs w:val="24"/>
      <w:lang w:val="en-US" w:eastAsia="zh-CN" w:bidi="ar-SA"/>
    </w:rPr>
  </w:style>
  <w:style w:type="character" w:styleId="1157">
    <w:name w:val="标题 4 Char"/>
    <w:next w:val="1157"/>
    <w:link w:val="1144"/>
    <w:qFormat/>
    <w:rPr>
      <w:rFonts w:ascii="Arial" w:hAnsi="Arial" w:eastAsia="黑体"/>
      <w:b/>
      <w:sz w:val="28"/>
    </w:rPr>
  </w:style>
  <w:style w:type="character" w:styleId="1158">
    <w:name w:val="标题 5 Char"/>
    <w:next w:val="1158"/>
    <w:link w:val="1145"/>
    <w:qFormat/>
    <w:rPr>
      <w:b/>
      <w:sz w:val="28"/>
    </w:rPr>
  </w:style>
  <w:style w:type="character" w:styleId="1159">
    <w:name w:val="标题 6 Char"/>
    <w:next w:val="1159"/>
    <w:link w:val="1146"/>
    <w:qFormat/>
    <w:rPr>
      <w:rFonts w:ascii="Arial" w:hAnsi="Arial" w:eastAsia="黑体"/>
      <w:b/>
      <w:sz w:val="24"/>
    </w:rPr>
  </w:style>
  <w:style w:type="character" w:styleId="1160">
    <w:name w:val="标题 7 Char"/>
    <w:next w:val="1160"/>
    <w:link w:val="1147"/>
    <w:qFormat/>
    <w:rPr>
      <w:b/>
      <w:sz w:val="24"/>
    </w:rPr>
  </w:style>
  <w:style w:type="character" w:styleId="1161">
    <w:name w:val="标题 8 Char"/>
    <w:next w:val="1161"/>
    <w:link w:val="1148"/>
    <w:qFormat/>
    <w:rPr>
      <w:rFonts w:ascii="Arial" w:hAnsi="Arial" w:eastAsia="黑体"/>
      <w:sz w:val="24"/>
    </w:rPr>
  </w:style>
  <w:style w:type="character" w:styleId="1162">
    <w:name w:val="标题 9 Char"/>
    <w:next w:val="1162"/>
    <w:link w:val="1149"/>
    <w:qFormat/>
    <w:rPr>
      <w:rFonts w:ascii="Arial" w:hAnsi="Arial" w:eastAsia="黑体"/>
      <w:sz w:val="21"/>
    </w:rPr>
  </w:style>
  <w:style w:type="paragraph" w:styleId="1163">
    <w:name w:val="目录 7"/>
    <w:basedOn w:val="1140"/>
    <w:next w:val="1140"/>
    <w:link w:val="1140"/>
    <w:qFormat/>
    <w:pPr>
      <w:ind w:left="2520"/>
    </w:pPr>
  </w:style>
  <w:style w:type="paragraph" w:styleId="1164">
    <w:name w:val="题注"/>
    <w:basedOn w:val="1140"/>
    <w:next w:val="1140"/>
    <w:link w:val="1140"/>
    <w:qFormat/>
    <w:pPr>
      <w:spacing w:line="480" w:lineRule="auto"/>
    </w:pPr>
    <w:rPr>
      <w:rFonts w:ascii="华文中宋" w:hAnsi="华文中宋" w:eastAsia="华文中宋"/>
      <w:sz w:val="36"/>
      <w:szCs w:val="20"/>
    </w:rPr>
  </w:style>
  <w:style w:type="paragraph" w:styleId="1165">
    <w:name w:val="文档结构图"/>
    <w:basedOn w:val="1140"/>
    <w:next w:val="1165"/>
    <w:link w:val="1166"/>
    <w:qFormat/>
    <w:pPr>
      <w:shd w:val="clear" w:color="auto" w:fill="000080"/>
    </w:pPr>
  </w:style>
  <w:style w:type="character" w:styleId="1166">
    <w:name w:val="文档结构图 Char"/>
    <w:next w:val="1166"/>
    <w:link w:val="1165"/>
    <w:qFormat/>
    <w:rPr>
      <w:sz w:val="21"/>
      <w:szCs w:val="24"/>
      <w:shd w:val="clear" w:color="auto" w:fill="000080"/>
    </w:rPr>
  </w:style>
  <w:style w:type="paragraph" w:styleId="1167">
    <w:name w:val="批注文字"/>
    <w:basedOn w:val="1140"/>
    <w:next w:val="1167"/>
    <w:link w:val="1168"/>
    <w:uiPriority w:val="99"/>
    <w:qFormat/>
    <w:pPr>
      <w:jc w:val="left"/>
    </w:pPr>
  </w:style>
  <w:style w:type="character" w:styleId="1168">
    <w:name w:val="批注文字 Char1"/>
    <w:next w:val="1168"/>
    <w:link w:val="1167"/>
    <w:uiPriority w:val="99"/>
    <w:qFormat/>
    <w:rPr>
      <w:sz w:val="21"/>
      <w:szCs w:val="24"/>
    </w:rPr>
  </w:style>
  <w:style w:type="paragraph" w:styleId="1169">
    <w:name w:val="正文文本 3"/>
    <w:basedOn w:val="1140"/>
    <w:next w:val="1169"/>
    <w:link w:val="1170"/>
    <w:qFormat/>
    <w:pPr>
      <w:spacing w:after="120"/>
    </w:pPr>
    <w:rPr>
      <w:sz w:val="16"/>
      <w:szCs w:val="16"/>
    </w:rPr>
  </w:style>
  <w:style w:type="character" w:styleId="1170">
    <w:name w:val="正文文本 3 Char"/>
    <w:next w:val="1170"/>
    <w:link w:val="1169"/>
    <w:qFormat/>
    <w:rPr>
      <w:sz w:val="16"/>
      <w:szCs w:val="16"/>
    </w:rPr>
  </w:style>
  <w:style w:type="paragraph" w:styleId="1171">
    <w:name w:val="正文文本"/>
    <w:basedOn w:val="1140"/>
    <w:next w:val="1140"/>
    <w:link w:val="1172"/>
    <w:qFormat/>
    <w:pPr>
      <w:spacing w:before="120" w:line="22" w:lineRule="atLeast"/>
      <w:tabs>
        <w:tab w:val="left" w:pos="567" w:leader="none"/>
      </w:tabs>
    </w:pPr>
    <w:rPr>
      <w:rFonts w:ascii="宋体" w:hAnsi="宋体"/>
      <w:sz w:val="24"/>
    </w:rPr>
  </w:style>
  <w:style w:type="character" w:styleId="1172">
    <w:name w:val="正文文本 Char"/>
    <w:next w:val="1172"/>
    <w:link w:val="1171"/>
    <w:qFormat/>
    <w:rPr>
      <w:rFonts w:ascii="宋体" w:hAnsi="宋体"/>
      <w:sz w:val="24"/>
      <w:szCs w:val="24"/>
    </w:rPr>
  </w:style>
  <w:style w:type="paragraph" w:styleId="1173">
    <w:name w:val="正文文本缩进"/>
    <w:basedOn w:val="1140"/>
    <w:next w:val="1140"/>
    <w:link w:val="1174"/>
    <w:qFormat/>
    <w:pPr>
      <w:ind w:firstLine="570"/>
      <w:spacing w:line="360" w:lineRule="auto"/>
    </w:pPr>
    <w:rPr>
      <w:sz w:val="24"/>
    </w:rPr>
  </w:style>
  <w:style w:type="character" w:styleId="1174">
    <w:name w:val="正文文本缩进 Char2"/>
    <w:next w:val="1174"/>
    <w:link w:val="1173"/>
    <w:qFormat/>
    <w:rPr>
      <w:rFonts w:eastAsia="宋体"/>
      <w:sz w:val="24"/>
      <w:szCs w:val="24"/>
      <w:lang w:val="en-US" w:eastAsia="zh-CN" w:bidi="ar-SA"/>
    </w:rPr>
  </w:style>
  <w:style w:type="paragraph" w:styleId="1175">
    <w:name w:val="列表 2"/>
    <w:basedOn w:val="1140"/>
    <w:next w:val="1175"/>
    <w:link w:val="1140"/>
    <w:qFormat/>
    <w:pPr>
      <w:ind w:left="100" w:hanging="200"/>
    </w:pPr>
  </w:style>
  <w:style w:type="paragraph" w:styleId="1176">
    <w:name w:val="文本块"/>
    <w:basedOn w:val="1140"/>
    <w:next w:val="1176"/>
    <w:link w:val="1140"/>
    <w:qFormat/>
    <w:pPr>
      <w:ind w:left="480" w:right="-341" w:firstLine="513"/>
      <w:widowControl/>
    </w:pPr>
    <w:rPr>
      <w:sz w:val="24"/>
      <w:szCs w:val="20"/>
    </w:rPr>
  </w:style>
  <w:style w:type="paragraph" w:styleId="1177">
    <w:name w:val="目录 5"/>
    <w:basedOn w:val="1140"/>
    <w:next w:val="1140"/>
    <w:link w:val="1140"/>
    <w:qFormat/>
    <w:pPr>
      <w:ind w:left="1680"/>
    </w:pPr>
  </w:style>
  <w:style w:type="paragraph" w:styleId="1178">
    <w:name w:val="目录 3"/>
    <w:basedOn w:val="1140"/>
    <w:next w:val="1140"/>
    <w:link w:val="1140"/>
    <w:uiPriority w:val="39"/>
    <w:qFormat/>
    <w:pPr>
      <w:ind w:left="840"/>
    </w:pPr>
  </w:style>
  <w:style w:type="paragraph" w:styleId="1179">
    <w:name w:val="纯文本"/>
    <w:basedOn w:val="1140"/>
    <w:next w:val="1155"/>
    <w:link w:val="1180"/>
    <w:qFormat/>
    <w:rPr>
      <w:rFonts w:hint="eastAsia" w:ascii="宋体" w:hAnsi="Courier New"/>
      <w:szCs w:val="20"/>
    </w:rPr>
  </w:style>
  <w:style w:type="character" w:styleId="1180">
    <w:name w:val="纯文本 Char"/>
    <w:next w:val="1180"/>
    <w:link w:val="1179"/>
    <w:qFormat/>
    <w:rPr>
      <w:rFonts w:hint="eastAsia" w:ascii="宋体" w:hAnsi="Courier New" w:eastAsia="宋体" w:cs="宋体"/>
      <w:sz w:val="21"/>
    </w:rPr>
  </w:style>
  <w:style w:type="paragraph" w:styleId="1181">
    <w:name w:val="目录 8"/>
    <w:basedOn w:val="1140"/>
    <w:next w:val="1140"/>
    <w:link w:val="1140"/>
    <w:qFormat/>
    <w:pPr>
      <w:ind w:left="2940"/>
    </w:pPr>
  </w:style>
  <w:style w:type="paragraph" w:styleId="1182">
    <w:name w:val="日期"/>
    <w:basedOn w:val="1140"/>
    <w:next w:val="1140"/>
    <w:link w:val="1183"/>
    <w:qFormat/>
    <w:pPr>
      <w:ind w:left="100"/>
    </w:pPr>
    <w:rPr>
      <w:rFonts w:ascii="仿宋_GB2312" w:hAnsi="宋体" w:eastAsia="仿宋_GB2312"/>
      <w:color w:val="000000"/>
      <w:sz w:val="24"/>
    </w:rPr>
  </w:style>
  <w:style w:type="character" w:styleId="1183">
    <w:name w:val="日期 Char"/>
    <w:next w:val="1183"/>
    <w:link w:val="1182"/>
    <w:qFormat/>
    <w:rPr>
      <w:rFonts w:ascii="仿宋_GB2312" w:hAnsi="宋体" w:eastAsia="仿宋_GB2312"/>
      <w:color w:val="000000"/>
      <w:sz w:val="24"/>
      <w:szCs w:val="24"/>
    </w:rPr>
  </w:style>
  <w:style w:type="paragraph" w:styleId="1184">
    <w:name w:val="正文文本缩进 2"/>
    <w:basedOn w:val="1140"/>
    <w:next w:val="1184"/>
    <w:link w:val="1185"/>
    <w:qFormat/>
    <w:pPr>
      <w:ind w:firstLine="480"/>
    </w:pPr>
    <w:rPr>
      <w:rFonts w:ascii="仿宋_GB2312" w:eastAsia="仿宋_GB2312"/>
      <w:sz w:val="24"/>
    </w:rPr>
  </w:style>
  <w:style w:type="character" w:styleId="1185">
    <w:name w:val="正文文本缩进 2 Char"/>
    <w:next w:val="1185"/>
    <w:link w:val="1184"/>
    <w:qFormat/>
    <w:rPr>
      <w:rFonts w:ascii="仿宋_GB2312" w:eastAsia="仿宋_GB2312"/>
      <w:sz w:val="24"/>
      <w:szCs w:val="24"/>
    </w:rPr>
  </w:style>
  <w:style w:type="paragraph" w:styleId="1186">
    <w:name w:val="批注框文本"/>
    <w:basedOn w:val="1140"/>
    <w:next w:val="1186"/>
    <w:link w:val="1187"/>
    <w:qFormat/>
    <w:rPr>
      <w:sz w:val="18"/>
      <w:szCs w:val="18"/>
    </w:rPr>
  </w:style>
  <w:style w:type="character" w:styleId="1187">
    <w:name w:val="批注框文本 Char"/>
    <w:next w:val="1187"/>
    <w:link w:val="1186"/>
    <w:qFormat/>
    <w:rPr>
      <w:sz w:val="18"/>
      <w:szCs w:val="18"/>
    </w:rPr>
  </w:style>
  <w:style w:type="paragraph" w:styleId="1188">
    <w:name w:val="页脚"/>
    <w:basedOn w:val="1140"/>
    <w:next w:val="1188"/>
    <w:link w:val="1189"/>
    <w:uiPriority w:val="99"/>
    <w:qFormat/>
    <w:pPr>
      <w:jc w:val="left"/>
      <w:tabs>
        <w:tab w:val="center" w:pos="4153" w:leader="none"/>
        <w:tab w:val="right" w:pos="8306" w:leader="none"/>
      </w:tabs>
    </w:pPr>
    <w:rPr>
      <w:rFonts w:ascii="宋体"/>
      <w:sz w:val="18"/>
      <w:szCs w:val="20"/>
    </w:rPr>
  </w:style>
  <w:style w:type="character" w:styleId="1189">
    <w:name w:val="页脚 Char1"/>
    <w:next w:val="1189"/>
    <w:link w:val="1188"/>
    <w:uiPriority w:val="99"/>
    <w:qFormat/>
    <w:rPr>
      <w:rFonts w:ascii="宋体" w:eastAsia="宋体"/>
      <w:sz w:val="18"/>
      <w:lang w:val="en-US" w:eastAsia="zh-CN" w:bidi="ar-SA"/>
    </w:rPr>
  </w:style>
  <w:style w:type="paragraph" w:styleId="1190">
    <w:name w:val="寄信人地址"/>
    <w:basedOn w:val="1140"/>
    <w:next w:val="1190"/>
    <w:link w:val="1140"/>
    <w:uiPriority w:val="99"/>
    <w:unhideWhenUsed/>
    <w:qFormat/>
    <w:rPr>
      <w:rFonts w:ascii="Cambria" w:hAnsi="Cambria" w:eastAsia="宋体" w:cs="Times New Roman"/>
    </w:rPr>
  </w:style>
  <w:style w:type="paragraph" w:styleId="1191">
    <w:name w:val="页眉"/>
    <w:basedOn w:val="1140"/>
    <w:next w:val="1191"/>
    <w:link w:val="1192"/>
    <w:qFormat/>
    <w:pPr>
      <w:jc w:val="center"/>
      <w:tabs>
        <w:tab w:val="center" w:pos="4153" w:leader="none"/>
        <w:tab w:val="right" w:pos="8306" w:leader="none"/>
      </w:tabs>
      <w:pBdr>
        <w:bottom w:val="single" w:color="000000" w:sz="6" w:space="1"/>
      </w:pBdr>
    </w:pPr>
    <w:rPr>
      <w:sz w:val="18"/>
      <w:szCs w:val="18"/>
    </w:rPr>
  </w:style>
  <w:style w:type="character" w:styleId="1192">
    <w:name w:val="页眉 Char1"/>
    <w:next w:val="1192"/>
    <w:link w:val="1191"/>
    <w:qFormat/>
    <w:rPr>
      <w:rFonts w:eastAsia="宋体"/>
      <w:sz w:val="18"/>
      <w:szCs w:val="18"/>
      <w:lang w:val="en-US" w:eastAsia="zh-CN" w:bidi="ar-SA"/>
    </w:rPr>
  </w:style>
  <w:style w:type="paragraph" w:styleId="1193">
    <w:name w:val="目录 1"/>
    <w:basedOn w:val="1140"/>
    <w:next w:val="1140"/>
    <w:link w:val="1140"/>
    <w:uiPriority w:val="39"/>
    <w:qFormat/>
    <w:pPr>
      <w:spacing w:line="300" w:lineRule="auto"/>
      <w:tabs>
        <w:tab w:val="left" w:pos="1050" w:leader="none"/>
        <w:tab w:val="right" w:pos="8937" w:leader="dot"/>
      </w:tabs>
    </w:pPr>
    <w:rPr>
      <w:rFonts w:ascii="宋体" w:hAnsi="宋体"/>
      <w:b/>
      <w:sz w:val="24"/>
    </w:rPr>
  </w:style>
  <w:style w:type="paragraph" w:styleId="1194">
    <w:name w:val="目录 4"/>
    <w:basedOn w:val="1140"/>
    <w:next w:val="1140"/>
    <w:link w:val="1140"/>
    <w:qFormat/>
    <w:pPr>
      <w:ind w:left="1260"/>
    </w:pPr>
  </w:style>
  <w:style w:type="paragraph" w:styleId="1195">
    <w:name w:val="目录 6"/>
    <w:basedOn w:val="1140"/>
    <w:next w:val="1140"/>
    <w:link w:val="1140"/>
    <w:qFormat/>
    <w:pPr>
      <w:ind w:left="2100"/>
    </w:pPr>
  </w:style>
  <w:style w:type="paragraph" w:styleId="1196">
    <w:name w:val="正文文本缩进 3"/>
    <w:basedOn w:val="1140"/>
    <w:next w:val="1196"/>
    <w:link w:val="1197"/>
    <w:qFormat/>
    <w:pPr>
      <w:ind w:left="720" w:firstLine="480"/>
      <w:jc w:val="left"/>
      <w:spacing w:before="120" w:line="22" w:lineRule="atLeast"/>
    </w:pPr>
    <w:rPr>
      <w:rFonts w:ascii="宋体"/>
      <w:sz w:val="24"/>
      <w:szCs w:val="20"/>
    </w:rPr>
  </w:style>
  <w:style w:type="character" w:styleId="1197">
    <w:name w:val="正文文本缩进 3 Char"/>
    <w:next w:val="1197"/>
    <w:link w:val="1196"/>
    <w:qFormat/>
    <w:rPr>
      <w:rFonts w:ascii="宋体"/>
      <w:sz w:val="24"/>
    </w:rPr>
  </w:style>
  <w:style w:type="paragraph" w:styleId="1198">
    <w:name w:val="目录 2"/>
    <w:basedOn w:val="1140"/>
    <w:next w:val="1140"/>
    <w:link w:val="1140"/>
    <w:uiPriority w:val="39"/>
    <w:qFormat/>
    <w:pPr>
      <w:ind w:left="420"/>
      <w:spacing w:line="312" w:lineRule="auto"/>
      <w:tabs>
        <w:tab w:val="right" w:pos="8937" w:leader="dot"/>
      </w:tabs>
    </w:pPr>
  </w:style>
  <w:style w:type="paragraph" w:styleId="1199">
    <w:name w:val="目录 9"/>
    <w:basedOn w:val="1140"/>
    <w:next w:val="1140"/>
    <w:link w:val="1140"/>
    <w:qFormat/>
    <w:pPr>
      <w:ind w:left="3360"/>
    </w:pPr>
  </w:style>
  <w:style w:type="paragraph" w:styleId="1200">
    <w:name w:val="HTML 预设格式"/>
    <w:basedOn w:val="1140"/>
    <w:next w:val="1200"/>
    <w:link w:val="120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01">
    <w:name w:val="HTML 预设格式 Char"/>
    <w:next w:val="1201"/>
    <w:link w:val="1200"/>
    <w:qFormat/>
    <w:rPr>
      <w:rFonts w:ascii="宋体" w:hAnsi="宋体" w:cs="宋体"/>
      <w:sz w:val="24"/>
      <w:szCs w:val="24"/>
    </w:rPr>
  </w:style>
  <w:style w:type="paragraph" w:styleId="1202">
    <w:name w:val="普通(网站)"/>
    <w:basedOn w:val="1140"/>
    <w:next w:val="1202"/>
    <w:link w:val="1140"/>
    <w:uiPriority w:val="99"/>
    <w:unhideWhenUsed/>
    <w:qFormat/>
    <w:pPr>
      <w:jc w:val="left"/>
      <w:spacing w:before="100" w:beforeAutospacing="1" w:after="100" w:afterAutospacing="1"/>
      <w:widowControl/>
    </w:pPr>
    <w:rPr>
      <w:rFonts w:ascii="宋体" w:hAnsi="宋体" w:cs="宋体"/>
      <w:sz w:val="24"/>
    </w:rPr>
  </w:style>
  <w:style w:type="paragraph" w:styleId="1203">
    <w:name w:val="索引 1"/>
    <w:basedOn w:val="1140"/>
    <w:next w:val="1140"/>
    <w:link w:val="1140"/>
    <w:qFormat/>
    <w:rPr>
      <w:szCs w:val="20"/>
    </w:rPr>
  </w:style>
  <w:style w:type="paragraph" w:styleId="1204">
    <w:name w:val="标题"/>
    <w:basedOn w:val="1140"/>
    <w:next w:val="1204"/>
    <w:link w:val="1205"/>
    <w:qFormat/>
    <w:pPr>
      <w:jc w:val="center"/>
      <w:outlineLvl w:val="0"/>
    </w:pPr>
    <w:rPr>
      <w:b/>
      <w:sz w:val="32"/>
      <w:szCs w:val="20"/>
    </w:rPr>
  </w:style>
  <w:style w:type="character" w:styleId="1205">
    <w:name w:val="标题 Char1"/>
    <w:next w:val="1205"/>
    <w:link w:val="1204"/>
    <w:qFormat/>
    <w:rPr>
      <w:b/>
      <w:sz w:val="32"/>
    </w:rPr>
  </w:style>
  <w:style w:type="paragraph" w:styleId="1206">
    <w:name w:val="批注主题"/>
    <w:basedOn w:val="1167"/>
    <w:next w:val="1167"/>
    <w:link w:val="1207"/>
    <w:qFormat/>
    <w:rPr>
      <w:b/>
      <w:bCs/>
    </w:rPr>
  </w:style>
  <w:style w:type="character" w:styleId="1207">
    <w:name w:val="批注主题 Char"/>
    <w:next w:val="1207"/>
    <w:link w:val="1206"/>
    <w:qFormat/>
    <w:rPr>
      <w:rFonts w:ascii="Times New Roman" w:hAnsi="Times New Roman" w:eastAsia="宋体" w:cs="Times New Roman"/>
      <w:b/>
      <w:bCs/>
      <w:sz w:val="21"/>
      <w:szCs w:val="24"/>
      <w:lang w:val="en-US" w:eastAsia="zh-CN" w:bidi="ar-SA"/>
    </w:rPr>
  </w:style>
  <w:style w:type="paragraph" w:styleId="1208">
    <w:name w:val="正文首行缩进 2"/>
    <w:basedOn w:val="1140"/>
    <w:next w:val="1140"/>
    <w:link w:val="1209"/>
    <w:qFormat/>
    <w:pPr>
      <w:ind w:left="420" w:firstLine="420"/>
      <w:spacing w:after="120" w:line="480" w:lineRule="exact"/>
    </w:pPr>
    <w:rPr>
      <w:sz w:val="24"/>
    </w:rPr>
  </w:style>
  <w:style w:type="character" w:styleId="1209">
    <w:name w:val="正文首行缩进 2 Char"/>
    <w:next w:val="1209"/>
    <w:link w:val="1208"/>
    <w:qFormat/>
    <w:rPr>
      <w:rFonts w:eastAsia="宋体"/>
      <w:sz w:val="24"/>
      <w:szCs w:val="24"/>
      <w:lang w:val="en-US" w:eastAsia="zh-CN" w:bidi="ar-SA"/>
    </w:rPr>
  </w:style>
  <w:style w:type="table" w:styleId="1210">
    <w:name w:val="网格型"/>
    <w:basedOn w:val="1151"/>
    <w:next w:val="1210"/>
    <w:link w:val="1140"/>
    <w:uiPriority w:val="39"/>
    <w:qFormat/>
    <w:tblPr/>
  </w:style>
  <w:style w:type="table" w:styleId="1211">
    <w:name w:val="中等深浅网格 1 - 强调文字颜色 2"/>
    <w:basedOn w:val="1151"/>
    <w:next w:val="1211"/>
    <w:link w:val="1140"/>
    <w:qFormat/>
    <w:rPr>
      <w:sz w:val="21"/>
      <w:szCs w:val="24"/>
    </w:rPr>
    <w:tblPr/>
  </w:style>
  <w:style w:type="character" w:styleId="1212">
    <w:name w:val="要点"/>
    <w:next w:val="1212"/>
    <w:link w:val="1140"/>
    <w:qFormat/>
    <w:rPr>
      <w:b/>
      <w:bCs/>
    </w:rPr>
  </w:style>
  <w:style w:type="character" w:styleId="1213">
    <w:name w:val="页码"/>
    <w:next w:val="1213"/>
    <w:link w:val="1140"/>
    <w:qFormat/>
  </w:style>
  <w:style w:type="character" w:styleId="1214">
    <w:name w:val="已访问的超链接"/>
    <w:basedOn w:val="1150"/>
    <w:next w:val="1214"/>
    <w:link w:val="1140"/>
    <w:qFormat/>
    <w:rPr>
      <w:color w:val="0066cc"/>
      <w:sz w:val="21"/>
      <w:szCs w:val="21"/>
      <w:u w:val="none"/>
    </w:rPr>
  </w:style>
  <w:style w:type="character" w:styleId="1215">
    <w:name w:val="强调"/>
    <w:next w:val="1215"/>
    <w:link w:val="1140"/>
    <w:qFormat/>
    <w:rPr>
      <w:color w:val="cc0033"/>
    </w:rPr>
  </w:style>
  <w:style w:type="character" w:styleId="1216">
    <w:name w:val="超链接"/>
    <w:basedOn w:val="1150"/>
    <w:next w:val="1216"/>
    <w:link w:val="1140"/>
    <w:uiPriority w:val="99"/>
    <w:qFormat/>
    <w:rPr>
      <w:color w:val="0066cc"/>
      <w:sz w:val="21"/>
      <w:szCs w:val="21"/>
      <w:u w:val="none"/>
    </w:rPr>
  </w:style>
  <w:style w:type="character" w:styleId="1217">
    <w:name w:val="批注引用"/>
    <w:next w:val="1217"/>
    <w:link w:val="1140"/>
    <w:uiPriority w:val="99"/>
    <w:qFormat/>
    <w:rPr>
      <w:sz w:val="21"/>
      <w:szCs w:val="21"/>
    </w:rPr>
  </w:style>
  <w:style w:type="character" w:styleId="1218">
    <w:name w:val="HTML 引文"/>
    <w:next w:val="1218"/>
    <w:link w:val="1140"/>
    <w:qFormat/>
    <w:rPr>
      <w:i/>
      <w:iCs/>
    </w:rPr>
  </w:style>
  <w:style w:type="character" w:styleId="1219">
    <w:name w:val="NormalCharacter1"/>
    <w:next w:val="1219"/>
    <w:link w:val="1140"/>
    <w:semiHidden/>
    <w:qFormat/>
    <w:rPr>
      <w:sz w:val="21"/>
      <w:szCs w:val="24"/>
      <w:lang w:val="en-US" w:eastAsia="zh-CN" w:bidi="ar-SA"/>
    </w:rPr>
  </w:style>
  <w:style w:type="character" w:styleId="1220">
    <w:name w:val="纯文本 Char1"/>
    <w:next w:val="1220"/>
    <w:link w:val="1140"/>
    <w:qFormat/>
    <w:rPr>
      <w:sz w:val="21"/>
      <w:szCs w:val="24"/>
      <w:lang w:val="en-US" w:eastAsia="zh-CN" w:bidi="ar-SA"/>
    </w:rPr>
  </w:style>
  <w:style w:type="paragraph" w:styleId="1221">
    <w:name w:val="Default"/>
    <w:next w:val="1221"/>
    <w:link w:val="1140"/>
    <w:qFormat/>
    <w:pPr>
      <w:widowControl w:val="off"/>
    </w:pPr>
    <w:rPr>
      <w:rFonts w:ascii="Symbol" w:hAnsi="Symbol" w:cs="Symbol"/>
      <w:color w:val="000000"/>
      <w:sz w:val="24"/>
      <w:szCs w:val="24"/>
      <w:lang w:val="en-US" w:eastAsia="zh-CN" w:bidi="ar-SA"/>
    </w:rPr>
  </w:style>
  <w:style w:type="paragraph" w:styleId="1222">
    <w:name w:val="正文（缩进）"/>
    <w:basedOn w:val="1140"/>
    <w:next w:val="1222"/>
    <w:link w:val="1140"/>
    <w:qFormat/>
    <w:pPr>
      <w:ind w:firstLine="480"/>
    </w:pPr>
  </w:style>
  <w:style w:type="character" w:styleId="1223">
    <w:name w:val="批注文字 字符"/>
    <w:next w:val="1223"/>
    <w:link w:val="1140"/>
    <w:uiPriority w:val="99"/>
    <w:qFormat/>
    <w:rPr>
      <w:rFonts w:ascii="Times New Roman" w:hAnsi="Times New Roman" w:eastAsia="宋体" w:cs="Times New Roman"/>
      <w:sz w:val="24"/>
      <w:lang w:val="en-US" w:eastAsia="zh-CN" w:bidi="ar-SA"/>
    </w:rPr>
  </w:style>
  <w:style w:type="character" w:styleId="1224">
    <w:name w:val="c21"/>
    <w:next w:val="1224"/>
    <w:link w:val="1140"/>
    <w:qFormat/>
    <w:rPr>
      <w:rFonts w:ascii="ˎ̥" w:hAnsi="ˎ̥"/>
      <w:color w:val="000000"/>
      <w:sz w:val="20"/>
      <w:szCs w:val="20"/>
      <w:u w:val="none"/>
    </w:rPr>
  </w:style>
  <w:style w:type="character" w:styleId="1225">
    <w:name w:val="title4"/>
    <w:next w:val="1225"/>
    <w:link w:val="1140"/>
    <w:qFormat/>
    <w:rPr>
      <w:b/>
      <w:bCs/>
      <w:color w:val="1d87b3"/>
      <w:sz w:val="15"/>
      <w:szCs w:val="15"/>
    </w:rPr>
  </w:style>
  <w:style w:type="character" w:styleId="1226">
    <w:name w:val="标题 2 Char Char"/>
    <w:next w:val="1226"/>
    <w:link w:val="1140"/>
    <w:qFormat/>
    <w:rPr>
      <w:rFonts w:ascii="Arial" w:hAnsi="Arial" w:eastAsia="黑体"/>
      <w:b/>
      <w:bCs/>
      <w:sz w:val="32"/>
      <w:szCs w:val="32"/>
      <w:lang w:val="en-US" w:eastAsia="zh-CN" w:bidi="ar-SA"/>
    </w:rPr>
  </w:style>
  <w:style w:type="character" w:styleId="1227">
    <w:name w:val="black1"/>
    <w:next w:val="1227"/>
    <w:link w:val="1140"/>
    <w:qFormat/>
    <w:rPr>
      <w:color w:val="000000"/>
    </w:rPr>
  </w:style>
  <w:style w:type="character" w:styleId="1228">
    <w:name w:val="street-address"/>
    <w:next w:val="1228"/>
    <w:link w:val="1140"/>
    <w:qFormat/>
  </w:style>
  <w:style w:type="character" w:styleId="1229">
    <w:name w:val="locality"/>
    <w:next w:val="1229"/>
    <w:link w:val="1140"/>
    <w:qFormat/>
  </w:style>
  <w:style w:type="character" w:styleId="1230">
    <w:name w:val="正文文本缩进 Char1"/>
    <w:next w:val="1230"/>
    <w:link w:val="1231"/>
    <w:qFormat/>
    <w:rPr>
      <w:rFonts w:ascii="宋体" w:hAnsi="宋体" w:eastAsia="宋体"/>
      <w:sz w:val="24"/>
      <w:szCs w:val="24"/>
      <w:lang w:bidi="ar-SA"/>
    </w:rPr>
  </w:style>
  <w:style w:type="paragraph" w:styleId="1231">
    <w:name w:val="正文文本缩进1"/>
    <w:basedOn w:val="1140"/>
    <w:next w:val="1231"/>
    <w:link w:val="1230"/>
    <w:qFormat/>
    <w:pPr>
      <w:ind w:firstLine="480"/>
      <w:spacing w:line="480" w:lineRule="exact"/>
    </w:pPr>
    <w:rPr>
      <w:rFonts w:ascii="宋体" w:hAnsi="宋体"/>
      <w:sz w:val="24"/>
    </w:rPr>
  </w:style>
  <w:style w:type="character" w:styleId="1232">
    <w:name w:val="Char Char11"/>
    <w:next w:val="1232"/>
    <w:link w:val="1140"/>
    <w:qFormat/>
    <w:rPr>
      <w:rFonts w:ascii="宋体" w:eastAsia="宋体"/>
      <w:b/>
      <w:sz w:val="24"/>
      <w:u w:val="single"/>
      <w:lang w:val="en-US" w:eastAsia="zh-CN" w:bidi="ar-SA"/>
    </w:rPr>
  </w:style>
  <w:style w:type="character" w:styleId="1233">
    <w:name w:val="txt"/>
    <w:next w:val="1233"/>
    <w:link w:val="1140"/>
    <w:qFormat/>
  </w:style>
  <w:style w:type="character" w:styleId="1234">
    <w:name w:val="正文缩进 Char Char"/>
    <w:next w:val="1234"/>
    <w:link w:val="1235"/>
    <w:qFormat/>
    <w:rPr>
      <w:rFonts w:ascii="宋体" w:eastAsia="宋体"/>
      <w:color w:val="000000"/>
      <w:sz w:val="28"/>
      <w:lang w:bidi="ar-SA"/>
    </w:rPr>
  </w:style>
  <w:style w:type="paragraph" w:styleId="1235">
    <w:name w:val="正文缩进1"/>
    <w:basedOn w:val="1140"/>
    <w:next w:val="1235"/>
    <w:link w:val="1234"/>
    <w:qFormat/>
    <w:pPr>
      <w:ind w:firstLine="567"/>
      <w:spacing w:line="480" w:lineRule="exact"/>
      <w:widowControl/>
    </w:pPr>
    <w:rPr>
      <w:rFonts w:ascii="宋体"/>
      <w:color w:val="000000"/>
      <w:sz w:val="28"/>
      <w:szCs w:val="20"/>
    </w:rPr>
  </w:style>
  <w:style w:type="character" w:styleId="1236">
    <w:name w:val="普通文字1 Char1"/>
    <w:next w:val="1236"/>
    <w:link w:val="1140"/>
    <w:qFormat/>
    <w:rPr>
      <w:rFonts w:ascii="宋体" w:hAnsi="Courier New" w:eastAsia="宋体"/>
      <w:sz w:val="21"/>
      <w:lang w:val="en-US" w:eastAsia="zh-CN" w:bidi="ar-SA"/>
    </w:rPr>
  </w:style>
  <w:style w:type="character" w:styleId="1237">
    <w:name w:val="chanpin1"/>
    <w:next w:val="1237"/>
    <w:link w:val="1140"/>
    <w:qFormat/>
    <w:rPr>
      <w:rFonts w:ascii="ˎ̥" w:hAnsi="ˎ̥"/>
      <w:color w:val="000000"/>
      <w:sz w:val="20"/>
      <w:szCs w:val="20"/>
      <w:u w:val="none"/>
    </w:rPr>
  </w:style>
  <w:style w:type="character" w:styleId="1238">
    <w:name w:val="列出段落 Char1"/>
    <w:next w:val="1238"/>
    <w:link w:val="1239"/>
    <w:uiPriority w:val="34"/>
    <w:qFormat/>
    <w:rPr>
      <w:rFonts w:ascii="Calibri" w:hAnsi="Calibri" w:eastAsia="宋体"/>
      <w:sz w:val="21"/>
      <w:szCs w:val="22"/>
      <w:lang w:val="en-US" w:eastAsia="zh-CN" w:bidi="ar-SA"/>
    </w:rPr>
  </w:style>
  <w:style w:type="paragraph" w:styleId="1239">
    <w:name w:val="列出段落"/>
    <w:basedOn w:val="1140"/>
    <w:next w:val="1239"/>
    <w:link w:val="1238"/>
    <w:uiPriority w:val="34"/>
    <w:qFormat/>
    <w:pPr>
      <w:ind w:firstLine="420"/>
    </w:pPr>
    <w:rPr>
      <w:rFonts w:ascii="Calibri" w:hAnsi="Calibri"/>
      <w:szCs w:val="22"/>
    </w:rPr>
  </w:style>
  <w:style w:type="character" w:styleId="1240">
    <w:name w:val="标题 3 Char Char"/>
    <w:next w:val="1240"/>
    <w:link w:val="1140"/>
    <w:qFormat/>
    <w:rPr>
      <w:rFonts w:eastAsia="宋体"/>
      <w:b/>
      <w:bCs/>
      <w:sz w:val="32"/>
      <w:szCs w:val="32"/>
      <w:lang w:val="en-US" w:eastAsia="zh-CN" w:bidi="ar-SA"/>
    </w:rPr>
  </w:style>
  <w:style w:type="character" w:styleId="1241">
    <w:name w:val="段1 Char"/>
    <w:next w:val="1241"/>
    <w:link w:val="1140"/>
    <w:qFormat/>
    <w:rPr>
      <w:rFonts w:ascii="宋体" w:eastAsia="宋体"/>
      <w:sz w:val="24"/>
      <w:lang w:val="en-US" w:eastAsia="zh-CN" w:bidi="ar-SA"/>
    </w:rPr>
  </w:style>
  <w:style w:type="character" w:styleId="1242">
    <w:name w:val="chanpin拷贝"/>
    <w:next w:val="1242"/>
    <w:link w:val="1140"/>
    <w:qFormat/>
  </w:style>
  <w:style w:type="character" w:styleId="1243">
    <w:name w:val="apple-style-span"/>
    <w:next w:val="1243"/>
    <w:link w:val="1140"/>
    <w:qFormat/>
    <w:rPr>
      <w:rFonts w:cs="Times New Roman"/>
    </w:rPr>
  </w:style>
  <w:style w:type="paragraph" w:styleId="1244">
    <w:name w:val="二级条标题"/>
    <w:basedOn w:val="1245"/>
    <w:next w:val="1140"/>
    <w:link w:val="1140"/>
    <w:qFormat/>
    <w:pPr>
      <w:numPr>
        <w:ilvl w:val="0"/>
        <w:numId w:val="0"/>
      </w:numPr>
      <w:ind w:hanging="840"/>
      <w:tabs>
        <w:tab w:val="left" w:pos="360" w:leader="none"/>
        <w:tab w:val="left" w:pos="840" w:leader="none"/>
      </w:tabs>
      <w:outlineLvl w:val="2"/>
    </w:pPr>
    <w:rPr>
      <w:rFonts w:ascii="宋体" w:eastAsia="宋体"/>
      <w:b w:val="0"/>
    </w:rPr>
  </w:style>
  <w:style w:type="paragraph" w:styleId="1245">
    <w:name w:val="一级条标题"/>
    <w:basedOn w:val="1246"/>
    <w:next w:val="1140"/>
    <w:link w:val="1140"/>
    <w:qFormat/>
    <w:pPr>
      <w:numPr>
        <w:ilvl w:val="1"/>
      </w:numPr>
      <w:ind w:left="0" w:hanging="840"/>
      <w:tabs>
        <w:tab w:val="left" w:pos="360" w:leader="none"/>
        <w:tab w:val="left" w:pos="840" w:leader="none"/>
      </w:tabs>
      <w:outlineLvl w:val="1"/>
    </w:pPr>
  </w:style>
  <w:style w:type="paragraph" w:styleId="1246">
    <w:name w:val="章标题"/>
    <w:next w:val="1140"/>
    <w:link w:val="114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47">
    <w:name w:val="font7"/>
    <w:basedOn w:val="1140"/>
    <w:next w:val="1247"/>
    <w:link w:val="1140"/>
    <w:qFormat/>
    <w:pPr>
      <w:jc w:val="left"/>
      <w:spacing w:before="100" w:beforeAutospacing="1" w:after="100" w:afterAutospacing="1"/>
      <w:widowControl/>
    </w:pPr>
    <w:rPr>
      <w:rFonts w:eastAsia="Arial Unicode MS"/>
      <w:b/>
      <w:bCs/>
      <w:color w:val="000000"/>
      <w:sz w:val="20"/>
      <w:szCs w:val="20"/>
    </w:rPr>
  </w:style>
  <w:style w:type="paragraph" w:styleId="1248">
    <w:name w:val="字元 字元"/>
    <w:basedOn w:val="1140"/>
    <w:next w:val="1248"/>
    <w:link w:val="1140"/>
    <w:qFormat/>
    <w:rPr>
      <w:rFonts w:ascii="Tahoma" w:hAnsi="Tahoma"/>
      <w:sz w:val="24"/>
      <w:szCs w:val="20"/>
    </w:rPr>
  </w:style>
  <w:style w:type="paragraph" w:styleId="1249">
    <w:name w:val="Char3 Char Char Char"/>
    <w:basedOn w:val="1140"/>
    <w:next w:val="1249"/>
    <w:link w:val="1140"/>
    <w:qFormat/>
    <w:rPr>
      <w:rFonts w:ascii="Tahoma" w:hAnsi="Tahoma"/>
      <w:sz w:val="24"/>
      <w:szCs w:val="20"/>
    </w:rPr>
  </w:style>
  <w:style w:type="paragraph" w:styleId="1250">
    <w:name w:val="font6"/>
    <w:basedOn w:val="1140"/>
    <w:next w:val="1250"/>
    <w:link w:val="1140"/>
    <w:qFormat/>
    <w:pPr>
      <w:jc w:val="left"/>
      <w:spacing w:before="100" w:beforeAutospacing="1" w:after="100" w:afterAutospacing="1"/>
      <w:widowControl/>
    </w:pPr>
    <w:rPr>
      <w:rFonts w:ascii="宋体" w:hAnsi="宋体" w:cs="宋体"/>
      <w:sz w:val="20"/>
      <w:szCs w:val="20"/>
    </w:rPr>
  </w:style>
  <w:style w:type="paragraph" w:styleId="1251">
    <w:name w:val="项目编号2"/>
    <w:basedOn w:val="1252"/>
    <w:next w:val="1251"/>
    <w:link w:val="1140"/>
    <w:qFormat/>
    <w:pPr>
      <w:numPr>
        <w:numId w:val="3"/>
      </w:numPr>
    </w:pPr>
  </w:style>
  <w:style w:type="paragraph" w:styleId="1252">
    <w:name w:val="项目编号1"/>
    <w:basedOn w:val="1140"/>
    <w:next w:val="1252"/>
    <w:link w:val="1140"/>
    <w:qFormat/>
    <w:pPr>
      <w:numPr>
        <w:ilvl w:val="0"/>
        <w:numId w:val="2"/>
      </w:numPr>
      <w:spacing w:before="100" w:beforeAutospacing="1" w:after="100" w:afterAutospacing="1" w:line="360" w:lineRule="auto"/>
    </w:pPr>
    <w:rPr>
      <w:sz w:val="24"/>
    </w:rPr>
  </w:style>
  <w:style w:type="paragraph" w:styleId="1253">
    <w:name w:val="图中文字"/>
    <w:basedOn w:val="1140"/>
    <w:next w:val="1253"/>
    <w:link w:val="1140"/>
    <w:qFormat/>
    <w:pPr>
      <w:jc w:val="center"/>
      <w:spacing w:line="0" w:lineRule="atLeast"/>
    </w:pPr>
    <w:rPr>
      <w:sz w:val="24"/>
      <w:szCs w:val="20"/>
    </w:rPr>
  </w:style>
  <w:style w:type="paragraph" w:styleId="1254">
    <w:name w:val="xl46"/>
    <w:basedOn w:val="1140"/>
    <w:next w:val="1254"/>
    <w:link w:val="114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5">
    <w:name w:val="xl25"/>
    <w:basedOn w:val="1140"/>
    <w:next w:val="1255"/>
    <w:link w:val="11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6">
    <w:name w:val="Char2"/>
    <w:basedOn w:val="1140"/>
    <w:next w:val="1256"/>
    <w:link w:val="1140"/>
    <w:qFormat/>
    <w:rPr>
      <w:rFonts w:ascii="Tahoma" w:hAnsi="Tahoma"/>
      <w:sz w:val="24"/>
      <w:szCs w:val="20"/>
    </w:rPr>
  </w:style>
  <w:style w:type="paragraph" w:styleId="1257">
    <w:name w:val="xl35"/>
    <w:basedOn w:val="1140"/>
    <w:next w:val="1257"/>
    <w:link w:val="11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8">
    <w:name w:val="xl40"/>
    <w:basedOn w:val="1140"/>
    <w:next w:val="1258"/>
    <w:link w:val="11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9">
    <w:name w:val="xl52"/>
    <w:basedOn w:val="1140"/>
    <w:next w:val="1259"/>
    <w:link w:val="11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0">
    <w:name w:val="xl43"/>
    <w:basedOn w:val="1140"/>
    <w:next w:val="1260"/>
    <w:link w:val="11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1">
    <w:name w:val="background1"/>
    <w:basedOn w:val="1140"/>
    <w:next w:val="1261"/>
    <w:link w:val="1140"/>
    <w:qFormat/>
    <w:pPr>
      <w:jc w:val="left"/>
      <w:spacing w:before="100" w:beforeAutospacing="1" w:after="100" w:afterAutospacing="1"/>
      <w:widowControl/>
    </w:pPr>
    <w:rPr>
      <w:rFonts w:ascii="宋体" w:hAnsi="宋体" w:cs="宋体"/>
      <w:sz w:val="24"/>
    </w:rPr>
  </w:style>
  <w:style w:type="paragraph" w:styleId="1262">
    <w:name w:val="Char Char Char Char Char Char Char"/>
    <w:basedOn w:val="1140"/>
    <w:next w:val="1262"/>
    <w:link w:val="1140"/>
    <w:qFormat/>
    <w:pPr>
      <w:ind w:firstLine="200"/>
      <w:spacing w:line="360" w:lineRule="auto"/>
    </w:pPr>
    <w:rPr>
      <w:rFonts w:eastAsia="仿宋_GB2312"/>
      <w:sz w:val="24"/>
    </w:rPr>
  </w:style>
  <w:style w:type="paragraph" w:styleId="1263">
    <w:name w:val="xl38"/>
    <w:basedOn w:val="1140"/>
    <w:next w:val="1263"/>
    <w:link w:val="11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4">
    <w:name w:val="xl36"/>
    <w:basedOn w:val="1140"/>
    <w:next w:val="1264"/>
    <w:link w:val="114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5">
    <w:name w:val="正文 + 宋体"/>
    <w:basedOn w:val="1140"/>
    <w:next w:val="1265"/>
    <w:link w:val="1140"/>
    <w:qFormat/>
    <w:pPr>
      <w:ind w:left="360" w:hanging="360"/>
      <w:jc w:val="left"/>
      <w:widowControl/>
    </w:pPr>
    <w:rPr>
      <w:rFonts w:ascii="宋体" w:hAnsi="宋体" w:cs="宋体"/>
      <w:b/>
      <w:bCs/>
      <w:color w:val="000000"/>
      <w:sz w:val="18"/>
      <w:szCs w:val="18"/>
    </w:rPr>
  </w:style>
  <w:style w:type="paragraph" w:styleId="1266">
    <w:name w:val="正文列项_数字"/>
    <w:basedOn w:val="1140"/>
    <w:next w:val="1266"/>
    <w:link w:val="1140"/>
    <w:qFormat/>
    <w:pPr>
      <w:numPr>
        <w:ilvl w:val="7"/>
        <w:numId w:val="1"/>
      </w:numPr>
      <w:ind w:left="680" w:hanging="150"/>
      <w:spacing w:line="460" w:lineRule="exact"/>
      <w:tabs>
        <w:tab w:val="clear" w:pos="860" w:leader="none"/>
      </w:tabs>
      <w:outlineLvl w:val="7"/>
    </w:pPr>
    <w:rPr>
      <w:rFonts w:ascii="宋体"/>
      <w:sz w:val="28"/>
      <w:szCs w:val="20"/>
    </w:rPr>
  </w:style>
  <w:style w:type="paragraph" w:styleId="1267">
    <w:name w:val="xl39"/>
    <w:basedOn w:val="1140"/>
    <w:next w:val="1267"/>
    <w:link w:val="11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8">
    <w:name w:val="xl37"/>
    <w:basedOn w:val="1140"/>
    <w:next w:val="1268"/>
    <w:link w:val="11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9">
    <w:name w:val="xl32"/>
    <w:basedOn w:val="1140"/>
    <w:next w:val="1269"/>
    <w:link w:val="11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0">
    <w:name w:val="font8"/>
    <w:basedOn w:val="1140"/>
    <w:next w:val="1270"/>
    <w:link w:val="1140"/>
    <w:qFormat/>
    <w:pPr>
      <w:jc w:val="left"/>
      <w:spacing w:before="100" w:beforeAutospacing="1" w:after="100" w:afterAutospacing="1"/>
      <w:widowControl/>
    </w:pPr>
    <w:rPr>
      <w:sz w:val="36"/>
      <w:szCs w:val="36"/>
    </w:rPr>
  </w:style>
  <w:style w:type="paragraph" w:styleId="1271">
    <w:name w:val="Char"/>
    <w:basedOn w:val="1140"/>
    <w:next w:val="1271"/>
    <w:link w:val="1140"/>
    <w:qFormat/>
    <w:pPr>
      <w:tabs>
        <w:tab w:val="left" w:pos="360" w:leader="none"/>
      </w:tabs>
    </w:pPr>
    <w:rPr>
      <w:sz w:val="24"/>
    </w:rPr>
  </w:style>
  <w:style w:type="paragraph" w:styleId="1272">
    <w:name w:val="Char Char Char Char Char Char Char Char Char Char Char Char Char Char Char Char"/>
    <w:basedOn w:val="1140"/>
    <w:next w:val="1272"/>
    <w:link w:val="1140"/>
    <w:qFormat/>
    <w:pPr>
      <w:jc w:val="center"/>
      <w:spacing w:after="160" w:line="240" w:lineRule="exact"/>
      <w:widowControl/>
    </w:pPr>
    <w:rPr>
      <w:rFonts w:ascii="宋体" w:hAnsi="宋体"/>
      <w:b/>
      <w:sz w:val="30"/>
      <w:szCs w:val="30"/>
      <w:lang w:eastAsia="en-US"/>
    </w:rPr>
  </w:style>
  <w:style w:type="paragraph" w:styleId="1273">
    <w:name w:val="xl45"/>
    <w:basedOn w:val="1140"/>
    <w:next w:val="1273"/>
    <w:link w:val="11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4">
    <w:name w:val="Char Char1 Char Char Char Char Char Char"/>
    <w:basedOn w:val="1140"/>
    <w:next w:val="1274"/>
    <w:link w:val="1140"/>
    <w:qFormat/>
    <w:pPr>
      <w:jc w:val="left"/>
      <w:spacing w:after="160" w:line="240" w:lineRule="exact"/>
      <w:widowControl/>
    </w:pPr>
    <w:rPr>
      <w:rFonts w:ascii="Verdana" w:hAnsi="Verdana" w:eastAsia="仿宋_GB2312"/>
      <w:sz w:val="24"/>
      <w:szCs w:val="20"/>
      <w:lang w:eastAsia="en-US"/>
    </w:rPr>
  </w:style>
  <w:style w:type="paragraph" w:styleId="1275">
    <w:name w:val="Char Char1"/>
    <w:basedOn w:val="1165"/>
    <w:next w:val="1275"/>
    <w:link w:val="1140"/>
    <w:qFormat/>
    <w:rPr>
      <w:rFonts w:ascii="Tahoma" w:hAnsi="Tahoma"/>
      <w:sz w:val="24"/>
    </w:rPr>
  </w:style>
  <w:style w:type="paragraph" w:styleId="1276">
    <w:name w:val="xl26"/>
    <w:basedOn w:val="1140"/>
    <w:next w:val="1276"/>
    <w:link w:val="11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77">
    <w:name w:val="xl30"/>
    <w:basedOn w:val="1140"/>
    <w:next w:val="1277"/>
    <w:link w:val="11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8">
    <w:name w:val="xl41"/>
    <w:basedOn w:val="1140"/>
    <w:next w:val="1278"/>
    <w:link w:val="114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9">
    <w:name w:val="样式 宋体 五号 行距: 单倍行距"/>
    <w:basedOn w:val="1140"/>
    <w:next w:val="1279"/>
    <w:link w:val="1140"/>
    <w:qFormat/>
    <w:pPr>
      <w:jc w:val="left"/>
    </w:pPr>
    <w:rPr>
      <w:rFonts w:ascii="宋体" w:hAnsi="宋体"/>
      <w:szCs w:val="20"/>
    </w:rPr>
  </w:style>
  <w:style w:type="paragraph" w:styleId="1280">
    <w:name w:val="Char1 Char Char Char1"/>
    <w:basedOn w:val="1140"/>
    <w:next w:val="1280"/>
    <w:link w:val="1140"/>
    <w:qFormat/>
    <w:rPr>
      <w:rFonts w:ascii="Tahoma" w:hAnsi="Tahoma" w:cs="仿宋_GB2312"/>
      <w:sz w:val="24"/>
      <w:szCs w:val="28"/>
    </w:rPr>
  </w:style>
  <w:style w:type="paragraph" w:styleId="1281">
    <w:name w:val="四级条标题"/>
    <w:basedOn w:val="1282"/>
    <w:next w:val="1140"/>
    <w:link w:val="1140"/>
    <w:qFormat/>
    <w:pPr>
      <w:numPr>
        <w:ilvl w:val="4"/>
      </w:numPr>
      <w:ind w:left="0" w:hanging="840"/>
      <w:tabs>
        <w:tab w:val="left" w:pos="360" w:leader="none"/>
        <w:tab w:val="left" w:pos="840" w:leader="none"/>
      </w:tabs>
      <w:outlineLvl w:val="4"/>
    </w:pPr>
  </w:style>
  <w:style w:type="paragraph" w:styleId="1282">
    <w:name w:val="三级条标题"/>
    <w:basedOn w:val="1244"/>
    <w:next w:val="1140"/>
    <w:link w:val="1140"/>
    <w:qFormat/>
    <w:pPr>
      <w:numPr>
        <w:ilvl w:val="3"/>
        <w:numId w:val="1"/>
      </w:numPr>
      <w:ind w:left="0" w:hanging="840"/>
      <w:tabs>
        <w:tab w:val="left" w:pos="360" w:leader="none"/>
        <w:tab w:val="left" w:pos="840" w:leader="none"/>
      </w:tabs>
      <w:outlineLvl w:val="3"/>
    </w:pPr>
  </w:style>
  <w:style w:type="paragraph" w:styleId="1283">
    <w:name w:val="??"/>
    <w:next w:val="1283"/>
    <w:link w:val="1140"/>
    <w:qFormat/>
    <w:pPr>
      <w:jc w:val="both"/>
      <w:widowControl w:val="off"/>
    </w:pPr>
    <w:rPr>
      <w:sz w:val="21"/>
      <w:lang w:val="en-US" w:eastAsia="en-US" w:bidi="ar-SA"/>
    </w:rPr>
  </w:style>
  <w:style w:type="paragraph" w:styleId="1284">
    <w:name w:val="样式 标题 2 + 宋体 五号 行距: 单倍行距"/>
    <w:basedOn w:val="1142"/>
    <w:next w:val="1284"/>
    <w:link w:val="114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85">
    <w:name w:val="List Paragraph1"/>
    <w:basedOn w:val="1140"/>
    <w:next w:val="1285"/>
    <w:link w:val="1140"/>
    <w:qFormat/>
    <w:pPr>
      <w:ind w:firstLine="420"/>
    </w:pPr>
    <w:rPr>
      <w:rFonts w:ascii="Calibri" w:hAnsi="Calibri"/>
      <w:szCs w:val="22"/>
    </w:rPr>
  </w:style>
  <w:style w:type="paragraph" w:styleId="1286">
    <w:name w:val="项目符号1"/>
    <w:basedOn w:val="1287"/>
    <w:next w:val="1286"/>
    <w:link w:val="1140"/>
    <w:qFormat/>
    <w:pPr>
      <w:ind w:left="-25" w:firstLine="0"/>
    </w:pPr>
  </w:style>
  <w:style w:type="paragraph" w:styleId="1287">
    <w:name w:val="正文文本样式"/>
    <w:basedOn w:val="1140"/>
    <w:next w:val="1287"/>
    <w:link w:val="1140"/>
    <w:qFormat/>
    <w:pPr>
      <w:ind w:firstLine="482"/>
      <w:spacing w:line="360" w:lineRule="auto"/>
    </w:pPr>
    <w:rPr>
      <w:rFonts w:cs="宋体"/>
      <w:sz w:val="24"/>
      <w:szCs w:val="20"/>
    </w:rPr>
  </w:style>
  <w:style w:type="paragraph" w:styleId="1288">
    <w:name w:val="xl27"/>
    <w:basedOn w:val="1140"/>
    <w:next w:val="1288"/>
    <w:link w:val="11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9">
    <w:name w:val="font5"/>
    <w:basedOn w:val="1140"/>
    <w:next w:val="1289"/>
    <w:link w:val="1140"/>
    <w:qFormat/>
    <w:pPr>
      <w:jc w:val="left"/>
      <w:spacing w:before="100" w:beforeAutospacing="1" w:after="100" w:afterAutospacing="1"/>
      <w:widowControl/>
    </w:pPr>
    <w:rPr>
      <w:rFonts w:ascii="宋体" w:hAnsi="宋体" w:cs="宋体"/>
      <w:sz w:val="18"/>
      <w:szCs w:val="18"/>
    </w:rPr>
  </w:style>
  <w:style w:type="paragraph" w:styleId="1290">
    <w:name w:val="五级条标题"/>
    <w:basedOn w:val="1281"/>
    <w:next w:val="1140"/>
    <w:link w:val="1140"/>
    <w:qFormat/>
    <w:pPr>
      <w:numPr>
        <w:ilvl w:val="5"/>
      </w:numPr>
      <w:ind w:left="0" w:hanging="840"/>
      <w:tabs>
        <w:tab w:val="left" w:pos="360" w:leader="none"/>
        <w:tab w:val="left" w:pos="840" w:leader="none"/>
      </w:tabs>
      <w:outlineLvl w:val="5"/>
    </w:pPr>
  </w:style>
  <w:style w:type="paragraph" w:styleId="1291">
    <w:name w:val="xl49"/>
    <w:basedOn w:val="1140"/>
    <w:next w:val="1291"/>
    <w:link w:val="11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2">
    <w:name w:val="文档正文"/>
    <w:basedOn w:val="1140"/>
    <w:next w:val="1292"/>
    <w:link w:val="1140"/>
    <w:qFormat/>
    <w:pPr>
      <w:spacing w:before="120" w:after="120" w:line="180" w:lineRule="auto"/>
    </w:pPr>
    <w:rPr>
      <w:rFonts w:ascii="Arial" w:hAnsi="Arial"/>
      <w:szCs w:val="20"/>
    </w:rPr>
  </w:style>
  <w:style w:type="paragraph" w:styleId="1293">
    <w:name w:val="xl33"/>
    <w:basedOn w:val="1140"/>
    <w:next w:val="1293"/>
    <w:link w:val="11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4">
    <w:name w:val="xl42"/>
    <w:basedOn w:val="1140"/>
    <w:next w:val="1294"/>
    <w:link w:val="11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95">
    <w:name w:val="Char Char Char1 Char"/>
    <w:basedOn w:val="1140"/>
    <w:next w:val="1295"/>
    <w:link w:val="1140"/>
    <w:qFormat/>
    <w:rPr>
      <w:rFonts w:ascii="Tahoma" w:hAnsi="Tahoma"/>
      <w:sz w:val="24"/>
      <w:szCs w:val="20"/>
    </w:rPr>
  </w:style>
  <w:style w:type="paragraph" w:styleId="1296">
    <w:name w:val="xl44"/>
    <w:basedOn w:val="1140"/>
    <w:next w:val="1296"/>
    <w:link w:val="11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7">
    <w:name w:val="1名"/>
    <w:basedOn w:val="1140"/>
    <w:next w:val="1297"/>
    <w:link w:val="1140"/>
    <w:qFormat/>
    <w:pPr>
      <w:numPr>
        <w:ilvl w:val="0"/>
        <w:numId w:val="5"/>
      </w:numPr>
      <w:spacing w:before="120"/>
      <w:tabs>
        <w:tab w:val="left" w:pos="360" w:leader="none"/>
      </w:tabs>
    </w:pPr>
    <w:rPr>
      <w:rFonts w:ascii="宋体"/>
      <w:sz w:val="28"/>
      <w:szCs w:val="20"/>
    </w:rPr>
  </w:style>
  <w:style w:type="paragraph" w:styleId="1298">
    <w:name w:val="font9"/>
    <w:basedOn w:val="1140"/>
    <w:next w:val="1298"/>
    <w:link w:val="1140"/>
    <w:qFormat/>
    <w:pPr>
      <w:jc w:val="left"/>
      <w:spacing w:before="100" w:beforeAutospacing="1" w:after="100" w:afterAutospacing="1"/>
      <w:widowControl/>
    </w:pPr>
    <w:rPr>
      <w:rFonts w:hint="eastAsia" w:ascii="宋体" w:hAnsi="宋体" w:cs="Arial Unicode MS"/>
      <w:color w:val="000000"/>
      <w:sz w:val="20"/>
      <w:szCs w:val="20"/>
    </w:rPr>
  </w:style>
  <w:style w:type="paragraph" w:styleId="1299">
    <w:name w:val="Char Char Char1 Char1"/>
    <w:basedOn w:val="1140"/>
    <w:next w:val="1299"/>
    <w:link w:val="1140"/>
    <w:qFormat/>
    <w:rPr>
      <w:rFonts w:ascii="Tahoma" w:hAnsi="Tahoma"/>
      <w:sz w:val="24"/>
      <w:szCs w:val="20"/>
    </w:rPr>
  </w:style>
  <w:style w:type="paragraph" w:styleId="1300">
    <w:name w:val="Char Char Char Char Char Char Char Char Char Char"/>
    <w:basedOn w:val="1140"/>
    <w:next w:val="1300"/>
    <w:link w:val="1140"/>
    <w:qFormat/>
  </w:style>
  <w:style w:type="paragraph" w:styleId="1301">
    <w:name w:val="Char Char1 Char Char Char Char Char Char Char Char"/>
    <w:basedOn w:val="1140"/>
    <w:next w:val="1301"/>
    <w:link w:val="1140"/>
    <w:qFormat/>
    <w:pPr>
      <w:jc w:val="left"/>
      <w:spacing w:after="160" w:line="240" w:lineRule="exact"/>
      <w:widowControl/>
    </w:pPr>
    <w:rPr>
      <w:rFonts w:ascii="Verdana" w:hAnsi="Verdana"/>
      <w:sz w:val="20"/>
      <w:szCs w:val="20"/>
      <w:lang w:eastAsia="en-US"/>
    </w:rPr>
  </w:style>
  <w:style w:type="paragraph" w:styleId="1302">
    <w:name w:val="Char1"/>
    <w:basedOn w:val="1140"/>
    <w:next w:val="1302"/>
    <w:link w:val="1140"/>
    <w:qFormat/>
    <w:pPr>
      <w:tabs>
        <w:tab w:val="left" w:pos="360" w:leader="none"/>
      </w:tabs>
    </w:pPr>
    <w:rPr>
      <w:sz w:val="24"/>
    </w:rPr>
  </w:style>
  <w:style w:type="paragraph" w:styleId="1303">
    <w:name w:val="正文列项_字母"/>
    <w:basedOn w:val="1140"/>
    <w:next w:val="1303"/>
    <w:link w:val="1140"/>
    <w:qFormat/>
    <w:pPr>
      <w:numPr>
        <w:ilvl w:val="6"/>
        <w:numId w:val="1"/>
      </w:numPr>
      <w:ind w:left="480" w:hanging="180"/>
      <w:spacing w:line="460" w:lineRule="exact"/>
      <w:tabs>
        <w:tab w:val="clear" w:pos="635" w:leader="none"/>
      </w:tabs>
      <w:outlineLvl w:val="6"/>
    </w:pPr>
    <w:rPr>
      <w:rFonts w:ascii="宋体"/>
      <w:sz w:val="28"/>
      <w:szCs w:val="20"/>
    </w:rPr>
  </w:style>
  <w:style w:type="paragraph" w:styleId="1304">
    <w:name w:val="xl28"/>
    <w:basedOn w:val="1140"/>
    <w:next w:val="1304"/>
    <w:link w:val="11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5">
    <w:name w:val="xl47"/>
    <w:basedOn w:val="1140"/>
    <w:next w:val="1305"/>
    <w:link w:val="11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6">
    <w:name w:val="默认段落字体 Para Char Char Char Char"/>
    <w:basedOn w:val="1140"/>
    <w:next w:val="1306"/>
    <w:link w:val="1140"/>
    <w:qFormat/>
    <w:rPr>
      <w:rFonts w:ascii="Arial" w:hAnsi="Arial" w:cs="Arial"/>
      <w:szCs w:val="21"/>
    </w:rPr>
  </w:style>
  <w:style w:type="paragraph" w:styleId="1307">
    <w:name w:val="xl48"/>
    <w:basedOn w:val="1140"/>
    <w:next w:val="1307"/>
    <w:link w:val="11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8">
    <w:name w:val="xl31"/>
    <w:basedOn w:val="1140"/>
    <w:next w:val="1308"/>
    <w:link w:val="11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9">
    <w:name w:val="xl53"/>
    <w:basedOn w:val="1140"/>
    <w:next w:val="1309"/>
    <w:link w:val="11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0">
    <w:name w:val="Char Char Char"/>
    <w:basedOn w:val="1140"/>
    <w:next w:val="1310"/>
    <w:link w:val="1140"/>
    <w:qFormat/>
    <w:rPr>
      <w:rFonts w:ascii="Tahoma" w:hAnsi="Tahoma"/>
      <w:sz w:val="24"/>
      <w:szCs w:val="20"/>
    </w:rPr>
  </w:style>
  <w:style w:type="paragraph" w:styleId="1311">
    <w:name w:val="xl50"/>
    <w:basedOn w:val="1140"/>
    <w:next w:val="1311"/>
    <w:link w:val="11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2">
    <w:name w:val="缺省文本"/>
    <w:basedOn w:val="1140"/>
    <w:next w:val="1312"/>
    <w:link w:val="1140"/>
    <w:qFormat/>
    <w:pPr>
      <w:jc w:val="left"/>
    </w:pPr>
    <w:rPr>
      <w:sz w:val="24"/>
    </w:rPr>
  </w:style>
  <w:style w:type="paragraph" w:styleId="1313">
    <w:name w:val="Char Char Char1"/>
    <w:basedOn w:val="1140"/>
    <w:next w:val="1313"/>
    <w:link w:val="1140"/>
    <w:qFormat/>
    <w:rPr>
      <w:rFonts w:ascii="Tahoma" w:hAnsi="Tahoma"/>
      <w:sz w:val="24"/>
      <w:szCs w:val="20"/>
    </w:rPr>
  </w:style>
  <w:style w:type="paragraph" w:styleId="1314">
    <w:name w:val="Char Char Char Char Char Char Char1"/>
    <w:basedOn w:val="1140"/>
    <w:next w:val="1314"/>
    <w:link w:val="1140"/>
    <w:qFormat/>
    <w:pPr>
      <w:ind w:firstLine="200"/>
      <w:spacing w:line="360" w:lineRule="auto"/>
    </w:pPr>
    <w:rPr>
      <w:rFonts w:eastAsia="仿宋_GB2312"/>
      <w:sz w:val="24"/>
    </w:rPr>
  </w:style>
  <w:style w:type="paragraph" w:styleId="1315">
    <w:name w:val="xl51"/>
    <w:basedOn w:val="1140"/>
    <w:next w:val="1315"/>
    <w:link w:val="11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6">
    <w:name w:val="样式2"/>
    <w:basedOn w:val="1203"/>
    <w:next w:val="1316"/>
    <w:link w:val="1140"/>
    <w:qFormat/>
    <w:pPr>
      <w:jc w:val="center"/>
      <w:spacing w:line="360" w:lineRule="auto"/>
    </w:pPr>
    <w:rPr>
      <w:sz w:val="24"/>
    </w:rPr>
  </w:style>
  <w:style w:type="paragraph" w:styleId="1317">
    <w:name w:val="xl24"/>
    <w:basedOn w:val="1140"/>
    <w:next w:val="1317"/>
    <w:link w:val="11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8">
    <w:name w:val="xl29"/>
    <w:basedOn w:val="1140"/>
    <w:next w:val="1318"/>
    <w:link w:val="11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9">
    <w:name w:val="正文 + 楷体_GB2312"/>
    <w:basedOn w:val="1140"/>
    <w:next w:val="1319"/>
    <w:link w:val="1140"/>
    <w:qFormat/>
    <w:pPr>
      <w:jc w:val="left"/>
      <w:widowControl/>
    </w:pPr>
    <w:rPr>
      <w:rFonts w:ascii="楷体_GB2312" w:eastAsia="楷体_GB2312" w:cs="Arial"/>
      <w:sz w:val="24"/>
    </w:rPr>
  </w:style>
  <w:style w:type="paragraph" w:styleId="1320">
    <w:name w:val="xl34"/>
    <w:basedOn w:val="1140"/>
    <w:next w:val="1320"/>
    <w:link w:val="11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1">
    <w:name w:val="1 Char Char Char Char"/>
    <w:basedOn w:val="1140"/>
    <w:next w:val="1321"/>
    <w:link w:val="1140"/>
    <w:qFormat/>
    <w:rPr>
      <w:rFonts w:ascii="Tahoma" w:hAnsi="Tahoma"/>
      <w:sz w:val="24"/>
      <w:szCs w:val="20"/>
    </w:rPr>
  </w:style>
  <w:style w:type="paragraph" w:styleId="1322">
    <w:name w:val="列出段落1"/>
    <w:basedOn w:val="1140"/>
    <w:next w:val="1322"/>
    <w:link w:val="1140"/>
    <w:qFormat/>
    <w:pPr>
      <w:ind w:firstLine="420"/>
    </w:pPr>
    <w:rPr>
      <w:rFonts w:ascii="Calibri" w:hAnsi="Calibri"/>
      <w:szCs w:val="22"/>
    </w:rPr>
  </w:style>
  <w:style w:type="paragraph" w:styleId="1323">
    <w:name w:val="default"/>
    <w:basedOn w:val="1140"/>
    <w:next w:val="1323"/>
    <w:link w:val="1140"/>
    <w:qFormat/>
    <w:pPr>
      <w:jc w:val="left"/>
      <w:spacing w:before="100" w:beforeAutospacing="1" w:after="100" w:afterAutospacing="1"/>
      <w:widowControl/>
    </w:pPr>
    <w:rPr>
      <w:rFonts w:ascii="宋体" w:hAnsi="宋体" w:cs="宋体"/>
      <w:sz w:val="24"/>
    </w:rPr>
  </w:style>
  <w:style w:type="paragraph" w:styleId="1324">
    <w:name w:val="字元 字元1"/>
    <w:basedOn w:val="1140"/>
    <w:next w:val="1324"/>
    <w:link w:val="1140"/>
    <w:qFormat/>
    <w:rPr>
      <w:rFonts w:ascii="Tahoma" w:hAnsi="Tahoma"/>
      <w:sz w:val="24"/>
      <w:szCs w:val="20"/>
    </w:rPr>
  </w:style>
  <w:style w:type="paragraph" w:styleId="1325">
    <w:name w:val="_Style 160"/>
    <w:next w:val="1325"/>
    <w:link w:val="1140"/>
    <w:qFormat/>
    <w:rPr>
      <w:sz w:val="21"/>
      <w:szCs w:val="24"/>
      <w:lang w:val="en-US" w:eastAsia="zh-CN" w:bidi="ar-SA"/>
    </w:rPr>
  </w:style>
  <w:style w:type="paragraph" w:styleId="1326">
    <w:name w:val="项目编号3"/>
    <w:basedOn w:val="1287"/>
    <w:next w:val="1326"/>
    <w:link w:val="1140"/>
    <w:qFormat/>
    <w:pPr>
      <w:numPr>
        <w:ilvl w:val="0"/>
        <w:numId w:val="6"/>
      </w:numPr>
    </w:pPr>
  </w:style>
  <w:style w:type="paragraph" w:styleId="1327">
    <w:name w:val="Char21"/>
    <w:basedOn w:val="1140"/>
    <w:next w:val="1327"/>
    <w:link w:val="1140"/>
    <w:qFormat/>
    <w:rPr>
      <w:rFonts w:ascii="Tahoma" w:hAnsi="Tahoma"/>
      <w:sz w:val="24"/>
      <w:szCs w:val="20"/>
    </w:rPr>
  </w:style>
  <w:style w:type="paragraph" w:styleId="1328">
    <w:name w:val="表格文字"/>
    <w:basedOn w:val="1173"/>
    <w:next w:val="1328"/>
    <w:link w:val="1140"/>
    <w:qFormat/>
    <w:pPr>
      <w:ind w:firstLine="0"/>
      <w:spacing w:before="20" w:after="20" w:line="240" w:lineRule="auto"/>
    </w:pPr>
    <w:rPr>
      <w:rFonts w:ascii="Century Gothic" w:hAnsi="Century Gothic"/>
      <w:sz w:val="20"/>
      <w:szCs w:val="20"/>
    </w:rPr>
  </w:style>
  <w:style w:type="paragraph" w:styleId="1329">
    <w:name w:val="Char Char Char Char Char Char Char Char Char Char1"/>
    <w:basedOn w:val="1140"/>
    <w:next w:val="1329"/>
    <w:link w:val="1140"/>
    <w:qFormat/>
    <w:rPr>
      <w:rFonts w:ascii="宋体" w:hAnsi="宋体" w:cs="Courier New"/>
      <w:sz w:val="32"/>
      <w:szCs w:val="32"/>
    </w:rPr>
  </w:style>
  <w:style w:type="paragraph" w:styleId="1330">
    <w:name w:val="正文文本样式 加粗"/>
    <w:basedOn w:val="1287"/>
    <w:next w:val="1330"/>
    <w:link w:val="1140"/>
    <w:qFormat/>
    <w:rPr>
      <w:b/>
    </w:rPr>
  </w:style>
  <w:style w:type="paragraph" w:styleId="1331">
    <w:name w:val="Char2 Char Char Char Char Char Char"/>
    <w:basedOn w:val="1140"/>
    <w:next w:val="1331"/>
    <w:link w:val="1140"/>
    <w:qFormat/>
    <w:pPr>
      <w:jc w:val="center"/>
      <w:spacing w:line="400" w:lineRule="exact"/>
      <w:widowControl/>
    </w:pPr>
  </w:style>
  <w:style w:type="paragraph" w:styleId="1332">
    <w:name w:val="Char Char4"/>
    <w:basedOn w:val="1140"/>
    <w:next w:val="1332"/>
    <w:link w:val="1140"/>
    <w:qFormat/>
    <w:pPr>
      <w:jc w:val="center"/>
      <w:spacing w:line="400" w:lineRule="exact"/>
      <w:widowControl/>
    </w:pPr>
  </w:style>
  <w:style w:type="paragraph" w:styleId="1333">
    <w:name w:val="Char3 Char Char Char1"/>
    <w:basedOn w:val="1140"/>
    <w:next w:val="1333"/>
    <w:link w:val="1140"/>
    <w:qFormat/>
    <w:rPr>
      <w:rFonts w:ascii="Tahoma" w:hAnsi="Tahoma"/>
      <w:sz w:val="24"/>
      <w:szCs w:val="20"/>
    </w:rPr>
  </w:style>
  <w:style w:type="paragraph" w:styleId="1334">
    <w:name w:val="无间隔"/>
    <w:next w:val="1334"/>
    <w:link w:val="1140"/>
    <w:uiPriority w:val="1"/>
    <w:qFormat/>
    <w:pPr>
      <w:jc w:val="both"/>
      <w:widowControl w:val="off"/>
    </w:pPr>
    <w:rPr>
      <w:sz w:val="21"/>
      <w:szCs w:val="24"/>
      <w:lang w:val="en-US" w:eastAsia="zh-CN" w:bidi="ar-SA"/>
    </w:rPr>
  </w:style>
  <w:style w:type="paragraph" w:styleId="1335">
    <w:name w:val="22222222222222"/>
    <w:basedOn w:val="1140"/>
    <w:next w:val="1335"/>
    <w:link w:val="1140"/>
    <w:qFormat/>
    <w:pPr>
      <w:ind w:firstLine="480"/>
      <w:jc w:val="left"/>
      <w:spacing w:line="360" w:lineRule="auto"/>
      <w:widowControl/>
    </w:pPr>
    <w:rPr>
      <w:color w:val="ff0000"/>
      <w:sz w:val="24"/>
      <w:szCs w:val="20"/>
    </w:rPr>
  </w:style>
  <w:style w:type="character" w:styleId="1336">
    <w:name w:val="中等深浅网格 1 - 强调文字颜色 2 Char"/>
    <w:next w:val="1336"/>
    <w:link w:val="1337"/>
    <w:qFormat/>
    <w:rPr>
      <w:sz w:val="21"/>
      <w:szCs w:val="24"/>
      <w:lang w:val="zh-CN" w:eastAsia="zh-CN" w:bidi="ar-SA"/>
    </w:rPr>
  </w:style>
  <w:style w:type="paragraph" w:styleId="1337">
    <w:name w:val="1"/>
    <w:next w:val="1337"/>
    <w:link w:val="1336"/>
    <w:qFormat/>
    <w:rPr>
      <w:sz w:val="21"/>
      <w:szCs w:val="24"/>
      <w:lang w:val="zh-CN" w:eastAsia="zh-CN" w:bidi="ar-SA"/>
    </w:rPr>
  </w:style>
  <w:style w:type="paragraph" w:styleId="1338">
    <w:name w:val="图文"/>
    <w:basedOn w:val="1140"/>
    <w:next w:val="1338"/>
    <w:link w:val="1140"/>
    <w:qFormat/>
    <w:pPr>
      <w:spacing w:after="50" w:line="360" w:lineRule="auto"/>
    </w:pPr>
    <w:rPr>
      <w:sz w:val="24"/>
    </w:rPr>
  </w:style>
  <w:style w:type="paragraph" w:styleId="1339">
    <w:name w:val="xl23"/>
    <w:basedOn w:val="1140"/>
    <w:next w:val="1339"/>
    <w:link w:val="1140"/>
    <w:qFormat/>
    <w:pPr>
      <w:spacing w:before="100" w:beforeAutospacing="1" w:after="100" w:afterAutospacing="1" w:line="360" w:lineRule="auto"/>
      <w:widowControl/>
    </w:pPr>
    <w:rPr>
      <w:sz w:val="24"/>
      <w:szCs w:val="20"/>
    </w:rPr>
  </w:style>
  <w:style w:type="paragraph" w:styleId="1340">
    <w:name w:val="正文表格"/>
    <w:basedOn w:val="1140"/>
    <w:next w:val="1340"/>
    <w:link w:val="1341"/>
    <w:qFormat/>
    <w:pPr>
      <w:jc w:val="left"/>
    </w:pPr>
    <w:rPr>
      <w:rFonts w:ascii="宋体" w:hAnsi="宋体"/>
      <w:color w:val="000000"/>
      <w:szCs w:val="21"/>
    </w:rPr>
  </w:style>
  <w:style w:type="character" w:styleId="1341">
    <w:name w:val="正文表格 Char"/>
    <w:next w:val="1341"/>
    <w:link w:val="1340"/>
    <w:qFormat/>
    <w:rPr>
      <w:rFonts w:ascii="宋体" w:hAnsi="宋体"/>
      <w:color w:val="000000"/>
      <w:sz w:val="21"/>
      <w:szCs w:val="21"/>
    </w:rPr>
  </w:style>
  <w:style w:type="paragraph" w:styleId="1342">
    <w:name w:val="正文重点"/>
    <w:basedOn w:val="1140"/>
    <w:next w:val="1342"/>
    <w:link w:val="1343"/>
    <w:qFormat/>
    <w:pPr>
      <w:ind w:firstLine="482"/>
      <w:jc w:val="left"/>
      <w:spacing w:line="360" w:lineRule="auto"/>
    </w:pPr>
    <w:rPr>
      <w:b/>
      <w:sz w:val="24"/>
      <w:szCs w:val="20"/>
    </w:rPr>
  </w:style>
  <w:style w:type="character" w:styleId="1343">
    <w:name w:val="正文重点 Char"/>
    <w:next w:val="1343"/>
    <w:link w:val="1342"/>
    <w:qFormat/>
    <w:rPr>
      <w:b/>
      <w:sz w:val="24"/>
    </w:rPr>
  </w:style>
  <w:style w:type="paragraph" w:styleId="1344">
    <w:name w:val="标题1-附件"/>
    <w:basedOn w:val="1141"/>
    <w:next w:val="1344"/>
    <w:link w:val="1140"/>
    <w:qFormat/>
    <w:pPr>
      <w:jc w:val="left"/>
    </w:pPr>
    <w:rPr>
      <w:sz w:val="24"/>
      <w:szCs w:val="24"/>
    </w:rPr>
  </w:style>
  <w:style w:type="paragraph" w:styleId="1345">
    <w:name w:val="正文小标题"/>
    <w:basedOn w:val="1140"/>
    <w:next w:val="1155"/>
    <w:link w:val="1346"/>
    <w:qFormat/>
    <w:pPr>
      <w:ind w:firstLine="482"/>
      <w:jc w:val="left"/>
      <w:spacing w:before="312" w:after="312"/>
    </w:pPr>
    <w:rPr>
      <w:rFonts w:ascii="宋体" w:hAnsi="宋体"/>
      <w:b/>
      <w:i/>
      <w:color w:val="ff0000"/>
      <w:sz w:val="24"/>
      <w:szCs w:val="20"/>
    </w:rPr>
  </w:style>
  <w:style w:type="character" w:styleId="1346">
    <w:name w:val="正文小标题 Char"/>
    <w:next w:val="1346"/>
    <w:link w:val="1345"/>
    <w:qFormat/>
    <w:rPr>
      <w:rFonts w:ascii="宋体" w:hAnsi="宋体"/>
      <w:b/>
      <w:i/>
      <w:color w:val="ff0000"/>
      <w:sz w:val="24"/>
    </w:rPr>
  </w:style>
  <w:style w:type="paragraph" w:styleId="1347">
    <w:name w:val="正文大标题"/>
    <w:basedOn w:val="1345"/>
    <w:next w:val="1155"/>
    <w:link w:val="1348"/>
    <w:qFormat/>
    <w:pPr>
      <w:jc w:val="center"/>
    </w:pPr>
    <w:rPr>
      <w:i w:val="0"/>
      <w:color w:val="000000"/>
      <w:sz w:val="28"/>
      <w:szCs w:val="21"/>
    </w:rPr>
  </w:style>
  <w:style w:type="character" w:styleId="1348">
    <w:name w:val="正文大标题 Char"/>
    <w:next w:val="1348"/>
    <w:link w:val="1347"/>
    <w:qFormat/>
    <w:rPr>
      <w:rFonts w:ascii="宋体" w:hAnsi="宋体"/>
      <w:b/>
      <w:color w:val="000000"/>
      <w:sz w:val="28"/>
      <w:szCs w:val="21"/>
    </w:rPr>
  </w:style>
  <w:style w:type="paragraph" w:styleId="1349">
    <w:name w:val="注释"/>
    <w:basedOn w:val="1140"/>
    <w:next w:val="1349"/>
    <w:link w:val="1350"/>
    <w:qFormat/>
    <w:pPr>
      <w:ind w:left="420" w:hanging="420"/>
      <w:jc w:val="left"/>
    </w:pPr>
    <w:rPr>
      <w:rFonts w:ascii="宋体" w:hAnsi="宋体"/>
      <w:szCs w:val="21"/>
    </w:rPr>
  </w:style>
  <w:style w:type="character" w:styleId="1350">
    <w:name w:val="注释 Char"/>
    <w:next w:val="1350"/>
    <w:link w:val="1349"/>
    <w:qFormat/>
    <w:rPr>
      <w:rFonts w:ascii="宋体" w:hAnsi="宋体"/>
      <w:sz w:val="21"/>
      <w:szCs w:val="21"/>
    </w:rPr>
  </w:style>
  <w:style w:type="paragraph" w:styleId="1351">
    <w:name w:val="正文须知-1级"/>
    <w:basedOn w:val="1140"/>
    <w:next w:val="1140"/>
    <w:link w:val="1140"/>
    <w:qFormat/>
    <w:pPr>
      <w:numPr>
        <w:ilvl w:val="0"/>
        <w:numId w:val="7"/>
      </w:numPr>
      <w:spacing w:line="300" w:lineRule="auto"/>
    </w:pPr>
    <w:rPr>
      <w:rFonts w:ascii="宋体" w:hAnsi="Calibri"/>
      <w:sz w:val="24"/>
      <w:szCs w:val="21"/>
    </w:rPr>
  </w:style>
  <w:style w:type="paragraph" w:styleId="1352">
    <w:name w:val="正文须知-2级"/>
    <w:basedOn w:val="1140"/>
    <w:next w:val="1352"/>
    <w:link w:val="1140"/>
    <w:qFormat/>
    <w:pPr>
      <w:numPr>
        <w:ilvl w:val="1"/>
        <w:numId w:val="7"/>
      </w:numPr>
      <w:spacing w:line="300" w:lineRule="auto"/>
    </w:pPr>
    <w:rPr>
      <w:rFonts w:ascii="宋体" w:hAnsi="Calibri"/>
      <w:sz w:val="24"/>
      <w:szCs w:val="21"/>
    </w:rPr>
  </w:style>
  <w:style w:type="paragraph" w:styleId="1353">
    <w:name w:val="正文须知-3级"/>
    <w:basedOn w:val="1140"/>
    <w:next w:val="1353"/>
    <w:link w:val="1140"/>
    <w:qFormat/>
    <w:pPr>
      <w:numPr>
        <w:ilvl w:val="2"/>
        <w:numId w:val="7"/>
      </w:numPr>
      <w:ind w:hanging="355"/>
      <w:spacing w:line="300" w:lineRule="auto"/>
    </w:pPr>
    <w:rPr>
      <w:rFonts w:ascii="宋体" w:hAnsi="Calibri"/>
      <w:sz w:val="24"/>
      <w:szCs w:val="21"/>
    </w:rPr>
  </w:style>
  <w:style w:type="character" w:styleId="1354">
    <w:name w:val="纯文本 字符"/>
    <w:next w:val="1354"/>
    <w:link w:val="1140"/>
    <w:uiPriority w:val="99"/>
    <w:qFormat/>
    <w:rPr>
      <w:rFonts w:ascii="宋体" w:hAnsi="Courier New" w:eastAsia="宋体" w:cs="Times New Roman"/>
      <w:sz w:val="21"/>
      <w:szCs w:val="21"/>
      <w:lang w:val="en-US" w:eastAsia="zh-CN" w:bidi="ar-SA"/>
    </w:rPr>
  </w:style>
  <w:style w:type="paragraph" w:styleId="1355">
    <w:name w:val="表格1"/>
    <w:basedOn w:val="1140"/>
    <w:next w:val="1355"/>
    <w:link w:val="1140"/>
    <w:qFormat/>
    <w:pPr>
      <w:ind w:firstLine="480"/>
      <w:jc w:val="center"/>
    </w:pPr>
    <w:rPr>
      <w:sz w:val="24"/>
      <w:szCs w:val="20"/>
    </w:rPr>
  </w:style>
  <w:style w:type="character" w:styleId="1356">
    <w:name w:val="纯文本 字符1"/>
    <w:next w:val="1356"/>
    <w:link w:val="1140"/>
    <w:qFormat/>
    <w:rPr>
      <w:rFonts w:ascii="宋体" w:hAnsi="Courier New"/>
    </w:rPr>
  </w:style>
  <w:style w:type="character" w:styleId="1357">
    <w:name w:val="bjh-p"/>
    <w:next w:val="1357"/>
    <w:link w:val="1140"/>
    <w:qFormat/>
  </w:style>
  <w:style w:type="paragraph" w:styleId="1358">
    <w:name w:val="无标题条"/>
    <w:next w:val="1140"/>
    <w:link w:val="1140"/>
    <w:qFormat/>
    <w:pPr>
      <w:jc w:val="both"/>
    </w:pPr>
    <w:rPr>
      <w:sz w:val="21"/>
      <w:lang w:val="en-US" w:eastAsia="zh-CN" w:bidi="ar-SA"/>
    </w:rPr>
  </w:style>
  <w:style w:type="character" w:styleId="1359">
    <w:name w:val="正文格式 Char"/>
    <w:next w:val="1359"/>
    <w:link w:val="1360"/>
    <w:qFormat/>
    <w:rPr>
      <w:rFonts w:ascii="宋体" w:hAnsi="宋体"/>
      <w:sz w:val="24"/>
      <w:szCs w:val="24"/>
      <w:lang w:val="en-GB"/>
    </w:rPr>
  </w:style>
  <w:style w:type="paragraph" w:styleId="1360">
    <w:name w:val="正文格式"/>
    <w:basedOn w:val="1140"/>
    <w:next w:val="1360"/>
    <w:link w:val="1359"/>
    <w:qFormat/>
    <w:pPr>
      <w:ind w:firstLine="480"/>
      <w:spacing w:line="360" w:lineRule="auto"/>
    </w:pPr>
    <w:rPr>
      <w:rFonts w:ascii="宋体" w:hAnsi="宋体"/>
      <w:sz w:val="24"/>
      <w:lang w:val="en-GB"/>
    </w:rPr>
  </w:style>
  <w:style w:type="character" w:styleId="1361">
    <w:name w:val="标题 3 Char"/>
    <w:next w:val="1361"/>
    <w:link w:val="1140"/>
    <w:qFormat/>
    <w:rPr>
      <w:rFonts w:ascii="宋体" w:eastAsia="宋体"/>
      <w:b/>
      <w:sz w:val="24"/>
      <w:u w:val="single"/>
      <w:lang w:val="en-US" w:eastAsia="zh-CN" w:bidi="ar-SA"/>
    </w:rPr>
  </w:style>
  <w:style w:type="character" w:styleId="1362">
    <w:name w:val="正文缩进 Char"/>
    <w:next w:val="1362"/>
    <w:link w:val="1140"/>
    <w:qFormat/>
    <w:rPr>
      <w:rFonts w:ascii="宋体" w:eastAsia="宋体"/>
      <w:sz w:val="24"/>
      <w:szCs w:val="24"/>
      <w:lang w:val="en-US" w:eastAsia="zh-CN" w:bidi="ar-SA"/>
    </w:rPr>
  </w:style>
  <w:style w:type="character" w:styleId="1363">
    <w:name w:val="Char Char111"/>
    <w:next w:val="1363"/>
    <w:link w:val="1140"/>
    <w:qFormat/>
    <w:rPr>
      <w:rFonts w:ascii="宋体" w:eastAsia="宋体"/>
      <w:b/>
      <w:sz w:val="24"/>
      <w:u w:val="single"/>
      <w:lang w:val="en-US" w:eastAsia="zh-CN" w:bidi="ar-SA"/>
    </w:rPr>
  </w:style>
  <w:style w:type="character" w:styleId="1364">
    <w:name w:val="正文文本缩进 Char"/>
    <w:next w:val="1364"/>
    <w:link w:val="1140"/>
    <w:qFormat/>
    <w:rPr>
      <w:rFonts w:eastAsia="宋体"/>
      <w:sz w:val="24"/>
      <w:szCs w:val="24"/>
      <w:lang w:val="en-US" w:eastAsia="zh-CN" w:bidi="ar-SA"/>
    </w:rPr>
  </w:style>
  <w:style w:type="character" w:styleId="1365">
    <w:name w:val="列出段落 Char"/>
    <w:next w:val="1365"/>
    <w:link w:val="1140"/>
    <w:qFormat/>
    <w:rPr>
      <w:rFonts w:ascii="Calibri" w:hAnsi="Calibri" w:eastAsia="宋体"/>
      <w:sz w:val="21"/>
      <w:szCs w:val="22"/>
      <w:lang w:val="en-US" w:eastAsia="zh-CN" w:bidi="ar-SA"/>
    </w:rPr>
  </w:style>
  <w:style w:type="character" w:styleId="1366">
    <w:name w:val="页眉 Char"/>
    <w:next w:val="1366"/>
    <w:link w:val="1140"/>
    <w:qFormat/>
    <w:rPr>
      <w:rFonts w:eastAsia="宋体"/>
      <w:sz w:val="18"/>
      <w:szCs w:val="18"/>
      <w:lang w:val="en-US" w:eastAsia="zh-CN" w:bidi="ar-SA"/>
    </w:rPr>
  </w:style>
  <w:style w:type="character" w:styleId="1367">
    <w:name w:val="标题 2 Char"/>
    <w:next w:val="1367"/>
    <w:link w:val="1140"/>
    <w:qFormat/>
    <w:rPr>
      <w:rFonts w:ascii="Arial" w:hAnsi="Arial" w:eastAsia="黑体"/>
      <w:b/>
      <w:sz w:val="30"/>
      <w:lang w:val="en-US" w:eastAsia="zh-CN" w:bidi="ar-SA"/>
    </w:rPr>
  </w:style>
  <w:style w:type="paragraph" w:styleId="1368">
    <w:name w:val="字元 字元2"/>
    <w:basedOn w:val="1140"/>
    <w:next w:val="1368"/>
    <w:link w:val="1140"/>
    <w:qFormat/>
    <w:rPr>
      <w:rFonts w:ascii="Tahoma" w:hAnsi="Tahoma"/>
      <w:sz w:val="24"/>
      <w:szCs w:val="20"/>
    </w:rPr>
  </w:style>
  <w:style w:type="paragraph" w:styleId="1369">
    <w:name w:val="Char3 Char Char Char2"/>
    <w:basedOn w:val="1140"/>
    <w:next w:val="1369"/>
    <w:link w:val="1140"/>
    <w:qFormat/>
    <w:rPr>
      <w:rFonts w:ascii="Tahoma" w:hAnsi="Tahoma"/>
      <w:sz w:val="24"/>
      <w:szCs w:val="20"/>
    </w:rPr>
  </w:style>
  <w:style w:type="paragraph" w:styleId="1370">
    <w:name w:val="正文文本缩进2"/>
    <w:basedOn w:val="1140"/>
    <w:next w:val="1370"/>
    <w:link w:val="1140"/>
    <w:qFormat/>
    <w:pPr>
      <w:ind w:firstLine="480"/>
      <w:spacing w:line="480" w:lineRule="exact"/>
    </w:pPr>
    <w:rPr>
      <w:rFonts w:ascii="宋体" w:hAnsi="宋体"/>
      <w:sz w:val="24"/>
      <w:lang w:val="zh-CN" w:eastAsia="zh-CN"/>
    </w:rPr>
  </w:style>
  <w:style w:type="paragraph" w:styleId="1371">
    <w:name w:val="Char3"/>
    <w:basedOn w:val="1140"/>
    <w:next w:val="1371"/>
    <w:link w:val="1140"/>
    <w:qFormat/>
    <w:pPr>
      <w:tabs>
        <w:tab w:val="left" w:pos="360" w:leader="none"/>
      </w:tabs>
    </w:pPr>
    <w:rPr>
      <w:sz w:val="24"/>
    </w:rPr>
  </w:style>
  <w:style w:type="paragraph" w:styleId="1372">
    <w:name w:val="Char Char Char Char Char Char Char Char Char Char Char Char Char Char Char Char1"/>
    <w:basedOn w:val="1140"/>
    <w:next w:val="1372"/>
    <w:link w:val="1140"/>
    <w:qFormat/>
    <w:pPr>
      <w:jc w:val="center"/>
      <w:spacing w:after="160" w:line="240" w:lineRule="exact"/>
      <w:widowControl/>
    </w:pPr>
    <w:rPr>
      <w:rFonts w:ascii="宋体" w:hAnsi="宋体"/>
      <w:b/>
      <w:sz w:val="30"/>
      <w:szCs w:val="30"/>
      <w:lang w:eastAsia="en-US"/>
    </w:rPr>
  </w:style>
  <w:style w:type="paragraph" w:styleId="1373">
    <w:name w:val="Char Char1 Char Char Char Char Char Char1"/>
    <w:basedOn w:val="1140"/>
    <w:next w:val="1373"/>
    <w:link w:val="1140"/>
    <w:qFormat/>
    <w:pPr>
      <w:jc w:val="left"/>
      <w:spacing w:after="160" w:line="240" w:lineRule="exact"/>
      <w:widowControl/>
    </w:pPr>
    <w:rPr>
      <w:rFonts w:ascii="Verdana" w:hAnsi="Verdana" w:eastAsia="仿宋_GB2312"/>
      <w:sz w:val="24"/>
      <w:szCs w:val="20"/>
      <w:lang w:eastAsia="en-US"/>
    </w:rPr>
  </w:style>
  <w:style w:type="paragraph" w:styleId="1374">
    <w:name w:val="列出段落2"/>
    <w:basedOn w:val="1140"/>
    <w:next w:val="1374"/>
    <w:link w:val="1140"/>
    <w:qFormat/>
    <w:pPr>
      <w:ind w:firstLine="420"/>
    </w:pPr>
    <w:rPr>
      <w:rFonts w:ascii="Calibri" w:hAnsi="Calibri"/>
      <w:szCs w:val="22"/>
    </w:rPr>
  </w:style>
  <w:style w:type="paragraph" w:styleId="1375">
    <w:name w:val="Char Char Char1 Char2"/>
    <w:basedOn w:val="1140"/>
    <w:next w:val="1375"/>
    <w:link w:val="1140"/>
    <w:qFormat/>
    <w:rPr>
      <w:rFonts w:ascii="Tahoma" w:hAnsi="Tahoma"/>
      <w:sz w:val="24"/>
      <w:szCs w:val="20"/>
    </w:rPr>
  </w:style>
  <w:style w:type="paragraph" w:styleId="1376">
    <w:name w:val="Char Char Char2"/>
    <w:basedOn w:val="1140"/>
    <w:next w:val="1376"/>
    <w:link w:val="1140"/>
    <w:qFormat/>
    <w:rPr>
      <w:rFonts w:ascii="Tahoma" w:hAnsi="Tahoma"/>
      <w:sz w:val="24"/>
      <w:szCs w:val="20"/>
    </w:rPr>
  </w:style>
  <w:style w:type="paragraph" w:styleId="1377">
    <w:name w:val="Char Char Char Char Char Char Char2"/>
    <w:basedOn w:val="1140"/>
    <w:next w:val="1377"/>
    <w:link w:val="1140"/>
    <w:qFormat/>
    <w:pPr>
      <w:ind w:firstLine="200"/>
      <w:spacing w:line="360" w:lineRule="auto"/>
    </w:pPr>
    <w:rPr>
      <w:rFonts w:eastAsia="仿宋_GB2312"/>
      <w:sz w:val="24"/>
    </w:rPr>
  </w:style>
  <w:style w:type="paragraph" w:styleId="1378">
    <w:name w:val="正文缩进2"/>
    <w:basedOn w:val="1140"/>
    <w:next w:val="1378"/>
    <w:link w:val="1140"/>
    <w:qFormat/>
    <w:pPr>
      <w:ind w:firstLine="567"/>
      <w:spacing w:line="480" w:lineRule="exact"/>
      <w:widowControl/>
    </w:pPr>
    <w:rPr>
      <w:rFonts w:ascii="宋体"/>
      <w:color w:val="000000"/>
      <w:sz w:val="28"/>
      <w:szCs w:val="20"/>
      <w:lang w:val="zh-CN" w:eastAsia="zh-CN"/>
    </w:rPr>
  </w:style>
  <w:style w:type="paragraph" w:styleId="1379">
    <w:name w:val="Revision"/>
    <w:next w:val="1379"/>
    <w:link w:val="1140"/>
    <w:qFormat/>
    <w:rPr>
      <w:sz w:val="21"/>
      <w:szCs w:val="24"/>
      <w:lang w:val="en-US" w:eastAsia="zh-CN" w:bidi="ar-SA"/>
    </w:rPr>
  </w:style>
  <w:style w:type="paragraph" w:styleId="1380">
    <w:name w:val="Char22"/>
    <w:basedOn w:val="1140"/>
    <w:next w:val="1380"/>
    <w:link w:val="1140"/>
    <w:qFormat/>
    <w:rPr>
      <w:rFonts w:ascii="Tahoma" w:hAnsi="Tahoma"/>
      <w:sz w:val="24"/>
      <w:szCs w:val="20"/>
    </w:rPr>
  </w:style>
  <w:style w:type="paragraph" w:styleId="1381">
    <w:name w:val="Char Char Char Char Char Char Char Char Char Char2"/>
    <w:basedOn w:val="1140"/>
    <w:next w:val="1381"/>
    <w:link w:val="1140"/>
    <w:qFormat/>
    <w:rPr>
      <w:rFonts w:ascii="宋体" w:hAnsi="宋体" w:cs="Courier New"/>
      <w:sz w:val="32"/>
      <w:szCs w:val="32"/>
    </w:rPr>
  </w:style>
  <w:style w:type="paragraph" w:styleId="1382">
    <w:name w:val="Char2 Char Char Char Char Char Char1"/>
    <w:basedOn w:val="1140"/>
    <w:next w:val="1382"/>
    <w:link w:val="1140"/>
    <w:qFormat/>
    <w:pPr>
      <w:jc w:val="center"/>
      <w:spacing w:line="400" w:lineRule="exact"/>
      <w:widowControl/>
    </w:pPr>
  </w:style>
  <w:style w:type="character" w:styleId="1383">
    <w:name w:val="页脚 Char"/>
    <w:next w:val="1383"/>
    <w:link w:val="1140"/>
    <w:qFormat/>
    <w:rPr>
      <w:rFonts w:ascii="宋体" w:eastAsia="宋体"/>
      <w:sz w:val="18"/>
      <w:lang w:val="en-US" w:eastAsia="zh-CN" w:bidi="ar-SA"/>
    </w:rPr>
  </w:style>
  <w:style w:type="paragraph" w:styleId="1384">
    <w:name w:val="Char Char41"/>
    <w:basedOn w:val="1140"/>
    <w:next w:val="1384"/>
    <w:link w:val="1140"/>
    <w:qFormat/>
    <w:pPr>
      <w:jc w:val="center"/>
      <w:spacing w:line="400" w:lineRule="exact"/>
      <w:widowControl/>
    </w:pPr>
  </w:style>
  <w:style w:type="character" w:styleId="1385">
    <w:name w:val="批注文字 Char"/>
    <w:next w:val="1385"/>
    <w:link w:val="1140"/>
    <w:uiPriority w:val="99"/>
    <w:qFormat/>
    <w:rPr>
      <w:sz w:val="21"/>
      <w:szCs w:val="24"/>
    </w:rPr>
  </w:style>
  <w:style w:type="character" w:styleId="1386">
    <w:name w:val="标题 Char"/>
    <w:next w:val="1386"/>
    <w:link w:val="1140"/>
    <w:qFormat/>
    <w:rPr>
      <w:b/>
      <w:sz w:val="32"/>
    </w:rPr>
  </w:style>
  <w:style w:type="paragraph" w:styleId="1387">
    <w:name w:val="图例"/>
    <w:basedOn w:val="1140"/>
    <w:next w:val="1387"/>
    <w:link w:val="1140"/>
    <w:qFormat/>
    <w:pPr>
      <w:jc w:val="center"/>
      <w:spacing w:before="120" w:after="120" w:line="360" w:lineRule="auto"/>
    </w:pPr>
    <w:rPr>
      <w:rFonts w:eastAsia="仿宋_GB2312"/>
      <w:b/>
      <w:sz w:val="24"/>
      <w:szCs w:val="20"/>
    </w:rPr>
  </w:style>
  <w:style w:type="paragraph" w:styleId="1388">
    <w:name w:val="Table Paragraph"/>
    <w:basedOn w:val="1140"/>
    <w:next w:val="1388"/>
    <w:link w:val="1140"/>
    <w:uiPriority w:val="1"/>
    <w:qFormat/>
    <w:pPr>
      <w:jc w:val="left"/>
    </w:pPr>
    <w:rPr>
      <w:rFonts w:ascii="宋体" w:hAnsi="宋体" w:cs="宋体"/>
      <w:sz w:val="22"/>
      <w:szCs w:val="22"/>
      <w:lang w:eastAsia="en-US"/>
    </w:rPr>
  </w:style>
  <w:style w:type="table" w:styleId="1389">
    <w:name w:val="Table Normal"/>
    <w:next w:val="1389"/>
    <w:link w:val="1140"/>
    <w:uiPriority w:val="2"/>
    <w:semiHidden/>
    <w:qFormat/>
    <w:pPr>
      <w:widowControl w:val="off"/>
    </w:pPr>
    <w:rPr>
      <w:rFonts w:ascii="Calibri" w:hAnsi="Calibri"/>
      <w:sz w:val="22"/>
      <w:szCs w:val="22"/>
      <w:lang w:val="en-US" w:eastAsia="en-US" w:bidi="ar-SA"/>
    </w:rPr>
    <w:tblPr/>
  </w:style>
  <w:style w:type="paragraph" w:styleId="1390">
    <w:name w:val="成文日期"/>
    <w:basedOn w:val="1140"/>
    <w:next w:val="1390"/>
    <w:link w:val="1391"/>
    <w:qFormat/>
    <w:pPr>
      <w:ind w:right="400" w:firstLine="200"/>
      <w:jc w:val="right"/>
      <w:spacing w:line="570" w:lineRule="exact"/>
    </w:pPr>
    <w:rPr>
      <w:rFonts w:ascii="仿宋_GB2312" w:eastAsia="仿宋_GB2312"/>
      <w:sz w:val="32"/>
      <w:szCs w:val="20"/>
    </w:rPr>
  </w:style>
  <w:style w:type="character" w:styleId="1391">
    <w:name w:val="成文日期 Char"/>
    <w:next w:val="1391"/>
    <w:link w:val="1390"/>
    <w:rPr>
      <w:rFonts w:ascii="仿宋_GB2312" w:eastAsia="仿宋_GB2312"/>
      <w:sz w:val="32"/>
    </w:rPr>
  </w:style>
  <w:style w:type="paragraph" w:styleId="1392">
    <w:name w:val="*正文"/>
    <w:basedOn w:val="1140"/>
    <w:next w:val="1392"/>
    <w:link w:val="1140"/>
    <w:qFormat/>
    <w:pPr>
      <w:ind w:firstLine="480"/>
      <w:jc w:val="left"/>
      <w:spacing w:before="120" w:after="120"/>
    </w:pPr>
    <w:rPr>
      <w:rFonts w:ascii="宋体" w:hAnsi="宋体"/>
    </w:rPr>
  </w:style>
  <w:style w:type="paragraph" w:styleId="1393">
    <w:name w:val="段"/>
    <w:next w:val="1140"/>
    <w:link w:val="1140"/>
    <w:unhideWhenUsed/>
    <w:qFormat/>
    <w:pPr>
      <w:ind w:firstLine="200"/>
      <w:jc w:val="both"/>
      <w:spacing w:line="360" w:lineRule="auto"/>
    </w:pPr>
    <w:rPr>
      <w:rFonts w:hint="eastAsia" w:ascii="宋体"/>
      <w:sz w:val="24"/>
      <w:lang w:val="en-US" w:eastAsia="zh-CN" w:bidi="ar-SA"/>
    </w:rPr>
  </w:style>
  <w:style w:type="paragraph" w:styleId="1394">
    <w:name w:val="首行缩进"/>
    <w:basedOn w:val="1140"/>
    <w:next w:val="1394"/>
    <w:link w:val="1140"/>
    <w:qFormat/>
    <w:pPr>
      <w:ind w:firstLine="480"/>
    </w:pPr>
    <w:rPr>
      <w:rFonts w:ascii="Calibri" w:hAnsi="Calibri" w:eastAsia="宋体" w:cs="Times New Roman"/>
      <w:lang w:val="zh-CN"/>
    </w:rPr>
  </w:style>
  <w:style w:type="character" w:styleId="1395">
    <w:name w:val="current"/>
    <w:basedOn w:val="1150"/>
    <w:next w:val="1395"/>
    <w:link w:val="1140"/>
    <w:rPr>
      <w:b/>
      <w:bCs/>
      <w:color w:val="05a7d8"/>
      <w:sz w:val="18"/>
      <w:szCs w:val="18"/>
    </w:rPr>
  </w:style>
  <w:style w:type="character" w:styleId="1396">
    <w:name w:val="l-btn-left"/>
    <w:basedOn w:val="1150"/>
    <w:next w:val="1396"/>
    <w:link w:val="1140"/>
  </w:style>
  <w:style w:type="character" w:styleId="1397">
    <w:name w:val="l-btn-text36"/>
    <w:basedOn w:val="1150"/>
    <w:next w:val="1397"/>
    <w:link w:val="1140"/>
  </w:style>
  <w:style w:type="character" w:styleId="1398">
    <w:name w:val="NormalCharacter1"/>
    <w:next w:val="1398"/>
    <w:link w:val="1140"/>
    <w:uiPriority w:val="99"/>
    <w:semiHidden/>
    <w:qFormat/>
  </w:style>
  <w:style w:type="paragraph" w:styleId="1399">
    <w:name w:val="正文文本1"/>
    <w:basedOn w:val="1140"/>
    <w:next w:val="1140"/>
    <w:link w:val="1140"/>
    <w:qFormat/>
    <w:pPr>
      <w:spacing w:before="120" w:line="22" w:lineRule="atLeast"/>
      <w:tabs>
        <w:tab w:val="left" w:pos="567" w:leader="none"/>
      </w:tabs>
    </w:pPr>
    <w:rPr>
      <w:rFonts w:ascii="宋体" w:hAnsi="宋体"/>
      <w:sz w:val="24"/>
    </w:rPr>
  </w:style>
  <w:style w:type="paragraph" w:styleId="1400">
    <w:name w:val="正文 A"/>
    <w:next w:val="1400"/>
    <w:link w:val="114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401">
    <w:name w:val="Í¼±íÕýÎÄ"/>
    <w:basedOn w:val="1140"/>
    <w:next w:val="1155"/>
    <w:link w:val="1140"/>
    <w:qFormat/>
    <w:pPr>
      <w:ind w:firstLine="420"/>
    </w:pPr>
    <w:rPr>
      <w:sz w:val="24"/>
    </w:rPr>
  </w:style>
  <w:style w:type="character" w:styleId="1402">
    <w:name w:val="页码1"/>
    <w:basedOn w:val="1150"/>
    <w:next w:val="1402"/>
    <w:link w:val="1140"/>
    <w:qFormat/>
  </w:style>
  <w:style w:type="paragraph" w:styleId="1403">
    <w:name w:val="Table Text"/>
    <w:basedOn w:val="1140"/>
    <w:next w:val="1403"/>
    <w:link w:val="1140"/>
    <w:semiHidden/>
    <w:qFormat/>
    <w:rPr>
      <w:rFonts w:ascii="宋体" w:hAnsi="宋体" w:eastAsia="宋体" w:cs="宋体"/>
      <w:sz w:val="20"/>
      <w:szCs w:val="20"/>
      <w:lang w:val="en-US" w:eastAsia="en-US" w:bidi="ar-SA"/>
    </w:rPr>
  </w:style>
  <w:style w:type="paragraph" w:styleId="1404">
    <w:name w:val="AONormal"/>
    <w:next w:val="1404"/>
    <w:link w:val="1140"/>
    <w:qFormat/>
    <w:pPr>
      <w:ind w:firstLine="440"/>
      <w:spacing w:line="400" w:lineRule="exact"/>
    </w:pPr>
    <w:rPr>
      <w:rFonts w:ascii="华文楷体" w:hAnsi="华文楷体" w:eastAsia="华文楷体" w:cs="华文楷体"/>
      <w:sz w:val="22"/>
      <w:szCs w:val="21"/>
      <w:lang w:val="en-US" w:eastAsia="zh-CN" w:bidi="ar-SA"/>
    </w:rPr>
  </w:style>
  <w:style w:type="paragraph" w:styleId="1405">
    <w:name w:val="标题 31"/>
    <w:basedOn w:val="1140"/>
    <w:next w:val="1140"/>
    <w:link w:val="1140"/>
    <w:qFormat/>
    <w:pPr>
      <w:jc w:val="left"/>
      <w:keepLines/>
      <w:keepNext/>
      <w:spacing w:before="360" w:after="120"/>
      <w:outlineLvl w:val="2"/>
    </w:pPr>
    <w:rPr>
      <w:rFonts w:ascii="宋体"/>
      <w:b/>
      <w:sz w:val="24"/>
      <w:szCs w:val="20"/>
      <w:u w:val="single"/>
    </w:rPr>
  </w:style>
  <w:style w:type="character" w:styleId="1406" w:default="1">
    <w:name w:val="Default Paragraph Font"/>
    <w:uiPriority w:val="1"/>
    <w:semiHidden/>
    <w:unhideWhenUsed/>
  </w:style>
  <w:style w:type="numbering" w:styleId="1407" w:default="1">
    <w:name w:val="No List"/>
    <w:uiPriority w:val="99"/>
    <w:semiHidden/>
    <w:unhideWhenUsed/>
  </w:style>
  <w:style w:type="table" w:styleId="14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image" Target="media/image1.emf"/><Relationship Id="rId2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5</cp:revision>
  <dcterms:created xsi:type="dcterms:W3CDTF">2022-05-30T08:03:00Z</dcterms:created>
  <dcterms:modified xsi:type="dcterms:W3CDTF">2026-10-19T07:24:42Z</dcterms:modified>
</cp:coreProperties>
</file>