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962"/>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962"/>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06"/>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48"/>
        <w:gridCol w:w="6296"/>
      </w:tblGrid>
      <w:tr>
        <w:trPr/>
        <w:tc>
          <w:tcPr>
            <w:tcW w:w="1948"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6296" w:type="dxa"/>
            <w:textDirection w:val="lrTb"/>
            <w:noWrap w:val="false"/>
          </w:tcPr>
          <w:p>
            <w:pPr>
              <w:spacing w:line="48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28"/>
                <w:szCs w:val="22"/>
                <w:lang w:eastAsia="zh-CN"/>
              </w:rPr>
              <w:t xml:space="preserve">考试考核设备采购更新</w:t>
            </w:r>
            <w:r/>
          </w:p>
        </w:tc>
      </w:tr>
      <w:tr>
        <w:trPr/>
        <w:tc>
          <w:tcPr>
            <w:tcW w:w="1948"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6296" w:type="dxa"/>
            <w:textDirection w:val="lrTb"/>
            <w:noWrap w:val="false"/>
          </w:tcPr>
          <w:p>
            <w:pPr>
              <w:spacing w:line="48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28"/>
                <w:szCs w:val="22"/>
                <w:lang w:val="en-US" w:eastAsia="zh-CN"/>
              </w:rPr>
              <w:t xml:space="preserve">JSZC-320700-TYJT-G2026-0020</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962"/>
      </w:pPr>
      <w:r/>
      <w:r/>
    </w:p>
    <w:p>
      <w:pPr>
        <w:ind w:firstLine="1285"/>
        <w:jc w:val="both"/>
        <w:spacing w:before="120" w:after="120"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采购人:</w:t>
      </w:r>
      <w:r>
        <w:rPr>
          <w:rFonts w:hint="eastAsia" w:ascii="Arial" w:hAnsi="Arial" w:eastAsia="宋体" w:cs="Times New Roman"/>
          <w:b/>
          <w:bCs/>
          <w:color w:val="000000"/>
          <w:sz w:val="32"/>
          <w:szCs w:val="24"/>
          <w:lang w:eastAsia="zh-CN"/>
        </w:rPr>
        <w:t xml:space="preserve">连云港市应急管理服务中心</w:t>
      </w:r>
      <w:r/>
    </w:p>
    <w:p>
      <w:pPr>
        <w:ind w:firstLine="1285"/>
        <w:jc w:val="both"/>
        <w:spacing w:before="120" w:after="120" w:line="48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采购代理机构:江苏天园项目管理集团有限公司</w:t>
      </w:r>
      <w:r/>
    </w:p>
    <w:p>
      <w:pPr>
        <w:ind w:firstLine="1285"/>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r/>
      <w:r/>
    </w:p>
    <w:p>
      <w:pPr>
        <w:jc w:val="left"/>
        <w:spacing w:line="480" w:lineRule="auto"/>
        <w:widowControl/>
        <w:rPr>
          <w:rFonts w:asciiTheme="minorEastAsia" w:hAnsiTheme="minorEastAsia"/>
          <w:sz w:val="24"/>
        </w:rPr>
      </w:pPr>
      <w:r>
        <w:rPr>
          <w:rFonts w:asciiTheme="minorEastAsia" w:hAnsiTheme="minorEastAsia"/>
          <w:sz w:val="24"/>
        </w:rPr>
        <w:fldChar w:fldCharType="end"/>
      </w:r>
      <w:r/>
    </w:p>
    <w:sdt>
      <w:sdtPr>
        <w15:appearance w15:val="boundingBox"/>
        <w15:color w:val="dbdbdb"/>
        <w:id w:val="147463402"/>
        <w:docPartObj>
          <w:docPartGallery w:val="Table of Contents"/>
          <w:docPartUnique w:val="true"/>
        </w:docPartObj>
        <w:rPr>
          <w:rFonts w:hint="default" w:ascii="宋体" w:hAnsi="宋体" w:eastAsia="宋体" w:cstheme="minorBidi"/>
          <w:sz w:val="48"/>
          <w:szCs w:val="52"/>
          <w:lang w:val="en-US" w:eastAsia="zh-CN" w:bidi="ar-SA"/>
        </w:rPr>
      </w:sdtPr>
      <w:sdtContent>
        <w:p>
          <w:pPr>
            <w:ind w:left="0" w:right="0" w:firstLine="0"/>
            <w:jc w:val="center"/>
            <w:spacing w:before="0" w:after="0" w:line="240" w:lineRule="auto"/>
            <w:rPr>
              <w:rFonts w:ascii="宋体" w:hAnsi="宋体" w:eastAsia="宋体"/>
              <w:sz w:val="48"/>
              <w:szCs w:val="52"/>
            </w:rPr>
          </w:pPr>
          <w:r>
            <w:rPr>
              <w:rFonts w:ascii="宋体" w:hAnsi="宋体" w:eastAsia="宋体"/>
              <w:sz w:val="48"/>
              <w:szCs w:val="52"/>
            </w:rPr>
            <w:t xml:space="preserve">目</w:t>
          </w:r>
          <w:r>
            <w:rPr>
              <w:rFonts w:hint="eastAsia" w:ascii="宋体" w:hAnsi="宋体" w:eastAsia="宋体"/>
              <w:sz w:val="48"/>
              <w:szCs w:val="52"/>
              <w:lang w:val="en-US" w:eastAsia="zh-CN"/>
            </w:rPr>
            <w:t xml:space="preserve"> </w:t>
          </w:r>
          <w:r>
            <w:rPr>
              <w:rFonts w:ascii="宋体" w:hAnsi="宋体" w:eastAsia="宋体"/>
              <w:sz w:val="48"/>
              <w:szCs w:val="52"/>
            </w:rPr>
            <w:t xml:space="preserve">录</w:t>
          </w:r>
          <w:r/>
        </w:p>
        <w:p>
          <w:pPr>
            <w:ind w:left="0" w:right="0" w:firstLine="0"/>
            <w:jc w:val="center"/>
            <w:spacing w:before="0" w:after="0" w:line="240" w:lineRule="auto"/>
            <w:rPr>
              <w:rFonts w:ascii="宋体" w:hAnsi="宋体" w:eastAsia="宋体"/>
              <w:sz w:val="48"/>
              <w:szCs w:val="52"/>
            </w:rPr>
          </w:pPr>
          <w:r>
            <w:rPr>
              <w:rFonts w:ascii="宋体" w:hAnsi="宋体" w:eastAsia="宋体"/>
              <w:sz w:val="48"/>
              <w:szCs w:val="52"/>
            </w:rPr>
          </w:r>
          <w:r/>
        </w:p>
        <w:p>
          <w:pPr>
            <w:pStyle w:val="795"/>
            <w:tabs>
              <w:tab w:val="clear" w:pos="9628" w:leader="none"/>
              <w:tab w:val="right" w:pos="9638" w:leader="dot"/>
            </w:tabs>
            <w:rPr>
              <w:sz w:val="36"/>
              <w:szCs w:val="36"/>
            </w:rPr>
          </w:pPr>
          <w:r>
            <w:rPr>
              <w:sz w:val="36"/>
              <w:szCs w:val="36"/>
            </w:rPr>
            <w:fldChar w:fldCharType="begin"/>
          </w:r>
          <w:r>
            <w:rPr>
              <w:sz w:val="36"/>
              <w:szCs w:val="36"/>
            </w:rPr>
            <w:instrText xml:space="preserve">TOC \o "1-1" \h \u </w:instrText>
          </w:r>
          <w:r>
            <w:rPr>
              <w:sz w:val="36"/>
              <w:szCs w:val="36"/>
            </w:rPr>
            <w:fldChar w:fldCharType="separate"/>
          </w:r>
          <w:r>
            <w:rPr>
              <w:sz w:val="36"/>
              <w:szCs w:val="36"/>
            </w:rPr>
            <w:fldChar w:fldCharType="begin"/>
          </w:r>
          <w:r>
            <w:rPr>
              <w:sz w:val="36"/>
              <w:szCs w:val="36"/>
            </w:rPr>
            <w:instrText xml:space="preserve"> HYPERLINK \l _Toc22256 </w:instrText>
          </w:r>
          <w:r>
            <w:rPr>
              <w:sz w:val="36"/>
              <w:szCs w:val="36"/>
            </w:rPr>
            <w:fldChar w:fldCharType="separate"/>
          </w:r>
          <w:r>
            <w:rPr>
              <w:rFonts w:hint="eastAsia" w:ascii="黑体" w:hAnsi="黑体" w:eastAsia="黑体"/>
              <w:sz w:val="36"/>
              <w:szCs w:val="36"/>
            </w:rPr>
            <w:t xml:space="preserve">第一章  投标邀请</w:t>
          </w:r>
          <w:r>
            <w:rPr>
              <w:sz w:val="36"/>
              <w:szCs w:val="36"/>
            </w:rPr>
            <w:tab/>
          </w:r>
          <w:r>
            <w:rPr>
              <w:sz w:val="36"/>
              <w:szCs w:val="36"/>
            </w:rPr>
            <w:fldChar w:fldCharType="begin"/>
          </w:r>
          <w:r>
            <w:rPr>
              <w:sz w:val="36"/>
              <w:szCs w:val="36"/>
            </w:rPr>
            <w:instrText xml:space="preserve"> PAGEREF _Toc22256 \h </w:instrText>
          </w:r>
          <w:r>
            <w:rPr>
              <w:sz w:val="36"/>
              <w:szCs w:val="36"/>
            </w:rPr>
            <w:fldChar w:fldCharType="separate"/>
          </w:r>
          <w:r>
            <w:rPr>
              <w:sz w:val="36"/>
              <w:szCs w:val="36"/>
            </w:rPr>
            <w:t xml:space="preserve">1</w:t>
          </w:r>
          <w:r>
            <w:rPr>
              <w:sz w:val="36"/>
              <w:szCs w:val="36"/>
            </w:rPr>
            <w:fldChar w:fldCharType="end"/>
          </w:r>
          <w:r>
            <w:rPr>
              <w:sz w:val="36"/>
              <w:szCs w:val="36"/>
            </w:rPr>
            <w:fldChar w:fldCharType="end"/>
          </w:r>
          <w:r/>
        </w:p>
        <w:p>
          <w:pPr>
            <w:pStyle w:val="795"/>
            <w:tabs>
              <w:tab w:val="clear" w:pos="9628" w:leader="none"/>
              <w:tab w:val="right" w:pos="9638" w:leader="dot"/>
            </w:tabs>
            <w:rPr>
              <w:sz w:val="36"/>
              <w:szCs w:val="36"/>
            </w:rPr>
          </w:pPr>
          <w:r>
            <w:rPr>
              <w:sz w:val="36"/>
              <w:szCs w:val="36"/>
            </w:rPr>
            <w:fldChar w:fldCharType="begin"/>
          </w:r>
          <w:r>
            <w:rPr>
              <w:sz w:val="36"/>
              <w:szCs w:val="36"/>
            </w:rPr>
            <w:instrText xml:space="preserve"> HYPERLINK \l _Toc17420 </w:instrText>
          </w:r>
          <w:r>
            <w:rPr>
              <w:sz w:val="36"/>
              <w:szCs w:val="36"/>
            </w:rPr>
            <w:fldChar w:fldCharType="separate"/>
          </w:r>
          <w:r>
            <w:rPr>
              <w:rFonts w:hint="eastAsia" w:ascii="黑体" w:hAnsi="黑体" w:eastAsia="黑体"/>
              <w:sz w:val="36"/>
              <w:szCs w:val="36"/>
            </w:rPr>
            <w:t xml:space="preserve">第二章  投标人须知</w:t>
          </w:r>
          <w:r>
            <w:rPr>
              <w:sz w:val="36"/>
              <w:szCs w:val="36"/>
            </w:rPr>
            <w:tab/>
          </w:r>
          <w:r>
            <w:rPr>
              <w:sz w:val="36"/>
              <w:szCs w:val="36"/>
            </w:rPr>
            <w:fldChar w:fldCharType="begin"/>
          </w:r>
          <w:r>
            <w:rPr>
              <w:sz w:val="36"/>
              <w:szCs w:val="36"/>
            </w:rPr>
            <w:instrText xml:space="preserve"> PAGEREF _Toc17420 \h </w:instrText>
          </w:r>
          <w:r>
            <w:rPr>
              <w:sz w:val="36"/>
              <w:szCs w:val="36"/>
            </w:rPr>
            <w:fldChar w:fldCharType="separate"/>
          </w:r>
          <w:r>
            <w:rPr>
              <w:sz w:val="36"/>
              <w:szCs w:val="36"/>
            </w:rPr>
            <w:t xml:space="preserve">5</w:t>
          </w:r>
          <w:r>
            <w:rPr>
              <w:sz w:val="36"/>
              <w:szCs w:val="36"/>
            </w:rPr>
            <w:fldChar w:fldCharType="end"/>
          </w:r>
          <w:r>
            <w:rPr>
              <w:sz w:val="36"/>
              <w:szCs w:val="36"/>
            </w:rPr>
            <w:fldChar w:fldCharType="end"/>
          </w:r>
          <w:r/>
        </w:p>
        <w:p>
          <w:pPr>
            <w:pStyle w:val="795"/>
            <w:tabs>
              <w:tab w:val="clear" w:pos="9628" w:leader="none"/>
              <w:tab w:val="right" w:pos="9638" w:leader="dot"/>
            </w:tabs>
            <w:rPr>
              <w:sz w:val="36"/>
              <w:szCs w:val="36"/>
            </w:rPr>
          </w:pPr>
          <w:r>
            <w:rPr>
              <w:sz w:val="36"/>
              <w:szCs w:val="36"/>
            </w:rPr>
            <w:fldChar w:fldCharType="begin"/>
          </w:r>
          <w:r>
            <w:rPr>
              <w:sz w:val="36"/>
              <w:szCs w:val="36"/>
            </w:rPr>
            <w:instrText xml:space="preserve"> HYPERLINK \l _Toc28636 </w:instrText>
          </w:r>
          <w:r>
            <w:rPr>
              <w:sz w:val="36"/>
              <w:szCs w:val="36"/>
            </w:rPr>
            <w:fldChar w:fldCharType="separate"/>
          </w:r>
          <w:r>
            <w:rPr>
              <w:rFonts w:hint="eastAsia" w:ascii="黑体" w:hAnsi="黑体" w:eastAsia="黑体"/>
              <w:sz w:val="36"/>
              <w:szCs w:val="36"/>
            </w:rPr>
            <w:t xml:space="preserve">第三章  合同文本</w:t>
          </w:r>
          <w:bookmarkStart w:id="33" w:name="_GoBack"/>
          <w:r/>
          <w:bookmarkEnd w:id="33"/>
          <w:r>
            <w:rPr>
              <w:sz w:val="36"/>
              <w:szCs w:val="36"/>
            </w:rPr>
            <w:tab/>
          </w:r>
          <w:r>
            <w:rPr>
              <w:sz w:val="36"/>
              <w:szCs w:val="36"/>
            </w:rPr>
            <w:fldChar w:fldCharType="begin"/>
          </w:r>
          <w:r>
            <w:rPr>
              <w:sz w:val="36"/>
              <w:szCs w:val="36"/>
            </w:rPr>
            <w:instrText xml:space="preserve"> PAGEREF _Toc28636 \h </w:instrText>
          </w:r>
          <w:r>
            <w:rPr>
              <w:sz w:val="36"/>
              <w:szCs w:val="36"/>
            </w:rPr>
            <w:fldChar w:fldCharType="separate"/>
          </w:r>
          <w:r>
            <w:rPr>
              <w:sz w:val="36"/>
              <w:szCs w:val="36"/>
            </w:rPr>
            <w:t xml:space="preserve">21</w:t>
          </w:r>
          <w:r>
            <w:rPr>
              <w:sz w:val="36"/>
              <w:szCs w:val="36"/>
            </w:rPr>
            <w:fldChar w:fldCharType="end"/>
          </w:r>
          <w:r>
            <w:rPr>
              <w:sz w:val="36"/>
              <w:szCs w:val="36"/>
            </w:rPr>
            <w:fldChar w:fldCharType="end"/>
          </w:r>
          <w:r/>
        </w:p>
        <w:p>
          <w:pPr>
            <w:pStyle w:val="795"/>
            <w:tabs>
              <w:tab w:val="clear" w:pos="9628" w:leader="none"/>
              <w:tab w:val="right" w:pos="9638" w:leader="dot"/>
            </w:tabs>
            <w:rPr>
              <w:sz w:val="36"/>
              <w:szCs w:val="36"/>
            </w:rPr>
          </w:pPr>
          <w:r>
            <w:rPr>
              <w:sz w:val="36"/>
              <w:szCs w:val="36"/>
            </w:rPr>
            <w:fldChar w:fldCharType="begin"/>
          </w:r>
          <w:r>
            <w:rPr>
              <w:sz w:val="36"/>
              <w:szCs w:val="36"/>
            </w:rPr>
            <w:instrText xml:space="preserve"> HYPERLINK \l _Toc24310 </w:instrText>
          </w:r>
          <w:r>
            <w:rPr>
              <w:sz w:val="36"/>
              <w:szCs w:val="36"/>
            </w:rPr>
            <w:fldChar w:fldCharType="separate"/>
          </w:r>
          <w:r>
            <w:rPr>
              <w:rFonts w:hint="eastAsia" w:ascii="黑体" w:hAnsi="黑体" w:eastAsia="黑体"/>
              <w:sz w:val="36"/>
              <w:szCs w:val="36"/>
            </w:rPr>
            <w:t xml:space="preserve">第四章  采购需求</w:t>
          </w:r>
          <w:r>
            <w:rPr>
              <w:sz w:val="36"/>
              <w:szCs w:val="36"/>
            </w:rPr>
            <w:tab/>
          </w:r>
          <w:r>
            <w:rPr>
              <w:sz w:val="36"/>
              <w:szCs w:val="36"/>
            </w:rPr>
            <w:fldChar w:fldCharType="begin"/>
          </w:r>
          <w:r>
            <w:rPr>
              <w:sz w:val="36"/>
              <w:szCs w:val="36"/>
            </w:rPr>
            <w:instrText xml:space="preserve"> PAGEREF _Toc24310 \h </w:instrText>
          </w:r>
          <w:r>
            <w:rPr>
              <w:sz w:val="36"/>
              <w:szCs w:val="36"/>
            </w:rPr>
            <w:fldChar w:fldCharType="separate"/>
          </w:r>
          <w:r>
            <w:rPr>
              <w:sz w:val="36"/>
              <w:szCs w:val="36"/>
            </w:rPr>
            <w:t xml:space="preserve">27</w:t>
          </w:r>
          <w:r>
            <w:rPr>
              <w:sz w:val="36"/>
              <w:szCs w:val="36"/>
            </w:rPr>
            <w:fldChar w:fldCharType="end"/>
          </w:r>
          <w:r>
            <w:rPr>
              <w:sz w:val="36"/>
              <w:szCs w:val="36"/>
            </w:rPr>
            <w:fldChar w:fldCharType="end"/>
          </w:r>
          <w:r/>
        </w:p>
        <w:p>
          <w:pPr>
            <w:pStyle w:val="795"/>
            <w:tabs>
              <w:tab w:val="clear" w:pos="9628" w:leader="none"/>
              <w:tab w:val="right" w:pos="9638" w:leader="dot"/>
            </w:tabs>
            <w:rPr>
              <w:sz w:val="36"/>
              <w:szCs w:val="36"/>
            </w:rPr>
          </w:pPr>
          <w:r>
            <w:rPr>
              <w:sz w:val="36"/>
              <w:szCs w:val="36"/>
            </w:rPr>
            <w:fldChar w:fldCharType="begin"/>
          </w:r>
          <w:r>
            <w:rPr>
              <w:sz w:val="36"/>
              <w:szCs w:val="36"/>
            </w:rPr>
            <w:instrText xml:space="preserve"> HYPERLINK \l _Toc5691 </w:instrText>
          </w:r>
          <w:r>
            <w:rPr>
              <w:sz w:val="36"/>
              <w:szCs w:val="36"/>
            </w:rPr>
            <w:fldChar w:fldCharType="separate"/>
          </w:r>
          <w:r>
            <w:rPr>
              <w:rFonts w:ascii="黑体" w:hAnsi="黑体" w:eastAsia="黑体"/>
              <w:sz w:val="36"/>
              <w:szCs w:val="36"/>
              <w:highlight w:val="none"/>
            </w:rPr>
            <w:t xml:space="preserve">第五章</w:t>
          </w:r>
          <w:r>
            <w:rPr>
              <w:rFonts w:hint="eastAsia" w:ascii="黑体" w:hAnsi="黑体" w:eastAsia="黑体"/>
              <w:sz w:val="36"/>
              <w:szCs w:val="36"/>
              <w:highlight w:val="none"/>
            </w:rPr>
            <w:t xml:space="preserve">  评标方法与评标标准</w:t>
          </w:r>
          <w:r>
            <w:rPr>
              <w:sz w:val="36"/>
              <w:szCs w:val="36"/>
            </w:rPr>
            <w:tab/>
          </w:r>
          <w:r>
            <w:rPr>
              <w:sz w:val="36"/>
              <w:szCs w:val="36"/>
            </w:rPr>
            <w:fldChar w:fldCharType="begin"/>
          </w:r>
          <w:r>
            <w:rPr>
              <w:sz w:val="36"/>
              <w:szCs w:val="36"/>
            </w:rPr>
            <w:instrText xml:space="preserve"> PAGEREF _Toc5691 \h </w:instrText>
          </w:r>
          <w:r>
            <w:rPr>
              <w:sz w:val="36"/>
              <w:szCs w:val="36"/>
            </w:rPr>
            <w:fldChar w:fldCharType="separate"/>
          </w:r>
          <w:r>
            <w:rPr>
              <w:sz w:val="36"/>
              <w:szCs w:val="36"/>
            </w:rPr>
            <w:t xml:space="preserve">74</w:t>
          </w:r>
          <w:r>
            <w:rPr>
              <w:sz w:val="36"/>
              <w:szCs w:val="36"/>
            </w:rPr>
            <w:fldChar w:fldCharType="end"/>
          </w:r>
          <w:r>
            <w:rPr>
              <w:sz w:val="36"/>
              <w:szCs w:val="36"/>
            </w:rPr>
            <w:fldChar w:fldCharType="end"/>
          </w:r>
          <w:r/>
        </w:p>
        <w:p>
          <w:pPr>
            <w:pStyle w:val="795"/>
            <w:tabs>
              <w:tab w:val="clear" w:pos="9628" w:leader="none"/>
              <w:tab w:val="right" w:pos="9638" w:leader="dot"/>
            </w:tabs>
            <w:rPr>
              <w:sz w:val="36"/>
              <w:szCs w:val="36"/>
            </w:rPr>
          </w:pPr>
          <w:r>
            <w:rPr>
              <w:sz w:val="36"/>
              <w:szCs w:val="36"/>
            </w:rPr>
            <w:fldChar w:fldCharType="begin"/>
          </w:r>
          <w:r>
            <w:rPr>
              <w:sz w:val="36"/>
              <w:szCs w:val="36"/>
            </w:rPr>
            <w:instrText xml:space="preserve"> HYPERLINK \l _Toc3616 </w:instrText>
          </w:r>
          <w:r>
            <w:rPr>
              <w:sz w:val="36"/>
              <w:szCs w:val="36"/>
            </w:rPr>
            <w:fldChar w:fldCharType="separate"/>
          </w:r>
          <w:r>
            <w:rPr>
              <w:rFonts w:hint="eastAsia" w:ascii="黑体" w:hAnsi="黑体" w:eastAsia="黑体"/>
              <w:sz w:val="36"/>
              <w:szCs w:val="36"/>
              <w:highlight w:val="none"/>
            </w:rPr>
            <w:t xml:space="preserve">第六章  投标文件格式</w:t>
          </w:r>
          <w:r>
            <w:rPr>
              <w:sz w:val="36"/>
              <w:szCs w:val="36"/>
            </w:rPr>
            <w:tab/>
          </w:r>
          <w:r>
            <w:rPr>
              <w:sz w:val="36"/>
              <w:szCs w:val="36"/>
            </w:rPr>
            <w:fldChar w:fldCharType="begin"/>
          </w:r>
          <w:r>
            <w:rPr>
              <w:sz w:val="36"/>
              <w:szCs w:val="36"/>
            </w:rPr>
            <w:instrText xml:space="preserve"> PAGEREF _Toc3616 \h </w:instrText>
          </w:r>
          <w:r>
            <w:rPr>
              <w:sz w:val="36"/>
              <w:szCs w:val="36"/>
            </w:rPr>
            <w:fldChar w:fldCharType="separate"/>
          </w:r>
          <w:r>
            <w:rPr>
              <w:sz w:val="36"/>
              <w:szCs w:val="36"/>
            </w:rPr>
            <w:t xml:space="preserve">78</w:t>
          </w:r>
          <w:r>
            <w:rPr>
              <w:sz w:val="36"/>
              <w:szCs w:val="36"/>
            </w:rPr>
            <w:fldChar w:fldCharType="end"/>
          </w:r>
          <w:r>
            <w:rPr>
              <w:sz w:val="36"/>
              <w:szCs w:val="36"/>
            </w:rPr>
            <w:fldChar w:fldCharType="end"/>
          </w:r>
          <w:r/>
        </w:p>
        <w:p>
          <w:r>
            <w:rPr>
              <w:sz w:val="16"/>
              <w:szCs w:val="16"/>
            </w:rPr>
            <w:fldChar w:fldCharType="end"/>
          </w:r>
          <w:r/>
        </w:p>
      </w:sdtContent>
    </w:sdt>
    <w:p>
      <w:r/>
      <w:r/>
    </w:p>
    <w:p>
      <w:pPr>
        <w:jc w:val="left"/>
        <w:spacing w:line="480" w:lineRule="auto"/>
        <w:widowControl/>
        <w:rPr>
          <w:rFonts w:asciiTheme="minorEastAsia" w:hAnsiTheme="minorEastAsia"/>
          <w:sz w:val="24"/>
        </w:rPr>
      </w:pPr>
      <w:r>
        <w:rPr>
          <w:rFonts w:asciiTheme="minorEastAsia" w:hAnsiTheme="minorEastAsia"/>
          <w:sz w:val="24"/>
        </w:rPr>
        <w:br w:type="page" w:clear="all"/>
      </w:r>
      <w:r/>
    </w:p>
    <w:p>
      <w:pPr>
        <w:pStyle w:val="770"/>
        <w:jc w:val="center"/>
        <w:spacing w:before="156" w:after="156" w:line="360" w:lineRule="auto"/>
        <w:rPr>
          <w:rFonts w:ascii="黑体" w:hAnsi="黑体" w:eastAsia="黑体"/>
          <w:b w:val="0"/>
        </w:rPr>
        <w:sectPr>
          <w:headerReference w:type="default" r:id="rId9"/>
          <w:headerReference w:type="first" r:id="rId10"/>
          <w:footerReference w:type="default" r:id="rId11"/>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770"/>
        <w:jc w:val="center"/>
        <w:spacing w:before="156" w:after="156" w:line="360" w:lineRule="auto"/>
        <w:rPr>
          <w:rFonts w:ascii="黑体" w:hAnsi="黑体" w:eastAsia="黑体"/>
          <w:b w:val="0"/>
        </w:rPr>
      </w:pPr>
      <w:r/>
      <w:bookmarkStart w:id="0" w:name="_Toc163482573"/>
      <w:r>
        <w:rPr>
          <w:rFonts w:hint="eastAsia" w:ascii="黑体" w:hAnsi="黑体" w:eastAsia="黑体"/>
          <w:b w:val="0"/>
          <w:lang w:val="en-US" w:eastAsia="zh-CN"/>
        </w:rPr>
        <w:t xml:space="preserve">   </w:t>
      </w:r>
      <w:bookmarkStart w:id="1" w:name="_Toc22256"/>
      <w:r>
        <w:rPr>
          <w:rFonts w:hint="eastAsia" w:ascii="黑体" w:hAnsi="黑体" w:eastAsia="黑体"/>
          <w:b w:val="0"/>
        </w:rPr>
        <w:t xml:space="preserve">第一章  投标邀请</w:t>
      </w:r>
      <w:bookmarkEnd w:id="0"/>
      <w:r/>
      <w:bookmarkEnd w:id="1"/>
      <w:r/>
      <w:r/>
    </w:p>
    <w:p>
      <w:pPr>
        <w:ind w:firstLine="480"/>
        <w:spacing w:line="500" w:lineRule="exact"/>
        <w:rPr>
          <w:rFonts w:asciiTheme="minorEastAsia" w:hAnsiTheme="minorEastAsia"/>
          <w:sz w:val="22"/>
          <w:szCs w:val="22"/>
          <w:highlight w:val="none"/>
        </w:rPr>
      </w:pPr>
      <w:r>
        <w:rPr>
          <w:rFonts w:hint="eastAsia" w:asciiTheme="minorEastAsia" w:hAnsiTheme="minorEastAsia"/>
          <w:sz w:val="22"/>
          <w:szCs w:val="22"/>
        </w:rPr>
        <w:t xml:space="preserve">受</w:t>
      </w:r>
      <w:r>
        <w:rPr>
          <w:rFonts w:hint="eastAsia" w:eastAsia="宋体"/>
          <w:sz w:val="22"/>
          <w:szCs w:val="22"/>
          <w:lang w:eastAsia="zh-CN"/>
        </w:rPr>
        <w:t xml:space="preserve">连云港市应急管理服务中心</w:t>
      </w:r>
      <w:r>
        <w:rPr>
          <w:rFonts w:hint="eastAsia" w:asciiTheme="minorEastAsia" w:hAnsiTheme="minorEastAsia"/>
          <w:sz w:val="22"/>
          <w:szCs w:val="22"/>
        </w:rPr>
        <w:t xml:space="preserve">的委托，江苏天园项目管理集团有限公司就</w:t>
      </w:r>
      <w:r>
        <w:rPr>
          <w:rFonts w:hint="eastAsia" w:eastAsia="宋体"/>
          <w:sz w:val="22"/>
          <w:szCs w:val="22"/>
          <w:lang w:eastAsia="zh-CN"/>
        </w:rPr>
        <w:t xml:space="preserve">考试考核设备采购更新</w:t>
      </w:r>
      <w:r>
        <w:rPr>
          <w:rFonts w:hint="eastAsia" w:asciiTheme="minorEastAsia" w:hAnsiTheme="minorEastAsia"/>
          <w:sz w:val="22"/>
          <w:szCs w:val="22"/>
        </w:rPr>
        <w:t xml:space="preserve">（</w:t>
      </w:r>
      <w:r>
        <w:rPr>
          <w:rFonts w:hint="eastAsia" w:asciiTheme="minorEastAsia" w:hAnsiTheme="minorEastAsia"/>
          <w:sz w:val="22"/>
          <w:szCs w:val="22"/>
          <w:highlight w:val="none"/>
        </w:rPr>
        <w:t xml:space="preserve">项目编号</w:t>
      </w:r>
      <w:r>
        <w:rPr>
          <w:rFonts w:hint="eastAsia" w:asciiTheme="minorEastAsia" w:hAnsiTheme="minorEastAsia"/>
          <w:sz w:val="22"/>
          <w:szCs w:val="22"/>
          <w:highlight w:val="none"/>
          <w:lang w:eastAsia="zh-CN"/>
        </w:rPr>
        <w:t xml:space="preserve">：</w:t>
      </w:r>
      <w:r>
        <w:rPr>
          <w:rFonts w:hint="eastAsia" w:asciiTheme="minorEastAsia" w:hAnsiTheme="minorEastAsia"/>
          <w:sz w:val="22"/>
          <w:szCs w:val="22"/>
          <w:highlight w:val="none"/>
        </w:rPr>
        <w:t xml:space="preserve">JSZC-320700-TYJT-G2026-0020）进行公开招标采购，欢迎符合条件的供应商投标。</w:t>
      </w:r>
      <w:r/>
    </w:p>
    <w:tbl>
      <w:tblPr>
        <w:tblStyle w:val="80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0"/>
      </w:tblGrid>
      <w:tr>
        <w:trPr/>
        <w:tc>
          <w:tcPr>
            <w:tcW w:w="9639" w:type="dxa"/>
            <w:textDirection w:val="lrTb"/>
            <w:noWrap w:val="false"/>
          </w:tcPr>
          <w:p>
            <w:pPr>
              <w:spacing w:line="500" w:lineRule="exact"/>
              <w:rPr>
                <w:rFonts w:asciiTheme="minorEastAsia" w:hAnsiTheme="minorEastAsia"/>
                <w:sz w:val="22"/>
                <w:szCs w:val="22"/>
                <w:highlight w:val="none"/>
              </w:rPr>
            </w:pPr>
            <w:r>
              <w:rPr>
                <w:rFonts w:hint="eastAsia" w:asciiTheme="minorEastAsia" w:hAnsiTheme="minorEastAsia"/>
                <w:sz w:val="22"/>
                <w:szCs w:val="22"/>
                <w:highlight w:val="none"/>
              </w:rPr>
              <w:t xml:space="preserve">项目概况</w:t>
            </w:r>
            <w:r/>
          </w:p>
          <w:p>
            <w:pPr>
              <w:spacing w:line="500" w:lineRule="exact"/>
              <w:rPr>
                <w:rFonts w:asciiTheme="minorEastAsia" w:hAnsiTheme="minorEastAsia"/>
                <w:sz w:val="22"/>
                <w:szCs w:val="22"/>
                <w:highlight w:val="none"/>
              </w:rPr>
            </w:pPr>
            <w:r>
              <w:rPr>
                <w:rFonts w:hint="eastAsia" w:eastAsia="宋体" w:asciiTheme="minorEastAsia" w:hAnsiTheme="minorEastAsia"/>
                <w:b/>
                <w:bCs/>
                <w:sz w:val="22"/>
                <w:szCs w:val="22"/>
                <w:highlight w:val="none"/>
                <w:u w:val="single"/>
                <w:lang w:eastAsia="zh-CN"/>
              </w:rPr>
              <w:t xml:space="preserve">考试考核设备采购更新</w:t>
            </w:r>
            <w:r>
              <w:rPr>
                <w:rFonts w:hint="eastAsia" w:asciiTheme="minorEastAsia" w:hAnsiTheme="minorEastAsia"/>
                <w:sz w:val="22"/>
                <w:szCs w:val="22"/>
                <w:highlight w:val="none"/>
              </w:rPr>
              <w:t xml:space="preserve">招标项目的潜在投标人应在</w:t>
            </w:r>
            <w:r>
              <w:rPr>
                <w:rFonts w:hint="eastAsia" w:asciiTheme="minorEastAsia" w:hAnsiTheme="minorEastAsia"/>
                <w:b/>
                <w:sz w:val="22"/>
                <w:szCs w:val="22"/>
                <w:highlight w:val="none"/>
                <w:u w:val="single"/>
              </w:rPr>
              <w:t xml:space="preserve">江苏政府采购网</w:t>
            </w:r>
            <w:r>
              <w:rPr>
                <w:rFonts w:hint="eastAsia" w:asciiTheme="minorEastAsia" w:hAnsiTheme="minorEastAsia"/>
                <w:sz w:val="22"/>
                <w:szCs w:val="22"/>
                <w:highlight w:val="none"/>
              </w:rPr>
              <w:t xml:space="preserve">自行免费下载招标文件，并于</w:t>
            </w:r>
            <w:r>
              <w:rPr>
                <w:rFonts w:hint="eastAsia" w:asciiTheme="minorEastAsia" w:hAnsiTheme="minorEastAsia"/>
                <w:b/>
                <w:bCs w:val="0"/>
                <w:sz w:val="22"/>
                <w:szCs w:val="22"/>
                <w:highlight w:val="none"/>
                <w:u w:val="single"/>
              </w:rPr>
              <w:t xml:space="preserve">2026年</w:t>
            </w:r>
            <w:r>
              <w:rPr>
                <w:rFonts w:hint="eastAsia" w:eastAsia="宋体" w:asciiTheme="minorEastAsia" w:hAnsiTheme="minorEastAsia"/>
                <w:b/>
                <w:bCs w:val="0"/>
                <w:sz w:val="22"/>
                <w:szCs w:val="22"/>
                <w:highlight w:val="none"/>
                <w:u w:val="single"/>
                <w:lang w:val="en-US" w:eastAsia="zh-CN"/>
              </w:rPr>
              <w:t xml:space="preserve">11</w:t>
            </w:r>
            <w:r>
              <w:rPr>
                <w:rFonts w:hint="eastAsia" w:asciiTheme="minorEastAsia" w:hAnsiTheme="minorEastAsia"/>
                <w:b/>
                <w:bCs w:val="0"/>
                <w:sz w:val="22"/>
                <w:szCs w:val="22"/>
                <w:highlight w:val="none"/>
                <w:u w:val="single"/>
              </w:rPr>
              <w:t xml:space="preserve">月</w:t>
            </w:r>
            <w:r>
              <w:rPr>
                <w:rFonts w:hint="eastAsia" w:eastAsia="宋体" w:asciiTheme="minorEastAsia" w:hAnsiTheme="minorEastAsia"/>
                <w:b/>
                <w:bCs w:val="0"/>
                <w:sz w:val="22"/>
                <w:szCs w:val="22"/>
                <w:highlight w:val="none"/>
                <w:u w:val="single"/>
                <w:lang w:val="en-US" w:eastAsia="zh-CN"/>
              </w:rPr>
              <w:t xml:space="preserve">09</w:t>
            </w:r>
            <w:r>
              <w:rPr>
                <w:rFonts w:hint="eastAsia" w:asciiTheme="minorEastAsia" w:hAnsiTheme="minorEastAsia"/>
                <w:b/>
                <w:bCs w:val="0"/>
                <w:sz w:val="22"/>
                <w:szCs w:val="22"/>
                <w:highlight w:val="none"/>
                <w:u w:val="single"/>
              </w:rPr>
              <w:t xml:space="preserve">日</w:t>
            </w:r>
            <w:r>
              <w:rPr>
                <w:rFonts w:hint="eastAsia" w:eastAsia="宋体" w:asciiTheme="minorEastAsia" w:hAnsiTheme="minorEastAsia"/>
                <w:b/>
                <w:bCs w:val="0"/>
                <w:sz w:val="22"/>
                <w:szCs w:val="22"/>
                <w:highlight w:val="none"/>
                <w:u w:val="single"/>
                <w:lang w:val="en-US" w:eastAsia="zh-CN"/>
              </w:rPr>
              <w:t xml:space="preserve">09</w:t>
            </w:r>
            <w:r>
              <w:rPr>
                <w:rFonts w:hint="eastAsia" w:asciiTheme="minorEastAsia" w:hAnsiTheme="minorEastAsia"/>
                <w:b/>
                <w:bCs w:val="0"/>
                <w:sz w:val="22"/>
                <w:szCs w:val="22"/>
                <w:highlight w:val="none"/>
                <w:u w:val="single"/>
              </w:rPr>
              <w:t xml:space="preserve">:00:00</w:t>
            </w:r>
            <w:r>
              <w:rPr>
                <w:rFonts w:hint="eastAsia" w:asciiTheme="minorEastAsia" w:hAnsiTheme="minorEastAsia"/>
                <w:sz w:val="22"/>
                <w:szCs w:val="22"/>
                <w:highlight w:val="none"/>
                <w:u w:val="single"/>
              </w:rPr>
              <w:t xml:space="preserve">（北京时间）</w:t>
            </w:r>
            <w:r>
              <w:rPr>
                <w:rFonts w:hint="eastAsia" w:asciiTheme="minorEastAsia" w:hAnsiTheme="minorEastAsia"/>
                <w:sz w:val="22"/>
                <w:szCs w:val="22"/>
                <w:highlight w:val="none"/>
              </w:rPr>
              <w:t xml:space="preserve">前递交（上传）投标文件。</w:t>
            </w:r>
            <w:r/>
          </w:p>
        </w:tc>
      </w:tr>
    </w:tbl>
    <w:p>
      <w:pPr>
        <w:pStyle w:val="771"/>
        <w:spacing w:before="0" w:after="0" w:line="500" w:lineRule="exact"/>
        <w:rPr>
          <w:rFonts w:asciiTheme="minorEastAsia" w:hAnsiTheme="minorEastAsia" w:eastAsiaTheme="minorEastAsia" w:cstheme="minorBidi"/>
          <w:bCs w:val="0"/>
          <w:sz w:val="28"/>
          <w:szCs w:val="21"/>
          <w:highlight w:val="none"/>
        </w:rPr>
      </w:pPr>
      <w:r>
        <w:rPr>
          <w:rFonts w:hint="eastAsia" w:asciiTheme="minorEastAsia" w:hAnsiTheme="minorEastAsia" w:eastAsiaTheme="minorEastAsia" w:cstheme="minorBidi"/>
          <w:bCs w:val="0"/>
          <w:sz w:val="28"/>
          <w:szCs w:val="21"/>
          <w:highlight w:val="none"/>
        </w:rPr>
        <w:t xml:space="preserve">一、项目基本情况</w:t>
      </w:r>
      <w:r/>
    </w:p>
    <w:p>
      <w:pPr>
        <w:ind w:firstLine="480"/>
        <w:keepLines w:val="0"/>
        <w:keepNext w:val="0"/>
        <w:pageBreakBefore w:val="0"/>
        <w:spacing w:line="500" w:lineRule="exact"/>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项目编号：JSZC-320700-TYJT-G2026-0020</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项目名称：</w:t>
      </w:r>
      <w:r>
        <w:rPr>
          <w:rFonts w:hint="eastAsia" w:ascii="宋体" w:hAnsi="宋体" w:eastAsia="宋体" w:cs="宋体"/>
          <w:sz w:val="22"/>
          <w:szCs w:val="22"/>
          <w:lang w:eastAsia="zh-CN"/>
        </w:rPr>
        <w:t xml:space="preserve">考试考核设备采购更新</w:t>
      </w:r>
      <w:r/>
    </w:p>
    <w:p>
      <w:pPr>
        <w:ind w:firstLine="480"/>
        <w:keepLines w:val="0"/>
        <w:keepNext w:val="0"/>
        <w:pageBreakBefore w:val="0"/>
        <w:spacing w:line="50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采购方式：公开招标</w:t>
      </w:r>
      <w:r/>
    </w:p>
    <w:p>
      <w:pPr>
        <w:ind w:firstLine="480"/>
        <w:keepLines w:val="0"/>
        <w:keepNext w:val="0"/>
        <w:pageBreakBefore w:val="0"/>
        <w:spacing w:line="500" w:lineRule="exact"/>
        <w:widowControl w:val="off"/>
        <w:rPr>
          <w:rFonts w:hint="eastAsia" w:ascii="宋体" w:hAnsi="宋体" w:eastAsia="宋体" w:cs="宋体"/>
          <w:color w:val="000000"/>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预算金额：人民币</w:t>
      </w:r>
      <w:r>
        <w:rPr>
          <w:rFonts w:hint="eastAsia" w:ascii="宋体" w:hAnsi="宋体" w:eastAsia="宋体" w:cs="宋体"/>
          <w:sz w:val="22"/>
          <w:szCs w:val="22"/>
          <w:lang w:val="en-US" w:eastAsia="zh-CN"/>
        </w:rPr>
        <w:t xml:space="preserve">458.72</w:t>
      </w:r>
      <w:r>
        <w:rPr>
          <w:rFonts w:hint="eastAsia" w:ascii="宋体" w:hAnsi="宋体" w:eastAsia="宋体" w:cs="宋体"/>
          <w:sz w:val="22"/>
          <w:szCs w:val="22"/>
        </w:rPr>
        <w:t xml:space="preserve">万元，</w:t>
      </w:r>
      <w:r>
        <w:rPr>
          <w:rFonts w:hint="eastAsia" w:ascii="宋体" w:hAnsi="宋体" w:eastAsia="宋体" w:cs="宋体"/>
          <w:color w:val="000000"/>
          <w:sz w:val="22"/>
          <w:szCs w:val="22"/>
        </w:rPr>
        <w:t xml:space="preserve">投标报价超过</w:t>
      </w:r>
      <w:r>
        <w:rPr>
          <w:rFonts w:hint="eastAsia" w:ascii="宋体" w:hAnsi="宋体" w:eastAsia="宋体" w:cs="宋体"/>
          <w:bCs/>
          <w:color w:val="000000"/>
          <w:sz w:val="22"/>
          <w:szCs w:val="22"/>
        </w:rPr>
        <w:t xml:space="preserve">预算金额</w:t>
      </w:r>
      <w:r>
        <w:rPr>
          <w:rFonts w:hint="eastAsia" w:ascii="宋体" w:hAnsi="宋体" w:eastAsia="宋体" w:cs="宋体"/>
          <w:color w:val="000000"/>
          <w:sz w:val="22"/>
          <w:szCs w:val="22"/>
        </w:rPr>
        <w:t xml:space="preserve">的投标无效。</w:t>
      </w:r>
      <w:r/>
    </w:p>
    <w:p>
      <w:pPr>
        <w:ind w:firstLine="480"/>
        <w:keepLines w:val="0"/>
        <w:keepNext w:val="0"/>
        <w:pageBreakBefore w:val="0"/>
        <w:spacing w:line="50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采购需求：</w:t>
      </w:r>
      <w:r>
        <w:rPr>
          <w:rFonts w:hint="eastAsia" w:ascii="宋体" w:hAnsi="宋体" w:eastAsia="宋体" w:cs="宋体"/>
          <w:color w:val="000000"/>
          <w:sz w:val="22"/>
          <w:szCs w:val="22"/>
        </w:rPr>
        <w:t xml:space="preserve">为进一步加强安全生产考试工作，规范安全生产考试机构和考试点管理，连云港市应急管理服务中心</w:t>
      </w:r>
      <w:r>
        <w:rPr>
          <w:rFonts w:hint="eastAsia" w:ascii="宋体" w:hAnsi="宋体" w:eastAsia="宋体" w:cs="宋体"/>
          <w:color w:val="000000"/>
          <w:sz w:val="22"/>
          <w:szCs w:val="22"/>
          <w:lang w:val="en-US" w:eastAsia="zh-CN"/>
        </w:rPr>
        <w:t xml:space="preserve">更新特种作业考试考核设备采购，本次采购项目涉及低压电工、高压电工、高处作业、登高作业等特种作业实操考试设备及配套设备，所购设备应满足应急管理部关于印发《安全生产考试机构和考试点管理规定》的通知，</w:t>
      </w:r>
      <w:r>
        <w:rPr>
          <w:rFonts w:hint="eastAsia" w:ascii="宋体" w:hAnsi="宋体" w:eastAsia="宋体" w:cs="宋体"/>
          <w:sz w:val="22"/>
          <w:szCs w:val="22"/>
        </w:rPr>
        <w:t xml:space="preserve">具体要求详见第四章采购需求。</w:t>
      </w:r>
      <w:r/>
    </w:p>
    <w:p>
      <w:pPr>
        <w:ind w:firstLine="480"/>
        <w:pageBreakBefore w:val="0"/>
        <w:spacing w:line="480" w:lineRule="exact"/>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对项目采购需求部分的询问、质疑请与采购人联系，由采购人负责答复。</w:t>
      </w:r>
      <w:r/>
    </w:p>
    <w:p>
      <w:pPr>
        <w:ind w:firstLine="48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rPr>
        <w:t xml:space="preserve">合同履行期限：</w:t>
      </w:r>
      <w:r>
        <w:rPr>
          <w:rFonts w:hint="eastAsia" w:ascii="宋体" w:hAnsi="宋体" w:eastAsia="宋体" w:cs="宋体"/>
          <w:color w:val="auto"/>
          <w:sz w:val="22"/>
          <w:szCs w:val="22"/>
          <w:highlight w:val="none"/>
        </w:rPr>
        <w:t xml:space="preserve">合同签订后</w:t>
      </w:r>
      <w:r>
        <w:rPr>
          <w:rFonts w:hint="eastAsia" w:ascii="宋体" w:hAnsi="宋体" w:eastAsia="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日历天内完成供货并调试安装完毕，试运行60日历天正常后，通过验收后交付使用。</w:t>
      </w:r>
      <w:r/>
    </w:p>
    <w:p>
      <w:pPr>
        <w:ind w:firstLine="480"/>
        <w:keepLines w:val="0"/>
        <w:keepNext w:val="0"/>
        <w:pageBreakBefore w:val="0"/>
        <w:spacing w:line="50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本项目</w:t>
      </w:r>
      <w:r>
        <w:rPr>
          <w:rFonts w:hint="eastAsia" w:ascii="宋体" w:hAnsi="宋体" w:eastAsia="宋体" w:cs="宋体"/>
          <w:sz w:val="22"/>
          <w:szCs w:val="22"/>
          <w:u w:val="single"/>
        </w:rPr>
        <w:t xml:space="preserve">不接受</w:t>
      </w:r>
      <w:r>
        <w:rPr>
          <w:rFonts w:hint="eastAsia" w:ascii="宋体" w:hAnsi="宋体" w:eastAsia="宋体" w:cs="宋体"/>
          <w:sz w:val="22"/>
          <w:szCs w:val="22"/>
        </w:rPr>
        <w:t xml:space="preserve">联合体投标。</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二、申请人的资格要求</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（一）满足《中华人民共和国政府采购法》第二十二条规定，并提供下列材料：</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1.法人或者其他组织的营业执照等证明文件，自然人的身份证明；</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2.上一年度的财务状况报告（成立不满一年无需提供）；</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pageBreakBefore w:val="0"/>
        <w:spacing w:line="480" w:lineRule="exact"/>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根据连财购〔2023〕4号、连财购</w:t>
      </w:r>
      <w:r>
        <w:rPr>
          <w:rFonts w:hint="eastAsia" w:ascii="宋体" w:hAnsi="宋体" w:cs="宋体"/>
          <w:b/>
          <w:bCs/>
          <w:color w:val="auto"/>
          <w:sz w:val="22"/>
          <w:szCs w:val="22"/>
          <w:highlight w:val="white"/>
          <w:lang w:eastAsia="zh-CN"/>
        </w:rPr>
        <w:t xml:space="preserve">〔2023〕9号</w:t>
      </w:r>
      <w:r>
        <w:rPr>
          <w:rFonts w:hint="eastAsia" w:ascii="宋体" w:hAnsi="宋体" w:eastAsia="宋体" w:cs="宋体"/>
          <w:b/>
          <w:bCs/>
          <w:color w:val="auto"/>
          <w:sz w:val="22"/>
          <w:szCs w:val="22"/>
          <w:highlight w:val="whit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4.具备履行合同所必需的设备和专业技术能力的声明及证明材料；</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5.参加政府采购活动前3年内在经营活动中没有重大违法记录的书面声明。</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6.法律、行政法规规定的其他条件。（如有，请按要求提供）</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资格审查现场查询信用中国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二）落实政府采购政策需满足的资格要求：根据财政部、工业和信息化部关于印发《政府采购促进中小企业发展管理办法》的通知（财库〔2020〕46号）等相关文件要求，本采购包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（三）本项目的特定资格要求：无。</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lang w:val="en-US" w:eastAsia="zh-CN"/>
        </w:rPr>
        <w:t xml:space="preserve">（四）</w:t>
      </w:r>
      <w:r>
        <w:rPr>
          <w:rFonts w:hint="eastAsia" w:ascii="宋体" w:hAnsi="宋体" w:eastAsia="宋体" w:cs="宋体"/>
          <w:color w:val="auto"/>
          <w:sz w:val="22"/>
          <w:szCs w:val="22"/>
          <w:highlight w:val="white"/>
        </w:rPr>
        <w:t xml:space="preserve">本项目的其他资格要求：</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2.本项目不接受进口产品（进口产品是指通过中国海关报关验放进入中国境内且产自关境外的产品）投标。</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3.中标后不允许分包或转包。</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4.法律法规规定的其他条件。</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三、获取招标文件</w:t>
      </w:r>
      <w:r/>
    </w:p>
    <w:p>
      <w:pPr>
        <w:ind w:firstLine="480"/>
        <w:jc w:val="left"/>
        <w:spacing w:line="500" w:lineRule="exact"/>
        <w:rPr>
          <w:rFonts w:asciiTheme="minorEastAsia" w:hAnsiTheme="minorEastAsia"/>
          <w:sz w:val="22"/>
          <w:szCs w:val="22"/>
          <w:highlight w:val="none"/>
        </w:rPr>
      </w:pPr>
      <w:r>
        <w:rPr>
          <w:rFonts w:hint="eastAsia" w:asciiTheme="minorEastAsia" w:hAnsiTheme="minorEastAsia"/>
          <w:sz w:val="22"/>
          <w:szCs w:val="22"/>
          <w:highlight w:val="none"/>
        </w:rPr>
        <w:t xml:space="preserve">时间：自招标文件公告发布之日起5个工作日</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地点：在“江苏政府采购网”自行免费下载招标文件</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Theme="minorEastAsia" w:hAnsiTheme="minorEastAsia"/>
          <w:sz w:val="22"/>
          <w:szCs w:val="22"/>
        </w:rPr>
        <w:t xml:space="preserve">方式：</w:t>
      </w:r>
      <w:r>
        <w:rPr>
          <w:rFonts w:hint="eastAsia" w:ascii="宋体" w:hAnsi="宋体" w:eastAsia="宋体" w:cs="宋体"/>
          <w:color w:val="auto"/>
          <w:sz w:val="22"/>
          <w:szCs w:val="22"/>
          <w:highlight w:val="white"/>
        </w:rPr>
        <w:t xml:space="preserve">本项目采用网上注册登记方式。</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①登录http://jszfcg.jsczt.cn/ ，或进入江苏政府采购网，点击“苏采云”进入系统。</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⑦请潜在投标人提前安装相应的控件(详见《江苏省政府采购管理交易系统(苏采云)供应商操作手册</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rPr>
        <w:t xml:space="preserve">)并使用谷歌浏览器登录“苏采云”系统参与不见面开评标。</w:t>
      </w:r>
      <w:r/>
    </w:p>
    <w:p>
      <w:pPr>
        <w:ind w:firstLine="540"/>
        <w:pageBreakBefore w:val="0"/>
        <w:spacing w:line="480" w:lineRule="exact"/>
        <w:rPr>
          <w:rFonts w:asciiTheme="minorEastAsia" w:hAnsiTheme="minorEastAsia"/>
          <w:sz w:val="22"/>
          <w:szCs w:val="22"/>
        </w:rPr>
      </w:pPr>
      <w:r>
        <w:rPr>
          <w:rFonts w:hint="eastAsia" w:ascii="宋体" w:hAnsi="宋体" w:eastAsia="宋体" w:cs="宋体"/>
          <w:b/>
          <w:bCs/>
          <w:color w:val="auto"/>
          <w:sz w:val="22"/>
          <w:szCs w:val="22"/>
          <w:highlight w:val="white"/>
        </w:rPr>
        <w:t xml:space="preserve">注:如潜在投标人未按上述要求操作，将自行承担所产生的风险。</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售价：0.00元</w:t>
      </w:r>
      <w:r/>
    </w:p>
    <w:p>
      <w:pPr>
        <w:pStyle w:val="771"/>
        <w:spacing w:before="0" w:after="0" w:line="500" w:lineRule="exact"/>
        <w:rPr>
          <w:rFonts w:asciiTheme="minorEastAsia" w:hAnsiTheme="minorEastAsia" w:eastAsiaTheme="minorEastAsia" w:cstheme="minorBidi"/>
          <w:bCs w:val="0"/>
          <w:sz w:val="28"/>
          <w:szCs w:val="21"/>
          <w:highlight w:val="none"/>
        </w:rPr>
      </w:pPr>
      <w:r>
        <w:rPr>
          <w:rFonts w:hint="eastAsia" w:asciiTheme="minorEastAsia" w:hAnsiTheme="minorEastAsia" w:eastAsiaTheme="minorEastAsia" w:cstheme="minorBidi"/>
          <w:bCs w:val="0"/>
          <w:sz w:val="28"/>
          <w:szCs w:val="21"/>
        </w:rPr>
        <w:t xml:space="preserve">四、提交</w:t>
      </w:r>
      <w:r>
        <w:rPr>
          <w:rFonts w:hint="eastAsia" w:asciiTheme="minorEastAsia" w:hAnsiTheme="minorEastAsia" w:eastAsiaTheme="minorEastAsia" w:cstheme="minorBidi"/>
          <w:bCs w:val="0"/>
          <w:sz w:val="28"/>
          <w:szCs w:val="21"/>
          <w:highlight w:val="none"/>
        </w:rPr>
        <w:t xml:space="preserve">投标文件截止时间、开标时间和地点</w:t>
      </w:r>
      <w:r/>
    </w:p>
    <w:p>
      <w:pPr>
        <w:ind w:firstLine="480"/>
        <w:spacing w:line="500" w:lineRule="exact"/>
        <w:rPr>
          <w:rFonts w:asciiTheme="minorEastAsia" w:hAnsiTheme="minorEastAsia"/>
          <w:sz w:val="22"/>
          <w:szCs w:val="22"/>
          <w:highlight w:val="none"/>
        </w:rPr>
      </w:pPr>
      <w:r>
        <w:rPr>
          <w:rFonts w:hint="eastAsia" w:asciiTheme="minorEastAsia" w:hAnsiTheme="minorEastAsia"/>
          <w:sz w:val="22"/>
          <w:szCs w:val="22"/>
          <w:highlight w:val="none"/>
        </w:rPr>
        <w:t xml:space="preserve">提交投标文件截止时间：2026年</w:t>
      </w:r>
      <w:r>
        <w:rPr>
          <w:rFonts w:hint="eastAsia" w:eastAsia="宋体" w:asciiTheme="minorEastAsia" w:hAnsiTheme="minorEastAsia"/>
          <w:sz w:val="22"/>
          <w:szCs w:val="22"/>
          <w:highlight w:val="none"/>
          <w:lang w:val="en-US" w:eastAsia="zh-CN"/>
        </w:rPr>
        <w:t xml:space="preserve">11</w:t>
      </w:r>
      <w:r>
        <w:rPr>
          <w:rFonts w:hint="eastAsia" w:asciiTheme="minorEastAsia" w:hAnsiTheme="minorEastAsia"/>
          <w:sz w:val="22"/>
          <w:szCs w:val="22"/>
          <w:highlight w:val="none"/>
        </w:rPr>
        <w:t xml:space="preserve">月</w:t>
      </w:r>
      <w:r>
        <w:rPr>
          <w:rFonts w:hint="eastAsia" w:eastAsia="宋体" w:asciiTheme="minorEastAsia" w:hAnsiTheme="minorEastAsia"/>
          <w:sz w:val="22"/>
          <w:szCs w:val="22"/>
          <w:highlight w:val="none"/>
          <w:lang w:val="en-US" w:eastAsia="zh-CN"/>
        </w:rPr>
        <w:t xml:space="preserve">09</w:t>
      </w:r>
      <w:r>
        <w:rPr>
          <w:rFonts w:hint="eastAsia" w:asciiTheme="minorEastAsia" w:hAnsiTheme="minorEastAsia"/>
          <w:sz w:val="22"/>
          <w:szCs w:val="22"/>
          <w:highlight w:val="none"/>
        </w:rPr>
        <w:t xml:space="preserve">日</w:t>
      </w:r>
      <w:r>
        <w:rPr>
          <w:rFonts w:hint="eastAsia" w:eastAsia="宋体" w:asciiTheme="minorEastAsia" w:hAnsiTheme="minorEastAsia"/>
          <w:sz w:val="22"/>
          <w:szCs w:val="22"/>
          <w:highlight w:val="none"/>
          <w:lang w:val="en-US" w:eastAsia="zh-CN"/>
        </w:rPr>
        <w:t xml:space="preserve">09</w:t>
      </w:r>
      <w:r>
        <w:rPr>
          <w:rFonts w:hint="eastAsia" w:asciiTheme="minorEastAsia" w:hAnsiTheme="minorEastAsia"/>
          <w:sz w:val="22"/>
          <w:szCs w:val="22"/>
          <w:highlight w:val="none"/>
        </w:rPr>
        <w:t xml:space="preserve">:00:00（北京时间）</w:t>
      </w:r>
      <w:r/>
    </w:p>
    <w:p>
      <w:pPr>
        <w:ind w:firstLine="480"/>
        <w:spacing w:line="500" w:lineRule="exact"/>
        <w:rPr>
          <w:rFonts w:asciiTheme="minorEastAsia" w:hAnsiTheme="minorEastAsia"/>
          <w:sz w:val="22"/>
          <w:szCs w:val="22"/>
          <w:highlight w:val="none"/>
        </w:rPr>
      </w:pPr>
      <w:r>
        <w:rPr>
          <w:rFonts w:hint="eastAsia" w:asciiTheme="minorEastAsia" w:hAnsiTheme="minorEastAsia"/>
          <w:sz w:val="22"/>
          <w:szCs w:val="22"/>
          <w:highlight w:val="none"/>
        </w:rPr>
        <w:t xml:space="preserve">开标时间：2026年</w:t>
      </w:r>
      <w:r>
        <w:rPr>
          <w:rFonts w:hint="eastAsia" w:eastAsia="宋体" w:asciiTheme="minorEastAsia" w:hAnsiTheme="minorEastAsia"/>
          <w:sz w:val="22"/>
          <w:szCs w:val="22"/>
          <w:highlight w:val="none"/>
          <w:lang w:val="en-US" w:eastAsia="zh-CN"/>
        </w:rPr>
        <w:t xml:space="preserve">11</w:t>
      </w:r>
      <w:r>
        <w:rPr>
          <w:rFonts w:hint="eastAsia" w:asciiTheme="minorEastAsia" w:hAnsiTheme="minorEastAsia"/>
          <w:sz w:val="22"/>
          <w:szCs w:val="22"/>
          <w:highlight w:val="none"/>
        </w:rPr>
        <w:t xml:space="preserve">月</w:t>
      </w:r>
      <w:r>
        <w:rPr>
          <w:rFonts w:hint="eastAsia" w:eastAsia="宋体" w:asciiTheme="minorEastAsia" w:hAnsiTheme="minorEastAsia"/>
          <w:sz w:val="22"/>
          <w:szCs w:val="22"/>
          <w:highlight w:val="none"/>
          <w:lang w:val="en-US" w:eastAsia="zh-CN"/>
        </w:rPr>
        <w:t xml:space="preserve">09</w:t>
      </w:r>
      <w:r>
        <w:rPr>
          <w:rFonts w:hint="eastAsia" w:asciiTheme="minorEastAsia" w:hAnsiTheme="minorEastAsia"/>
          <w:sz w:val="22"/>
          <w:szCs w:val="22"/>
          <w:highlight w:val="none"/>
        </w:rPr>
        <w:t xml:space="preserve">日</w:t>
      </w:r>
      <w:r>
        <w:rPr>
          <w:rFonts w:hint="eastAsia" w:eastAsia="宋体" w:asciiTheme="minorEastAsia" w:hAnsiTheme="minorEastAsia"/>
          <w:sz w:val="22"/>
          <w:szCs w:val="22"/>
          <w:highlight w:val="none"/>
          <w:lang w:val="en-US" w:eastAsia="zh-CN"/>
        </w:rPr>
        <w:t xml:space="preserve">09</w:t>
      </w:r>
      <w:r>
        <w:rPr>
          <w:rFonts w:hint="eastAsia" w:asciiTheme="minorEastAsia" w:hAnsiTheme="minorEastAsia"/>
          <w:sz w:val="22"/>
          <w:szCs w:val="22"/>
          <w:highlight w:val="none"/>
        </w:rPr>
        <w:t xml:space="preserve">:00:00（北京时间）</w:t>
      </w:r>
      <w:r/>
    </w:p>
    <w:p>
      <w:pPr>
        <w:ind w:firstLine="480"/>
        <w:spacing w:line="500" w:lineRule="exact"/>
        <w:rPr>
          <w:rFonts w:asciiTheme="minorEastAsia" w:hAnsiTheme="minorEastAsia"/>
          <w:sz w:val="20"/>
          <w:szCs w:val="21"/>
        </w:rPr>
      </w:pPr>
      <w:r>
        <w:rPr>
          <w:rFonts w:hint="eastAsia" w:asciiTheme="minorEastAsia" w:hAnsiTheme="minorEastAsia"/>
          <w:sz w:val="22"/>
          <w:szCs w:val="22"/>
        </w:rPr>
        <w:t xml:space="preserve">开标地点：“苏采云”政府采购交易系统网上开标大厅</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五、公告期限</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自本公告发布之日起5个工作日。</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六、其他补充事宜</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1.本次招标不收取投标保证金。</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2.本</w:t>
      </w:r>
      <w:r>
        <w:rPr>
          <w:rFonts w:hint="eastAsia" w:asciiTheme="minorEastAsia" w:hAnsiTheme="minorEastAsia"/>
          <w:i/>
          <w:iCs/>
          <w:sz w:val="22"/>
          <w:szCs w:val="22"/>
          <w:u w:val="single"/>
        </w:rPr>
        <w:t xml:space="preserve">招标文件中斜体且有下划线部分为实质性要求和条件</w:t>
      </w:r>
      <w:r>
        <w:rPr>
          <w:rFonts w:hint="eastAsia" w:asciiTheme="minorEastAsia" w:hAnsiTheme="minorEastAsia"/>
          <w:sz w:val="22"/>
          <w:szCs w:val="22"/>
        </w:rPr>
        <w:t xml:space="preserve">，投标人须逐条做出满足实质性要求和条件的响应，否则将按无效响应处理。</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http://www.ccgp</w:t>
      </w:r>
      <w:r>
        <w:rPr>
          <w:rFonts w:hint="eastAsia" w:eastAsia="宋体" w:asciiTheme="minorEastAsia" w:hAnsiTheme="minorEastAsia"/>
          <w:sz w:val="22"/>
          <w:szCs w:val="22"/>
          <w:lang w:val="en-US" w:eastAsia="zh-CN"/>
        </w:rPr>
        <w:t xml:space="preserve">-</w:t>
      </w:r>
      <w:r>
        <w:rPr>
          <w:rFonts w:hint="eastAsia" w:asciiTheme="minorEastAsia" w:hAnsiTheme="minorEastAsia"/>
          <w:sz w:val="22"/>
          <w:szCs w:val="22"/>
        </w:rPr>
        <w:t xml:space="preserve">jiangsu.gov.cn/jiangsu/zlxz/ee/ee3a4bc5a3454aa2b0d9312230633ce9.html</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2"/>
          <w:szCs w:val="22"/>
        </w:rPr>
        <w:t xml:space="preserve">自行承担一切损失。</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七、对本次招标提出询问，请按以下方式联系</w:t>
      </w:r>
      <w:r/>
    </w:p>
    <w:p>
      <w:pPr>
        <w:ind w:firstLine="480"/>
        <w:spacing w:line="500" w:lineRule="exact"/>
        <w:rPr>
          <w:rFonts w:asciiTheme="minorEastAsia" w:hAnsiTheme="minorEastAsia"/>
          <w:b w:val="0"/>
          <w:bCs w:val="0"/>
          <w:sz w:val="22"/>
          <w:szCs w:val="22"/>
        </w:rPr>
      </w:pPr>
      <w:r>
        <w:rPr>
          <w:rFonts w:hint="eastAsia" w:asciiTheme="minorEastAsia" w:hAnsiTheme="minorEastAsia"/>
          <w:b w:val="0"/>
          <w:bCs w:val="0"/>
          <w:sz w:val="22"/>
          <w:szCs w:val="22"/>
        </w:rPr>
        <w:t xml:space="preserve">1.采购人信息</w:t>
      </w:r>
      <w:r/>
    </w:p>
    <w:p>
      <w:pPr>
        <w:ind w:firstLine="480"/>
        <w:jc w:val="left"/>
        <w:spacing w:line="500" w:lineRule="exact"/>
        <w:rPr>
          <w:rFonts w:hint="eastAsia" w:eastAsia="宋体" w:asciiTheme="minorEastAsia" w:hAnsiTheme="minorEastAsia"/>
          <w:b w:val="0"/>
          <w:bCs w:val="0"/>
          <w:sz w:val="22"/>
          <w:szCs w:val="22"/>
          <w:lang w:eastAsia="zh-CN"/>
        </w:rPr>
      </w:pPr>
      <w:r>
        <w:rPr>
          <w:rFonts w:hint="eastAsia" w:asciiTheme="minorEastAsia" w:hAnsiTheme="minorEastAsia"/>
          <w:b w:val="0"/>
          <w:bCs w:val="0"/>
          <w:sz w:val="22"/>
          <w:szCs w:val="22"/>
        </w:rPr>
        <w:t xml:space="preserve">名    称：</w:t>
      </w:r>
      <w:r>
        <w:rPr>
          <w:rFonts w:hint="eastAsia" w:eastAsia="宋体"/>
          <w:b w:val="0"/>
          <w:bCs w:val="0"/>
          <w:sz w:val="22"/>
          <w:szCs w:val="22"/>
          <w:lang w:eastAsia="zh-CN"/>
        </w:rPr>
        <w:t xml:space="preserve">连云港市应急管理服务中心</w:t>
      </w:r>
      <w:r/>
    </w:p>
    <w:p>
      <w:pPr>
        <w:ind w:firstLine="480"/>
        <w:jc w:val="left"/>
        <w:spacing w:line="500" w:lineRule="exact"/>
        <w:rPr>
          <w:rFonts w:hint="eastAsia"/>
          <w:b w:val="0"/>
          <w:bCs w:val="0"/>
          <w:sz w:val="22"/>
          <w:szCs w:val="22"/>
        </w:rPr>
      </w:pPr>
      <w:r>
        <w:rPr>
          <w:rFonts w:hint="eastAsia" w:asciiTheme="minorEastAsia" w:hAnsiTheme="minorEastAsia"/>
          <w:b w:val="0"/>
          <w:bCs w:val="0"/>
          <w:sz w:val="22"/>
          <w:szCs w:val="22"/>
        </w:rPr>
        <w:t xml:space="preserve">地    址：</w:t>
      </w:r>
      <w:r>
        <w:rPr>
          <w:rFonts w:hint="eastAsia"/>
          <w:b w:val="0"/>
          <w:bCs w:val="0"/>
          <w:sz w:val="22"/>
          <w:szCs w:val="22"/>
        </w:rPr>
        <w:t xml:space="preserve">连云港海州区晨光路2号(连云港职业技术学院内)</w:t>
      </w:r>
      <w:r/>
    </w:p>
    <w:p>
      <w:pPr>
        <w:ind w:firstLine="480"/>
        <w:jc w:val="left"/>
        <w:spacing w:line="500" w:lineRule="exact"/>
        <w:rPr>
          <w:rFonts w:hint="eastAsia" w:eastAsia="宋体"/>
          <w:b w:val="0"/>
          <w:bCs w:val="0"/>
          <w:sz w:val="22"/>
          <w:szCs w:val="22"/>
          <w:lang w:val="en-US" w:eastAsia="zh-CN"/>
        </w:rPr>
      </w:pPr>
      <w:r>
        <w:rPr>
          <w:rFonts w:hint="eastAsia" w:asciiTheme="minorEastAsia" w:hAnsiTheme="minorEastAsia"/>
          <w:b w:val="0"/>
          <w:bCs w:val="0"/>
          <w:sz w:val="22"/>
          <w:szCs w:val="22"/>
        </w:rPr>
        <w:t xml:space="preserve">联系</w:t>
      </w:r>
      <w:r>
        <w:rPr>
          <w:rFonts w:hint="eastAsia" w:eastAsia="宋体" w:asciiTheme="minorEastAsia" w:hAnsiTheme="minorEastAsia"/>
          <w:b w:val="0"/>
          <w:bCs w:val="0"/>
          <w:sz w:val="22"/>
          <w:szCs w:val="22"/>
          <w:lang w:val="en-US" w:eastAsia="zh-CN"/>
        </w:rPr>
        <w:t xml:space="preserve">人</w:t>
      </w:r>
      <w:r>
        <w:rPr>
          <w:rFonts w:hint="eastAsia" w:asciiTheme="minorEastAsia" w:hAnsiTheme="minorEastAsia"/>
          <w:b w:val="0"/>
          <w:bCs w:val="0"/>
          <w:sz w:val="22"/>
          <w:szCs w:val="22"/>
        </w:rPr>
        <w:t xml:space="preserve">：</w:t>
      </w:r>
      <w:r>
        <w:rPr>
          <w:rFonts w:hint="eastAsia" w:eastAsia="宋体"/>
          <w:b w:val="0"/>
          <w:bCs w:val="0"/>
          <w:sz w:val="22"/>
          <w:szCs w:val="22"/>
          <w:lang w:val="en-US" w:eastAsia="zh-CN"/>
        </w:rPr>
        <w:t xml:space="preserve">张科长</w:t>
      </w:r>
      <w:r/>
    </w:p>
    <w:p>
      <w:pPr>
        <w:ind w:firstLine="480"/>
        <w:jc w:val="left"/>
        <w:spacing w:line="500" w:lineRule="exact"/>
        <w:rPr>
          <w:rFonts w:asciiTheme="minorEastAsia" w:hAnsiTheme="minorEastAsia"/>
          <w:b w:val="0"/>
          <w:bCs w:val="0"/>
          <w:sz w:val="22"/>
          <w:szCs w:val="22"/>
          <w:highlight w:val="none"/>
        </w:rPr>
      </w:pPr>
      <w:r>
        <w:rPr>
          <w:rFonts w:hint="eastAsia" w:asciiTheme="minorEastAsia" w:hAnsiTheme="minorEastAsia"/>
          <w:b w:val="0"/>
          <w:bCs w:val="0"/>
          <w:sz w:val="22"/>
          <w:szCs w:val="22"/>
          <w:highlight w:val="none"/>
        </w:rPr>
        <w:t xml:space="preserve">联系</w:t>
      </w:r>
      <w:r>
        <w:rPr>
          <w:rFonts w:hint="eastAsia" w:eastAsia="宋体" w:asciiTheme="minorEastAsia" w:hAnsiTheme="minorEastAsia"/>
          <w:b w:val="0"/>
          <w:bCs w:val="0"/>
          <w:sz w:val="22"/>
          <w:szCs w:val="22"/>
          <w:highlight w:val="none"/>
          <w:lang w:val="en-US" w:eastAsia="zh-CN"/>
        </w:rPr>
        <w:t xml:space="preserve">电话</w:t>
      </w:r>
      <w:r>
        <w:rPr>
          <w:rFonts w:hint="eastAsia" w:asciiTheme="minorEastAsia" w:hAnsiTheme="minorEastAsia"/>
          <w:b w:val="0"/>
          <w:bCs w:val="0"/>
          <w:sz w:val="22"/>
          <w:szCs w:val="22"/>
          <w:highlight w:val="none"/>
        </w:rPr>
        <w:t xml:space="preserve">：0518-85825306</w:t>
      </w:r>
      <w:r/>
    </w:p>
    <w:p>
      <w:pPr>
        <w:ind w:firstLine="480"/>
        <w:spacing w:line="500" w:lineRule="exact"/>
        <w:rPr>
          <w:rFonts w:asciiTheme="minorEastAsia" w:hAnsiTheme="minorEastAsia"/>
          <w:b w:val="0"/>
          <w:bCs w:val="0"/>
          <w:sz w:val="22"/>
          <w:szCs w:val="22"/>
          <w:highlight w:val="none"/>
        </w:rPr>
      </w:pPr>
      <w:r>
        <w:rPr>
          <w:rFonts w:hint="eastAsia" w:asciiTheme="minorEastAsia" w:hAnsiTheme="minorEastAsia"/>
          <w:b w:val="0"/>
          <w:bCs w:val="0"/>
          <w:sz w:val="22"/>
          <w:szCs w:val="22"/>
          <w:highlight w:val="none"/>
        </w:rPr>
        <w:t xml:space="preserve">2.采购代理机构信息</w:t>
      </w:r>
      <w:r/>
    </w:p>
    <w:p>
      <w:pPr>
        <w:ind w:firstLine="480"/>
        <w:spacing w:line="500" w:lineRule="exact"/>
        <w:rPr>
          <w:rFonts w:hint="eastAsia" w:asciiTheme="minorEastAsia" w:hAnsiTheme="minorEastAsia"/>
          <w:b w:val="0"/>
          <w:bCs w:val="0"/>
          <w:sz w:val="22"/>
          <w:szCs w:val="22"/>
        </w:rPr>
      </w:pPr>
      <w:r>
        <w:rPr>
          <w:rFonts w:hint="eastAsia" w:asciiTheme="minorEastAsia" w:hAnsiTheme="minorEastAsia"/>
          <w:b w:val="0"/>
          <w:bCs w:val="0"/>
          <w:sz w:val="22"/>
          <w:szCs w:val="22"/>
        </w:rPr>
        <w:t xml:space="preserve">名    称：江苏天园项目管理集团有限公司</w:t>
      </w:r>
      <w:r/>
    </w:p>
    <w:p>
      <w:pPr>
        <w:ind w:firstLine="480"/>
        <w:spacing w:line="500" w:lineRule="exact"/>
        <w:rPr>
          <w:rFonts w:hint="eastAsia" w:asciiTheme="minorEastAsia" w:hAnsiTheme="minorEastAsia"/>
          <w:b w:val="0"/>
          <w:bCs w:val="0"/>
          <w:sz w:val="22"/>
          <w:szCs w:val="22"/>
        </w:rPr>
      </w:pPr>
      <w:r>
        <w:rPr>
          <w:rFonts w:hint="eastAsia" w:asciiTheme="minorEastAsia" w:hAnsiTheme="minorEastAsia"/>
          <w:b w:val="0"/>
          <w:bCs w:val="0"/>
          <w:sz w:val="22"/>
          <w:szCs w:val="22"/>
        </w:rPr>
        <w:t xml:space="preserve">地    址：连云港市海州区海连东路42号杰瑞科技创意产业园F3号楼9楼</w:t>
      </w:r>
      <w:r/>
    </w:p>
    <w:p>
      <w:pPr>
        <w:ind w:firstLine="480"/>
        <w:spacing w:line="500" w:lineRule="exact"/>
        <w:rPr>
          <w:rFonts w:cs="Times New Roman" w:asciiTheme="minorEastAsia" w:hAnsiTheme="minorEastAsia"/>
          <w:b w:val="0"/>
          <w:bCs w:val="0"/>
          <w:sz w:val="22"/>
          <w:szCs w:val="22"/>
        </w:rPr>
      </w:pPr>
      <w:r>
        <w:rPr>
          <w:rFonts w:hint="eastAsia" w:asciiTheme="minorEastAsia" w:hAnsiTheme="minorEastAsia"/>
          <w:b w:val="0"/>
          <w:bCs w:val="0"/>
          <w:sz w:val="22"/>
          <w:szCs w:val="22"/>
        </w:rPr>
        <w:t xml:space="preserve">联系</w:t>
      </w:r>
      <w:r>
        <w:rPr>
          <w:rFonts w:hint="eastAsia" w:eastAsia="宋体" w:asciiTheme="minorEastAsia" w:hAnsiTheme="minorEastAsia"/>
          <w:b w:val="0"/>
          <w:bCs w:val="0"/>
          <w:sz w:val="22"/>
          <w:szCs w:val="22"/>
          <w:lang w:val="en-US" w:eastAsia="zh-CN"/>
        </w:rPr>
        <w:t xml:space="preserve">人</w:t>
      </w:r>
      <w:r>
        <w:rPr>
          <w:rFonts w:hint="eastAsia" w:asciiTheme="minorEastAsia" w:hAnsiTheme="minorEastAsia"/>
          <w:b w:val="0"/>
          <w:bCs w:val="0"/>
          <w:sz w:val="22"/>
          <w:szCs w:val="22"/>
        </w:rPr>
        <w:t xml:space="preserve">：</w:t>
      </w:r>
      <w:r>
        <w:rPr>
          <w:rFonts w:hint="eastAsia" w:eastAsia="宋体" w:asciiTheme="minorEastAsia" w:hAnsiTheme="minorEastAsia"/>
          <w:b w:val="0"/>
          <w:bCs w:val="0"/>
          <w:sz w:val="22"/>
          <w:szCs w:val="22"/>
          <w:lang w:val="en-US" w:eastAsia="zh-CN"/>
        </w:rPr>
        <w:t xml:space="preserve">张工</w:t>
      </w:r>
      <w:r>
        <w:rPr>
          <w:rFonts w:hint="eastAsia" w:asciiTheme="minorEastAsia" w:hAnsiTheme="minorEastAsia"/>
          <w:b w:val="0"/>
          <w:bCs w:val="0"/>
          <w:sz w:val="22"/>
          <w:szCs w:val="22"/>
        </w:rPr>
        <w:t xml:space="preserve"> </w:t>
      </w:r>
      <w:r>
        <w:rPr>
          <w:rFonts w:cs="Times New Roman" w:asciiTheme="minorEastAsia" w:hAnsiTheme="minorEastAsia"/>
          <w:b w:val="0"/>
          <w:bCs w:val="0"/>
          <w:sz w:val="22"/>
          <w:szCs w:val="22"/>
        </w:rPr>
        <w:t xml:space="preserve"> </w:t>
      </w:r>
      <w:r/>
    </w:p>
    <w:p>
      <w:pPr>
        <w:ind w:firstLine="480"/>
        <w:spacing w:line="500" w:lineRule="exact"/>
        <w:rPr>
          <w:rFonts w:hint="eastAsia" w:cs="Times New Roman" w:asciiTheme="minorEastAsia" w:hAnsiTheme="minorEastAsia"/>
          <w:b w:val="0"/>
          <w:bCs w:val="0"/>
          <w:sz w:val="22"/>
          <w:szCs w:val="22"/>
        </w:rPr>
      </w:pPr>
      <w:r>
        <w:rPr>
          <w:rFonts w:hint="eastAsia" w:asciiTheme="minorEastAsia" w:hAnsiTheme="minorEastAsia"/>
          <w:b w:val="0"/>
          <w:bCs w:val="0"/>
          <w:sz w:val="22"/>
          <w:szCs w:val="22"/>
        </w:rPr>
        <w:t xml:space="preserve">联系</w:t>
      </w:r>
      <w:r>
        <w:rPr>
          <w:rFonts w:hint="eastAsia" w:eastAsia="宋体" w:asciiTheme="minorEastAsia" w:hAnsiTheme="minorEastAsia"/>
          <w:b w:val="0"/>
          <w:bCs w:val="0"/>
          <w:sz w:val="22"/>
          <w:szCs w:val="22"/>
          <w:lang w:val="en-US" w:eastAsia="zh-CN"/>
        </w:rPr>
        <w:t xml:space="preserve">电话</w:t>
      </w:r>
      <w:r>
        <w:rPr>
          <w:rFonts w:cs="Times New Roman" w:asciiTheme="minorEastAsia" w:hAnsiTheme="minorEastAsia"/>
          <w:b w:val="0"/>
          <w:bCs w:val="0"/>
          <w:sz w:val="22"/>
          <w:szCs w:val="22"/>
        </w:rPr>
        <w:t xml:space="preserve"> </w:t>
      </w:r>
      <w:r>
        <w:rPr>
          <w:rFonts w:hint="eastAsia" w:cs="Times New Roman" w:asciiTheme="minorEastAsia" w:hAnsiTheme="minorEastAsia"/>
          <w:b w:val="0"/>
          <w:bCs w:val="0"/>
          <w:sz w:val="22"/>
          <w:szCs w:val="22"/>
        </w:rPr>
        <w:t xml:space="preserve">0518-81880036</w:t>
      </w:r>
      <w:r/>
    </w:p>
    <w:p>
      <w:pPr>
        <w:ind w:firstLine="480"/>
        <w:spacing w:line="500" w:lineRule="exact"/>
        <w:rPr>
          <w:rFonts w:hint="eastAsia" w:cs="Times New Roman" w:asciiTheme="minorEastAsia" w:hAnsiTheme="minorEastAsia"/>
          <w:b w:val="0"/>
          <w:bCs w:val="0"/>
          <w:sz w:val="22"/>
          <w:szCs w:val="22"/>
        </w:rPr>
      </w:pPr>
      <w:r>
        <w:rPr>
          <w:rFonts w:hint="eastAsia" w:cs="Times New Roman" w:asciiTheme="minorEastAsia" w:hAnsiTheme="minorEastAsia"/>
          <w:b w:val="0"/>
          <w:bCs w:val="0"/>
          <w:sz w:val="22"/>
          <w:szCs w:val="22"/>
        </w:rPr>
        <w:t xml:space="preserve">邮箱：17768484344@163.com</w:t>
      </w:r>
      <w:r/>
    </w:p>
    <w:p>
      <w:pPr>
        <w:ind w:firstLine="480"/>
        <w:spacing w:line="500" w:lineRule="exact"/>
        <w:rPr>
          <w:rFonts w:asciiTheme="minorEastAsia" w:hAnsiTheme="minorEastAsia"/>
          <w:b w:val="0"/>
          <w:bCs w:val="0"/>
          <w:sz w:val="22"/>
          <w:szCs w:val="22"/>
        </w:rPr>
      </w:pPr>
      <w:r>
        <w:rPr>
          <w:rFonts w:hint="eastAsia" w:asciiTheme="minorEastAsia" w:hAnsiTheme="minorEastAsia"/>
          <w:b w:val="0"/>
          <w:bCs w:val="0"/>
          <w:sz w:val="22"/>
          <w:szCs w:val="22"/>
        </w:rPr>
        <w:t xml:space="preserve">3.项目联系方式</w:t>
      </w:r>
      <w:r/>
    </w:p>
    <w:p>
      <w:pPr>
        <w:ind w:firstLine="480"/>
        <w:jc w:val="left"/>
        <w:spacing w:line="500" w:lineRule="exact"/>
        <w:rPr>
          <w:rFonts w:asciiTheme="minorEastAsia" w:hAnsiTheme="minorEastAsia"/>
          <w:b w:val="0"/>
          <w:bCs w:val="0"/>
          <w:sz w:val="22"/>
          <w:szCs w:val="22"/>
        </w:rPr>
      </w:pPr>
      <w:r>
        <w:rPr>
          <w:rFonts w:hint="eastAsia" w:asciiTheme="minorEastAsia" w:hAnsiTheme="minorEastAsia"/>
          <w:b w:val="0"/>
          <w:bCs w:val="0"/>
          <w:sz w:val="22"/>
          <w:szCs w:val="22"/>
        </w:rPr>
        <w:t xml:space="preserve">项目联系人：</w:t>
      </w:r>
      <w:r>
        <w:rPr>
          <w:rFonts w:hint="eastAsia" w:eastAsia="宋体" w:asciiTheme="minorEastAsia" w:hAnsiTheme="minorEastAsia"/>
          <w:b w:val="0"/>
          <w:bCs w:val="0"/>
          <w:sz w:val="22"/>
          <w:szCs w:val="22"/>
          <w:lang w:val="en-US" w:eastAsia="zh-CN"/>
        </w:rPr>
        <w:t xml:space="preserve">张工</w:t>
      </w:r>
      <w:r/>
    </w:p>
    <w:p>
      <w:pPr>
        <w:ind w:firstLine="480"/>
        <w:spacing w:line="500" w:lineRule="exact"/>
        <w:rPr>
          <w:rFonts w:cs="Times New Roman" w:asciiTheme="minorEastAsia" w:hAnsiTheme="minorEastAsia"/>
          <w:b w:val="0"/>
          <w:bCs w:val="0"/>
          <w:sz w:val="22"/>
          <w:szCs w:val="22"/>
        </w:rPr>
      </w:pPr>
      <w:r>
        <w:rPr>
          <w:rFonts w:hint="eastAsia" w:asciiTheme="minorEastAsia" w:hAnsiTheme="minorEastAsia"/>
          <w:b w:val="0"/>
          <w:bCs w:val="0"/>
          <w:sz w:val="22"/>
          <w:szCs w:val="22"/>
        </w:rPr>
        <w:t xml:space="preserve">电      话：</w:t>
      </w:r>
      <w:r>
        <w:rPr>
          <w:rFonts w:hint="eastAsia" w:cs="Times New Roman" w:asciiTheme="minorEastAsia" w:hAnsiTheme="minorEastAsia"/>
          <w:b w:val="0"/>
          <w:bCs w:val="0"/>
          <w:sz w:val="22"/>
          <w:szCs w:val="22"/>
        </w:rPr>
        <w:t xml:space="preserve">0518-81880036</w:t>
      </w:r>
      <w:r/>
    </w:p>
    <w:p>
      <w:pPr>
        <w:ind w:firstLine="480"/>
        <w:spacing w:line="500" w:lineRule="exact"/>
        <w:rPr>
          <w:rFonts w:hint="default" w:eastAsia="宋体" w:asciiTheme="minorEastAsia" w:hAnsiTheme="minorEastAsia"/>
          <w:sz w:val="24"/>
          <w:szCs w:val="24"/>
          <w:lang w:val="en-US" w:eastAsia="zh-CN"/>
        </w:rPr>
      </w:pPr>
      <w:r>
        <w:rPr>
          <w:rFonts w:hint="default" w:eastAsia="宋体" w:asciiTheme="minorEastAsia" w:hAnsiTheme="minorEastAsia"/>
          <w:sz w:val="24"/>
          <w:szCs w:val="24"/>
          <w:lang w:val="en-US" w:eastAsia="zh-CN"/>
        </w:rPr>
      </w:r>
      <w:r/>
    </w:p>
    <w:p>
      <w:pPr>
        <w:pStyle w:val="770"/>
        <w:jc w:val="center"/>
        <w:spacing w:before="156" w:after="156" w:line="360" w:lineRule="auto"/>
        <w:rPr>
          <w:rFonts w:ascii="黑体" w:hAnsi="黑体" w:eastAsia="黑体"/>
          <w:b w:val="0"/>
        </w:rPr>
      </w:pPr>
      <w:r/>
      <w:bookmarkStart w:id="2" w:name="_Toc163482574"/>
      <w:r/>
      <w:bookmarkStart w:id="3" w:name="_Toc17420"/>
      <w:r>
        <w:rPr>
          <w:rFonts w:hint="eastAsia" w:ascii="黑体" w:hAnsi="黑体" w:eastAsia="黑体"/>
          <w:b w:val="0"/>
        </w:rPr>
        <w:t xml:space="preserve">第二章  投标人须知</w:t>
      </w:r>
      <w:bookmarkEnd w:id="2"/>
      <w:r/>
      <w:bookmarkEnd w:id="3"/>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一、总则</w:t>
      </w:r>
      <w:r/>
    </w:p>
    <w:p>
      <w:pPr>
        <w:ind w:firstLine="482"/>
        <w:spacing w:line="500" w:lineRule="exact"/>
        <w:rPr>
          <w:rFonts w:asciiTheme="minorEastAsia" w:hAnsiTheme="minorEastAsia"/>
          <w:b/>
          <w:sz w:val="36"/>
          <w:szCs w:val="28"/>
        </w:rPr>
      </w:pPr>
      <w:r>
        <w:rPr>
          <w:rFonts w:hint="eastAsia" w:asciiTheme="minorEastAsia" w:hAnsiTheme="minorEastAsia"/>
          <w:b/>
          <w:sz w:val="22"/>
          <w:szCs w:val="21"/>
        </w:rPr>
        <w:t xml:space="preserve">1.招标方式</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1.1 本次招标采取公开招标方式，本招标文件仅适用于招标公告中所述项目。</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2.合格的投标人</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2.1 满足招标公告中供应商的资格要求的规定。</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2.3 满足本招标文件全部实质性要求和条件的规定。</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2.4 符合上述条件的投标人应承担投标及履约过程应承担的全部责任与义务。</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3.适用法律</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3.1 本次招标及由此产生的合同受中华人民共和国有关的法律法规制约和保护。</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3.2 在本项目政府采购活动过程中，如果所执行的标准有更新的，按照最新标准执行。</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4.投标费用</w:t>
      </w:r>
      <w:r/>
    </w:p>
    <w:p>
      <w:pPr>
        <w:ind w:firstLine="480"/>
        <w:spacing w:line="500" w:lineRule="exact"/>
        <w:rPr>
          <w:rFonts w:hint="eastAsia" w:eastAsia="宋体" w:asciiTheme="minorEastAsia" w:hAnsiTheme="minorEastAsia"/>
          <w:sz w:val="22"/>
          <w:szCs w:val="22"/>
          <w:lang w:eastAsia="zh-CN"/>
        </w:rPr>
      </w:pPr>
      <w:r>
        <w:rPr>
          <w:rFonts w:hint="eastAsia" w:asciiTheme="minorEastAsia" w:hAnsiTheme="minorEastAsia"/>
          <w:b/>
          <w:bCs/>
          <w:sz w:val="22"/>
          <w:szCs w:val="22"/>
        </w:rPr>
        <w:t xml:space="preserve">4.1 </w:t>
      </w:r>
      <w:r>
        <w:rPr>
          <w:rFonts w:hint="eastAsia" w:asciiTheme="minorEastAsia" w:hAnsiTheme="minorEastAsia"/>
          <w:sz w:val="22"/>
          <w:szCs w:val="22"/>
        </w:rPr>
        <w:t xml:space="preserve">无论投标过程中的做法和结果如何，投标人自行承担所有与参加投标有关的全部费用</w:t>
      </w:r>
      <w:r>
        <w:rPr>
          <w:rFonts w:hint="eastAsia" w:eastAsia="宋体" w:asciiTheme="minorEastAsia" w:hAnsiTheme="minorEastAsia"/>
          <w:sz w:val="22"/>
          <w:szCs w:val="22"/>
          <w:lang w:val="en-US" w:eastAsia="zh-CN"/>
        </w:rPr>
        <w:t xml:space="preserve">,采购人和江苏天园项目管理集团有限公司（以下简称采购代理机构）在任何情况下均无义务和责任承担这些费用。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0"/>
          <w:highlight w:val="white"/>
        </w:rPr>
        <w:t xml:space="preserve">4.2 </w:t>
      </w:r>
      <w:r>
        <w:rPr>
          <w:rFonts w:hint="eastAsia" w:ascii="宋体" w:hAnsi="宋体" w:eastAsia="宋体" w:cs="宋体"/>
          <w:color w:val="auto"/>
          <w:sz w:val="22"/>
          <w:szCs w:val="20"/>
          <w:highlight w:val="white"/>
        </w:rPr>
        <w:t xml:space="preserve">本次招标采购代理</w:t>
      </w:r>
      <w:r>
        <w:rPr>
          <w:rFonts w:hint="eastAsia" w:ascii="宋体" w:hAnsi="宋体" w:eastAsia="宋体" w:cs="宋体"/>
          <w:color w:val="auto"/>
          <w:sz w:val="22"/>
          <w:szCs w:val="22"/>
          <w:highlight w:val="white"/>
        </w:rPr>
        <w:t xml:space="preserve">服务费及其他：</w:t>
      </w:r>
      <w:r/>
    </w:p>
    <w:p>
      <w:pPr>
        <w:ind w:firstLine="480"/>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（1）按照</w:t>
      </w:r>
      <w:r>
        <w:rPr>
          <w:rFonts w:hint="eastAsia" w:asciiTheme="minorEastAsia" w:hAnsiTheme="minorEastAsia" w:eastAsiaTheme="minorEastAsia" w:cstheme="minorEastAsia"/>
          <w:sz w:val="22"/>
          <w:szCs w:val="22"/>
        </w:rPr>
        <w:t xml:space="preserve">苏招协[2022]002号文收费的标准80%计取</w:t>
      </w:r>
      <w:r>
        <w:rPr>
          <w:rFonts w:hint="eastAsia" w:ascii="宋体" w:hAnsi="宋体" w:eastAsia="宋体" w:cs="宋体"/>
          <w:color w:val="auto"/>
          <w:sz w:val="22"/>
          <w:szCs w:val="22"/>
          <w:highlight w:val="white"/>
        </w:rPr>
        <w:t xml:space="preserve">；</w:t>
      </w:r>
      <w:r/>
    </w:p>
    <w:p>
      <w:pPr>
        <w:ind w:firstLine="480"/>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2"/>
          <w:szCs w:val="20"/>
          <w:highlight w:val="white"/>
        </w:rPr>
      </w:pPr>
      <w:r>
        <w:rPr>
          <w:rFonts w:hint="eastAsia" w:ascii="宋体" w:hAnsi="宋体" w:eastAsia="宋体" w:cs="宋体"/>
          <w:color w:val="auto"/>
          <w:sz w:val="22"/>
          <w:szCs w:val="22"/>
          <w:highlight w:val="white"/>
        </w:rPr>
        <w:t xml:space="preserve">以上费用最终由中标人在领取中标通知书时一次性支付，投标人须将此部分费用综合考虑在报价中，不得单列。</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5.招标文件的约束力</w:t>
      </w:r>
      <w:r/>
    </w:p>
    <w:p>
      <w:pPr>
        <w:ind w:firstLine="480"/>
        <w:spacing w:line="500" w:lineRule="exact"/>
        <w:rPr>
          <w:sz w:val="22"/>
          <w:szCs w:val="22"/>
        </w:rPr>
      </w:pPr>
      <w:r>
        <w:rPr>
          <w:rFonts w:hint="eastAsia" w:asciiTheme="minorEastAsia" w:hAnsiTheme="minorEastAsia"/>
          <w:sz w:val="22"/>
          <w:szCs w:val="21"/>
        </w:rPr>
        <w:t xml:space="preserve">5.1 投标人一旦参加本项目采购活动，即被认为接受了</w:t>
      </w:r>
      <w:r>
        <w:rPr>
          <w:rFonts w:hint="eastAsia"/>
          <w:sz w:val="22"/>
          <w:szCs w:val="22"/>
        </w:rPr>
        <w:t xml:space="preserve">本招标文件的规定和约束。</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二、招标文件</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6.招标文件构成</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6.1 招标文件由以下部分组成：</w:t>
      </w:r>
      <w:r/>
    </w:p>
    <w:p>
      <w:pPr>
        <w:ind w:firstLine="480"/>
        <w:jc w:val="left"/>
        <w:spacing w:line="500" w:lineRule="exact"/>
        <w:rPr>
          <w:sz w:val="22"/>
          <w:szCs w:val="22"/>
        </w:rPr>
      </w:pPr>
      <w:r>
        <w:rPr>
          <w:rFonts w:hint="eastAsia"/>
          <w:sz w:val="22"/>
          <w:szCs w:val="22"/>
        </w:rPr>
        <w:t xml:space="preserve">（1）投标邀请</w:t>
      </w:r>
      <w:r/>
    </w:p>
    <w:p>
      <w:pPr>
        <w:ind w:firstLine="480"/>
        <w:jc w:val="left"/>
        <w:spacing w:line="500" w:lineRule="exact"/>
        <w:rPr>
          <w:sz w:val="22"/>
          <w:szCs w:val="22"/>
        </w:rPr>
      </w:pPr>
      <w:r>
        <w:rPr>
          <w:rFonts w:hint="eastAsia"/>
          <w:sz w:val="22"/>
          <w:szCs w:val="22"/>
        </w:rPr>
        <w:t xml:space="preserve">（2）投标人须知</w:t>
      </w:r>
      <w:r/>
    </w:p>
    <w:p>
      <w:pPr>
        <w:ind w:firstLine="480"/>
        <w:jc w:val="left"/>
        <w:spacing w:line="500" w:lineRule="exact"/>
        <w:rPr>
          <w:sz w:val="22"/>
          <w:szCs w:val="22"/>
        </w:rPr>
      </w:pPr>
      <w:r>
        <w:rPr>
          <w:rFonts w:hint="eastAsia"/>
          <w:sz w:val="22"/>
          <w:szCs w:val="22"/>
        </w:rPr>
        <w:t xml:space="preserve">（3）合同文本</w:t>
      </w:r>
      <w:r/>
    </w:p>
    <w:p>
      <w:pPr>
        <w:ind w:firstLine="480"/>
        <w:jc w:val="left"/>
        <w:spacing w:line="500" w:lineRule="exact"/>
        <w:rPr>
          <w:sz w:val="22"/>
          <w:szCs w:val="22"/>
        </w:rPr>
      </w:pPr>
      <w:r>
        <w:rPr>
          <w:rFonts w:hint="eastAsia"/>
          <w:sz w:val="22"/>
          <w:szCs w:val="22"/>
        </w:rPr>
        <w:t xml:space="preserve">（4）采购需求</w:t>
      </w:r>
      <w:r/>
    </w:p>
    <w:p>
      <w:pPr>
        <w:ind w:firstLine="480"/>
        <w:jc w:val="left"/>
        <w:spacing w:line="500" w:lineRule="exact"/>
        <w:rPr>
          <w:sz w:val="22"/>
          <w:szCs w:val="22"/>
        </w:rPr>
      </w:pPr>
      <w:r>
        <w:rPr>
          <w:rFonts w:hint="eastAsia"/>
          <w:sz w:val="22"/>
          <w:szCs w:val="22"/>
        </w:rPr>
        <w:t xml:space="preserve">（5）评标方法与评标标准</w:t>
      </w:r>
      <w:r/>
    </w:p>
    <w:p>
      <w:pPr>
        <w:ind w:firstLine="480"/>
        <w:jc w:val="left"/>
        <w:spacing w:line="500" w:lineRule="exact"/>
        <w:rPr>
          <w:sz w:val="22"/>
          <w:szCs w:val="22"/>
        </w:rPr>
      </w:pPr>
      <w:r>
        <w:rPr>
          <w:rFonts w:hint="eastAsia"/>
          <w:sz w:val="22"/>
          <w:szCs w:val="22"/>
        </w:rPr>
        <w:t xml:space="preserve">（6）投标文件格式</w:t>
      </w:r>
      <w:r/>
    </w:p>
    <w:p>
      <w:pPr>
        <w:ind w:firstLine="480"/>
        <w:jc w:val="left"/>
        <w:spacing w:line="500" w:lineRule="exact"/>
        <w:rPr>
          <w:sz w:val="22"/>
          <w:szCs w:val="22"/>
        </w:rPr>
      </w:pPr>
      <w:r>
        <w:rPr>
          <w:rFonts w:hint="eastAsia"/>
          <w:sz w:val="22"/>
          <w:szCs w:val="22"/>
        </w:rPr>
        <w:t xml:space="preserve">请仔细检查招标文件是否齐全，如有缺漏请立即与</w:t>
      </w:r>
      <w:r>
        <w:rPr>
          <w:rFonts w:hint="eastAsia" w:eastAsia="宋体"/>
          <w:sz w:val="22"/>
          <w:szCs w:val="22"/>
          <w:lang w:val="en-US" w:eastAsia="zh-CN"/>
        </w:rPr>
        <w:t xml:space="preserve">采购人或</w:t>
      </w:r>
      <w:r>
        <w:rPr>
          <w:rFonts w:hint="eastAsia"/>
          <w:sz w:val="22"/>
          <w:szCs w:val="22"/>
        </w:rPr>
        <w:t xml:space="preserve">采购代理机构联系解决。</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7.招标文件的澄清</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7.1 任何要求对招标文件进行澄清的投标人，应在投标截止期十日前按招标公告中的通讯地址，以书面形式通知采购人或</w:t>
      </w:r>
      <w:r>
        <w:rPr>
          <w:rFonts w:hint="eastAsia" w:eastAsia="宋体" w:asciiTheme="minorEastAsia" w:hAnsiTheme="minorEastAsia"/>
          <w:sz w:val="22"/>
          <w:szCs w:val="22"/>
          <w:lang w:val="en-US" w:eastAsia="zh-CN"/>
        </w:rPr>
        <w:t xml:space="preserve">采购代理机构</w:t>
      </w:r>
      <w:r>
        <w:rPr>
          <w:rFonts w:hint="eastAsia" w:asciiTheme="minorEastAsia" w:hAnsiTheme="minorEastAsia"/>
          <w:sz w:val="22"/>
          <w:szCs w:val="22"/>
        </w:rPr>
        <w:t xml:space="preserve">。</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8.招标文件的修改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8.1 在投标截止时间前，</w:t>
      </w:r>
      <w:r>
        <w:rPr>
          <w:rFonts w:hint="eastAsia" w:eastAsia="宋体" w:asciiTheme="minorEastAsia" w:hAnsiTheme="minorEastAsia"/>
          <w:sz w:val="22"/>
          <w:szCs w:val="22"/>
          <w:lang w:val="en-US" w:eastAsia="zh-CN"/>
        </w:rPr>
        <w:t xml:space="preserve">采购人</w:t>
      </w:r>
      <w:r>
        <w:rPr>
          <w:rFonts w:hint="eastAsia" w:asciiTheme="minorEastAsia" w:hAnsiTheme="minorEastAsia"/>
          <w:sz w:val="22"/>
          <w:szCs w:val="22"/>
        </w:rPr>
        <w:t xml:space="preserve">可以对招标文件进行修改。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8.2 采购</w:t>
      </w:r>
      <w:r>
        <w:rPr>
          <w:rFonts w:hint="eastAsia" w:eastAsia="宋体" w:asciiTheme="minorEastAsia" w:hAnsiTheme="minorEastAsia"/>
          <w:sz w:val="22"/>
          <w:szCs w:val="22"/>
          <w:lang w:val="en-US" w:eastAsia="zh-CN"/>
        </w:rPr>
        <w:t xml:space="preserve">人</w:t>
      </w:r>
      <w:r>
        <w:rPr>
          <w:rFonts w:hint="eastAsia" w:asciiTheme="minorEastAsia" w:hAnsiTheme="minorEastAsia"/>
          <w:sz w:val="22"/>
          <w:szCs w:val="22"/>
        </w:rPr>
        <w:t xml:space="preserve">有权按照法定的要求推迟投标截止日期和开标日期。</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8.3 招标文件的修改将在江苏政府采购网公布，补充文件将作为招标文件的组成部分，并对投标人具有约束力。</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三、投标文件的编制</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9.投标文件编写注意事项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10.投标文件的语言及度量衡单位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11.投标文件构成</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11.2 如投标文件制作工具中格式和内容与江苏政府采购网发布的招标文件不一致，请以</w:t>
      </w:r>
      <w:r>
        <w:rPr>
          <w:rFonts w:hint="eastAsia" w:asciiTheme="minorEastAsia" w:hAnsiTheme="minorEastAsia"/>
          <w:b/>
          <w:bCs/>
          <w:sz w:val="22"/>
          <w:szCs w:val="22"/>
        </w:rPr>
        <w:t xml:space="preserve">江苏政府采购网发布的招标文件为准</w:t>
      </w:r>
      <w:r>
        <w:rPr>
          <w:rFonts w:hint="eastAsia" w:asciiTheme="minorEastAsia" w:hAnsiTheme="minorEastAsia"/>
          <w:sz w:val="22"/>
          <w:szCs w:val="22"/>
        </w:rPr>
        <w:t xml:space="preserve">。</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12.证明投标人及投标标的符合招标文件规定的文件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12.1 投标人应按照招标文件要求提交证明文件，证明其及投标标的符合招标文件规定。</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12.2 招标文件对证明文件无明确形式要求的，证明文件可以以文字资料、图纸和数据等形式提交。</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13.投标分项报价表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（1）投标的货物总价；</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（2）货物的标准附件、备品备件、专用工具、运输、装卸等各种费用；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（3）必要的保险费用和各项税金；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（4）投标总价要求包含安装维保费用。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13.2 投标人应按照招标文件规定格式填报投标分项报价表。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13.3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14.技术要求响应及偏离表、商务要求响应及偏离表</w:t>
      </w:r>
      <w:r/>
    </w:p>
    <w:p>
      <w:pPr>
        <w:ind w:firstLine="480"/>
        <w:spacing w:line="500" w:lineRule="exact"/>
        <w:rPr>
          <w:rFonts w:asciiTheme="minorEastAsia" w:hAnsiTheme="minorEastAsia"/>
          <w:sz w:val="22"/>
          <w:szCs w:val="22"/>
        </w:rPr>
      </w:pPr>
      <w:r>
        <w:rPr>
          <w:rFonts w:hint="eastAsia" w:asciiTheme="minorEastAsia" w:hAnsiTheme="minorEastAsia"/>
          <w:sz w:val="22"/>
          <w:szCs w:val="21"/>
        </w:rPr>
        <w:t xml:space="preserve">14.1 </w:t>
      </w:r>
      <w:r>
        <w:rPr>
          <w:rFonts w:hint="eastAsia" w:asciiTheme="minorEastAsia" w:hAnsiTheme="minorEastAsia"/>
          <w:b/>
          <w:bCs/>
          <w:sz w:val="22"/>
          <w:szCs w:val="21"/>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eastAsia="宋体" w:asciiTheme="minorEastAsia" w:hAnsiTheme="minorEastAsia"/>
          <w:b/>
          <w:bCs/>
          <w:sz w:val="22"/>
          <w:szCs w:val="21"/>
          <w:lang w:val="en-US" w:eastAsia="zh-CN"/>
        </w:rPr>
        <w:t xml:space="preserve">招标</w:t>
      </w:r>
      <w:r>
        <w:rPr>
          <w:rFonts w:hint="eastAsia" w:asciiTheme="minorEastAsia" w:hAnsiTheme="minorEastAsia"/>
          <w:b/>
          <w:bCs/>
          <w:sz w:val="22"/>
          <w:szCs w:val="21"/>
        </w:rPr>
        <w:t xml:space="preserve">文件中斜体且有下划线部分为商务条款）。供应商应对</w:t>
      </w:r>
      <w:r>
        <w:rPr>
          <w:rFonts w:hint="eastAsia" w:eastAsia="宋体" w:asciiTheme="minorEastAsia" w:hAnsiTheme="minorEastAsia"/>
          <w:b/>
          <w:bCs/>
          <w:sz w:val="22"/>
          <w:szCs w:val="21"/>
          <w:lang w:val="en-US" w:eastAsia="zh-CN"/>
        </w:rPr>
        <w:t xml:space="preserve">招标</w:t>
      </w:r>
      <w:r>
        <w:rPr>
          <w:rFonts w:hint="eastAsia" w:asciiTheme="minorEastAsia" w:hAnsiTheme="minorEastAsia"/>
          <w:b/>
          <w:bCs/>
          <w:sz w:val="22"/>
          <w:szCs w:val="21"/>
        </w:rPr>
        <w:t xml:space="preserve">文件中的技术要求与商务要求逐项作出响应或偏离，未响应做无效响应处理。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14.2 投标人可在投标文件中提供认为需要的其他技术文件或说明。</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15.服务承诺、培训计划、人员安排及其他</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15.2 投标人需根据招标文件要求提供培训计划、人员安排等。</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16.投标函和开标一览表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16.1 投标人应按照招标文件中提供的格式完整、正确填写投标函、开标一览表。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17.投标有效期</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17.1 投标有效期为</w:t>
      </w:r>
      <w:r>
        <w:rPr>
          <w:rFonts w:hint="eastAsia" w:eastAsia="宋体" w:asciiTheme="minorEastAsia" w:hAnsiTheme="minorEastAsia"/>
          <w:sz w:val="22"/>
          <w:szCs w:val="22"/>
          <w:lang w:val="en-US" w:eastAsia="zh-CN"/>
        </w:rPr>
        <w:t xml:space="preserve">招标文件</w:t>
      </w:r>
      <w:r>
        <w:rPr>
          <w:rFonts w:hint="eastAsia" w:asciiTheme="minorEastAsia" w:hAnsiTheme="minorEastAsia"/>
          <w:sz w:val="22"/>
          <w:szCs w:val="22"/>
        </w:rPr>
        <w:t xml:space="preserve">规定的开标之日后六十（60）天。投标有效期比规定短的将被视为未实质性响应招标文件而予以拒绝。</w:t>
      </w:r>
      <w:r/>
    </w:p>
    <w:p>
      <w:pPr>
        <w:ind w:firstLine="480"/>
        <w:jc w:val="left"/>
        <w:spacing w:line="500" w:lineRule="exact"/>
        <w:rPr>
          <w:sz w:val="22"/>
          <w:szCs w:val="22"/>
        </w:rPr>
      </w:pPr>
      <w:r>
        <w:rPr>
          <w:rFonts w:hint="eastAsia" w:asciiTheme="minorEastAsia" w:hAnsiTheme="minorEastAsia"/>
          <w:sz w:val="22"/>
          <w:szCs w:val="22"/>
        </w:rPr>
        <w:t xml:space="preserve">17.2 </w:t>
      </w:r>
      <w:r>
        <w:rPr>
          <w:rFonts w:hint="eastAsia"/>
          <w:sz w:val="22"/>
          <w:szCs w:val="22"/>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四、投标文件的递交</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18.电子投标文件的递交</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18.1 投标人应当按照《操作手册》规定，在投标截止时间前制作并递交（上传）电子投标文件。</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19.投标截止时间</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19.1 投标人递交（上传）电子投标文件的时间不得迟于招标公告中规定的投标截止时间。</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19.2 </w:t>
      </w:r>
      <w:r>
        <w:rPr>
          <w:rFonts w:ascii="宋体" w:hAnsi="宋体" w:eastAsia="宋体" w:cs="宋体"/>
          <w:color w:val="000000"/>
          <w:sz w:val="22"/>
          <w:szCs w:val="21"/>
        </w:rPr>
        <w:t xml:space="preserve">采购人和代理机构可以按照规定</w:t>
      </w:r>
      <w:r>
        <w:rPr>
          <w:rFonts w:hint="eastAsia" w:asciiTheme="minorEastAsia" w:hAnsiTheme="minorEastAsia"/>
          <w:sz w:val="22"/>
          <w:szCs w:val="22"/>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20.投标文件的拒收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20.1 采购</w:t>
      </w:r>
      <w:r>
        <w:rPr>
          <w:rFonts w:ascii="宋体" w:hAnsi="宋体" w:eastAsia="宋体" w:cs="宋体"/>
          <w:color w:val="000000"/>
          <w:sz w:val="22"/>
          <w:szCs w:val="21"/>
        </w:rPr>
        <w:t xml:space="preserve">代理机构</w:t>
      </w:r>
      <w:r>
        <w:rPr>
          <w:rFonts w:hint="eastAsia" w:asciiTheme="minorEastAsia" w:hAnsiTheme="minorEastAsia"/>
          <w:sz w:val="22"/>
          <w:szCs w:val="22"/>
        </w:rPr>
        <w:t xml:space="preserve">拒绝接收在其规定的投标截止时间后递交（上传）的任何投标文件。</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21.投标文件的撤回和修改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21.1 投标文件的撤回</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21.1.1 投标人可在投标截止时间前，撤回其电子投标文件，具体操作方法见《操作手册》。</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21.1.2 投标人撤回电子投标文件的，则认为其不再参与本项目投标活动。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21.2 投标文件的修改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21.2.1 投标人可在投标截止时间前，对其电子投标文件进行修改，具体操作方法见《操作手册》。</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21.2.2 在投标截止时间之后，投标人不得对其电子投标文件做任何修改。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21.3 在投标截止时间至招标文件中规定的投标有效期满之间的这段时间内，投标人不得撤回其投标。</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五、开标与评标</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22.开标</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22.1 </w:t>
      </w:r>
      <w:r>
        <w:rPr>
          <w:rFonts w:hint="eastAsia" w:eastAsia="宋体" w:asciiTheme="minorEastAsia" w:hAnsiTheme="minorEastAsia"/>
          <w:sz w:val="22"/>
          <w:szCs w:val="22"/>
          <w:lang w:val="en-US" w:eastAsia="zh-CN"/>
        </w:rPr>
        <w:t xml:space="preserve">采购代理机构</w:t>
      </w:r>
      <w:r>
        <w:rPr>
          <w:rFonts w:hint="eastAsia" w:asciiTheme="minorEastAsia" w:hAnsiTheme="minorEastAsia"/>
          <w:sz w:val="22"/>
          <w:szCs w:val="22"/>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22.2 开标仪式由采购人或采购代理机组织。“苏采云”系统将自动对项目进行开标，并宣布各投标人名称和投标价格。</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22.3 投标人在开标过程中涉及到的投标文件解密、开标结果确认等工作，应当按照《操作手册》规定执行。</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22.5 投标人未参加开标的，视同认可开标结果。</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23、评标委员会</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23.1 开标后，采购人或采购代理机</w:t>
      </w:r>
      <w:r>
        <w:rPr>
          <w:rFonts w:hint="eastAsia" w:eastAsia="宋体" w:asciiTheme="minorEastAsia" w:hAnsiTheme="minorEastAsia"/>
          <w:sz w:val="22"/>
          <w:szCs w:val="22"/>
          <w:lang w:val="en-US" w:eastAsia="zh-CN"/>
        </w:rPr>
        <w:t xml:space="preserve">构组织</w:t>
      </w:r>
      <w:r>
        <w:rPr>
          <w:rFonts w:hint="eastAsia" w:asciiTheme="minorEastAsia" w:hAnsiTheme="minorEastAsia"/>
          <w:sz w:val="22"/>
          <w:szCs w:val="22"/>
        </w:rPr>
        <w:t xml:space="preserve">评委会进行评标。</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23.2 评委会由采购人代表和有关技术、经济等方面的评审专家组成，且人员构成符合政府采购有关规定。</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24、评标过程的保密与公正</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24.1 凡是与审查、澄清、评价和比较投标的有关资料以及授标建议等，采购人、评审专家、采购人</w:t>
      </w:r>
      <w:r>
        <w:rPr>
          <w:rFonts w:hint="eastAsia" w:eastAsia="宋体" w:asciiTheme="minorEastAsia" w:hAnsiTheme="minorEastAsia"/>
          <w:sz w:val="22"/>
          <w:szCs w:val="22"/>
          <w:lang w:eastAsia="zh-CN"/>
        </w:rPr>
        <w:t xml:space="preserve">、</w:t>
      </w:r>
      <w:r>
        <w:rPr>
          <w:rFonts w:hint="eastAsia" w:asciiTheme="minorEastAsia" w:hAnsiTheme="minorEastAsia"/>
          <w:sz w:val="22"/>
          <w:szCs w:val="22"/>
        </w:rPr>
        <w:t xml:space="preserve">采购代理机构均不得向投标人或与评标无关的其他人员透露。</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24.2 在评标过程中，投标人不得以任何行为影响评标过程，否则其投标文件将被作为无效投标文件。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24.3 采购人</w:t>
      </w:r>
      <w:r>
        <w:rPr>
          <w:rFonts w:hint="eastAsia" w:eastAsia="宋体" w:asciiTheme="minorEastAsia" w:hAnsiTheme="minorEastAsia"/>
          <w:sz w:val="22"/>
          <w:szCs w:val="22"/>
          <w:lang w:eastAsia="zh-CN"/>
        </w:rPr>
        <w:t xml:space="preserve">、</w:t>
      </w:r>
      <w:r>
        <w:rPr>
          <w:rFonts w:hint="eastAsia" w:asciiTheme="minorEastAsia" w:hAnsiTheme="minorEastAsia"/>
          <w:sz w:val="22"/>
          <w:szCs w:val="22"/>
        </w:rPr>
        <w:t xml:space="preserve">采购代理机构和评委会不向未中标的投标人解释未中标原因，也不公布评标过程中的相关细节。</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25、投标文件的澄清</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评委会并非对每个投标人都做澄清、说明或者补正要求。</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26、对投标文件的初审</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26.1 投标文件初审分为资格审查和符合性审查。</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采购人在进行资格性审查的同时，将在信用中国网站（www.creditchina.gov.cn）查询投标人的信用记录，以确定投标人是否具备投标资格，查询结果留存并归档。</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Theme="minorEastAsia" w:hAnsiTheme="minorEastAsia"/>
          <w:b/>
          <w:bCs/>
          <w:sz w:val="22"/>
          <w:szCs w:val="22"/>
        </w:rPr>
      </w:pPr>
      <w:r>
        <w:rPr>
          <w:rFonts w:hint="eastAsia" w:asciiTheme="minorEastAsia" w:hAnsiTheme="minorEastAsia"/>
          <w:b/>
          <w:bCs/>
          <w:sz w:val="22"/>
          <w:szCs w:val="22"/>
        </w:rPr>
        <w:t xml:space="preserve">26.1.3政府采购异常低价审查：</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（一）政府采购评审中出现下列情形之一的，评审委员会应当启动异常低价投标审查程序：</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1.投标报价低于全部通过符合性审查供应商投标报价平均值65%的，即投标报价&lt;全部通过符合性审查供应商投标报价平均值×65%；</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2.投标报价低于通过符合性审查的次低报价供应商投标报价65%的，即投标报价&lt;通过符合性审查的次低报价供应商投标报价×65%；</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3.投标报价低于采购项目最高限价65%的，即投标报价&lt;采购项目最高限价×65%；</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4.评审委员会基于专业判断，认为供应商报价过低，有可能影响产品质量或者不能诚信履约的其他情形。</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26.1.4未通过资格审查或符合性审查的投标人，将通过“苏采云”系统中告知其未通过的原因，评审结束后，将不再告知。</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所谓重大偏离或保留是指与招标文件规定的实质性要求存在负偏离，或者在实质上与招标文件不一致，</w:t>
      </w:r>
      <w:r>
        <w:rPr>
          <w:rFonts w:hint="eastAsia" w:ascii="Calibri" w:hAnsi="Calibri" w:eastAsia="宋体" w:cs="Times New Roman"/>
          <w:sz w:val="22"/>
          <w:szCs w:val="22"/>
        </w:rPr>
        <w:t xml:space="preserve">包含但不限于设备质量、技术规格、售后服务和履约能力等材料明显不能满足招标文件要求，有可能影响产品质量或者不能诚信履约，</w:t>
      </w:r>
      <w:r>
        <w:rPr>
          <w:rFonts w:hint="eastAsia" w:asciiTheme="minorEastAsia" w:hAnsiTheme="minorEastAsia"/>
          <w:sz w:val="22"/>
          <w:szCs w:val="22"/>
        </w:rPr>
        <w:t xml:space="preserve">限制了合同中买方和</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的权利或投标人的义务，纠正这些偏离或保留将会对其他实质性响应要求的投标人的竞争地位产生不公正的影响。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26.4 评委会将对确定为实质性响应的投标进行进一步审核，看其是否有计算上或累加上的算术错误，修正错误的原则如下：</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（1）投标文件中开标一览表内容与投标文件中相应内容不一致的，以开标一览表为准。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（2）大写金额和小写金额不一致的，以大写金额为准。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（3）单价金额小数点或者百分比有明显错位的，以开标一览表的总价为准，并修改单价。</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（4）总价金额与按单价汇总金额不一致的，以单价金额计算结果为准。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同时出现两种以上错误的，按照前款规定的顺序修正。</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26.7 投标人在开、评标全过程中应保持通讯畅通，及时登录“苏采云”系统查阅、答复相关信息，并安排专人与</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及评委会联系。</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27、无效投标条款和废标条款</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27.1 无效投标条款</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（1）投标人未按照招标文件要求递交（上传）电子投标文件的。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（2）投标人在“苏采云”系统规定的时间内未成功解密电子投标文件的。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（3）投标人不具备招标文件中规定的资格要求的。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（5）投标人提交两个（含两个）以上不同的投标报价的。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（6）投标人的报价超过了采购预算或者最高限价的。</w:t>
      </w:r>
      <w:r/>
    </w:p>
    <w:p>
      <w:pPr>
        <w:ind w:firstLine="480"/>
        <w:spacing w:line="500" w:lineRule="exact"/>
        <w:rPr>
          <w:rFonts w:asciiTheme="minorEastAsia" w:hAnsiTheme="minorEastAsia"/>
          <w:bCs/>
          <w:sz w:val="22"/>
          <w:szCs w:val="22"/>
        </w:rPr>
      </w:pPr>
      <w:r>
        <w:rPr>
          <w:rFonts w:hint="eastAsia" w:asciiTheme="minorEastAsia" w:hAnsiTheme="minorEastAsia"/>
          <w:bCs/>
          <w:sz w:val="22"/>
          <w:szCs w:val="22"/>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（8）不符合招标文件中规定的实质性要求和条件的（本招标文件中斜体且有下划线部分为实质性要求和条件）。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（10）投标人未通过符合性审查的。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（11）投标文件含有采购人不能接受的附加条件的。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（12）投标文件未按照招标文件要求加盖公章（CA电子公章）的。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（13）其他法律、法规及本招标文件规定的属于无效投标的情形。</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27.2 有下列情形之一的，视为投标人串通投标，投标无效：</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（1）不同投标人的投标文件由同一单位或者个人编制。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（2）不同投标人委托同一单位或者个人办理投标事宜。</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（3）不同投标人的投标文件载明的项目管理成员或者联系人员为同一人。</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（4）不同投标人的投标文件异常一致或者投标报价呈规律性差异。</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27.3 废标条款</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（1）因“苏采云”系统系统故障原因造成开标不成功的。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（2）评委会认定招标文件存在歧义、重大缺陷导致评审工作无法进行的。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（3）符合专业条件的供应商或者对招标文件作实质响应的供应商不足三家的。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（4）出现影响采购公正的违法、违规行为的。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（5）因重大变故，采购任务取消的。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27.4 出现投标截止时间结束后参加投标的供应商或者在评标期间对招标文件做出实质响应的供应商不足三家情况的，按照政府采购相关规定执行。</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六、定标</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28、确定中标单位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28.1 中标候选人的选取原则和数量详见招标文件第五章规定。 </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28.2 采购人应根据评委会推荐的中标候选人确定中标人。</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28.3 采购人或采购代理机构将在江苏政府采购网发布中标公告，公告期限为1个工作日。</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28.4 若有充分证据证明，中标人存在下列情况之一的，一经查实，将被取消中标资格：</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（1）提供虚假材料谋取中标、成交的。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（2）采取不正当手段诋毁、排挤其他供应商的。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（3）与采购人、其他供应商或者采购代理机构恶意串通的。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（4）向采购人行贿或者提供其他不正当利益的。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（5）在招标采购过程中与采购人进行协商谈判的。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（6）属于本文件规定的无效条件，但在评标过程中又未被评委会发现的。</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29、中标通知书</w:t>
      </w:r>
      <w:r/>
    </w:p>
    <w:p>
      <w:pPr>
        <w:ind w:firstLine="480"/>
        <w:jc w:val="left"/>
        <w:spacing w:line="500" w:lineRule="exact"/>
        <w:rPr>
          <w:rFonts w:hint="eastAsia" w:asciiTheme="minorEastAsia" w:hAnsiTheme="minorEastAsia"/>
          <w:sz w:val="22"/>
          <w:szCs w:val="22"/>
        </w:rPr>
      </w:pPr>
      <w:r>
        <w:rPr>
          <w:rFonts w:hint="eastAsia" w:asciiTheme="minorEastAsia" w:hAnsiTheme="minorEastAsia"/>
          <w:sz w:val="22"/>
          <w:szCs w:val="22"/>
        </w:rPr>
        <w:t xml:space="preserve">29.1 中标结果确定后，采购人或采购代理机构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40"/>
        <w:jc w:val="left"/>
        <w:spacing w:line="500" w:lineRule="exact"/>
        <w:rPr>
          <w:rFonts w:hint="eastAsia" w:asciiTheme="minorEastAsia" w:hAnsiTheme="minorEastAsia"/>
          <w:sz w:val="22"/>
          <w:szCs w:val="22"/>
        </w:rPr>
      </w:pPr>
      <w:r>
        <w:rPr>
          <w:rFonts w:hint="eastAsia" w:asciiTheme="minorEastAsia" w:hAnsiTheme="minorEastAsia"/>
          <w:sz w:val="22"/>
          <w:szCs w:val="22"/>
          <w:lang w:val="en-US" w:eastAsia="zh-CN"/>
        </w:rPr>
        <w:t xml:space="preserve">29.2</w:t>
      </w:r>
      <w:r>
        <w:rPr>
          <w:rFonts w:hint="eastAsia" w:ascii="宋体" w:hAnsi="宋体" w:eastAsia="宋体" w:cs="宋体"/>
          <w:bCs/>
          <w:color w:val="auto"/>
          <w:sz w:val="22"/>
          <w:szCs w:val="22"/>
          <w:highlight w:val="whit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2"/>
          <w:szCs w:val="22"/>
          <w:highlight w:val="white"/>
        </w:rPr>
        <w:t xml:space="preserve">中标人在领取中标通知书时，需提供五份与电子投标文件一致的纸质打印投标文件，须封面、骑缝加盖公章。</w:t>
      </w:r>
      <w:r/>
    </w:p>
    <w:p>
      <w:pPr>
        <w:ind w:firstLine="440"/>
        <w:pageBreakBefore w:val="0"/>
        <w:spacing w:line="480" w:lineRule="exact"/>
        <w:widowControl w:val="off"/>
        <w:rPr>
          <w:rFonts w:asciiTheme="minorEastAsia" w:hAnsiTheme="minorEastAsia"/>
          <w:sz w:val="22"/>
          <w:szCs w:val="22"/>
        </w:rPr>
      </w:pPr>
      <w:r>
        <w:rPr>
          <w:rFonts w:hint="eastAsia" w:asciiTheme="minorEastAsia" w:hAnsiTheme="minorEastAsia"/>
          <w:sz w:val="22"/>
          <w:szCs w:val="22"/>
          <w:lang w:val="en-US" w:eastAsia="zh-CN"/>
        </w:rPr>
        <w:t xml:space="preserve">29.3</w:t>
      </w:r>
      <w:r>
        <w:rPr>
          <w:rFonts w:hint="eastAsia" w:ascii="宋体" w:hAnsi="宋体" w:eastAsia="宋体" w:cs="宋体"/>
          <w:color w:val="auto"/>
          <w:sz w:val="22"/>
          <w:szCs w:val="22"/>
          <w:highlight w:val="white"/>
        </w:rPr>
        <w:t xml:space="preserve">中标通知书将是合同的一个组成部分。对采购人和中标人均具有法律效力。中标通知书发出后，采购人改变中标结果的，或者中标人放弃中标项目的，应当依法承担法律责任。</w:t>
      </w:r>
      <w:r/>
    </w:p>
    <w:p>
      <w:pPr>
        <w:pStyle w:val="771"/>
        <w:numPr>
          <w:ilvl w:val="0"/>
          <w:numId w:val="1"/>
        </w:numPr>
        <w:spacing w:before="0" w:after="0" w:line="500" w:lineRule="exact"/>
        <w:rPr>
          <w:sz w:val="28"/>
          <w:szCs w:val="28"/>
        </w:rPr>
      </w:pPr>
      <w:r>
        <w:rPr>
          <w:rFonts w:hint="eastAsia" w:asciiTheme="minorEastAsia" w:hAnsiTheme="minorEastAsia" w:eastAsiaTheme="minorEastAsia" w:cstheme="minorBidi"/>
          <w:bCs w:val="0"/>
          <w:sz w:val="28"/>
          <w:szCs w:val="21"/>
        </w:rPr>
        <w:t xml:space="preserve">授予合同</w:t>
      </w:r>
      <w:r/>
    </w:p>
    <w:p>
      <w:pPr>
        <w:ind w:firstLine="482"/>
        <w:spacing w:line="500" w:lineRule="exact"/>
        <w:rPr>
          <w:rFonts w:hint="eastAsia" w:asciiTheme="minorEastAsia" w:hAnsiTheme="minorEastAsia"/>
          <w:b/>
          <w:sz w:val="22"/>
          <w:szCs w:val="21"/>
        </w:rPr>
      </w:pPr>
      <w:r>
        <w:rPr>
          <w:rFonts w:hint="eastAsia" w:asciiTheme="minorEastAsia" w:hAnsiTheme="minorEastAsia"/>
          <w:b/>
          <w:sz w:val="22"/>
          <w:szCs w:val="21"/>
          <w:lang w:val="en-US" w:eastAsia="zh-CN"/>
        </w:rPr>
        <w:t xml:space="preserve">30、</w:t>
      </w:r>
      <w:r>
        <w:rPr>
          <w:rFonts w:hint="eastAsia" w:asciiTheme="minorEastAsia" w:hAnsiTheme="minorEastAsia"/>
          <w:b/>
          <w:sz w:val="22"/>
          <w:szCs w:val="21"/>
        </w:rPr>
        <w:t xml:space="preserve">签订合同</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30.1</w:t>
      </w:r>
      <w:r>
        <w:rPr>
          <w:rFonts w:hint="eastAsia" w:ascii="宋体" w:hAnsi="宋体" w:eastAsia="宋体" w:cs="宋体"/>
          <w:color w:val="auto"/>
          <w:sz w:val="22"/>
          <w:szCs w:val="22"/>
          <w:highlight w:val="white"/>
        </w:rPr>
        <w:t xml:space="preserve">中标人应当在中标通知书发出之日起三十日内，按照招标文件确定的事项与采购人签订政府采购合同。</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30.2 </w:t>
      </w:r>
      <w:r>
        <w:rPr>
          <w:rFonts w:hint="eastAsia" w:ascii="宋体" w:hAnsi="宋体" w:eastAsia="宋体" w:cs="宋体"/>
          <w:color w:val="auto"/>
          <w:sz w:val="22"/>
          <w:szCs w:val="22"/>
          <w:highlight w:val="white"/>
        </w:rPr>
        <w:t xml:space="preserve">招标文件、中标人的投标文件及招标过程中有关澄清、承诺文件均应作为合同附件。</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30.3</w:t>
      </w:r>
      <w:r>
        <w:rPr>
          <w:rFonts w:hint="eastAsia" w:ascii="宋体" w:hAnsi="宋体" w:eastAsia="宋体" w:cs="宋体"/>
          <w:color w:val="auto"/>
          <w:sz w:val="22"/>
          <w:szCs w:val="22"/>
          <w:highlight w:val="white"/>
        </w:rPr>
        <w:t xml:space="preserve"> 签订合同后，</w:t>
      </w:r>
      <w:r>
        <w:rPr>
          <w:rFonts w:hint="eastAsia" w:ascii="宋体" w:hAnsi="宋体" w:eastAsia="宋体" w:cs="宋体"/>
          <w:b/>
          <w:bCs/>
          <w:color w:val="auto"/>
          <w:sz w:val="22"/>
          <w:szCs w:val="22"/>
          <w:highlight w:val="white"/>
        </w:rPr>
        <w:t xml:space="preserve">中标人不得将合同标的进行转</w:t>
      </w:r>
      <w:r>
        <w:rPr>
          <w:rFonts w:hint="eastAsia" w:ascii="宋体" w:hAnsi="宋体" w:eastAsia="宋体" w:cs="宋体"/>
          <w:color w:val="auto"/>
          <w:sz w:val="22"/>
          <w:szCs w:val="22"/>
          <w:highlight w:val="white"/>
        </w:rPr>
        <w:t xml:space="preserve">包。未经采购人同意，中标人也不得采用分包的形式履行合同，否则采购人有权终止合同。转包或分包造成采购人损失的，中标人应承担相应赔偿责任。</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30.4</w:t>
      </w:r>
      <w:r>
        <w:rPr>
          <w:rFonts w:hint="eastAsia" w:ascii="宋体" w:hAnsi="宋体" w:eastAsia="宋体" w:cs="宋体"/>
          <w:color w:val="auto"/>
          <w:sz w:val="22"/>
          <w:szCs w:val="22"/>
          <w:highlight w:val="white"/>
        </w:rPr>
        <w:t xml:space="preserve">履约保证金</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30.1 </w:t>
      </w:r>
      <w:r>
        <w:rPr>
          <w:rFonts w:hint="eastAsia" w:ascii="宋体" w:hAnsi="宋体" w:eastAsia="宋体" w:cs="宋体"/>
          <w:color w:val="auto"/>
          <w:sz w:val="22"/>
          <w:szCs w:val="22"/>
          <w:highlight w:val="white"/>
        </w:rPr>
        <w:t xml:space="preserve">本项目</w:t>
      </w:r>
      <w:r>
        <w:rPr>
          <w:rFonts w:hint="eastAsia" w:ascii="宋体" w:hAnsi="宋体" w:eastAsia="宋体" w:cs="宋体"/>
          <w:color w:val="auto"/>
          <w:sz w:val="22"/>
          <w:szCs w:val="22"/>
          <w:highlight w:val="white"/>
          <w:lang w:val="en-US" w:eastAsia="zh-CN"/>
        </w:rPr>
        <w:t xml:space="preserve">不收取</w:t>
      </w:r>
      <w:r>
        <w:rPr>
          <w:rFonts w:hint="eastAsia" w:ascii="宋体" w:hAnsi="宋体" w:eastAsia="宋体" w:cs="宋体"/>
          <w:color w:val="auto"/>
          <w:sz w:val="22"/>
          <w:szCs w:val="22"/>
          <w:highlight w:val="white"/>
        </w:rPr>
        <w:t xml:space="preserve">履约保证金。</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31、合同签订及货物（包含与货物相关的服务）的追加</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31.</w:t>
      </w:r>
      <w:r>
        <w:rPr>
          <w:rFonts w:hint="eastAsia" w:eastAsia="宋体" w:asciiTheme="minorEastAsia" w:hAnsiTheme="minorEastAsia"/>
          <w:sz w:val="22"/>
          <w:szCs w:val="22"/>
          <w:lang w:val="en-US" w:eastAsia="zh-CN"/>
        </w:rPr>
        <w:t xml:space="preserve">1</w:t>
      </w:r>
      <w:r>
        <w:rPr>
          <w:rFonts w:hint="eastAsia" w:asciiTheme="minorEastAsia" w:hAnsiTheme="minorEastAsia"/>
          <w:sz w:val="22"/>
          <w:szCs w:val="22"/>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32、政府采购履约资金扶持政策</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32.1 中标人可凭政府采购合同办理融资贷款，详情请见江苏政府采购网“政采贷”专栏。</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八、询问与质疑</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33、询问</w:t>
      </w:r>
      <w:r/>
    </w:p>
    <w:p>
      <w:pPr>
        <w:ind w:firstLine="480"/>
        <w:spacing w:line="500" w:lineRule="exact"/>
        <w:rPr>
          <w:sz w:val="22"/>
          <w:szCs w:val="22"/>
        </w:rPr>
      </w:pPr>
      <w:r>
        <w:rPr>
          <w:rFonts w:hint="eastAsia" w:asciiTheme="minorEastAsia" w:hAnsiTheme="minorEastAsia"/>
          <w:sz w:val="22"/>
          <w:szCs w:val="21"/>
        </w:rPr>
        <w:t xml:space="preserve">33.1 供应商对政府</w:t>
      </w:r>
      <w:r>
        <w:rPr>
          <w:rFonts w:hint="eastAsia"/>
          <w:sz w:val="22"/>
          <w:szCs w:val="22"/>
        </w:rPr>
        <w:t xml:space="preserve">采购活动事项有疑问的，可以提出询问，采购人或者</w:t>
      </w:r>
      <w:r>
        <w:rPr>
          <w:rFonts w:hint="eastAsia" w:eastAsia="宋体"/>
          <w:sz w:val="22"/>
          <w:szCs w:val="22"/>
          <w:lang w:eastAsia="zh-CN"/>
        </w:rPr>
        <w:t xml:space="preserve">采购代理机构</w:t>
      </w:r>
      <w:r>
        <w:rPr>
          <w:rFonts w:hint="eastAsia"/>
          <w:sz w:val="22"/>
          <w:szCs w:val="22"/>
        </w:rPr>
        <w:t xml:space="preserve">应当在3个工作日内对投标人依法提出的询问作出答复，但答复的内容不得涉及商业秘密。供应商提出的询问超出采购人对</w:t>
      </w:r>
      <w:r>
        <w:rPr>
          <w:rFonts w:hint="eastAsia" w:eastAsia="宋体"/>
          <w:sz w:val="22"/>
          <w:szCs w:val="22"/>
          <w:lang w:eastAsia="zh-CN"/>
        </w:rPr>
        <w:t xml:space="preserve">采购代理机构</w:t>
      </w:r>
      <w:r>
        <w:rPr>
          <w:rFonts w:hint="eastAsia"/>
          <w:sz w:val="22"/>
          <w:szCs w:val="22"/>
        </w:rPr>
        <w:t xml:space="preserve">委托授权范围的，</w:t>
      </w:r>
      <w:r>
        <w:rPr>
          <w:rFonts w:hint="eastAsia" w:eastAsia="宋体"/>
          <w:sz w:val="22"/>
          <w:szCs w:val="22"/>
          <w:lang w:eastAsia="zh-CN"/>
        </w:rPr>
        <w:t xml:space="preserve">采购代理机构</w:t>
      </w:r>
      <w:r>
        <w:rPr>
          <w:rFonts w:hint="eastAsia"/>
          <w:sz w:val="22"/>
          <w:szCs w:val="22"/>
        </w:rPr>
        <w:t xml:space="preserve">应当告知供应商向采购人提出。</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34、质疑提出</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34.1 提出质疑的供应商应当是参与所质疑项目采购活动的供应商。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34.2 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供应商应当在法定质疑期内一次性提出针对同一采购程序环节的质疑，供应商如在法定期限内对同一采购程序环节提出多次质疑的，采购人、</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将只对供应商第一次质疑作出答复。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未依照采购公告要求获取采购文件的供应商，视为未参与该项目的采购活动，不具备对该采购文件提出质疑的法定权利。</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。采购人、</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不具有法定调查、认定权限。</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34.5 质疑函应当使用范本，详见招标文件第六章。供应商提出质疑应当提交质疑函和必要的证明材料，应当包括下列内容：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（1）供应商的姓名或者名称、地址、邮编、联系人及联系电话；</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（2）质疑项目的名称、编号；</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（3）具体、明确的质疑事项和与质疑事项相关的请求；</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（4）事实依据；</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（5）必要的法律依据；</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（6）提出质疑的日期；</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（7）必要的证明材料；</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（8）营业执照复印件及授权委托书原件、法定代表人（单位负责人）身份证复印件、委托代理人身份证复印件。</w:t>
      </w:r>
      <w:r/>
    </w:p>
    <w:p>
      <w:pPr>
        <w:ind w:firstLine="480"/>
        <w:jc w:val="left"/>
        <w:spacing w:line="500" w:lineRule="exact"/>
        <w:rPr>
          <w:rFonts w:hint="eastAsia" w:asciiTheme="minorEastAsia" w:hAnsiTheme="minorEastAsia"/>
          <w:sz w:val="22"/>
          <w:szCs w:val="22"/>
        </w:rPr>
      </w:pPr>
      <w:r>
        <w:rPr>
          <w:rFonts w:hint="eastAsia" w:asciiTheme="minorEastAsia" w:hAnsiTheme="minorEastAsia"/>
          <w:sz w:val="22"/>
          <w:szCs w:val="22"/>
        </w:rPr>
        <w:t xml:space="preserve">供应商为自然人的，应当由本人签字；供应商为法人或者其他组织的，应当由法定代表人、主要负责人，或者其委托代理人签字或者盖章，并加盖单位公章。</w:t>
      </w:r>
      <w:r/>
    </w:p>
    <w:p>
      <w:pPr>
        <w:ind w:firstLine="48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rPr>
        <w:t xml:space="preserve">采购人及采购代理机构只接收以纸质原件形式送达的质疑，投标人可以通过现场递交或邮寄方式提交质疑</w:t>
      </w:r>
      <w:r>
        <w:rPr>
          <w:rFonts w:hint="eastAsia" w:ascii="宋体" w:hAnsi="宋体" w:eastAsia="宋体" w:cs="宋体"/>
          <w:color w:val="auto"/>
          <w:sz w:val="22"/>
          <w:szCs w:val="22"/>
          <w:highlight w:val="white"/>
        </w:rPr>
        <w:t xml:space="preserve">。</w:t>
      </w:r>
      <w:r/>
    </w:p>
    <w:p>
      <w:pPr>
        <w:ind w:firstLine="482"/>
        <w:pageBreakBefore w:val="0"/>
        <w:spacing w:line="480" w:lineRule="exact"/>
        <w:widowControl w:val="off"/>
        <w:rPr>
          <w:rFonts w:hint="eastAsia" w:ascii="宋体" w:hAnsi="宋体" w:eastAsia="宋体" w:cs="宋体"/>
          <w:color w:val="auto"/>
          <w:sz w:val="22"/>
          <w:szCs w:val="22"/>
          <w:highlight w:val="white"/>
          <w:lang w:val="en-US" w:eastAsia="zh-CN"/>
        </w:rPr>
      </w:pPr>
      <w:r>
        <w:rPr>
          <w:rFonts w:hint="eastAsia" w:ascii="宋体" w:hAnsi="宋体" w:eastAsia="宋体" w:cs="宋体"/>
          <w:color w:val="auto"/>
          <w:sz w:val="22"/>
          <w:szCs w:val="22"/>
          <w:highlight w:val="white"/>
        </w:rPr>
        <w:t xml:space="preserve">采购代理机构质疑接收部门为江苏天园项目管理集团有限公司招标代理部，联系地址：连云港市海州区海连东路42号杰瑞科技创意产业园F3号楼9楼，联系电话：0518-81880036</w:t>
      </w:r>
      <w:r>
        <w:rPr>
          <w:rFonts w:hint="eastAsia" w:ascii="宋体" w:hAnsi="宋体" w:eastAsia="宋体" w:cs="宋体"/>
          <w:color w:val="auto"/>
          <w:sz w:val="22"/>
          <w:szCs w:val="22"/>
          <w:highlight w:val="white"/>
          <w:lang w:eastAsia="zh-CN"/>
        </w:rPr>
        <w:t xml:space="preserve">。</w:t>
      </w:r>
      <w:r/>
    </w:p>
    <w:p>
      <w:pPr>
        <w:ind w:firstLine="48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采购人质疑接收人及联系方式见招标文件第一章。</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35、质疑函的受理和答复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不负责搜集必要的证明材料等工作。</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35.3 对不符合质疑要求的，采购人、</w:t>
      </w:r>
      <w:r>
        <w:rPr>
          <w:rFonts w:hint="eastAsia" w:eastAsia="宋体" w:asciiTheme="minorEastAsia" w:hAnsiTheme="minorEastAsia"/>
          <w:sz w:val="22"/>
          <w:szCs w:val="22"/>
          <w:lang w:val="en-US" w:eastAsia="zh-CN"/>
        </w:rPr>
        <w:t xml:space="preserve">采购代理机构</w:t>
      </w:r>
      <w:r>
        <w:rPr>
          <w:rFonts w:hint="eastAsia" w:asciiTheme="minorEastAsia" w:hAnsiTheme="minorEastAsia"/>
          <w:sz w:val="22"/>
          <w:szCs w:val="22"/>
        </w:rPr>
        <w:t xml:space="preserve">有权要求其补充必要的证明材料，质疑供应商未在法定的时间内提供补充必要的证明材料的，视同放弃质疑。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35.4 以下情形的质疑不予受理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（1）内容不符合《政府采购质疑和投诉办法》第十二条规定的质疑。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（2）超出政府采购法定期限的质疑。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（3）以传真、电子邮件等方式递交的非原件形式的质疑。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（4）未参加采购活动的供应商或在采购活动中自身权益未受到损害的供应商所提出的质疑。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（5）供应商组成联合体，联合体中任何一方或多方未按要求签字（盖章）、加盖公章的质疑。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35.5 采购人、</w:t>
      </w:r>
      <w:r>
        <w:rPr>
          <w:rFonts w:hint="eastAsia" w:eastAsia="宋体" w:asciiTheme="minorEastAsia" w:hAnsiTheme="minorEastAsia"/>
          <w:sz w:val="22"/>
          <w:szCs w:val="22"/>
          <w:lang w:val="en-US" w:eastAsia="zh-CN"/>
        </w:rPr>
        <w:t xml:space="preserve">采购代理机构</w:t>
      </w:r>
      <w:r>
        <w:rPr>
          <w:rFonts w:hint="eastAsia" w:asciiTheme="minorEastAsia" w:hAnsiTheme="minorEastAsia"/>
          <w:sz w:val="22"/>
          <w:szCs w:val="22"/>
        </w:rPr>
        <w:t xml:space="preserve">依法受理的质疑，将按照政府采购有关规定，在法定期限内答复。</w:t>
      </w:r>
      <w:r/>
    </w:p>
    <w:p>
      <w:pPr>
        <w:ind w:firstLine="480"/>
        <w:jc w:val="left"/>
        <w:spacing w:line="500" w:lineRule="exact"/>
        <w:rPr>
          <w:rFonts w:asciiTheme="minorEastAsia" w:hAnsiTheme="minorEastAsia"/>
          <w:sz w:val="22"/>
          <w:szCs w:val="22"/>
        </w:rPr>
      </w:pPr>
      <w:r>
        <w:rPr>
          <w:rFonts w:hint="eastAsia" w:eastAsia="宋体" w:asciiTheme="minorEastAsia" w:hAnsiTheme="minorEastAsia"/>
          <w:sz w:val="22"/>
          <w:szCs w:val="22"/>
          <w:lang w:val="en-US" w:eastAsia="zh-CN"/>
        </w:rPr>
        <w:t xml:space="preserve">35.6</w:t>
      </w:r>
      <w:r>
        <w:rPr>
          <w:rFonts w:hint="eastAsia" w:asciiTheme="minorEastAsia" w:hAnsiTheme="minorEastAsia"/>
          <w:sz w:val="22"/>
          <w:szCs w:val="22"/>
        </w:rPr>
        <w:t xml:space="preserve">未尽事宜，依照有关法律、法规执行。</w:t>
      </w:r>
      <w:r/>
    </w:p>
    <w:p>
      <w:pPr>
        <w:pStyle w:val="77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九、政府采购政策功能</w:t>
      </w:r>
      <w:r/>
    </w:p>
    <w:p>
      <w:pPr>
        <w:ind w:firstLine="482"/>
        <w:spacing w:line="500" w:lineRule="exact"/>
        <w:rPr>
          <w:rFonts w:asciiTheme="minorEastAsia" w:hAnsiTheme="minorEastAsia"/>
          <w:b/>
          <w:sz w:val="22"/>
          <w:szCs w:val="21"/>
        </w:rPr>
      </w:pPr>
      <w:r>
        <w:rPr>
          <w:rFonts w:hint="eastAsia" w:eastAsia="宋体" w:asciiTheme="minorEastAsia" w:hAnsiTheme="minorEastAsia"/>
          <w:b/>
          <w:sz w:val="22"/>
          <w:szCs w:val="21"/>
          <w:lang w:val="en-US" w:eastAsia="zh-CN"/>
        </w:rPr>
        <w:t xml:space="preserve">36</w:t>
      </w:r>
      <w:r>
        <w:rPr>
          <w:rFonts w:hint="eastAsia" w:asciiTheme="minorEastAsia" w:hAnsiTheme="minorEastAsia"/>
          <w:b/>
          <w:sz w:val="22"/>
          <w:szCs w:val="21"/>
        </w:rPr>
        <w:t xml:space="preserve">、促进中小企业发展</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36</w:t>
      </w:r>
      <w:r>
        <w:rPr>
          <w:rFonts w:hint="eastAsia" w:ascii="宋体" w:hAnsi="宋体" w:eastAsia="宋体" w:cs="Times New Roman"/>
          <w:sz w:val="22"/>
          <w:szCs w:val="22"/>
          <w:lang w:val="en-US" w:eastAsia="zh-CN"/>
        </w:rPr>
        <w:t xml:space="preserve">.1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本项目专门面向中型企业、小型企业、微型企业、残疾人福利性单位、监狱企业采购。</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36.2 参加本项目政府采购活动的供应商应当提供的材料： </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（1）投标人为中型企业、小型企业、微型企业的，提供《中小企业声明函》（第六章 投标文件格式）。</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36.3 享受扶持政策获得政府采购合同的，小微企业不得将合同分包给大中型企业，中型企业不得将合同分包给大型企业。</w:t>
      </w:r>
      <w:r/>
    </w:p>
    <w:p>
      <w:pPr>
        <w:ind w:firstLine="480"/>
        <w:spacing w:line="500" w:lineRule="exact"/>
        <w:rPr>
          <w:rFonts w:hint="eastAsia" w:ascii="宋体" w:hAnsi="宋体" w:eastAsia="宋体" w:cs="Times New Roman"/>
          <w:b/>
          <w:bCs/>
          <w:sz w:val="22"/>
          <w:szCs w:val="22"/>
        </w:rPr>
      </w:pPr>
      <w:r>
        <w:rPr>
          <w:rFonts w:hint="eastAsia" w:ascii="宋体" w:hAnsi="宋体" w:eastAsia="宋体" w:cs="Times New Roman"/>
          <w:b/>
          <w:bCs/>
          <w:sz w:val="22"/>
          <w:szCs w:val="22"/>
          <w:lang w:val="en-US" w:eastAsia="zh-CN"/>
        </w:rPr>
        <w:t xml:space="preserve">37、</w:t>
      </w:r>
      <w:r>
        <w:rPr>
          <w:rFonts w:hint="eastAsia" w:ascii="宋体" w:hAnsi="宋体" w:eastAsia="宋体" w:cs="Times New Roman"/>
          <w:b/>
          <w:bCs/>
          <w:sz w:val="22"/>
          <w:szCs w:val="22"/>
        </w:rPr>
        <w:t xml:space="preserve">采购本国产品的支持政策</w:t>
      </w:r>
      <w:r/>
    </w:p>
    <w:p>
      <w:pPr>
        <w:ind w:firstLine="480"/>
        <w:spacing w:line="500" w:lineRule="exact"/>
        <w:rPr>
          <w:rFonts w:hint="eastAsia" w:ascii="宋体" w:hAnsi="宋体" w:eastAsia="宋体" w:cs="Times New Roman"/>
          <w:sz w:val="22"/>
          <w:szCs w:val="22"/>
        </w:rPr>
      </w:pPr>
      <w:r>
        <w:rPr>
          <w:rFonts w:hint="eastAsia" w:ascii="宋体" w:hAnsi="宋体" w:eastAsia="宋体" w:cs="Times New Roman"/>
          <w:b/>
          <w:bCs/>
          <w:sz w:val="22"/>
          <w:szCs w:val="22"/>
        </w:rPr>
        <w:t xml:space="preserve">3</w:t>
      </w:r>
      <w:r>
        <w:rPr>
          <w:rFonts w:hint="eastAsia" w:ascii="宋体" w:hAnsi="宋体" w:eastAsia="宋体" w:cs="Times New Roman"/>
          <w:b/>
          <w:bCs/>
          <w:sz w:val="22"/>
          <w:szCs w:val="22"/>
          <w:lang w:val="en-US" w:eastAsia="zh-CN"/>
        </w:rPr>
        <w:t xml:space="preserve">7</w:t>
      </w:r>
      <w:r>
        <w:rPr>
          <w:rFonts w:hint="eastAsia" w:ascii="宋体" w:hAnsi="宋体" w:eastAsia="宋体" w:cs="Times New Roman"/>
          <w:b/>
          <w:bCs/>
          <w:sz w:val="22"/>
          <w:szCs w:val="22"/>
        </w:rPr>
        <w:t xml:space="preserve">.1 </w:t>
      </w:r>
      <w:r>
        <w:rPr>
          <w:rFonts w:hint="eastAsia" w:ascii="宋体" w:hAnsi="宋体" w:eastAsia="宋体" w:cs="Times New Roman"/>
          <w:sz w:val="22"/>
          <w:szCs w:val="22"/>
        </w:rPr>
        <w:t xml:space="preserve">本项目政府采购活动中既有本国产品又有非本国产品参与竞争的，依法对本国产品给予价格评审优惠，对本国产品的报价（投标报价=100%-投标优惠率）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.6政府采购中的本国产品标准及其他未尽事宜详见《国务院办公厅关于在政府采购中实施本国产品标准及相关政策的通知》（国办发〔2025〕34号）。</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hint="eastAsia" w:ascii="宋体" w:hAnsi="宋体" w:eastAsia="宋体" w:cs="Times New Roman"/>
          <w:sz w:val="22"/>
          <w:szCs w:val="22"/>
        </w:rPr>
        <w:t xml:space="preserve">、支持绿色发展</w:t>
      </w:r>
      <w:r/>
    </w:p>
    <w:p>
      <w:pPr>
        <w:ind w:firstLine="480"/>
        <w:spacing w:line="500" w:lineRule="exact"/>
        <w:rPr>
          <w:rFonts w:ascii="宋体" w:hAnsi="宋体" w:eastAsia="宋体" w:cs="Times New Roman"/>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ascii="宋体" w:hAnsi="宋体" w:eastAsia="宋体" w:cs="Times New Roman"/>
          <w:sz w:val="22"/>
          <w:szCs w:val="22"/>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Times New Roman"/>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ascii="宋体" w:hAnsi="宋体" w:eastAsia="宋体" w:cs="Times New Roman"/>
          <w:sz w:val="22"/>
          <w:szCs w:val="22"/>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Times New Roman"/>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ascii="宋体" w:hAnsi="宋体" w:eastAsia="宋体" w:cs="Times New Roman"/>
          <w:sz w:val="22"/>
          <w:szCs w:val="22"/>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ascii="宋体" w:hAnsi="宋体" w:eastAsia="宋体" w:cs="Times New Roman"/>
          <w:sz w:val="22"/>
          <w:szCs w:val="22"/>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2"/>
          <w:szCs w:val="21"/>
        </w:rPr>
      </w:pPr>
      <w:r>
        <w:rPr>
          <w:rFonts w:hint="eastAsia" w:eastAsia="宋体" w:asciiTheme="minorEastAsia" w:hAnsiTheme="minorEastAsia"/>
          <w:b/>
          <w:sz w:val="22"/>
          <w:szCs w:val="21"/>
          <w:lang w:val="en-US" w:eastAsia="zh-CN"/>
        </w:rPr>
        <w:t xml:space="preserve">39</w:t>
      </w:r>
      <w:r>
        <w:rPr>
          <w:rFonts w:hint="eastAsia" w:asciiTheme="minorEastAsia" w:hAnsiTheme="minorEastAsia"/>
          <w:b/>
          <w:sz w:val="22"/>
          <w:szCs w:val="21"/>
        </w:rPr>
        <w:t xml:space="preserve">、政府采购需求标准</w:t>
      </w:r>
      <w:r/>
    </w:p>
    <w:p>
      <w:pPr>
        <w:ind w:firstLine="480"/>
        <w:jc w:val="left"/>
        <w:spacing w:line="500" w:lineRule="exact"/>
        <w:rPr>
          <w:rFonts w:asciiTheme="minorEastAsia" w:hAnsiTheme="minorEastAsia"/>
          <w:sz w:val="22"/>
          <w:szCs w:val="22"/>
        </w:rPr>
      </w:pPr>
      <w:r>
        <w:rPr>
          <w:rFonts w:hint="eastAsia" w:eastAsia="宋体" w:asciiTheme="minorEastAsia" w:hAnsiTheme="minorEastAsia"/>
          <w:sz w:val="22"/>
          <w:szCs w:val="22"/>
          <w:lang w:val="en-US" w:eastAsia="zh-CN"/>
        </w:rPr>
        <w:t xml:space="preserve">39.</w:t>
      </w:r>
      <w:r>
        <w:rPr>
          <w:rFonts w:hint="eastAsia" w:asciiTheme="minorEastAsia" w:hAnsiTheme="minorEastAsia"/>
          <w:sz w:val="22"/>
          <w:szCs w:val="22"/>
        </w:rPr>
        <w:t xml:space="preserve">1 本项目执行《绿色数据中心政府采购需求</w:t>
      </w:r>
      <w:r>
        <w:rPr>
          <w:rFonts w:hint="eastAsia" w:asciiTheme="minorEastAsia" w:hAnsiTheme="minorEastAsia"/>
          <w:sz w:val="22"/>
          <w:szCs w:val="22"/>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770"/>
        <w:jc w:val="center"/>
        <w:spacing w:before="156" w:after="156" w:line="360" w:lineRule="auto"/>
        <w:rPr>
          <w:rFonts w:ascii="黑体" w:hAnsi="黑体" w:eastAsia="黑体"/>
          <w:b w:val="0"/>
        </w:rPr>
      </w:pPr>
      <w:r/>
      <w:bookmarkStart w:id="4" w:name="_Toc28636"/>
      <w:r/>
      <w:bookmarkStart w:id="5" w:name="_Toc163482575"/>
      <w:r>
        <w:rPr>
          <w:rFonts w:hint="eastAsia" w:ascii="黑体" w:hAnsi="黑体" w:eastAsia="黑体"/>
          <w:b w:val="0"/>
        </w:rPr>
        <w:t xml:space="preserve">第三章  合同文本</w:t>
      </w:r>
      <w:bookmarkEnd w:id="4"/>
      <w:r/>
      <w:bookmarkEnd w:id="5"/>
      <w:r/>
      <w:r/>
    </w:p>
    <w:p>
      <w:r/>
      <w:r/>
    </w:p>
    <w:p>
      <w:r/>
      <w:r/>
    </w:p>
    <w:p>
      <w:r/>
      <w:r/>
    </w:p>
    <w:p>
      <w:pPr>
        <w:rPr>
          <w:sz w:val="20"/>
          <w:szCs w:val="21"/>
        </w:rPr>
      </w:pPr>
      <w:r>
        <w:rPr>
          <w:sz w:val="20"/>
          <w:szCs w:val="21"/>
        </w:rPr>
      </w:r>
      <w:r/>
    </w:p>
    <w:p>
      <w:pPr>
        <w:rPr>
          <w:sz w:val="20"/>
          <w:szCs w:val="21"/>
        </w:rPr>
      </w:pPr>
      <w:r>
        <w:rPr>
          <w:sz w:val="20"/>
          <w:szCs w:val="21"/>
        </w:rPr>
      </w:r>
      <w:r/>
    </w:p>
    <w:p>
      <w:pPr>
        <w:rPr>
          <w:sz w:val="20"/>
          <w:szCs w:val="21"/>
        </w:rPr>
      </w:pPr>
      <w:r>
        <w:rPr>
          <w:sz w:val="20"/>
          <w:szCs w:val="21"/>
        </w:rPr>
      </w:r>
      <w:r/>
    </w:p>
    <w:p>
      <w:pPr>
        <w:rPr>
          <w:sz w:val="20"/>
          <w:szCs w:val="21"/>
        </w:rPr>
      </w:pPr>
      <w:r>
        <w:rPr>
          <w:sz w:val="20"/>
          <w:szCs w:val="21"/>
        </w:rPr>
      </w:r>
      <w:r/>
    </w:p>
    <w:p>
      <w:pPr>
        <w:rPr>
          <w:sz w:val="20"/>
          <w:szCs w:val="21"/>
        </w:rPr>
      </w:pPr>
      <w:r>
        <w:rPr>
          <w:sz w:val="20"/>
          <w:szCs w:val="21"/>
        </w:rPr>
      </w:r>
      <w:r/>
    </w:p>
    <w:p>
      <w:pPr>
        <w:rPr>
          <w:sz w:val="20"/>
          <w:szCs w:val="21"/>
        </w:rPr>
      </w:pPr>
      <w:r>
        <w:rPr>
          <w:sz w:val="20"/>
          <w:szCs w:val="21"/>
        </w:rPr>
      </w:r>
      <w:r/>
    </w:p>
    <w:p>
      <w:pPr>
        <w:ind w:firstLine="883"/>
        <w:jc w:val="center"/>
        <w:rPr>
          <w:rFonts w:ascii="宋体" w:hAnsi="宋体"/>
          <w:b/>
          <w:bCs/>
          <w:color w:val="000000"/>
          <w:sz w:val="44"/>
          <w:highlight w:val="none"/>
        </w:rPr>
      </w:pPr>
      <w:r/>
      <w:bookmarkStart w:id="6" w:name="_Toc163482576"/>
      <w:r>
        <w:rPr>
          <w:rFonts w:hint="eastAsia" w:ascii="宋体" w:hAnsi="宋体"/>
          <w:b/>
          <w:bCs/>
          <w:color w:val="000000"/>
          <w:sz w:val="44"/>
          <w:highlight w:val="none"/>
          <w:u w:val="single"/>
        </w:rPr>
        <w:t xml:space="preserve">                    </w:t>
      </w:r>
      <w:r>
        <w:rPr>
          <w:rFonts w:hint="eastAsia" w:ascii="宋体" w:hAnsi="宋体"/>
          <w:b/>
          <w:bCs/>
          <w:color w:val="000000"/>
          <w:sz w:val="44"/>
          <w:highlight w:val="none"/>
        </w:rPr>
        <w:t xml:space="preserve">合同</w:t>
      </w:r>
      <w:r/>
    </w:p>
    <w:p>
      <w:pPr>
        <w:ind w:firstLine="420"/>
        <w:rPr>
          <w:rFonts w:ascii="宋体" w:hAnsi="宋体"/>
          <w:color w:val="000000"/>
          <w:highlight w:val="none"/>
        </w:rPr>
      </w:pPr>
      <w:r>
        <w:rPr>
          <w:rFonts w:ascii="宋体" w:hAnsi="宋体"/>
          <w:color w:val="000000"/>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1802"/>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p>
    <w:p>
      <w:pPr>
        <w:ind w:firstLine="880"/>
        <w:rPr>
          <w:rFonts w:ascii="宋体" w:hAnsi="宋体"/>
          <w:color w:val="000000"/>
          <w:sz w:val="44"/>
          <w:highlight w:val="none"/>
        </w:rPr>
      </w:pPr>
      <w:r>
        <w:rPr>
          <w:rFonts w:ascii="宋体" w:hAnsi="宋体"/>
          <w:color w:val="000000"/>
          <w:sz w:val="44"/>
          <w:highlight w:val="none"/>
        </w:rPr>
      </w:r>
      <w:r/>
    </w:p>
    <w:p>
      <w:pPr>
        <w:ind w:firstLine="880"/>
        <w:rPr>
          <w:rFonts w:ascii="宋体" w:hAnsi="宋体"/>
          <w:color w:val="000000"/>
          <w:sz w:val="44"/>
          <w:highlight w:val="none"/>
        </w:rPr>
      </w:pPr>
      <w:r>
        <w:rPr>
          <w:rFonts w:ascii="宋体" w:hAnsi="宋体"/>
          <w:color w:val="000000"/>
          <w:sz w:val="44"/>
          <w:highlight w:val="none"/>
        </w:rPr>
      </w:r>
      <w:r/>
    </w:p>
    <w:p>
      <w:pPr>
        <w:ind w:firstLine="1758"/>
        <w:rPr>
          <w:rFonts w:ascii="宋体" w:hAnsi="宋体"/>
          <w:b/>
          <w:bCs/>
          <w:color w:val="000000"/>
          <w:sz w:val="44"/>
          <w:highlight w:val="none"/>
        </w:rPr>
      </w:pPr>
      <w:r>
        <w:rPr>
          <w:rFonts w:hint="eastAsia" w:ascii="宋体" w:hAnsi="宋体"/>
          <w:b/>
          <w:bCs/>
          <w:color w:val="000000"/>
          <w:sz w:val="44"/>
          <w:highlight w:val="none"/>
        </w:rPr>
        <w:t xml:space="preserve">采购人：</w:t>
      </w:r>
      <w:r/>
    </w:p>
    <w:p>
      <w:pPr>
        <w:ind w:firstLine="1758"/>
        <w:rPr>
          <w:rFonts w:ascii="宋体" w:hAnsi="宋体"/>
          <w:b/>
          <w:bCs/>
          <w:color w:val="000000"/>
          <w:sz w:val="44"/>
          <w:highlight w:val="none"/>
        </w:rPr>
      </w:pPr>
      <w:r>
        <w:rPr>
          <w:rFonts w:hint="eastAsia" w:ascii="宋体" w:hAnsi="宋体"/>
          <w:b/>
          <w:bCs/>
          <w:color w:val="000000"/>
          <w:sz w:val="44"/>
          <w:highlight w:val="none"/>
        </w:rPr>
        <w:t xml:space="preserve">中标人：</w:t>
      </w:r>
      <w:r/>
    </w:p>
    <w:p>
      <w:pPr>
        <w:rPr>
          <w:rFonts w:hint="eastAsia" w:ascii="宋体" w:hAnsi="宋体"/>
          <w:b/>
          <w:bCs/>
          <w:sz w:val="24"/>
          <w:highlight w:val="none"/>
        </w:rPr>
      </w:pPr>
      <w:r>
        <w:rPr>
          <w:rFonts w:hint="eastAsia" w:ascii="宋体" w:hAnsi="宋体"/>
          <w:b/>
          <w:bCs/>
          <w:sz w:val="24"/>
          <w:highlight w:val="none"/>
        </w:rPr>
        <w:br w:type="page" w:clear="all"/>
      </w:r>
      <w:r/>
    </w:p>
    <w:p>
      <w:pPr>
        <w:ind w:firstLine="420"/>
        <w:jc w:val="left"/>
        <w:spacing w:line="560" w:lineRule="exact"/>
        <w:rPr>
          <w:rFonts w:hint="eastAsia" w:ascii="宋体" w:hAnsi="宋体"/>
          <w:b/>
          <w:bCs/>
          <w:sz w:val="24"/>
          <w:highlight w:val="none"/>
        </w:rPr>
      </w:pPr>
      <w:r>
        <w:rPr>
          <w:rFonts w:hint="eastAsia" w:ascii="宋体" w:hAnsi="宋体"/>
          <w:b/>
          <w:bCs/>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813"/>
        <w:rPr>
          <w:rFonts w:hint="eastAsia"/>
          <w:highlight w:val="none"/>
        </w:rPr>
      </w:pPr>
      <w:r>
        <w:rPr>
          <w:rFonts w:hint="eastAsia"/>
          <w:highlight w:val="none"/>
        </w:rPr>
      </w:r>
      <w:r/>
    </w:p>
    <w:p>
      <w:pPr>
        <w:ind w:firstLine="0"/>
        <w:jc w:val="center"/>
        <w:spacing w:line="560" w:lineRule="exact"/>
        <w:rPr>
          <w:rFonts w:ascii="黑体" w:hAnsi="黑体" w:eastAsia="黑体"/>
          <w:bCs/>
          <w:highlight w:val="none"/>
        </w:rPr>
      </w:pPr>
      <w:r>
        <w:rPr>
          <w:rFonts w:hint="eastAsia"/>
          <w:b/>
          <w:sz w:val="32"/>
          <w:szCs w:val="32"/>
          <w:highlight w:val="none"/>
        </w:rPr>
        <w:t xml:space="preserve">连云港市政府采购合同</w:t>
      </w:r>
      <w:r/>
    </w:p>
    <w:p>
      <w:pPr>
        <w:pStyle w:val="974"/>
        <w:ind w:firstLine="643"/>
        <w:jc w:val="center"/>
        <w:rPr>
          <w:rFonts w:hAnsi="宋体"/>
          <w:b/>
          <w:color w:val="000000"/>
          <w:sz w:val="32"/>
          <w:highlight w:val="none"/>
        </w:rPr>
      </w:pPr>
      <w:r>
        <w:rPr>
          <w:rFonts w:hAnsi="宋体"/>
          <w:b/>
          <w:color w:val="000000"/>
          <w:sz w:val="32"/>
          <w:highlight w:val="none"/>
        </w:rPr>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甲方：【采购单位】</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乙方：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r>
      <w:r/>
    </w:p>
    <w:p>
      <w:pPr>
        <w:ind w:firstLine="480"/>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color w:val="000000"/>
          <w:sz w:val="24"/>
          <w:szCs w:val="24"/>
          <w:highlight w:val="none"/>
        </w:rPr>
        <w:t xml:space="preserve">甲、乙双方根据</w:t>
      </w:r>
      <w:r>
        <w:rPr>
          <w:rFonts w:hint="default" w:asciiTheme="minorEastAsia" w:hAnsiTheme="minorEastAsia" w:cstheme="minorEastAsia"/>
          <w:color w:val="000000"/>
          <w:sz w:val="24"/>
          <w:szCs w:val="24"/>
          <w:highlight w:val="none"/>
          <w:u w:val="single"/>
        </w:rPr>
        <w:t xml:space="preserve">      </w:t>
      </w:r>
      <w:r>
        <w:rPr>
          <w:rFonts w:hint="default" w:asciiTheme="minorEastAsia" w:hAnsiTheme="minorEastAsia" w:cstheme="minorEastAsia"/>
          <w:color w:val="000000"/>
          <w:sz w:val="24"/>
          <w:szCs w:val="24"/>
          <w:highlight w:val="none"/>
        </w:rPr>
        <w:t xml:space="preserve">年</w:t>
      </w:r>
      <w:r>
        <w:rPr>
          <w:rFonts w:hint="default" w:asciiTheme="minorEastAsia" w:hAnsiTheme="minorEastAsia" w:cstheme="minorEastAsia"/>
          <w:color w:val="000000"/>
          <w:sz w:val="24"/>
          <w:szCs w:val="24"/>
          <w:highlight w:val="none"/>
          <w:u w:val="single"/>
        </w:rPr>
        <w:t xml:space="preserve">   </w:t>
      </w:r>
      <w:r>
        <w:rPr>
          <w:rFonts w:hint="default" w:asciiTheme="minorEastAsia" w:hAnsiTheme="minorEastAsia" w:cstheme="minorEastAsia"/>
          <w:color w:val="000000"/>
          <w:sz w:val="24"/>
          <w:szCs w:val="24"/>
          <w:highlight w:val="none"/>
        </w:rPr>
        <w:t xml:space="preserve">月</w:t>
      </w:r>
      <w:r>
        <w:rPr>
          <w:rFonts w:hint="default" w:asciiTheme="minorEastAsia" w:hAnsiTheme="minorEastAsia" w:cstheme="minorEastAsia"/>
          <w:color w:val="000000"/>
          <w:sz w:val="24"/>
          <w:szCs w:val="24"/>
          <w:highlight w:val="none"/>
          <w:u w:val="single"/>
        </w:rPr>
        <w:t xml:space="preserve">  </w:t>
      </w:r>
      <w:r>
        <w:rPr>
          <w:rFonts w:hint="default" w:asciiTheme="minorEastAsia" w:hAnsiTheme="minorEastAsia" w:cstheme="minorEastAsia"/>
          <w:color w:val="000000"/>
          <w:sz w:val="24"/>
          <w:szCs w:val="24"/>
          <w:highlight w:val="none"/>
        </w:rPr>
        <w:t xml:space="preserve">日</w:t>
      </w:r>
      <w:r>
        <w:rPr>
          <w:rFonts w:hint="default" w:asciiTheme="minorEastAsia" w:hAnsiTheme="minorEastAsia" w:cstheme="minorEastAsia"/>
          <w:color w:val="000000"/>
          <w:sz w:val="24"/>
          <w:szCs w:val="24"/>
          <w:highlight w:val="none"/>
          <w:u w:val="single"/>
        </w:rPr>
        <w:t xml:space="preserve">【标段名称】</w:t>
      </w:r>
      <w:r>
        <w:rPr>
          <w:rFonts w:hint="default" w:asciiTheme="minorEastAsia" w:hAnsiTheme="minorEastAsia" w:cstheme="minorEastAsia"/>
          <w:color w:val="000000"/>
          <w:sz w:val="24"/>
          <w:szCs w:val="24"/>
          <w:highlight w:val="none"/>
        </w:rPr>
        <w:t xml:space="preserve">项目（标段编号：</w:t>
      </w:r>
      <w:r>
        <w:rPr>
          <w:rFonts w:hint="default" w:asciiTheme="minorEastAsia" w:hAnsiTheme="minorEastAsia" w:cstheme="minorEastAsia"/>
          <w:color w:val="000000"/>
          <w:sz w:val="24"/>
          <w:szCs w:val="24"/>
          <w:highlight w:val="none"/>
          <w:u w:val="single"/>
        </w:rPr>
        <w:t xml:space="preserve">【标段编号】</w:t>
      </w:r>
      <w:r>
        <w:rPr>
          <w:rFonts w:hint="default" w:asciiTheme="minorEastAsia" w:hAnsiTheme="minorEastAsia" w:cstheme="minorEastAsia"/>
          <w:color w:val="000000"/>
          <w:sz w:val="24"/>
          <w:szCs w:val="24"/>
          <w:highlight w:val="none"/>
        </w:rPr>
        <w:t xml:space="preserve">）的采购结果，签订本合同。</w:t>
      </w:r>
      <w:r/>
    </w:p>
    <w:p>
      <w:pPr>
        <w:pStyle w:val="974"/>
        <w:ind w:firstLine="482"/>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b/>
          <w:color w:val="000000"/>
          <w:sz w:val="24"/>
          <w:szCs w:val="24"/>
          <w:highlight w:val="none"/>
        </w:rPr>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一、货物（标的）内容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 货物（标的）名称：</w:t>
      </w:r>
      <w:r>
        <w:rPr>
          <w:rFonts w:hint="default" w:asciiTheme="minorEastAsia" w:hAnsiTheme="minorEastAsia" w:cstheme="minorEastAsia"/>
          <w:sz w:val="24"/>
          <w:szCs w:val="24"/>
          <w:highlight w:val="none"/>
        </w:rPr>
        <w:t xml:space="preserve">_________</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 型号规格：</w:t>
      </w:r>
      <w:r>
        <w:rPr>
          <w:rFonts w:hint="default" w:asciiTheme="minorEastAsia" w:hAnsiTheme="minorEastAsia" w:cstheme="minorEastAsia"/>
          <w:sz w:val="24"/>
          <w:szCs w:val="24"/>
          <w:highlight w:val="none"/>
        </w:rPr>
        <w:t xml:space="preserve">_________</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 技术参数：</w:t>
      </w:r>
      <w:r>
        <w:rPr>
          <w:rFonts w:hint="default" w:asciiTheme="minorEastAsia" w:hAnsiTheme="minorEastAsia" w:cstheme="minorEastAsia"/>
          <w:sz w:val="24"/>
          <w:szCs w:val="24"/>
          <w:highlight w:val="none"/>
        </w:rPr>
        <w:t xml:space="preserve">_________</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1.4 数量（单位）：</w:t>
      </w:r>
      <w:r>
        <w:rPr>
          <w:rFonts w:hint="default" w:asciiTheme="minorEastAsia" w:hAnsiTheme="minorEastAsia" w:cstheme="minorEastAsia"/>
          <w:sz w:val="24"/>
          <w:szCs w:val="24"/>
          <w:highlight w:val="none"/>
        </w:rPr>
        <w:t xml:space="preserve">_________</w:t>
      </w:r>
      <w:r>
        <w:rPr>
          <w:rFonts w:hint="default" w:asciiTheme="minorEastAsia" w:hAnsiTheme="minorEastAsia" w:cstheme="minorEastAsia"/>
          <w:color w:val="000000"/>
          <w:sz w:val="24"/>
          <w:szCs w:val="24"/>
          <w:highlight w:val="none"/>
        </w:rPr>
        <w:t xml:space="preserve">。</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二、合同金额</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2.1 本合同金额为人民币（大写）：_______________元（¥_____________）。</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（详见投标报价表）</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三、技术资料</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3.1 乙方应按招标文件规定的时间向甲方提供使用货物的有关技术资料。</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四、知识产权</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4.1 乙方应保证所提供的货物或其任何一部分均不会侵犯任何第三方的专利权、商标权或著作权</w:t>
      </w:r>
      <w:r>
        <w:rPr>
          <w:rFonts w:hint="default" w:asciiTheme="minorEastAsia" w:hAnsiTheme="minorEastAsia" w:cstheme="minorEastAsia"/>
          <w:b/>
          <w:bCs/>
          <w:color w:val="000000"/>
          <w:sz w:val="24"/>
          <w:szCs w:val="24"/>
          <w:highlight w:val="none"/>
        </w:rPr>
        <w:t xml:space="preserve">。</w:t>
      </w:r>
      <w:r/>
    </w:p>
    <w:p>
      <w:pPr>
        <w:pStyle w:val="974"/>
        <w:ind w:firstLine="482"/>
        <w:keepLines w:val="0"/>
        <w:keepNext w:val="0"/>
        <w:pageBreakBefore w:val="0"/>
        <w:spacing w:line="360" w:lineRule="auto"/>
        <w:widowControl w:val="off"/>
        <w:rPr>
          <w:rFonts w:hint="default" w:asciiTheme="minorEastAsia" w:hAnsiTheme="minorEastAsia" w:cstheme="minorEastAsia"/>
          <w:color w:val="000000"/>
          <w:sz w:val="24"/>
          <w:szCs w:val="24"/>
          <w:highlight w:val="none"/>
          <w:u w:val="single"/>
        </w:rPr>
      </w:pPr>
      <w:r>
        <w:rPr>
          <w:rFonts w:hint="default" w:asciiTheme="minorEastAsia" w:hAnsiTheme="minorEastAsia" w:cstheme="minorEastAsia"/>
          <w:b/>
          <w:color w:val="000000"/>
          <w:sz w:val="24"/>
          <w:szCs w:val="24"/>
          <w:highlight w:val="none"/>
        </w:rPr>
        <w:t xml:space="preserve">五、无产权瑕疵条款</w:t>
      </w:r>
      <w:r/>
    </w:p>
    <w:p>
      <w:pPr>
        <w:ind w:firstLine="480"/>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color w:val="000000"/>
          <w:sz w:val="24"/>
          <w:szCs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六、履约保证金</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6.1本项目不收取履约保证金。</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七、质保期</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7.1 质保期</w:t>
      </w:r>
      <w:r>
        <w:rPr>
          <w:rFonts w:hint="default" w:asciiTheme="minorEastAsia" w:hAnsiTheme="minorEastAsia" w:cstheme="minorEastAsia"/>
          <w:color w:val="000000"/>
          <w:sz w:val="24"/>
          <w:szCs w:val="24"/>
          <w:highlight w:val="none"/>
          <w:u w:val="single"/>
        </w:rPr>
        <w:t xml:space="preserve">    </w:t>
      </w:r>
      <w:r>
        <w:rPr>
          <w:rFonts w:hint="eastAsia" w:eastAsia="宋体" w:asciiTheme="minorEastAsia" w:hAnsiTheme="minorEastAsia" w:cstheme="minorEastAsia"/>
          <w:color w:val="000000"/>
          <w:sz w:val="24"/>
          <w:szCs w:val="24"/>
          <w:highlight w:val="none"/>
          <w:u w:val="single"/>
          <w:lang w:val="en-US" w:eastAsia="zh-CN"/>
        </w:rPr>
        <w:t xml:space="preserve">2</w:t>
      </w:r>
      <w:r>
        <w:rPr>
          <w:rFonts w:hint="default" w:asciiTheme="minorEastAsia" w:hAnsiTheme="minorEastAsia" w:cstheme="minorEastAsia"/>
          <w:color w:val="000000"/>
          <w:sz w:val="24"/>
          <w:szCs w:val="24"/>
          <w:highlight w:val="none"/>
          <w:u w:val="single"/>
        </w:rPr>
        <w:t xml:space="preserve">     </w:t>
      </w:r>
      <w:r>
        <w:rPr>
          <w:rFonts w:hint="default" w:asciiTheme="minorEastAsia" w:hAnsiTheme="minorEastAsia" w:cstheme="minorEastAsia"/>
          <w:color w:val="000000"/>
          <w:sz w:val="24"/>
          <w:szCs w:val="24"/>
          <w:highlight w:val="none"/>
        </w:rPr>
        <w:t xml:space="preserve">年（自项目验收合格之日起计算）。</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八、交货期、交货方式及交货地点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8.1 交货期：</w:t>
      </w:r>
      <w:r>
        <w:rPr>
          <w:rFonts w:hint="default" w:asciiTheme="minorEastAsia" w:hAnsiTheme="minorEastAsia" w:cstheme="minorEastAsia"/>
          <w:color w:val="000000"/>
          <w:sz w:val="24"/>
          <w:szCs w:val="24"/>
          <w:highlight w:val="none"/>
          <w:u w:val="single"/>
        </w:rPr>
        <w:t xml:space="preserve">合同签订后</w:t>
      </w:r>
      <w:r>
        <w:rPr>
          <w:rFonts w:hint="eastAsia" w:eastAsia="宋体" w:asciiTheme="minorEastAsia" w:hAnsiTheme="minorEastAsia" w:cstheme="minorEastAsia"/>
          <w:color w:val="000000"/>
          <w:sz w:val="24"/>
          <w:szCs w:val="24"/>
          <w:highlight w:val="none"/>
          <w:u w:val="single"/>
          <w:lang w:val="en-US" w:eastAsia="zh-CN"/>
        </w:rPr>
        <w:t xml:space="preserve">30</w:t>
      </w:r>
      <w:r>
        <w:rPr>
          <w:rFonts w:hint="default" w:asciiTheme="minorEastAsia" w:hAnsiTheme="minorEastAsia" w:cstheme="minorEastAsia"/>
          <w:color w:val="000000"/>
          <w:sz w:val="24"/>
          <w:szCs w:val="24"/>
          <w:highlight w:val="none"/>
          <w:u w:val="single"/>
        </w:rPr>
        <w:t xml:space="preserve">日历天内完成供货并调试安装完毕，试运行60日历天正常后，通过验收后交付使用</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8.2 交货方式：</w:t>
      </w:r>
      <w:r>
        <w:rPr>
          <w:rFonts w:hint="default" w:asciiTheme="minorEastAsia" w:hAnsiTheme="minorEastAsia" w:cstheme="minorEastAsia"/>
          <w:color w:val="000000"/>
          <w:sz w:val="24"/>
          <w:szCs w:val="24"/>
          <w:highlight w:val="none"/>
          <w:u w:val="single"/>
        </w:rPr>
        <w:t xml:space="preserve"> 现场交货，在货物发运前对其进行满足运输距离、防潮、防震、防锈和防破损装卸等要求包装，以保证货物安全运达采购人指定地点</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color w:val="000000"/>
          <w:sz w:val="24"/>
          <w:szCs w:val="24"/>
          <w:highlight w:val="none"/>
        </w:rPr>
        <w:t xml:space="preserve">8.3 交货地点：</w:t>
      </w:r>
      <w:r>
        <w:rPr>
          <w:rFonts w:hint="default" w:asciiTheme="minorEastAsia" w:hAnsiTheme="minorEastAsia" w:cstheme="minorEastAsia"/>
          <w:color w:val="000000"/>
          <w:sz w:val="24"/>
          <w:szCs w:val="24"/>
          <w:highlight w:val="none"/>
          <w:u w:val="single"/>
        </w:rPr>
        <w:t xml:space="preserve"> 连云港市应急管理服务中心     </w:t>
      </w:r>
      <w:r>
        <w:rPr>
          <w:rFonts w:hint="default" w:asciiTheme="minorEastAsia" w:hAnsiTheme="minorEastAsia" w:cstheme="minorEastAsia"/>
          <w:color w:val="000000"/>
          <w:sz w:val="24"/>
          <w:szCs w:val="24"/>
          <w:highlight w:val="none"/>
        </w:rPr>
        <w:t xml:space="preserve">。</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九、合同款支付</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9.1 付款方式：</w:t>
      </w:r>
      <w:r>
        <w:rPr>
          <w:rFonts w:hint="default" w:asciiTheme="minorEastAsia" w:hAnsiTheme="minorEastAsia" w:cstheme="minorEastAsia"/>
          <w:color w:val="000000"/>
          <w:sz w:val="24"/>
          <w:szCs w:val="24"/>
          <w:highlight w:val="none"/>
          <w:u w:val="single"/>
        </w:rPr>
        <w:t xml:space="preserve">全部货物送达甲方指定地点，清点无误后甲方向乙方支付合同总价40%；货物完成安装调试，试运行60日历天正常后支付合同价的40%；项目整体最终验收合格交付使用后，甲方向乙方支付剩余合同总价的20%。甲方每次付款前，乙方须按甲方要求提供对等金额的合法发票。</w:t>
      </w:r>
      <w:r/>
    </w:p>
    <w:p>
      <w:pPr>
        <w:ind w:firstLine="480"/>
        <w:keepLines w:val="0"/>
        <w:keepNext w:val="0"/>
        <w:pageBreakBefore w:val="0"/>
        <w:spacing w:line="360" w:lineRule="auto"/>
        <w:widowControl w:val="off"/>
        <w:rPr>
          <w:rFonts w:hint="default" w:asciiTheme="minorEastAsia" w:hAnsiTheme="minorEastAsia" w:cstheme="minorEastAsia"/>
          <w:bCs/>
          <w:color w:val="000000"/>
          <w:sz w:val="24"/>
          <w:szCs w:val="24"/>
          <w:highlight w:val="none"/>
        </w:rPr>
      </w:pPr>
      <w:r>
        <w:rPr>
          <w:rFonts w:hint="default" w:asciiTheme="minorEastAsia" w:hAnsiTheme="minorEastAsia" w:cstheme="minorEastAsia"/>
          <w:color w:val="000000"/>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十、质量保证及售后服务</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10.1 乙方应按招标文件规定的货物性能、技术要求、质量标准向甲方提供未经使用的全新产品。</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（1）更换：由乙方承担所发生的全部费用。</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（2）贬值处理：由甲乙双方合议定价。</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（3）退货处理：乙方应退还甲方支付的合同款，同时应承担该货物的直接费用（运输、保险、检验、合同款利息及银行手续费等）。</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10.3 测试要求：乙方安装后现场测试，提供测试报告，甲方验收签字确认。</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十一、调试和验收</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w:t>
      </w:r>
      <w:r>
        <w:rPr>
          <w:rFonts w:hint="default" w:asciiTheme="minorEastAsia" w:hAnsiTheme="minorEastAsia" w:cstheme="minorEastAsia"/>
          <w:color w:val="000000"/>
          <w:sz w:val="24"/>
          <w:szCs w:val="24"/>
          <w:highlight w:val="none"/>
          <w:lang w:eastAsia="zh-CN"/>
        </w:rPr>
        <w:t xml:space="preserve">符合验收标准，</w:t>
      </w:r>
      <w:r>
        <w:rPr>
          <w:rFonts w:hint="default" w:asciiTheme="minorEastAsia" w:hAnsiTheme="minorEastAsia" w:cstheme="minorEastAsia"/>
          <w:color w:val="000000"/>
          <w:sz w:val="24"/>
          <w:szCs w:val="24"/>
          <w:highlight w:val="none"/>
        </w:rPr>
        <w:t xml:space="preserve">甲方</w:t>
      </w:r>
      <w:r>
        <w:rPr>
          <w:rFonts w:hint="default" w:asciiTheme="minorEastAsia" w:hAnsiTheme="minorEastAsia" w:cstheme="minorEastAsia"/>
          <w:color w:val="000000"/>
          <w:sz w:val="24"/>
          <w:szCs w:val="24"/>
          <w:highlight w:val="none"/>
          <w:lang w:eastAsia="zh-CN"/>
        </w:rPr>
        <w:t xml:space="preserve">组织</w:t>
      </w:r>
      <w:r>
        <w:rPr>
          <w:rFonts w:hint="default" w:asciiTheme="minorEastAsia" w:hAnsiTheme="minorEastAsia" w:cstheme="minorEastAsia"/>
          <w:color w:val="000000"/>
          <w:sz w:val="24"/>
          <w:szCs w:val="24"/>
          <w:highlight w:val="none"/>
        </w:rPr>
        <w:t xml:space="preserve">验收。在采购人将所有的货物按招标文件要求和国家标准或行业标准进行检测验收后，发现有其他非故意的损坏或质量问题的，由乙方立即予以更换，不得拒绝和延误。</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11.4 验收时乙方必须在现场，验收完毕后作出验收结果报告。对技术复杂的项目，甲方可组织有关部门和专家进行验收，相关费用由甲乙双方协商解决。</w:t>
      </w:r>
      <w:r/>
    </w:p>
    <w:p>
      <w:pPr>
        <w:ind w:firstLine="480"/>
        <w:keepLines w:val="0"/>
        <w:keepNext w:val="0"/>
        <w:pageBreakBefore w:val="0"/>
        <w:spacing w:line="360" w:lineRule="auto"/>
        <w:widowControl w:val="off"/>
        <w:rPr>
          <w:rFonts w:hint="default" w:eastAsia="宋体" w:asciiTheme="minorEastAsia" w:hAnsiTheme="minorEastAsia" w:cstheme="minorEastAsia"/>
          <w:b w:val="0"/>
          <w:color w:val="000000"/>
          <w:spacing w:val="0"/>
          <w:sz w:val="24"/>
          <w:szCs w:val="24"/>
          <w:highlight w:val="none"/>
        </w:rPr>
      </w:pPr>
      <w:r>
        <w:rPr>
          <w:rFonts w:hint="default" w:eastAsia="宋体" w:asciiTheme="minorEastAsia" w:hAnsiTheme="minorEastAsia" w:cstheme="minorEastAsia"/>
          <w:b w:val="0"/>
          <w:color w:val="000000"/>
          <w:spacing w:val="0"/>
          <w:sz w:val="24"/>
          <w:szCs w:val="24"/>
          <w:highlight w:val="none"/>
          <w:lang w:val="en-US" w:eastAsia="zh-CN" w:bidi="ar-SA"/>
        </w:rPr>
        <w:t xml:space="preserve">11.5 验收要求：</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（1）本项目验收以招投标文件、合同文件、第三方检测及国家标准规范为质量评定标准。</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（2）</w:t>
      </w:r>
      <w:r>
        <w:rPr>
          <w:rFonts w:hint="default" w:asciiTheme="minorEastAsia" w:hAnsiTheme="minorEastAsia" w:cstheme="minorEastAsia"/>
          <w:color w:val="000000"/>
          <w:sz w:val="24"/>
          <w:szCs w:val="24"/>
          <w:highlight w:val="none"/>
          <w:lang w:bidi="ar"/>
        </w:rPr>
        <w:t xml:space="preserve">设备到达采购人现场前，应提前通知采购人做好接收准备，设备到达现场后由采购人会同有关单位和人员根据清单进行现场商检和验收；</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sz w:val="24"/>
          <w:szCs w:val="24"/>
          <w:highlight w:val="none"/>
        </w:rPr>
        <w:t xml:space="preserve">（3）</w:t>
      </w:r>
      <w:r>
        <w:rPr>
          <w:rFonts w:hint="default" w:asciiTheme="minorEastAsia" w:hAnsiTheme="minorEastAsia" w:cstheme="minorEastAsia"/>
          <w:color w:val="000000"/>
          <w:sz w:val="24"/>
          <w:szCs w:val="24"/>
          <w:highlight w:val="none"/>
          <w:lang w:bidi="ar"/>
        </w:rPr>
        <w:t xml:space="preserve">货物安装调试完成后，中标人须提供产品合格证、主要货物厂家质保书、保修证明等书面资料，并报请采购人进行检测验收。</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（4）本项目的最终用户为招标人，中标人必须提供本项目的所有文档。项目建成后，移交前文档资料准备应包括以下三部分资料：</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（5）一是工程过程的指导性文件：如技术交底、招投标文档、项目实际进度执行情况、系统日常操作与维护手册等。</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（6）二是项目运作过程的记录性文件：如各种验收记录、系统修改日记等。</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（7）三是项目过程的质量保证性文件：如设备签收记录、系统测试报告等。</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（8）具备以下条件，方可通过验收：</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① 经验收，设备及系统的各类性能及指标完全符合招标文件的技术要求、用途及功能需求。</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② 初验中出现的问题，已由中标人全部做好处理（永久性的而非临时性的），并经再次检测合格。</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③ 合同规定的技术文件，除竣工验收文件外，其它已经如数提交给采购人。</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④ 合同规定由中标供应商提供的技术服务已经实现。</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⑤ 甲乙双方共同组织或委托第三方来确认是否达到验收标准（参照验收大纲及有关标准由双方协商决定），若符合验收标准则验收合格。</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十二、货物包装、发运及运输</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12.1 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12.2 使用说明书、质量检验证明书、随配附件和工具以及清单一并附于货物内。</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12.3 乙方在货物发运手续办理完毕后24小时内或货到甲方48小时前通知甲方，以准备接货。</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12.4 货物在交付甲方前发生的风险均由乙方负责。</w:t>
      </w:r>
      <w:r/>
    </w:p>
    <w:p>
      <w:pPr>
        <w:ind w:firstLine="480"/>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color w:val="000000"/>
          <w:sz w:val="24"/>
          <w:szCs w:val="24"/>
          <w:highlight w:val="none"/>
        </w:rPr>
        <w:t xml:space="preserve">12.5 货物在规定的交付期限内由乙方送达甲方指定的地点视为交付，乙方同时需通知甲方货物已送达。</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十三、违约责任</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13.1 甲方无正当理由拒收货物的，甲方向乙方偿付拒收合同款总值的</w:t>
      </w:r>
      <w:r>
        <w:rPr>
          <w:rFonts w:hint="default" w:asciiTheme="minorEastAsia" w:hAnsiTheme="minorEastAsia" w:cstheme="minorEastAsia"/>
          <w:color w:val="000000"/>
          <w:sz w:val="24"/>
          <w:szCs w:val="24"/>
          <w:highlight w:val="none"/>
          <w:u w:val="single"/>
        </w:rPr>
        <w:t xml:space="preserve">百分之五</w:t>
      </w:r>
      <w:r>
        <w:rPr>
          <w:rFonts w:hint="default" w:asciiTheme="minorEastAsia" w:hAnsiTheme="minorEastAsia" w:cstheme="minorEastAsia"/>
          <w:color w:val="000000"/>
          <w:sz w:val="24"/>
          <w:szCs w:val="24"/>
          <w:highlight w:val="none"/>
        </w:rPr>
        <w:t xml:space="preserve">违约金。</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13.2 甲方无故逾期验收和办理合同款支付手续的，甲方应按逾期付款总额每日</w:t>
      </w:r>
      <w:r>
        <w:rPr>
          <w:rFonts w:hint="default" w:asciiTheme="minorEastAsia" w:hAnsiTheme="minorEastAsia" w:cstheme="minorEastAsia"/>
          <w:color w:val="000000"/>
          <w:sz w:val="24"/>
          <w:szCs w:val="24"/>
          <w:highlight w:val="none"/>
          <w:u w:val="single"/>
        </w:rPr>
        <w:t xml:space="preserve">万分之五</w:t>
      </w:r>
      <w:r>
        <w:rPr>
          <w:rFonts w:hint="default" w:asciiTheme="minorEastAsia" w:hAnsiTheme="minorEastAsia" w:cstheme="minorEastAsia"/>
          <w:color w:val="000000"/>
          <w:sz w:val="24"/>
          <w:szCs w:val="24"/>
          <w:highlight w:val="none"/>
        </w:rPr>
        <w:t xml:space="preserve">向乙方支付违约金，最高限额为本合同总价的</w:t>
      </w:r>
      <w:r>
        <w:rPr>
          <w:rFonts w:hint="default" w:asciiTheme="minorEastAsia" w:hAnsiTheme="minorEastAsia" w:cstheme="minorEastAsia"/>
          <w:color w:val="000000"/>
          <w:sz w:val="24"/>
          <w:szCs w:val="24"/>
          <w:highlight w:val="none"/>
          <w:u w:val="single"/>
        </w:rPr>
        <w:t xml:space="preserve">百分之五</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13.3 乙方逾期交付货物的，乙方应按逾期交货总额每日</w:t>
      </w:r>
      <w:r>
        <w:rPr>
          <w:rFonts w:hint="default" w:asciiTheme="minorEastAsia" w:hAnsiTheme="minorEastAsia" w:cstheme="minorEastAsia"/>
          <w:color w:val="000000"/>
          <w:sz w:val="24"/>
          <w:szCs w:val="24"/>
          <w:highlight w:val="none"/>
          <w:u w:val="single"/>
        </w:rPr>
        <w:t xml:space="preserve">万分之五</w:t>
      </w:r>
      <w:r>
        <w:rPr>
          <w:rFonts w:hint="default" w:asciiTheme="minorEastAsia" w:hAnsiTheme="minorEastAsia" w:cstheme="minorEastAsia"/>
          <w:color w:val="000000"/>
          <w:sz w:val="24"/>
          <w:szCs w:val="24"/>
          <w:highlight w:val="none"/>
        </w:rPr>
        <w:t xml:space="preserve">向甲方支付违约金，由甲方从待付合同款中扣除，最高限额为本合同总价的</w:t>
      </w:r>
      <w:r>
        <w:rPr>
          <w:rFonts w:hint="default" w:asciiTheme="minorEastAsia" w:hAnsiTheme="minorEastAsia" w:cstheme="minorEastAsia"/>
          <w:color w:val="000000"/>
          <w:sz w:val="24"/>
          <w:szCs w:val="24"/>
          <w:highlight w:val="none"/>
          <w:u w:val="single"/>
        </w:rPr>
        <w:t xml:space="preserve">百分之五</w:t>
      </w:r>
      <w:r>
        <w:rPr>
          <w:rFonts w:hint="default" w:asciiTheme="minorEastAsia" w:hAnsiTheme="minorEastAsia" w:cstheme="minorEastAsia"/>
          <w:color w:val="000000"/>
          <w:sz w:val="24"/>
          <w:szCs w:val="24"/>
          <w:highlight w:val="none"/>
        </w:rPr>
        <w:t xml:space="preserve">。逾期超过约定日期</w:t>
      </w:r>
      <w:r>
        <w:rPr>
          <w:rFonts w:hint="default" w:asciiTheme="minorEastAsia" w:hAnsiTheme="minorEastAsia" w:cstheme="minorEastAsia"/>
          <w:color w:val="000000"/>
          <w:sz w:val="24"/>
          <w:szCs w:val="24"/>
          <w:highlight w:val="none"/>
          <w:u w:val="single"/>
        </w:rPr>
        <w:t xml:space="preserve">10个工作日</w:t>
      </w:r>
      <w:r>
        <w:rPr>
          <w:rFonts w:hint="default" w:asciiTheme="minorEastAsia" w:hAnsiTheme="minorEastAsia" w:cstheme="minorEastAsia"/>
          <w:color w:val="000000"/>
          <w:sz w:val="24"/>
          <w:szCs w:val="24"/>
          <w:highlight w:val="none"/>
        </w:rPr>
        <w:t xml:space="preserve">不能交货的，甲方可解除本合同。乙方因逾期交货或因其他违约行为导致甲方解除合同的，乙方应向甲方支付合同总值</w:t>
      </w:r>
      <w:r>
        <w:rPr>
          <w:rFonts w:hint="default" w:asciiTheme="minorEastAsia" w:hAnsiTheme="minorEastAsia" w:cstheme="minorEastAsia"/>
          <w:color w:val="000000"/>
          <w:sz w:val="24"/>
          <w:szCs w:val="24"/>
          <w:highlight w:val="none"/>
          <w:u w:val="single"/>
        </w:rPr>
        <w:t xml:space="preserve">百分之五</w:t>
      </w:r>
      <w:r>
        <w:rPr>
          <w:rFonts w:hint="default" w:asciiTheme="minorEastAsia" w:hAnsiTheme="minorEastAsia" w:cstheme="minorEastAsia"/>
          <w:color w:val="000000"/>
          <w:sz w:val="24"/>
          <w:szCs w:val="24"/>
          <w:highlight w:val="none"/>
        </w:rPr>
        <w:t xml:space="preserve">的违约金，如造成甲方损失超过违约金的，超出部分由乙方继续承担赔偿责任。 </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十四、不可抗力事件处理</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14.2 不可抗力事件发生后，应立即通知对方，并寄送有关权威机构出具的证明。</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14.3 不可抗力事件延续120天以上，双方应通过友好协商，确定是否继续履行合同。</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十五、争议解决</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15.1 双方在执行合同中所发生的一切争议，应通过协商解决。如协商不成，按下列第</w:t>
      </w:r>
      <w:r>
        <w:rPr>
          <w:rFonts w:hint="default" w:asciiTheme="minorEastAsia" w:hAnsiTheme="minorEastAsia" w:cstheme="minorEastAsia"/>
          <w:color w:val="000000"/>
          <w:sz w:val="24"/>
          <w:szCs w:val="24"/>
          <w:highlight w:val="none"/>
          <w:u w:val="single"/>
        </w:rPr>
        <w:t xml:space="preserve">（1）</w:t>
      </w:r>
      <w:r>
        <w:rPr>
          <w:rFonts w:hint="default" w:asciiTheme="minorEastAsia" w:hAnsiTheme="minorEastAsia" w:cstheme="minorEastAsia"/>
          <w:color w:val="000000"/>
          <w:sz w:val="24"/>
          <w:szCs w:val="24"/>
          <w:highlight w:val="none"/>
        </w:rPr>
        <w:t xml:space="preserve">种方式解决：</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（1）向连云港仲裁委员会申请仲裁。</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（2）向合同签订地法院起诉，合同签订地在此约定为连云港市。</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十六、合同生效及其它</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16.1 合同经双方法定代表人或授权委托代理人签名并加盖单位公章后生效。</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16.2 下述合同附件为本合同不可分割的部分并与本合同具有同等效力：</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（1）供货清单和分项价格表</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（2）技术规格</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（3）乙方报价函的内容及其澄清内容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（4）其他与本合同相关的资料</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（5）本合同适用的特殊条款</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16.3 本合同未尽事宜，遵照《中华人民共和国民法典》有关条文执行。</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16.4 本合同正本一式六份，具有同等法律效力，甲方、乙方各执</w:t>
      </w:r>
      <w:r>
        <w:rPr>
          <w:rFonts w:hint="eastAsia" w:eastAsia="宋体" w:asciiTheme="minorEastAsia" w:hAnsiTheme="minorEastAsia" w:cstheme="minorEastAsia"/>
          <w:color w:val="000000"/>
          <w:sz w:val="24"/>
          <w:szCs w:val="24"/>
          <w:highlight w:val="none"/>
          <w:lang w:val="en-US" w:eastAsia="zh-CN"/>
        </w:rPr>
        <w:t xml:space="preserve">二</w:t>
      </w:r>
      <w:r>
        <w:rPr>
          <w:rFonts w:hint="default" w:asciiTheme="minorEastAsia" w:hAnsiTheme="minorEastAsia" w:cstheme="minorEastAsia"/>
          <w:color w:val="000000"/>
          <w:sz w:val="24"/>
          <w:szCs w:val="24"/>
          <w:highlight w:val="none"/>
        </w:rPr>
        <w:t xml:space="preserve">份，见证方执</w:t>
      </w:r>
      <w:r>
        <w:rPr>
          <w:rFonts w:hint="eastAsia" w:eastAsia="宋体" w:asciiTheme="minorEastAsia" w:hAnsiTheme="minorEastAsia" w:cstheme="minorEastAsia"/>
          <w:color w:val="000000"/>
          <w:sz w:val="24"/>
          <w:szCs w:val="24"/>
          <w:highlight w:val="none"/>
          <w:lang w:val="en-US" w:eastAsia="zh-CN"/>
        </w:rPr>
        <w:t xml:space="preserve">一</w:t>
      </w:r>
      <w:r>
        <w:rPr>
          <w:rFonts w:hint="default" w:asciiTheme="minorEastAsia" w:hAnsiTheme="minorEastAsia" w:cstheme="minorEastAsia"/>
          <w:color w:val="000000"/>
          <w:sz w:val="24"/>
          <w:szCs w:val="24"/>
          <w:highlight w:val="none"/>
        </w:rPr>
        <w:t xml:space="preserve">份</w:t>
      </w:r>
      <w:r>
        <w:rPr>
          <w:rFonts w:hint="eastAsia" w:eastAsia="宋体" w:asciiTheme="minorEastAsia" w:hAnsiTheme="minorEastAsia" w:cstheme="minorEastAsia"/>
          <w:color w:val="000000"/>
          <w:sz w:val="24"/>
          <w:szCs w:val="24"/>
          <w:highlight w:val="none"/>
          <w:lang w:eastAsia="zh-CN"/>
        </w:rPr>
        <w:t xml:space="preserve">，</w:t>
      </w:r>
      <w:r>
        <w:rPr>
          <w:rFonts w:hint="default" w:asciiTheme="minorEastAsia" w:hAnsiTheme="minorEastAsia" w:cstheme="minorEastAsia"/>
          <w:color w:val="000000"/>
          <w:sz w:val="24"/>
          <w:szCs w:val="24"/>
          <w:highlight w:val="none"/>
        </w:rPr>
        <w:t xml:space="preserve">采购人报一份至政府采购监督管理部门。</w:t>
      </w:r>
      <w:r/>
    </w:p>
    <w:p>
      <w:pPr>
        <w:pStyle w:val="97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甲方：                                  乙方：                     </w:t>
      </w:r>
      <w:r/>
    </w:p>
    <w:p>
      <w:pPr>
        <w:pStyle w:val="97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地址：                                  地址：                     </w:t>
      </w:r>
      <w:r/>
    </w:p>
    <w:p>
      <w:pPr>
        <w:pStyle w:val="97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法定代表人：                            法定代表人：               </w:t>
      </w:r>
      <w:r/>
    </w:p>
    <w:p>
      <w:pPr>
        <w:pStyle w:val="97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委托代理人：                            委托代理人：           </w:t>
      </w:r>
      <w:r/>
    </w:p>
    <w:p>
      <w:pPr>
        <w:pStyle w:val="97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电话：                                  电话：                     </w:t>
      </w:r>
      <w:r/>
    </w:p>
    <w:p>
      <w:pPr>
        <w:pStyle w:val="97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传真：                                  传真：                     </w:t>
      </w:r>
      <w:r/>
    </w:p>
    <w:p>
      <w:pPr>
        <w:pStyle w:val="97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签订日期：      年  月  日</w:t>
      </w:r>
      <w:r/>
    </w:p>
    <w:p>
      <w:pPr>
        <w:keepLines w:val="0"/>
        <w:keepNext w:val="0"/>
        <w:pageBreakBefore w:val="0"/>
        <w:spacing w:line="360" w:lineRule="auto"/>
        <w:widowControl w:val="off"/>
        <w:rPr>
          <w:rFonts w:hint="default" w:asciiTheme="minorEastAsia" w:hAnsiTheme="minorEastAsia" w:cstheme="minorEastAsia"/>
          <w:sz w:val="24"/>
          <w:szCs w:val="24"/>
        </w:rPr>
      </w:pPr>
      <w:r>
        <w:rPr>
          <w:rFonts w:hint="default" w:asciiTheme="minorEastAsia" w:hAnsiTheme="minorEastAsia" w:cstheme="minorEastAsia"/>
          <w:sz w:val="24"/>
          <w:szCs w:val="24"/>
        </w:rPr>
      </w:r>
      <w:r/>
    </w:p>
    <w:p>
      <w:pPr>
        <w:keepLines w:val="0"/>
        <w:keepNext w:val="0"/>
        <w:pageBreakBefore w:val="0"/>
        <w:spacing w:line="360" w:lineRule="auto"/>
        <w:widowControl w:val="off"/>
        <w:rPr>
          <w:rFonts w:hint="default" w:asciiTheme="minorEastAsia" w:hAnsiTheme="minorEastAsia" w:cstheme="minorEastAsia"/>
          <w:sz w:val="24"/>
          <w:szCs w:val="24"/>
        </w:rPr>
      </w:pPr>
      <w:r>
        <w:rPr>
          <w:rFonts w:hint="default" w:asciiTheme="minorEastAsia" w:hAnsiTheme="minorEastAsia" w:cstheme="minorEastAsia"/>
          <w:sz w:val="24"/>
          <w:szCs w:val="24"/>
        </w:rPr>
      </w:r>
      <w:r/>
    </w:p>
    <w:p>
      <w:r/>
      <w:r/>
    </w:p>
    <w:p>
      <w:r/>
      <w:r/>
    </w:p>
    <w:p>
      <w:r/>
      <w:r/>
    </w:p>
    <w:p>
      <w:r/>
      <w:r/>
    </w:p>
    <w:p>
      <w:r/>
      <w:r/>
    </w:p>
    <w:p>
      <w:r/>
      <w:r/>
    </w:p>
    <w:p>
      <w:r/>
      <w:r/>
    </w:p>
    <w:p>
      <w:r/>
      <w:r/>
    </w:p>
    <w:p>
      <w:r/>
      <w:r/>
    </w:p>
    <w:p>
      <w:pPr>
        <w:pStyle w:val="770"/>
        <w:jc w:val="center"/>
        <w:spacing w:before="156" w:after="156" w:line="360" w:lineRule="auto"/>
        <w:rPr>
          <w:rFonts w:ascii="黑体" w:hAnsi="黑体" w:eastAsia="黑体"/>
          <w:b w:val="0"/>
        </w:rPr>
      </w:pPr>
      <w:r/>
      <w:bookmarkStart w:id="7" w:name="_Toc24310"/>
      <w:r>
        <w:rPr>
          <w:rFonts w:hint="eastAsia" w:ascii="黑体" w:hAnsi="黑体" w:eastAsia="黑体"/>
          <w:b w:val="0"/>
        </w:rPr>
        <w:t xml:space="preserve">第四章  采购需求</w:t>
      </w:r>
      <w:bookmarkEnd w:id="6"/>
      <w:r/>
      <w:bookmarkEnd w:id="7"/>
      <w:r/>
      <w:r/>
    </w:p>
    <w:p>
      <w:pPr>
        <w:ind w:firstLine="482"/>
        <w:jc w:val="both"/>
        <w:keepLines w:val="0"/>
        <w:keepNext w:val="0"/>
        <w:pageBreakBefore w:val="0"/>
        <w:spacing w:line="360" w:lineRule="auto"/>
        <w:widowControl w:val="off"/>
        <w:rPr>
          <w:rFonts w:hint="eastAsia" w:ascii="宋体" w:hAnsi="宋体" w:eastAsia="宋体" w:cs="宋体"/>
          <w:b/>
          <w:sz w:val="22"/>
          <w:szCs w:val="22"/>
        </w:rPr>
      </w:pPr>
      <w:r>
        <w:rPr>
          <w:rFonts w:hint="eastAsia" w:ascii="宋体" w:hAnsi="宋体" w:eastAsia="宋体" w:cs="宋体"/>
          <w:color w:val="auto"/>
          <w:sz w:val="22"/>
          <w:szCs w:val="22"/>
          <w:highlight w:val="white"/>
        </w:rPr>
        <w:t xml:space="preserve">说明：本项目属性为</w:t>
      </w:r>
      <w:r>
        <w:rPr>
          <w:rFonts w:hint="eastAsia" w:ascii="宋体" w:hAnsi="宋体" w:eastAsia="宋体" w:cs="宋体"/>
          <w:b/>
          <w:color w:val="auto"/>
          <w:sz w:val="22"/>
          <w:szCs w:val="22"/>
          <w:highlight w:val="white"/>
        </w:rPr>
        <w:t xml:space="preserve">货物</w:t>
      </w:r>
      <w:r>
        <w:rPr>
          <w:rFonts w:hint="eastAsia" w:ascii="宋体" w:hAnsi="宋体" w:eastAsia="宋体" w:cs="宋体"/>
          <w:color w:val="auto"/>
          <w:sz w:val="22"/>
          <w:szCs w:val="22"/>
          <w:highlight w:val="white"/>
        </w:rPr>
        <w:t xml:space="preserve">，采购标的对应的中小企业划分标准所属行业</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u w:val="single"/>
          <w:lang w:val="en-US" w:eastAsia="zh-CN"/>
        </w:rPr>
        <w:t xml:space="preserve">工业 </w:t>
      </w:r>
      <w:r>
        <w:rPr>
          <w:rFonts w:hint="eastAsia" w:ascii="宋体" w:hAnsi="宋体" w:eastAsia="宋体" w:cs="宋体"/>
          <w:color w:val="auto"/>
          <w:sz w:val="22"/>
          <w:szCs w:val="22"/>
          <w:highlight w:val="white"/>
        </w:rPr>
        <w:t xml:space="preserve">。</w:t>
      </w:r>
      <w:r/>
    </w:p>
    <w:p>
      <w:pPr>
        <w:numPr>
          <w:ilvl w:val="0"/>
          <w:numId w:val="2"/>
        </w:numPr>
        <w:ind w:firstLine="480"/>
        <w:jc w:val="left"/>
        <w:keepLines w:val="0"/>
        <w:keepNext w:val="0"/>
        <w:pageBreakBefore w:val="0"/>
        <w:spacing w:line="360" w:lineRule="auto"/>
        <w:widowControl w:val="off"/>
        <w:rPr>
          <w:rFonts w:hint="eastAsia" w:ascii="新宋体" w:hAnsi="新宋体" w:eastAsia="新宋体" w:cs="新宋体"/>
          <w:sz w:val="22"/>
          <w:szCs w:val="22"/>
          <w:highlight w:val="none"/>
        </w:rPr>
      </w:pPr>
      <w:r>
        <w:rPr>
          <w:rFonts w:hint="eastAsia" w:ascii="新宋体" w:hAnsi="新宋体" w:eastAsia="新宋体" w:cs="新宋体"/>
          <w:sz w:val="22"/>
          <w:szCs w:val="22"/>
          <w:highlight w:val="none"/>
        </w:rPr>
        <w:t xml:space="preserve">根据《政府采购需求管理办法》等有关规定，采购人确定采购需求。</w:t>
      </w:r>
      <w:r/>
    </w:p>
    <w:p>
      <w:pPr>
        <w:ind w:firstLine="482"/>
        <w:jc w:val="left"/>
        <w:keepLines w:val="0"/>
        <w:keepNext w:val="0"/>
        <w:pageBreakBefore w:val="0"/>
        <w:spacing w:line="360" w:lineRule="auto"/>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2、</w:t>
      </w:r>
      <w:r>
        <w:rPr>
          <w:rFonts w:hint="eastAsia" w:ascii="宋体" w:hAnsi="宋体" w:eastAsia="宋体" w:cs="宋体"/>
          <w:b/>
          <w:bCs/>
          <w:color w:val="auto"/>
          <w:sz w:val="22"/>
          <w:szCs w:val="22"/>
          <w:highlight w:val="white"/>
        </w:rPr>
        <w:t xml:space="preserve">根据政府采购货物和服务招标投标管理办法（财政部令第87号）第31条规定：</w:t>
      </w:r>
      <w:r>
        <w:rPr>
          <w:rFonts w:hint="eastAsia" w:ascii="宋体" w:hAnsi="宋体" w:eastAsia="宋体" w:cs="宋体"/>
          <w:b/>
          <w:bCs/>
          <w:color w:val="auto"/>
          <w:sz w:val="22"/>
          <w:szCs w:val="22"/>
          <w:highlight w:val="white"/>
          <w:lang w:eastAsia="zh-CN"/>
        </w:rPr>
        <w:t xml:space="preserve">投标人</w:t>
      </w:r>
      <w:r>
        <w:rPr>
          <w:rFonts w:hint="eastAsia" w:ascii="宋体" w:hAnsi="宋体" w:eastAsia="宋体" w:cs="宋体"/>
          <w:b/>
          <w:bCs/>
          <w:color w:val="auto"/>
          <w:sz w:val="22"/>
          <w:szCs w:val="22"/>
          <w:highlight w:val="whit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2"/>
          <w:szCs w:val="22"/>
          <w:highlight w:val="white"/>
        </w:rPr>
        <w:t xml:space="preserve">。</w:t>
      </w:r>
      <w:r/>
    </w:p>
    <w:p>
      <w:pPr>
        <w:ind w:firstLine="480"/>
        <w:jc w:val="left"/>
        <w:keepLines w:val="0"/>
        <w:keepNext w:val="0"/>
        <w:pageBreakBefore w:val="0"/>
        <w:spacing w:line="360" w:lineRule="auto"/>
        <w:widowControl w:val="off"/>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3</w:t>
      </w:r>
      <w:r>
        <w:rPr>
          <w:rFonts w:hint="eastAsia" w:ascii="新宋体" w:hAnsi="新宋体" w:eastAsia="新宋体" w:cs="新宋体"/>
          <w:color w:val="auto"/>
          <w:sz w:val="22"/>
          <w:szCs w:val="22"/>
          <w:highlight w:val="none"/>
        </w:rPr>
        <w:t xml:space="preserve">、</w:t>
      </w:r>
      <w:r>
        <w:rPr>
          <w:rFonts w:hint="eastAsia" w:ascii="新宋体" w:hAnsi="新宋体" w:eastAsia="新宋体" w:cs="新宋体"/>
          <w:b/>
          <w:color w:val="auto"/>
          <w:sz w:val="22"/>
          <w:szCs w:val="22"/>
          <w:highlight w:val="none"/>
        </w:rPr>
        <w:t xml:space="preserve">本招标文件中</w:t>
      </w:r>
      <w:r>
        <w:rPr>
          <w:rFonts w:hint="eastAsia" w:ascii="新宋体" w:hAnsi="新宋体" w:eastAsia="新宋体" w:cs="新宋体"/>
          <w:b/>
          <w:i/>
          <w:color w:val="auto"/>
          <w:sz w:val="22"/>
          <w:szCs w:val="22"/>
          <w:highlight w:val="none"/>
          <w:u w:val="single"/>
        </w:rPr>
        <w:t xml:space="preserve">斜体且有下划线部分</w:t>
      </w:r>
      <w:r>
        <w:rPr>
          <w:rFonts w:hint="eastAsia" w:ascii="新宋体" w:hAnsi="新宋体" w:eastAsia="新宋体" w:cs="新宋体"/>
          <w:b/>
          <w:color w:val="auto"/>
          <w:sz w:val="22"/>
          <w:szCs w:val="22"/>
          <w:highlight w:val="none"/>
        </w:rPr>
        <w:t xml:space="preserve">为实质性要求和条件</w:t>
      </w:r>
      <w:r>
        <w:rPr>
          <w:rFonts w:hint="eastAsia" w:ascii="新宋体" w:hAnsi="新宋体" w:eastAsia="新宋体" w:cs="新宋体"/>
          <w:color w:val="auto"/>
          <w:sz w:val="22"/>
          <w:szCs w:val="22"/>
          <w:highlight w:val="none"/>
        </w:rPr>
        <w:t xml:space="preserve">，由采购人根据实际情况设置，投标人须逐条明确作出满足实质性要求和条件的响应，否则将按无效响应处理。</w:t>
      </w:r>
      <w:r/>
    </w:p>
    <w:p>
      <w:pPr>
        <w:pStyle w:val="805"/>
        <w:ind w:left="0" w:firstLine="0"/>
        <w:jc w:val="center"/>
        <w:keepLines w:val="0"/>
        <w:keepNext w:val="0"/>
        <w:pageBreakBefore w:val="0"/>
        <w:spacing w:after="0" w:line="360" w:lineRule="auto"/>
        <w:widowControl w:val="off"/>
        <w:rPr>
          <w:color w:val="auto"/>
          <w:sz w:val="18"/>
          <w:szCs w:val="22"/>
        </w:rPr>
      </w:pPr>
      <w:r>
        <w:rPr>
          <w:rFonts w:ascii="黑体" w:hAnsi="黑体" w:eastAsia="黑体"/>
          <w:color w:val="auto"/>
          <w:sz w:val="22"/>
          <w:szCs w:val="22"/>
        </w:rPr>
        <w:t xml:space="preserve">采购需求中须满足的实质性要求和条件</w:t>
      </w:r>
      <w:r/>
    </w:p>
    <w:tbl>
      <w:tblPr>
        <w:tblStyle w:val="780"/>
        <w:tblW w:w="8522" w:type="dxa"/>
        <w:jc w:val="center"/>
        <w:tblLayout w:type="fixed"/>
        <w:tblCellMar>
          <w:left w:w="128" w:type="dxa"/>
          <w:top w:w="64" w:type="dxa"/>
          <w:right w:w="128" w:type="dxa"/>
          <w:bottom w:w="64" w:type="dxa"/>
        </w:tblCellMar>
        <w:tblLook w:val="04A0" w:firstRow="1" w:lastRow="0" w:firstColumn="1" w:lastColumn="0" w:noHBand="0" w:noVBand="1"/>
      </w:tblPr>
      <w:tblGrid>
        <w:gridCol w:w="796"/>
        <w:gridCol w:w="7726"/>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both"/>
              <w:spacing w:line="360" w:lineRule="auto"/>
              <w:widowControl/>
              <w:rPr>
                <w:rFonts w:hint="eastAsia" w:ascii="Times New Roman" w:hAnsi="Times New Roman" w:eastAsia="宋体" w:cs="Times New Roman"/>
                <w:b w:val="0"/>
                <w:bCs w:val="0"/>
                <w:color w:val="auto"/>
                <w:sz w:val="22"/>
                <w:szCs w:val="22"/>
                <w:highlight w:val="none"/>
                <w:lang w:eastAsia="zh-CN"/>
              </w:rPr>
            </w:pPr>
            <w:r>
              <w:rPr>
                <w:rFonts w:hint="eastAsia" w:ascii="Times New Roman" w:hAnsi="Times New Roman" w:eastAsia="宋体" w:cs="Times New Roman"/>
                <w:b w:val="0"/>
                <w:bCs w:val="0"/>
                <w:color w:val="auto"/>
                <w:sz w:val="22"/>
                <w:szCs w:val="22"/>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center"/>
              <w:spacing w:line="360" w:lineRule="auto"/>
              <w:widowControl/>
              <w:rPr>
                <w:rFonts w:hint="eastAsia" w:ascii="Times New Roman" w:hAnsi="Times New Roman" w:eastAsia="宋体" w:cs="Times New Roman"/>
                <w:b w:val="0"/>
                <w:bCs w:val="0"/>
                <w:color w:val="auto"/>
                <w:sz w:val="22"/>
                <w:szCs w:val="22"/>
                <w:highlight w:val="none"/>
                <w:lang w:eastAsia="zh-CN"/>
              </w:rPr>
            </w:pPr>
            <w:r>
              <w:rPr>
                <w:rFonts w:hint="eastAsia" w:ascii="Times New Roman" w:hAnsi="Times New Roman" w:eastAsia="宋体" w:cs="Times New Roman"/>
                <w:b w:val="0"/>
                <w:bCs w:val="0"/>
                <w:color w:val="auto"/>
                <w:sz w:val="22"/>
                <w:szCs w:val="22"/>
                <w:highlight w:val="none"/>
                <w:lang w:eastAsia="zh-CN"/>
              </w:rPr>
              <w:t xml:space="preserve">实质性要求和条件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eastAsia" w:ascii="宋体" w:hAnsi="Times New Roman" w:eastAsia="宋体" w:cs="Times New Roman"/>
                <w:b w:val="0"/>
                <w:bCs w:val="0"/>
                <w:i w:val="0"/>
                <w:iCs w:val="0"/>
                <w:color w:val="auto"/>
                <w:sz w:val="18"/>
                <w:szCs w:val="18"/>
                <w:highlight w:val="none"/>
                <w:u w:val="none"/>
                <w:lang w:val="en-US" w:eastAsia="zh-CN"/>
              </w:rPr>
            </w:pPr>
            <w:r>
              <w:rPr>
                <w:rFonts w:hint="eastAsia" w:ascii="宋体" w:hAnsi="Times New Roman" w:eastAsia="宋体" w:cs="Times New Roman"/>
                <w:b w:val="0"/>
                <w:bCs w:val="0"/>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ind w:left="0" w:firstLine="0"/>
              <w:jc w:val="left"/>
              <w:spacing w:line="360" w:lineRule="auto"/>
              <w:widowControl/>
              <w:rPr>
                <w:rFonts w:hint="eastAsia" w:ascii="宋体" w:hAnsi="宋体" w:eastAsia="宋体" w:cs="宋体"/>
                <w:b w:val="0"/>
                <w:bCs w:val="0"/>
                <w:i/>
                <w:iCs/>
                <w:color w:val="auto"/>
                <w:sz w:val="20"/>
                <w:szCs w:val="20"/>
                <w:highlight w:val="none"/>
                <w:u w:val="single"/>
              </w:rPr>
            </w:pPr>
            <w:r>
              <w:rPr>
                <w:rFonts w:hint="eastAsia" w:ascii="宋体" w:hAnsi="宋体" w:eastAsia="宋体" w:cs="宋体"/>
                <w:b w:val="0"/>
                <w:bCs w:val="0"/>
                <w:i/>
                <w:iCs/>
                <w:color w:val="auto"/>
                <w:sz w:val="20"/>
                <w:szCs w:val="20"/>
                <w:highlight w:val="none"/>
                <w:u w:val="single"/>
              </w:rPr>
              <w:t xml:space="preserve">合同履行期限（交货期）：合同签订后</w:t>
            </w:r>
            <w:r>
              <w:rPr>
                <w:rFonts w:hint="eastAsia" w:ascii="宋体" w:hAnsi="宋体" w:eastAsia="宋体" w:cs="宋体"/>
                <w:b w:val="0"/>
                <w:bCs w:val="0"/>
                <w:i/>
                <w:iCs/>
                <w:color w:val="auto"/>
                <w:sz w:val="20"/>
                <w:szCs w:val="20"/>
                <w:highlight w:val="none"/>
                <w:u w:val="single"/>
                <w:lang w:val="en-US" w:eastAsia="zh-CN"/>
              </w:rPr>
              <w:t xml:space="preserve">30</w:t>
            </w:r>
            <w:r>
              <w:rPr>
                <w:rFonts w:hint="eastAsia" w:ascii="宋体" w:hAnsi="宋体" w:eastAsia="宋体" w:cs="宋体"/>
                <w:b w:val="0"/>
                <w:bCs w:val="0"/>
                <w:i/>
                <w:iCs/>
                <w:color w:val="auto"/>
                <w:sz w:val="20"/>
                <w:szCs w:val="20"/>
                <w:highlight w:val="none"/>
                <w:u w:val="single"/>
              </w:rPr>
              <w:t xml:space="preserve">日历天内完成供货并调试安装完毕，试运行60日历天正常后，通过验收后交付使用。</w:t>
            </w:r>
            <w:r/>
          </w:p>
          <w:p>
            <w:pPr>
              <w:ind w:left="0" w:firstLine="0"/>
              <w:jc w:val="left"/>
              <w:spacing w:line="360" w:lineRule="auto"/>
              <w:widowControl/>
              <w:rPr>
                <w:rFonts w:hint="eastAsia" w:ascii="宋体" w:hAnsi="宋体" w:eastAsia="宋体" w:cs="宋体"/>
                <w:b w:val="0"/>
                <w:bCs w:val="0"/>
                <w:i/>
                <w:iCs/>
                <w:color w:val="auto"/>
                <w:sz w:val="20"/>
                <w:szCs w:val="20"/>
                <w:highlight w:val="none"/>
                <w:u w:val="single"/>
                <w:lang w:eastAsia="zh-CN"/>
              </w:rPr>
            </w:pPr>
            <w:r>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t xml:space="preserve">注：</w:t>
            </w:r>
            <w:r>
              <w:rPr>
                <w:rFonts w:hint="eastAsia" w:ascii="宋体" w:hAnsi="宋体" w:eastAsia="宋体" w:cs="宋体"/>
                <w:b w:val="0"/>
                <w:bCs w:val="0"/>
                <w:i/>
                <w:iCs/>
                <w:color w:val="auto"/>
                <w:sz w:val="20"/>
                <w:szCs w:val="20"/>
                <w:highlight w:val="none"/>
                <w:u w:val="single"/>
                <w:lang w:eastAsia="zh-CN"/>
              </w:rPr>
              <w:t xml:space="preserve">合同签订后中标供应商须在30日历天内完成全部设备的供货、运输、安装、调试、可复用设备转移防护、考场改造及系统互联互通等全部工作，试运行60日历天正常后，通过验收后交付使用。确保考场达到安全生产考试点验收标准并通过采购人验收；若涉及特殊定制设备，需提前与采购人书面确认供货周期，不得无故延期。逾期交付的，按每日1000元标准扣除合同价款；逾期超过5个日历天的，采购人有权解除合同，</w:t>
            </w:r>
            <w:r>
              <w:rPr>
                <w:rFonts w:hint="eastAsia" w:ascii="宋体" w:hAnsi="宋体" w:eastAsia="宋体" w:cs="宋体"/>
                <w:b w:val="0"/>
                <w:bCs w:val="0"/>
                <w:i/>
                <w:iCs/>
                <w:color w:val="auto"/>
                <w:sz w:val="20"/>
                <w:szCs w:val="20"/>
                <w:highlight w:val="none"/>
                <w:u w:val="single"/>
                <w:lang w:val="en-US" w:eastAsia="zh-CN"/>
              </w:rPr>
              <w:t xml:space="preserve">中标</w:t>
            </w:r>
            <w:r>
              <w:rPr>
                <w:rFonts w:hint="eastAsia" w:ascii="宋体" w:hAnsi="宋体" w:eastAsia="宋体" w:cs="宋体"/>
                <w:b w:val="0"/>
                <w:bCs w:val="0"/>
                <w:i/>
                <w:iCs/>
                <w:color w:val="auto"/>
                <w:sz w:val="20"/>
                <w:szCs w:val="20"/>
                <w:highlight w:val="none"/>
                <w:u w:val="single"/>
                <w:lang w:eastAsia="zh-CN"/>
              </w:rPr>
              <w:t xml:space="preserve">供应商承担由此造成的全部损失。对于中标供应商未按合同约定提供设备或服务的，采购人具有依法追究其违约责任的权利。（投标文件中提供加盖投标人公章的承诺函，格式自拟，否则投标无效）。</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eastAsia" w:ascii="宋体" w:hAnsi="Times New Roman" w:eastAsia="宋体" w:cs="Times New Roman"/>
                <w:b w:val="0"/>
                <w:bCs w:val="0"/>
                <w:i w:val="0"/>
                <w:iCs w:val="0"/>
                <w:sz w:val="18"/>
                <w:szCs w:val="18"/>
                <w:highlight w:val="none"/>
                <w:u w:val="none"/>
                <w:lang w:val="en-US" w:eastAsia="zh-CN"/>
              </w:rPr>
            </w:pPr>
            <w:r>
              <w:rPr>
                <w:rFonts w:hint="eastAsia" w:ascii="宋体" w:hAnsi="Times New Roman" w:eastAsia="宋体" w:cs="Times New Roman"/>
                <w:b w:val="0"/>
                <w:bCs w:val="0"/>
                <w:i w:val="0"/>
                <w:iCs w:val="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ind w:left="0" w:firstLine="0"/>
              <w:jc w:val="left"/>
              <w:spacing w:line="360" w:lineRule="auto"/>
              <w:widowControl/>
              <w:rPr>
                <w:rFonts w:hint="eastAsia" w:ascii="宋体" w:hAnsi="宋体" w:eastAsia="宋体" w:cs="宋体"/>
                <w:b w:val="0"/>
                <w:bCs w:val="0"/>
                <w:i/>
                <w:iCs/>
                <w:sz w:val="20"/>
                <w:szCs w:val="20"/>
                <w:highlight w:val="none"/>
                <w:u w:val="single"/>
                <w:lang w:eastAsia="zh-CN"/>
              </w:rPr>
            </w:pPr>
            <w:r>
              <w:rPr>
                <w:rFonts w:hint="eastAsia" w:ascii="宋体" w:hAnsi="宋体" w:eastAsia="宋体" w:cs="宋体"/>
                <w:b w:val="0"/>
                <w:bCs w:val="0"/>
                <w:i/>
                <w:iCs/>
                <w:sz w:val="20"/>
                <w:szCs w:val="20"/>
                <w:highlight w:val="none"/>
                <w:u w:val="single"/>
              </w:rPr>
              <w:t xml:space="preserve">质保期限：</w:t>
            </w:r>
            <w:r>
              <w:rPr>
                <w:rFonts w:hint="eastAsia" w:ascii="宋体" w:hAnsi="宋体" w:eastAsia="宋体" w:cs="宋体"/>
                <w:b w:val="0"/>
                <w:bCs w:val="0"/>
                <w:i/>
                <w:iCs/>
                <w:sz w:val="20"/>
                <w:szCs w:val="20"/>
                <w:highlight w:val="none"/>
                <w:u w:val="single"/>
                <w:lang w:val="en-US" w:eastAsia="zh-CN"/>
              </w:rPr>
              <w:t xml:space="preserve">2</w:t>
            </w:r>
            <w:r>
              <w:rPr>
                <w:rFonts w:hint="eastAsia" w:ascii="宋体" w:hAnsi="宋体" w:eastAsia="宋体" w:cs="宋体"/>
                <w:b w:val="0"/>
                <w:bCs w:val="0"/>
                <w:i/>
                <w:iCs/>
                <w:sz w:val="20"/>
                <w:szCs w:val="20"/>
                <w:highlight w:val="none"/>
                <w:u w:val="single"/>
              </w:rPr>
              <w:t xml:space="preserve">年</w:t>
            </w:r>
            <w:r>
              <w:rPr>
                <w:i/>
                <w:iCs/>
                <w:sz w:val="20"/>
                <w:szCs w:val="20"/>
                <w:highlight w:val="none"/>
                <w:u w:val="single"/>
              </w:rPr>
              <w:t xml:space="preserve">（自交付验收合格之日起计）</w:t>
            </w:r>
            <w:r>
              <w:rPr>
                <w:rFonts w:hint="eastAsia" w:ascii="宋体" w:hAnsi="宋体" w:eastAsia="宋体" w:cs="宋体"/>
                <w:b w:val="0"/>
                <w:bCs w:val="0"/>
                <w:i/>
                <w:iCs/>
                <w:sz w:val="20"/>
                <w:szCs w:val="20"/>
                <w:highlight w:val="none"/>
                <w:u w:val="single"/>
              </w:rPr>
              <w:t xml:space="preserve">。质保期间，中标人包维修、保养、安检、调换等，此部分包含在预算内。对于采购方人为原因造成的故障，中标人只收取维保成本费用</w:t>
            </w:r>
            <w:r>
              <w:rPr>
                <w:rFonts w:hint="eastAsia" w:ascii="宋体" w:hAnsi="宋体" w:eastAsia="宋体" w:cs="宋体"/>
                <w:b w:val="0"/>
                <w:bCs w:val="0"/>
                <w:i/>
                <w:iCs/>
                <w:sz w:val="20"/>
                <w:szCs w:val="20"/>
                <w:highlight w:val="none"/>
                <w:u w:val="single"/>
                <w:lang w:eastAsia="zh-CN"/>
              </w:rPr>
              <w:t xml:space="preserve">。</w:t>
            </w:r>
            <w:r>
              <w:rPr>
                <w:rFonts w:hint="eastAsia" w:ascii="宋体" w:hAnsi="宋体" w:eastAsia="宋体" w:cs="宋体"/>
                <w:b w:val="0"/>
                <w:bCs w:val="0"/>
                <w:i/>
                <w:iCs/>
                <w:sz w:val="20"/>
                <w:szCs w:val="20"/>
                <w:highlight w:val="none"/>
                <w:u w:val="single"/>
              </w:rPr>
              <w:t xml:space="preserve">（投标文件中提供加盖投标人公章的承诺函，格式自拟，否则投标无效）</w:t>
            </w:r>
            <w:r>
              <w:rPr>
                <w:rFonts w:hint="eastAsia" w:ascii="宋体" w:hAnsi="宋体" w:eastAsia="宋体" w:cs="宋体"/>
                <w:b w:val="0"/>
                <w:bCs w:val="0"/>
                <w:i/>
                <w:iCs/>
                <w:sz w:val="20"/>
                <w:szCs w:val="20"/>
                <w:highlight w:val="none"/>
                <w:u w:val="single"/>
                <w:lang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default" w:ascii="宋体" w:hAnsi="Times New Roman" w:eastAsia="宋体" w:cs="Times New Roman"/>
                <w:b w:val="0"/>
                <w:bCs w:val="0"/>
                <w:i w:val="0"/>
                <w:iCs w:val="0"/>
                <w:sz w:val="18"/>
                <w:szCs w:val="18"/>
                <w:highlight w:val="none"/>
                <w:u w:val="none"/>
                <w:lang w:val="en-US" w:eastAsia="zh-CN"/>
              </w:rPr>
            </w:pPr>
            <w:r>
              <w:rPr>
                <w:rFonts w:hint="eastAsia" w:ascii="宋体" w:hAnsi="Times New Roman" w:eastAsia="宋体" w:cs="Times New Roman"/>
                <w:b w:val="0"/>
                <w:bCs w:val="0"/>
                <w:i w:val="0"/>
                <w:iCs w:val="0"/>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ind w:left="0" w:firstLine="0"/>
              <w:jc w:val="left"/>
              <w:spacing w:line="360" w:lineRule="auto"/>
              <w:widowControl/>
              <w:rPr>
                <w:rFonts w:hint="eastAsia" w:ascii="宋体" w:hAnsi="宋体" w:eastAsia="宋体" w:cs="宋体"/>
                <w:b w:val="0"/>
                <w:bCs w:val="0"/>
                <w:i/>
                <w:iCs/>
                <w:sz w:val="20"/>
                <w:szCs w:val="20"/>
                <w:highlight w:val="none"/>
                <w:u w:val="single"/>
              </w:rPr>
            </w:pPr>
            <w:r>
              <w:rPr>
                <w:i/>
                <w:iCs/>
                <w:sz w:val="20"/>
                <w:szCs w:val="20"/>
                <w:highlight w:val="none"/>
                <w:u w:val="single"/>
              </w:rPr>
              <w:t xml:space="preserve">中标人负责为采购人的使用人员、操作人员和维护人员进行免费培训，使其掌握操作及基本维修技能</w:t>
            </w:r>
            <w:r>
              <w:rPr>
                <w:rFonts w:hint="eastAsia" w:eastAsia="宋体"/>
                <w:i/>
                <w:iCs/>
                <w:sz w:val="20"/>
                <w:szCs w:val="20"/>
                <w:highlight w:val="none"/>
                <w:u w:val="single"/>
                <w:lang w:eastAsia="zh-CN"/>
              </w:rPr>
              <w:t xml:space="preserve">。</w:t>
            </w:r>
            <w:r>
              <w:rPr>
                <w:rFonts w:hint="eastAsia" w:ascii="宋体" w:hAnsi="宋体" w:eastAsia="宋体" w:cs="宋体"/>
                <w:b w:val="0"/>
                <w:bCs w:val="0"/>
                <w:i/>
                <w:iCs/>
                <w:sz w:val="20"/>
                <w:szCs w:val="20"/>
                <w:highlight w:val="none"/>
                <w:u w:val="single"/>
              </w:rPr>
              <w:t xml:space="preserve">（投标文件中提供加盖投标人公章的承诺函，格式自拟，否则投标无效）</w:t>
            </w:r>
            <w:r>
              <w:rPr>
                <w:i/>
                <w:iCs/>
                <w:sz w:val="20"/>
                <w:szCs w:val="20"/>
                <w:highlight w:val="none"/>
                <w:u w:val="single"/>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default" w:ascii="宋体" w:hAnsi="Times New Roman" w:eastAsia="宋体" w:cs="Times New Roman"/>
                <w:b w:val="0"/>
                <w:bCs w:val="0"/>
                <w:i w:val="0"/>
                <w:iCs w:val="0"/>
                <w:sz w:val="18"/>
                <w:szCs w:val="18"/>
                <w:highlight w:val="none"/>
                <w:u w:val="none"/>
                <w:lang w:val="en-US" w:eastAsia="zh-CN"/>
              </w:rPr>
            </w:pPr>
            <w:r>
              <w:rPr>
                <w:rFonts w:hint="eastAsia" w:ascii="宋体" w:hAnsi="Times New Roman" w:eastAsia="宋体" w:cs="Times New Roman"/>
                <w:b w:val="0"/>
                <w:bCs w:val="0"/>
                <w:i w:val="0"/>
                <w:iCs w:val="0"/>
                <w:sz w:val="18"/>
                <w:szCs w:val="18"/>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pStyle w:val="974"/>
              <w:spacing w:line="360" w:lineRule="auto"/>
              <w:rPr>
                <w:rFonts w:hint="eastAsia" w:eastAsia="宋体"/>
                <w:i/>
                <w:iCs/>
                <w:sz w:val="20"/>
                <w:szCs w:val="20"/>
                <w:highlight w:val="none"/>
                <w:u w:val="single"/>
                <w:lang w:eastAsia="zh-CN"/>
              </w:rPr>
            </w:pPr>
            <w:r>
              <w:rPr>
                <w:rFonts w:hint="eastAsia"/>
                <w:i/>
                <w:iCs/>
                <w:sz w:val="20"/>
                <w:szCs w:val="20"/>
                <w:highlight w:val="none"/>
                <w:u w:val="single"/>
              </w:rPr>
              <w:t xml:space="preserve">售后服务要求</w:t>
            </w:r>
            <w:r>
              <w:rPr>
                <w:rFonts w:hint="eastAsia" w:eastAsia="宋体"/>
                <w:i/>
                <w:iCs/>
                <w:sz w:val="20"/>
                <w:szCs w:val="20"/>
                <w:highlight w:val="none"/>
                <w:u w:val="single"/>
                <w:lang w:eastAsia="zh-CN"/>
              </w:rPr>
              <w:t xml:space="preserve">：</w:t>
            </w:r>
            <w:r>
              <w:rPr>
                <w:i/>
                <w:iCs/>
                <w:sz w:val="20"/>
                <w:szCs w:val="20"/>
                <w:highlight w:val="none"/>
                <w:u w:val="single"/>
              </w:rPr>
              <w:t xml:space="preserve">在免费质保期内，中标人提供日常维护和技术支持，如遇与所供服务有关的问题，中标人须在接采购人通知后  1  小时响应</w:t>
            </w:r>
            <w:r>
              <w:rPr>
                <w:rFonts w:hint="eastAsia"/>
                <w:i/>
                <w:iCs/>
                <w:sz w:val="20"/>
                <w:szCs w:val="20"/>
                <w:highlight w:val="none"/>
                <w:u w:val="single"/>
              </w:rPr>
              <w:t xml:space="preserve">，4</w:t>
            </w:r>
            <w:r>
              <w:rPr>
                <w:i/>
                <w:iCs/>
                <w:sz w:val="20"/>
                <w:szCs w:val="20"/>
                <w:highlight w:val="none"/>
                <w:u w:val="single"/>
              </w:rPr>
              <w:t xml:space="preserve">小时内赶到现场提供免费服务，一般问题在24小时内完成修复工作，严重问题要求及时提出用户方可接受的解决方案和服务承诺</w:t>
            </w:r>
            <w:r>
              <w:rPr>
                <w:rFonts w:hint="eastAsia" w:ascii="宋体" w:hAnsi="宋体" w:eastAsia="宋体" w:cs="宋体"/>
                <w:b w:val="0"/>
                <w:bCs w:val="0"/>
                <w:i/>
                <w:iCs/>
                <w:sz w:val="20"/>
                <w:szCs w:val="20"/>
                <w:highlight w:val="none"/>
                <w:u w:val="single"/>
              </w:rPr>
              <w:t xml:space="preserve">（投标文件中提供加盖投标人公章的承诺函，格式自拟，否则投标无效）</w:t>
            </w:r>
            <w:r>
              <w:rPr>
                <w:rFonts w:hint="eastAsia" w:ascii="宋体" w:hAnsi="宋体" w:eastAsia="宋体" w:cs="宋体"/>
                <w:b w:val="0"/>
                <w:bCs w:val="0"/>
                <w:i/>
                <w:iCs/>
                <w:sz w:val="20"/>
                <w:szCs w:val="20"/>
                <w:highlight w:val="none"/>
                <w:u w:val="single"/>
                <w:lang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default" w:ascii="宋体" w:hAnsi="Courier New" w:eastAsiaTheme="minorEastAsia" w:cstheme="minorBidi"/>
                <w:i/>
                <w:iCs/>
                <w:color w:val="auto"/>
                <w:sz w:val="20"/>
                <w:szCs w:val="20"/>
                <w:highlight w:val="none"/>
                <w:u w:val="single"/>
                <w:lang w:val="en-US" w:eastAsia="zh-CN" w:bidi="ar-SA"/>
              </w:rPr>
            </w:pPr>
            <w:r>
              <w:rPr>
                <w:rFonts w:hint="eastAsia" w:ascii="宋体" w:hAnsi="Courier New" w:cstheme="minorBidi"/>
                <w:i w:val="0"/>
                <w:iCs w:val="0"/>
                <w:color w:val="auto"/>
                <w:sz w:val="20"/>
                <w:szCs w:val="20"/>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left"/>
              <w:spacing w:line="360" w:lineRule="auto"/>
              <w:rPr>
                <w:rFonts w:hint="default" w:ascii="宋体" w:hAnsi="Courier New" w:eastAsiaTheme="minorEastAsia" w:cstheme="minorBidi"/>
                <w:i/>
                <w:iCs/>
                <w:color w:val="auto"/>
                <w:sz w:val="20"/>
                <w:szCs w:val="20"/>
                <w:highlight w:val="none"/>
                <w:u w:val="single"/>
                <w:lang w:val="en-US" w:eastAsia="zh-CN" w:bidi="ar-SA"/>
              </w:rPr>
            </w:pPr>
            <w:r>
              <w:rPr>
                <w:rFonts w:hint="eastAsia" w:ascii="宋体" w:hAnsi="Courier New" w:eastAsiaTheme="minorEastAsia" w:cstheme="minorBidi"/>
                <w:i/>
                <w:iCs/>
                <w:color w:val="auto"/>
                <w:sz w:val="20"/>
                <w:szCs w:val="20"/>
                <w:highlight w:val="none"/>
                <w:u w:val="single"/>
                <w:lang w:val="en-US" w:eastAsia="zh-CN" w:bidi="ar-SA"/>
              </w:rPr>
              <w:t xml:space="preserve">1.付款方式：全部货物送达甲方指定地点，清点无误后甲方向乙方支付合同总价40%；货物完成安装调试，试运行60日历天正常后支付合同价的40%；项目整体最终验收合格交付使用后，甲方向乙方支付剩余合同总价的20%。甲方每次付款前，乙方须按甲方要求提供对等金额的合法发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default" w:ascii="宋体" w:hAnsi="Courier New" w:eastAsiaTheme="minorEastAsia" w:cstheme="minorBidi"/>
                <w:i w:val="0"/>
                <w:iCs w:val="0"/>
                <w:sz w:val="20"/>
                <w:szCs w:val="20"/>
                <w:highlight w:val="none"/>
                <w:u w:val="none"/>
                <w:lang w:val="en-US" w:eastAsia="zh-CN" w:bidi="ar-SA"/>
              </w:rPr>
            </w:pPr>
            <w:r>
              <w:rPr>
                <w:rFonts w:hint="eastAsia" w:ascii="宋体" w:hAnsi="Courier New" w:cstheme="minorBidi"/>
                <w:i w:val="0"/>
                <w:iCs w:val="0"/>
                <w:sz w:val="20"/>
                <w:szCs w:val="20"/>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八、履约验收要求</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1.中标人应在完成供货后提供一份货物清单作为采购人验收的依据。</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2.设备到达采购人现场前，应提前通知采购人做好接收准备，设备到达现场后由采购人会同有关单位和人员根据清单进行现场初步验收。</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3.中标人提供的货物在质保期内因货物本身的质量问题发生故障，中标人负责更换，且不另外收取费用。</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4.采购人对中标人提交的货物依据招标文件上的技术规格要求和国家有关质量标准进行现场初步验收。中标人交货前应对产品作出全面检查和对验收文件进行整理，并列出清单，作为采购人收货验收和使用的技术条件依据，检验的结果应随货物交采购人。采购人对中标人提供的货物在交付验收前，中标人需负责安装并培训采购人的使用操作人员，上述工作完成后采购人应予最终验收。</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5.硬件设备验收要求：相关硬件设备安装完成后，提交设备清单及说明书等资料，中标人可申请进行硬件设备验收。采购人收到完整的材料后一个月内完成验收，形成验收意见，验收书双方共同签署。对于不满足要求的，提出整改，整改完成后再重新进行验收，直至符合招标文件要求。</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6.软件系统平台验收要求：相关软件系统平台部署完成后，提供软件使用说明书并组织相关培训，软件系统平台自交付起12个月，完成功能性、兼容性、稳定性验收，形成应收意见，验收书双方共同签署。对于不满足要求的，提出整改，整改完成后再重新进行验收，直至符合招标文件要求。</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7.履约验收的内容：</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1）货物数量、规格型号验收：核对供货品牌、型号、规格、技术参数、数量、配件、备品备件是否与招标文件、投标文件、采购合同一致；清点设备、配套附件、工具、耗材、产品合格证、出厂检测报告、说明书等资料是否齐全。</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（2）外观与包装验收：检查设备外观有无破损、变形、划痕、锈蚀，包装完好性，标识铭牌信息是否清晰、与合同一致。</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(3)功能、性能测试验收：按技术要求对考试考核设备逐项通电调试、实操测试，检验各项功能、技术指标是否达到采购需求；包含设备运行稳定性、响应速度、数据采集、存储、输出、联网、兼容性等。</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（4）安装调试验收：如合同包含安装、布线、部署服务，核查安装施工质量、设备固定、线路排布、系统联调成果，系统能否正常投入考试考核使用。</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（5）资料交付验收：核查全套技术文档、操作手册、维护手册、出厂证书、检测报告、保修凭证、软件授权 / 序列号等是否完整交付。</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（6）培训服务验收：若合同约定操作、运维培训，核查培训记录、参训人员掌握情况，确认培训义务已完成。</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（7）质保及售后服务承诺核验：核对质保期限、售后响应、维修、更换等承诺是否按合同落实。</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（8）其他合同附随义务：合同约定的运输、卸货、就位、垃圾清理等全部义务完成情况。</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8.履约验收标准：以政府采购合同、招标文件、投标文件约定的技术参数、功能指标为首要验收依据，同时符合国家及行业现行强制性标准；设备为全新原厂产品，系统运行稳定，可正常开展考试考核工作，资料齐全，全部合同义务履行到位。</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9.具备以下条件，方可通过验收：</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（1）经验收，设备及系统的各类性能及指标完全符合招标文件的技术要求、用途及功能需求。</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（2）初验中出现的问题，已由中标人全部做好处理（永久性的而非临时性的），并经再次检测合格。</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（3）合同规定的技术文件，除竣工验收文件外，其它已经如数提交给采购人。</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（4）合同规定由中标人提供的技术服务已经实现。</w:t>
            </w:r>
            <w:r/>
          </w:p>
        </w:tc>
      </w:tr>
    </w:tbl>
    <w:p>
      <w:pPr>
        <w:pStyle w:val="962"/>
        <w:ind w:firstLine="470"/>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lang w:val="en-US" w:eastAsia="zh-CN"/>
        </w:rPr>
        <w:t xml:space="preserve">4.</w:t>
      </w:r>
      <w:r>
        <w:rPr>
          <w:rFonts w:hint="eastAsia" w:ascii="宋体" w:hAnsi="宋体" w:eastAsia="宋体" w:cs="宋体"/>
          <w:b/>
          <w:bCs/>
          <w:sz w:val="22"/>
          <w:szCs w:val="22"/>
          <w:highlight w:val="none"/>
          <w:lang w:val="en-US" w:eastAsia="zh-CN" w:bidi="ar-SA"/>
        </w:rPr>
        <w:t xml:space="preserve">特别提醒：政府采购中实施本国产品标准及相关政策</w:t>
      </w:r>
      <w:r/>
    </w:p>
    <w:p>
      <w:pPr>
        <w:pStyle w:val="962"/>
        <w:ind w:firstLine="468"/>
        <w:jc w:val="both"/>
        <w:keepLines w:val="0"/>
        <w:keepNext w:val="0"/>
        <w:pageBreakBefore w:val="0"/>
        <w:spacing w:line="360" w:lineRule="auto"/>
        <w:widowControl w:val="off"/>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 xml:space="preserve">4.1</w:t>
      </w:r>
      <w:r>
        <w:rPr>
          <w:rFonts w:hint="eastAsia" w:ascii="宋体" w:hAnsi="宋体" w:eastAsia="宋体" w:cs="宋体"/>
          <w:b/>
          <w:bCs/>
          <w:sz w:val="22"/>
          <w:szCs w:val="22"/>
          <w:highlight w:val="none"/>
          <w:lang w:val="en-US" w:eastAsia="zh-CN" w:bidi="ar-SA"/>
        </w:rPr>
        <w:t xml:space="preserve">本项目对采购本国产品给予政策支持，具体内容见招标文件“第二章 九、政府采购政策功能”。</w:t>
      </w:r>
      <w:r/>
    </w:p>
    <w:p>
      <w:pPr>
        <w:pStyle w:val="962"/>
        <w:ind w:firstLine="468"/>
        <w:jc w:val="both"/>
        <w:keepLines w:val="0"/>
        <w:keepNext w:val="0"/>
        <w:pageBreakBefore w:val="0"/>
        <w:spacing w:line="360" w:lineRule="auto"/>
        <w:widowControl w:val="off"/>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 xml:space="preserve">4.2</w:t>
      </w:r>
      <w:r>
        <w:rPr>
          <w:rFonts w:hint="eastAsia" w:ascii="宋体" w:hAnsi="宋体" w:eastAsia="宋体" w:cs="宋体"/>
          <w:bCs/>
          <w:sz w:val="22"/>
          <w:szCs w:val="22"/>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2"/>
        <w:ind w:firstLine="468"/>
        <w:jc w:val="both"/>
        <w:keepLines w:val="0"/>
        <w:keepNext w:val="0"/>
        <w:pageBreakBefore w:val="0"/>
        <w:spacing w:line="360" w:lineRule="auto"/>
        <w:widowControl w:val="off"/>
        <w:rPr>
          <w:rFonts w:hint="eastAsia" w:ascii="宋体" w:hAnsi="宋体" w:eastAsia="宋体" w:cs="宋体"/>
          <w:b/>
          <w:bCs w:val="0"/>
          <w:sz w:val="22"/>
          <w:szCs w:val="22"/>
          <w:lang w:eastAsia="zh-CN"/>
        </w:rPr>
      </w:pPr>
      <w:r>
        <w:rPr>
          <w:rFonts w:hint="eastAsia" w:ascii="宋体" w:hAnsi="宋体" w:eastAsia="宋体" w:cs="宋体"/>
          <w:bCs/>
          <w:sz w:val="22"/>
          <w:szCs w:val="22"/>
          <w:lang w:val="en-US" w:eastAsia="zh-CN"/>
        </w:rPr>
        <w:t xml:space="preserve">4.3</w:t>
      </w:r>
      <w:r>
        <w:rPr>
          <w:rFonts w:hint="eastAsia" w:ascii="宋体" w:hAnsi="宋体" w:eastAsia="宋体" w:cs="宋体"/>
          <w:bCs/>
          <w:sz w:val="22"/>
          <w:szCs w:val="22"/>
          <w:lang w:eastAsia="zh-CN"/>
        </w:rPr>
        <w:t xml:space="preserve">本国产品应当在中国境内生产，即在中华人民共和国关境内实现从原材料、组件到</w:t>
      </w:r>
      <w:r>
        <w:rPr>
          <w:rFonts w:hint="eastAsia" w:ascii="宋体" w:hAnsi="宋体" w:eastAsia="宋体" w:cs="宋体"/>
          <w:b w:val="0"/>
          <w:bCs/>
          <w:sz w:val="22"/>
          <w:szCs w:val="22"/>
          <w:lang w:eastAsia="zh-CN"/>
        </w:rPr>
        <w:t xml:space="preserve">产品的属性改变。从具体情形看，在国内保税区、综合保税区等海关特殊监管区域生产的产品，属于在中国境内生产的产品。</w:t>
      </w:r>
      <w:r/>
    </w:p>
    <w:p>
      <w:pPr>
        <w:ind w:firstLine="347"/>
        <w:spacing w:line="360" w:lineRule="auto"/>
        <w:rPr>
          <w:bCs/>
          <w:iCs/>
          <w:sz w:val="22"/>
          <w:szCs w:val="22"/>
        </w:rPr>
      </w:pPr>
      <w:r>
        <w:rPr>
          <w:rFonts w:hint="eastAsia" w:eastAsia="宋体"/>
          <w:b/>
          <w:bCs w:val="0"/>
          <w:iCs/>
          <w:sz w:val="22"/>
          <w:szCs w:val="22"/>
          <w:lang w:val="en-US" w:eastAsia="zh-CN"/>
        </w:rPr>
        <w:t xml:space="preserve">4.4</w:t>
      </w:r>
      <w:r>
        <w:rPr>
          <w:rFonts w:hint="eastAsia"/>
          <w:b/>
          <w:bCs w:val="0"/>
          <w:iCs/>
          <w:sz w:val="22"/>
          <w:szCs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w:t>
      </w:r>
      <w:r>
        <w:rPr>
          <w:rFonts w:hint="eastAsia"/>
          <w:b/>
          <w:bCs w:val="0"/>
          <w:i w:val="0"/>
          <w:iCs/>
          <w:sz w:val="22"/>
          <w:szCs w:val="22"/>
          <w:highlight w:val="none"/>
          <w:u w:val="none"/>
        </w:rPr>
        <w:t xml:space="preserve">书(由国家确定的认证机构出具的、处于有效期之内的节能产品、环境标志产品认证证书)。节能产品、环境标志产品品目清单以递交响应文件截止时已正式公布的最近一期信息为准，</w:t>
      </w:r>
      <w:r>
        <w:rPr>
          <w:rFonts w:hint="eastAsia"/>
          <w:bCs/>
          <w:i w:val="0"/>
          <w:iCs/>
          <w:sz w:val="22"/>
          <w:szCs w:val="22"/>
          <w:highlight w:val="none"/>
          <w:u w:val="none"/>
        </w:rPr>
        <w:t xml:space="preserve">如属政府强制采购产品未提供认证证书的或认证证书提供不全的将视为未实质性响应采购要求。其</w:t>
      </w:r>
      <w:r>
        <w:rPr>
          <w:rFonts w:hint="eastAsia"/>
          <w:bCs/>
          <w:iCs/>
          <w:sz w:val="22"/>
          <w:szCs w:val="22"/>
        </w:rPr>
        <w:t xml:space="preserve">他条件相同情况下，应当优先采购节能产品、环境标志产品。</w:t>
      </w:r>
      <w:r/>
    </w:p>
    <w:p>
      <w:pPr>
        <w:ind w:firstLine="345"/>
        <w:spacing w:line="360" w:lineRule="auto"/>
        <w:rPr>
          <w:rFonts w:hint="eastAsia" w:ascii="宋体" w:hAnsi="宋体" w:eastAsia="宋体" w:cs="宋体"/>
          <w:bCs/>
          <w:sz w:val="22"/>
          <w:szCs w:val="22"/>
          <w:lang w:eastAsia="zh-CN"/>
        </w:rPr>
      </w:pPr>
      <w:r>
        <w:rPr>
          <w:rFonts w:hint="eastAsia" w:eastAsia="宋体"/>
          <w:bCs/>
          <w:iCs/>
          <w:sz w:val="22"/>
          <w:szCs w:val="22"/>
          <w:lang w:val="en-US" w:eastAsia="zh-CN"/>
        </w:rPr>
        <w:t xml:space="preserve">4.5</w:t>
      </w:r>
      <w:r>
        <w:rPr>
          <w:rFonts w:hint="eastAsia"/>
          <w:bCs/>
          <w:iCs/>
          <w:sz w:val="22"/>
          <w:szCs w:val="22"/>
        </w:rPr>
        <w:t xml:space="preserve">供应商对于投标产品的包装应按照“财办库〔2020〕123号《关于印发《商品包装政府采购需求标准（试行）》、《快递包装政府采购需求标准（试行）》的通知》”执行。</w:t>
      </w:r>
      <w:r/>
    </w:p>
    <w:p>
      <w:pPr>
        <w:ind w:firstLine="482"/>
        <w:jc w:val="both"/>
        <w:keepLines w:val="0"/>
        <w:keepNext w:val="0"/>
        <w:pageBreakBefore w:val="0"/>
        <w:spacing w:line="360" w:lineRule="auto"/>
        <w:widowControl w:val="off"/>
        <w:rPr>
          <w:rFonts w:ascii="MS Mincho" w:hAnsi="Calibri" w:eastAsia="宋体" w:cs="Times New Roman"/>
          <w:color w:val="000000"/>
          <w:sz w:val="20"/>
          <w:szCs w:val="22"/>
        </w:rPr>
      </w:pPr>
      <w:r>
        <w:rPr>
          <w:rFonts w:hint="eastAsia" w:ascii="宋体" w:hAnsi="宋体" w:eastAsia="宋体" w:cs="宋体"/>
          <w:b/>
          <w:sz w:val="22"/>
          <w:szCs w:val="22"/>
          <w:lang w:val="en-US" w:eastAsia="zh-CN"/>
        </w:rPr>
        <w:t xml:space="preserve">5.</w:t>
      </w:r>
      <w:r>
        <w:rPr>
          <w:rFonts w:hint="eastAsia" w:ascii="宋体" w:hAnsi="宋体" w:eastAsia="宋体" w:cs="宋体"/>
          <w:b/>
          <w:sz w:val="22"/>
          <w:szCs w:val="22"/>
        </w:rPr>
        <w:t xml:space="preserve">本项目核心产品</w:t>
      </w:r>
      <w:r>
        <w:rPr>
          <w:rFonts w:hint="eastAsia" w:ascii="宋体" w:hAnsi="宋体" w:eastAsia="宋体" w:cs="宋体"/>
          <w:b/>
          <w:sz w:val="22"/>
          <w:szCs w:val="22"/>
          <w:highlight w:val="none"/>
        </w:rPr>
        <w:t xml:space="preserve">为：</w:t>
      </w:r>
      <w:r>
        <w:rPr>
          <w:rFonts w:hint="eastAsia" w:ascii="宋体" w:hAnsi="宋体" w:eastAsia="宋体" w:cs="宋体"/>
          <w:b/>
          <w:sz w:val="22"/>
          <w:szCs w:val="22"/>
          <w:highlight w:val="none"/>
          <w:u w:val="single"/>
        </w:rPr>
        <w:t xml:space="preserve"> </w:t>
      </w:r>
      <w:r>
        <w:rPr>
          <w:rFonts w:hint="eastAsia" w:ascii="宋体" w:hAnsi="宋体" w:eastAsia="宋体" w:cs="宋体"/>
          <w:b/>
          <w:sz w:val="22"/>
          <w:szCs w:val="22"/>
          <w:highlight w:val="none"/>
          <w:u w:val="single"/>
          <w:lang w:val="en-US" w:eastAsia="zh-CN"/>
        </w:rPr>
        <w:t xml:space="preserve">高压</w:t>
      </w:r>
      <w:r>
        <w:rPr>
          <w:rFonts w:hint="eastAsia" w:ascii="宋体" w:hAnsi="宋体" w:eastAsia="宋体" w:cs="宋体"/>
          <w:b/>
          <w:sz w:val="22"/>
          <w:szCs w:val="22"/>
          <w:highlight w:val="none"/>
          <w:u w:val="single"/>
        </w:rPr>
        <w:t xml:space="preserve">电工K31电气设备安装实操考核设备  </w:t>
      </w:r>
      <w:r>
        <w:rPr>
          <w:rFonts w:hint="eastAsia" w:ascii="宋体" w:hAnsi="宋体" w:eastAsia="宋体" w:cs="宋体"/>
          <w:b/>
          <w:sz w:val="22"/>
          <w:szCs w:val="22"/>
          <w:highlight w:val="none"/>
        </w:rPr>
        <w:t xml:space="preserve">。</w:t>
      </w:r>
      <w:r/>
    </w:p>
    <w:p>
      <w:pPr>
        <w:ind w:firstLine="482"/>
        <w:jc w:val="left"/>
        <w:spacing w:line="500" w:lineRule="exact"/>
        <w:rPr>
          <w:rFonts w:asciiTheme="minorEastAsia" w:hAnsiTheme="minorEastAsia"/>
          <w:b/>
          <w:sz w:val="22"/>
          <w:szCs w:val="22"/>
        </w:rPr>
      </w:pPr>
      <w:r>
        <w:rPr>
          <w:rFonts w:hint="eastAsia" w:eastAsia="宋体" w:asciiTheme="minorEastAsia" w:hAnsiTheme="minorEastAsia"/>
          <w:b/>
          <w:sz w:val="22"/>
          <w:szCs w:val="22"/>
          <w:lang w:val="en-US" w:eastAsia="zh-CN"/>
        </w:rPr>
        <w:t xml:space="preserve">一</w:t>
      </w:r>
      <w:r>
        <w:rPr>
          <w:rFonts w:hint="eastAsia" w:asciiTheme="minorEastAsia" w:hAnsiTheme="minorEastAsia"/>
          <w:b/>
          <w:sz w:val="22"/>
          <w:szCs w:val="22"/>
        </w:rPr>
        <w:t xml:space="preserve">、项目概况</w:t>
      </w:r>
      <w:r/>
    </w:p>
    <w:p>
      <w:pPr>
        <w:ind w:firstLine="482"/>
        <w:jc w:val="left"/>
        <w:spacing w:line="500" w:lineRule="exact"/>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t xml:space="preserve">1.1.根据应急管理部《安全生产考试机构和考试点管理规定》（应急〔2025〕41号）要求</w:t>
      </w:r>
      <w:r>
        <w:rPr>
          <w:rFonts w:hint="eastAsia" w:ascii="宋体" w:hAnsi="宋体" w:eastAsia="宋体" w:cs="Times New Roman"/>
          <w:color w:val="000000"/>
          <w:sz w:val="22"/>
          <w:szCs w:val="22"/>
          <w:lang w:val="en-US" w:eastAsia="zh-CN"/>
        </w:rPr>
        <w:t xml:space="preserve">高</w:t>
      </w:r>
      <w:r>
        <w:rPr>
          <w:rFonts w:hint="eastAsia" w:ascii="宋体" w:hAnsi="宋体" w:eastAsia="宋体" w:cs="Times New Roman"/>
          <w:color w:val="000000"/>
          <w:sz w:val="22"/>
          <w:szCs w:val="22"/>
        </w:rPr>
        <w:t xml:space="preserve">低压电工、焊接与热切割、高处作业</w:t>
      </w:r>
      <w:r>
        <w:rPr>
          <w:rFonts w:hint="eastAsia" w:ascii="宋体" w:hAnsi="宋体" w:eastAsia="宋体" w:cs="Times New Roman"/>
          <w:color w:val="000000"/>
          <w:sz w:val="22"/>
          <w:szCs w:val="22"/>
          <w:lang w:eastAsia="zh-CN"/>
        </w:rPr>
        <w:t xml:space="preserve">、</w:t>
      </w:r>
      <w:r>
        <w:rPr>
          <w:rFonts w:hint="eastAsia" w:ascii="宋体" w:hAnsi="宋体" w:eastAsia="宋体" w:cs="Times New Roman"/>
          <w:color w:val="000000"/>
          <w:sz w:val="22"/>
          <w:szCs w:val="22"/>
          <w:lang w:val="en-US" w:eastAsia="zh-CN"/>
        </w:rPr>
        <w:t xml:space="preserve">登高作业</w:t>
      </w:r>
      <w:r>
        <w:rPr>
          <w:rFonts w:hint="eastAsia" w:ascii="宋体" w:hAnsi="宋体" w:eastAsia="宋体" w:cs="Times New Roman"/>
          <w:color w:val="000000"/>
          <w:sz w:val="22"/>
          <w:szCs w:val="22"/>
        </w:rPr>
        <w:t xml:space="preserve">等特种作业安全技术考试，须全部采用实物设备，“安全用具使用”“作业现场隐患排查”和“安全操作技术”等考场须进行实景化设置，所有考试设备、AI智能考核评分系统均需与省厅、应急部安全生产考试系统对接。同时，还要结合即将调整的特种作业操作目录，统筹考虑考试点规范化建设。</w:t>
      </w:r>
      <w:r/>
    </w:p>
    <w:p>
      <w:pPr>
        <w:ind w:firstLine="482"/>
        <w:jc w:val="left"/>
        <w:spacing w:line="500" w:lineRule="exact"/>
        <w:rPr>
          <w:rFonts w:hint="eastAsia" w:ascii="宋体" w:hAnsi="宋体" w:eastAsia="宋体" w:cs="Times New Roman"/>
          <w:color w:val="000000"/>
          <w:sz w:val="22"/>
          <w:szCs w:val="22"/>
          <w:lang w:val="en-US" w:eastAsia="zh-CN"/>
        </w:rPr>
      </w:pPr>
      <w:r>
        <w:rPr>
          <w:rFonts w:hint="eastAsia" w:ascii="宋体" w:hAnsi="宋体" w:eastAsia="宋体" w:cs="Times New Roman"/>
          <w:color w:val="000000"/>
          <w:sz w:val="22"/>
          <w:szCs w:val="22"/>
          <w:lang w:val="en-US" w:eastAsia="zh-CN"/>
        </w:rPr>
        <w:t xml:space="preserve">2.特种作业安全技术考试，须全部采用实物设备，“安全用具使用”“作业现场隐患排查”和“安全操作技术”等考场须进行实景化设置，所有考试设备、AI智能考核评分系统均需与省厅、应急部安全生产考试系统对接。同时，还要结合即将调整的特种作业操作目录，统筹考虑考试点规范化建设。</w:t>
      </w:r>
      <w:r/>
    </w:p>
    <w:p>
      <w:pPr>
        <w:ind w:firstLine="482"/>
        <w:jc w:val="left"/>
        <w:spacing w:line="500" w:lineRule="exact"/>
        <w:rPr>
          <w:rFonts w:hint="eastAsia" w:ascii="宋体" w:hAnsi="宋体" w:eastAsia="宋体" w:cs="Times New Roman"/>
          <w:b/>
          <w:bCs/>
          <w:color w:val="000000" w:themeColor="text1"/>
          <w:sz w:val="22"/>
          <w:szCs w:val="22"/>
          <w:highlight w:val="none"/>
          <w:lang w:eastAsia="zh-CN"/>
          <w14:textFill>
            <w14:solidFill>
              <w14:schemeClr w14:val="tx1"/>
            </w14:solidFill>
          </w14:textFill>
        </w:rPr>
      </w:pPr>
      <w:r>
        <w:rPr>
          <w:rFonts w:hint="eastAsia" w:ascii="宋体" w:hAnsi="宋体" w:eastAsia="宋体" w:cs="Times New Roman"/>
          <w:b/>
          <w:bCs/>
          <w:color w:val="000000" w:themeColor="text1"/>
          <w:sz w:val="22"/>
          <w:szCs w:val="22"/>
          <w14:textFill>
            <w14:solidFill>
              <w14:schemeClr w14:val="tx1"/>
            </w14:solidFill>
          </w14:textFill>
        </w:rPr>
        <w:t xml:space="preserve">3.</w:t>
      </w:r>
      <w:r>
        <w:rPr>
          <w:rFonts w:hint="eastAsia" w:ascii="宋体" w:hAnsi="宋体" w:eastAsia="宋体" w:cs="Times New Roman"/>
          <w:b/>
          <w:bCs/>
          <w:color w:val="000000" w:themeColor="text1"/>
          <w:sz w:val="22"/>
          <w:szCs w:val="22"/>
          <w:highlight w:val="none"/>
          <w14:textFill>
            <w14:solidFill>
              <w14:schemeClr w14:val="tx1"/>
            </w14:solidFill>
          </w14:textFill>
        </w:rPr>
        <w:t xml:space="preserve"> 本次采购涉及特种作业实操考试设备及配套设备，所购设备应当符合应急管理部《关于印发〈安全生产考试机构和考试点管理规定〉的通知》（应急〔2025〕41号）、应急管理部《关于印发〈低压电工作业人员安全技术培</w:t>
      </w:r>
      <w:r>
        <w:rPr>
          <w:rFonts w:hint="eastAsia" w:ascii="宋体" w:hAnsi="宋体" w:eastAsia="宋体" w:cs="Times New Roman"/>
          <w:b/>
          <w:bCs/>
          <w:color w:val="000000" w:themeColor="text1"/>
          <w:sz w:val="22"/>
          <w:szCs w:val="22"/>
          <w:highlight w:val="none"/>
          <w14:textFill>
            <w14:solidFill>
              <w14:schemeClr w14:val="tx1"/>
            </w14:solidFill>
          </w14:textFill>
        </w:rPr>
        <w:t xml:space="preserve">训大纲和考核标准〉等6个培训大纲和考核标准的通知》（应急〔2025〕59号），以及《特种作业安全技术实际操作考场人工智能（AI）考评系统建设数据规范》《特种作业安全技术实际操作考场人工智能（AI）考评系统建设实施指南》中规定的技术参数，同时适配应急管理部门的特种作业实操考试题库。设备需与原有设备软件系统和部省考试系统均相兼容，确保特种作业人员考试正常开展。中标后，若采购设备在试运行或正式投运阶段出现与国家、省级系统、国家标准、题库不兼容情况，将认定供应商为虚假应标行为，采购方将依法追究中标人的相关法律责任（</w:t>
      </w:r>
      <w:r>
        <w:rPr>
          <w:rFonts w:hint="eastAsia" w:ascii="宋体" w:hAnsi="宋体" w:eastAsia="宋体" w:cs="Times New Roman"/>
          <w:b/>
          <w:bCs/>
          <w:color w:val="ff0000"/>
          <w:sz w:val="22"/>
          <w:szCs w:val="22"/>
          <w:highlight w:val="none"/>
        </w:rPr>
        <w:t xml:space="preserve">需供应商提供承诺书，格式自拟</w:t>
      </w:r>
      <w:r>
        <w:rPr>
          <w:rFonts w:hint="eastAsia" w:ascii="宋体" w:hAnsi="宋体" w:eastAsia="宋体" w:cs="Times New Roman"/>
          <w:b/>
          <w:bCs/>
          <w:color w:val="ff0000"/>
          <w:sz w:val="22"/>
          <w:szCs w:val="22"/>
          <w:highlight w:val="none"/>
          <w:lang w:eastAsia="zh-CN"/>
        </w:rPr>
        <w:t xml:space="preserve">，</w:t>
      </w:r>
      <w:r>
        <w:rPr>
          <w:rFonts w:hint="eastAsia" w:ascii="宋体" w:hAnsi="宋体" w:eastAsia="宋体" w:cs="Times New Roman"/>
          <w:b/>
          <w:bCs/>
          <w:color w:val="ff0000"/>
          <w:sz w:val="22"/>
          <w:szCs w:val="22"/>
          <w:highlight w:val="none"/>
          <w:lang w:val="en-US" w:eastAsia="zh-CN"/>
        </w:rPr>
        <w:t xml:space="preserve">否则作无效响应处理</w:t>
      </w:r>
      <w:r>
        <w:rPr>
          <w:rFonts w:hint="eastAsia" w:ascii="宋体" w:hAnsi="宋体" w:eastAsia="宋体" w:cs="Times New Roman"/>
          <w:b/>
          <w:bCs/>
          <w:color w:val="000000" w:themeColor="text1"/>
          <w:sz w:val="22"/>
          <w:szCs w:val="22"/>
          <w:highlight w:val="none"/>
          <w14:textFill>
            <w14:solidFill>
              <w14:schemeClr w14:val="tx1"/>
            </w14:solidFill>
          </w14:textFill>
        </w:rPr>
        <w:t xml:space="preserve">）。</w:t>
      </w:r>
      <w:r/>
    </w:p>
    <w:p>
      <w:pPr>
        <w:ind w:firstLine="482"/>
        <w:jc w:val="left"/>
        <w:spacing w:line="500" w:lineRule="exact"/>
        <w:rPr>
          <w:rFonts w:hint="eastAsia" w:ascii="宋体" w:hAnsi="宋体" w:eastAsia="宋体" w:cs="Times New Roman"/>
          <w:b/>
          <w:bCs/>
          <w:color w:val="000000"/>
          <w:sz w:val="22"/>
          <w:szCs w:val="22"/>
          <w:lang w:eastAsia="zh-CN"/>
        </w:rPr>
      </w:pPr>
      <w:r>
        <w:rPr>
          <w:rFonts w:hint="eastAsia" w:ascii="宋体" w:hAnsi="宋体" w:eastAsia="宋体" w:cs="Times New Roman"/>
          <w:b/>
          <w:bCs/>
          <w:color w:val="000000"/>
          <w:sz w:val="22"/>
          <w:szCs w:val="22"/>
          <w:lang w:val="en-US" w:eastAsia="zh-CN"/>
        </w:rPr>
        <w:t xml:space="preserve">4.</w:t>
      </w:r>
      <w:r>
        <w:rPr>
          <w:rFonts w:hint="eastAsia" w:ascii="宋体" w:hAnsi="宋体" w:eastAsia="宋体" w:cs="Times New Roman"/>
          <w:b/>
          <w:bCs/>
          <w:color w:val="000000"/>
          <w:sz w:val="22"/>
          <w:szCs w:val="22"/>
        </w:rPr>
        <w:t xml:space="preserve">所投特种作业实操考试相关设备及配套设施，需支持与国家、省级考试考核系统互联互通，实现数据对接、信息共享，确保系统兼容适配。所有设备、设施、器材须符合对应国家/行业标准，考位布局、面积及防护要求需满足实操考试全场景需求，确保考场达到安全生产考试点验收标准</w:t>
      </w:r>
      <w:r>
        <w:rPr>
          <w:rFonts w:hint="eastAsia" w:ascii="宋体" w:hAnsi="宋体" w:eastAsia="宋体" w:cs="Times New Roman"/>
          <w:b/>
          <w:bCs/>
          <w:color w:val="ff0000"/>
          <w:sz w:val="22"/>
          <w:szCs w:val="22"/>
          <w:highlight w:val="none"/>
          <w:lang w:eastAsia="zh-CN"/>
        </w:rPr>
        <w:t xml:space="preserve">（</w:t>
      </w:r>
      <w:r>
        <w:rPr>
          <w:rFonts w:hint="eastAsia" w:ascii="宋体" w:hAnsi="宋体" w:eastAsia="宋体" w:cs="Times New Roman"/>
          <w:b/>
          <w:bCs/>
          <w:color w:val="ff0000"/>
          <w:sz w:val="22"/>
          <w:szCs w:val="22"/>
          <w:highlight w:val="none"/>
          <w:lang w:val="en-US" w:eastAsia="zh-CN"/>
        </w:rPr>
        <w:t xml:space="preserve">需供应商提供承诺书，格式自拟，否则作无效响应处理</w:t>
      </w:r>
      <w:r>
        <w:rPr>
          <w:rFonts w:hint="eastAsia" w:ascii="宋体" w:hAnsi="宋体" w:eastAsia="宋体" w:cs="Times New Roman"/>
          <w:b/>
          <w:bCs/>
          <w:color w:val="000000" w:themeColor="text1"/>
          <w:sz w:val="22"/>
          <w:szCs w:val="22"/>
          <w:highlight w:val="none"/>
          <w14:textFill>
            <w14:solidFill>
              <w14:schemeClr w14:val="tx1"/>
            </w14:solidFill>
          </w14:textFill>
        </w:rPr>
        <w:t xml:space="preserve">）。</w:t>
      </w:r>
      <w:r/>
    </w:p>
    <w:p>
      <w:pPr>
        <w:numPr>
          <w:ilvl w:val="0"/>
          <w:numId w:val="3"/>
        </w:numPr>
        <w:jc w:val="left"/>
        <w:spacing w:line="360" w:lineRule="auto"/>
        <w:widowControl/>
        <w:rPr>
          <w:rFonts w:hint="eastAsia" w:asciiTheme="minorEastAsia" w:hAnsiTheme="minorEastAsia"/>
          <w:b/>
          <w:sz w:val="22"/>
          <w:szCs w:val="22"/>
        </w:rPr>
      </w:pPr>
      <w:r>
        <w:rPr>
          <w:rFonts w:hint="eastAsia" w:asciiTheme="minorEastAsia" w:hAnsiTheme="minorEastAsia"/>
          <w:b/>
          <w:sz w:val="22"/>
          <w:szCs w:val="22"/>
        </w:rPr>
        <w:t xml:space="preserve">货物（标的）采购清单</w:t>
      </w:r>
      <w:bookmarkStart w:id="8" w:name="_Toc139966432"/>
      <w:r/>
      <w:bookmarkStart w:id="9" w:name="_Toc139967216"/>
      <w:r/>
      <w:r/>
    </w:p>
    <w:tbl>
      <w:tblPr>
        <w:tblStyle w:val="780"/>
        <w:tblW w:w="10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50"/>
        <w:gridCol w:w="2066"/>
        <w:gridCol w:w="736"/>
        <w:gridCol w:w="3216"/>
        <w:gridCol w:w="736"/>
        <w:gridCol w:w="787"/>
        <w:gridCol w:w="978"/>
      </w:tblGrid>
      <w:tr>
        <w:trPr>
          <w:jc w:val="center"/>
          <w:trHeight w:val="316"/>
          <w:tblHeader/>
        </w:trPr>
        <w:tc>
          <w:tcPr>
            <w:shd w:val="clear" w:color="auto" w:fill="auto"/>
            <w:tcW w:w="73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p>
        </w:tc>
        <w:tc>
          <w:tcPr>
            <w:gridSpan w:val="2"/>
            <w:shd w:val="clear" w:color="auto" w:fill="auto"/>
            <w:tcW w:w="331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大类</w:t>
            </w:r>
            <w:r/>
          </w:p>
        </w:tc>
        <w:tc>
          <w:tcPr>
            <w:shd w:val="clear" w:color="auto" w:fill="auto"/>
            <w:tcW w:w="73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考位</w:t>
            </w:r>
            <w:r/>
          </w:p>
        </w:tc>
        <w:tc>
          <w:tcPr>
            <w:shd w:val="clear" w:color="auto" w:fill="auto"/>
            <w:tcW w:w="321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设备名称</w:t>
            </w:r>
            <w:r/>
          </w:p>
        </w:tc>
        <w:tc>
          <w:tcPr>
            <w:shd w:val="clear" w:color="auto" w:fill="auto"/>
            <w:tcW w:w="73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w:t>
            </w:r>
            <w:r/>
          </w:p>
        </w:tc>
        <w:tc>
          <w:tcPr>
            <w:shd w:val="clear" w:color="auto" w:fill="auto"/>
            <w:tcW w:w="78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p>
        </w:tc>
        <w:tc>
          <w:tcPr>
            <w:shd w:val="clear" w:color="auto" w:fill="auto"/>
            <w:tcW w:w="978"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备注</w:t>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通用科目四</w:t>
            </w:r>
            <w:r/>
          </w:p>
        </w:tc>
        <w:tc>
          <w:tcPr>
            <w:shd w:val="clear" w:color="auto" w:fill="auto"/>
            <w:tcW w:w="2066"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科目四作业现场应急处置</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灭火器的选择和使用</w:t>
            </w:r>
            <w:r>
              <w:rPr>
                <w:rFonts w:hint="eastAsia" w:ascii="宋体" w:hAnsi="宋体" w:eastAsia="宋体" w:cs="宋体"/>
                <w:i w:val="0"/>
                <w:iCs w:val="0"/>
                <w:color w:val="auto"/>
                <w:sz w:val="21"/>
                <w:szCs w:val="21"/>
                <w:highlight w:val="none"/>
                <w:u w:val="none"/>
                <w:lang w:val="en-US" w:eastAsia="zh-CN"/>
              </w:rPr>
              <w:t xml:space="preserve">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W w:w="1250"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单人徒手心肺复苏</w:t>
            </w:r>
            <w:r>
              <w:rPr>
                <w:rFonts w:hint="eastAsia" w:ascii="宋体" w:hAnsi="宋体" w:eastAsia="宋体" w:cs="宋体"/>
                <w:i w:val="0"/>
                <w:iCs w:val="0"/>
                <w:color w:val="auto"/>
                <w:sz w:val="21"/>
                <w:szCs w:val="21"/>
                <w:highlight w:val="none"/>
                <w:u w:val="none"/>
                <w:lang w:val="en-US" w:eastAsia="zh-CN"/>
              </w:rPr>
              <w:t xml:space="preserve">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9"/>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w:t>
            </w:r>
            <w:r/>
          </w:p>
        </w:tc>
        <w:tc>
          <w:tcPr>
            <w:shd w:val="clear" w:color="auto" w:fill="auto"/>
            <w:tcW w:w="1250"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创伤包扎</w:t>
            </w:r>
            <w:r>
              <w:rPr>
                <w:rFonts w:hint="eastAsia" w:ascii="宋体" w:hAnsi="宋体" w:eastAsia="宋体" w:cs="宋体"/>
                <w:i w:val="0"/>
                <w:iCs w:val="0"/>
                <w:color w:val="auto"/>
                <w:sz w:val="21"/>
                <w:szCs w:val="21"/>
                <w:highlight w:val="none"/>
                <w:u w:val="none"/>
                <w:lang w:val="en-US" w:eastAsia="zh-CN"/>
              </w:rPr>
              <w:t xml:space="preserve">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w:t>
            </w:r>
            <w:r/>
          </w:p>
        </w:tc>
        <w:tc>
          <w:tcPr>
            <w:shd w:val="clear" w:color="auto" w:fill="auto"/>
            <w:tcW w:w="1250"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触电事故现场应急处置</w:t>
            </w:r>
            <w:r>
              <w:rPr>
                <w:rFonts w:hint="eastAsia" w:ascii="宋体" w:hAnsi="宋体" w:eastAsia="宋体" w:cs="宋体"/>
                <w:i w:val="0"/>
                <w:iCs w:val="0"/>
                <w:color w:val="auto"/>
                <w:sz w:val="21"/>
                <w:szCs w:val="21"/>
                <w:highlight w:val="none"/>
                <w:u w:val="none"/>
                <w:lang w:val="en-US" w:eastAsia="zh-CN"/>
              </w:rPr>
              <w:t xml:space="preserve">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低压电工作业</w:t>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科目一安全用具使用</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低压电工电力安全工器具与电工仪器仪表实操考培设备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3</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科目二作业现场安全隐患排除</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低压电工K21作业现场安全隐患排除实操考培设备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科目三安全操作技术</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低压电工K31电气设备安装实操考培设备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低压电工K32低压开关柜实操考培设备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9</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低压电工K33临时用电系统实操考培设备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10</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高压电工作业</w:t>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科目一安全用具使用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高压电工电力安全工器具与电工仪器仪表实操考培设备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5</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11</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科目二作业现场安全隐患排除</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高压电工作业现场安全隐患排除实操考培设备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both"/>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在原有设备上升级改造</w:t>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2</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科目三安全操作技术</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高压电工K31 10/0.4k V变配电系统(成套开关柜)实操设备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在原有设备上升级改造</w:t>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13</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高压电工K31 10/0.4k V变配电系统(成套开关柜)实操考核设备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14</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K32</w:t>
            </w:r>
            <w:r/>
          </w:p>
        </w:tc>
        <w:tc>
          <w:tcPr>
            <w:shd w:val="clear" w:color="auto" w:fill="auto"/>
            <w:tcW w:w="321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高压电工K32 10/0.4k V变配电系统(架空线路)实操设备</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15</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K33</w:t>
            </w:r>
            <w:r/>
          </w:p>
        </w:tc>
        <w:tc>
          <w:tcPr>
            <w:shd w:val="clear" w:color="auto" w:fill="auto"/>
            <w:tcW w:w="3216"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高压电工K33 电气设备安装实操考培设备</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ff0000"/>
                <w:sz w:val="21"/>
                <w:szCs w:val="21"/>
                <w:highlight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16</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i w:val="0"/>
                <w:iCs w:val="0"/>
                <w:color w:val="000000"/>
                <w:sz w:val="21"/>
                <w:szCs w:val="21"/>
                <w:u w:val="none"/>
                <w:lang w:val="en-US" w:eastAsia="zh-CN" w:bidi="ar"/>
              </w:rPr>
              <w:t xml:space="preserve">熔化焊接与热切割作业</w:t>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科目一安全用具使用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熔化焊接与热切割作业安全用具考位实操考核设备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17</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科目二作业现场安全隐患排除</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熔化焊接与热切割作业现场安全隐患排除实操考培设备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18</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科目三安全操作技术</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焊条电弧焊高处实操考培设备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97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19</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K32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二氧化碳气体保护焊实操考培设备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20</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K33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氩弧焊实操考培设备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21</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K34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气焊实操考培设备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22</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K34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气割高处实操考培设备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70"/>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23</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焊工考试配套</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工位隔断</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工位</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24</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气瓶房</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25</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气路架设</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26</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集中排风排烟集尘除尘环保设备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工位</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27</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电源布线</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28</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b w:val="0"/>
                <w:bCs w:val="0"/>
                <w:color w:val="auto"/>
                <w:sz w:val="21"/>
                <w:szCs w:val="21"/>
              </w:rPr>
              <w:t xml:space="preserve">高处安装、维护、拆除作业</w:t>
            </w:r>
            <w:r/>
          </w:p>
        </w:tc>
        <w:tc>
          <w:tcPr>
            <w:shd w:val="clear" w:color="auto" w:fill="auto"/>
            <w:tcW w:w="206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科目一安全用具使用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高处作业安全用具实操考培设备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9</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科目二作业现场安全隐患排除</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高处作业零部件判废实操考培设备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30</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K22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高处作业作业现场安全隐患排除实操考培设备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在原有设备上改造</w:t>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31</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科目三安全操作技术</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移动平台实操考培设备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32</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吊篮实操考培设备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33</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K33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吊具实操考培设备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34</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K34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登杆登塔考培设备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35</w:t>
            </w:r>
            <w:r/>
          </w:p>
        </w:tc>
        <w:tc>
          <w:tcPr>
            <w:shd w:val="clear" w:color="auto" w:fill="auto"/>
            <w:tcW w:w="1250" w:type="dxa"/>
            <w:vAlign w:val="center"/>
            <w:vMerge w:val="restart"/>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b w:val="0"/>
                <w:bCs w:val="0"/>
                <w:color w:val="auto"/>
                <w:sz w:val="21"/>
                <w:szCs w:val="21"/>
              </w:rPr>
              <w:t xml:space="preserve">登高架设作业</w:t>
            </w:r>
            <w:r/>
          </w:p>
        </w:tc>
        <w:tc>
          <w:tcPr>
            <w:shd w:val="clear" w:color="auto" w:fill="auto"/>
            <w:tcW w:w="206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科目一安全用具使用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登高作业安全用具实操考培设备</w:t>
            </w:r>
            <w:r/>
          </w:p>
        </w:tc>
        <w:tc>
          <w:tcPr>
            <w:shd w:val="clear" w:color="auto" w:fill="auto"/>
            <w:tcW w:w="736" w:type="dxa"/>
            <w:vAlign w:val="center"/>
            <w:textDirection w:val="lrTb"/>
            <w:noWrap w:val="false"/>
          </w:tcPr>
          <w:p>
            <w:pPr>
              <w:ind w:left="0" w:right="0"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36</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i w:val="0"/>
                <w:iCs w:val="0"/>
                <w:color w:val="000000"/>
                <w:sz w:val="21"/>
                <w:szCs w:val="21"/>
                <w:u w:val="none"/>
                <w:lang w:val="en-US" w:eastAsia="zh-CN" w:bidi="ar"/>
              </w:rPr>
              <w:t xml:space="preserve">科目二作业现场安全隐患排除</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登高作业零部件判废实操考培设备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37</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K22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登高作业作业现场安全隐患排除实操考培设备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38</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i w:val="0"/>
                <w:iCs w:val="0"/>
                <w:color w:val="000000"/>
                <w:sz w:val="21"/>
                <w:szCs w:val="21"/>
                <w:u w:val="none"/>
                <w:lang w:val="en-US" w:eastAsia="zh-CN" w:bidi="ar"/>
              </w:rPr>
              <w:t xml:space="preserve">科目三安全操作技术</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双排落地钢管脚手架实操考培设备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44"/>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39</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双排钢管跨越架实操考培设备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40"/>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40</w:t>
            </w:r>
            <w:r/>
          </w:p>
        </w:tc>
        <w:tc>
          <w:tcPr>
            <w:gridSpan w:val="3"/>
            <w:shd w:val="clear" w:color="auto" w:fill="auto"/>
            <w:tcW w:w="4052" w:type="dxa"/>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考场配套</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进行智能分析的成套设备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71"/>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41</w:t>
            </w:r>
            <w:r/>
          </w:p>
        </w:tc>
        <w:tc>
          <w:tcPr>
            <w:gridSpan w:val="3"/>
            <w:shd w:val="clear" w:color="auto" w:fill="auto"/>
            <w:tcW w:w="4052"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智能叫号系统软件</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57"/>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42</w:t>
            </w:r>
            <w:r/>
          </w:p>
        </w:tc>
        <w:tc>
          <w:tcPr>
            <w:gridSpan w:val="3"/>
            <w:shd w:val="clear" w:color="auto" w:fill="auto"/>
            <w:tcW w:w="4052" w:type="dxa"/>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考场监控</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考场监控摄像头</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12"/>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43</w:t>
            </w:r>
            <w:r/>
          </w:p>
        </w:tc>
        <w:tc>
          <w:tcPr>
            <w:gridSpan w:val="3"/>
            <w:shd w:val="clear" w:color="auto" w:fill="auto"/>
            <w:tcW w:w="4052"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安装布线</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85"/>
        </w:trPr>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gridSpan w:val="3"/>
            <w:shd w:val="clear" w:color="auto" w:fill="auto"/>
            <w:tcW w:w="405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候考区</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36门人脸识别存包柜</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36"/>
        </w:trPr>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gridSpan w:val="3"/>
            <w:shd w:val="clear" w:color="auto" w:fill="auto"/>
            <w:tcW w:w="4052" w:type="dxa"/>
            <w:vAlign w:val="center"/>
            <w:vMerge w:val="continue"/>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身份证阅读器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pPr>
      <w:r/>
      <w:r/>
    </w:p>
    <w:p>
      <w:pPr>
        <w:ind w:firstLine="482"/>
        <w:jc w:val="left"/>
        <w:spacing w:line="360" w:lineRule="auto"/>
        <w:widowControl/>
        <w:rPr>
          <w:rFonts w:hint="eastAsia" w:asciiTheme="minorEastAsia" w:hAnsiTheme="minorEastAsia"/>
          <w:b/>
          <w:sz w:val="24"/>
          <w:szCs w:val="24"/>
        </w:rPr>
        <w:sectPr>
          <w:footerReference w:type="default" r:id="rId12"/>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Theme="minorEastAsia" w:hAnsiTheme="minorEastAsia"/>
          <w:b/>
          <w:sz w:val="24"/>
          <w:szCs w:val="24"/>
        </w:rPr>
      </w:r>
      <w:r/>
    </w:p>
    <w:p>
      <w:pPr>
        <w:numPr>
          <w:ilvl w:val="0"/>
          <w:numId w:val="3"/>
        </w:numPr>
        <w:ind w:left="0" w:firstLine="0"/>
        <w:pageBreakBefore w:val="0"/>
        <w:spacing w:line="360" w:lineRule="auto"/>
        <w:widowControl w:val="off"/>
        <w:rPr>
          <w:rFonts w:hint="eastAsia" w:ascii="宋体" w:hAnsi="宋体" w:eastAsia="宋体" w:cs="Helvetica"/>
          <w:b/>
          <w:sz w:val="22"/>
          <w:szCs w:val="28"/>
        </w:rPr>
      </w:pPr>
      <w:r>
        <w:rPr>
          <w:rFonts w:hint="eastAsia" w:ascii="宋体" w:hAnsi="宋体" w:eastAsia="宋体" w:cs="Helvetica"/>
          <w:b/>
          <w:sz w:val="22"/>
          <w:szCs w:val="28"/>
        </w:rPr>
        <w:t xml:space="preserve">货物（标的）技术参数及功能指标</w:t>
      </w:r>
      <w:r/>
    </w:p>
    <w:p>
      <w:pPr>
        <w:numPr>
          <w:ilvl w:val="0"/>
          <w:numId w:val="0"/>
        </w:numPr>
        <w:pageBreakBefore w:val="0"/>
        <w:spacing w:line="360" w:lineRule="auto"/>
        <w:widowControl w:val="off"/>
        <w:rPr>
          <w:rFonts w:hint="eastAsia" w:ascii="宋体" w:hAnsi="宋体" w:eastAsia="宋体" w:cs="Helvetica"/>
          <w:b/>
          <w:color w:val="auto"/>
          <w:sz w:val="22"/>
          <w:szCs w:val="28"/>
          <w:highlight w:val="none"/>
          <w:lang w:eastAsia="zh-CN"/>
        </w:rPr>
      </w:pPr>
      <w:r>
        <w:rPr>
          <w:rFonts w:hint="eastAsia" w:ascii="宋体" w:hAnsi="宋体" w:eastAsia="宋体" w:cs="Helvetica"/>
          <w:b/>
          <w:color w:val="auto"/>
          <w:sz w:val="22"/>
          <w:szCs w:val="28"/>
          <w:highlight w:val="none"/>
          <w:lang w:val="en-US" w:eastAsia="zh-CN"/>
        </w:rPr>
        <w:t xml:space="preserve">注：下列技术参数表一整套</w:t>
      </w:r>
      <w:r>
        <w:rPr>
          <w:rFonts w:hint="eastAsia" w:ascii="宋体" w:hAnsi="宋体" w:eastAsia="宋体" w:cs="Helvetica"/>
          <w:b/>
          <w:color w:val="auto"/>
          <w:sz w:val="22"/>
          <w:szCs w:val="28"/>
          <w:highlight w:val="none"/>
        </w:rPr>
        <w:t xml:space="preserve">技术</w:t>
      </w:r>
      <w:r>
        <w:rPr>
          <w:rFonts w:hint="eastAsia" w:ascii="宋体" w:hAnsi="宋体" w:eastAsia="宋体" w:cs="Helvetica"/>
          <w:b/>
          <w:color w:val="auto"/>
          <w:sz w:val="22"/>
          <w:szCs w:val="28"/>
          <w:highlight w:val="none"/>
          <w:lang w:val="en-US" w:eastAsia="zh-CN"/>
        </w:rPr>
        <w:t xml:space="preserve">参数</w:t>
      </w:r>
      <w:r>
        <w:rPr>
          <w:rFonts w:hint="eastAsia" w:ascii="宋体" w:hAnsi="宋体" w:eastAsia="宋体" w:cs="Helvetica"/>
          <w:b/>
          <w:color w:val="auto"/>
          <w:sz w:val="22"/>
          <w:szCs w:val="28"/>
          <w:highlight w:val="none"/>
        </w:rPr>
        <w:t xml:space="preserve">功能指标</w:t>
      </w:r>
      <w:r>
        <w:rPr>
          <w:rFonts w:hint="eastAsia" w:ascii="宋体" w:hAnsi="宋体" w:eastAsia="宋体" w:cs="Helvetica"/>
          <w:b/>
          <w:color w:val="auto"/>
          <w:sz w:val="22"/>
          <w:szCs w:val="28"/>
          <w:highlight w:val="none"/>
          <w:lang w:eastAsia="zh-CN"/>
        </w:rPr>
        <w:t xml:space="preserve">。</w:t>
      </w:r>
      <w:r/>
    </w:p>
    <w:p>
      <w:pPr>
        <w:pStyle w:val="771"/>
        <w:numPr>
          <w:ilvl w:val="0"/>
          <w:numId w:val="4"/>
        </w:numPr>
        <w:pageBreakBefore w:val="0"/>
        <w:spacing w:line="360" w:lineRule="auto"/>
        <w:widowControl w:val="off"/>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通用科目四</w:t>
      </w:r>
      <w:r/>
    </w:p>
    <w:p>
      <w:pPr>
        <w:jc w:val="center"/>
        <w:spacing w:after="200"/>
        <w:rPr>
          <w:sz w:val="20"/>
          <w:szCs w:val="21"/>
        </w:rPr>
      </w:pPr>
      <w:r>
        <w:rPr>
          <w:rFonts w:ascii="黑体" w:hAnsi="黑体" w:eastAsia="黑体"/>
          <w:b/>
          <w:sz w:val="28"/>
          <w:szCs w:val="21"/>
        </w:rPr>
        <w:t xml:space="preserve">特种作业人员安全技术实际操作考场考位主要设备配备表</w:t>
      </w:r>
      <w:r/>
    </w:p>
    <w:p>
      <w:pPr>
        <w:jc w:val="center"/>
        <w:rPr>
          <w:rFonts w:hint="eastAsia" w:ascii="宋体" w:hAnsi="宋体" w:eastAsia="宋体" w:cs="宋体"/>
          <w:b/>
          <w:bCs/>
          <w:color w:val="auto"/>
          <w:sz w:val="22"/>
          <w:szCs w:val="22"/>
        </w:rPr>
        <w:outlineLvl w:val="9"/>
      </w:pPr>
      <w:r>
        <w:rPr>
          <w:rFonts w:hint="eastAsia" w:ascii="宋体" w:hAnsi="宋体" w:eastAsia="宋体" w:cs="宋体"/>
          <w:b/>
          <w:bCs/>
          <w:color w:val="auto"/>
          <w:sz w:val="22"/>
          <w:szCs w:val="22"/>
        </w:rPr>
        <w:t xml:space="preserve">表</w:t>
      </w:r>
      <w:r>
        <w:rPr>
          <w:rFonts w:hint="eastAsia" w:ascii="宋体" w:hAnsi="宋体" w:eastAsia="宋体" w:cs="宋体"/>
          <w:b/>
          <w:bCs/>
          <w:color w:val="auto"/>
          <w:sz w:val="22"/>
          <w:szCs w:val="22"/>
          <w:lang w:val="en-US" w:eastAsia="zh-CN"/>
        </w:rPr>
        <w:t xml:space="preserve">1</w:t>
      </w:r>
      <w:r>
        <w:rPr>
          <w:rFonts w:hint="eastAsia" w:ascii="宋体" w:hAnsi="宋体" w:eastAsia="宋体" w:cs="宋体"/>
          <w:b/>
          <w:bCs/>
          <w:color w:val="auto"/>
          <w:sz w:val="22"/>
          <w:szCs w:val="22"/>
        </w:rPr>
        <w:t xml:space="preserve">  作业现场应急处置实际操作考场考位主要设备配备表</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3225"/>
        <w:gridCol w:w="4478"/>
        <w:gridCol w:w="854"/>
        <w:gridCol w:w="1781"/>
      </w:tblGrid>
      <w:tr>
        <w:trPr>
          <w:jc w:val="center"/>
        </w:trPr>
        <w:tc>
          <w:tcPr>
            <w:tcW w:w="902" w:type="dxa"/>
            <w:vAlign w:val="center"/>
            <w:vMerge w:val="restart"/>
            <w:textDirection w:val="lrTb"/>
            <w:noWrap w:val="false"/>
          </w:tcPr>
          <w:p>
            <w:pPr>
              <w:jc w:val="center"/>
              <w:spacing w:before="0" w:after="0" w:line="230" w:lineRule="exact"/>
            </w:pPr>
            <w:r>
              <w:rPr>
                <w:rFonts w:ascii="黑体" w:hAnsi="黑体" w:eastAsia="黑体"/>
                <w:b/>
                <w:sz w:val="18"/>
              </w:rPr>
              <w:t xml:space="preserve">考位编号</w:t>
            </w:r>
            <w:r/>
          </w:p>
        </w:tc>
        <w:tc>
          <w:tcPr>
            <w:tcW w:w="1042" w:type="dxa"/>
            <w:vAlign w:val="center"/>
            <w:vMerge w:val="restart"/>
            <w:textDirection w:val="lrTb"/>
            <w:noWrap w:val="false"/>
          </w:tcPr>
          <w:p>
            <w:pPr>
              <w:jc w:val="center"/>
              <w:spacing w:before="0" w:after="0" w:line="230" w:lineRule="exact"/>
            </w:pPr>
            <w:r>
              <w:rPr>
                <w:rFonts w:ascii="黑体" w:hAnsi="黑体" w:eastAsia="黑体"/>
                <w:b/>
                <w:sz w:val="18"/>
              </w:rPr>
              <w:t xml:space="preserve">考位名称</w:t>
            </w:r>
            <w:r/>
          </w:p>
        </w:tc>
        <w:tc>
          <w:tcPr>
            <w:tcW w:w="960" w:type="dxa"/>
            <w:vAlign w:val="center"/>
            <w:vMerge w:val="restart"/>
            <w:textDirection w:val="lrTb"/>
            <w:noWrap w:val="false"/>
          </w:tcPr>
          <w:p>
            <w:pPr>
              <w:jc w:val="center"/>
              <w:spacing w:before="0" w:after="0" w:line="230" w:lineRule="exact"/>
            </w:pPr>
            <w:r>
              <w:rPr>
                <w:rFonts w:ascii="黑体" w:hAnsi="黑体" w:eastAsia="黑体"/>
                <w:b/>
                <w:sz w:val="18"/>
              </w:rPr>
              <w:t xml:space="preserve">考位面积</w:t>
            </w:r>
            <w:r/>
          </w:p>
        </w:tc>
        <w:tc>
          <w:tcPr>
            <w:gridSpan w:val="3"/>
            <w:tcW w:w="8558" w:type="dxa"/>
            <w:vAlign w:val="center"/>
            <w:textDirection w:val="lrTb"/>
            <w:noWrap w:val="false"/>
          </w:tcPr>
          <w:p>
            <w:pPr>
              <w:jc w:val="center"/>
              <w:spacing w:before="0" w:after="0" w:line="230" w:lineRule="exact"/>
            </w:pPr>
            <w:r>
              <w:rPr>
                <w:rFonts w:ascii="黑体" w:hAnsi="黑体" w:eastAsia="黑体"/>
                <w:b/>
                <w:sz w:val="18"/>
              </w:rPr>
              <w:t xml:space="preserve">考位设备设施要求</w:t>
            </w:r>
            <w:r/>
          </w:p>
        </w:tc>
        <w:tc>
          <w:tcPr>
            <w:tcW w:w="1781" w:type="dxa"/>
            <w:vAlign w:val="center"/>
            <w:vMerge w:val="restart"/>
            <w:textDirection w:val="lrTb"/>
            <w:noWrap w:val="false"/>
          </w:tcPr>
          <w:p>
            <w:pPr>
              <w:jc w:val="center"/>
              <w:spacing w:before="0" w:after="0" w:line="230" w:lineRule="exact"/>
            </w:pPr>
            <w:r>
              <w:rPr>
                <w:rFonts w:ascii="黑体" w:hAnsi="黑体" w:eastAsia="黑体"/>
                <w:b/>
                <w:sz w:val="18"/>
              </w:rPr>
              <w:t xml:space="preserve">考位布置要求</w:t>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center"/>
              <w:spacing w:before="0" w:after="0" w:line="230" w:lineRule="exact"/>
            </w:pPr>
            <w:r>
              <w:rPr>
                <w:rFonts w:ascii="黑体" w:hAnsi="黑体" w:eastAsia="黑体"/>
                <w:b/>
                <w:sz w:val="18"/>
              </w:rPr>
              <w:t xml:space="preserve">设备/设施/器材</w:t>
            </w:r>
            <w:r/>
          </w:p>
        </w:tc>
        <w:tc>
          <w:tcPr>
            <w:tcW w:w="4479" w:type="dxa"/>
            <w:vAlign w:val="center"/>
            <w:textDirection w:val="lrTb"/>
            <w:noWrap w:val="false"/>
          </w:tcPr>
          <w:p>
            <w:pPr>
              <w:jc w:val="center"/>
              <w:spacing w:before="0" w:after="0" w:line="230" w:lineRule="exact"/>
            </w:pPr>
            <w:r>
              <w:rPr>
                <w:rFonts w:ascii="黑体" w:hAnsi="黑体" w:eastAsia="黑体"/>
                <w:b/>
                <w:sz w:val="18"/>
              </w:rPr>
              <w:t xml:space="preserve">规格/要求</w:t>
            </w:r>
            <w:r/>
          </w:p>
        </w:tc>
        <w:tc>
          <w:tcPr>
            <w:tcW w:w="854" w:type="dxa"/>
            <w:vAlign w:val="center"/>
            <w:textDirection w:val="lrTb"/>
            <w:noWrap w:val="false"/>
          </w:tcPr>
          <w:p>
            <w:pPr>
              <w:jc w:val="center"/>
              <w:spacing w:before="0" w:after="0" w:line="230" w:lineRule="exact"/>
            </w:pPr>
            <w:r>
              <w:rPr>
                <w:rFonts w:ascii="黑体" w:hAnsi="黑体" w:eastAsia="黑体"/>
                <w:b/>
                <w:sz w:val="18"/>
              </w:rPr>
              <w:t xml:space="preserve">数量</w:t>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K41</w:t>
            </w:r>
            <w:r/>
          </w:p>
        </w:tc>
        <w:tc>
          <w:tcPr>
            <w:tcW w:w="1042" w:type="dxa"/>
            <w:vAlign w:val="center"/>
            <w:vMerge w:val="restart"/>
            <w:textDirection w:val="lrTb"/>
            <w:noWrap w:val="false"/>
          </w:tcPr>
          <w:p>
            <w:pPr>
              <w:jc w:val="center"/>
              <w:spacing w:before="0" w:after="0" w:line="230" w:lineRule="exact"/>
            </w:pPr>
            <w:r>
              <w:rPr>
                <w:rFonts w:ascii="宋体" w:hAnsi="宋体" w:eastAsia="宋体"/>
                <w:b w:val="0"/>
                <w:sz w:val="18"/>
              </w:rPr>
              <w:t xml:space="preserve">触电事故现场应急处置考位</w:t>
            </w:r>
            <w:r/>
          </w:p>
        </w:tc>
        <w:tc>
          <w:tcPr>
            <w:tcW w:w="960" w:type="dxa"/>
            <w:vAlign w:val="center"/>
            <w:vMerge w:val="restart"/>
            <w:textDirection w:val="lrTb"/>
            <w:noWrap w:val="false"/>
          </w:tcPr>
          <w:p>
            <w:pPr>
              <w:jc w:val="center"/>
              <w:spacing w:before="0" w:after="0" w:line="230" w:lineRule="exact"/>
            </w:pPr>
            <w:r>
              <w:t xml:space="preserve">≥5m²</w:t>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模拟人</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全身式</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触电场景</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电工作业触电场景。</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K42</w:t>
            </w:r>
            <w:r/>
          </w:p>
        </w:tc>
        <w:tc>
          <w:tcPr>
            <w:tcW w:w="1042" w:type="dxa"/>
            <w:vAlign w:val="center"/>
            <w:vMerge w:val="restart"/>
            <w:textDirection w:val="lrTb"/>
            <w:noWrap w:val="false"/>
          </w:tcPr>
          <w:p>
            <w:pPr>
              <w:jc w:val="center"/>
              <w:spacing w:before="0" w:after="0" w:line="230" w:lineRule="exact"/>
            </w:pPr>
            <w:r>
              <w:rPr>
                <w:rFonts w:ascii="宋体" w:hAnsi="宋体" w:eastAsia="宋体"/>
                <w:b w:val="0"/>
                <w:sz w:val="18"/>
              </w:rPr>
              <w:t xml:space="preserve">单人徒手心肺复苏操作考位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≥5m²</w:t>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心肺复苏模拟人</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全身式</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一次性CPR屏障消毒面膜</w:t>
            </w:r>
            <w:r/>
          </w:p>
        </w:tc>
        <w:tc>
          <w:tcPr>
            <w:tcW w:w="4479"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K43</w:t>
            </w:r>
            <w:r/>
          </w:p>
        </w:tc>
        <w:tc>
          <w:tcPr>
            <w:tcW w:w="1042" w:type="dxa"/>
            <w:vAlign w:val="center"/>
            <w:vMerge w:val="restart"/>
            <w:textDirection w:val="lrTb"/>
            <w:noWrap w:val="false"/>
          </w:tcPr>
          <w:p>
            <w:pPr>
              <w:jc w:val="center"/>
              <w:spacing w:before="0" w:after="0" w:line="230" w:lineRule="exact"/>
            </w:pPr>
            <w:r>
              <w:rPr>
                <w:rFonts w:ascii="宋体" w:hAnsi="宋体" w:eastAsia="宋体"/>
                <w:b w:val="0"/>
                <w:sz w:val="18"/>
              </w:rPr>
              <w:t xml:space="preserve">灭火器选择与使用考位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≥9</w:t>
            </w:r>
            <w:r>
              <w:t xml:space="preserve">m²</w:t>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水基、泡沫、干粉、二氧化碳、清水等灭火器以及沙池、干沙、铲</w:t>
            </w:r>
            <w:r/>
          </w:p>
        </w:tc>
        <w:tc>
          <w:tcPr>
            <w:tcW w:w="4479"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1.满足扑灭A、B、C、D、E等五类火灾要求。</w:t>
            </w:r>
            <w:r/>
          </w:p>
          <w:p>
            <w:pPr>
              <w:jc w:val="left"/>
              <w:spacing w:before="0" w:after="0" w:line="230" w:lineRule="exact"/>
              <w:rPr>
                <w:rFonts w:ascii="宋体" w:hAnsi="宋体" w:eastAsia="宋体"/>
                <w:b w:val="0"/>
                <w:sz w:val="18"/>
              </w:rPr>
            </w:pPr>
            <w:r>
              <w:rPr>
                <w:rFonts w:ascii="宋体" w:hAnsi="宋体" w:eastAsia="宋体"/>
                <w:b w:val="0"/>
                <w:sz w:val="18"/>
              </w:rPr>
              <w:t xml:space="preserve">2.灭火器应包括手提式、推车式。</w:t>
            </w:r>
            <w:r/>
          </w:p>
          <w:p>
            <w:pPr>
              <w:jc w:val="left"/>
              <w:spacing w:before="0" w:after="0" w:line="230" w:lineRule="exact"/>
            </w:pPr>
            <w:r>
              <w:rPr>
                <w:rFonts w:ascii="宋体" w:hAnsi="宋体" w:eastAsia="宋体"/>
                <w:b w:val="0"/>
                <w:sz w:val="18"/>
              </w:rPr>
              <w:t xml:space="preserve">3.手提式灭火器应符合现行标准《手提式灭火器》（GB4351）的有关要求；推车式灭火器应符合现行标准《推车式灭火器》（GB8109）的有关要求。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实物设备考位或实物仿真设备考位任选其</w:t>
            </w:r>
            <w:r>
              <w:rPr>
                <w:rFonts w:hint="eastAsia"/>
                <w:b w:val="0"/>
                <w:sz w:val="18"/>
                <w:lang w:val="en-US" w:eastAsia="zh-CN"/>
              </w:rPr>
              <w:t xml:space="preserve">一。</w:t>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火灾场景视频</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包括A、B、C、D、E等五类火灾场景，含相应场景音频描述。</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显示屏（或投影仪、投影幕布）</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屏幕尺寸不小于50英寸，能够外放声音。</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火盆及风向标牌</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模拟火焰和风向。</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应符合现行标准《头部防护安全帽》（GB</w:t>
            </w:r>
            <w:r>
              <w:rPr>
                <w:rFonts w:hint="eastAsia"/>
                <w:lang w:val="en-US" w:eastAsia="zh-CN"/>
              </w:rPr>
              <w:t xml:space="preserve"> </w:t>
            </w:r>
            <w:r>
              <w:rPr>
                <w:rFonts w:ascii="宋体" w:hAnsi="宋体" w:eastAsia="宋体"/>
                <w:b w:val="0"/>
                <w:sz w:val="18"/>
              </w:rPr>
              <w:t xml:space="preserve">2811）的有关要求。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手套</w:t>
            </w:r>
            <w:r/>
          </w:p>
        </w:tc>
        <w:tc>
          <w:tcPr>
            <w:tcW w:w="4479"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工作服</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全棉、长袖、紧口。</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水基、泡沫、干粉、二氧化碳、清水等实物仿真灭火器以及沙池、干沙、铲</w:t>
            </w:r>
            <w:r/>
          </w:p>
        </w:tc>
        <w:tc>
          <w:tcPr>
            <w:tcW w:w="4479"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1.满足扑灭A、B、C、D、E等五类火灾要求。</w:t>
            </w:r>
            <w:r/>
          </w:p>
          <w:p>
            <w:pPr>
              <w:jc w:val="left"/>
              <w:spacing w:before="0" w:after="0" w:line="230" w:lineRule="exact"/>
            </w:pPr>
            <w:r>
              <w:rPr>
                <w:rFonts w:ascii="宋体" w:hAnsi="宋体" w:eastAsia="宋体"/>
                <w:b w:val="0"/>
                <w:sz w:val="18"/>
              </w:rPr>
              <w:t xml:space="preserve">2.定制，实物仿真灭火器应包括手提式、推车式，具有按压动作识别功能。</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仿真灭火智能化考核系统及配套硬件设备</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定制，能够随机展示A、B、C、D、E等五类火灾场景并播放相应场景音频描述，能够按照灭火标准步骤对考生进行智能化考核。</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应符合现行标准《头部防护安全帽》（GB</w:t>
            </w:r>
            <w:r>
              <w:rPr>
                <w:rFonts w:hint="eastAsia"/>
                <w:lang w:val="en-US" w:eastAsia="zh-CN"/>
              </w:rPr>
              <w:t xml:space="preserve"> </w:t>
            </w:r>
            <w:r>
              <w:rPr>
                <w:rFonts w:ascii="宋体" w:hAnsi="宋体" w:eastAsia="宋体"/>
                <w:b w:val="0"/>
                <w:sz w:val="18"/>
              </w:rPr>
              <w:t xml:space="preserve">2811）的有关要求。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手套</w:t>
            </w:r>
            <w:r/>
          </w:p>
        </w:tc>
        <w:tc>
          <w:tcPr>
            <w:tcW w:w="4479"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工作服</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全棉、长袖、紧口</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K44</w:t>
            </w:r>
            <w:r/>
          </w:p>
        </w:tc>
        <w:tc>
          <w:tcPr>
            <w:tcW w:w="1042" w:type="dxa"/>
            <w:vAlign w:val="center"/>
            <w:vMerge w:val="restart"/>
            <w:textDirection w:val="lrTb"/>
            <w:noWrap w:val="false"/>
          </w:tcPr>
          <w:p>
            <w:pPr>
              <w:jc w:val="center"/>
              <w:spacing w:before="0" w:after="0" w:line="230" w:lineRule="exact"/>
            </w:pPr>
            <w:r>
              <w:rPr>
                <w:rFonts w:ascii="宋体" w:hAnsi="宋体" w:eastAsia="宋体"/>
                <w:b w:val="0"/>
                <w:sz w:val="18"/>
              </w:rPr>
              <w:t xml:space="preserve">创伤包扎考位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w:t>
            </w:r>
            <w:r>
              <w:t xml:space="preserve">m²</w:t>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创伤模拟人</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全身式</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急救箱及常用包扎材料，常用包扎材料包括但不限于：止血带、纱布或敷料、夹板、绷带、三角巾等</w:t>
            </w:r>
            <w:r/>
          </w:p>
        </w:tc>
        <w:tc>
          <w:tcPr>
            <w:tcW w:w="4479"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担架</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应符合现行标准《病人搬运设备第1部分：救护车担架》（YY/T1638.1）的有关要求。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2"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9"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bl>
    <w:p>
      <w:pPr>
        <w:spacing w:after="40"/>
      </w:pPr>
      <w:r/>
      <w:r/>
    </w:p>
    <w:p>
      <w:pPr>
        <w:spacing w:after="40"/>
      </w:pPr>
      <w:r/>
      <w:r/>
    </w:p>
    <w:p>
      <w:pPr>
        <w:pStyle w:val="771"/>
        <w:numPr>
          <w:ilvl w:val="0"/>
          <w:numId w:val="4"/>
        </w:numPr>
        <w:pageBreakBefore w:val="0"/>
        <w:spacing w:line="360" w:lineRule="auto"/>
        <w:widowControl w:val="off"/>
        <w:rPr>
          <w:rFonts w:hint="eastAsia" w:ascii="微软雅黑" w:hAnsi="微软雅黑" w:eastAsia="微软雅黑" w:cs="微软雅黑"/>
          <w:sz w:val="24"/>
          <w:szCs w:val="24"/>
          <w:highlight w:val="none"/>
          <w:lang w:val="en-US" w:eastAsia="zh-CN"/>
        </w:rPr>
      </w:pPr>
      <w:r/>
      <w:bookmarkStart w:id="10" w:name="_Toc24627"/>
      <w:r>
        <w:rPr>
          <w:rFonts w:hint="eastAsia" w:ascii="微软雅黑" w:hAnsi="微软雅黑" w:eastAsia="微软雅黑" w:cs="微软雅黑"/>
          <w:sz w:val="24"/>
          <w:szCs w:val="24"/>
          <w:highlight w:val="none"/>
          <w:lang w:val="en-US" w:eastAsia="zh-CN"/>
        </w:rPr>
        <w:t xml:space="preserve">低压电工作业</w:t>
      </w:r>
      <w:bookmarkEnd w:id="10"/>
      <w:r/>
      <w:r/>
    </w:p>
    <w:p>
      <w:pPr>
        <w:jc w:val="center"/>
        <w:rPr>
          <w:rFonts w:hint="eastAsia" w:ascii="宋体" w:hAnsi="宋体" w:eastAsia="宋体" w:cs="宋体"/>
          <w:b/>
          <w:bCs/>
          <w:color w:val="auto"/>
          <w:sz w:val="22"/>
          <w:szCs w:val="22"/>
        </w:rPr>
        <w:outlineLvl w:val="9"/>
      </w:pPr>
      <w:r>
        <w:rPr>
          <w:rFonts w:hint="eastAsia" w:ascii="宋体" w:hAnsi="宋体" w:eastAsia="宋体" w:cs="宋体"/>
          <w:b/>
          <w:bCs/>
          <w:color w:val="auto"/>
          <w:sz w:val="22"/>
          <w:szCs w:val="22"/>
        </w:rPr>
        <w:t xml:space="preserve">表</w:t>
      </w:r>
      <w:r>
        <w:rPr>
          <w:rFonts w:hint="eastAsia" w:ascii="宋体" w:hAnsi="宋体" w:eastAsia="宋体" w:cs="宋体"/>
          <w:b/>
          <w:bCs/>
          <w:color w:val="auto"/>
          <w:sz w:val="22"/>
          <w:szCs w:val="22"/>
          <w:lang w:val="en-US" w:eastAsia="zh-CN"/>
        </w:rPr>
        <w:t xml:space="preserve">2</w:t>
      </w:r>
      <w:r>
        <w:rPr>
          <w:rFonts w:hint="eastAsia" w:ascii="宋体" w:hAnsi="宋体" w:eastAsia="宋体" w:cs="宋体"/>
          <w:b/>
          <w:bCs/>
          <w:color w:val="auto"/>
          <w:sz w:val="22"/>
          <w:szCs w:val="22"/>
        </w:rPr>
        <w:t xml:space="preserve">  低压电工作业实际操作考场考位主要设备配备表</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1781"/>
        <w:gridCol w:w="2697"/>
        <w:gridCol w:w="854"/>
        <w:gridCol w:w="1781"/>
      </w:tblGrid>
      <w:tr>
        <w:trPr>
          <w:jc w:val="center"/>
        </w:trPr>
        <w:tc>
          <w:tcPr>
            <w:tcW w:w="902" w:type="dxa"/>
            <w:vAlign w:val="center"/>
            <w:vMerge w:val="restart"/>
            <w:textDirection w:val="lrTb"/>
            <w:noWrap w:val="false"/>
          </w:tcPr>
          <w:p>
            <w:pPr>
              <w:jc w:val="center"/>
              <w:spacing w:before="0" w:after="0" w:line="230" w:lineRule="exact"/>
            </w:pPr>
            <w:r>
              <w:rPr>
                <w:rFonts w:ascii="黑体" w:hAnsi="黑体" w:eastAsia="黑体"/>
                <w:b/>
                <w:sz w:val="18"/>
              </w:rPr>
              <w:t xml:space="preserve">考位编号</w:t>
            </w:r>
            <w:r/>
          </w:p>
        </w:tc>
        <w:tc>
          <w:tcPr>
            <w:tcW w:w="1041" w:type="dxa"/>
            <w:vAlign w:val="center"/>
            <w:vMerge w:val="restart"/>
            <w:textDirection w:val="lrTb"/>
            <w:noWrap w:val="false"/>
          </w:tcPr>
          <w:p>
            <w:pPr>
              <w:jc w:val="center"/>
              <w:spacing w:before="0" w:after="0" w:line="230" w:lineRule="exact"/>
            </w:pPr>
            <w:r>
              <w:rPr>
                <w:rFonts w:ascii="黑体" w:hAnsi="黑体" w:eastAsia="黑体"/>
                <w:b/>
                <w:sz w:val="18"/>
              </w:rPr>
              <w:t xml:space="preserve">考位名称</w:t>
            </w:r>
            <w:r/>
          </w:p>
        </w:tc>
        <w:tc>
          <w:tcPr>
            <w:tcW w:w="960" w:type="dxa"/>
            <w:vAlign w:val="center"/>
            <w:vMerge w:val="restart"/>
            <w:textDirection w:val="lrTb"/>
            <w:noWrap w:val="false"/>
          </w:tcPr>
          <w:p>
            <w:pPr>
              <w:jc w:val="center"/>
              <w:spacing w:before="0" w:after="0" w:line="230" w:lineRule="exact"/>
            </w:pPr>
            <w:r>
              <w:rPr>
                <w:rFonts w:ascii="黑体" w:hAnsi="黑体" w:eastAsia="黑体"/>
                <w:b/>
                <w:sz w:val="18"/>
              </w:rPr>
              <w:t xml:space="preserve">考位面积</w:t>
            </w:r>
            <w:r/>
          </w:p>
        </w:tc>
        <w:tc>
          <w:tcPr>
            <w:gridSpan w:val="5"/>
            <w:tcW w:w="8557" w:type="dxa"/>
            <w:vAlign w:val="center"/>
            <w:textDirection w:val="lrTb"/>
            <w:noWrap w:val="false"/>
          </w:tcPr>
          <w:p>
            <w:pPr>
              <w:jc w:val="center"/>
              <w:spacing w:before="0" w:after="0" w:line="230" w:lineRule="exact"/>
            </w:pPr>
            <w:r>
              <w:rPr>
                <w:rFonts w:ascii="黑体" w:hAnsi="黑体" w:eastAsia="黑体"/>
                <w:b/>
                <w:sz w:val="18"/>
              </w:rPr>
              <w:t xml:space="preserve">考位设备设施要求</w:t>
            </w:r>
            <w:r/>
          </w:p>
        </w:tc>
        <w:tc>
          <w:tcPr>
            <w:tcW w:w="1781" w:type="dxa"/>
            <w:vAlign w:val="center"/>
            <w:vMerge w:val="restart"/>
            <w:textDirection w:val="lrTb"/>
            <w:noWrap w:val="false"/>
          </w:tcPr>
          <w:p>
            <w:pPr>
              <w:jc w:val="center"/>
              <w:spacing w:before="0" w:after="0" w:line="230" w:lineRule="exact"/>
            </w:pPr>
            <w:r>
              <w:rPr>
                <w:rFonts w:ascii="黑体" w:hAnsi="黑体" w:eastAsia="黑体"/>
                <w:b/>
                <w:sz w:val="18"/>
              </w:rPr>
              <w:t xml:space="preserve">考位布置要求</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center"/>
              <w:spacing w:before="0" w:after="0" w:line="230" w:lineRule="exact"/>
            </w:pPr>
            <w:r>
              <w:rPr>
                <w:rFonts w:ascii="黑体" w:hAnsi="黑体" w:eastAsia="黑体"/>
                <w:b/>
                <w:sz w:val="18"/>
              </w:rPr>
              <w:t xml:space="preserve">设备/设施/器材</w:t>
            </w:r>
            <w:r/>
          </w:p>
        </w:tc>
        <w:tc>
          <w:tcPr>
            <w:gridSpan w:val="2"/>
            <w:tcW w:w="4478" w:type="dxa"/>
            <w:vAlign w:val="center"/>
            <w:textDirection w:val="lrTb"/>
            <w:noWrap w:val="false"/>
          </w:tcPr>
          <w:p>
            <w:pPr>
              <w:jc w:val="center"/>
              <w:spacing w:before="0" w:after="0" w:line="230" w:lineRule="exact"/>
            </w:pPr>
            <w:r>
              <w:rPr>
                <w:rFonts w:ascii="黑体" w:hAnsi="黑体" w:eastAsia="黑体"/>
                <w:b/>
                <w:sz w:val="18"/>
              </w:rPr>
              <w:t xml:space="preserve">规格/要求</w:t>
            </w:r>
            <w:r/>
          </w:p>
        </w:tc>
        <w:tc>
          <w:tcPr>
            <w:tcW w:w="854" w:type="dxa"/>
            <w:vAlign w:val="center"/>
            <w:textDirection w:val="lrTb"/>
            <w:noWrap w:val="false"/>
          </w:tcPr>
          <w:p>
            <w:pPr>
              <w:jc w:val="center"/>
              <w:spacing w:before="0" w:after="0" w:line="230" w:lineRule="exact"/>
            </w:pPr>
            <w:r>
              <w:rPr>
                <w:rFonts w:ascii="黑体" w:hAnsi="黑体" w:eastAsia="黑体"/>
                <w:b/>
                <w:sz w:val="18"/>
              </w:rPr>
              <w:t xml:space="preserve">数量</w:t>
            </w:r>
            <w:r/>
          </w:p>
        </w:tc>
        <w:tc>
          <w:tcPr>
            <w:tcW w:w="1781" w:type="dxa"/>
            <w:vMerge w:val="continue"/>
            <w:textDirection w:val="lrTb"/>
            <w:noWrap w:val="false"/>
          </w:tcPr>
          <w:p>
            <w:pPr>
              <w:spacing w:after="0" w:line="240" w:lineRule="auto"/>
            </w:pPr>
            <w:r/>
            <w:r/>
          </w:p>
        </w:tc>
      </w:tr>
      <w:tr>
        <w:trPr>
          <w:jc w:val="center"/>
        </w:trPr>
        <w:tc>
          <w:tcPr>
            <w:gridSpan w:val="9"/>
            <w:tcW w:w="13241" w:type="dxa"/>
            <w:vAlign w:val="center"/>
            <w:textDirection w:val="lrTb"/>
            <w:noWrap w:val="false"/>
          </w:tcPr>
          <w:p>
            <w:pPr>
              <w:jc w:val="left"/>
              <w:spacing w:before="0" w:after="0" w:line="230" w:lineRule="exact"/>
            </w:pPr>
            <w:r>
              <w:rPr>
                <w:rFonts w:ascii="黑体" w:hAnsi="黑体" w:eastAsia="黑体"/>
                <w:b/>
                <w:bCs w:val="0"/>
                <w:sz w:val="20"/>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K11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电力安全工器具与电工仪器仪表考位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≥10</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低压验电笔</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1.测量范围：500V及以下。2.应符合现行标准《测量、控制和实验室用电气设备的安全要求第1部分：通用要求》（GB 4793.1）的有关要求。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Align w:val="center"/>
            <w:vMerge w:val="restart"/>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考试前应设置不少于2个干扰项设备设施，每个干扰项设备设施应为其规格/要求中的一种。</w:t>
            </w:r>
            <w:r/>
          </w:p>
          <w:p>
            <w:pPr>
              <w:numPr>
                <w:ilvl w:val="0"/>
                <w:numId w:val="0"/>
              </w:numPr>
              <w:jc w:val="left"/>
              <w:spacing w:before="0" w:after="0" w:line="230" w:lineRule="exact"/>
            </w:pPr>
            <w:r>
              <w:rPr>
                <w:rFonts w:ascii="宋体" w:hAnsi="宋体" w:eastAsia="宋体"/>
                <w:b w:val="0"/>
                <w:sz w:val="18"/>
              </w:rPr>
              <w:t xml:space="preserve">2.考核登高用具前，考生必须将速差自控器（防坠器）与安全带连接。</w:t>
            </w:r>
            <w:r/>
          </w:p>
          <w:p>
            <w:pPr>
              <w:numPr>
                <w:ilvl w:val="0"/>
                <w:numId w:val="0"/>
              </w:numPr>
              <w:jc w:val="left"/>
              <w:spacing w:before="0" w:after="0" w:line="230" w:lineRule="exact"/>
            </w:pPr>
            <w:r>
              <w:rPr>
                <w:rFonts w:ascii="宋体" w:hAnsi="宋体" w:eastAsia="宋体"/>
                <w:b w:val="0"/>
                <w:sz w:val="18"/>
              </w:rPr>
              <w:t xml:space="preserve">3.考生在本考位选择安全工器具、仪器仪表进行后续考试的，考位中各种设备/设施/器材的数量应按照实际情况配备。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携带型低压短路接地线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1.适用电压：0.4kV；接地棒长度：0.5m。2.应符合现行标准《便携式接地和接地短路装置》（DL/T879）、《带电作业用空心绝缘管、泡沫填充绝缘管和实心绝缘棒》（GB13398）的有关要求。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绝缘凳</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应符合现行标准《带电作业用绝缘硬梯》（GB/T17620）的有关要求。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eastAsia="宋体"/>
                <w:lang w:val="en-US" w:eastAsia="zh-CN"/>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绝缘梯</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应符合现行标准《带电作业用绝缘硬梯》（GB/T17620）的有关要求。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应符合现行标准《带电作业用绝缘垫》（DL/T853）的有关要求。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绝缘胶带</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电压等级：600V以下；阻燃型</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绝缘手套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应符合现行标准《带电作业用绝缘手套（GB/T17622）的有关要求。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绝缘鞋</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应符合现行标准《足部防护安全鞋》（GB</w:t>
            </w:r>
            <w:r>
              <w:rPr>
                <w:rFonts w:hint="eastAsia"/>
                <w:b w:val="0"/>
                <w:sz w:val="18"/>
                <w:lang w:val="en-US" w:eastAsia="zh-CN"/>
              </w:rPr>
              <w:t xml:space="preserve"> </w:t>
            </w:r>
            <w:r>
              <w:rPr>
                <w:rFonts w:ascii="宋体" w:hAnsi="宋体" w:eastAsia="宋体"/>
                <w:b w:val="0"/>
                <w:sz w:val="18"/>
              </w:rPr>
              <w:t xml:space="preserve">21148）的有关要求。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应符合现行标准《头部防护安全帽》（GB</w:t>
            </w:r>
            <w:r>
              <w:rPr>
                <w:rFonts w:hint="eastAsia"/>
                <w:lang w:val="en-US" w:eastAsia="zh-CN"/>
              </w:rPr>
              <w:t xml:space="preserve"> </w:t>
            </w:r>
            <w:r>
              <w:rPr>
                <w:rFonts w:ascii="宋体" w:hAnsi="宋体" w:eastAsia="宋体"/>
                <w:b w:val="0"/>
                <w:sz w:val="18"/>
              </w:rPr>
              <w:t xml:space="preserve">2811）的有关要求。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eastAsia="宋体"/>
                <w:lang w:val="en-US" w:eastAsia="zh-CN"/>
              </w:rPr>
              <w:t xml:space="preserve">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防护眼镜</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应符合现行标准《眼面防护具通用技术规范》（GB14866）的有关要求。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安全绳</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应符合现行标准《坠落防护安全绳》（GB</w:t>
            </w:r>
            <w:r>
              <w:rPr>
                <w:rFonts w:hint="eastAsia"/>
                <w:lang w:val="en-US" w:eastAsia="zh-CN"/>
              </w:rPr>
              <w:t xml:space="preserve"> </w:t>
            </w:r>
            <w:r>
              <w:rPr>
                <w:rFonts w:ascii="宋体" w:hAnsi="宋体" w:eastAsia="宋体"/>
                <w:b w:val="0"/>
                <w:sz w:val="18"/>
              </w:rPr>
              <w:t xml:space="preserve">24543）的有关要求。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eastAsia="宋体"/>
                <w:lang w:val="en-US" w:eastAsia="zh-CN"/>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安全带</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围杆作业用安全带</w:t>
            </w:r>
            <w:r/>
          </w:p>
        </w:tc>
        <w:tc>
          <w:tcPr>
            <w:gridSpan w:val="2"/>
            <w:tcW w:w="4478" w:type="dxa"/>
            <w:vAlign w:val="center"/>
            <w:vMerge w:val="restart"/>
            <w:textDirection w:val="lrTb"/>
            <w:noWrap w:val="false"/>
          </w:tcPr>
          <w:p>
            <w:pPr>
              <w:jc w:val="left"/>
              <w:spacing w:before="0" w:after="0" w:line="230" w:lineRule="exact"/>
            </w:pPr>
            <w:r>
              <w:rPr>
                <w:rFonts w:ascii="宋体" w:hAnsi="宋体" w:eastAsia="宋体"/>
                <w:b w:val="0"/>
                <w:sz w:val="18"/>
              </w:rPr>
              <w:t xml:space="preserve">应符合现行标准《坠落防护安全带》（GB</w:t>
            </w:r>
            <w:r>
              <w:rPr>
                <w:rFonts w:hint="eastAsia"/>
                <w:lang w:val="en-US" w:eastAsia="zh-CN"/>
              </w:rPr>
              <w:t xml:space="preserve"> </w:t>
            </w:r>
            <w:r>
              <w:rPr>
                <w:rFonts w:ascii="宋体" w:hAnsi="宋体" w:eastAsia="宋体"/>
                <w:b w:val="0"/>
                <w:sz w:val="18"/>
              </w:rPr>
              <w:t xml:space="preserve">6095）的有关要求。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区域限制用安全带</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坠落悬挂用安全带</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脚扣</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应符合现行标准《坠落防护登杆脚扣》（AQ6109）的有关要求。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登高板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应符合现行标准《电杆用登高板》（DL/T1643）的有关要求。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Height w:val="693"/>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电杆</w:t>
            </w:r>
            <w:r/>
          </w:p>
        </w:tc>
        <w:tc>
          <w:tcPr>
            <w:gridSpan w:val="2"/>
            <w:tcW w:w="4478" w:type="dxa"/>
            <w:vAlign w:val="center"/>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高度不低于4m。</w:t>
            </w:r>
            <w:r/>
          </w:p>
          <w:p>
            <w:pPr>
              <w:numPr>
                <w:ilvl w:val="0"/>
                <w:numId w:val="0"/>
              </w:numPr>
              <w:jc w:val="left"/>
              <w:spacing w:before="0" w:after="0" w:line="230" w:lineRule="exact"/>
            </w:pPr>
            <w:r>
              <w:rPr>
                <w:rFonts w:ascii="宋体" w:hAnsi="宋体" w:eastAsia="宋体"/>
                <w:b w:val="0"/>
                <w:sz w:val="18"/>
              </w:rPr>
              <w:t xml:space="preserve">2.应符合现行标准《环形混凝土电杆》（GB/T4623）的有关要求。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eastAsia="宋体"/>
                <w:lang w:val="en-US" w:eastAsia="zh-CN"/>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电工通用工具</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Height w:val="245"/>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vMerge w:val="restart"/>
            <w:textDirection w:val="lrTb"/>
            <w:noWrap w:val="false"/>
          </w:tcPr>
          <w:p>
            <w:pPr>
              <w:jc w:val="left"/>
              <w:spacing w:before="0" w:after="0" w:line="230" w:lineRule="exact"/>
            </w:pPr>
            <w:r>
              <w:rPr>
                <w:rFonts w:ascii="宋体" w:hAnsi="宋体" w:eastAsia="宋体"/>
                <w:b w:val="0"/>
                <w:sz w:val="18"/>
              </w:rPr>
              <w:t xml:space="preserve">万用表</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数字式</w:t>
            </w:r>
            <w:r/>
          </w:p>
        </w:tc>
        <w:tc>
          <w:tcPr>
            <w:tcW w:w="2697" w:type="dxa"/>
            <w:vAlign w:val="center"/>
            <w:vMerge w:val="restart"/>
            <w:textDirection w:val="lrTb"/>
            <w:noWrap w:val="false"/>
          </w:tcPr>
          <w:p>
            <w:pPr>
              <w:jc w:val="left"/>
              <w:spacing w:before="0" w:after="0" w:line="230" w:lineRule="exact"/>
            </w:pPr>
            <w:r>
              <w:rPr>
                <w:rFonts w:ascii="宋体" w:hAnsi="宋体" w:eastAsia="宋体"/>
                <w:b w:val="0"/>
                <w:sz w:val="18"/>
              </w:rPr>
              <w:t xml:space="preserve">应符合现行标准《国家电气设备安全技术规范》（GB19517）的有关要求，并符合电气设备相关的其他国家标准。</w:t>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Height w:val="245"/>
        </w:trPr>
        <w:tc>
          <w:tcPr>
            <w:tcW w:w="902" w:type="dxa"/>
            <w:vMerge w:val="continue"/>
            <w:textDirection w:val="lrTb"/>
            <w:noWrap w:val="false"/>
          </w:tcPr>
          <w:p>
            <w:pPr>
              <w:jc w:val="left"/>
              <w:spacing w:before="0" w:after="0" w:line="230" w:lineRule="exact"/>
            </w:pPr>
            <w:r/>
            <w:r/>
          </w:p>
        </w:tc>
        <w:tc>
          <w:tcPr>
            <w:tcW w:w="1041" w:type="dxa"/>
            <w:vMerge w:val="continue"/>
            <w:textDirection w:val="lrTb"/>
            <w:noWrap w:val="false"/>
          </w:tcPr>
          <w:p>
            <w:pPr>
              <w:jc w:val="left"/>
              <w:spacing w:before="0" w:after="0" w:line="230" w:lineRule="exact"/>
            </w:pPr>
            <w:r/>
            <w:r/>
          </w:p>
        </w:tc>
        <w:tc>
          <w:tcPr>
            <w:tcW w:w="960" w:type="dxa"/>
            <w:vMerge w:val="continue"/>
            <w:textDirection w:val="lrTb"/>
            <w:noWrap w:val="false"/>
          </w:tcPr>
          <w:p>
            <w:pPr>
              <w:jc w:val="left"/>
              <w:spacing w:before="0" w:after="0" w:line="230" w:lineRule="exact"/>
            </w:pPr>
            <w:r/>
            <w:r/>
          </w:p>
        </w:tc>
        <w:tc>
          <w:tcPr>
            <w:gridSpan w:val="2"/>
            <w:tcW w:w="3225" w:type="dxa"/>
            <w:vAlign w:val="center"/>
            <w:vMerge w:val="continue"/>
            <w:textDirection w:val="lrTb"/>
            <w:noWrap w:val="false"/>
          </w:tcPr>
          <w:p>
            <w:pPr>
              <w:jc w:val="left"/>
              <w:spacing w:before="0" w:after="0" w:line="230" w:lineRule="exact"/>
            </w:pPr>
            <w:r/>
            <w:r/>
          </w:p>
        </w:tc>
        <w:tc>
          <w:tcPr>
            <w:tcW w:w="1781"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指针式</w:t>
            </w:r>
            <w:r/>
          </w:p>
        </w:tc>
        <w:tc>
          <w:tcPr>
            <w:tcW w:w="2697"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vMerge w:val="restart"/>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钳形电流表</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数字式或指针式</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Height w:val="163"/>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vMerge w:val="restart"/>
            <w:textDirection w:val="lrTb"/>
            <w:noWrap w:val="false"/>
          </w:tcPr>
          <w:p>
            <w:pPr>
              <w:jc w:val="left"/>
              <w:spacing w:before="0" w:after="0" w:line="230" w:lineRule="exact"/>
            </w:pPr>
            <w:r>
              <w:rPr>
                <w:rFonts w:ascii="宋体" w:hAnsi="宋体" w:eastAsia="宋体"/>
                <w:b w:val="0"/>
                <w:sz w:val="18"/>
              </w:rPr>
              <w:t xml:space="preserve">兆欧表</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500V指针式</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Height w:val="163"/>
        </w:trPr>
        <w:tc>
          <w:tcPr>
            <w:tcW w:w="902" w:type="dxa"/>
            <w:vMerge w:val="continue"/>
            <w:textDirection w:val="lrTb"/>
            <w:noWrap w:val="false"/>
          </w:tcPr>
          <w:p>
            <w:pPr>
              <w:jc w:val="left"/>
              <w:spacing w:before="0" w:after="0" w:line="230" w:lineRule="exact"/>
            </w:pPr>
            <w:r/>
            <w:r/>
          </w:p>
        </w:tc>
        <w:tc>
          <w:tcPr>
            <w:tcW w:w="1041" w:type="dxa"/>
            <w:vMerge w:val="continue"/>
            <w:textDirection w:val="lrTb"/>
            <w:noWrap w:val="false"/>
          </w:tcPr>
          <w:p>
            <w:pPr>
              <w:jc w:val="left"/>
              <w:spacing w:before="0" w:after="0" w:line="230" w:lineRule="exact"/>
            </w:pPr>
            <w:r/>
            <w:r/>
          </w:p>
        </w:tc>
        <w:tc>
          <w:tcPr>
            <w:tcW w:w="960" w:type="dxa"/>
            <w:vMerge w:val="continue"/>
            <w:textDirection w:val="lrTb"/>
            <w:noWrap w:val="false"/>
          </w:tcPr>
          <w:p>
            <w:pPr>
              <w:jc w:val="left"/>
              <w:spacing w:before="0" w:after="0" w:line="230" w:lineRule="exact"/>
            </w:pPr>
            <w:r/>
            <w:r/>
          </w:p>
        </w:tc>
        <w:tc>
          <w:tcPr>
            <w:gridSpan w:val="2"/>
            <w:tcW w:w="3225" w:type="dxa"/>
            <w:vAlign w:val="center"/>
            <w:vMerge w:val="continue"/>
            <w:textDirection w:val="lrTb"/>
            <w:noWrap w:val="false"/>
          </w:tcPr>
          <w:p>
            <w:pPr>
              <w:jc w:val="left"/>
              <w:spacing w:before="0" w:after="0" w:line="230" w:lineRule="exact"/>
            </w:pPr>
            <w:r/>
            <w:r/>
          </w:p>
        </w:tc>
        <w:tc>
          <w:tcPr>
            <w:tcW w:w="1781"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1000V指针式</w:t>
            </w:r>
            <w:r/>
          </w:p>
        </w:tc>
        <w:tc>
          <w:tcPr>
            <w:tcW w:w="2697"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vMerge w:val="restart"/>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r>
      <w:tr>
        <w:trPr>
          <w:jc w:val="center"/>
          <w:trHeight w:val="163"/>
        </w:trPr>
        <w:tc>
          <w:tcPr>
            <w:tcW w:w="902"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04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960"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gridSpan w:val="2"/>
            <w:tcW w:w="3225"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781"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数字式</w:t>
            </w:r>
            <w:r/>
          </w:p>
        </w:tc>
        <w:tc>
          <w:tcPr>
            <w:tcW w:w="2697"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vMerge w:val="restart"/>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接地电阻测试仪</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数字式或指针式或钳形表</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漏电保护器测试仪</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0</w:t>
            </w:r>
            <w:r>
              <w:rPr>
                <w:rFonts w:hint="eastAsia" w:ascii="宋体" w:hAnsi="宋体" w:eastAsia="宋体" w:cs="宋体"/>
                <w:b w:val="0"/>
                <w:sz w:val="21"/>
                <w:szCs w:val="21"/>
              </w:rPr>
              <w:t xml:space="preserve">～</w:t>
            </w:r>
            <w:r>
              <w:rPr>
                <w:rFonts w:ascii="宋体" w:hAnsi="宋体" w:eastAsia="宋体"/>
                <w:b w:val="0"/>
                <w:sz w:val="18"/>
              </w:rPr>
              <w:t xml:space="preserve">500mA;0</w:t>
            </w:r>
            <w:r>
              <w:rPr>
                <w:rFonts w:hint="eastAsia" w:ascii="宋体" w:hAnsi="宋体" w:eastAsia="宋体" w:cs="宋体"/>
                <w:b w:val="0"/>
                <w:sz w:val="21"/>
                <w:szCs w:val="21"/>
              </w:rPr>
              <w:t xml:space="preserve">～</w:t>
            </w:r>
            <w:r>
              <w:rPr>
                <w:rFonts w:ascii="宋体" w:hAnsi="宋体" w:eastAsia="宋体"/>
                <w:b w:val="0"/>
                <w:sz w:val="18"/>
              </w:rPr>
              <w:t xml:space="preserve">999ms。</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电阻箱</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最小步进不大于1</w:t>
            </w:r>
            <w:r>
              <w:rPr>
                <w:rFonts w:hint="eastAsia" w:ascii="宋体" w:hAnsi="宋体" w:eastAsia="宋体"/>
                <w:b w:val="0"/>
                <w:sz w:val="18"/>
                <w:lang w:val="en-US" w:eastAsia="zh-CN"/>
              </w:rPr>
              <w:t xml:space="preserve">Ω</w:t>
            </w:r>
            <w:r>
              <w:rPr>
                <w:rFonts w:ascii="宋体" w:hAnsi="宋体" w:eastAsia="宋体"/>
                <w:b w:val="0"/>
                <w:sz w:val="18"/>
              </w:rPr>
              <w:t xml:space="preserve">，量程不小于99k</w:t>
            </w:r>
            <w:r>
              <w:rPr>
                <w:rFonts w:hint="eastAsia" w:ascii="宋体" w:hAnsi="宋体" w:eastAsia="宋体"/>
                <w:b w:val="0"/>
                <w:sz w:val="18"/>
                <w:lang w:val="en-US" w:eastAsia="zh-CN"/>
              </w:rPr>
              <w:t xml:space="preserve">Ω</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Merge w:val="continue"/>
            <w:textDirection w:val="lrTb"/>
            <w:noWrap w:val="false"/>
          </w:tcPr>
          <w:p>
            <w:pPr>
              <w:spacing w:after="0" w:line="240" w:lineRule="auto"/>
            </w:pPr>
            <w:r/>
            <w:r/>
          </w:p>
        </w:tc>
      </w:tr>
      <w:tr>
        <w:trPr>
          <w:jc w:val="center"/>
          <w:trHeight w:val="245"/>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vMerge w:val="restart"/>
            <w:textDirection w:val="lrTb"/>
            <w:noWrap w:val="false"/>
          </w:tcPr>
          <w:p>
            <w:pPr>
              <w:jc w:val="left"/>
              <w:spacing w:before="0" w:after="0" w:line="230" w:lineRule="exact"/>
            </w:pPr>
            <w:r>
              <w:rPr>
                <w:rFonts w:ascii="宋体" w:hAnsi="宋体" w:eastAsia="宋体"/>
                <w:b w:val="0"/>
                <w:sz w:val="18"/>
              </w:rPr>
              <w:t xml:space="preserve">漏电保护器</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C型</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Height w:val="245"/>
        </w:trPr>
        <w:tc>
          <w:tcPr>
            <w:tcW w:w="902" w:type="dxa"/>
            <w:vMerge w:val="continue"/>
            <w:textDirection w:val="lrTb"/>
            <w:noWrap w:val="false"/>
          </w:tcPr>
          <w:p>
            <w:pPr>
              <w:jc w:val="left"/>
              <w:spacing w:before="0" w:after="0" w:line="230" w:lineRule="exact"/>
            </w:pPr>
            <w:r/>
            <w:r/>
          </w:p>
        </w:tc>
        <w:tc>
          <w:tcPr>
            <w:tcW w:w="1041" w:type="dxa"/>
            <w:vMerge w:val="continue"/>
            <w:textDirection w:val="lrTb"/>
            <w:noWrap w:val="false"/>
          </w:tcPr>
          <w:p>
            <w:pPr>
              <w:jc w:val="left"/>
              <w:spacing w:before="0" w:after="0" w:line="230" w:lineRule="exact"/>
            </w:pPr>
            <w:r/>
            <w:r/>
          </w:p>
        </w:tc>
        <w:tc>
          <w:tcPr>
            <w:tcW w:w="960" w:type="dxa"/>
            <w:vMerge w:val="continue"/>
            <w:textDirection w:val="lrTb"/>
            <w:noWrap w:val="false"/>
          </w:tcPr>
          <w:p>
            <w:pPr>
              <w:jc w:val="left"/>
              <w:spacing w:before="0" w:after="0" w:line="230" w:lineRule="exact"/>
            </w:pPr>
            <w:r/>
            <w:r/>
          </w:p>
        </w:tc>
        <w:tc>
          <w:tcPr>
            <w:gridSpan w:val="2"/>
            <w:tcW w:w="3225" w:type="dxa"/>
            <w:vAlign w:val="center"/>
            <w:vMerge w:val="continue"/>
            <w:textDirection w:val="lrTb"/>
            <w:noWrap w:val="false"/>
          </w:tcPr>
          <w:p>
            <w:pPr>
              <w:jc w:val="left"/>
              <w:spacing w:before="0" w:after="0" w:line="230" w:lineRule="exact"/>
            </w:pPr>
            <w:r/>
            <w:r/>
          </w:p>
        </w:tc>
        <w:tc>
          <w:tcPr>
            <w:tcW w:w="1781"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D型</w:t>
            </w:r>
            <w:r/>
          </w:p>
        </w:tc>
        <w:tc>
          <w:tcPr>
            <w:tcW w:w="2697"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仪器仪表测试台</w:t>
            </w:r>
            <w:r/>
          </w:p>
        </w:tc>
        <w:tc>
          <w:tcPr>
            <w:gridSpan w:val="2"/>
            <w:tcW w:w="4478" w:type="dxa"/>
            <w:vAlign w:val="center"/>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定制，能够模拟各类仪器仪表的电气物理量。</w:t>
            </w:r>
            <w:r/>
          </w:p>
          <w:p>
            <w:pPr>
              <w:numPr>
                <w:ilvl w:val="0"/>
                <w:numId w:val="0"/>
              </w:numPr>
              <w:jc w:val="left"/>
              <w:spacing w:before="0" w:after="0" w:line="230" w:lineRule="exact"/>
              <w:rPr>
                <w:rFonts w:ascii="宋体" w:hAnsi="宋体" w:eastAsia="宋体"/>
                <w:b w:val="0"/>
                <w:sz w:val="18"/>
              </w:rPr>
            </w:pPr>
            <w:r>
              <w:rPr>
                <w:rFonts w:ascii="宋体" w:hAnsi="宋体" w:eastAsia="宋体"/>
                <w:b w:val="0"/>
                <w:sz w:val="18"/>
              </w:rPr>
              <w:t xml:space="preserve">2.应使用安全电压，或有短路保护、剩余电流动作保护和接地保护。</w:t>
            </w:r>
            <w:r/>
          </w:p>
          <w:p>
            <w:pPr>
              <w:numPr>
                <w:ilvl w:val="0"/>
                <w:numId w:val="0"/>
              </w:numPr>
              <w:jc w:val="left"/>
              <w:spacing w:before="0" w:after="0" w:line="230" w:lineRule="exact"/>
            </w:pPr>
            <w:r>
              <w:rPr>
                <w:rFonts w:ascii="宋体" w:hAnsi="宋体" w:eastAsia="宋体"/>
                <w:b w:val="0"/>
                <w:sz w:val="18"/>
              </w:rPr>
              <w:t xml:space="preserve">3.应符合现行标准《通用用电设备配电设计规范》（GB50055）、《低压配电设计规范》（GB50054）的有关要求。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both"/>
              <w:spacing w:after="0" w:line="240" w:lineRule="auto"/>
              <w:rPr>
                <w:rFonts w:hint="default" w:eastAsia="宋体"/>
                <w:lang w:val="en-US" w:eastAsia="zh-CN"/>
              </w:rPr>
            </w:pPr>
            <w:r>
              <w:rPr>
                <w:rFonts w:hint="eastAsia"/>
                <w:lang w:val="en-US" w:eastAsia="zh-CN"/>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低压验电笔</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携带型低压短路接地线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缺少附件的。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安全带</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脚扣</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登高板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绝缘手套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过期的、损坏的。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绝缘鞋</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过期的、损坏的。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万用表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钳形电流表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兆欧表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接地电阻测试仪</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漏电保护器测试</w:t>
            </w:r>
            <w:r>
              <w:rPr>
                <w:rFonts w:hint="eastAsia"/>
                <w:b w:val="0"/>
                <w:sz w:val="18"/>
                <w:lang w:val="en-US" w:eastAsia="zh-CN"/>
              </w:rPr>
              <w:t xml:space="preserve">仪</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安全工器具存放柜</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仪器仪表摆放架</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速差自控器（防坠器）</w:t>
            </w:r>
            <w:r/>
          </w:p>
        </w:tc>
        <w:tc>
          <w:tcPr>
            <w:gridSpan w:val="2"/>
            <w:tcW w:w="4478" w:type="dxa"/>
            <w:vAlign w:val="center"/>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电杆上方安装速差自控器（防坠器），速差自控器（防坠器）的安全绳长度不超过电杆高度，保证坠落发生后最小安全距离应大于1m。</w:t>
            </w:r>
            <w:r/>
          </w:p>
          <w:p>
            <w:pPr>
              <w:numPr>
                <w:ilvl w:val="0"/>
                <w:numId w:val="0"/>
              </w:numPr>
              <w:jc w:val="left"/>
              <w:spacing w:before="0" w:after="0" w:line="230" w:lineRule="exact"/>
            </w:pPr>
            <w:r>
              <w:rPr>
                <w:rFonts w:ascii="宋体" w:hAnsi="宋体" w:eastAsia="宋体"/>
                <w:b w:val="0"/>
                <w:sz w:val="18"/>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安全防护垫</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厚度不低于30cm。</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仪器仪表测试台作业区域满铺。</w:t>
            </w:r>
            <w:r/>
          </w:p>
          <w:p>
            <w:pPr>
              <w:numPr>
                <w:ilvl w:val="0"/>
                <w:numId w:val="0"/>
              </w:numPr>
              <w:jc w:val="left"/>
              <w:spacing w:before="0" w:after="0" w:line="230" w:lineRule="exact"/>
            </w:pPr>
            <w:r>
              <w:rPr>
                <w:rFonts w:ascii="宋体" w:hAnsi="宋体" w:eastAsia="宋体"/>
                <w:b w:val="0"/>
                <w:sz w:val="18"/>
              </w:rPr>
              <w:t xml:space="preserve">2.应符合现行标准《带电作业用绝缘垫》（DL/T853）的有关要求。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9"/>
            <w:tcW w:w="13241" w:type="dxa"/>
            <w:vAlign w:val="center"/>
            <w:textDirection w:val="lrTb"/>
            <w:noWrap w:val="false"/>
          </w:tcPr>
          <w:p>
            <w:pPr>
              <w:jc w:val="left"/>
              <w:spacing w:before="0" w:after="0" w:line="230" w:lineRule="exact"/>
            </w:pPr>
            <w:r>
              <w:rPr>
                <w:rFonts w:ascii="黑体" w:hAnsi="黑体" w:eastAsia="黑体"/>
                <w:b/>
                <w:sz w:val="20"/>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K21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作业现场安全隐患排除考位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低压电工作业现场安全风险安全隐患、职业危害的场景</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电力安全工器具</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9"/>
            <w:tcW w:w="13241" w:type="dxa"/>
            <w:vAlign w:val="center"/>
            <w:textDirection w:val="lrTb"/>
            <w:noWrap w:val="false"/>
          </w:tcPr>
          <w:p>
            <w:pPr>
              <w:jc w:val="left"/>
              <w:spacing w:before="0" w:after="0" w:line="230" w:lineRule="exact"/>
              <w:rPr>
                <w:rFonts w:ascii="黑体" w:hAnsi="黑体" w:eastAsia="黑体"/>
                <w:b/>
                <w:sz w:val="20"/>
              </w:rPr>
            </w:pPr>
            <w:r>
              <w:rPr>
                <w:rFonts w:ascii="黑体" w:hAnsi="黑体" w:eastAsia="黑体"/>
                <w:b/>
                <w:sz w:val="20"/>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电气设备安装考位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≥2m²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电路图</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单相电能表</w:t>
            </w:r>
            <w:r/>
          </w:p>
        </w:tc>
        <w:tc>
          <w:tcPr>
            <w:gridSpan w:val="2"/>
            <w:tcW w:w="4478" w:type="dxa"/>
            <w:vAlign w:val="center"/>
            <w:vMerge w:val="restart"/>
            <w:textDirection w:val="lrTb"/>
            <w:noWrap w:val="false"/>
          </w:tcPr>
          <w:p>
            <w:pPr>
              <w:numPr>
                <w:ilvl w:val="0"/>
                <w:numId w:val="0"/>
              </w:numPr>
              <w:jc w:val="left"/>
              <w:spacing w:before="0" w:after="0" w:line="230" w:lineRule="exact"/>
              <w:rPr>
                <w:rFonts w:hint="eastAsia"/>
                <w:b w:val="0"/>
                <w:sz w:val="18"/>
                <w:lang w:eastAsia="zh-CN"/>
              </w:rPr>
            </w:pPr>
            <w:r>
              <w:rPr>
                <w:rFonts w:hint="eastAsia"/>
                <w:b w:val="0"/>
                <w:sz w:val="18"/>
                <w:lang w:val="en-US" w:eastAsia="zh-CN"/>
              </w:rPr>
              <w:t xml:space="preserve">1.</w:t>
            </w:r>
            <w:r>
              <w:rPr>
                <w:rFonts w:ascii="宋体" w:hAnsi="宋体" w:eastAsia="宋体"/>
                <w:b w:val="0"/>
                <w:sz w:val="18"/>
              </w:rPr>
              <w:t xml:space="preserve">与电路图匹配</w:t>
            </w:r>
            <w:r>
              <w:rPr>
                <w:rFonts w:hint="eastAsia"/>
                <w:b w:val="0"/>
                <w:sz w:val="18"/>
                <w:lang w:eastAsia="zh-CN"/>
              </w:rPr>
              <w:t xml:space="preserve">。</w:t>
            </w:r>
            <w:r/>
          </w:p>
          <w:p>
            <w:pPr>
              <w:numPr>
                <w:ilvl w:val="0"/>
                <w:numId w:val="0"/>
              </w:numPr>
              <w:jc w:val="left"/>
              <w:spacing w:before="0" w:after="0" w:line="230" w:lineRule="exact"/>
            </w:pPr>
            <w:r>
              <w:rPr>
                <w:rFonts w:ascii="宋体" w:hAnsi="宋体" w:eastAsia="宋体"/>
                <w:b w:val="0"/>
                <w:sz w:val="18"/>
              </w:rPr>
              <w:t xml:space="preserve">2.应符合现行标准《电测量设备》（GB/T17215）相应部分的要求。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三相四线电能表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电流表</w:t>
            </w:r>
            <w:r/>
          </w:p>
        </w:tc>
        <w:tc>
          <w:tcPr>
            <w:gridSpan w:val="2"/>
            <w:tcW w:w="4478" w:type="dxa"/>
            <w:vAlign w:val="center"/>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与电路图匹配。</w:t>
            </w:r>
            <w:r/>
          </w:p>
          <w:p>
            <w:pPr>
              <w:numPr>
                <w:ilvl w:val="0"/>
                <w:numId w:val="0"/>
              </w:numPr>
              <w:jc w:val="left"/>
              <w:spacing w:before="0" w:after="0" w:line="230" w:lineRule="exact"/>
            </w:pPr>
            <w:r>
              <w:rPr>
                <w:rFonts w:ascii="宋体" w:hAnsi="宋体" w:eastAsia="宋体"/>
                <w:b w:val="0"/>
                <w:sz w:val="18"/>
              </w:rPr>
              <w:t xml:space="preserve">2.应符合现行标准《直接作用模拟指示电测量仪表及其附件》（GB/T7676）相应部分的要求。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电涌保护器</w:t>
            </w:r>
            <w:r/>
          </w:p>
        </w:tc>
        <w:tc>
          <w:tcPr>
            <w:gridSpan w:val="2"/>
            <w:tcW w:w="4478" w:type="dxa"/>
            <w:vAlign w:val="center"/>
            <w:textDirection w:val="lrTb"/>
            <w:noWrap w:val="false"/>
          </w:tcPr>
          <w:p>
            <w:pPr>
              <w:numPr>
                <w:ilvl w:val="0"/>
                <w:numId w:val="0"/>
              </w:numPr>
              <w:jc w:val="left"/>
              <w:spacing w:before="0" w:after="0" w:line="230" w:lineRule="exact"/>
              <w:rPr>
                <w:rFonts w:hint="eastAsia"/>
                <w:b w:val="0"/>
                <w:sz w:val="18"/>
                <w:lang w:eastAsia="zh-CN"/>
              </w:rPr>
            </w:pPr>
            <w:r>
              <w:rPr>
                <w:rFonts w:hint="eastAsia"/>
                <w:b w:val="0"/>
                <w:sz w:val="18"/>
                <w:lang w:val="en-US" w:eastAsia="zh-CN"/>
              </w:rPr>
              <w:t xml:space="preserve">1.</w:t>
            </w:r>
            <w:r>
              <w:rPr>
                <w:rFonts w:ascii="宋体" w:hAnsi="宋体" w:eastAsia="宋体"/>
                <w:b w:val="0"/>
                <w:sz w:val="18"/>
              </w:rPr>
              <w:t xml:space="preserve">与电路图匹配</w:t>
            </w:r>
            <w:r>
              <w:rPr>
                <w:rFonts w:hint="eastAsia"/>
                <w:b w:val="0"/>
                <w:sz w:val="18"/>
                <w:lang w:eastAsia="zh-CN"/>
              </w:rPr>
              <w:t xml:space="preserve">。</w:t>
            </w:r>
            <w:r/>
          </w:p>
          <w:p>
            <w:pPr>
              <w:numPr>
                <w:ilvl w:val="0"/>
                <w:numId w:val="0"/>
              </w:numPr>
              <w:jc w:val="left"/>
              <w:spacing w:before="0" w:after="0" w:line="230" w:lineRule="exact"/>
            </w:pPr>
            <w:r>
              <w:rPr>
                <w:rFonts w:ascii="宋体" w:hAnsi="宋体" w:eastAsia="宋体"/>
                <w:b w:val="0"/>
                <w:sz w:val="18"/>
              </w:rPr>
              <w:t xml:space="preserve">2.应符合现行标准《低压电涌保护器（SPD）第11部分：低压电源系统的电涌保护器性能要求和试验方法》（GB/T18802.11）的有关要求。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熔断器</w:t>
            </w:r>
            <w:r/>
          </w:p>
        </w:tc>
        <w:tc>
          <w:tcPr>
            <w:gridSpan w:val="2"/>
            <w:tcW w:w="4478" w:type="dxa"/>
            <w:vAlign w:val="center"/>
            <w:vMerge w:val="restart"/>
            <w:textDirection w:val="lrTb"/>
            <w:noWrap w:val="false"/>
          </w:tcPr>
          <w:p>
            <w:pPr>
              <w:jc w:val="both"/>
              <w:spacing w:before="0" w:after="0" w:line="230" w:lineRule="exact"/>
            </w:pPr>
            <w:r>
              <w:rPr>
                <w:rFonts w:ascii="宋体" w:hAnsi="宋体" w:eastAsia="宋体"/>
                <w:b w:val="0"/>
                <w:sz w:val="18"/>
              </w:rPr>
              <w:t xml:space="preserve">1.与电路图匹配2.应符合现行标准《低压开关设备和控制设备》（GB/T14048）相应部分的要求，或符合低压开关设备和控制设备相关的其他国家标准。</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断路器（带漏电保护器）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断路器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剩余电流动作保护器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交流接触器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热继电器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电流互感器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按钮开关</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万能转换开关</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三档旋钮开关</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五孔插座</w:t>
            </w:r>
            <w:r/>
          </w:p>
        </w:tc>
        <w:tc>
          <w:tcPr>
            <w:gridSpan w:val="2"/>
            <w:tcW w:w="4478" w:type="dxa"/>
            <w:vAlign w:val="center"/>
            <w:textDirection w:val="lrTb"/>
            <w:noWrap w:val="false"/>
          </w:tcPr>
          <w:p>
            <w:pPr>
              <w:numPr>
                <w:ilvl w:val="0"/>
                <w:numId w:val="0"/>
              </w:numPr>
              <w:jc w:val="left"/>
              <w:spacing w:before="0" w:after="0" w:line="230" w:lineRule="exact"/>
              <w:rPr>
                <w:rFonts w:hint="eastAsia"/>
                <w:b w:val="0"/>
                <w:sz w:val="18"/>
                <w:lang w:eastAsia="zh-CN"/>
              </w:rPr>
            </w:pPr>
            <w:r>
              <w:rPr>
                <w:rFonts w:hint="eastAsia"/>
                <w:b w:val="0"/>
                <w:sz w:val="18"/>
                <w:lang w:val="en-US" w:eastAsia="zh-CN"/>
              </w:rPr>
              <w:t xml:space="preserve">1.</w:t>
            </w:r>
            <w:r>
              <w:rPr>
                <w:rFonts w:ascii="宋体" w:hAnsi="宋体" w:eastAsia="宋体"/>
                <w:b w:val="0"/>
                <w:sz w:val="18"/>
              </w:rPr>
              <w:t xml:space="preserve">与电路图匹配</w:t>
            </w:r>
            <w:r>
              <w:rPr>
                <w:rFonts w:hint="eastAsia"/>
                <w:b w:val="0"/>
                <w:sz w:val="18"/>
                <w:lang w:eastAsia="zh-CN"/>
              </w:rPr>
              <w:t xml:space="preserve">。</w:t>
            </w:r>
            <w:r/>
          </w:p>
          <w:p>
            <w:pPr>
              <w:numPr>
                <w:ilvl w:val="0"/>
                <w:numId w:val="0"/>
              </w:numPr>
              <w:jc w:val="left"/>
              <w:spacing w:before="0" w:after="0" w:line="230" w:lineRule="exact"/>
            </w:pPr>
            <w:r>
              <w:rPr>
                <w:rFonts w:ascii="宋体" w:hAnsi="宋体" w:eastAsia="宋体"/>
                <w:b w:val="0"/>
                <w:sz w:val="18"/>
              </w:rPr>
              <w:t xml:space="preserve">2.应符合现行标准《家用和类似用途插头插座》（GB/T2099）相应部分的要求。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双控开关</w:t>
            </w:r>
            <w:r/>
          </w:p>
        </w:tc>
        <w:tc>
          <w:tcPr>
            <w:gridSpan w:val="2"/>
            <w:tcW w:w="4478" w:type="dxa"/>
            <w:vAlign w:val="center"/>
            <w:vMerge w:val="restart"/>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与电路图匹配。</w:t>
            </w:r>
            <w:r/>
          </w:p>
          <w:p>
            <w:pPr>
              <w:numPr>
                <w:ilvl w:val="0"/>
                <w:numId w:val="0"/>
              </w:numPr>
              <w:jc w:val="left"/>
              <w:spacing w:before="0" w:after="0" w:line="230" w:lineRule="exact"/>
            </w:pPr>
            <w:r>
              <w:rPr>
                <w:rFonts w:ascii="宋体" w:hAnsi="宋体" w:eastAsia="宋体"/>
                <w:b w:val="0"/>
                <w:sz w:val="18"/>
              </w:rPr>
              <w:t xml:space="preserve">2.应符合现行标准《家用和类似用途固定式电气装置的开关》（GB/T16915）相应部分的要求。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单控开关</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三相异步电动机</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与电路图匹配</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灯具</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配电箱</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单排，含导轨，24位。</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电气设备固定背板</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导线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单股、多股等各种颜色与多种规格线径导线。</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接线端子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非快接型，各种规格。</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线芯压接工具及模具</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导线连接器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各种规格</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hint="eastAsia" w:ascii="宋体" w:hAnsi="宋体" w:eastAsia="宋体"/>
                <w:b w:val="0"/>
                <w:sz w:val="18"/>
                <w:lang w:eastAsia="zh-CN"/>
              </w:rPr>
              <w:t xml:space="preserve">搪</w:t>
            </w:r>
            <w:r>
              <w:rPr>
                <w:rFonts w:ascii="宋体" w:hAnsi="宋体" w:eastAsia="宋体"/>
                <w:b w:val="0"/>
                <w:sz w:val="18"/>
              </w:rPr>
              <w:t xml:space="preserve">锡设备及焊锡丝</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连接管</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各种规格</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绝缘胶带</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接线工具，包括但不限于：剥线钳、老虎钳、尖嘴钳、工具刀、一字螺丝刀、十字螺丝刀</w:t>
            </w:r>
            <w:r>
              <w:rPr>
                <w:rFonts w:hint="eastAsia"/>
                <w:b w:val="0"/>
                <w:sz w:val="18"/>
                <w:lang w:val="en-US" w:eastAsia="zh-CN"/>
              </w:rPr>
              <w:t xml:space="preserve">等</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操作台</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b w:val="0"/>
                <w:sz w:val="18"/>
                <w:lang w:eastAsia="zh-CN"/>
              </w:rPr>
            </w:pPr>
            <w:r>
              <w:rPr>
                <w:rFonts w:hint="eastAsia"/>
                <w:b w:val="0"/>
                <w:sz w:val="18"/>
                <w:lang w:val="en-US" w:eastAsia="zh-CN"/>
              </w:rPr>
              <w:t xml:space="preserve">1.</w:t>
            </w:r>
            <w:r>
              <w:rPr>
                <w:rFonts w:ascii="宋体" w:hAnsi="宋体" w:eastAsia="宋体"/>
                <w:b w:val="0"/>
                <w:sz w:val="18"/>
              </w:rPr>
              <w:t xml:space="preserve">操作台应设带漏电保护的总开关，台面板应绝缘，可导电部位应接地保护，设有可以防止考生误送电的锁定装置</w:t>
            </w:r>
            <w:r>
              <w:rPr>
                <w:rFonts w:hint="eastAsia"/>
                <w:b w:val="0"/>
                <w:sz w:val="18"/>
                <w:lang w:eastAsia="zh-CN"/>
              </w:rPr>
              <w:t xml:space="preserve">。</w:t>
            </w:r>
            <w:r/>
          </w:p>
          <w:p>
            <w:pPr>
              <w:numPr>
                <w:ilvl w:val="0"/>
                <w:numId w:val="0"/>
              </w:numPr>
              <w:jc w:val="left"/>
              <w:spacing w:before="0" w:after="0" w:line="230" w:lineRule="exact"/>
            </w:pPr>
            <w:r>
              <w:rPr>
                <w:rFonts w:ascii="宋体" w:hAnsi="宋体" w:eastAsia="宋体"/>
                <w:b w:val="0"/>
                <w:sz w:val="18"/>
              </w:rPr>
              <w:t xml:space="preserve">2.可根据实际情况使用安全电压3.供考试用的供配电线路的设置和安装，应符合现行标准《建筑电气与智能化通用规范》（GB55024）的有关要求。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作业区域满铺。</w:t>
            </w:r>
            <w:r/>
          </w:p>
          <w:p>
            <w:pPr>
              <w:numPr>
                <w:ilvl w:val="0"/>
                <w:numId w:val="0"/>
              </w:numPr>
              <w:jc w:val="left"/>
              <w:spacing w:before="0" w:after="0" w:line="230" w:lineRule="exact"/>
            </w:pPr>
            <w:r>
              <w:rPr>
                <w:rFonts w:ascii="宋体" w:hAnsi="宋体" w:eastAsia="宋体"/>
                <w:b w:val="0"/>
                <w:sz w:val="18"/>
              </w:rPr>
              <w:t xml:space="preserve">2.应符合现行标准《带电作业用绝缘垫》（DL/T853）的有关要求。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K32</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低压开关柜考位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≥10</w:t>
            </w:r>
            <w:r>
              <w:t xml:space="preserve">m²</w:t>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低压开关柜（整套）</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进线柜</w:t>
            </w:r>
            <w:r/>
          </w:p>
        </w:tc>
        <w:tc>
          <w:tcPr>
            <w:gridSpan w:val="2"/>
            <w:tcW w:w="4478"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1.GCS系列或MNS系列或GCK系列或GGD系列，与生产实际型号一致。</w:t>
            </w:r>
            <w:r/>
          </w:p>
          <w:p>
            <w:pPr>
              <w:jc w:val="left"/>
              <w:spacing w:before="0" w:after="0" w:line="230" w:lineRule="exact"/>
            </w:pPr>
            <w:r>
              <w:rPr>
                <w:rFonts w:ascii="宋体" w:hAnsi="宋体" w:eastAsia="宋体"/>
                <w:b w:val="0"/>
                <w:sz w:val="18"/>
              </w:rPr>
              <w:t xml:space="preserve">2.应符合现行标准《低压成套开关设备和控制设备》（GB/T7251）相应部分的要求。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Align w:val="center"/>
            <w:vMerge w:val="restart"/>
            <w:textDirection w:val="lrTb"/>
            <w:noWrap w:val="false"/>
          </w:tcPr>
          <w:p>
            <w:pPr>
              <w:jc w:val="left"/>
              <w:spacing w:before="0" w:after="0" w:line="230" w:lineRule="exact"/>
            </w:pPr>
            <w:r>
              <w:rPr>
                <w:rFonts w:ascii="宋体" w:hAnsi="宋体" w:eastAsia="宋体"/>
                <w:b w:val="0"/>
                <w:sz w:val="18"/>
              </w:rPr>
              <w:t xml:space="preserve">电气设备各项防止直接触电、间接触电的保护措施应落实到位，配置、安装应符合现行标准《建筑电气与智能化通用规范》（GB55024）的有关要求。</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出线柜</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补偿柜</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接线模拟图板或接线模拟屏</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低压配电接线图。</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接地干线</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应符合现行标准《带电作业用绝缘垫》（DL/T853）的有关要求。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K33</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临时用电系统考位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≥10</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临时用电系统施工图</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1张</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供电系统</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应符合现行标准《建筑与市政工程施工现场临时用电安全技术标准》（JGJ/T46）要求的，建筑施工现场临时用电工程专用的电源中性点直接接地的220/380V三相四线制低压电力系统，且必须符合下列规定：</w:t>
            </w:r>
            <w:r/>
          </w:p>
          <w:p>
            <w:pPr>
              <w:jc w:val="left"/>
              <w:spacing w:before="0" w:after="0" w:line="230" w:lineRule="exact"/>
              <w:rPr>
                <w:rFonts w:ascii="宋体" w:hAnsi="宋体" w:eastAsia="宋体"/>
                <w:b w:val="0"/>
                <w:sz w:val="18"/>
              </w:rPr>
            </w:pPr>
            <w:r>
              <w:rPr>
                <w:rFonts w:ascii="宋体" w:hAnsi="宋体" w:eastAsia="宋体"/>
                <w:b w:val="0"/>
                <w:sz w:val="18"/>
              </w:rPr>
              <w:t xml:space="preserve">（1）应采用三级配电系统；</w:t>
            </w:r>
            <w:r/>
          </w:p>
          <w:p>
            <w:pPr>
              <w:jc w:val="left"/>
              <w:spacing w:before="0" w:after="0" w:line="230" w:lineRule="exact"/>
              <w:rPr>
                <w:rFonts w:ascii="宋体" w:hAnsi="宋体" w:eastAsia="宋体"/>
                <w:b w:val="0"/>
                <w:sz w:val="18"/>
              </w:rPr>
            </w:pPr>
            <w:r>
              <w:rPr>
                <w:rFonts w:ascii="宋体" w:hAnsi="宋体" w:eastAsia="宋体"/>
                <w:b w:val="0"/>
                <w:sz w:val="18"/>
              </w:rPr>
              <w:t xml:space="preserve">（2）应采用TN-S系统；</w:t>
            </w:r>
            <w:r/>
          </w:p>
          <w:p>
            <w:pPr>
              <w:jc w:val="left"/>
              <w:spacing w:before="0" w:after="0" w:line="230" w:lineRule="exact"/>
            </w:pPr>
            <w:r>
              <w:rPr>
                <w:rFonts w:ascii="宋体" w:hAnsi="宋体" w:eastAsia="宋体"/>
                <w:b w:val="0"/>
                <w:sz w:val="18"/>
              </w:rPr>
              <w:t xml:space="preserve">（3）应采用二级剩余电流动作保护系统。</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left"/>
              <w:spacing w:before="0" w:after="0" w:line="230" w:lineRule="exact"/>
              <w:rPr>
                <w:rFonts w:hint="eastAsia" w:ascii="宋体" w:hAnsi="宋体" w:eastAsia="宋体"/>
                <w:b w:val="0"/>
                <w:sz w:val="18"/>
                <w:lang w:val="en-US" w:eastAsia="zh-CN"/>
              </w:rPr>
            </w:pPr>
            <w:r>
              <w:rPr>
                <w:rFonts w:hint="eastAsia" w:ascii="宋体" w:hAnsi="宋体" w:eastAsia="宋体"/>
                <w:b w:val="0"/>
                <w:sz w:val="18"/>
                <w:lang w:val="en-US" w:eastAsia="zh-CN"/>
              </w:rPr>
              <w:t xml:space="preserve">总配电箱（整套）</w:t>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配电箱</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电压表</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b w:val="0"/>
                <w:sz w:val="18"/>
                <w:lang w:eastAsia="zh-CN"/>
              </w:rPr>
            </w:pPr>
            <w:r>
              <w:rPr>
                <w:rFonts w:ascii="宋体" w:hAnsi="宋体" w:eastAsia="宋体"/>
                <w:b w:val="0"/>
                <w:sz w:val="18"/>
              </w:rPr>
              <w:t xml:space="preserve">1.与电路图匹配</w:t>
            </w:r>
            <w:r>
              <w:rPr>
                <w:rFonts w:hint="eastAsia" w:ascii="宋体" w:hAnsi="宋体" w:eastAsia="宋体"/>
                <w:b w:val="0"/>
                <w:sz w:val="18"/>
                <w:lang w:eastAsia="zh-CN"/>
              </w:rPr>
              <w:t xml:space="preserve">。</w:t>
            </w:r>
            <w:r/>
          </w:p>
          <w:p>
            <w:pPr>
              <w:jc w:val="left"/>
              <w:spacing w:before="0" w:after="0" w:line="230" w:lineRule="exact"/>
              <w:rPr>
                <w:rFonts w:ascii="宋体" w:hAnsi="宋体" w:eastAsia="宋体"/>
                <w:b w:val="0"/>
                <w:sz w:val="18"/>
              </w:rPr>
            </w:pPr>
            <w:r>
              <w:rPr>
                <w:rFonts w:ascii="宋体" w:hAnsi="宋体" w:eastAsia="宋体"/>
                <w:b w:val="0"/>
                <w:sz w:val="18"/>
              </w:rPr>
              <w:t xml:space="preserve">2.应符合现行标准《电测量设备》（GB/T17215）相应部分的要求。</w:t>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电流表</w:t>
            </w:r>
            <w:r/>
          </w:p>
        </w:tc>
        <w:tc>
          <w:tcPr>
            <w:gridSpan w:val="2"/>
            <w:tcW w:w="4478"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3个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三相四线电能表</w:t>
            </w:r>
            <w:r/>
          </w:p>
        </w:tc>
        <w:tc>
          <w:tcPr>
            <w:gridSpan w:val="2"/>
            <w:tcW w:w="4478"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转换开关</w:t>
            </w:r>
            <w:r/>
          </w:p>
        </w:tc>
        <w:tc>
          <w:tcPr>
            <w:gridSpan w:val="2"/>
            <w:tcW w:w="4478" w:type="dxa"/>
            <w:vAlign w:val="center"/>
            <w:textDirection w:val="lrTb"/>
            <w:noWrap w:val="false"/>
          </w:tcPr>
          <w:p>
            <w:pPr>
              <w:jc w:val="left"/>
              <w:spacing w:before="0" w:after="0" w:line="230" w:lineRule="exact"/>
              <w:rPr>
                <w:rFonts w:hint="eastAsia" w:ascii="宋体" w:hAnsi="宋体" w:eastAsia="宋体"/>
                <w:b w:val="0"/>
                <w:sz w:val="18"/>
                <w:lang w:eastAsia="zh-CN"/>
              </w:rPr>
            </w:pPr>
            <w:r>
              <w:rPr>
                <w:rFonts w:ascii="宋体" w:hAnsi="宋体" w:eastAsia="宋体"/>
                <w:b w:val="0"/>
                <w:sz w:val="18"/>
              </w:rPr>
              <w:t xml:space="preserve">1.与电路图匹配</w:t>
            </w:r>
            <w:r>
              <w:rPr>
                <w:rFonts w:hint="eastAsia" w:ascii="宋体" w:hAnsi="宋体" w:eastAsia="宋体"/>
                <w:b w:val="0"/>
                <w:sz w:val="18"/>
                <w:lang w:eastAsia="zh-CN"/>
              </w:rPr>
              <w:t xml:space="preserve">。</w:t>
            </w:r>
            <w:r/>
          </w:p>
          <w:p>
            <w:pPr>
              <w:jc w:val="left"/>
              <w:spacing w:before="0" w:after="0" w:line="230" w:lineRule="exact"/>
              <w:rPr>
                <w:rFonts w:ascii="宋体" w:hAnsi="宋体" w:eastAsia="宋体"/>
                <w:b w:val="0"/>
                <w:sz w:val="18"/>
              </w:rPr>
            </w:pPr>
            <w:r>
              <w:rPr>
                <w:rFonts w:ascii="宋体" w:hAnsi="宋体" w:eastAsia="宋体"/>
                <w:b w:val="0"/>
                <w:sz w:val="18"/>
              </w:rPr>
              <w:t xml:space="preserve">2.应符合现行标准《低压开关设备和控制设备》（GB/T14048）相应部分的要求。</w:t>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电流互感器</w:t>
            </w:r>
            <w:r/>
          </w:p>
        </w:tc>
        <w:tc>
          <w:tcPr>
            <w:gridSpan w:val="2"/>
            <w:tcW w:w="4478" w:type="dxa"/>
            <w:vAlign w:val="center"/>
            <w:textDirection w:val="lrTb"/>
            <w:noWrap w:val="false"/>
          </w:tcPr>
          <w:p>
            <w:pPr>
              <w:jc w:val="left"/>
              <w:spacing w:before="0" w:after="0" w:line="230" w:lineRule="exact"/>
              <w:rPr>
                <w:rFonts w:hint="eastAsia" w:ascii="宋体" w:hAnsi="宋体" w:eastAsia="宋体"/>
                <w:b w:val="0"/>
                <w:sz w:val="18"/>
                <w:lang w:eastAsia="zh-CN"/>
              </w:rPr>
            </w:pPr>
            <w:r>
              <w:rPr>
                <w:rFonts w:ascii="宋体" w:hAnsi="宋体" w:eastAsia="宋体"/>
                <w:b w:val="0"/>
                <w:sz w:val="18"/>
              </w:rPr>
              <w:t xml:space="preserve">1.与电路图匹配</w:t>
            </w:r>
            <w:r>
              <w:rPr>
                <w:rFonts w:hint="eastAsia" w:ascii="宋体" w:hAnsi="宋体" w:eastAsia="宋体"/>
                <w:b w:val="0"/>
                <w:sz w:val="18"/>
                <w:lang w:eastAsia="zh-CN"/>
              </w:rPr>
              <w:t xml:space="preserve">。</w:t>
            </w:r>
            <w:r/>
          </w:p>
          <w:p>
            <w:pPr>
              <w:jc w:val="left"/>
              <w:spacing w:before="0" w:after="0" w:line="230" w:lineRule="exact"/>
              <w:rPr>
                <w:rFonts w:ascii="宋体" w:hAnsi="宋体" w:eastAsia="宋体"/>
                <w:b w:val="0"/>
                <w:sz w:val="18"/>
              </w:rPr>
            </w:pPr>
            <w:r>
              <w:rPr>
                <w:rFonts w:ascii="宋体" w:hAnsi="宋体" w:eastAsia="宋体"/>
                <w:b w:val="0"/>
                <w:sz w:val="18"/>
              </w:rPr>
              <w:t xml:space="preserve">2.应符合现行标准《互感器》（GB/T 20840）相应部分的要求。</w:t>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3个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隔离开关</w:t>
            </w:r>
            <w:r/>
          </w:p>
        </w:tc>
        <w:tc>
          <w:tcPr>
            <w:gridSpan w:val="2"/>
            <w:tcW w:w="4478"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1.与电路图匹配。</w:t>
            </w:r>
            <w:r/>
          </w:p>
          <w:p>
            <w:pPr>
              <w:jc w:val="left"/>
              <w:spacing w:before="0" w:after="0" w:line="230" w:lineRule="exact"/>
              <w:rPr>
                <w:rFonts w:ascii="宋体" w:hAnsi="宋体" w:eastAsia="宋体"/>
                <w:b w:val="0"/>
                <w:sz w:val="18"/>
              </w:rPr>
            </w:pPr>
            <w:r>
              <w:rPr>
                <w:rFonts w:ascii="宋体" w:hAnsi="宋体" w:eastAsia="宋体"/>
                <w:b w:val="0"/>
                <w:sz w:val="18"/>
              </w:rPr>
              <w:t xml:space="preserve">2.分断路器为透明塑壳，分断时可见分断点，带漏电保护。</w:t>
            </w:r>
            <w:r/>
          </w:p>
          <w:p>
            <w:pPr>
              <w:jc w:val="left"/>
              <w:spacing w:before="0" w:after="0" w:line="230" w:lineRule="exact"/>
              <w:rPr>
                <w:rFonts w:ascii="宋体" w:hAnsi="宋体" w:eastAsia="宋体"/>
                <w:b w:val="0"/>
                <w:sz w:val="18"/>
              </w:rPr>
            </w:pPr>
            <w:r>
              <w:rPr>
                <w:rFonts w:ascii="宋体" w:hAnsi="宋体" w:eastAsia="宋体"/>
                <w:b w:val="0"/>
                <w:sz w:val="18"/>
              </w:rPr>
              <w:t xml:space="preserve">3.应符合现行标准《低压开关设备和控制设备》（GB/T14048）相应部分的要求。</w:t>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总断路器</w:t>
            </w:r>
            <w:r/>
          </w:p>
        </w:tc>
        <w:tc>
          <w:tcPr>
            <w:gridSpan w:val="2"/>
            <w:tcW w:w="4478"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分断路器</w:t>
            </w:r>
            <w:r/>
          </w:p>
        </w:tc>
        <w:tc>
          <w:tcPr>
            <w:gridSpan w:val="2"/>
            <w:tcW w:w="4478"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textDirection w:val="lrTb"/>
            <w:noWrap w:val="false"/>
          </w:tcPr>
          <w:p>
            <w:pPr>
              <w:jc w:val="center"/>
              <w:spacing w:before="0" w:after="0" w:line="230" w:lineRule="exact"/>
              <w:rPr>
                <w:rFonts w:hint="default" w:ascii="宋体" w:hAnsi="宋体" w:eastAsia="宋体"/>
                <w:b w:val="0"/>
                <w:sz w:val="18"/>
                <w:lang w:val="en-US" w:eastAsia="zh-CN"/>
              </w:rPr>
            </w:pPr>
            <w:r>
              <w:rPr>
                <w:rFonts w:hint="eastAsia" w:ascii="宋体" w:hAnsi="宋体" w:eastAsia="宋体"/>
                <w:b w:val="0"/>
                <w:sz w:val="18"/>
                <w:lang w:val="en-US" w:eastAsia="zh-CN"/>
              </w:rPr>
              <w:t xml:space="preserve">2个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分配电箱（整套）</w:t>
            </w:r>
            <w:r/>
          </w:p>
        </w:tc>
        <w:tc>
          <w:tcPr>
            <w:tcW w:w="1910"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配电箱</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总断路器</w:t>
            </w:r>
            <w:r/>
          </w:p>
        </w:tc>
        <w:tc>
          <w:tcPr>
            <w:gridSpan w:val="2"/>
            <w:tcW w:w="4478"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1.与电路图匹配。</w:t>
            </w:r>
            <w:r/>
          </w:p>
          <w:p>
            <w:pPr>
              <w:jc w:val="left"/>
              <w:spacing w:before="0" w:after="0" w:line="230" w:lineRule="exact"/>
              <w:rPr>
                <w:rFonts w:hint="eastAsia"/>
                <w:b w:val="0"/>
                <w:sz w:val="18"/>
                <w:lang w:eastAsia="zh-CN"/>
              </w:rPr>
            </w:pPr>
            <w:r>
              <w:rPr>
                <w:rFonts w:ascii="宋体" w:hAnsi="宋体" w:eastAsia="宋体"/>
                <w:b w:val="0"/>
                <w:sz w:val="18"/>
              </w:rPr>
              <w:t xml:space="preserve">2.含动力回路、照明回路</w:t>
            </w:r>
            <w:r>
              <w:rPr>
                <w:rFonts w:hint="eastAsia"/>
                <w:b w:val="0"/>
                <w:sz w:val="18"/>
                <w:lang w:eastAsia="zh-CN"/>
              </w:rPr>
              <w:t xml:space="preserve">。</w:t>
            </w:r>
            <w:r/>
          </w:p>
          <w:p>
            <w:pPr>
              <w:jc w:val="left"/>
              <w:spacing w:before="0" w:after="0" w:line="230" w:lineRule="exact"/>
              <w:rPr>
                <w:rFonts w:ascii="宋体" w:hAnsi="宋体" w:eastAsia="宋体"/>
                <w:b w:val="0"/>
                <w:sz w:val="18"/>
              </w:rPr>
            </w:pPr>
            <w:r>
              <w:rPr>
                <w:rFonts w:ascii="宋体" w:hAnsi="宋体" w:eastAsia="宋体"/>
                <w:b w:val="0"/>
                <w:sz w:val="18"/>
              </w:rPr>
              <w:t xml:space="preserve">3.断路器为透明塑壳，在分断时可见分断点。</w:t>
            </w:r>
            <w:r/>
          </w:p>
          <w:p>
            <w:pPr>
              <w:jc w:val="left"/>
              <w:spacing w:before="0" w:after="0" w:line="230" w:lineRule="exact"/>
            </w:pPr>
            <w:r>
              <w:rPr>
                <w:rFonts w:ascii="宋体" w:hAnsi="宋体" w:eastAsia="宋体"/>
                <w:b w:val="0"/>
                <w:sz w:val="18"/>
              </w:rPr>
              <w:t xml:space="preserve">4.应符合现行标准《低压开关设备和控制设备》（GB/T14048）相应部分的要求。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分断路器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2个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动力开关箱（整套）</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开关箱</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断路器</w:t>
            </w:r>
            <w:r/>
          </w:p>
        </w:tc>
        <w:tc>
          <w:tcPr>
            <w:gridSpan w:val="2"/>
            <w:tcW w:w="4478" w:type="dxa"/>
            <w:vAlign w:val="center"/>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1.与电路图匹配</w:t>
            </w:r>
            <w:r>
              <w:rPr>
                <w:rFonts w:hint="eastAsia"/>
                <w:b w:val="0"/>
                <w:sz w:val="18"/>
                <w:lang w:eastAsia="zh-CN"/>
              </w:rPr>
              <w:t xml:space="preserve">。</w:t>
            </w:r>
            <w:r/>
          </w:p>
          <w:p>
            <w:pPr>
              <w:jc w:val="left"/>
              <w:spacing w:before="0" w:after="0" w:line="230" w:lineRule="exact"/>
              <w:rPr>
                <w:rFonts w:ascii="宋体" w:hAnsi="宋体" w:eastAsia="宋体"/>
                <w:b w:val="0"/>
                <w:sz w:val="18"/>
              </w:rPr>
            </w:pPr>
            <w:r>
              <w:rPr>
                <w:rFonts w:ascii="宋体" w:hAnsi="宋体" w:eastAsia="宋体"/>
                <w:b w:val="0"/>
                <w:sz w:val="18"/>
              </w:rPr>
              <w:t xml:space="preserve">2.断路器为透明塑壳，在分断时可见分断点，带漏电保护。</w:t>
            </w:r>
            <w:r/>
          </w:p>
          <w:p>
            <w:pPr>
              <w:jc w:val="left"/>
              <w:spacing w:before="0" w:after="0" w:line="230" w:lineRule="exact"/>
            </w:pPr>
            <w:r>
              <w:rPr>
                <w:rFonts w:ascii="宋体" w:hAnsi="宋体" w:eastAsia="宋体"/>
                <w:b w:val="0"/>
                <w:sz w:val="18"/>
              </w:rPr>
              <w:t xml:space="preserve">3.应符合现行标准《低压开关设备和控制设备》（GB/T14048）相应部分的要求。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照明开关箱（整套）</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开关箱</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断路器</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1.与电路图匹配。</w:t>
            </w:r>
            <w:r/>
          </w:p>
          <w:p>
            <w:pPr>
              <w:jc w:val="left"/>
              <w:spacing w:before="0" w:after="0" w:line="230" w:lineRule="exact"/>
              <w:rPr>
                <w:rFonts w:hint="eastAsia" w:ascii="宋体" w:hAnsi="宋体" w:eastAsia="宋体"/>
                <w:b w:val="0"/>
                <w:sz w:val="18"/>
                <w:lang w:eastAsia="zh-CN"/>
              </w:rPr>
            </w:pPr>
            <w:r>
              <w:rPr>
                <w:rFonts w:ascii="宋体" w:hAnsi="宋体" w:eastAsia="宋体"/>
                <w:b w:val="0"/>
                <w:sz w:val="18"/>
              </w:rPr>
              <w:t xml:space="preserve">2.断路器为透明塑壳，在分断时可见分断点，带漏电保护</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3.应符合现行标准《低压开关设备和控制设备》（GB/T14048）相应部分的要求。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导线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单股、多股等各种颜色与多种规格线径导线。</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接线端子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非快接型，各种规格。</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电缆</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与电路图匹配。</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接地装置及临时接地连接点</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应符合现行标准《建筑与市政工程施工现场临时用电安全技术标准》（JGJ/T46）的有关要求。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电动机</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380V，带启动装置。</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照明灯具</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220V</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接线工具，包括但不限于：剥线钳、老虎钳、尖嘴钳、工具刀、一字螺丝刀、十字螺丝刀、千分尺、绝缘胶布等</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both"/>
              <w:spacing w:after="0" w:line="240" w:lineRule="auto"/>
              <w:rPr>
                <w:rFonts w:hint="default" w:eastAsia="宋体"/>
                <w:lang w:val="en-US" w:eastAsia="zh-CN"/>
              </w:rPr>
            </w:pPr>
            <w:r>
              <w:rPr>
                <w:rFonts w:hint="eastAsia"/>
                <w:lang w:val="en-US" w:eastAsia="zh-CN"/>
              </w:rPr>
              <w:t xml:space="preserve">干扰项设备设施</w:t>
            </w:r>
            <w:r/>
          </w:p>
        </w:tc>
        <w:tc>
          <w:tcPr>
            <w:tcW w:w="1910"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总配电箱分断路</w:t>
            </w:r>
            <w:r>
              <w:rPr>
                <w:rFonts w:hint="eastAsia"/>
                <w:b w:val="0"/>
                <w:sz w:val="18"/>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eastAsia="宋体"/>
                <w:lang w:eastAsia="zh-CN"/>
              </w:rPr>
            </w:pPr>
            <w:r>
              <w:rPr>
                <w:rFonts w:ascii="宋体" w:hAnsi="宋体" w:eastAsia="宋体"/>
                <w:b w:val="0"/>
                <w:sz w:val="18"/>
              </w:rPr>
              <w:t xml:space="preserve">与电路图不匹配，不带漏电保护</w:t>
            </w:r>
            <w:r>
              <w:rPr>
                <w:rFonts w:hint="eastAsia"/>
                <w:b w:val="0"/>
                <w:sz w:val="18"/>
                <w:lang w:eastAsia="zh-CN"/>
              </w:rPr>
              <w:t xml:space="preserve">。</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分配电箱分断路</w:t>
            </w:r>
            <w:r>
              <w:rPr>
                <w:rFonts w:hint="eastAsia"/>
                <w:b w:val="0"/>
                <w:sz w:val="18"/>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eastAsia="宋体"/>
                <w:lang w:eastAsia="zh-CN"/>
              </w:rPr>
            </w:pPr>
            <w:r>
              <w:rPr>
                <w:rFonts w:ascii="宋体" w:hAnsi="宋体" w:eastAsia="宋体"/>
                <w:b w:val="0"/>
                <w:sz w:val="18"/>
              </w:rPr>
              <w:t xml:space="preserve">与电路图不匹配</w:t>
            </w:r>
            <w:r>
              <w:rPr>
                <w:rFonts w:hint="eastAsia"/>
                <w:b w:val="0"/>
                <w:sz w:val="18"/>
                <w:lang w:eastAsia="zh-CN"/>
              </w:rPr>
              <w:t xml:space="preserve">。</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动力开关箱断路</w:t>
            </w:r>
            <w:r>
              <w:rPr>
                <w:rFonts w:hint="eastAsia"/>
                <w:b w:val="0"/>
                <w:sz w:val="18"/>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eastAsia="宋体"/>
                <w:lang w:eastAsia="zh-CN"/>
              </w:rPr>
            </w:pPr>
            <w:r>
              <w:rPr>
                <w:rFonts w:ascii="宋体" w:hAnsi="宋体" w:eastAsia="宋体"/>
                <w:b w:val="0"/>
                <w:sz w:val="18"/>
              </w:rPr>
              <w:t xml:space="preserve">与电路图不匹配，不带漏电保护</w:t>
            </w:r>
            <w:r>
              <w:rPr>
                <w:rFonts w:hint="eastAsia"/>
                <w:b w:val="0"/>
                <w:sz w:val="18"/>
                <w:lang w:eastAsia="zh-CN"/>
              </w:rPr>
              <w:t xml:space="preserve">。</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照明开关箱断路</w:t>
            </w:r>
            <w:r>
              <w:rPr>
                <w:rFonts w:hint="eastAsia"/>
                <w:b w:val="0"/>
                <w:sz w:val="18"/>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eastAsia="宋体"/>
                <w:lang w:eastAsia="zh-CN"/>
              </w:rPr>
            </w:pPr>
            <w:r>
              <w:rPr>
                <w:rFonts w:ascii="宋体" w:hAnsi="宋体" w:eastAsia="宋体"/>
                <w:b w:val="0"/>
                <w:sz w:val="18"/>
              </w:rPr>
              <w:t xml:space="preserve">与电路图不匹配，不带漏电保护</w:t>
            </w:r>
            <w:r>
              <w:rPr>
                <w:rFonts w:hint="eastAsia"/>
                <w:b w:val="0"/>
                <w:sz w:val="18"/>
                <w:lang w:eastAsia="zh-CN"/>
              </w:rPr>
              <w:t xml:space="preserve">。</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1.作业区域满铺。</w:t>
            </w:r>
            <w:r/>
          </w:p>
          <w:p>
            <w:pPr>
              <w:jc w:val="left"/>
              <w:spacing w:before="0" w:after="0" w:line="230" w:lineRule="exact"/>
            </w:pPr>
            <w:r>
              <w:rPr>
                <w:rFonts w:ascii="宋体" w:hAnsi="宋体" w:eastAsia="宋体"/>
                <w:b w:val="0"/>
                <w:sz w:val="18"/>
              </w:rPr>
              <w:t xml:space="preserve">2.应符合现行标准《带电作业用绝缘垫》（DL/T 853）的有关要求。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bl>
    <w:p>
      <w:pPr>
        <w:jc w:val="center"/>
        <w:spacing w:after="40"/>
      </w:pPr>
      <w:r/>
      <w:r/>
    </w:p>
    <w:p>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r>
      <w:r/>
    </w:p>
    <w:p>
      <w:pPr>
        <w:pStyle w:val="771"/>
        <w:numPr>
          <w:ilvl w:val="0"/>
          <w:numId w:val="4"/>
        </w:numPr>
        <w:pageBreakBefore w:val="0"/>
        <w:spacing w:line="360" w:lineRule="auto"/>
        <w:widowControl w:val="off"/>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高压电工作业</w:t>
      </w:r>
      <w:r/>
    </w:p>
    <w:p>
      <w:pPr>
        <w:ind w:firstLine="2871"/>
        <w:jc w:val="center"/>
        <w:rPr>
          <w:rFonts w:hint="eastAsia" w:ascii="宋体" w:hAnsi="宋体" w:eastAsia="宋体" w:cs="宋体"/>
          <w:b w:val="0"/>
          <w:bCs w:val="0"/>
          <w:color w:val="auto"/>
          <w:sz w:val="21"/>
          <w:szCs w:val="21"/>
        </w:rPr>
        <w:outlineLvl w:val="9"/>
      </w:pPr>
      <w:r>
        <w:rPr>
          <w:rFonts w:hint="eastAsia" w:ascii="宋体" w:hAnsi="宋体" w:eastAsia="宋体" w:cs="宋体"/>
          <w:b/>
          <w:bCs/>
          <w:color w:val="auto"/>
          <w:sz w:val="22"/>
          <w:szCs w:val="22"/>
        </w:rPr>
        <w:t xml:space="preserve">表</w:t>
      </w: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  高压电工作业实际操作考场考位主要设备配备表</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1781"/>
        <w:gridCol w:w="2697"/>
        <w:gridCol w:w="854"/>
        <w:gridCol w:w="1781"/>
      </w:tblGrid>
      <w:tr>
        <w:trPr>
          <w:jc w:val="center"/>
        </w:trPr>
        <w:tc>
          <w:tcPr>
            <w:tcW w:w="902" w:type="dxa"/>
            <w:vAlign w:val="center"/>
            <w:vMerge w:val="restart"/>
            <w:textDirection w:val="lrTb"/>
            <w:noWrap w:val="false"/>
          </w:tcPr>
          <w:p>
            <w:pPr>
              <w:jc w:val="center"/>
              <w:spacing w:before="0" w:after="0" w:line="230" w:lineRule="exact"/>
            </w:pPr>
            <w:r>
              <w:rPr>
                <w:rFonts w:ascii="黑体" w:hAnsi="黑体" w:eastAsia="黑体"/>
                <w:b/>
                <w:sz w:val="18"/>
              </w:rPr>
              <w:t xml:space="preserve">考位编号</w:t>
            </w:r>
            <w:r/>
          </w:p>
        </w:tc>
        <w:tc>
          <w:tcPr>
            <w:tcW w:w="1041" w:type="dxa"/>
            <w:vAlign w:val="center"/>
            <w:vMerge w:val="restart"/>
            <w:textDirection w:val="lrTb"/>
            <w:noWrap w:val="false"/>
          </w:tcPr>
          <w:p>
            <w:pPr>
              <w:jc w:val="center"/>
              <w:spacing w:before="0" w:after="0" w:line="230" w:lineRule="exact"/>
            </w:pPr>
            <w:r>
              <w:rPr>
                <w:rFonts w:ascii="黑体" w:hAnsi="黑体" w:eastAsia="黑体"/>
                <w:b/>
                <w:sz w:val="18"/>
              </w:rPr>
              <w:t xml:space="preserve">考位名称</w:t>
            </w:r>
            <w:r/>
          </w:p>
        </w:tc>
        <w:tc>
          <w:tcPr>
            <w:tcW w:w="960" w:type="dxa"/>
            <w:vAlign w:val="center"/>
            <w:vMerge w:val="restart"/>
            <w:textDirection w:val="lrTb"/>
            <w:noWrap w:val="false"/>
          </w:tcPr>
          <w:p>
            <w:pPr>
              <w:jc w:val="center"/>
              <w:spacing w:before="0" w:after="0" w:line="230" w:lineRule="exact"/>
            </w:pPr>
            <w:r>
              <w:rPr>
                <w:rFonts w:ascii="黑体" w:hAnsi="黑体" w:eastAsia="黑体"/>
                <w:b/>
                <w:sz w:val="18"/>
              </w:rPr>
              <w:t xml:space="preserve">考位面积</w:t>
            </w:r>
            <w:r/>
          </w:p>
        </w:tc>
        <w:tc>
          <w:tcPr>
            <w:gridSpan w:val="5"/>
            <w:tcW w:w="8557" w:type="dxa"/>
            <w:vAlign w:val="center"/>
            <w:textDirection w:val="lrTb"/>
            <w:noWrap w:val="false"/>
          </w:tcPr>
          <w:p>
            <w:pPr>
              <w:jc w:val="center"/>
              <w:spacing w:before="0" w:after="0" w:line="230" w:lineRule="exact"/>
            </w:pPr>
            <w:r>
              <w:rPr>
                <w:rFonts w:ascii="黑体" w:hAnsi="黑体" w:eastAsia="黑体"/>
                <w:b/>
                <w:sz w:val="18"/>
              </w:rPr>
              <w:t xml:space="preserve">考位设备设施要求</w:t>
            </w:r>
            <w:r/>
          </w:p>
        </w:tc>
        <w:tc>
          <w:tcPr>
            <w:tcW w:w="1781" w:type="dxa"/>
            <w:vAlign w:val="center"/>
            <w:vMerge w:val="restart"/>
            <w:textDirection w:val="lrTb"/>
            <w:noWrap w:val="false"/>
          </w:tcPr>
          <w:p>
            <w:pPr>
              <w:jc w:val="center"/>
              <w:spacing w:before="0" w:after="0" w:line="230" w:lineRule="exact"/>
            </w:pPr>
            <w:r>
              <w:rPr>
                <w:rFonts w:ascii="黑体" w:hAnsi="黑体" w:eastAsia="黑体"/>
                <w:b/>
                <w:sz w:val="18"/>
              </w:rPr>
              <w:t xml:space="preserve">考位布置要求</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center"/>
              <w:spacing w:before="0" w:after="0" w:line="230" w:lineRule="exact"/>
            </w:pPr>
            <w:r>
              <w:rPr>
                <w:rFonts w:ascii="黑体" w:hAnsi="黑体" w:eastAsia="黑体"/>
                <w:b/>
                <w:sz w:val="18"/>
              </w:rPr>
              <w:t xml:space="preserve">设备/设施/器材</w:t>
            </w:r>
            <w:r/>
          </w:p>
        </w:tc>
        <w:tc>
          <w:tcPr>
            <w:gridSpan w:val="2"/>
            <w:tcW w:w="4478" w:type="dxa"/>
            <w:vAlign w:val="center"/>
            <w:textDirection w:val="lrTb"/>
            <w:noWrap w:val="false"/>
          </w:tcPr>
          <w:p>
            <w:pPr>
              <w:jc w:val="center"/>
              <w:spacing w:before="0" w:after="0" w:line="230" w:lineRule="exact"/>
            </w:pPr>
            <w:r>
              <w:rPr>
                <w:rFonts w:ascii="黑体" w:hAnsi="黑体" w:eastAsia="黑体"/>
                <w:b/>
                <w:sz w:val="18"/>
              </w:rPr>
              <w:t xml:space="preserve">规格/要求</w:t>
            </w:r>
            <w:r/>
          </w:p>
        </w:tc>
        <w:tc>
          <w:tcPr>
            <w:tcW w:w="854" w:type="dxa"/>
            <w:vAlign w:val="center"/>
            <w:textDirection w:val="lrTb"/>
            <w:noWrap w:val="false"/>
          </w:tcPr>
          <w:p>
            <w:pPr>
              <w:jc w:val="center"/>
              <w:spacing w:before="0" w:after="0" w:line="230" w:lineRule="exact"/>
            </w:pPr>
            <w:r>
              <w:rPr>
                <w:rFonts w:ascii="黑体" w:hAnsi="黑体" w:eastAsia="黑体"/>
                <w:b/>
                <w:sz w:val="18"/>
              </w:rPr>
              <w:t xml:space="preserve">数量</w:t>
            </w:r>
            <w:r/>
          </w:p>
        </w:tc>
        <w:tc>
          <w:tcPr>
            <w:tcW w:w="1781" w:type="dxa"/>
            <w:vMerge w:val="continue"/>
            <w:textDirection w:val="lrTb"/>
            <w:noWrap w:val="false"/>
          </w:tcPr>
          <w:p>
            <w:pPr>
              <w:spacing w:after="0" w:line="240" w:lineRule="auto"/>
            </w:pPr>
            <w:r/>
            <w:r/>
          </w:p>
        </w:tc>
      </w:tr>
      <w:tr>
        <w:trPr>
          <w:jc w:val="center"/>
        </w:trPr>
        <w:tc>
          <w:tcPr>
            <w:gridSpan w:val="9"/>
            <w:tcW w:w="13241" w:type="dxa"/>
            <w:vAlign w:val="center"/>
            <w:textDirection w:val="lrTb"/>
            <w:noWrap w:val="false"/>
          </w:tcPr>
          <w:p>
            <w:pPr>
              <w:jc w:val="left"/>
              <w:spacing w:before="0" w:after="0" w:line="230" w:lineRule="exact"/>
            </w:pPr>
            <w:r>
              <w:rPr>
                <w:rFonts w:ascii="黑体" w:hAnsi="黑体" w:eastAsia="黑体"/>
                <w:b/>
                <w:sz w:val="20"/>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K11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电力安全工器具与电工仪器仪表考位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≥10</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高压验电器</w:t>
            </w:r>
            <w:r/>
          </w:p>
        </w:tc>
        <w:tc>
          <w:tcPr>
            <w:gridSpan w:val="2"/>
            <w:tcW w:w="4478" w:type="dxa"/>
            <w:vAlign w:val="center"/>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1.额定电压：10kV；伸缩型</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2.应符合现行标准《电容型验电器》</w:t>
            </w:r>
            <w:r>
              <w:rPr>
                <w:rFonts w:hint="eastAsia" w:ascii="宋体" w:hAnsi="宋体" w:eastAsia="宋体"/>
                <w:b w:val="0"/>
                <w:sz w:val="18"/>
                <w:lang w:val="en-US" w:eastAsia="zh-CN"/>
              </w:rPr>
              <w:t xml:space="preserve">(</w:t>
            </w:r>
            <w:r>
              <w:rPr>
                <w:rFonts w:hint="eastAsia" w:ascii="宋体" w:hAnsi="宋体" w:eastAsia="宋体"/>
                <w:b w:val="0"/>
                <w:sz w:val="18"/>
              </w:rPr>
              <w:t xml:space="preserve">DL/T740</w:t>
            </w:r>
            <w:r>
              <w:rPr>
                <w:rFonts w:ascii="宋体" w:hAnsi="宋体" w:eastAsia="宋体"/>
                <w:b w:val="0"/>
                <w:sz w:val="18"/>
              </w:rPr>
              <w:t xml:space="preserve">）的有关要求。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1个</w:t>
            </w:r>
            <w:r/>
          </w:p>
        </w:tc>
        <w:tc>
          <w:tcPr>
            <w:tcW w:w="1781" w:type="dxa"/>
            <w:vAlign w:val="center"/>
            <w:vMerge w:val="restart"/>
            <w:textDirection w:val="lrTb"/>
            <w:noWrap w:val="false"/>
          </w:tcPr>
          <w:p>
            <w:pPr>
              <w:numPr>
                <w:ilvl w:val="0"/>
                <w:numId w:val="0"/>
              </w:numPr>
              <w:jc w:val="left"/>
              <w:spacing w:before="0" w:after="0" w:line="230" w:lineRule="exact"/>
              <w:rPr>
                <w:rFonts w:ascii="宋体" w:hAnsi="宋体" w:eastAsia="宋体"/>
                <w:b w:val="0"/>
                <w:sz w:val="18"/>
              </w:rPr>
            </w:pPr>
            <w:r>
              <w:rPr>
                <w:rFonts w:hint="eastAsia"/>
                <w:b w:val="0"/>
                <w:sz w:val="18"/>
                <w:lang w:val="en-US" w:eastAsia="zh-CN"/>
              </w:rPr>
              <w:t xml:space="preserve">1.</w:t>
            </w:r>
            <w:r>
              <w:rPr>
                <w:rFonts w:ascii="宋体" w:hAnsi="宋体" w:eastAsia="宋体"/>
                <w:b w:val="0"/>
                <w:sz w:val="18"/>
              </w:rPr>
              <w:t xml:space="preserve">考试前应设置不少于2个干扰项设备设施，每个干扰项设备设施应为其规格/要求中的一种。</w:t>
            </w:r>
            <w:r/>
          </w:p>
          <w:p>
            <w:pPr>
              <w:numPr>
                <w:ilvl w:val="0"/>
                <w:numId w:val="0"/>
              </w:numPr>
              <w:jc w:val="left"/>
              <w:spacing w:before="0" w:after="0" w:line="230" w:lineRule="exact"/>
            </w:pPr>
            <w:r>
              <w:rPr>
                <w:rFonts w:ascii="宋体" w:hAnsi="宋体" w:eastAsia="宋体"/>
                <w:b w:val="0"/>
                <w:sz w:val="18"/>
              </w:rPr>
              <w:t xml:space="preserve">2.考核登高用具前，考生必须将速差自控器（防坠器）与安全带连接。</w:t>
            </w:r>
            <w:r/>
          </w:p>
          <w:p>
            <w:pPr>
              <w:numPr>
                <w:ilvl w:val="0"/>
                <w:numId w:val="0"/>
              </w:numPr>
              <w:jc w:val="left"/>
              <w:spacing w:before="0" w:after="0" w:line="230" w:lineRule="exact"/>
            </w:pPr>
            <w:r>
              <w:rPr>
                <w:rFonts w:ascii="宋体" w:hAnsi="宋体" w:eastAsia="宋体"/>
                <w:b w:val="0"/>
                <w:sz w:val="18"/>
              </w:rPr>
              <w:t xml:space="preserve">3.考生在本考位选择安全工器具、仪器仪表进行后续考试的，考位中各种设备/设施/器材的数量应按照实际情况配备。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高压放电棒</w:t>
            </w:r>
            <w:r/>
          </w:p>
        </w:tc>
        <w:tc>
          <w:tcPr>
            <w:gridSpan w:val="2"/>
            <w:tcW w:w="4478" w:type="dxa"/>
            <w:vAlign w:val="center"/>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1.适用电压：10kV；带接地线夹</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2.应符合现行标准《便携式接地和接地短路装置》（DL/T879）、《带电作业用空心绝缘管、泡沫填充绝缘管和实心绝缘棒》（GB13398）的有关要求。</w:t>
            </w:r>
            <w:r/>
          </w:p>
        </w:tc>
        <w:tc>
          <w:tcPr>
            <w:tcW w:w="854" w:type="dxa"/>
            <w:vAlign w:val="center"/>
            <w:textDirection w:val="lrTb"/>
            <w:noWrap w:val="false"/>
          </w:tcPr>
          <w:p>
            <w:pPr>
              <w:jc w:val="center"/>
              <w:spacing w:before="0" w:after="0" w:line="230" w:lineRule="exact"/>
            </w:pPr>
            <w:r>
              <w:rPr>
                <w:rFonts w:hint="eastAsia"/>
                <w:lang w:val="en-US" w:eastAsia="zh-CN"/>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高压验电信号发生器</w:t>
            </w:r>
            <w:r/>
          </w:p>
        </w:tc>
        <w:tc>
          <w:tcPr>
            <w:gridSpan w:val="2"/>
            <w:tcW w:w="4478" w:type="dxa"/>
            <w:vAlign w:val="center"/>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1.适用验电器电压等级：10kV</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2.应符合现行标准《合成信号发生器通用规范》（GB/T12114）的有关要求。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携带型高压短路接地线</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1.适用电压：10kV；接地棒长度：1m。</w:t>
            </w:r>
            <w:r/>
          </w:p>
          <w:p>
            <w:pPr>
              <w:jc w:val="left"/>
              <w:spacing w:before="0" w:after="0" w:line="230" w:lineRule="exact"/>
            </w:pPr>
            <w:r>
              <w:rPr>
                <w:rFonts w:ascii="宋体" w:hAnsi="宋体" w:eastAsia="宋体"/>
                <w:b w:val="0"/>
                <w:sz w:val="18"/>
              </w:rPr>
              <w:t xml:space="preserve">2.应符合现行标准《便携式接地和接地短路装置》（DL/T879）、《带电作业用空心绝缘管、泡沫填充绝缘管和实心绝缘棒》（GB13398）的有关要求。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Height w:val="437"/>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vMerge w:val="restart"/>
            <w:textDirection w:val="lrTb"/>
            <w:noWrap w:val="false"/>
          </w:tcPr>
          <w:p>
            <w:pPr>
              <w:jc w:val="left"/>
              <w:spacing w:before="0" w:after="0" w:line="230" w:lineRule="exact"/>
            </w:pPr>
            <w:r>
              <w:rPr>
                <w:rFonts w:ascii="宋体" w:hAnsi="宋体" w:eastAsia="宋体"/>
                <w:b w:val="0"/>
                <w:sz w:val="18"/>
              </w:rPr>
              <w:t xml:space="preserve">绝缘操作杆</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带防雨罩</w:t>
            </w:r>
            <w:r/>
          </w:p>
        </w:tc>
        <w:tc>
          <w:tcPr>
            <w:tcW w:w="2697"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1.适用电压：10kV。</w:t>
            </w:r>
            <w:r/>
          </w:p>
          <w:p>
            <w:pPr>
              <w:jc w:val="left"/>
              <w:spacing w:before="0" w:after="0" w:line="230" w:lineRule="exact"/>
            </w:pPr>
            <w:r>
              <w:rPr>
                <w:rFonts w:ascii="宋体" w:hAnsi="宋体" w:eastAsia="宋体"/>
                <w:b w:val="0"/>
                <w:sz w:val="18"/>
              </w:rPr>
              <w:t xml:space="preserve">2.应符合现行标准《带电作业用空心绝缘管、泡沫填充绝缘管和实心绝缘棒》（GB13398）的有关要求。</w:t>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各1套</w:t>
            </w:r>
            <w:r/>
          </w:p>
        </w:tc>
        <w:tc>
          <w:tcPr>
            <w:tcW w:w="1781" w:type="dxa"/>
            <w:vMerge w:val="continue"/>
            <w:textDirection w:val="lrTb"/>
            <w:noWrap w:val="false"/>
          </w:tcPr>
          <w:p>
            <w:pPr>
              <w:spacing w:after="0" w:line="240" w:lineRule="auto"/>
            </w:pPr>
            <w:r/>
            <w:r/>
          </w:p>
        </w:tc>
      </w:tr>
      <w:tr>
        <w:trPr>
          <w:jc w:val="center"/>
          <w:trHeight w:val="130"/>
        </w:trPr>
        <w:tc>
          <w:tcPr>
            <w:tcW w:w="902" w:type="dxa"/>
            <w:vMerge w:val="continue"/>
            <w:textDirection w:val="lrTb"/>
            <w:noWrap w:val="false"/>
          </w:tcPr>
          <w:p>
            <w:pPr>
              <w:jc w:val="left"/>
              <w:spacing w:before="0" w:after="0" w:line="230" w:lineRule="exact"/>
            </w:pPr>
            <w:r/>
            <w:r/>
          </w:p>
        </w:tc>
        <w:tc>
          <w:tcPr>
            <w:tcW w:w="1041" w:type="dxa"/>
            <w:vMerge w:val="continue"/>
            <w:textDirection w:val="lrTb"/>
            <w:noWrap w:val="false"/>
          </w:tcPr>
          <w:p>
            <w:pPr>
              <w:jc w:val="left"/>
              <w:spacing w:before="0" w:after="0" w:line="230" w:lineRule="exact"/>
            </w:pPr>
            <w:r/>
            <w:r/>
          </w:p>
        </w:tc>
        <w:tc>
          <w:tcPr>
            <w:tcW w:w="960" w:type="dxa"/>
            <w:vMerge w:val="continue"/>
            <w:textDirection w:val="lrTb"/>
            <w:noWrap w:val="false"/>
          </w:tcPr>
          <w:p>
            <w:pPr>
              <w:jc w:val="left"/>
              <w:spacing w:before="0" w:after="0" w:line="230" w:lineRule="exact"/>
            </w:pPr>
            <w:r/>
            <w:r/>
          </w:p>
        </w:tc>
        <w:tc>
          <w:tcPr>
            <w:gridSpan w:val="2"/>
            <w:tcW w:w="3225" w:type="dxa"/>
            <w:vAlign w:val="center"/>
            <w:vMerge w:val="continue"/>
            <w:textDirection w:val="lrTb"/>
            <w:noWrap w:val="false"/>
          </w:tcPr>
          <w:p>
            <w:pPr>
              <w:jc w:val="left"/>
              <w:spacing w:before="0" w:after="0" w:line="230" w:lineRule="exact"/>
            </w:pPr>
            <w:r/>
            <w:r/>
          </w:p>
        </w:tc>
        <w:tc>
          <w:tcPr>
            <w:tcW w:w="1781"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不带防雨罩</w:t>
            </w:r>
            <w:r/>
          </w:p>
        </w:tc>
        <w:tc>
          <w:tcPr>
            <w:tcW w:w="2697"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78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绝缘夹钳</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1.适用电压：10kV；自锁式。</w:t>
            </w:r>
            <w:r/>
          </w:p>
          <w:p>
            <w:pPr>
              <w:jc w:val="left"/>
              <w:spacing w:before="0" w:after="0" w:line="230" w:lineRule="exact"/>
            </w:pPr>
            <w:r>
              <w:rPr>
                <w:rFonts w:ascii="宋体" w:hAnsi="宋体" w:eastAsia="宋体"/>
                <w:b w:val="0"/>
                <w:sz w:val="18"/>
              </w:rPr>
              <w:t xml:space="preserve">2.应符合现行标准《带电作业用空心绝缘管、泡沫填充绝缘管和实心绝缘棒》（GB13398）的有关要求。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1把</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低压验电器</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1.额定电压：0.4kV；伸缩型。</w:t>
            </w:r>
            <w:r/>
          </w:p>
          <w:p>
            <w:pPr>
              <w:jc w:val="left"/>
              <w:spacing w:before="0" w:after="0" w:line="230" w:lineRule="exact"/>
            </w:pPr>
            <w:r>
              <w:rPr>
                <w:rFonts w:ascii="宋体" w:hAnsi="宋体" w:eastAsia="宋体"/>
                <w:b w:val="0"/>
                <w:sz w:val="18"/>
              </w:rPr>
              <w:t xml:space="preserve">2.应符合现行标准《电容型验电器》（DL/T740）的有关要求。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低压验电笔</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1.测量范围：500V及以下。</w:t>
            </w:r>
            <w:r/>
          </w:p>
          <w:p>
            <w:pPr>
              <w:jc w:val="left"/>
              <w:spacing w:before="0" w:after="0" w:line="230" w:lineRule="exact"/>
            </w:pPr>
            <w:r>
              <w:rPr>
                <w:rFonts w:ascii="宋体" w:hAnsi="宋体" w:eastAsia="宋体"/>
                <w:b w:val="0"/>
                <w:sz w:val="18"/>
              </w:rPr>
              <w:t xml:space="preserve">2.应符合现行标准《测量、控制和实验室用电气设备的安全要求第1部分：通用要求》（GB 4793.1）的有关要求。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携带型低压短路接地线</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1.适用电压：0.4kV；接地棒长度：0.5m。</w:t>
            </w:r>
            <w:r/>
          </w:p>
          <w:p>
            <w:pPr>
              <w:jc w:val="left"/>
              <w:spacing w:before="0" w:after="0" w:line="230" w:lineRule="exact"/>
            </w:pPr>
            <w:r>
              <w:rPr>
                <w:rFonts w:ascii="宋体" w:hAnsi="宋体" w:eastAsia="宋体"/>
                <w:b w:val="0"/>
                <w:sz w:val="18"/>
              </w:rPr>
              <w:t xml:space="preserve">2.应符合现行标准《便携式接地和接地短路装置》（DL/T879）、《带电作业用空心绝缘管、泡沫填充绝缘管和实心绝缘棒》（GB13398）的有关要求。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传递绳</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绝缘凳</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应符合现行标准《带电作业用绝缘硬梯》（GB/T17620）的有关要求。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绝缘梯</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应符合现行标准《带电作业用绝缘硬梯》（GB/T17620）的有关要求。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应符合现行标准《带电作业用绝缘垫》（DL/T853）的有关要求。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绝缘手套</w:t>
            </w:r>
            <w:r/>
          </w:p>
        </w:tc>
        <w:tc>
          <w:tcPr>
            <w:gridSpan w:val="2"/>
            <w:tcW w:w="4478" w:type="dxa"/>
            <w:vAlign w:val="center"/>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1.适用电压：≥10kV</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2.应符合现行标准《带电作业用绝缘手套》（GB/T17622）的有关要求。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绝缘靴</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1.电绝缘性能：≥10kV。</w:t>
            </w:r>
            <w:r/>
          </w:p>
          <w:p>
            <w:pPr>
              <w:jc w:val="left"/>
              <w:spacing w:before="0" w:after="0" w:line="230" w:lineRule="exact"/>
            </w:pPr>
            <w:r>
              <w:rPr>
                <w:rFonts w:ascii="宋体" w:hAnsi="宋体" w:eastAsia="宋体"/>
                <w:b w:val="0"/>
                <w:sz w:val="18"/>
              </w:rPr>
              <w:t xml:space="preserve">2.应符合现行标准《足部防护安全鞋》（GB21148）的有关要求。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绝缘鞋</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应符合现行标准《足部防护安全鞋》（GB21148）的有关要求。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应符合现行标准《头部防护安全帽》（GB2811）的有关要求。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eastAsia="宋体"/>
                <w:lang w:val="en-US" w:eastAsia="zh-CN"/>
              </w:rPr>
              <w:t xml:space="preserve">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防护眼镜</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应符合现行标准《眼面防护具通用技术规范》（GB14866）的有关要求。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安全绳</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应符合现行标准《坠落防护安全绳》（GB24543）的有关要求。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安全带</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围杆作业用安全带</w:t>
            </w:r>
            <w:r/>
          </w:p>
        </w:tc>
        <w:tc>
          <w:tcPr>
            <w:gridSpan w:val="2"/>
            <w:tcW w:w="4478" w:type="dxa"/>
            <w:vAlign w:val="center"/>
            <w:vMerge w:val="restart"/>
            <w:textDirection w:val="lrTb"/>
            <w:noWrap w:val="false"/>
          </w:tcPr>
          <w:p>
            <w:pPr>
              <w:jc w:val="left"/>
              <w:spacing w:before="0" w:after="0" w:line="230" w:lineRule="exact"/>
            </w:pPr>
            <w:r>
              <w:rPr>
                <w:rFonts w:ascii="宋体" w:hAnsi="宋体" w:eastAsia="宋体"/>
                <w:b w:val="0"/>
                <w:sz w:val="18"/>
              </w:rPr>
              <w:t xml:space="preserve">应符合现行标准《坠落防护安全带》（GB6095）的有关要求。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区域限制用安全带</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坠落悬挂用安全带</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脚扣</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应符合现行标准《环形混凝土电杆用脚扣》（DL/T1642）或《坠落防护登杆脚扣》（AQ6109）的有关要求。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登高板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应符合现行标准《电杆用登高板》（DL/T1643）的有关要求。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电杆</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1.高度不低于4m。</w:t>
            </w:r>
            <w:r/>
          </w:p>
          <w:p>
            <w:pPr>
              <w:jc w:val="left"/>
              <w:spacing w:before="0" w:after="0" w:line="230" w:lineRule="exact"/>
            </w:pPr>
            <w:r>
              <w:rPr>
                <w:rFonts w:ascii="宋体" w:hAnsi="宋体" w:eastAsia="宋体"/>
                <w:b w:val="0"/>
                <w:sz w:val="18"/>
              </w:rPr>
              <w:t xml:space="preserve">2.应符合现行标准《环形混凝土电杆》（GB/T4623）的有关要求。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电工通用工具</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Height w:val="130"/>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vMerge w:val="restart"/>
            <w:textDirection w:val="lrTb"/>
            <w:noWrap w:val="false"/>
          </w:tcPr>
          <w:p>
            <w:pPr>
              <w:jc w:val="left"/>
              <w:spacing w:before="0" w:after="0" w:line="230" w:lineRule="exact"/>
            </w:pPr>
            <w:r>
              <w:rPr>
                <w:rFonts w:ascii="宋体" w:hAnsi="宋体" w:eastAsia="宋体"/>
                <w:b w:val="0"/>
                <w:sz w:val="18"/>
              </w:rPr>
              <w:t xml:space="preserve">万用表</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数字式</w:t>
            </w:r>
            <w:r/>
          </w:p>
        </w:tc>
        <w:tc>
          <w:tcPr>
            <w:tcW w:w="2697" w:type="dxa"/>
            <w:vAlign w:val="center"/>
            <w:vMerge w:val="restart"/>
            <w:textDirection w:val="lrTb"/>
            <w:noWrap w:val="false"/>
          </w:tcPr>
          <w:p>
            <w:pPr>
              <w:jc w:val="left"/>
              <w:spacing w:before="0" w:after="0" w:line="230" w:lineRule="exact"/>
            </w:pPr>
            <w:r>
              <w:rPr>
                <w:rFonts w:ascii="宋体" w:hAnsi="宋体" w:eastAsia="宋体"/>
                <w:b w:val="0"/>
                <w:sz w:val="18"/>
              </w:rPr>
              <w:t xml:space="preserve">应符合现行标准《国家电气设备安全技术规范》（GB19517）的有关要求，并符合电气设备相关的其他国家标准。</w:t>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Height w:val="130"/>
        </w:trPr>
        <w:tc>
          <w:tcPr>
            <w:tcW w:w="902" w:type="dxa"/>
            <w:vMerge w:val="continue"/>
            <w:textDirection w:val="lrTb"/>
            <w:noWrap w:val="false"/>
          </w:tcPr>
          <w:p>
            <w:pPr>
              <w:jc w:val="left"/>
              <w:spacing w:before="0" w:after="0" w:line="230" w:lineRule="exact"/>
            </w:pPr>
            <w:r/>
            <w:r/>
          </w:p>
        </w:tc>
        <w:tc>
          <w:tcPr>
            <w:tcW w:w="1041" w:type="dxa"/>
            <w:vMerge w:val="continue"/>
            <w:textDirection w:val="lrTb"/>
            <w:noWrap w:val="false"/>
          </w:tcPr>
          <w:p>
            <w:pPr>
              <w:jc w:val="left"/>
              <w:spacing w:before="0" w:after="0" w:line="230" w:lineRule="exact"/>
            </w:pPr>
            <w:r/>
            <w:r/>
          </w:p>
        </w:tc>
        <w:tc>
          <w:tcPr>
            <w:tcW w:w="960" w:type="dxa"/>
            <w:vMerge w:val="continue"/>
            <w:textDirection w:val="lrTb"/>
            <w:noWrap w:val="false"/>
          </w:tcPr>
          <w:p>
            <w:pPr>
              <w:jc w:val="left"/>
              <w:spacing w:before="0" w:after="0" w:line="230" w:lineRule="exact"/>
            </w:pPr>
            <w:r/>
            <w:r/>
          </w:p>
        </w:tc>
        <w:tc>
          <w:tcPr>
            <w:gridSpan w:val="2"/>
            <w:tcW w:w="3225" w:type="dxa"/>
            <w:vAlign w:val="center"/>
            <w:vMerge w:val="continue"/>
            <w:textDirection w:val="lrTb"/>
            <w:noWrap w:val="false"/>
          </w:tcPr>
          <w:p>
            <w:pPr>
              <w:jc w:val="left"/>
              <w:spacing w:before="0" w:after="0" w:line="230" w:lineRule="exact"/>
            </w:pPr>
            <w:r/>
            <w:r/>
          </w:p>
        </w:tc>
        <w:tc>
          <w:tcPr>
            <w:tcW w:w="1781"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指针式</w:t>
            </w:r>
            <w:r/>
          </w:p>
        </w:tc>
        <w:tc>
          <w:tcPr>
            <w:tcW w:w="2697"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vMerge w:val="restart"/>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钳形电流表</w:t>
            </w:r>
            <w:r/>
          </w:p>
        </w:tc>
        <w:tc>
          <w:tcPr>
            <w:tcW w:w="1781" w:type="dxa"/>
            <w:vAlign w:val="center"/>
            <w:textDirection w:val="lrTb"/>
            <w:noWrap w:val="false"/>
          </w:tcPr>
          <w:p>
            <w:pPr>
              <w:jc w:val="left"/>
              <w:spacing w:before="0" w:after="0" w:line="230" w:lineRule="exact"/>
            </w:pPr>
            <w:r>
              <w:rPr>
                <w:rFonts w:hint="eastAsia" w:ascii="宋体" w:hAnsi="宋体" w:eastAsia="宋体"/>
                <w:b w:val="0"/>
                <w:sz w:val="18"/>
              </w:rPr>
              <w:t xml:space="preserve">数字式AC/DC600V以下。</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Height w:val="86"/>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vMerge w:val="restart"/>
            <w:textDirection w:val="lrTb"/>
            <w:noWrap w:val="false"/>
          </w:tcPr>
          <w:p>
            <w:pPr>
              <w:jc w:val="left"/>
              <w:spacing w:before="0" w:after="0" w:line="230" w:lineRule="exact"/>
            </w:pPr>
            <w:r>
              <w:rPr>
                <w:rFonts w:ascii="宋体" w:hAnsi="宋体" w:eastAsia="宋体"/>
                <w:b w:val="0"/>
                <w:sz w:val="18"/>
              </w:rPr>
              <w:t xml:space="preserve">兆欧表</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500V指针式</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Height w:val="86"/>
        </w:trPr>
        <w:tc>
          <w:tcPr>
            <w:tcW w:w="902" w:type="dxa"/>
            <w:vMerge w:val="continue"/>
            <w:textDirection w:val="lrTb"/>
            <w:noWrap w:val="false"/>
          </w:tcPr>
          <w:p>
            <w:pPr>
              <w:jc w:val="left"/>
              <w:spacing w:before="0" w:after="0" w:line="230" w:lineRule="exact"/>
            </w:pPr>
            <w:r/>
            <w:r/>
          </w:p>
        </w:tc>
        <w:tc>
          <w:tcPr>
            <w:tcW w:w="1041" w:type="dxa"/>
            <w:vMerge w:val="continue"/>
            <w:textDirection w:val="lrTb"/>
            <w:noWrap w:val="false"/>
          </w:tcPr>
          <w:p>
            <w:pPr>
              <w:jc w:val="left"/>
              <w:spacing w:before="0" w:after="0" w:line="230" w:lineRule="exact"/>
            </w:pPr>
            <w:r/>
            <w:r/>
          </w:p>
        </w:tc>
        <w:tc>
          <w:tcPr>
            <w:tcW w:w="960" w:type="dxa"/>
            <w:vMerge w:val="continue"/>
            <w:textDirection w:val="lrTb"/>
            <w:noWrap w:val="false"/>
          </w:tcPr>
          <w:p>
            <w:pPr>
              <w:jc w:val="left"/>
              <w:spacing w:before="0" w:after="0" w:line="230" w:lineRule="exact"/>
            </w:pPr>
            <w:r/>
            <w:r/>
          </w:p>
        </w:tc>
        <w:tc>
          <w:tcPr>
            <w:gridSpan w:val="2"/>
            <w:tcW w:w="3225" w:type="dxa"/>
            <w:vAlign w:val="center"/>
            <w:vMerge w:val="continue"/>
            <w:textDirection w:val="lrTb"/>
            <w:noWrap w:val="false"/>
          </w:tcPr>
          <w:p>
            <w:pPr>
              <w:jc w:val="left"/>
              <w:spacing w:before="0" w:after="0" w:line="230" w:lineRule="exact"/>
            </w:pPr>
            <w:r/>
            <w:r/>
          </w:p>
        </w:tc>
        <w:tc>
          <w:tcPr>
            <w:tcW w:w="1781"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1000V指针式</w:t>
            </w:r>
            <w:r/>
          </w:p>
        </w:tc>
        <w:tc>
          <w:tcPr>
            <w:tcW w:w="2697"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vMerge w:val="restart"/>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r>
      <w:tr>
        <w:trPr>
          <w:jc w:val="center"/>
          <w:trHeight w:val="86"/>
        </w:trPr>
        <w:tc>
          <w:tcPr>
            <w:tcW w:w="902"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04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960"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gridSpan w:val="2"/>
            <w:tcW w:w="3225" w:type="dxa"/>
            <w:vAlign w:val="center"/>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1781"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2500V指针式</w:t>
            </w:r>
            <w:r/>
          </w:p>
        </w:tc>
        <w:tc>
          <w:tcPr>
            <w:tcW w:w="2697"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c>
          <w:tcPr>
            <w:tcW w:w="854" w:type="dxa"/>
            <w:vAlign w:val="center"/>
            <w:vMerge w:val="restart"/>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1个</w:t>
            </w:r>
            <w:r/>
          </w:p>
        </w:tc>
        <w:tc>
          <w:tcPr>
            <w:tcW w:w="1781" w:type="dxa"/>
            <w:vMerge w:val="continue"/>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绝缘电阻测试仪</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数字式</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接地电阻测试仪</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数字式或指针式或钳形表</w:t>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直流单臂电桥</w:t>
            </w:r>
            <w:r/>
          </w:p>
        </w:tc>
        <w:tc>
          <w:tcPr>
            <w:tcW w:w="1781" w:type="dxa"/>
            <w:vAlign w:val="center"/>
            <w:textDirection w:val="lrTb"/>
            <w:noWrap w:val="false"/>
          </w:tcPr>
          <w:p>
            <w:pPr>
              <w:jc w:val="left"/>
              <w:spacing w:before="0" w:after="0" w:line="230" w:lineRule="exact"/>
            </w:pPr>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直流电阻测试仪</w:t>
            </w:r>
            <w:r/>
          </w:p>
        </w:tc>
        <w:tc>
          <w:tcPr>
            <w:tcW w:w="1781" w:type="dxa"/>
            <w:vAlign w:val="center"/>
            <w:textDirection w:val="lrTb"/>
            <w:noWrap w:val="false"/>
          </w:tcPr>
          <w:p>
            <w:pPr>
              <w:jc w:val="left"/>
              <w:spacing w:before="0" w:after="0" w:line="230" w:lineRule="exact"/>
            </w:pPr>
            <w:r/>
            <w:r/>
          </w:p>
        </w:tc>
        <w:tc>
          <w:tcPr>
            <w:tcW w:w="2697" w:type="dxa"/>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电阻箱</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最小步进不大于1</w:t>
            </w:r>
            <w:r>
              <w:rPr>
                <w:rFonts w:hint="eastAsia"/>
                <w:b w:val="0"/>
                <w:sz w:val="18"/>
                <w:lang w:val="en-US" w:eastAsia="zh-CN"/>
              </w:rPr>
              <w:t xml:space="preserve">Ω</w:t>
            </w:r>
            <w:r>
              <w:rPr>
                <w:rFonts w:ascii="宋体" w:hAnsi="宋体" w:eastAsia="宋体"/>
                <w:b w:val="0"/>
                <w:sz w:val="18"/>
              </w:rPr>
              <w:t xml:space="preserve">，量程不小于99k</w:t>
            </w:r>
            <w:r>
              <w:rPr>
                <w:rFonts w:hint="eastAsia"/>
                <w:b w:val="0"/>
                <w:sz w:val="18"/>
                <w:lang w:val="en-US" w:eastAsia="zh-CN"/>
              </w:rPr>
              <w:t xml:space="preserve">Ω</w:t>
            </w:r>
            <w:r>
              <w:rPr>
                <w:rFonts w:ascii="宋体" w:hAnsi="宋体" w:eastAsia="宋体"/>
                <w:b w:val="0"/>
                <w:sz w:val="18"/>
              </w:rPr>
              <w:t xml:space="preserve">。</w:t>
            </w:r>
            <w:r/>
          </w:p>
        </w:tc>
        <w:tc>
          <w:tcPr>
            <w:tcW w:w="2697" w:type="dxa"/>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仪器仪表测试台</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1.定制，能够模拟各类仪器仪表的电气物理量。</w:t>
            </w:r>
            <w:r/>
          </w:p>
          <w:p>
            <w:pPr>
              <w:jc w:val="left"/>
              <w:spacing w:before="0" w:after="0" w:line="230" w:lineRule="exact"/>
              <w:rPr>
                <w:rFonts w:ascii="宋体" w:hAnsi="宋体" w:eastAsia="宋体"/>
                <w:b w:val="0"/>
                <w:sz w:val="18"/>
              </w:rPr>
            </w:pPr>
            <w:r>
              <w:rPr>
                <w:rFonts w:ascii="宋体" w:hAnsi="宋体" w:eastAsia="宋体"/>
                <w:b w:val="0"/>
                <w:sz w:val="18"/>
              </w:rPr>
              <w:t xml:space="preserve">2.应使用安全电压，或有短路保护、剩余电流动作保护和接地保护。</w:t>
            </w:r>
            <w:r/>
          </w:p>
          <w:p>
            <w:pPr>
              <w:jc w:val="left"/>
              <w:spacing w:before="0" w:after="0" w:line="230" w:lineRule="exact"/>
            </w:pPr>
            <w:r>
              <w:rPr>
                <w:rFonts w:ascii="宋体" w:hAnsi="宋体" w:eastAsia="宋体"/>
                <w:b w:val="0"/>
                <w:sz w:val="18"/>
              </w:rPr>
              <w:t xml:space="preserve">3.应符合现行标准《通用用电设备配电设计规范》（GB50055）、《低压配电设计规范》（GB50054）的有关要求。</w:t>
            </w:r>
            <w:r/>
          </w:p>
        </w:tc>
        <w:tc>
          <w:tcPr>
            <w:tcW w:w="854" w:type="dxa"/>
            <w:vAlign w:val="center"/>
            <w:textDirection w:val="lrTb"/>
            <w:noWrap w:val="false"/>
          </w:tcPr>
          <w:p>
            <w:pPr>
              <w:jc w:val="center"/>
              <w:spacing w:before="0" w:after="0" w:line="230" w:lineRule="exact"/>
            </w:pPr>
            <w:r>
              <w:rPr>
                <w:rFonts w:ascii="宋体" w:hAnsi="宋体" w:eastAsia="宋体" w:cs="宋体"/>
                <w:spacing w:val="-14"/>
              </w:rPr>
              <w:t xml:space="preserve">1</w:t>
            </w:r>
            <w:r>
              <w:rPr>
                <w:spacing w:val="-14"/>
              </w:rPr>
              <w:t xml:space="preserve">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left"/>
              <w:spacing w:before="0" w:after="0" w:line="230" w:lineRule="exact"/>
              <w:rPr>
                <w:rFonts w:hint="default" w:eastAsia="宋体"/>
                <w:lang w:val="en-US" w:eastAsia="zh-CN"/>
              </w:rPr>
            </w:pPr>
            <w:r>
              <w:rPr>
                <w:rFonts w:hint="eastAsia" w:ascii="宋体" w:hAnsi="宋体" w:eastAsia="宋体"/>
                <w:b w:val="0"/>
                <w:sz w:val="18"/>
                <w:lang w:val="en-US" w:eastAsia="zh-CN"/>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高压验电器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高压放电棒</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缺少附件的。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高压验电信号发生器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携带型高压短路接地线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缺少附件的。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绝缘操作杆</w:t>
            </w:r>
            <w:r/>
          </w:p>
        </w:tc>
        <w:tc>
          <w:tcPr>
            <w:tcW w:w="1781" w:type="dxa"/>
            <w:vAlign w:val="center"/>
            <w:textDirection w:val="lrTb"/>
            <w:noWrap w:val="false"/>
          </w:tcPr>
          <w:p>
            <w:pPr>
              <w:jc w:val="left"/>
              <w:spacing w:before="0" w:after="0" w:line="230" w:lineRule="exact"/>
            </w:pPr>
            <w:r>
              <w:rPr>
                <w:rFonts w:ascii="宋体" w:hAnsi="宋体" w:eastAsia="宋体"/>
                <w:b w:val="0"/>
                <w:sz w:val="18"/>
              </w:rPr>
              <w:t xml:space="preserve">带防雨罩不带防雨罩</w:t>
            </w:r>
            <w:r/>
          </w:p>
        </w:tc>
        <w:tc>
          <w:tcPr>
            <w:tcW w:w="2697"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绝缘夹钳</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1把</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低压验电器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低压验电笔</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携带型低压短路接地线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缺少附件的。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安全带</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脚扣</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登高板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无法正常使用的。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绝缘手套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防护等级不足的、过期的、损坏的。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绝缘靴</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防护等级不足的、过期的、损坏的。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绝缘鞋</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过期的、损坏的。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万用表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钳形电流表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兆欧表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绝缘电阻测试仪</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接地电阻测试仪</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直流单臂电桥</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直流电阻测试仪</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安全工器具存放柜</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仪器仪表摆放架</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速差自控器（防坠器）</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1.电杆上方安装速差自控器（防坠器），速差自控器（防坠器）的安全绳长度不超过电杆高度，保证坠落发生后最小安全距离应大于1m。</w:t>
            </w:r>
            <w:r/>
          </w:p>
          <w:p>
            <w:pPr>
              <w:jc w:val="left"/>
              <w:spacing w:before="0" w:after="0" w:line="230" w:lineRule="exact"/>
            </w:pPr>
            <w:r>
              <w:rPr>
                <w:rFonts w:ascii="宋体" w:hAnsi="宋体" w:eastAsia="宋体"/>
                <w:b w:val="0"/>
                <w:sz w:val="18"/>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Height w:val="424"/>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安全防护垫</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厚度不低于30cm。</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1.仪器仪表测试台作业区域满铺2.应符合现行标准《带电作业用绝缘垫》（DL/T853）的有关要求。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9"/>
            <w:tcW w:w="13241" w:type="dxa"/>
            <w:vAlign w:val="center"/>
            <w:textDirection w:val="lrTb"/>
            <w:noWrap w:val="false"/>
          </w:tcPr>
          <w:p>
            <w:pPr>
              <w:jc w:val="left"/>
              <w:spacing w:before="0" w:after="0" w:line="230" w:lineRule="exact"/>
            </w:pPr>
            <w:r>
              <w:rPr>
                <w:rFonts w:ascii="黑体" w:hAnsi="黑体" w:eastAsia="黑体"/>
                <w:b/>
                <w:sz w:val="20"/>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K21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作业现场安全隐患排除考位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≥5m²</w:t>
            </w:r>
            <w:r/>
          </w:p>
        </w:tc>
        <w:tc>
          <w:tcPr>
            <w:gridSpan w:val="2"/>
            <w:tcW w:w="3225"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高低压电工作业现场安全风险、安全隐患、职业危害的场</w:t>
            </w:r>
            <w:r>
              <w:rPr>
                <w:rFonts w:hint="eastAsia"/>
                <w:b w:val="0"/>
                <w:sz w:val="18"/>
                <w:lang w:val="en-US" w:eastAsia="zh-CN"/>
              </w:rPr>
              <w:t xml:space="preserve">景</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电力安全工器具</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9"/>
            <w:tcW w:w="13241" w:type="dxa"/>
            <w:vAlign w:val="center"/>
            <w:textDirection w:val="lrTb"/>
            <w:noWrap w:val="false"/>
          </w:tcPr>
          <w:p>
            <w:pPr>
              <w:jc w:val="left"/>
              <w:spacing w:before="0" w:after="0" w:line="230" w:lineRule="exact"/>
            </w:pPr>
            <w:r>
              <w:rPr>
                <w:rFonts w:ascii="黑体" w:hAnsi="黑体" w:eastAsia="黑体"/>
                <w:b/>
                <w:sz w:val="20"/>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10/0.4kV变配电系统（成套开关柜）考位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w:t>
            </w:r>
            <w:r>
              <w:t xml:space="preserve">30m²</w:t>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高压开关柜（整套）</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进线柜</w:t>
            </w:r>
            <w:r/>
          </w:p>
        </w:tc>
        <w:tc>
          <w:tcPr>
            <w:gridSpan w:val="2"/>
            <w:tcW w:w="4478"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1.10kV高压开关柜，KYN系列或XGN系列或HXGN系列，与生产实际型号一致。</w:t>
            </w:r>
            <w:r/>
          </w:p>
          <w:p>
            <w:pPr>
              <w:jc w:val="left"/>
              <w:spacing w:before="0" w:after="0" w:line="230" w:lineRule="exact"/>
              <w:rPr>
                <w:rFonts w:ascii="宋体" w:hAnsi="宋体" w:eastAsia="宋体"/>
                <w:b w:val="0"/>
                <w:sz w:val="18"/>
              </w:rPr>
            </w:pPr>
            <w:r>
              <w:rPr>
                <w:rFonts w:ascii="宋体" w:hAnsi="宋体" w:eastAsia="宋体"/>
                <w:b w:val="0"/>
                <w:sz w:val="18"/>
              </w:rPr>
              <w:t xml:space="preserve">2.一次侧不通电，配微机保护系统，带温湿度监测。</w:t>
            </w:r>
            <w:r/>
          </w:p>
          <w:p>
            <w:pPr>
              <w:jc w:val="left"/>
              <w:spacing w:before="0" w:after="0" w:line="230" w:lineRule="exact"/>
            </w:pPr>
            <w:r>
              <w:rPr>
                <w:rFonts w:ascii="宋体" w:hAnsi="宋体" w:eastAsia="宋体"/>
                <w:b w:val="0"/>
                <w:sz w:val="18"/>
              </w:rPr>
              <w:t xml:space="preserve">3.应符合现行标准《高压交流开关设备和控制设备标准的共用技术要求》（GB/T11022）的有关要求。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Align w:val="center"/>
            <w:vMerge w:val="restart"/>
            <w:textDirection w:val="lrTb"/>
            <w:noWrap w:val="false"/>
          </w:tcPr>
          <w:p>
            <w:pPr>
              <w:jc w:val="left"/>
              <w:spacing w:before="0" w:after="0" w:line="230" w:lineRule="exact"/>
            </w:pPr>
            <w:r>
              <w:rPr>
                <w:rFonts w:ascii="宋体" w:hAnsi="宋体" w:eastAsia="宋体"/>
                <w:b w:val="0"/>
                <w:sz w:val="18"/>
              </w:rPr>
              <w:t xml:space="preserve">电气设备各项防止直接触电、间接触电的保护措施应落实到位，配置、安装应符合现行标准《建筑电气与智能化通用规范》（GB55024）的有关要求。</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计量柜</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PT柜</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出线柜</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操作开关柜的附属配件及工器具</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hint="eastAsia" w:ascii="宋体" w:hAnsi="宋体" w:eastAsia="宋体"/>
                <w:b w:val="0"/>
                <w:sz w:val="18"/>
                <w:lang w:val="en-US" w:eastAsia="zh-CN"/>
              </w:rPr>
              <w:t xml:space="preserve">干</w:t>
            </w:r>
            <w:r>
              <w:rPr>
                <w:rFonts w:ascii="宋体" w:hAnsi="宋体" w:eastAsia="宋体"/>
                <w:b w:val="0"/>
                <w:sz w:val="18"/>
              </w:rPr>
              <w:t xml:space="preserve">式电力变压器</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1.10/0.4kV干式电力变压器，带外壳，带温控器，不通电。</w:t>
            </w:r>
            <w:r/>
          </w:p>
          <w:p>
            <w:pPr>
              <w:jc w:val="left"/>
              <w:spacing w:before="0" w:after="0" w:line="230" w:lineRule="exact"/>
            </w:pPr>
            <w:r>
              <w:rPr>
                <w:rFonts w:ascii="宋体" w:hAnsi="宋体" w:eastAsia="宋体"/>
                <w:b w:val="0"/>
                <w:sz w:val="18"/>
              </w:rPr>
              <w:t xml:space="preserve">2.应符合现行标准《干式电力变压器技术参数和要求》（GB/T10228）的有关要求。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低压开关柜（整套）</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进线柜</w:t>
            </w:r>
            <w:r/>
          </w:p>
        </w:tc>
        <w:tc>
          <w:tcPr>
            <w:gridSpan w:val="2"/>
            <w:tcW w:w="4478"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1.GCS系列或MNS系列或GCK系列或GGD系列，与生产实际型号一致。</w:t>
            </w:r>
            <w:r/>
          </w:p>
          <w:p>
            <w:pPr>
              <w:jc w:val="left"/>
              <w:spacing w:before="0" w:after="0" w:line="230" w:lineRule="exact"/>
            </w:pPr>
            <w:r>
              <w:rPr>
                <w:rFonts w:ascii="宋体" w:hAnsi="宋体" w:eastAsia="宋体"/>
                <w:b w:val="0"/>
                <w:sz w:val="18"/>
              </w:rPr>
              <w:t xml:space="preserve">2.应符合现行标准《低压成套开关设备和控制设备》（GB/T7251）相应部分的要求。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出线柜</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补偿柜</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接线模拟图板或接线模拟屏</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高低压配电接线图。</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电力电缆</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高压或低压线路中部分线路应采用电力电缆。</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接地干线</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应符合现行标准《带电作业用绝缘垫》（DL/T853）的有关要求。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K32</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10/0.4kV变配电系统（架空线路）考位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≥20</w:t>
            </w:r>
            <w:r>
              <w:t xml:space="preserve">m²</w:t>
            </w:r>
            <w:r/>
          </w:p>
        </w:tc>
        <w:tc>
          <w:tcPr>
            <w:tcW w:w="1315" w:type="dxa"/>
            <w:vAlign w:val="center"/>
            <w:vMerge w:val="restart"/>
            <w:textDirection w:val="lrTb"/>
            <w:noWrap w:val="false"/>
          </w:tcPr>
          <w:p>
            <w:pPr>
              <w:jc w:val="center"/>
              <w:spacing w:before="0" w:after="0" w:line="230" w:lineRule="exact"/>
              <w:rPr>
                <w:rFonts w:hint="eastAsia" w:eastAsia="宋体"/>
                <w:lang w:val="en-US" w:eastAsia="zh-CN"/>
              </w:rPr>
            </w:pPr>
            <w:r>
              <w:rPr>
                <w:rFonts w:ascii="宋体" w:hAnsi="宋体" w:eastAsia="宋体"/>
                <w:b w:val="0"/>
                <w:sz w:val="18"/>
              </w:rPr>
              <w:t xml:space="preserve">柱上变压器台架(整套)及高低压架空线</w:t>
            </w:r>
            <w:r>
              <w:rPr>
                <w:rFonts w:hint="eastAsia" w:ascii="宋体" w:hAnsi="宋体" w:eastAsia="宋体"/>
                <w:b w:val="0"/>
                <w:sz w:val="18"/>
                <w:lang w:val="en-US" w:eastAsia="zh-CN"/>
              </w:rPr>
              <w:t xml:space="preserve">路</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隔离开关</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送电端隔离开关。</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3个</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10kV架空绝缘电缆及验电接地环</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架空长度不低于2.5m，送电端接隔离开关，受电端带验电接地环，接变压器台架上的跌落式熔断器。</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3根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跌落式熔断器</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1.离地高度不低于2.5m。</w:t>
            </w:r>
            <w:r/>
          </w:p>
          <w:p>
            <w:pPr>
              <w:jc w:val="left"/>
              <w:spacing w:before="0" w:after="0" w:line="230" w:lineRule="exact"/>
            </w:pPr>
            <w:r>
              <w:rPr>
                <w:rFonts w:ascii="宋体" w:hAnsi="宋体" w:eastAsia="宋体"/>
                <w:b w:val="0"/>
                <w:sz w:val="18"/>
              </w:rPr>
              <w:t xml:space="preserve">2.应符合现行标准《高压交流熔断器》（GB/T15166）相应部分的要求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3个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验电接地环</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安装在跌落式熔断器与避雷器之间的高压线上。</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3个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避雷器</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3个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油浸式电力变压</w:t>
            </w:r>
            <w:r>
              <w:rPr>
                <w:rFonts w:hint="eastAsia" w:ascii="宋体" w:hAnsi="宋体" w:eastAsia="宋体"/>
                <w:b w:val="0"/>
                <w:sz w:val="18"/>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1.10/0.4kV油浸式电力变压器</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2.应符合现行标准《油浸式电力变压器技术参数和要求》（GB/T6451）的有关要求。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低压配电柜</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内装隔离开关、断路器、电压表、计量仪表、电力电容器等设备设施。</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接地扁铁</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0.4kV架空绝缘导线及验电接地</w:t>
            </w:r>
            <w:r>
              <w:rPr>
                <w:rFonts w:hint="eastAsia"/>
                <w:b w:val="0"/>
                <w:sz w:val="18"/>
                <w:lang w:val="en-US" w:eastAsia="zh-CN"/>
              </w:rPr>
              <w:t xml:space="preserve">环</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架空长度不低于2.5m，送电端带验电接地环。</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4根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配套设备设施，包括但不限于：导线、绝缘子、电杆、金具、杆上配变安全运行标志等</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作业环境显示屏</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可设置和展示温度、雨、雪、雾、风向、风速等天气情况。</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K33</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电气设备安装考位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≥2</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电路图</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单相电能表</w:t>
            </w:r>
            <w:r/>
          </w:p>
        </w:tc>
        <w:tc>
          <w:tcPr>
            <w:gridSpan w:val="2"/>
            <w:tcW w:w="4478" w:type="dxa"/>
            <w:vAlign w:val="center"/>
            <w:vMerge w:val="restart"/>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1.与电路图匹配</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2.应符合现行标准《电测量设备》（GB/T17215）相应部分的要求。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三相四线电能表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电流表</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1.与电路图匹配。</w:t>
            </w:r>
            <w:r/>
          </w:p>
          <w:p>
            <w:pPr>
              <w:jc w:val="left"/>
              <w:spacing w:before="0" w:after="0" w:line="230" w:lineRule="exact"/>
            </w:pPr>
            <w:r>
              <w:rPr>
                <w:rFonts w:ascii="宋体" w:hAnsi="宋体" w:eastAsia="宋体"/>
                <w:b w:val="0"/>
                <w:sz w:val="18"/>
              </w:rPr>
              <w:t xml:space="preserve">2.应符合现行标准《直接作用模拟指示电测量仪表及其附件》（GB/T7676）相应部分的要求。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电涌保护器</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1.与电路图匹配。</w:t>
            </w:r>
            <w:r/>
          </w:p>
          <w:p>
            <w:pPr>
              <w:jc w:val="left"/>
              <w:spacing w:before="0" w:after="0" w:line="230" w:lineRule="exact"/>
            </w:pPr>
            <w:r>
              <w:rPr>
                <w:rFonts w:ascii="宋体" w:hAnsi="宋体" w:eastAsia="宋体"/>
                <w:b w:val="0"/>
                <w:sz w:val="18"/>
              </w:rPr>
              <w:t xml:space="preserve">2.应符合现行标准《低压电涌保护器（SPD）第11部分：低压电源系统的电涌保护器性能要求和试验方法》（GB/T18802.11）的有关要求。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熔断器</w:t>
            </w:r>
            <w:r/>
          </w:p>
        </w:tc>
        <w:tc>
          <w:tcPr>
            <w:gridSpan w:val="2"/>
            <w:tcW w:w="4478" w:type="dxa"/>
            <w:vAlign w:val="center"/>
            <w:vMerge w:val="restart"/>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1.与电路图匹配</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2.应符合现行标准《低压开关设备和控制设备》（GB/T14048）相应部分的要求，或符合低压开关设备和控制设备相关的其他国家标准。</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断路器（带漏电保护器）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断路器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剩余电流动作保护器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交流接触器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热继电器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Height w:val="90"/>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电流互感器</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按钮开关</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万能转换开关</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三档旋钮开关</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五孔插座</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1.与电路图匹配。</w:t>
            </w:r>
            <w:r/>
          </w:p>
          <w:p>
            <w:pPr>
              <w:jc w:val="left"/>
              <w:spacing w:before="0" w:after="0" w:line="230" w:lineRule="exact"/>
            </w:pPr>
            <w:r>
              <w:rPr>
                <w:rFonts w:ascii="宋体" w:hAnsi="宋体" w:eastAsia="宋体"/>
                <w:b w:val="0"/>
                <w:sz w:val="18"/>
              </w:rPr>
              <w:t xml:space="preserve">2.应符合现行标准《家用和类似用途插头插座》（GB/T2099）相应部分的要求。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双控开关</w:t>
            </w:r>
            <w:r/>
          </w:p>
        </w:tc>
        <w:tc>
          <w:tcPr>
            <w:gridSpan w:val="2"/>
            <w:tcW w:w="4478"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1.与电路图匹配。</w:t>
            </w:r>
            <w:r/>
          </w:p>
          <w:p>
            <w:pPr>
              <w:jc w:val="left"/>
              <w:spacing w:before="0" w:after="0" w:line="230" w:lineRule="exact"/>
            </w:pPr>
            <w:r>
              <w:rPr>
                <w:rFonts w:ascii="宋体" w:hAnsi="宋体" w:eastAsia="宋体"/>
                <w:b w:val="0"/>
                <w:sz w:val="18"/>
              </w:rPr>
              <w:t xml:space="preserve">2.应符合现行标准《家用和类似用途固定式电气装置的开关》（GB/T16915）相应部分的要求。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单控开关</w:t>
            </w:r>
            <w:r/>
          </w:p>
        </w:tc>
        <w:tc>
          <w:tcPr>
            <w:gridSpan w:val="2"/>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三相异步电动机</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与电路图匹配</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灯具</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配电箱</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单排，含导轨，24位。</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电气设备固定背板</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导线</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单股、多股等各种颜色与多种规格线径导线。</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接线端子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非快接型，各种规格。</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线芯压接工具及模具</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导线连接器</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各种规格</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hint="eastAsia" w:ascii="宋体" w:hAnsi="宋体" w:eastAsia="宋体"/>
                <w:b w:val="0"/>
                <w:sz w:val="18"/>
                <w:lang w:eastAsia="zh-CN"/>
              </w:rPr>
              <w:t xml:space="preserve">搪</w:t>
            </w:r>
            <w:r>
              <w:rPr>
                <w:rFonts w:ascii="宋体" w:hAnsi="宋体" w:eastAsia="宋体"/>
                <w:b w:val="0"/>
                <w:sz w:val="18"/>
              </w:rPr>
              <w:t xml:space="preserve">锡设备及焊锡丝</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连接管</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各种规格</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绝缘胶带</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接线工具，包括但不限于：剥线钳、老虎钳、尖嘴钳、工具刀、一字螺丝刀、十字螺丝刀</w:t>
            </w:r>
            <w:r>
              <w:rPr>
                <w:rFonts w:hint="eastAsia"/>
                <w:b w:val="0"/>
                <w:sz w:val="18"/>
                <w:lang w:val="en-US" w:eastAsia="zh-CN"/>
              </w:rPr>
              <w:t xml:space="preserve">等</w:t>
            </w:r>
            <w:r/>
          </w:p>
        </w:tc>
        <w:tc>
          <w:tcPr>
            <w:gridSpan w:val="2"/>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操作台</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1.操作台应设带漏电保护的总开关，台面板应绝缘，可导电部位应接地保护，设有可以防止考生误送电的锁定装置。</w:t>
            </w:r>
            <w:r/>
          </w:p>
          <w:p>
            <w:pPr>
              <w:jc w:val="left"/>
              <w:spacing w:before="0" w:after="0" w:line="230" w:lineRule="exact"/>
              <w:rPr>
                <w:rFonts w:ascii="宋体" w:hAnsi="宋体" w:eastAsia="宋体"/>
                <w:b w:val="0"/>
                <w:sz w:val="18"/>
              </w:rPr>
            </w:pPr>
            <w:r>
              <w:rPr>
                <w:rFonts w:ascii="宋体" w:hAnsi="宋体" w:eastAsia="宋体"/>
                <w:b w:val="0"/>
                <w:sz w:val="18"/>
              </w:rPr>
              <w:t xml:space="preserve">2.可根据实际情况使用安全电压</w:t>
            </w:r>
            <w:r/>
          </w:p>
          <w:p>
            <w:pPr>
              <w:jc w:val="left"/>
              <w:spacing w:before="0" w:after="0" w:line="230" w:lineRule="exact"/>
            </w:pPr>
            <w:r>
              <w:rPr>
                <w:rFonts w:ascii="宋体" w:hAnsi="宋体" w:eastAsia="宋体"/>
                <w:b w:val="0"/>
                <w:sz w:val="18"/>
              </w:rPr>
              <w:t xml:space="preserve">3.供考试用的供配电线路的设置和安装，应符合现行标准《建筑电气与智能化通用规范》（GB55024）的有关要求。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绝缘垫</w:t>
            </w:r>
            <w:r/>
          </w:p>
        </w:tc>
        <w:tc>
          <w:tcPr>
            <w:gridSpan w:val="2"/>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1.作业区域满铺。</w:t>
            </w:r>
            <w:r/>
          </w:p>
          <w:p>
            <w:pPr>
              <w:jc w:val="left"/>
              <w:spacing w:before="0" w:after="0" w:line="230" w:lineRule="exact"/>
            </w:pPr>
            <w:r>
              <w:rPr>
                <w:rFonts w:ascii="宋体" w:hAnsi="宋体" w:eastAsia="宋体"/>
                <w:b w:val="0"/>
                <w:sz w:val="18"/>
              </w:rPr>
              <w:t xml:space="preserve">2.应符合现行标准《带电作业用绝缘垫》（DL/T853）的有关要求。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gridSpan w:val="2"/>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bl>
    <w:p>
      <w:pPr>
        <w:spacing w:after="40"/>
      </w:pPr>
      <w:r/>
      <w:r/>
    </w:p>
    <w:p>
      <w:pPr>
        <w:pStyle w:val="771"/>
        <w:numPr>
          <w:ilvl w:val="0"/>
          <w:numId w:val="4"/>
        </w:numPr>
        <w:pageBreakBefore w:val="0"/>
        <w:spacing w:line="360" w:lineRule="auto"/>
        <w:widowControl w:val="off"/>
        <w:rPr>
          <w:rFonts w:hint="eastAsia" w:ascii="微软雅黑" w:hAnsi="微软雅黑" w:eastAsia="微软雅黑" w:cs="微软雅黑"/>
          <w:sz w:val="24"/>
          <w:szCs w:val="24"/>
          <w:highlight w:val="none"/>
          <w:lang w:val="en-US" w:eastAsia="zh-CN"/>
        </w:rPr>
      </w:pPr>
      <w:r/>
      <w:bookmarkStart w:id="11" w:name="_Toc18654"/>
      <w:r>
        <w:rPr>
          <w:rFonts w:hint="eastAsia" w:ascii="微软雅黑" w:hAnsi="微软雅黑" w:eastAsia="微软雅黑" w:cs="微软雅黑"/>
          <w:sz w:val="24"/>
          <w:szCs w:val="24"/>
          <w:highlight w:val="none"/>
          <w:lang w:val="en-US" w:eastAsia="zh-CN"/>
        </w:rPr>
        <w:t xml:space="preserve">熔化焊接与热切割作业</w:t>
      </w:r>
      <w:bookmarkEnd w:id="11"/>
      <w:r/>
      <w:r/>
    </w:p>
    <w:p>
      <w:pPr>
        <w:numPr>
          <w:ilvl w:val="0"/>
          <w:numId w:val="0"/>
        </w:numPr>
        <w:jc w:val="center"/>
        <w:pageBreakBefore w:val="0"/>
        <w:spacing w:line="360" w:lineRule="auto"/>
        <w:widowControl w:val="off"/>
        <w:rPr>
          <w:rFonts w:hint="eastAsia" w:ascii="宋体" w:hAnsi="宋体" w:eastAsia="宋体" w:cs="宋体"/>
          <w:b/>
          <w:bCs/>
          <w:color w:val="auto"/>
          <w:sz w:val="22"/>
          <w:szCs w:val="22"/>
        </w:rPr>
        <w:outlineLvl w:val="9"/>
      </w:pPr>
      <w:r>
        <w:rPr>
          <w:rFonts w:hint="eastAsia" w:ascii="宋体" w:hAnsi="宋体" w:eastAsia="宋体" w:cs="宋体"/>
          <w:b/>
          <w:bCs/>
          <w:color w:val="auto"/>
          <w:sz w:val="22"/>
          <w:szCs w:val="22"/>
        </w:rPr>
        <w:t xml:space="preserve">表</w:t>
      </w:r>
      <w:r>
        <w:rPr>
          <w:rFonts w:hint="eastAsia" w:ascii="宋体" w:hAnsi="宋体" w:eastAsia="宋体" w:cs="宋体"/>
          <w:b/>
          <w:bCs/>
          <w:color w:val="auto"/>
          <w:sz w:val="22"/>
          <w:szCs w:val="22"/>
          <w:lang w:val="en-US" w:eastAsia="zh-CN"/>
        </w:rPr>
        <w:t xml:space="preserve">4</w:t>
      </w:r>
      <w:r>
        <w:rPr>
          <w:rFonts w:hint="eastAsia" w:ascii="宋体" w:hAnsi="宋体" w:eastAsia="宋体" w:cs="宋体"/>
          <w:b/>
          <w:bCs/>
          <w:color w:val="auto"/>
          <w:sz w:val="22"/>
          <w:szCs w:val="22"/>
        </w:rPr>
        <w:t xml:space="preserve">  熔化焊接与热切割作业实际操作考场考位主要设备配备表</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4478"/>
        <w:gridCol w:w="854"/>
        <w:gridCol w:w="1781"/>
      </w:tblGrid>
      <w:tr>
        <w:trPr>
          <w:jc w:val="center"/>
        </w:trPr>
        <w:tc>
          <w:tcPr>
            <w:tcW w:w="902" w:type="dxa"/>
            <w:vAlign w:val="center"/>
            <w:vMerge w:val="restart"/>
            <w:textDirection w:val="lrTb"/>
            <w:noWrap w:val="false"/>
          </w:tcPr>
          <w:p>
            <w:pPr>
              <w:jc w:val="center"/>
              <w:spacing w:before="0" w:after="0" w:line="230" w:lineRule="exact"/>
            </w:pPr>
            <w:r>
              <w:rPr>
                <w:rFonts w:ascii="黑体" w:hAnsi="黑体" w:eastAsia="黑体"/>
                <w:b/>
                <w:sz w:val="18"/>
              </w:rPr>
              <w:t xml:space="preserve">考位编号</w:t>
            </w:r>
            <w:r/>
          </w:p>
        </w:tc>
        <w:tc>
          <w:tcPr>
            <w:tcW w:w="1041" w:type="dxa"/>
            <w:vAlign w:val="center"/>
            <w:vMerge w:val="restart"/>
            <w:textDirection w:val="lrTb"/>
            <w:noWrap w:val="false"/>
          </w:tcPr>
          <w:p>
            <w:pPr>
              <w:jc w:val="center"/>
              <w:spacing w:before="0" w:after="0" w:line="230" w:lineRule="exact"/>
            </w:pPr>
            <w:r>
              <w:rPr>
                <w:rFonts w:ascii="黑体" w:hAnsi="黑体" w:eastAsia="黑体"/>
                <w:b/>
                <w:sz w:val="18"/>
              </w:rPr>
              <w:t xml:space="preserve">考位名称</w:t>
            </w:r>
            <w:r/>
          </w:p>
        </w:tc>
        <w:tc>
          <w:tcPr>
            <w:tcW w:w="960" w:type="dxa"/>
            <w:vAlign w:val="center"/>
            <w:vMerge w:val="restart"/>
            <w:textDirection w:val="lrTb"/>
            <w:noWrap w:val="false"/>
          </w:tcPr>
          <w:p>
            <w:pPr>
              <w:jc w:val="center"/>
              <w:spacing w:before="0" w:after="0" w:line="230" w:lineRule="exact"/>
            </w:pPr>
            <w:r>
              <w:rPr>
                <w:rFonts w:ascii="黑体" w:hAnsi="黑体" w:eastAsia="黑体"/>
                <w:b/>
                <w:sz w:val="18"/>
              </w:rPr>
              <w:t xml:space="preserve">考位面积</w:t>
            </w:r>
            <w:r/>
          </w:p>
        </w:tc>
        <w:tc>
          <w:tcPr>
            <w:gridSpan w:val="4"/>
            <w:tcW w:w="8557" w:type="dxa"/>
            <w:vAlign w:val="center"/>
            <w:textDirection w:val="lrTb"/>
            <w:noWrap w:val="false"/>
          </w:tcPr>
          <w:p>
            <w:pPr>
              <w:jc w:val="center"/>
              <w:spacing w:before="0" w:after="0" w:line="230" w:lineRule="exact"/>
            </w:pPr>
            <w:r>
              <w:rPr>
                <w:rFonts w:ascii="黑体" w:hAnsi="黑体" w:eastAsia="黑体"/>
                <w:b/>
                <w:sz w:val="18"/>
              </w:rPr>
              <w:t xml:space="preserve">考位设备设施要求</w:t>
            </w:r>
            <w:r/>
          </w:p>
        </w:tc>
        <w:tc>
          <w:tcPr>
            <w:tcW w:w="1781" w:type="dxa"/>
            <w:vAlign w:val="center"/>
            <w:vMerge w:val="restart"/>
            <w:textDirection w:val="lrTb"/>
            <w:noWrap w:val="false"/>
          </w:tcPr>
          <w:p>
            <w:pPr>
              <w:jc w:val="center"/>
              <w:spacing w:before="0" w:after="0" w:line="230" w:lineRule="exact"/>
            </w:pPr>
            <w:r>
              <w:rPr>
                <w:rFonts w:ascii="黑体" w:hAnsi="黑体" w:eastAsia="黑体"/>
                <w:b/>
                <w:sz w:val="18"/>
              </w:rPr>
              <w:t xml:space="preserve">考位布置要求</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center"/>
              <w:spacing w:before="0" w:after="0" w:line="230" w:lineRule="exact"/>
            </w:pPr>
            <w:r>
              <w:rPr>
                <w:rFonts w:ascii="黑体" w:hAnsi="黑体" w:eastAsia="黑体"/>
                <w:b/>
                <w:sz w:val="18"/>
              </w:rPr>
              <w:t xml:space="preserve">设备/设施/器材</w:t>
            </w:r>
            <w:r/>
          </w:p>
        </w:tc>
        <w:tc>
          <w:tcPr>
            <w:tcW w:w="4478" w:type="dxa"/>
            <w:vAlign w:val="center"/>
            <w:textDirection w:val="lrTb"/>
            <w:noWrap w:val="false"/>
          </w:tcPr>
          <w:p>
            <w:pPr>
              <w:jc w:val="center"/>
              <w:spacing w:before="0" w:after="0" w:line="230" w:lineRule="exact"/>
            </w:pPr>
            <w:r>
              <w:rPr>
                <w:rFonts w:ascii="黑体" w:hAnsi="黑体" w:eastAsia="黑体"/>
                <w:b/>
                <w:sz w:val="18"/>
              </w:rPr>
              <w:t xml:space="preserve">规格/要求</w:t>
            </w:r>
            <w:r/>
          </w:p>
        </w:tc>
        <w:tc>
          <w:tcPr>
            <w:tcW w:w="854" w:type="dxa"/>
            <w:vAlign w:val="center"/>
            <w:textDirection w:val="lrTb"/>
            <w:noWrap w:val="false"/>
          </w:tcPr>
          <w:p>
            <w:pPr>
              <w:jc w:val="center"/>
              <w:spacing w:before="0" w:after="0" w:line="230" w:lineRule="exact"/>
            </w:pPr>
            <w:r>
              <w:rPr>
                <w:rFonts w:ascii="黑体" w:hAnsi="黑体" w:eastAsia="黑体"/>
                <w:b/>
                <w:sz w:val="18"/>
              </w:rPr>
              <w:t xml:space="preserve">数量</w:t>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黑体" w:hAnsi="黑体" w:eastAsia="黑体"/>
                <w:b/>
                <w:sz w:val="20"/>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K11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安全用具考位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≥10m²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应符合现行标准《头部防护安全帽》（GB2811）的有关要求。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1顶</w:t>
            </w:r>
            <w:r/>
          </w:p>
        </w:tc>
        <w:tc>
          <w:tcPr>
            <w:tcW w:w="1781"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1.考试前应设置不少于2个干扰项设备设施，每个干扰项设备设施应为其规格/要求中的一种。</w:t>
            </w:r>
            <w:r/>
          </w:p>
          <w:p>
            <w:pPr>
              <w:jc w:val="left"/>
              <w:spacing w:before="0" w:after="0" w:line="230" w:lineRule="exact"/>
            </w:pPr>
            <w:r>
              <w:rPr>
                <w:rFonts w:ascii="宋体" w:hAnsi="宋体" w:eastAsia="宋体"/>
                <w:b w:val="0"/>
                <w:sz w:val="18"/>
              </w:rPr>
              <w:t xml:space="preserve">2.考生在本考位选择防护用品进行后续考试的，考位中各种设备/设施/器材的数量应按照实际情况配备。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面罩</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手持式面罩</w:t>
            </w:r>
            <w:r/>
          </w:p>
        </w:tc>
        <w:tc>
          <w:tcPr>
            <w:tcW w:w="4478" w:type="dxa"/>
            <w:vAlign w:val="center"/>
            <w:vMerge w:val="restart"/>
            <w:textDirection w:val="lrTb"/>
            <w:noWrap w:val="false"/>
          </w:tcPr>
          <w:p>
            <w:pPr>
              <w:jc w:val="left"/>
              <w:spacing w:before="0" w:after="0" w:line="230" w:lineRule="exact"/>
            </w:pPr>
            <w:r>
              <w:rPr>
                <w:rFonts w:ascii="宋体" w:hAnsi="宋体" w:eastAsia="宋体"/>
                <w:b w:val="0"/>
                <w:sz w:val="18"/>
              </w:rPr>
              <w:t xml:space="preserve">应符合现行标准《职业眼面部防护焊接防护第1部分：焊接防护具》（GB/T3609.1）的有关要求。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头戴式面罩</w:t>
            </w:r>
            <w:r/>
          </w:p>
        </w:tc>
        <w:tc>
          <w:tcPr>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安全帽与面罩组合式面罩</w:t>
            </w:r>
            <w:r/>
          </w:p>
        </w:tc>
        <w:tc>
          <w:tcPr>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焊接护目镜</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应符合现行标准《职业眼面部防护焊接防护第1部分：焊接防护具》（GB/T3609.1）的有关要求。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滤光片</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1.进行焊条电弧焊、二氧化碳焊、氩弧焊、气焊（割）作业所需的遮光号规格。</w:t>
            </w:r>
            <w:r/>
          </w:p>
          <w:p>
            <w:pPr>
              <w:jc w:val="left"/>
              <w:spacing w:before="0" w:after="0" w:line="230" w:lineRule="exact"/>
            </w:pPr>
            <w:r>
              <w:rPr>
                <w:rFonts w:ascii="宋体" w:hAnsi="宋体" w:eastAsia="宋体"/>
                <w:b w:val="0"/>
                <w:sz w:val="18"/>
              </w:rPr>
              <w:t xml:space="preserve">2.应符合现行标准《职业眼面部防护焊接防护第1部分：焊接防护具》（GB/T3609.1）的有关要求。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各1片</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防冲击护目镜</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应符合现行标准《眼面防护具通用技术规范》（GB14866）的有关要求。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防尘口罩</w:t>
            </w:r>
            <w:r/>
          </w:p>
        </w:tc>
        <w:tc>
          <w:tcPr>
            <w:tcW w:w="4478" w:type="dxa"/>
            <w:vAlign w:val="center"/>
            <w:vMerge w:val="restart"/>
            <w:textDirection w:val="lrTb"/>
            <w:noWrap w:val="false"/>
          </w:tcPr>
          <w:p>
            <w:pPr>
              <w:jc w:val="left"/>
              <w:spacing w:before="0" w:after="0" w:line="230" w:lineRule="exact"/>
            </w:pPr>
            <w:r>
              <w:rPr>
                <w:rFonts w:ascii="宋体" w:hAnsi="宋体" w:eastAsia="宋体"/>
                <w:b w:val="0"/>
                <w:sz w:val="18"/>
              </w:rPr>
              <w:t xml:space="preserve">应符合现行标准《焊接与切割安全》（GB9448）的有关要求。</w:t>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防毒面具</w:t>
            </w:r>
            <w:r/>
          </w:p>
        </w:tc>
        <w:tc>
          <w:tcPr>
            <w:tcW w:w="4478" w:type="dxa"/>
            <w:vAlign w:val="center"/>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耳套、耳塞</w:t>
            </w:r>
            <w:r/>
          </w:p>
        </w:tc>
        <w:tc>
          <w:tcPr>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手套</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应符合现行标准《焊工防护手套》（AQ6103）的有关要求。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防护服</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应符合现行标准《防护服装焊接服》（GB8965.2）的有关要求。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披肩、头蓬及套袖</w:t>
            </w:r>
            <w:r/>
          </w:p>
        </w:tc>
        <w:tc>
          <w:tcPr>
            <w:tcW w:w="4478" w:type="dxa"/>
            <w:vAlign w:val="center"/>
            <w:vMerge w:val="restart"/>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1.耐火材质</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2.应符合现行标准《焊接与切割安全》（GB9448）的有关要求。</w:t>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围裙</w:t>
            </w:r>
            <w:r/>
          </w:p>
        </w:tc>
        <w:tc>
          <w:tcPr>
            <w:tcW w:w="4478" w:type="dxa"/>
            <w:vAlign w:val="center"/>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护腿</w:t>
            </w:r>
            <w:r/>
          </w:p>
        </w:tc>
        <w:tc>
          <w:tcPr>
            <w:tcW w:w="4478" w:type="dxa"/>
            <w:vAlign w:val="center"/>
            <w:vMerge w:val="continue"/>
            <w:textDirection w:val="lrTb"/>
            <w:noWrap w:val="false"/>
          </w:tcPr>
          <w:p>
            <w:pPr>
              <w:spacing w:after="0" w:line="240" w:lineRule="auto"/>
            </w:pPr>
            <w:r/>
            <w:r/>
          </w:p>
        </w:tc>
        <w:tc>
          <w:tcPr>
            <w:tcW w:w="854" w:type="dxa"/>
            <w:vAlign w:val="center"/>
            <w:vMerge w:val="restart"/>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脚盖</w:t>
            </w:r>
            <w:r/>
          </w:p>
        </w:tc>
        <w:tc>
          <w:tcPr>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安全鞋</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1.带钢包头、防扎皮鞋。</w:t>
            </w:r>
            <w:r/>
          </w:p>
          <w:p>
            <w:pPr>
              <w:jc w:val="left"/>
              <w:spacing w:before="0" w:after="0" w:line="230" w:lineRule="exact"/>
            </w:pPr>
            <w:r>
              <w:rPr>
                <w:rFonts w:ascii="宋体" w:hAnsi="宋体" w:eastAsia="宋体"/>
                <w:b w:val="0"/>
                <w:sz w:val="18"/>
              </w:rPr>
              <w:t xml:space="preserve">2.应符合现行标准《足部防护安全鞋》（GB21148）的有关要求。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坠落悬挂用安全带</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1.耐火材质。</w:t>
            </w:r>
            <w:r/>
          </w:p>
          <w:p>
            <w:pPr>
              <w:jc w:val="left"/>
              <w:spacing w:before="0" w:after="0" w:line="230" w:lineRule="exact"/>
            </w:pPr>
            <w:r>
              <w:rPr>
                <w:rFonts w:ascii="宋体" w:hAnsi="宋体" w:eastAsia="宋体"/>
                <w:b w:val="0"/>
                <w:sz w:val="18"/>
              </w:rPr>
              <w:t xml:space="preserve">2.应符合现行标准《坠落防护安全带》（GB6095）的有关要求。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面罩</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损坏的手持式、头戴式、安全帽与面罩组合式面罩。</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平光眼镜</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白玻璃片</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大小与滤光片一致。</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手套</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帆布、棉纱。</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工作服</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长袖棉质、长袖化纤。</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帽子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化纤</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rPr>
                <w:rFonts w:hint="default" w:ascii="宋体" w:hAnsi="宋体" w:eastAsia="宋体"/>
                <w:b w:val="0"/>
                <w:sz w:val="18"/>
                <w:lang w:val="en-US" w:eastAsia="zh-CN"/>
              </w:rPr>
            </w:pPr>
            <w:r>
              <w:rPr>
                <w:rFonts w:hint="eastAsia" w:ascii="宋体" w:hAnsi="宋体" w:eastAsia="宋体"/>
                <w:b w:val="0"/>
                <w:sz w:val="18"/>
                <w:lang w:val="en-US" w:eastAsia="zh-CN"/>
              </w:rPr>
              <w:t xml:space="preserve">鞋</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hint="eastAsia" w:ascii="宋体" w:hAnsi="宋体" w:eastAsia="宋体"/>
                <w:b w:val="0"/>
                <w:sz w:val="18"/>
              </w:rPr>
              <w:t xml:space="preserve">布面胶鞋</w:t>
            </w:r>
            <w:r/>
          </w:p>
        </w:tc>
        <w:tc>
          <w:tcPr>
            <w:tcW w:w="854" w:type="dxa"/>
            <w:vAlign w:val="center"/>
            <w:textDirection w:val="lrTb"/>
            <w:noWrap w:val="false"/>
          </w:tcPr>
          <w:p>
            <w:pPr>
              <w:jc w:val="center"/>
              <w:spacing w:before="0" w:after="0" w:line="230" w:lineRule="exact"/>
              <w:rPr>
                <w:rFonts w:ascii="宋体" w:hAnsi="宋体" w:eastAsia="宋体"/>
                <w:b w:val="0"/>
                <w:sz w:val="18"/>
              </w:rPr>
            </w:pPr>
            <w:r>
              <w:rPr>
                <w:rFonts w:ascii="宋体" w:hAnsi="宋体" w:eastAsia="宋体"/>
                <w:b w:val="0"/>
                <w:sz w:val="18"/>
              </w:rPr>
              <w:t xml:space="preserve">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坠落悬挂用安全</w:t>
            </w:r>
            <w:r>
              <w:rPr>
                <w:rFonts w:hint="eastAsia"/>
                <w:b w:val="0"/>
                <w:sz w:val="18"/>
                <w:lang w:val="en-US" w:eastAsia="zh-CN"/>
              </w:rPr>
              <w:t xml:space="preserve">带</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Height w:val="90"/>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衣架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highlight w:val="none"/>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黑体" w:hAnsi="黑体" w:eastAsia="黑体"/>
                <w:b/>
                <w:sz w:val="20"/>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K21</w:t>
            </w:r>
            <w:r/>
          </w:p>
        </w:tc>
        <w:tc>
          <w:tcPr>
            <w:tcW w:w="1041" w:type="dxa"/>
            <w:vAlign w:val="center"/>
            <w:vMerge w:val="restart"/>
            <w:textDirection w:val="lrTb"/>
            <w:noWrap w:val="false"/>
          </w:tcPr>
          <w:p>
            <w:pPr>
              <w:jc w:val="center"/>
              <w:spacing w:before="0" w:after="0" w:line="230" w:lineRule="exact"/>
              <w:rPr>
                <w:rFonts w:hint="default" w:eastAsia="宋体"/>
                <w:lang w:val="en-US" w:eastAsia="zh-CN"/>
              </w:rPr>
            </w:pPr>
            <w:r>
              <w:rPr>
                <w:rFonts w:hint="eastAsia"/>
                <w:b w:val="0"/>
                <w:sz w:val="18"/>
                <w:lang w:val="en-US" w:eastAsia="zh-CN"/>
              </w:rPr>
              <w:t xml:space="preserve">作业现场安全隐患排除考位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≥9</w:t>
            </w:r>
            <w:r>
              <w:t xml:space="preserve">m²</w:t>
            </w:r>
            <w:r/>
          </w:p>
        </w:tc>
        <w:tc>
          <w:tcPr>
            <w:gridSpan w:val="2"/>
            <w:tcW w:w="3225"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外壳破损的焊条电弧焊机、二氧化碳气体保护焊机、氩弧焊</w:t>
            </w:r>
            <w:r>
              <w:rPr>
                <w:rFonts w:hint="eastAsia"/>
                <w:b w:val="0"/>
                <w:sz w:val="18"/>
                <w:lang w:val="en-US" w:eastAsia="zh-CN"/>
              </w:rPr>
              <w:t xml:space="preserve">机</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各1台</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损坏的焊条电弧焊钳、二氧化碳气体保护焊枪、氩弧焊枪</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各1把</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外皮破损的焊机二次线</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有问题的实物仿真氧气瓶、实物仿真乙炔气瓶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没有配置回火装置的乙炔表</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实物仿真汽油桶、实物仿真油漆桶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木板或木棍</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纸板或纸团</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黑体" w:hAnsi="黑体" w:eastAsia="黑体"/>
                <w:b/>
                <w:sz w:val="20"/>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焊条电弧焊考位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≥9</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焊条电弧焊机</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1.焊机参数要求：</w:t>
            </w:r>
            <w:r/>
          </w:p>
          <w:p>
            <w:pPr>
              <w:jc w:val="left"/>
              <w:spacing w:before="0" w:after="0" w:line="230" w:lineRule="exact"/>
              <w:rPr>
                <w:rFonts w:ascii="宋体" w:hAnsi="宋体" w:eastAsia="宋体"/>
                <w:b w:val="0"/>
                <w:sz w:val="18"/>
              </w:rPr>
            </w:pPr>
            <w:r>
              <w:rPr>
                <w:rFonts w:ascii="宋体" w:hAnsi="宋体" w:eastAsia="宋体"/>
                <w:b w:val="0"/>
                <w:sz w:val="18"/>
              </w:rPr>
              <w:t xml:space="preserve">（1）额定输入电压：三相380V；</w:t>
            </w:r>
            <w:r/>
          </w:p>
          <w:p>
            <w:pPr>
              <w:jc w:val="left"/>
              <w:spacing w:before="0" w:after="0" w:line="230" w:lineRule="exact"/>
              <w:rPr>
                <w:rFonts w:ascii="宋体" w:hAnsi="宋体" w:eastAsia="宋体"/>
                <w:b w:val="0"/>
                <w:sz w:val="18"/>
              </w:rPr>
            </w:pPr>
            <w:r>
              <w:rPr>
                <w:rFonts w:ascii="宋体" w:hAnsi="宋体" w:eastAsia="宋体"/>
                <w:b w:val="0"/>
                <w:sz w:val="18"/>
              </w:rPr>
              <w:t xml:space="preserve">（2）额定输入功率：≥14kW。</w:t>
            </w:r>
            <w:r/>
          </w:p>
          <w:p>
            <w:pPr>
              <w:jc w:val="left"/>
              <w:spacing w:before="0" w:after="0" w:line="230" w:lineRule="exact"/>
            </w:pPr>
            <w:r>
              <w:rPr>
                <w:rFonts w:ascii="宋体" w:hAnsi="宋体" w:eastAsia="宋体"/>
                <w:b w:val="0"/>
                <w:sz w:val="18"/>
              </w:rPr>
              <w:t xml:space="preserve">2.应符合现行标准《弧焊设备第1部分：焊接电源》（GB/T15579.1）、《电弧焊机通用技术条件》（GB/T8118）的有关要求。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Align w:val="center"/>
            <w:vMerge w:val="restart"/>
            <w:textDirection w:val="lrTb"/>
            <w:noWrap w:val="false"/>
          </w:tcPr>
          <w:p>
            <w:pPr>
              <w:jc w:val="left"/>
              <w:spacing w:before="0" w:after="0" w:line="230" w:lineRule="exact"/>
              <w:rPr>
                <w:rFonts w:hint="eastAsia" w:ascii="宋体" w:hAnsi="宋体" w:eastAsia="宋体"/>
                <w:b w:val="0"/>
                <w:sz w:val="18"/>
                <w:lang w:val="en-US" w:eastAsia="zh-CN"/>
              </w:rPr>
            </w:pPr>
            <w:r>
              <w:rPr>
                <w:rFonts w:ascii="宋体" w:hAnsi="宋体" w:eastAsia="宋体"/>
                <w:b w:val="0"/>
                <w:sz w:val="18"/>
              </w:rPr>
              <w:t xml:space="preserve">1.考位电源采用三相五线制布线，按照“一机一闸一保护”要求设置电源，焊机要有可靠的接</w:t>
            </w:r>
            <w:r>
              <w:rPr>
                <w:rFonts w:hint="eastAsia" w:ascii="宋体" w:hAnsi="宋体" w:eastAsia="宋体"/>
                <w:b w:val="0"/>
                <w:sz w:val="18"/>
                <w:lang w:val="en-US" w:eastAsia="zh-CN"/>
              </w:rPr>
              <w:t xml:space="preserve">地。</w:t>
            </w:r>
            <w:r/>
          </w:p>
          <w:p>
            <w:pPr>
              <w:jc w:val="left"/>
              <w:spacing w:before="0" w:after="0" w:line="230" w:lineRule="exact"/>
              <w:rPr>
                <w:rFonts w:ascii="宋体" w:hAnsi="宋体" w:eastAsia="宋体"/>
                <w:b w:val="0"/>
                <w:sz w:val="18"/>
              </w:rPr>
            </w:pPr>
            <w:r>
              <w:rPr>
                <w:rFonts w:ascii="宋体" w:hAnsi="宋体" w:eastAsia="宋体"/>
                <w:b w:val="0"/>
                <w:sz w:val="18"/>
              </w:rPr>
              <w:t xml:space="preserve">2.考位应符合现行标准《焊接与切割安全》（GB9448）规定的工作区域防护、通风、灭火、电弧焊接及切割安全等有关要求。</w:t>
            </w:r>
            <w:r/>
          </w:p>
          <w:p>
            <w:pPr>
              <w:jc w:val="left"/>
              <w:spacing w:before="0" w:after="0" w:line="230" w:lineRule="exact"/>
              <w:rPr>
                <w:rFonts w:ascii="宋体" w:hAnsi="宋体" w:eastAsia="宋体"/>
                <w:b w:val="0"/>
                <w:sz w:val="18"/>
              </w:rPr>
            </w:pPr>
            <w:r>
              <w:rPr>
                <w:rFonts w:ascii="宋体" w:hAnsi="宋体" w:eastAsia="宋体"/>
                <w:b w:val="0"/>
                <w:sz w:val="18"/>
              </w:rPr>
              <w:t xml:space="preserve">3.考试前应设置不少于2个干扰项设备设施。</w:t>
            </w:r>
            <w:r/>
          </w:p>
          <w:p>
            <w:pPr>
              <w:jc w:val="left"/>
              <w:spacing w:before="0" w:after="0" w:line="230" w:lineRule="exact"/>
            </w:pPr>
            <w:r>
              <w:rPr>
                <w:rFonts w:ascii="宋体" w:hAnsi="宋体" w:eastAsia="宋体"/>
                <w:b w:val="0"/>
                <w:sz w:val="18"/>
              </w:rPr>
              <w:t xml:space="preserve">4.考生在作业前，必须按照《焊接与切割安全》（GB 9448）要求做好人身防护；考核高处焊条电弧焊作业时，在攀登移动式操作平台前，必须将速差自控器（防坠器）与安全带连接。</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电焊钳及配套电缆线</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1.与焊机匹配，电缆线长度不小于3m。</w:t>
            </w:r>
            <w:r/>
          </w:p>
          <w:p>
            <w:pPr>
              <w:jc w:val="left"/>
              <w:spacing w:before="0" w:after="0" w:line="230" w:lineRule="exact"/>
            </w:pPr>
            <w:r>
              <w:rPr>
                <w:rFonts w:ascii="宋体" w:hAnsi="宋体" w:eastAsia="宋体"/>
                <w:b w:val="0"/>
                <w:sz w:val="18"/>
              </w:rPr>
              <w:t xml:space="preserve">2.应符合现行标准《弧焊设备第11部分：电焊钳》（GB/T15579.11）的有关要求。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焊接夹钳及配套电缆线</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1.与焊机匹配，电缆线长度不小于3m。</w:t>
            </w:r>
            <w:r/>
          </w:p>
          <w:p>
            <w:pPr>
              <w:jc w:val="left"/>
              <w:spacing w:before="0" w:after="0" w:line="230" w:lineRule="exact"/>
            </w:pPr>
            <w:r>
              <w:rPr>
                <w:rFonts w:ascii="宋体" w:hAnsi="宋体" w:eastAsia="宋体"/>
                <w:b w:val="0"/>
                <w:sz w:val="18"/>
              </w:rPr>
              <w:t xml:space="preserve">2.应符合现行标准《弧焊设备第13部分：焊接夹钳》（GB/T15579.13）的有关要求。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焊条</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Φ2.5</w:t>
            </w:r>
            <w:r>
              <w:rPr>
                <w:rFonts w:hint="eastAsia" w:ascii="宋体" w:hAnsi="宋体" w:eastAsia="宋体" w:cs="宋体"/>
                <w:b w:val="0"/>
                <w:sz w:val="18"/>
              </w:rPr>
              <w:t xml:space="preserve">～</w:t>
            </w:r>
            <w:r>
              <w:rPr>
                <w:rFonts w:ascii="宋体" w:hAnsi="宋体" w:eastAsia="宋体"/>
                <w:b w:val="0"/>
                <w:sz w:val="18"/>
              </w:rPr>
              <w:t xml:space="preserve">4.0mm，低碳钢焊条</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焊条保温桶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焊条头回收桶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焊接板材</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1.规格：厚度4</w:t>
            </w:r>
            <w:r>
              <w:rPr>
                <w:rFonts w:hint="eastAsia" w:ascii="宋体" w:hAnsi="宋体" w:eastAsia="宋体" w:cs="宋体"/>
                <w:b w:val="0"/>
                <w:sz w:val="18"/>
              </w:rPr>
              <w:t xml:space="preserve">～</w:t>
            </w:r>
            <w:r>
              <w:rPr>
                <w:rFonts w:ascii="宋体" w:hAnsi="宋体" w:eastAsia="宋体"/>
                <w:b w:val="0"/>
                <w:sz w:val="18"/>
              </w:rPr>
              <w:t xml:space="preserve">10mm、长度150mm、宽度50mm。</w:t>
            </w:r>
            <w:r/>
          </w:p>
          <w:p>
            <w:pPr>
              <w:jc w:val="left"/>
              <w:spacing w:before="0" w:after="0" w:line="230" w:lineRule="exact"/>
            </w:pPr>
            <w:r>
              <w:rPr>
                <w:rFonts w:ascii="宋体" w:hAnsi="宋体" w:eastAsia="宋体"/>
                <w:b w:val="0"/>
                <w:sz w:val="18"/>
              </w:rPr>
              <w:t xml:space="preserve">2.牌号：Q235。</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工作台</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常用工器具，包括但不限于：活扳手、清渣锤、钳子、一字螺丝刀、十字螺丝刀、宽刃扁</w:t>
            </w:r>
            <w:r>
              <w:rPr>
                <w:rFonts w:hint="eastAsia" w:ascii="宋体" w:hAnsi="宋体" w:eastAsia="宋体"/>
                <w:b w:val="0"/>
                <w:sz w:val="18"/>
              </w:rPr>
              <w:t xml:space="preserve">錾</w:t>
            </w:r>
            <w:r>
              <w:rPr>
                <w:rFonts w:ascii="宋体" w:hAnsi="宋体" w:eastAsia="宋体"/>
                <w:b w:val="0"/>
                <w:sz w:val="18"/>
              </w:rPr>
              <w:t xml:space="preserve">、角磨机、钢丝刷等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各类工器具的型号规格应满足作业需要。</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焊接除尘设备</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应符合现行标准《焊接烟尘捕集和分离设备》（GB/T43917）相应部分的要求。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移动式操作平台（门式架），包括但不限于：防护栏杆、门架及配件、爬梯、脚轮等</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1.满足搭设1层所需的构配件。</w:t>
            </w:r>
            <w:r/>
          </w:p>
          <w:p>
            <w:pPr>
              <w:jc w:val="left"/>
              <w:spacing w:before="0" w:after="0" w:line="230" w:lineRule="exact"/>
              <w:rPr>
                <w:rFonts w:ascii="宋体" w:hAnsi="宋体" w:eastAsia="宋体"/>
                <w:b w:val="0"/>
                <w:sz w:val="18"/>
              </w:rPr>
            </w:pPr>
            <w:r>
              <w:rPr>
                <w:rFonts w:ascii="宋体" w:hAnsi="宋体" w:eastAsia="宋体"/>
                <w:b w:val="0"/>
                <w:sz w:val="18"/>
              </w:rPr>
              <w:t xml:space="preserve">2.门架及配件应符合现行标准《门式钢管脚手架》（JG/T13）的有关要求。</w:t>
            </w:r>
            <w:r/>
          </w:p>
          <w:p>
            <w:pPr>
              <w:jc w:val="left"/>
              <w:spacing w:before="0" w:after="0" w:line="230" w:lineRule="exact"/>
            </w:pPr>
            <w:r>
              <w:rPr>
                <w:rFonts w:ascii="宋体" w:hAnsi="宋体" w:eastAsia="宋体"/>
                <w:b w:val="0"/>
                <w:sz w:val="18"/>
              </w:rPr>
              <w:t xml:space="preserve">3.脚轮应符合现行标准《工业脚轮和车轮》（GB/T14687）的有关要求，可调高度、可制动，万向脚轮</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焊渣接火斗</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焊接防火布</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干粉灭火器、二氧化碳灭火器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1.手提式。</w:t>
            </w:r>
            <w:r/>
          </w:p>
          <w:p>
            <w:pPr>
              <w:jc w:val="left"/>
              <w:spacing w:before="0" w:after="0" w:line="230" w:lineRule="exact"/>
            </w:pPr>
            <w:r>
              <w:rPr>
                <w:rFonts w:ascii="宋体" w:hAnsi="宋体" w:eastAsia="宋体"/>
                <w:b w:val="0"/>
                <w:sz w:val="18"/>
              </w:rPr>
              <w:t xml:space="preserve">2.应符合现行标准《手提式灭火器》（GB4351）的有关要求。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实物仿真汽油桶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实物仿真油漆桶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木板或木棍</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纸板或纸团</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实物仿真氧气瓶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实物仿真乙炔瓶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速差自控器（防坠器）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1.速差自控器（防坠器）的安全绳长度不超过挂点至地面的距离，保证坠落发生后最小安全距离应大于1m。</w:t>
            </w:r>
            <w:r/>
          </w:p>
          <w:p>
            <w:pPr>
              <w:jc w:val="left"/>
              <w:spacing w:before="0" w:after="0" w:line="230" w:lineRule="exact"/>
            </w:pPr>
            <w:r>
              <w:rPr>
                <w:rFonts w:ascii="宋体" w:hAnsi="宋体" w:eastAsia="宋体"/>
                <w:b w:val="0"/>
                <w:sz w:val="18"/>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K32</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二氧化碳气体保护焊考位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≥9</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二氧化碳气体保护焊机</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1.焊机参数要求：</w:t>
            </w:r>
            <w:r/>
          </w:p>
          <w:p>
            <w:pPr>
              <w:jc w:val="left"/>
              <w:spacing w:before="0" w:after="0" w:line="230" w:lineRule="exact"/>
              <w:rPr>
                <w:rFonts w:ascii="宋体" w:hAnsi="宋体" w:eastAsia="宋体"/>
                <w:b w:val="0"/>
                <w:sz w:val="18"/>
              </w:rPr>
            </w:pPr>
            <w:r>
              <w:rPr>
                <w:rFonts w:ascii="宋体" w:hAnsi="宋体" w:eastAsia="宋体"/>
                <w:b w:val="0"/>
                <w:sz w:val="18"/>
              </w:rPr>
              <w:t xml:space="preserve">（1）额定输入电压：三相380V；</w:t>
            </w:r>
            <w:r/>
          </w:p>
          <w:p>
            <w:pPr>
              <w:jc w:val="left"/>
              <w:spacing w:before="0" w:after="0" w:line="230" w:lineRule="exact"/>
              <w:rPr>
                <w:rFonts w:ascii="宋体" w:hAnsi="宋体" w:eastAsia="宋体"/>
                <w:b w:val="0"/>
                <w:sz w:val="18"/>
              </w:rPr>
            </w:pPr>
            <w:r>
              <w:rPr>
                <w:rFonts w:ascii="宋体" w:hAnsi="宋体" w:eastAsia="宋体"/>
                <w:b w:val="0"/>
                <w:sz w:val="18"/>
              </w:rPr>
              <w:t xml:space="preserve">（2）额定输入功率：≥14kW。</w:t>
            </w:r>
            <w:r/>
          </w:p>
          <w:p>
            <w:pPr>
              <w:jc w:val="left"/>
              <w:spacing w:before="0" w:after="0" w:line="230" w:lineRule="exact"/>
            </w:pPr>
            <w:r>
              <w:rPr>
                <w:rFonts w:ascii="宋体" w:hAnsi="宋体" w:eastAsia="宋体"/>
                <w:b w:val="0"/>
                <w:sz w:val="18"/>
              </w:rPr>
              <w:t xml:space="preserve">2.应符合现行标准《弧焊设备第1部分：焊接电源》（GB/T15579.1）、《电弧焊机通用技术条件》（GB/T8118）的有关要求。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1.考位电源采用三相五线制布线，按照“一机一闸一保护”要求设置电源，焊机要有可靠的接地。</w:t>
            </w:r>
            <w:r/>
          </w:p>
          <w:p>
            <w:pPr>
              <w:jc w:val="left"/>
              <w:spacing w:before="0" w:after="0" w:line="230" w:lineRule="exact"/>
              <w:rPr>
                <w:rFonts w:ascii="宋体" w:hAnsi="宋体" w:eastAsia="宋体"/>
                <w:b w:val="0"/>
                <w:sz w:val="18"/>
              </w:rPr>
            </w:pPr>
            <w:r>
              <w:rPr>
                <w:rFonts w:ascii="宋体" w:hAnsi="宋体" w:eastAsia="宋体"/>
                <w:b w:val="0"/>
                <w:sz w:val="18"/>
              </w:rPr>
              <w:t xml:space="preserve">2.考位应符合现行标准《焊接与切割安全》（GB9448）规定的工作区域防护、通风、灭火、电弧焊接及切割安全等有关要求。</w:t>
            </w:r>
            <w:r/>
          </w:p>
          <w:p>
            <w:pPr>
              <w:jc w:val="left"/>
              <w:spacing w:before="0" w:after="0" w:line="230" w:lineRule="exact"/>
              <w:rPr>
                <w:rFonts w:ascii="宋体" w:hAnsi="宋体" w:eastAsia="宋体"/>
                <w:b w:val="0"/>
                <w:sz w:val="18"/>
              </w:rPr>
            </w:pPr>
            <w:r>
              <w:rPr>
                <w:rFonts w:ascii="宋体" w:hAnsi="宋体" w:eastAsia="宋体"/>
                <w:b w:val="0"/>
                <w:sz w:val="18"/>
              </w:rPr>
              <w:t xml:space="preserve">3.考试前应设置不少于2个干扰项设备设施。</w:t>
            </w:r>
            <w:r/>
          </w:p>
          <w:p>
            <w:pPr>
              <w:jc w:val="left"/>
              <w:spacing w:before="0" w:after="0" w:line="230" w:lineRule="exact"/>
            </w:pPr>
            <w:r>
              <w:rPr>
                <w:rFonts w:ascii="宋体" w:hAnsi="宋体" w:eastAsia="宋体"/>
                <w:b w:val="0"/>
                <w:sz w:val="18"/>
              </w:rPr>
              <w:t xml:space="preserve">4.考生在作业前，必须按照《焊接与切割安全》（GB 9448）要求做好人身防护。</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送丝装置</w:t>
            </w:r>
            <w:r/>
          </w:p>
        </w:tc>
        <w:tc>
          <w:tcPr>
            <w:tcW w:w="4478" w:type="dxa"/>
            <w:vAlign w:val="center"/>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1.与焊机匹配</w:t>
            </w:r>
            <w:r>
              <w:rPr>
                <w:rFonts w:hint="eastAsia"/>
                <w:b w:val="0"/>
                <w:sz w:val="18"/>
                <w:lang w:eastAsia="zh-CN"/>
              </w:rPr>
              <w:t xml:space="preserve">。</w:t>
            </w:r>
            <w:r/>
          </w:p>
          <w:p>
            <w:pPr>
              <w:jc w:val="left"/>
              <w:spacing w:before="0" w:after="0" w:line="230" w:lineRule="exact"/>
            </w:pPr>
            <w:r>
              <w:rPr>
                <w:rFonts w:ascii="宋体" w:hAnsi="宋体" w:eastAsia="宋体"/>
                <w:b w:val="0"/>
                <w:sz w:val="18"/>
              </w:rPr>
              <w:t xml:space="preserve">2.应符合现行标准《弧焊设备第5部分：送丝装置》（GB/T15579.5）的有关要求。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焊枪</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1.与焊机匹配，长度不小于3m。</w:t>
            </w:r>
            <w:r/>
          </w:p>
          <w:p>
            <w:pPr>
              <w:jc w:val="left"/>
              <w:spacing w:before="0" w:after="0" w:line="230" w:lineRule="exact"/>
            </w:pPr>
            <w:r>
              <w:rPr>
                <w:rFonts w:ascii="宋体" w:hAnsi="宋体" w:eastAsia="宋体"/>
                <w:b w:val="0"/>
                <w:sz w:val="18"/>
              </w:rPr>
              <w:t xml:space="preserve">2.应符合现行标准《弧焊设备第7部分：焊炬（枪）》（GB/T15579.7）的有关要求。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焊接夹钳及配套电缆线</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1.与焊机匹配，电缆线长度不小于3m。2.应符合现行标准《弧焊设备第13部分：焊接夹钳》（GB/T15579.13）的有关要求。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二氧化碳气瓶及相关附件</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1.气瓶应在检验有效期内，有警示标签和充装产品合格标签。</w:t>
            </w:r>
            <w:r/>
          </w:p>
          <w:p>
            <w:pPr>
              <w:jc w:val="left"/>
              <w:spacing w:before="0" w:after="0" w:line="230" w:lineRule="exact"/>
            </w:pPr>
            <w:r>
              <w:rPr>
                <w:rFonts w:ascii="宋体" w:hAnsi="宋体" w:eastAsia="宋体"/>
                <w:b w:val="0"/>
                <w:sz w:val="18"/>
              </w:rPr>
              <w:t xml:space="preserve">2.应符合现行标准《钢质焊接气瓶》（GB/T5100）的有关要求或《钢质无缝气瓶》（GB/T5099）相应部分的要求。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气瓶防倾倒装置</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二氧化碳减压器高压表、流量计及加热器</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应符合现行标准《焊接、切割及类似工艺用气瓶减压器》（GB/T7899）的有关要求。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二氧化碳焊丝</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Φ0.8</w:t>
            </w:r>
            <w:r>
              <w:rPr>
                <w:rFonts w:hint="eastAsia" w:ascii="宋体" w:hAnsi="宋体" w:eastAsia="宋体" w:cs="宋体"/>
                <w:b w:val="0"/>
                <w:sz w:val="18"/>
              </w:rPr>
              <w:t xml:space="preserve">～</w:t>
            </w:r>
            <w:r>
              <w:rPr>
                <w:rFonts w:ascii="宋体" w:hAnsi="宋体" w:eastAsia="宋体"/>
                <w:b w:val="0"/>
                <w:sz w:val="18"/>
              </w:rPr>
              <w:t xml:space="preserve">1.2mm，实心焊丝或药芯焊丝。</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焊丝头回收桶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焊接板材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1.规格：厚度4</w:t>
            </w:r>
            <w:r>
              <w:rPr>
                <w:rFonts w:hint="eastAsia" w:ascii="宋体" w:hAnsi="宋体" w:eastAsia="宋体" w:cs="宋体"/>
                <w:b w:val="0"/>
                <w:sz w:val="18"/>
              </w:rPr>
              <w:t xml:space="preserve">～</w:t>
            </w:r>
            <w:r>
              <w:rPr>
                <w:rFonts w:ascii="宋体" w:hAnsi="宋体" w:eastAsia="宋体"/>
                <w:b w:val="0"/>
                <w:sz w:val="18"/>
              </w:rPr>
              <w:t xml:space="preserve">10mm、长度150mm、宽度50mm2.牌号：Q235。</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工作台</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rPr>
                <w:rFonts w:hint="eastAsia" w:eastAsia="宋体"/>
                <w:lang w:eastAsia="zh-CN"/>
              </w:rPr>
            </w:pPr>
            <w:r>
              <w:rPr>
                <w:rFonts w:ascii="宋体" w:hAnsi="宋体" w:eastAsia="宋体"/>
                <w:b w:val="0"/>
                <w:sz w:val="18"/>
              </w:rPr>
              <w:t xml:space="preserve">常用工器具，包括但不限于：活扳手、清渣锤、钳子、斜口钳、一字螺丝刀、十字螺丝刀、宽刃扁錾、角磨机、钢丝刷等</w:t>
            </w:r>
            <w:r>
              <w:rPr>
                <w:rFonts w:hint="eastAsia" w:ascii="宋体" w:hAnsi="宋体" w:eastAsia="宋体"/>
                <w:b w:val="0"/>
                <w:sz w:val="18"/>
                <w:lang w:eastAsia="zh-CN"/>
              </w:rPr>
              <w:t xml:space="preserve">。</w:t>
            </w:r>
            <w:r/>
          </w:p>
        </w:tc>
        <w:tc>
          <w:tcPr>
            <w:tcW w:w="4478" w:type="dxa"/>
            <w:vAlign w:val="center"/>
            <w:textDirection w:val="lrTb"/>
            <w:noWrap w:val="false"/>
          </w:tcPr>
          <w:p>
            <w:pPr>
              <w:jc w:val="left"/>
              <w:spacing w:before="0" w:after="0" w:line="230" w:lineRule="exact"/>
              <w:rPr>
                <w:rFonts w:hint="eastAsia" w:eastAsia="宋体"/>
                <w:lang w:eastAsia="zh-CN"/>
              </w:rPr>
            </w:pPr>
            <w:r>
              <w:rPr>
                <w:rFonts w:ascii="宋体" w:hAnsi="宋体" w:eastAsia="宋体"/>
                <w:b w:val="0"/>
                <w:sz w:val="18"/>
              </w:rPr>
              <w:t xml:space="preserve">各类工器具的型号规格应满足作业需要</w:t>
            </w:r>
            <w:r>
              <w:rPr>
                <w:rFonts w:hint="eastAsia" w:ascii="宋体" w:hAnsi="宋体" w:eastAsia="宋体"/>
                <w:b w:val="0"/>
                <w:sz w:val="18"/>
                <w:lang w:eastAsia="zh-CN"/>
              </w:rPr>
              <w:t xml:space="preserve">。</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焊接除尘设备</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应符合现行标准《焊接烟尘捕集和分离设备》（GB/T43917）相应部分的要求。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干粉灭火器、二氧化碳灭火器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1.手提式。</w:t>
            </w:r>
            <w:r/>
          </w:p>
          <w:p>
            <w:pPr>
              <w:jc w:val="left"/>
              <w:spacing w:before="0" w:after="0" w:line="230" w:lineRule="exact"/>
            </w:pPr>
            <w:r>
              <w:rPr>
                <w:rFonts w:ascii="宋体" w:hAnsi="宋体" w:eastAsia="宋体"/>
                <w:b w:val="0"/>
                <w:sz w:val="18"/>
              </w:rPr>
              <w:t xml:space="preserve">2.应符合现行标准《手提式灭火器》（GB4351）的有关要求。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实物仿真汽油桶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实物仿真油漆桶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木板或木棍</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纸板或纸团</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实物仿真氧气瓶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实物仿真乙炔瓶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K33</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氩弧焊考位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≥9</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氩弧焊机</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1.焊机参数要求：</w:t>
            </w:r>
            <w:r/>
          </w:p>
          <w:p>
            <w:pPr>
              <w:jc w:val="left"/>
              <w:spacing w:before="0" w:after="0" w:line="230" w:lineRule="exact"/>
              <w:rPr>
                <w:rFonts w:ascii="宋体" w:hAnsi="宋体" w:eastAsia="宋体"/>
                <w:b w:val="0"/>
                <w:sz w:val="18"/>
              </w:rPr>
            </w:pPr>
            <w:r>
              <w:rPr>
                <w:rFonts w:ascii="宋体" w:hAnsi="宋体" w:eastAsia="宋体"/>
                <w:b w:val="0"/>
                <w:sz w:val="18"/>
              </w:rPr>
              <w:t xml:space="preserve">（1）额定输入电压：三相380V；</w:t>
            </w:r>
            <w:r/>
          </w:p>
          <w:p>
            <w:pPr>
              <w:jc w:val="left"/>
              <w:spacing w:before="0" w:after="0" w:line="230" w:lineRule="exact"/>
              <w:rPr>
                <w:rFonts w:ascii="宋体" w:hAnsi="宋体" w:eastAsia="宋体"/>
                <w:b w:val="0"/>
                <w:sz w:val="18"/>
              </w:rPr>
            </w:pPr>
            <w:r>
              <w:rPr>
                <w:rFonts w:ascii="宋体" w:hAnsi="宋体" w:eastAsia="宋体"/>
                <w:b w:val="0"/>
                <w:sz w:val="18"/>
              </w:rPr>
              <w:t xml:space="preserve">（2）额定输入功率：≥14kW。</w:t>
            </w:r>
            <w:r/>
          </w:p>
          <w:p>
            <w:pPr>
              <w:jc w:val="left"/>
              <w:spacing w:before="0" w:after="0" w:line="230" w:lineRule="exact"/>
            </w:pPr>
            <w:r>
              <w:rPr>
                <w:rFonts w:ascii="宋体" w:hAnsi="宋体" w:eastAsia="宋体"/>
                <w:b w:val="0"/>
                <w:sz w:val="18"/>
              </w:rPr>
              <w:t xml:space="preserve">2.应符合现行标准《弧焊设备第1部分：焊接电源》（GB/T15579.1）、《电弧焊机通用技术条件》（GB/T8118）的有关要求。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1台</w:t>
            </w:r>
            <w:r/>
          </w:p>
        </w:tc>
        <w:tc>
          <w:tcPr>
            <w:tcW w:w="1781"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1.考位电源采用三相五线制布线，按照“一机一闸一保护”要求设置电源，焊机要有可靠的接地。</w:t>
            </w:r>
            <w:r/>
          </w:p>
          <w:p>
            <w:pPr>
              <w:jc w:val="left"/>
              <w:spacing w:before="0" w:after="0" w:line="230" w:lineRule="exact"/>
              <w:rPr>
                <w:rFonts w:ascii="宋体" w:hAnsi="宋体" w:eastAsia="宋体"/>
                <w:b w:val="0"/>
                <w:sz w:val="18"/>
              </w:rPr>
            </w:pPr>
            <w:r>
              <w:rPr>
                <w:rFonts w:ascii="宋体" w:hAnsi="宋体" w:eastAsia="宋体"/>
                <w:b w:val="0"/>
                <w:sz w:val="18"/>
              </w:rPr>
              <w:t xml:space="preserve">2.考位应符合现行标准《焊接与切割安全》（GB9448）规定的工作区域防护、通风、灭火、电弧焊接及切割安全等有关要求。</w:t>
            </w:r>
            <w:r/>
          </w:p>
          <w:p>
            <w:pPr>
              <w:jc w:val="left"/>
              <w:spacing w:before="0" w:after="0" w:line="230" w:lineRule="exact"/>
              <w:rPr>
                <w:rFonts w:ascii="宋体" w:hAnsi="宋体" w:eastAsia="宋体"/>
                <w:b w:val="0"/>
                <w:sz w:val="18"/>
              </w:rPr>
            </w:pPr>
            <w:r>
              <w:rPr>
                <w:rFonts w:ascii="宋体" w:hAnsi="宋体" w:eastAsia="宋体"/>
                <w:b w:val="0"/>
                <w:sz w:val="18"/>
              </w:rPr>
              <w:t xml:space="preserve">3.考试前应设置不少于2个干扰项设备设施。</w:t>
            </w:r>
            <w:r/>
          </w:p>
          <w:p>
            <w:pPr>
              <w:jc w:val="left"/>
              <w:spacing w:before="0" w:after="0" w:line="230" w:lineRule="exact"/>
            </w:pPr>
            <w:r>
              <w:rPr>
                <w:rFonts w:ascii="宋体" w:hAnsi="宋体" w:eastAsia="宋体"/>
                <w:b w:val="0"/>
                <w:sz w:val="18"/>
              </w:rPr>
              <w:t xml:space="preserve">4.考生在作业前，必须按照《焊接与切割安全》（GB 9448）要求做好人身防护。</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焊枪</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1.与焊机匹配，长度不小于3m。</w:t>
            </w:r>
            <w:r/>
          </w:p>
          <w:p>
            <w:pPr>
              <w:jc w:val="left"/>
              <w:spacing w:before="0" w:after="0" w:line="230" w:lineRule="exact"/>
            </w:pPr>
            <w:r>
              <w:rPr>
                <w:rFonts w:ascii="宋体" w:hAnsi="宋体" w:eastAsia="宋体"/>
                <w:b w:val="0"/>
                <w:sz w:val="18"/>
              </w:rPr>
              <w:t xml:space="preserve">2.应符合现行标准《弧焊设备第7部分：焊炬（枪）》（GB/T15579.7）的有关要求。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焊接夹钳及配套电缆线</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1.与焊机匹配，电缆线长度不小于3m。</w:t>
            </w:r>
            <w:r/>
          </w:p>
          <w:p>
            <w:pPr>
              <w:jc w:val="left"/>
              <w:spacing w:before="0" w:after="0" w:line="230" w:lineRule="exact"/>
            </w:pPr>
            <w:r>
              <w:rPr>
                <w:rFonts w:ascii="宋体" w:hAnsi="宋体" w:eastAsia="宋体"/>
                <w:b w:val="0"/>
                <w:sz w:val="18"/>
              </w:rPr>
              <w:t xml:space="preserve">2.应符合现行标准《弧焊设备第13部分：焊接夹钳》（GB/T15579.13）的有关要求。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氩气瓶及相关附件</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1.气瓶应在检验有效期内，有警示标签和充装产品合格标签。</w:t>
            </w:r>
            <w:r/>
          </w:p>
          <w:p>
            <w:pPr>
              <w:jc w:val="left"/>
              <w:spacing w:before="0" w:after="0" w:line="230" w:lineRule="exact"/>
            </w:pPr>
            <w:r>
              <w:rPr>
                <w:rFonts w:ascii="宋体" w:hAnsi="宋体" w:eastAsia="宋体"/>
                <w:b w:val="0"/>
                <w:sz w:val="18"/>
              </w:rPr>
              <w:t xml:space="preserve">2.应符合现行标准《钢质焊接气瓶》（GB/T5100）的有关要求或《钢质无缝气瓶》（GB/T5099）相应部分的要求。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气瓶防倾倒装置</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氩气减压器高压表及流量计</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应符合现行标准《焊接、切割及类似工艺用气瓶减压器》（GB/T7899）的有关要求。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氩弧焊丝</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Φ2.0</w:t>
            </w:r>
            <w:r>
              <w:rPr>
                <w:rFonts w:hint="eastAsia" w:ascii="宋体" w:hAnsi="宋体" w:eastAsia="宋体" w:cs="宋体"/>
                <w:b w:val="0"/>
                <w:sz w:val="18"/>
              </w:rPr>
              <w:t xml:space="preserve">～</w:t>
            </w:r>
            <w:r>
              <w:rPr>
                <w:rFonts w:ascii="宋体" w:hAnsi="宋体" w:eastAsia="宋体"/>
                <w:b w:val="0"/>
                <w:sz w:val="18"/>
              </w:rPr>
              <w:t xml:space="preserve">2.5mm，实心焊丝。</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铈钨极</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Φ1.0</w:t>
            </w:r>
            <w:r>
              <w:rPr>
                <w:rFonts w:hint="eastAsia" w:ascii="宋体" w:hAnsi="宋体" w:eastAsia="宋体" w:cs="宋体"/>
                <w:b w:val="0"/>
                <w:sz w:val="18"/>
              </w:rPr>
              <w:t xml:space="preserve">～</w:t>
            </w:r>
            <w:r>
              <w:rPr>
                <w:rFonts w:ascii="宋体" w:hAnsi="宋体" w:eastAsia="宋体"/>
                <w:b w:val="0"/>
                <w:sz w:val="18"/>
              </w:rPr>
              <w:t xml:space="preserve">2.5mm</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焊丝头回收桶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焊接板材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1.规格：厚度3</w:t>
            </w:r>
            <w:r>
              <w:rPr>
                <w:rFonts w:hint="eastAsia" w:ascii="宋体" w:hAnsi="宋体" w:eastAsia="宋体" w:cs="宋体"/>
                <w:b w:val="0"/>
                <w:sz w:val="18"/>
              </w:rPr>
              <w:t xml:space="preserve">～</w:t>
            </w:r>
            <w:r>
              <w:rPr>
                <w:rFonts w:ascii="宋体" w:hAnsi="宋体" w:eastAsia="宋体"/>
                <w:b w:val="0"/>
                <w:sz w:val="18"/>
              </w:rPr>
              <w:t xml:space="preserve">6mm、长度150mm、宽度50mm2.牌号：Q235。</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工作台</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常用工器具，包括但不限于：活扳手、清渣锤、钳子、一字螺丝刀、十字螺丝刀、宽刃扁錾、角磨机、钢丝刷等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各类工器具的型号规格应满足作业需要。</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焊接除尘设备</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应符合现行标准《焊接烟尘捕集和分离设备》（GB/T43917）相应部分的要求。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干粉灭火器、二氧化碳灭火器</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1.手提式。2.应符合现行标准《手提式灭火器》（GB4351）的有关要求。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实物仿真汽油桶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实物仿真油漆桶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木板或木棍</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纸板或纸团</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实物仿真氧气瓶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实物仿真乙炔瓶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K34</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气焊（割）考位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≥9m²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氧气瓶及相关附件</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1.气瓶应在检验有效期内，有警示标签和充装产品合格标签。</w:t>
            </w:r>
            <w:r/>
          </w:p>
          <w:p>
            <w:pPr>
              <w:jc w:val="left"/>
              <w:spacing w:before="0" w:after="0" w:line="230" w:lineRule="exact"/>
            </w:pPr>
            <w:r>
              <w:rPr>
                <w:rFonts w:ascii="宋体" w:hAnsi="宋体" w:eastAsia="宋体"/>
                <w:b w:val="0"/>
                <w:sz w:val="18"/>
              </w:rPr>
              <w:t xml:space="preserve">2.应符合现行标准《钢质焊接气瓶》（GB/T5100）的有关要求或《钢质无缝气瓶》（GB/T5099）相应部分的要求。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考位应符合现行标准《焊接与切割安全》（GB9448）规定的工作区域防护、通风、灭火、氧燃气焊接及切割安全等有关要求，可以根据场地情况分开设置气焊考位、高处气割考位。2.考位外分别设置氧气瓶存放区、乙炔瓶存放区，存放区应设置相应气体的危险性浓度探测报警装置，避免阳光直射，应符合气瓶存放有关的通风、温湿度等要求，应符合各类气瓶之间、各类气瓶与动火区域的安全距离要求。</w:t>
            </w:r>
            <w:r/>
          </w:p>
          <w:p>
            <w:pPr>
              <w:jc w:val="left"/>
              <w:spacing w:before="0" w:after="0" w:line="230" w:lineRule="exact"/>
              <w:rPr>
                <w:rFonts w:ascii="宋体" w:hAnsi="宋体" w:eastAsia="宋体"/>
                <w:b w:val="0"/>
                <w:sz w:val="18"/>
              </w:rPr>
            </w:pPr>
            <w:r>
              <w:rPr>
                <w:rFonts w:ascii="宋体" w:hAnsi="宋体" w:eastAsia="宋体"/>
                <w:b w:val="0"/>
                <w:sz w:val="18"/>
              </w:rPr>
              <w:t xml:space="preserve">3.储存量超过5瓶乙炔的考试点，应设置储存室，储存室应符合国家有关建设标准和安全规定。</w:t>
            </w:r>
            <w:r/>
          </w:p>
          <w:p>
            <w:pPr>
              <w:jc w:val="left"/>
              <w:spacing w:before="0" w:after="0" w:line="230" w:lineRule="exact"/>
              <w:rPr>
                <w:rFonts w:hint="eastAsia" w:ascii="宋体" w:hAnsi="宋体" w:eastAsia="宋体"/>
                <w:b w:val="0"/>
                <w:sz w:val="18"/>
                <w:lang w:eastAsia="zh-CN"/>
              </w:rPr>
            </w:pPr>
            <w:r>
              <w:rPr>
                <w:rFonts w:ascii="宋体" w:hAnsi="宋体" w:eastAsia="宋体"/>
                <w:b w:val="0"/>
                <w:sz w:val="18"/>
              </w:rPr>
              <w:t xml:space="preserve">4.有条件的考试点可使用汇流排式管道输送乙炔和氧气，输气管道应符合国家有关规定和</w:t>
            </w:r>
            <w:r>
              <w:rPr>
                <w:rFonts w:hint="eastAsia"/>
                <w:b w:val="0"/>
                <w:sz w:val="18"/>
                <w:lang w:val="en-US" w:eastAsia="zh-CN"/>
              </w:rPr>
              <w:t xml:space="preserve">标准</w:t>
            </w:r>
            <w:r>
              <w:rPr>
                <w:rFonts w:hint="eastAsia"/>
                <w:b w:val="0"/>
                <w:sz w:val="18"/>
                <w:lang w:eastAsia="zh-CN"/>
              </w:rPr>
              <w:t xml:space="preserve">。</w:t>
            </w:r>
            <w:r/>
          </w:p>
          <w:p>
            <w:pPr>
              <w:jc w:val="left"/>
              <w:spacing w:before="0" w:after="0" w:line="230" w:lineRule="exact"/>
              <w:rPr>
                <w:rFonts w:ascii="宋体" w:hAnsi="宋体" w:eastAsia="宋体"/>
                <w:b w:val="0"/>
                <w:sz w:val="18"/>
              </w:rPr>
            </w:pPr>
            <w:r>
              <w:rPr>
                <w:rFonts w:ascii="宋体" w:hAnsi="宋体" w:eastAsia="宋体"/>
                <w:b w:val="0"/>
                <w:sz w:val="18"/>
              </w:rPr>
              <w:t xml:space="preserve">5.考试前应设置不少于2个干扰项设备设施。</w:t>
            </w:r>
            <w:r/>
          </w:p>
          <w:p>
            <w:pPr>
              <w:jc w:val="left"/>
              <w:spacing w:before="0" w:after="0" w:line="230" w:lineRule="exact"/>
              <w:rPr>
                <w:rFonts w:ascii="宋体" w:hAnsi="宋体" w:eastAsia="宋体"/>
                <w:b w:val="0"/>
                <w:sz w:val="18"/>
              </w:rPr>
            </w:pPr>
            <w:r>
              <w:rPr>
                <w:rFonts w:ascii="宋体" w:hAnsi="宋体" w:eastAsia="宋体"/>
                <w:b w:val="0"/>
                <w:sz w:val="18"/>
              </w:rPr>
              <w:t xml:space="preserve">6.考生在作业前，必须按照《焊接与切割安全》（GB 9448）要求做好人身防护；考核高处气割作业时，在攀登移动式操作平台前，必须将速差自控器（防坠器）与安全带连接。</w:t>
            </w:r>
            <w:r/>
          </w:p>
          <w:p>
            <w:pPr>
              <w:jc w:val="left"/>
              <w:spacing w:before="0" w:after="0" w:line="230" w:lineRule="exact"/>
            </w:pPr>
            <w:r>
              <w:rPr>
                <w:rFonts w:ascii="宋体" w:hAnsi="宋体" w:eastAsia="宋体"/>
                <w:b w:val="0"/>
                <w:sz w:val="18"/>
              </w:rPr>
              <w:t xml:space="preserve">7.允许使用其他可燃气体替代乙炔气体，使用其他可燃气体时，配套的气瓶、减压器、回火防止器、胶管等相关组件应符合国家有关规定和标准。</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乙炔瓶及相关附件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1.气瓶应在检验有效期内，有警示标签和充装产品合格标签。2.应符合现行标准《钢质焊接气瓶》（GB/T5100）的有关要求或《钢质无缝气瓶》（GB/T5099）相应部分的要求。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气瓶防倾倒装置</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2套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氧气减压器</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应符合现行标准《焊接、切割及类似工艺用气瓶减压器》（GB/T7899）的有关要求。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乙炔减压器</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应符合现行标准《焊接、切割及类似工艺用气瓶减压器》（GB/T7899）的有关要求。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氧气回火防止器</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应符合现行标准《干式回火防止器》（JB/T7437）的有关要求。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乙炔回火防止器</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应符合现行标准《干式回火防止器》（JB/T7437）的有关要求。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氧气胶管</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1.长度不小于10m。2.应符合现行标准《气体焊接设备焊接、切割和类似作业用橡胶软管GB/T2550）的有关要求。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乙炔胶管</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1.长度不小于10m。2.应符合现行标准《气体焊接设备焊接、切割和类似作业用橡胶软管</w:t>
            </w:r>
            <w:r>
              <w:rPr>
                <w:rFonts w:hint="eastAsia" w:ascii="宋体" w:hAnsi="宋体" w:eastAsia="宋体"/>
                <w:b w:val="0"/>
                <w:sz w:val="18"/>
                <w:lang w:eastAsia="zh-CN"/>
              </w:rPr>
              <w:t xml:space="preserve">（</w:t>
            </w:r>
            <w:r>
              <w:rPr>
                <w:rFonts w:ascii="宋体" w:hAnsi="宋体" w:eastAsia="宋体"/>
                <w:b w:val="0"/>
                <w:sz w:val="18"/>
              </w:rPr>
              <w:t xml:space="preserve">GB/T2550）的有关要求。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焊炬</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 H01-6。2.应符合现行标准《气焊设备焊接、切割及相关工艺用炬》（JB/T7947）的有关要求。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割炬</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1.G01-30。2.应符合现行标准《气焊设备焊接、切割及相关工艺用炬》（JB/T7947）的有关要求。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点火器</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焊丝</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Φ2.0</w:t>
            </w:r>
            <w:r>
              <w:rPr>
                <w:rFonts w:hint="eastAsia" w:ascii="宋体" w:hAnsi="宋体" w:eastAsia="宋体" w:cs="宋体"/>
                <w:b w:val="0"/>
                <w:sz w:val="21"/>
                <w:szCs w:val="21"/>
              </w:rPr>
              <w:t xml:space="preserve">～</w:t>
            </w:r>
            <w:r>
              <w:rPr>
                <w:rFonts w:ascii="宋体" w:hAnsi="宋体" w:eastAsia="宋体"/>
                <w:b w:val="0"/>
                <w:sz w:val="18"/>
              </w:rPr>
              <w:t xml:space="preserve">3.0mm,H08A。</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焊丝头回收桶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气焊板材</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1.规格：厚度2</w:t>
            </w:r>
            <w:r>
              <w:rPr>
                <w:rFonts w:hint="eastAsia" w:ascii="宋体" w:hAnsi="宋体" w:eastAsia="宋体" w:cs="宋体"/>
                <w:b w:val="0"/>
                <w:sz w:val="21"/>
                <w:szCs w:val="21"/>
              </w:rPr>
              <w:t xml:space="preserve">～</w:t>
            </w:r>
            <w:r>
              <w:rPr>
                <w:rFonts w:ascii="宋体" w:hAnsi="宋体" w:eastAsia="宋体"/>
                <w:b w:val="0"/>
                <w:sz w:val="18"/>
              </w:rPr>
              <w:t xml:space="preserve">6mm、长度150mm、宽度50mm。</w:t>
            </w:r>
            <w:r/>
          </w:p>
          <w:p>
            <w:pPr>
              <w:jc w:val="left"/>
              <w:spacing w:before="0" w:after="0" w:line="230" w:lineRule="exact"/>
            </w:pPr>
            <w:r>
              <w:rPr>
                <w:rFonts w:ascii="宋体" w:hAnsi="宋体" w:eastAsia="宋体"/>
                <w:b w:val="0"/>
                <w:sz w:val="18"/>
              </w:rPr>
              <w:t xml:space="preserve">2.牌号：Q235。</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气割板材</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1.规格：厚度4</w:t>
            </w:r>
            <w:r>
              <w:rPr>
                <w:rFonts w:hint="eastAsia" w:ascii="宋体" w:hAnsi="宋体" w:eastAsia="宋体" w:cs="宋体"/>
                <w:b w:val="0"/>
                <w:sz w:val="21"/>
                <w:szCs w:val="21"/>
              </w:rPr>
              <w:t xml:space="preserve">～</w:t>
            </w:r>
            <w:r>
              <w:rPr>
                <w:rFonts w:ascii="宋体" w:hAnsi="宋体" w:eastAsia="宋体"/>
                <w:b w:val="0"/>
                <w:sz w:val="18"/>
              </w:rPr>
              <w:t xml:space="preserve">12mm、长度150mm、宽度100mm。</w:t>
            </w:r>
            <w:r/>
          </w:p>
          <w:p>
            <w:pPr>
              <w:jc w:val="left"/>
              <w:spacing w:before="0" w:after="0" w:line="230" w:lineRule="exact"/>
            </w:pPr>
            <w:r>
              <w:rPr>
                <w:rFonts w:ascii="宋体" w:hAnsi="宋体" w:eastAsia="宋体"/>
                <w:b w:val="0"/>
                <w:sz w:val="18"/>
              </w:rPr>
              <w:t xml:space="preserve">2.牌号：Q235。</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工作台</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接火斗</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肥皂水（气体检漏）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常用工器具，包括但不限于：活扳手、清渣锤、钳子、一字螺丝刀、十字螺丝刀、通针、气管卡箍、宽刃扁</w:t>
            </w:r>
            <w:r>
              <w:rPr>
                <w:rFonts w:hint="eastAsia" w:ascii="宋体" w:hAnsi="宋体" w:eastAsia="宋体"/>
                <w:b w:val="0"/>
                <w:sz w:val="18"/>
              </w:rPr>
              <w:t xml:space="preserve">錾</w:t>
            </w:r>
            <w:r>
              <w:rPr>
                <w:rFonts w:ascii="宋体" w:hAnsi="宋体" w:eastAsia="宋体"/>
                <w:b w:val="0"/>
                <w:sz w:val="18"/>
              </w:rPr>
              <w:t xml:space="preserve">、角磨机、钢丝刷等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各类工器具的型号规格应满足作业需要。</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焊接除尘设备</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应符合现行标准《焊接烟尘捕集和分离设备》（GB/T43917）相应部分的要求。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移动式操作平台（门式架），包括但不限于：防护栏杆、门架及配件、爬梯、脚轮等</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1.满足搭设1层所需的构配件。</w:t>
            </w:r>
            <w:r/>
          </w:p>
          <w:p>
            <w:pPr>
              <w:jc w:val="left"/>
              <w:spacing w:before="0" w:after="0" w:line="230" w:lineRule="exact"/>
              <w:rPr>
                <w:rFonts w:ascii="宋体" w:hAnsi="宋体" w:eastAsia="宋体"/>
                <w:b w:val="0"/>
                <w:sz w:val="18"/>
              </w:rPr>
            </w:pPr>
            <w:r>
              <w:rPr>
                <w:rFonts w:ascii="宋体" w:hAnsi="宋体" w:eastAsia="宋体"/>
                <w:b w:val="0"/>
                <w:sz w:val="18"/>
              </w:rPr>
              <w:t xml:space="preserve">2.门架及配件应符合现行标准《门式钢管脚手架》（JG/T13）的有关要求。</w:t>
            </w:r>
            <w:r/>
          </w:p>
          <w:p>
            <w:pPr>
              <w:jc w:val="left"/>
              <w:spacing w:before="0" w:after="0" w:line="230" w:lineRule="exact"/>
            </w:pPr>
            <w:r>
              <w:rPr>
                <w:rFonts w:ascii="宋体" w:hAnsi="宋体" w:eastAsia="宋体"/>
                <w:b w:val="0"/>
                <w:sz w:val="18"/>
              </w:rPr>
              <w:t xml:space="preserve">3.脚轮应符合现行标准《工业脚轮和车轮》（GB/T14687）的有关要求，可调高度、可制动，万向脚轮。</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焊渣接火斗</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焊接防火布</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干粉灭火器、二氧化碳灭火器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1.手提式。</w:t>
            </w:r>
            <w:r/>
          </w:p>
          <w:p>
            <w:pPr>
              <w:jc w:val="left"/>
              <w:spacing w:before="0" w:after="0" w:line="230" w:lineRule="exact"/>
            </w:pPr>
            <w:r>
              <w:rPr>
                <w:rFonts w:ascii="宋体" w:hAnsi="宋体" w:eastAsia="宋体"/>
                <w:b w:val="0"/>
                <w:sz w:val="18"/>
              </w:rPr>
              <w:t xml:space="preserve">2.应符合现行标准《手提式灭火器》（GB4351）的有关要求。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both"/>
              <w:spacing w:after="0" w:line="240" w:lineRule="auto"/>
              <w:rPr>
                <w:rFonts w:hint="default" w:eastAsia="宋体"/>
                <w:lang w:val="en-US" w:eastAsia="zh-CN"/>
              </w:rPr>
            </w:pPr>
            <w:r>
              <w:rPr>
                <w:rFonts w:hint="eastAsia"/>
                <w:lang w:val="en-US" w:eastAsia="zh-CN"/>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实物仿真汽油桶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实物仿真油漆桶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木板或木棍</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纸板或纸团</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实物仿真氧气瓶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无倾倒装置或损坏的。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实物仿真乙炔瓶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无倾倒装置或损坏的。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速差自控器（防坠器）</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1.速差自控器（防坠器）的安全绳长度不超过挂点至地面的距离，保证坠落发生后最小安全距离应大于1m。</w:t>
            </w:r>
            <w:r>
              <w:rPr>
                <w:rFonts w:hint="eastAsia"/>
                <w:b w:val="0"/>
                <w:sz w:val="18"/>
                <w:lang w:val="en-US" w:eastAsia="zh-CN"/>
              </w:rPr>
              <w:t xml:space="preserve"> </w:t>
            </w:r>
            <w:r>
              <w:rPr>
                <w:rFonts w:ascii="宋体" w:hAnsi="宋体" w:eastAsia="宋体"/>
                <w:b w:val="0"/>
                <w:sz w:val="18"/>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bl>
    <w:p>
      <w:pPr>
        <w:spacing w:after="40"/>
      </w:pPr>
      <w:r/>
      <w:r/>
    </w:p>
    <w:p>
      <w:pPr>
        <w:pStyle w:val="771"/>
        <w:numPr>
          <w:ilvl w:val="0"/>
          <w:numId w:val="4"/>
        </w:numPr>
        <w:ind w:left="0" w:firstLine="0"/>
        <w:pageBreakBefore w:val="0"/>
        <w:spacing w:line="360" w:lineRule="auto"/>
        <w:widowControl w:val="off"/>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高处安装、维护、拆除作业</w:t>
      </w:r>
      <w:r/>
    </w:p>
    <w:p>
      <w:pPr>
        <w:jc w:val="center"/>
        <w:rPr>
          <w:rFonts w:hint="eastAsia" w:ascii="宋体" w:hAnsi="宋体" w:eastAsia="宋体" w:cs="宋体"/>
          <w:b/>
          <w:bCs/>
          <w:color w:val="auto"/>
          <w:sz w:val="22"/>
          <w:szCs w:val="22"/>
        </w:rPr>
        <w:outlineLvl w:val="9"/>
      </w:pPr>
      <w:r>
        <w:rPr>
          <w:rFonts w:hint="eastAsia" w:ascii="宋体" w:hAnsi="宋体" w:eastAsia="宋体" w:cs="宋体"/>
          <w:b/>
          <w:bCs/>
          <w:color w:val="auto"/>
          <w:sz w:val="22"/>
          <w:szCs w:val="22"/>
        </w:rPr>
        <w:t xml:space="preserve">表</w:t>
      </w:r>
      <w:r>
        <w:rPr>
          <w:rFonts w:hint="eastAsia" w:ascii="宋体" w:hAnsi="宋体" w:eastAsia="宋体" w:cs="宋体"/>
          <w:b/>
          <w:bCs/>
          <w:color w:val="auto"/>
          <w:sz w:val="22"/>
          <w:szCs w:val="22"/>
          <w:lang w:val="en-US" w:eastAsia="zh-CN"/>
        </w:rPr>
        <w:t xml:space="preserve">5</w:t>
      </w:r>
      <w:r>
        <w:rPr>
          <w:rFonts w:hint="eastAsia" w:ascii="宋体" w:hAnsi="宋体" w:eastAsia="宋体" w:cs="宋体"/>
          <w:b/>
          <w:bCs/>
          <w:color w:val="auto"/>
          <w:sz w:val="22"/>
          <w:szCs w:val="22"/>
        </w:rPr>
        <w:t xml:space="preserve">  高处安装、维护、拆除作业实际操作考场考位主要设备配备表</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4478"/>
        <w:gridCol w:w="854"/>
        <w:gridCol w:w="1781"/>
      </w:tblGrid>
      <w:tr>
        <w:trPr>
          <w:jc w:val="center"/>
        </w:trPr>
        <w:tc>
          <w:tcPr>
            <w:tcW w:w="902" w:type="dxa"/>
            <w:vAlign w:val="center"/>
            <w:vMerge w:val="restart"/>
            <w:textDirection w:val="lrTb"/>
            <w:noWrap w:val="false"/>
          </w:tcPr>
          <w:p>
            <w:pPr>
              <w:jc w:val="center"/>
              <w:spacing w:before="0" w:after="0" w:line="230" w:lineRule="exact"/>
            </w:pPr>
            <w:r>
              <w:rPr>
                <w:rFonts w:ascii="黑体" w:hAnsi="黑体" w:eastAsia="黑体"/>
                <w:b/>
                <w:sz w:val="18"/>
              </w:rPr>
              <w:t xml:space="preserve">考位编号</w:t>
            </w:r>
            <w:r/>
          </w:p>
        </w:tc>
        <w:tc>
          <w:tcPr>
            <w:tcW w:w="1041" w:type="dxa"/>
            <w:vAlign w:val="center"/>
            <w:vMerge w:val="restart"/>
            <w:textDirection w:val="lrTb"/>
            <w:noWrap w:val="false"/>
          </w:tcPr>
          <w:p>
            <w:pPr>
              <w:jc w:val="center"/>
              <w:spacing w:before="0" w:after="0" w:line="230" w:lineRule="exact"/>
            </w:pPr>
            <w:r>
              <w:rPr>
                <w:rFonts w:ascii="黑体" w:hAnsi="黑体" w:eastAsia="黑体"/>
                <w:b/>
                <w:sz w:val="18"/>
              </w:rPr>
              <w:t xml:space="preserve">考位名称</w:t>
            </w:r>
            <w:r/>
          </w:p>
        </w:tc>
        <w:tc>
          <w:tcPr>
            <w:tcW w:w="960" w:type="dxa"/>
            <w:vAlign w:val="center"/>
            <w:vMerge w:val="restart"/>
            <w:textDirection w:val="lrTb"/>
            <w:noWrap w:val="false"/>
          </w:tcPr>
          <w:p>
            <w:pPr>
              <w:jc w:val="center"/>
              <w:spacing w:before="0" w:after="0" w:line="230" w:lineRule="exact"/>
            </w:pPr>
            <w:r>
              <w:rPr>
                <w:rFonts w:ascii="黑体" w:hAnsi="黑体" w:eastAsia="黑体"/>
                <w:b/>
                <w:sz w:val="18"/>
              </w:rPr>
              <w:t xml:space="preserve">考位面积</w:t>
            </w:r>
            <w:r/>
          </w:p>
        </w:tc>
        <w:tc>
          <w:tcPr>
            <w:gridSpan w:val="4"/>
            <w:tcW w:w="8557" w:type="dxa"/>
            <w:vAlign w:val="center"/>
            <w:textDirection w:val="lrTb"/>
            <w:noWrap w:val="false"/>
          </w:tcPr>
          <w:p>
            <w:pPr>
              <w:jc w:val="center"/>
              <w:spacing w:before="0" w:after="0" w:line="230" w:lineRule="exact"/>
            </w:pPr>
            <w:r>
              <w:rPr>
                <w:rFonts w:ascii="黑体" w:hAnsi="黑体" w:eastAsia="黑体"/>
                <w:b/>
                <w:sz w:val="18"/>
              </w:rPr>
              <w:t xml:space="preserve">考位设备设施要求</w:t>
            </w:r>
            <w:r/>
          </w:p>
        </w:tc>
        <w:tc>
          <w:tcPr>
            <w:tcW w:w="1781" w:type="dxa"/>
            <w:vAlign w:val="center"/>
            <w:vMerge w:val="restart"/>
            <w:textDirection w:val="lrTb"/>
            <w:noWrap w:val="false"/>
          </w:tcPr>
          <w:p>
            <w:pPr>
              <w:jc w:val="center"/>
              <w:spacing w:before="0" w:after="0" w:line="230" w:lineRule="exact"/>
            </w:pPr>
            <w:r>
              <w:rPr>
                <w:rFonts w:ascii="黑体" w:hAnsi="黑体" w:eastAsia="黑体"/>
                <w:b/>
                <w:sz w:val="18"/>
              </w:rPr>
              <w:t xml:space="preserve">考位布置要求</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center"/>
              <w:spacing w:before="0" w:after="0" w:line="230" w:lineRule="exact"/>
            </w:pPr>
            <w:r>
              <w:rPr>
                <w:rFonts w:ascii="黑体" w:hAnsi="黑体" w:eastAsia="黑体"/>
                <w:b/>
                <w:sz w:val="18"/>
              </w:rPr>
              <w:t xml:space="preserve">设备/设施/器材</w:t>
            </w:r>
            <w:r/>
          </w:p>
        </w:tc>
        <w:tc>
          <w:tcPr>
            <w:tcW w:w="4478" w:type="dxa"/>
            <w:vAlign w:val="center"/>
            <w:textDirection w:val="lrTb"/>
            <w:noWrap w:val="false"/>
          </w:tcPr>
          <w:p>
            <w:pPr>
              <w:jc w:val="center"/>
              <w:spacing w:before="0" w:after="0" w:line="230" w:lineRule="exact"/>
            </w:pPr>
            <w:r>
              <w:rPr>
                <w:rFonts w:ascii="黑体" w:hAnsi="黑体" w:eastAsia="黑体"/>
                <w:b/>
                <w:sz w:val="18"/>
              </w:rPr>
              <w:t xml:space="preserve">规格/要求</w:t>
            </w:r>
            <w:r/>
          </w:p>
        </w:tc>
        <w:tc>
          <w:tcPr>
            <w:tcW w:w="854" w:type="dxa"/>
            <w:vAlign w:val="center"/>
            <w:textDirection w:val="lrTb"/>
            <w:noWrap w:val="false"/>
          </w:tcPr>
          <w:p>
            <w:pPr>
              <w:jc w:val="center"/>
              <w:spacing w:before="0" w:after="0" w:line="230" w:lineRule="exact"/>
            </w:pPr>
            <w:r>
              <w:rPr>
                <w:rFonts w:ascii="黑体" w:hAnsi="黑体" w:eastAsia="黑体"/>
                <w:b/>
                <w:sz w:val="18"/>
              </w:rPr>
              <w:t xml:space="preserve">数量</w:t>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宋体" w:hAnsi="宋体" w:eastAsia="宋体"/>
                <w:b/>
                <w:sz w:val="18"/>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K11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安全用具考位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应符合现行标准《头部防护安全帽》（GB2811）的有关要求。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1顶</w:t>
            </w:r>
            <w:r/>
          </w:p>
        </w:tc>
        <w:tc>
          <w:tcPr>
            <w:tcW w:w="1781"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1.考试前应设置不少于2个干扰项设备设施，每个干扰项设备设施应为其规格/要求中的一种。</w:t>
            </w:r>
            <w:r/>
          </w:p>
          <w:p>
            <w:pPr>
              <w:jc w:val="left"/>
              <w:spacing w:before="0" w:after="0" w:line="230" w:lineRule="exact"/>
            </w:pPr>
            <w:r>
              <w:rPr>
                <w:rFonts w:ascii="宋体" w:hAnsi="宋体" w:eastAsia="宋体"/>
                <w:b w:val="0"/>
                <w:sz w:val="18"/>
              </w:rPr>
              <w:t xml:space="preserve">2.考生在本考位选择防护用品和安全工器具进行后续考试的，考位中各种设备/设施/器材的数量应按照实际情况配备。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安全带</w:t>
            </w:r>
            <w:r/>
          </w:p>
        </w:tc>
        <w:tc>
          <w:tcPr>
            <w:tcW w:w="1910"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围杆作业用安全</w:t>
            </w:r>
            <w:r>
              <w:rPr>
                <w:rFonts w:hint="eastAsia"/>
                <w:b w:val="0"/>
                <w:sz w:val="18"/>
                <w:lang w:val="en-US" w:eastAsia="zh-CN"/>
              </w:rPr>
              <w:t xml:space="preserve">带</w:t>
            </w:r>
            <w:r/>
          </w:p>
        </w:tc>
        <w:tc>
          <w:tcPr>
            <w:tcW w:w="4478" w:type="dxa"/>
            <w:vAlign w:val="center"/>
            <w:vMerge w:val="restart"/>
            <w:textDirection w:val="lrTb"/>
            <w:noWrap w:val="false"/>
          </w:tcPr>
          <w:p>
            <w:pPr>
              <w:jc w:val="left"/>
              <w:spacing w:before="0" w:after="0" w:line="230" w:lineRule="exact"/>
            </w:pPr>
            <w:r>
              <w:rPr>
                <w:rFonts w:ascii="宋体" w:hAnsi="宋体" w:eastAsia="宋体"/>
                <w:b w:val="0"/>
                <w:sz w:val="18"/>
              </w:rPr>
              <w:t xml:space="preserve">应符合现行标准《坠落防护安全带》（GB6095）的有关要求。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区域限制用安全</w:t>
            </w:r>
            <w:r>
              <w:rPr>
                <w:rFonts w:hint="eastAsia"/>
                <w:b w:val="0"/>
                <w:sz w:val="18"/>
                <w:lang w:val="en-US" w:eastAsia="zh-CN"/>
              </w:rPr>
              <w:t xml:space="preserve">带</w:t>
            </w:r>
            <w:r/>
          </w:p>
        </w:tc>
        <w:tc>
          <w:tcPr>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坠落悬挂用安全</w:t>
            </w:r>
            <w:r>
              <w:rPr>
                <w:rFonts w:hint="eastAsia"/>
                <w:b w:val="0"/>
                <w:sz w:val="18"/>
                <w:lang w:val="en-US" w:eastAsia="zh-CN"/>
              </w:rPr>
              <w:t xml:space="preserve">带</w:t>
            </w:r>
            <w:r/>
          </w:p>
        </w:tc>
        <w:tc>
          <w:tcPr>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cs="宋体"/>
                <w:spacing w:val="-14"/>
              </w:rPr>
              <w:t xml:space="preserve">1</w:t>
            </w:r>
            <w:r>
              <w:rPr>
                <w:spacing w:val="-14"/>
              </w:rPr>
              <w:t xml:space="preserve">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安全鞋</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1.高腰、系带、防滑。</w:t>
            </w:r>
            <w:r/>
          </w:p>
          <w:p>
            <w:pPr>
              <w:jc w:val="left"/>
              <w:spacing w:before="0" w:after="0" w:line="230" w:lineRule="exact"/>
            </w:pPr>
            <w:r>
              <w:rPr>
                <w:rFonts w:ascii="宋体" w:hAnsi="宋体" w:eastAsia="宋体"/>
                <w:b w:val="0"/>
                <w:sz w:val="18"/>
              </w:rPr>
              <w:t xml:space="preserve">2.应符合现行标准《足部防护安全鞋》（GB21148）的有关要求。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脚扣</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应符合现行标准《环形混凝土电杆用脚扣》（DL/T1642）或《坠落防护登杆脚扣》（AQ6109）的有关要求。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工作服</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长袖、紧口</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反光背心</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手套</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安全带</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安全鞋</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非标的、损坏的。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衣架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黑体" w:hAnsi="黑体" w:eastAsia="黑体"/>
                <w:b/>
                <w:sz w:val="20"/>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K21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零部件判废考位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≥5m²</w:t>
            </w:r>
            <w:r/>
          </w:p>
        </w:tc>
        <w:tc>
          <w:tcPr>
            <w:gridSpan w:val="2"/>
            <w:tcW w:w="3225"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有问题的移动平台各类零部</w:t>
            </w:r>
            <w:r>
              <w:rPr>
                <w:rFonts w:hint="eastAsia"/>
                <w:b w:val="0"/>
                <w:sz w:val="18"/>
                <w:lang w:val="en-US" w:eastAsia="zh-CN"/>
              </w:rPr>
              <w:t xml:space="preserve">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1批</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有问题的吊篮各类零部件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有问题的单人吊具各类零部</w:t>
            </w:r>
            <w:r>
              <w:rPr>
                <w:rFonts w:hint="eastAsia"/>
                <w:b w:val="0"/>
                <w:sz w:val="18"/>
                <w:lang w:val="en-US" w:eastAsia="zh-CN"/>
              </w:rPr>
              <w:t xml:space="preserve">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有问题的电杆</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有问题的铁塔各类零部件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K22</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作业现场安全隐患排除考位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高处安装、维护、拆除作业现场安全风险、安全隐</w:t>
            </w:r>
            <w:r>
              <w:rPr>
                <w:rFonts w:hint="eastAsia" w:ascii="宋体" w:hAnsi="宋体" w:eastAsia="宋体"/>
                <w:b w:val="0"/>
                <w:sz w:val="18"/>
                <w:lang w:val="en-US" w:eastAsia="zh-CN"/>
              </w:rPr>
              <w:t xml:space="preserve">患</w:t>
            </w:r>
            <w:r>
              <w:rPr>
                <w:rFonts w:ascii="宋体" w:hAnsi="宋体" w:eastAsia="宋体"/>
                <w:b w:val="0"/>
                <w:sz w:val="18"/>
              </w:rPr>
              <w:t xml:space="preserve">、职业危害的场景</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黑体" w:hAnsi="黑体" w:eastAsia="黑体"/>
                <w:b/>
                <w:sz w:val="20"/>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移动平台考位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搭设完毕的架体四周应有符合高处作业防半径要求的安全空间；应有满足存放待</w:t>
            </w:r>
            <w:r>
              <w:rPr>
                <w:rFonts w:hint="eastAsia"/>
                <w:b w:val="0"/>
                <w:sz w:val="18"/>
                <w:lang w:val="en-US" w:eastAsia="zh-CN"/>
              </w:rPr>
              <w:t xml:space="preserve">安</w:t>
            </w:r>
            <w:r>
              <w:rPr>
                <w:rFonts w:ascii="宋体" w:hAnsi="宋体" w:eastAsia="宋体"/>
                <w:b w:val="0"/>
                <w:sz w:val="18"/>
              </w:rPr>
              <w:t xml:space="preserve">装移</w:t>
            </w:r>
            <w:r>
              <w:rPr>
                <w:rFonts w:hint="eastAsia"/>
                <w:b w:val="0"/>
                <w:sz w:val="18"/>
                <w:lang w:val="en-US" w:eastAsia="zh-CN"/>
              </w:rPr>
              <w:t xml:space="preserve">平台</w:t>
            </w:r>
            <w:r>
              <w:rPr>
                <w:rFonts w:ascii="宋体" w:hAnsi="宋体" w:eastAsia="宋体"/>
                <w:b w:val="0"/>
                <w:sz w:val="18"/>
              </w:rPr>
              <w:t xml:space="preserve">构配件的空间</w:t>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移动平台</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移动式操作平台（门式架），包括但不限于：防护栏杆、门架及配件、爬梯、脚轮等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1.满足搭设1层所需的构配件2.门架及配件应符合现行标准《门式钢管脚手架》（JG/T13）的有关要求。3.脚轮应符合现行标准《工业脚轮和车轮》（GB/T14687）的有关要求，可调高度、可制动，万向脚轮。</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pPr>
            <w:r>
              <w:rPr>
                <w:rFonts w:ascii="宋体" w:hAnsi="宋体" w:eastAsia="宋体"/>
                <w:b w:val="0"/>
                <w:sz w:val="18"/>
              </w:rPr>
              <w:t xml:space="preserve">1.考试时搭设平台高度（不含围栏杆）不小于1.8m，操作平台的高宽比不应大于3：1.2.考生在攀登移动平台前，必须将速差自控器（防坠器）与安全带连接。</w:t>
            </w:r>
            <w:r/>
          </w:p>
        </w:tc>
      </w:tr>
      <w:tr>
        <w:trPr>
          <w:jc w:val="center"/>
          <w:trHeight w:val="750"/>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移动操作架，包括但不限于：防护栏杆、踢脚板、脚手板、钢管及连接件、爬梯、脚轮等</w:t>
            </w:r>
            <w:r/>
          </w:p>
        </w:tc>
        <w:tc>
          <w:tcPr>
            <w:tcW w:w="4478" w:type="dxa"/>
            <w:vAlign w:val="center"/>
            <w:textDirection w:val="lrTb"/>
            <w:noWrap w:val="false"/>
          </w:tcPr>
          <w:p>
            <w:pPr>
              <w:jc w:val="left"/>
              <w:spacing w:before="0" w:after="0" w:line="230" w:lineRule="exact"/>
              <w:rPr>
                <w:rFonts w:hint="eastAsia"/>
                <w:b w:val="0"/>
                <w:sz w:val="18"/>
                <w:lang w:eastAsia="zh-CN"/>
              </w:rPr>
            </w:pPr>
            <w:r>
              <w:rPr>
                <w:rFonts w:ascii="宋体" w:hAnsi="宋体" w:eastAsia="宋体"/>
                <w:b w:val="0"/>
                <w:sz w:val="18"/>
              </w:rPr>
              <w:t xml:space="preserve">1.满足搭设1层所需的构配件</w:t>
            </w:r>
            <w:r>
              <w:rPr>
                <w:rFonts w:hint="eastAsia"/>
                <w:b w:val="0"/>
                <w:sz w:val="18"/>
                <w:lang w:eastAsia="zh-CN"/>
              </w:rPr>
              <w:t xml:space="preserve">。</w:t>
            </w:r>
            <w:r/>
          </w:p>
          <w:p>
            <w:pPr>
              <w:jc w:val="left"/>
              <w:spacing w:before="0" w:after="0" w:line="230" w:lineRule="exact"/>
              <w:rPr>
                <w:rFonts w:ascii="宋体" w:hAnsi="宋体" w:eastAsia="宋体"/>
                <w:b w:val="0"/>
                <w:sz w:val="18"/>
              </w:rPr>
            </w:pPr>
            <w:r>
              <w:rPr>
                <w:rFonts w:ascii="宋体" w:hAnsi="宋体" w:eastAsia="宋体"/>
                <w:b w:val="0"/>
                <w:sz w:val="18"/>
              </w:rPr>
              <w:t xml:space="preserve">2.钢管及连接件应符合现行标准《建筑施工扣件式钢管脚手架安全技术规范》（JGJ130）对构配件的质量要求，扣件还应符合现行标准《钢管脚手架扣件》（GB/T15831）的有关要求。</w:t>
            </w:r>
            <w:r/>
          </w:p>
          <w:p>
            <w:pPr>
              <w:jc w:val="left"/>
              <w:spacing w:before="0" w:after="0" w:line="230" w:lineRule="exact"/>
            </w:pPr>
            <w:r>
              <w:rPr>
                <w:rFonts w:ascii="宋体" w:hAnsi="宋体" w:eastAsia="宋体"/>
                <w:b w:val="0"/>
                <w:sz w:val="18"/>
              </w:rPr>
              <w:t xml:space="preserve">3.脚轮应符合现行标准《工业脚轮和车轮》（GB/T14687）的有关要求，可调高度、可制动，万向脚轮。</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搭设平台所需的配套工器具，包括但不限于：卷尺、扳手</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b w:val="0"/>
                <w:sz w:val="18"/>
                <w:lang w:val="en-US" w:eastAsia="zh-CN"/>
              </w:rPr>
              <w:t xml:space="preserve">套数根据作业人数配备</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hint="eastAsia"/>
                <w:b w:val="0"/>
                <w:sz w:val="18"/>
                <w:lang w:val="en-US" w:eastAsia="zh-CN"/>
              </w:rPr>
              <w:t xml:space="preserve">数量根据作业人数</w:t>
            </w:r>
            <w:r>
              <w:rPr>
                <w:rFonts w:ascii="宋体" w:hAnsi="宋体" w:eastAsia="宋体"/>
                <w:b w:val="0"/>
                <w:sz w:val="18"/>
              </w:rPr>
              <w:t xml:space="preserve">配备</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作业环境显示屏</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可设置和展示场地是否平整、坚实以及排水是否顺畅等情况，可设置和展示温度、雨、雪、雾、风向、风速等天气情况。</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both"/>
              <w:spacing w:after="0" w:line="240" w:lineRule="auto"/>
              <w:rPr>
                <w:rFonts w:hint="default" w:eastAsia="宋体"/>
                <w:lang w:val="en-US" w:eastAsia="zh-CN"/>
              </w:rPr>
            </w:pPr>
            <w:r>
              <w:rPr>
                <w:rFonts w:hint="eastAsia"/>
                <w:lang w:val="en-US" w:eastAsia="zh-CN"/>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水平生命线装置</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1.在操作平台上方设置，用于挂设速差自控器（防坠器）。</w:t>
            </w:r>
            <w:r/>
          </w:p>
          <w:p>
            <w:pPr>
              <w:jc w:val="left"/>
              <w:spacing w:before="0" w:after="0" w:line="230" w:lineRule="exact"/>
            </w:pPr>
            <w:r>
              <w:rPr>
                <w:rFonts w:ascii="宋体" w:hAnsi="宋体" w:eastAsia="宋体"/>
                <w:b w:val="0"/>
                <w:sz w:val="18"/>
              </w:rPr>
              <w:t xml:space="preserve">2.应符合现行标准《坠落防护水平生命线装置》（GB38454）的有关要求。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速差自控器（防坠器）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1.速差自控器（防坠器）的安全绳长度不超过水平生命线装置至地面的距离，保证坠落发生后最小安全距离应大于1m。</w:t>
            </w:r>
            <w:r/>
          </w:p>
          <w:p>
            <w:pPr>
              <w:jc w:val="left"/>
              <w:spacing w:before="0" w:after="0" w:line="230" w:lineRule="exact"/>
            </w:pPr>
            <w:r>
              <w:rPr>
                <w:rFonts w:ascii="宋体" w:hAnsi="宋体" w:eastAsia="宋体"/>
                <w:b w:val="0"/>
                <w:sz w:val="18"/>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≥2个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K32</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吊篮考位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吊</w:t>
            </w:r>
            <w:r>
              <w:rPr>
                <w:rFonts w:hint="eastAsia"/>
                <w:b w:val="0"/>
                <w:sz w:val="18"/>
                <w:lang w:val="en-US" w:eastAsia="zh-CN"/>
              </w:rPr>
              <w:t xml:space="preserve">篮平台非作业面</w:t>
            </w:r>
            <w:r>
              <w:rPr>
                <w:rFonts w:ascii="宋体" w:hAnsi="宋体" w:eastAsia="宋体"/>
                <w:b w:val="0"/>
                <w:sz w:val="18"/>
              </w:rPr>
              <w:t xml:space="preserve">周</w:t>
            </w:r>
            <w:r>
              <w:rPr>
                <w:rFonts w:hint="eastAsia"/>
                <w:b w:val="0"/>
                <w:sz w:val="18"/>
                <w:lang w:val="en-US" w:eastAsia="zh-CN"/>
              </w:rPr>
              <w:t xml:space="preserve">边</w:t>
            </w:r>
            <w:r>
              <w:rPr>
                <w:rFonts w:ascii="宋体" w:hAnsi="宋体" w:eastAsia="宋体"/>
                <w:b w:val="0"/>
                <w:sz w:val="18"/>
              </w:rPr>
              <w:t xml:space="preserve">有符合高处作业</w:t>
            </w:r>
            <w:r>
              <w:rPr>
                <w:rFonts w:hint="eastAsia"/>
                <w:b w:val="0"/>
                <w:sz w:val="18"/>
                <w:lang w:val="en-US" w:eastAsia="zh-CN"/>
              </w:rPr>
              <w:t xml:space="preserve">防</w:t>
            </w:r>
            <w:r>
              <w:rPr>
                <w:rFonts w:ascii="宋体" w:hAnsi="宋体" w:eastAsia="宋体"/>
                <w:b w:val="0"/>
                <w:sz w:val="18"/>
              </w:rPr>
              <w:t xml:space="preserve">坠半经要求</w:t>
            </w:r>
            <w:r>
              <w:rPr>
                <w:rFonts w:hint="eastAsia"/>
                <w:b w:val="0"/>
                <w:sz w:val="18"/>
                <w:lang w:eastAsia="zh-CN"/>
              </w:rPr>
              <w:t xml:space="preserve">的</w:t>
            </w:r>
            <w:r>
              <w:rPr>
                <w:rFonts w:ascii="宋体" w:hAnsi="宋体" w:eastAsia="宋体"/>
                <w:b w:val="0"/>
                <w:sz w:val="18"/>
              </w:rPr>
              <w:t xml:space="preserve">安全空间</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高处作业吊篮（整套，含悬挂装置）</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1.吊篮参数要求：</w:t>
            </w:r>
            <w:r/>
          </w:p>
          <w:p>
            <w:pPr>
              <w:jc w:val="left"/>
              <w:spacing w:before="0" w:after="0" w:line="230" w:lineRule="exact"/>
              <w:rPr>
                <w:rFonts w:ascii="宋体" w:hAnsi="宋体" w:eastAsia="宋体"/>
                <w:b w:val="0"/>
                <w:sz w:val="18"/>
              </w:rPr>
            </w:pPr>
            <w:r>
              <w:rPr>
                <w:rFonts w:ascii="宋体" w:hAnsi="宋体" w:eastAsia="宋体"/>
                <w:b w:val="0"/>
                <w:sz w:val="18"/>
              </w:rPr>
              <w:t xml:space="preserve">（1）结构层数：单层；</w:t>
            </w:r>
            <w:r/>
          </w:p>
          <w:p>
            <w:pPr>
              <w:jc w:val="left"/>
              <w:spacing w:before="0" w:after="0" w:line="230" w:lineRule="exact"/>
              <w:rPr>
                <w:rFonts w:ascii="宋体" w:hAnsi="宋体" w:eastAsia="宋体"/>
                <w:b w:val="0"/>
                <w:sz w:val="18"/>
              </w:rPr>
            </w:pPr>
            <w:r>
              <w:rPr>
                <w:rFonts w:ascii="宋体" w:hAnsi="宋体" w:eastAsia="宋体"/>
                <w:b w:val="0"/>
                <w:sz w:val="18"/>
              </w:rPr>
              <w:t xml:space="preserve">（2）驱动方式：电动；</w:t>
            </w:r>
            <w:r/>
          </w:p>
          <w:p>
            <w:pPr>
              <w:jc w:val="left"/>
              <w:spacing w:before="0" w:after="0" w:line="230" w:lineRule="exact"/>
              <w:rPr>
                <w:rFonts w:ascii="宋体" w:hAnsi="宋体" w:eastAsia="宋体"/>
                <w:b w:val="0"/>
                <w:sz w:val="18"/>
              </w:rPr>
            </w:pPr>
            <w:r>
              <w:rPr>
                <w:rFonts w:ascii="宋体" w:hAnsi="宋体" w:eastAsia="宋体"/>
                <w:b w:val="0"/>
                <w:sz w:val="18"/>
              </w:rPr>
              <w:t xml:space="preserve">（3）特性：爬升式；</w:t>
            </w:r>
            <w:r/>
          </w:p>
          <w:p>
            <w:pPr>
              <w:jc w:val="left"/>
              <w:spacing w:before="0" w:after="0" w:line="230" w:lineRule="exact"/>
              <w:rPr>
                <w:rFonts w:ascii="宋体" w:hAnsi="宋体" w:eastAsia="宋体"/>
                <w:b w:val="0"/>
                <w:sz w:val="18"/>
              </w:rPr>
            </w:pPr>
            <w:r>
              <w:rPr>
                <w:rFonts w:ascii="宋体" w:hAnsi="宋体" w:eastAsia="宋体"/>
                <w:b w:val="0"/>
                <w:sz w:val="18"/>
              </w:rPr>
              <w:t xml:space="preserve">（4）额定载重量：不小于500kg；</w:t>
            </w:r>
            <w:r/>
          </w:p>
          <w:p>
            <w:pPr>
              <w:jc w:val="left"/>
              <w:spacing w:before="0" w:after="0" w:line="230" w:lineRule="exact"/>
              <w:rPr>
                <w:rFonts w:ascii="宋体" w:hAnsi="宋体" w:eastAsia="宋体"/>
                <w:b w:val="0"/>
                <w:sz w:val="18"/>
              </w:rPr>
            </w:pPr>
            <w:r>
              <w:rPr>
                <w:rFonts w:ascii="宋体" w:hAnsi="宋体" w:eastAsia="宋体"/>
                <w:b w:val="0"/>
                <w:sz w:val="18"/>
              </w:rPr>
              <w:t xml:space="preserve">（5）吊点平台：双吊点。</w:t>
            </w:r>
            <w:r/>
          </w:p>
          <w:p>
            <w:pPr>
              <w:jc w:val="left"/>
              <w:spacing w:before="0" w:after="0" w:line="230" w:lineRule="exact"/>
              <w:rPr>
                <w:rFonts w:hint="eastAsia"/>
                <w:b w:val="0"/>
                <w:sz w:val="18"/>
                <w:lang w:eastAsia="zh-CN"/>
              </w:rPr>
            </w:pPr>
            <w:r>
              <w:rPr>
                <w:rFonts w:ascii="宋体" w:hAnsi="宋体" w:eastAsia="宋体"/>
                <w:b w:val="0"/>
                <w:sz w:val="18"/>
              </w:rPr>
              <w:t xml:space="preserve">2.吊篮应符合现行标准《高处作业吊篮》（GB/T19155）的有关要求</w:t>
            </w:r>
            <w:r>
              <w:rPr>
                <w:rFonts w:hint="eastAsia"/>
                <w:b w:val="0"/>
                <w:sz w:val="18"/>
                <w:lang w:eastAsia="zh-CN"/>
              </w:rPr>
              <w:t xml:space="preserve">。</w:t>
            </w:r>
            <w:r/>
          </w:p>
          <w:p>
            <w:pPr>
              <w:jc w:val="left"/>
              <w:spacing w:before="0" w:after="0" w:line="230" w:lineRule="exact"/>
              <w:rPr>
                <w:rFonts w:ascii="宋体" w:hAnsi="宋体" w:eastAsia="宋体"/>
                <w:b w:val="0"/>
                <w:sz w:val="18"/>
              </w:rPr>
            </w:pPr>
            <w:r>
              <w:rPr>
                <w:rFonts w:ascii="宋体" w:hAnsi="宋体" w:eastAsia="宋体"/>
                <w:b w:val="0"/>
                <w:sz w:val="18"/>
              </w:rPr>
              <w:t xml:space="preserve">3.吊篮应装设安全钢丝绳。</w:t>
            </w:r>
            <w:r/>
          </w:p>
          <w:p>
            <w:pPr>
              <w:jc w:val="left"/>
              <w:spacing w:before="0" w:after="0" w:line="230" w:lineRule="exact"/>
            </w:pPr>
            <w:r>
              <w:rPr>
                <w:rFonts w:ascii="宋体" w:hAnsi="宋体" w:eastAsia="宋体"/>
                <w:b w:val="0"/>
                <w:sz w:val="18"/>
              </w:rPr>
              <w:t xml:space="preserve">4.吊篮的防坠落装置（安全锁）应在标定期限内使用。5.吊篮两端应装设限位器、限位开关（限行、断电），保证吊篮起升至最高点时，其底部净空高度不小于2m。6.吊篮安装应编制专项施工方案并经批准、审核，吊篮安装应符合现行标准《高处作业吊篮安装、拆卸、使用技术规程》（JB/T11699）的有关规定。安装后应经调试、验收合格后方可投入使用。</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pPr>
            <w:r>
              <w:rPr>
                <w:rFonts w:ascii="宋体" w:hAnsi="宋体" w:eastAsia="宋体"/>
                <w:b w:val="0"/>
                <w:sz w:val="18"/>
              </w:rPr>
              <w:t xml:space="preserve">考生操作吊篮上升高度不小于2m。</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清洗作业工具</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作业平台，包括但不限于：悬挂装置安装平台、扶梯、墙壁、女儿墙等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固定式，墙壁高度不小于4m，悬挂装置安装平台有围栏防坠措施</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作业环境显示屏</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可设置和展示温度、雨、雪、雾、风向、风速等天气情况。</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安全绳</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1.固定在可靠位置，不得与吊篮任何部位连接。</w:t>
            </w:r>
            <w:r/>
          </w:p>
          <w:p>
            <w:pPr>
              <w:jc w:val="left"/>
              <w:spacing w:before="0" w:after="0" w:line="230" w:lineRule="exact"/>
            </w:pPr>
            <w:r>
              <w:rPr>
                <w:rFonts w:ascii="宋体" w:hAnsi="宋体" w:eastAsia="宋体"/>
                <w:b w:val="0"/>
                <w:sz w:val="18"/>
              </w:rPr>
              <w:t xml:space="preserve">2.应符合现行标准《坠落防护安全绳》（GB24543）的有关要求。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2根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安全绳自锁器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1.与安全绳匹配。</w:t>
            </w:r>
            <w:r/>
          </w:p>
          <w:p>
            <w:pPr>
              <w:jc w:val="left"/>
              <w:spacing w:before="0" w:after="0" w:line="230" w:lineRule="exact"/>
            </w:pPr>
            <w:r>
              <w:rPr>
                <w:rFonts w:ascii="宋体" w:hAnsi="宋体" w:eastAsia="宋体"/>
                <w:b w:val="0"/>
                <w:sz w:val="18"/>
              </w:rPr>
              <w:t xml:space="preserve">2.应符合现行标准《坠落防护带柔性导轨的自锁器》（GB/T24537）的有关要求。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2个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低压验电笔</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K33</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单人吊具考位</w:t>
            </w:r>
            <w:r/>
          </w:p>
        </w:tc>
        <w:tc>
          <w:tcPr>
            <w:tcW w:w="960" w:type="dxa"/>
            <w:vAlign w:val="center"/>
            <w:vMerge w:val="restart"/>
            <w:textDirection w:val="lrTb"/>
            <w:noWrap w:val="false"/>
          </w:tcPr>
          <w:p>
            <w:pPr>
              <w:jc w:val="center"/>
              <w:spacing w:before="0" w:after="0" w:line="230" w:lineRule="exact"/>
              <w:rPr>
                <w:rFonts w:hint="eastAsia" w:eastAsia="宋体"/>
                <w:lang w:eastAsia="zh-CN"/>
              </w:rPr>
            </w:pPr>
            <w:r>
              <w:rPr>
                <w:rFonts w:ascii="宋体" w:hAnsi="宋体" w:eastAsia="宋体"/>
                <w:b w:val="0"/>
                <w:sz w:val="18"/>
              </w:rPr>
              <w:t xml:space="preserve">作业人员左右及背部应有</w:t>
            </w:r>
            <w:r>
              <w:rPr>
                <w:rFonts w:hint="eastAsia"/>
                <w:b w:val="0"/>
                <w:sz w:val="18"/>
                <w:lang w:val="en-US" w:eastAsia="zh-CN"/>
              </w:rPr>
              <w:t xml:space="preserve">符合高处作</w:t>
            </w:r>
            <w:r>
              <w:rPr>
                <w:rFonts w:ascii="宋体" w:hAnsi="宋体" w:eastAsia="宋体"/>
                <w:b w:val="0"/>
                <w:sz w:val="18"/>
              </w:rPr>
              <w:t xml:space="preserve">业防坠要求的安</w:t>
            </w:r>
            <w:r>
              <w:rPr>
                <w:rFonts w:hint="eastAsia"/>
                <w:b w:val="0"/>
                <w:sz w:val="18"/>
                <w:lang w:val="en-US" w:eastAsia="zh-CN"/>
              </w:rPr>
              <w:t xml:space="preserve">全空间</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座板式单人吊具（整套）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1.吊具包括挂点装置、悬吊下降系统、坠落保护系统等，应符合现行标准《座板式单人吊具悬吊作业安全技术规范》（GB23525）、《坠落防护装备通用技术规范》（GB42297）的有关要求。</w:t>
            </w:r>
            <w:r/>
          </w:p>
          <w:p>
            <w:pPr>
              <w:jc w:val="left"/>
              <w:spacing w:before="0" w:after="0" w:line="230" w:lineRule="exact"/>
              <w:rPr>
                <w:rFonts w:ascii="宋体" w:hAnsi="宋体" w:eastAsia="宋体"/>
                <w:b w:val="0"/>
                <w:sz w:val="18"/>
              </w:rPr>
            </w:pPr>
            <w:r>
              <w:rPr>
                <w:rFonts w:ascii="宋体" w:hAnsi="宋体" w:eastAsia="宋体"/>
                <w:b w:val="0"/>
                <w:sz w:val="18"/>
              </w:rPr>
              <w:t xml:space="preserve">2.挂点装置应符合现行标准《坠落防护挂点装置》（GB30862）的有关要求。</w:t>
            </w:r>
            <w:r/>
          </w:p>
          <w:p>
            <w:pPr>
              <w:jc w:val="left"/>
              <w:spacing w:before="0" w:after="0" w:line="230" w:lineRule="exact"/>
              <w:rPr>
                <w:rFonts w:ascii="宋体" w:hAnsi="宋体" w:eastAsia="宋体"/>
                <w:b w:val="0"/>
                <w:sz w:val="18"/>
              </w:rPr>
            </w:pPr>
            <w:r>
              <w:rPr>
                <w:rFonts w:ascii="宋体" w:hAnsi="宋体" w:eastAsia="宋体"/>
                <w:b w:val="0"/>
                <w:sz w:val="18"/>
              </w:rPr>
              <w:t xml:space="preserve">3.工作绳、安全绳应符合现行标准《坠落防护安全绳》（GB24543）的有关要求。</w:t>
            </w:r>
            <w:r/>
          </w:p>
          <w:p>
            <w:pPr>
              <w:jc w:val="left"/>
              <w:spacing w:before="0" w:after="0" w:line="230" w:lineRule="exact"/>
              <w:rPr>
                <w:rFonts w:ascii="宋体" w:hAnsi="宋体" w:eastAsia="宋体"/>
                <w:b w:val="0"/>
                <w:sz w:val="18"/>
              </w:rPr>
            </w:pPr>
            <w:r>
              <w:rPr>
                <w:rFonts w:ascii="宋体" w:hAnsi="宋体" w:eastAsia="宋体"/>
                <w:b w:val="0"/>
                <w:sz w:val="18"/>
              </w:rPr>
              <w:t xml:space="preserve">4.下降器应符合现行标准《座板式单人吊具悬吊作业安全技术规范》（GB23525）的有关要求。</w:t>
            </w:r>
            <w:r/>
          </w:p>
          <w:p>
            <w:pPr>
              <w:jc w:val="left"/>
              <w:spacing w:before="0" w:after="0" w:line="230" w:lineRule="exact"/>
              <w:rPr>
                <w:rFonts w:ascii="宋体" w:hAnsi="宋体" w:eastAsia="宋体"/>
                <w:b w:val="0"/>
                <w:sz w:val="18"/>
              </w:rPr>
            </w:pPr>
            <w:r>
              <w:rPr>
                <w:rFonts w:ascii="宋体" w:hAnsi="宋体" w:eastAsia="宋体"/>
                <w:b w:val="0"/>
                <w:sz w:val="18"/>
              </w:rPr>
              <w:t xml:space="preserve">5.连接器应符合现行标准《坠落防护连接器》（GB/T23469）的有关要求。</w:t>
            </w:r>
            <w:r/>
          </w:p>
          <w:p>
            <w:pPr>
              <w:jc w:val="left"/>
              <w:spacing w:before="0" w:after="0" w:line="230" w:lineRule="exact"/>
            </w:pPr>
            <w:r>
              <w:rPr>
                <w:rFonts w:ascii="宋体" w:hAnsi="宋体" w:eastAsia="宋体"/>
                <w:b w:val="0"/>
                <w:sz w:val="18"/>
              </w:rPr>
              <w:t xml:space="preserve">6.自锁器应符合现行标准《坠落防护带柔性导轨的自锁器》（GB/T24537）的有关要求。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pPr>
            <w:r>
              <w:rPr>
                <w:rFonts w:ascii="宋体" w:hAnsi="宋体" w:eastAsia="宋体"/>
                <w:b w:val="0"/>
                <w:sz w:val="18"/>
              </w:rPr>
              <w:t xml:space="preserve">考生操作单人吊具下降高度不小于2m。</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清洗作业工具</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作业平台，包括但不限于：作业准备平台、扶梯、墙壁、女儿墙等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固定式，墙壁高度不小于2m，作业准备平台有围栏防坠措施</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作业环境显示屏</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可设置和展示温度、雨、雪、雾、风向、风速等天气情况。</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体重秤</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穿戴好工作绳、下降器、连接器、座板装置、携带物后，人体总载重不超过100kg。</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安全防护垫</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厚度不小于30cm。</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K34</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登杆登塔考位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杆（塔）四周应有符合高处作业防坠半径要求的安全空间</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电杆</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1.高度不小于4m。</w:t>
            </w:r>
            <w:r/>
          </w:p>
          <w:p>
            <w:pPr>
              <w:jc w:val="left"/>
              <w:spacing w:before="0" w:after="0" w:line="230" w:lineRule="exact"/>
            </w:pPr>
            <w:r>
              <w:rPr>
                <w:rFonts w:ascii="宋体" w:hAnsi="宋体" w:eastAsia="宋体"/>
                <w:b w:val="0"/>
                <w:sz w:val="18"/>
              </w:rPr>
              <w:t xml:space="preserve">2.应符合现行标准《环形混凝土电杆》（GB/T4623）的有关要求。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Align w:val="center"/>
            <w:vMerge w:val="restart"/>
            <w:textDirection w:val="lrTb"/>
            <w:noWrap w:val="false"/>
          </w:tcPr>
          <w:p>
            <w:pPr>
              <w:jc w:val="left"/>
              <w:spacing w:before="0" w:after="0" w:line="230" w:lineRule="exact"/>
            </w:pPr>
            <w:r>
              <w:rPr>
                <w:rFonts w:ascii="宋体" w:hAnsi="宋体" w:eastAsia="宋体"/>
                <w:b w:val="0"/>
                <w:sz w:val="18"/>
              </w:rPr>
              <w:t xml:space="preserve">考生在登杆或登塔前，必须将速差自控器（防坠器）与安全带连接，登杆或登塔高度不小于2m。</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抱箍</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与电杆匹配</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铁塔</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1.铁塔的1：1局部结构，包含垂直、水平作业位置；高度不小于4m，配备防坠落导轨。</w:t>
            </w:r>
            <w:r/>
          </w:p>
          <w:p>
            <w:pPr>
              <w:jc w:val="left"/>
              <w:spacing w:before="0" w:after="0" w:line="230" w:lineRule="exact"/>
            </w:pPr>
            <w:r>
              <w:rPr>
                <w:rFonts w:ascii="宋体" w:hAnsi="宋体" w:eastAsia="宋体"/>
                <w:b w:val="0"/>
                <w:sz w:val="18"/>
              </w:rPr>
              <w:t xml:space="preserve">2.应符合现行标准《输电线路铁塔制造技术条件》（GB/T2694）的有关要求。</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lang w:val="en-US" w:eastAsia="zh-CN"/>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传递绳</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1根</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安装杆（塔）上设备设施所需的配套工器具，包括但不限于：扳手、卷尺、铁锤、手持电动套筒扳手等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各类工器具的型号规格应满足作业需要。</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作业环境显示屏</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可设置和展示温度、雨、雪、雾、风向、风速等天气情况。</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速差自控器（防坠器）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1.速差自控器（防坠器）的安全绳长度不超过电杆或铁塔高度，保证坠落发生后最小安全距离应大于1m。</w:t>
            </w:r>
            <w:r/>
          </w:p>
          <w:p>
            <w:pPr>
              <w:jc w:val="left"/>
              <w:spacing w:before="0" w:after="0" w:line="230" w:lineRule="exact"/>
            </w:pPr>
            <w:r>
              <w:rPr>
                <w:rFonts w:ascii="宋体" w:hAnsi="宋体" w:eastAsia="宋体"/>
                <w:b w:val="0"/>
                <w:sz w:val="18"/>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2个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安全防护垫</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厚度不小于30cm。</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Height w:val="202"/>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bl>
    <w:p>
      <w:pPr>
        <w:pStyle w:val="771"/>
        <w:numPr>
          <w:ilvl w:val="0"/>
          <w:numId w:val="0"/>
        </w:numPr>
        <w:rPr>
          <w:rFonts w:hint="eastAsia" w:ascii="宋体" w:hAnsi="宋体" w:eastAsia="宋体" w:cs="宋体"/>
          <w:b/>
          <w:bCs/>
          <w:sz w:val="21"/>
          <w:szCs w:val="21"/>
          <w:highlight w:val="none"/>
          <w:lang w:val="en-US" w:eastAsia="zh-CN"/>
        </w:rPr>
      </w:pPr>
      <w:r/>
      <w:bookmarkStart w:id="12" w:name="_Toc29372"/>
      <w:r/>
      <w:r/>
    </w:p>
    <w:p>
      <w:pPr>
        <w:pStyle w:val="771"/>
        <w:numPr>
          <w:ilvl w:val="0"/>
          <w:numId w:val="0"/>
        </w:numP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w:t>
      </w:r>
      <w:bookmarkEnd w:id="12"/>
      <w:r>
        <w:rPr>
          <w:rFonts w:hint="eastAsia" w:ascii="宋体" w:hAnsi="宋体" w:eastAsia="宋体" w:cs="宋体"/>
          <w:b/>
          <w:bCs/>
          <w:sz w:val="21"/>
          <w:szCs w:val="21"/>
          <w:highlight w:val="none"/>
          <w:lang w:val="en-US" w:eastAsia="zh-CN"/>
        </w:rPr>
        <w:t xml:space="preserve">登高架设作业</w:t>
      </w:r>
      <w:r/>
    </w:p>
    <w:p>
      <w:pPr>
        <w:jc w:val="center"/>
        <w:rPr>
          <w:rFonts w:hint="eastAsia" w:ascii="宋体" w:hAnsi="宋体" w:eastAsia="宋体" w:cs="宋体"/>
          <w:b/>
          <w:bCs/>
          <w:color w:val="auto"/>
          <w:sz w:val="22"/>
          <w:szCs w:val="22"/>
        </w:rPr>
        <w:outlineLvl w:val="9"/>
      </w:pPr>
      <w:r>
        <w:rPr>
          <w:rFonts w:hint="eastAsia" w:ascii="宋体" w:hAnsi="宋体" w:eastAsia="宋体" w:cs="宋体"/>
          <w:b/>
          <w:bCs/>
          <w:color w:val="auto"/>
          <w:sz w:val="22"/>
          <w:szCs w:val="22"/>
        </w:rPr>
        <w:t xml:space="preserve">表</w:t>
      </w:r>
      <w:r>
        <w:rPr>
          <w:rFonts w:hint="eastAsia" w:ascii="宋体" w:hAnsi="宋体" w:eastAsia="宋体" w:cs="宋体"/>
          <w:b/>
          <w:bCs/>
          <w:color w:val="auto"/>
          <w:sz w:val="22"/>
          <w:szCs w:val="22"/>
          <w:lang w:val="en-US" w:eastAsia="zh-CN"/>
        </w:rPr>
        <w:t xml:space="preserve">6</w:t>
      </w:r>
      <w:r>
        <w:rPr>
          <w:rFonts w:hint="eastAsia" w:ascii="宋体" w:hAnsi="宋体" w:eastAsia="宋体" w:cs="宋体"/>
          <w:b/>
          <w:bCs/>
          <w:color w:val="auto"/>
          <w:sz w:val="22"/>
          <w:szCs w:val="22"/>
        </w:rPr>
        <w:t xml:space="preserve">  登高架设作业实际操作考场考位主要设备配备表</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4478"/>
        <w:gridCol w:w="854"/>
        <w:gridCol w:w="1781"/>
      </w:tblGrid>
      <w:tr>
        <w:trPr>
          <w:jc w:val="center"/>
        </w:trPr>
        <w:tc>
          <w:tcPr>
            <w:tcW w:w="902" w:type="dxa"/>
            <w:vAlign w:val="center"/>
            <w:vMerge w:val="restart"/>
            <w:textDirection w:val="lrTb"/>
            <w:noWrap w:val="false"/>
          </w:tcPr>
          <w:p>
            <w:pPr>
              <w:jc w:val="center"/>
              <w:spacing w:before="0" w:after="0" w:line="230" w:lineRule="exact"/>
            </w:pPr>
            <w:r>
              <w:rPr>
                <w:rFonts w:ascii="黑体" w:hAnsi="黑体" w:eastAsia="黑体"/>
                <w:b/>
                <w:sz w:val="18"/>
              </w:rPr>
              <w:t xml:space="preserve">考位编号</w:t>
            </w:r>
            <w:r/>
          </w:p>
        </w:tc>
        <w:tc>
          <w:tcPr>
            <w:tcW w:w="1041" w:type="dxa"/>
            <w:vAlign w:val="center"/>
            <w:vMerge w:val="restart"/>
            <w:textDirection w:val="lrTb"/>
            <w:noWrap w:val="false"/>
          </w:tcPr>
          <w:p>
            <w:pPr>
              <w:jc w:val="center"/>
              <w:spacing w:before="0" w:after="0" w:line="230" w:lineRule="exact"/>
            </w:pPr>
            <w:r>
              <w:rPr>
                <w:rFonts w:ascii="黑体" w:hAnsi="黑体" w:eastAsia="黑体"/>
                <w:b/>
                <w:sz w:val="18"/>
              </w:rPr>
              <w:t xml:space="preserve">考位名称</w:t>
            </w:r>
            <w:r/>
          </w:p>
        </w:tc>
        <w:tc>
          <w:tcPr>
            <w:tcW w:w="960" w:type="dxa"/>
            <w:vAlign w:val="center"/>
            <w:vMerge w:val="restart"/>
            <w:textDirection w:val="lrTb"/>
            <w:noWrap w:val="false"/>
          </w:tcPr>
          <w:p>
            <w:pPr>
              <w:jc w:val="center"/>
              <w:spacing w:before="0" w:after="0" w:line="230" w:lineRule="exact"/>
            </w:pPr>
            <w:r>
              <w:rPr>
                <w:rFonts w:ascii="黑体" w:hAnsi="黑体" w:eastAsia="黑体"/>
                <w:b/>
                <w:sz w:val="18"/>
              </w:rPr>
              <w:t xml:space="preserve">考位面积</w:t>
            </w:r>
            <w:r/>
          </w:p>
        </w:tc>
        <w:tc>
          <w:tcPr>
            <w:gridSpan w:val="4"/>
            <w:tcW w:w="8557" w:type="dxa"/>
            <w:vAlign w:val="center"/>
            <w:textDirection w:val="lrTb"/>
            <w:noWrap w:val="false"/>
          </w:tcPr>
          <w:p>
            <w:pPr>
              <w:jc w:val="center"/>
              <w:spacing w:before="0" w:after="0" w:line="230" w:lineRule="exact"/>
            </w:pPr>
            <w:r>
              <w:rPr>
                <w:rFonts w:ascii="黑体" w:hAnsi="黑体" w:eastAsia="黑体"/>
                <w:b/>
                <w:sz w:val="18"/>
              </w:rPr>
              <w:t xml:space="preserve">考位设备设施要求</w:t>
            </w:r>
            <w:r/>
          </w:p>
        </w:tc>
        <w:tc>
          <w:tcPr>
            <w:tcW w:w="1781" w:type="dxa"/>
            <w:vAlign w:val="center"/>
            <w:vMerge w:val="restart"/>
            <w:textDirection w:val="lrTb"/>
            <w:noWrap w:val="false"/>
          </w:tcPr>
          <w:p>
            <w:pPr>
              <w:jc w:val="center"/>
              <w:spacing w:before="0" w:after="0" w:line="230" w:lineRule="exact"/>
            </w:pPr>
            <w:r>
              <w:rPr>
                <w:rFonts w:ascii="黑体" w:hAnsi="黑体" w:eastAsia="黑体"/>
                <w:b/>
                <w:sz w:val="18"/>
              </w:rPr>
              <w:t xml:space="preserve">考位布置要求</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center"/>
              <w:spacing w:before="0" w:after="0" w:line="230" w:lineRule="exact"/>
            </w:pPr>
            <w:r>
              <w:rPr>
                <w:rFonts w:ascii="黑体" w:hAnsi="黑体" w:eastAsia="黑体"/>
                <w:b/>
                <w:sz w:val="18"/>
              </w:rPr>
              <w:t xml:space="preserve">设备/设施/器材</w:t>
            </w:r>
            <w:r/>
          </w:p>
        </w:tc>
        <w:tc>
          <w:tcPr>
            <w:tcW w:w="4478" w:type="dxa"/>
            <w:vAlign w:val="center"/>
            <w:textDirection w:val="lrTb"/>
            <w:noWrap w:val="false"/>
          </w:tcPr>
          <w:p>
            <w:pPr>
              <w:jc w:val="center"/>
              <w:spacing w:before="0" w:after="0" w:line="230" w:lineRule="exact"/>
            </w:pPr>
            <w:r>
              <w:rPr>
                <w:rFonts w:ascii="黑体" w:hAnsi="黑体" w:eastAsia="黑体"/>
                <w:b/>
                <w:sz w:val="18"/>
              </w:rPr>
              <w:t xml:space="preserve">规格/要求</w:t>
            </w:r>
            <w:r/>
          </w:p>
        </w:tc>
        <w:tc>
          <w:tcPr>
            <w:tcW w:w="854" w:type="dxa"/>
            <w:vAlign w:val="center"/>
            <w:textDirection w:val="lrTb"/>
            <w:noWrap w:val="false"/>
          </w:tcPr>
          <w:p>
            <w:pPr>
              <w:jc w:val="center"/>
              <w:spacing w:before="0" w:after="0" w:line="230" w:lineRule="exact"/>
            </w:pPr>
            <w:r>
              <w:rPr>
                <w:rFonts w:ascii="黑体" w:hAnsi="黑体" w:eastAsia="黑体"/>
                <w:b/>
                <w:sz w:val="18"/>
              </w:rPr>
              <w:t xml:space="preserve">数量</w:t>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黑体" w:hAnsi="黑体" w:eastAsia="黑体"/>
                <w:b/>
                <w:sz w:val="20"/>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K11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安全用具考位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应符合现行标准《头部防护安全帽》（GB2811）的有关要求。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1顶</w:t>
            </w:r>
            <w:r/>
          </w:p>
        </w:tc>
        <w:tc>
          <w:tcPr>
            <w:tcW w:w="1781"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1.考试前应设置不少于2个干扰项设备设施，每个干扰项设备设施应为其规格/要求中的一种。</w:t>
            </w:r>
            <w:r/>
          </w:p>
          <w:p>
            <w:pPr>
              <w:jc w:val="left"/>
              <w:spacing w:before="0" w:after="0" w:line="230" w:lineRule="exact"/>
            </w:pPr>
            <w:r>
              <w:rPr>
                <w:rFonts w:ascii="宋体" w:hAnsi="宋体" w:eastAsia="宋体"/>
                <w:b w:val="0"/>
                <w:sz w:val="18"/>
              </w:rPr>
              <w:t xml:space="preserve">2.考生在本考位选择防护用品和安全工器具进行后续考试的，考位中各种设备/设施/器材的数量应按照实际情况配备。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坠落悬挂用安全带</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应符合现行标准《坠落防护安全带》（GB6095）的有关要求。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安全鞋</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1.高腰、系带、防滑。2.应符合现行标准《足部防护安全鞋》（GB21148）的有关要求。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工作服</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全棉、长袖、紧口。</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手套</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1副</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干扰项设备设施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各1顶</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rPr>
                <w:rFonts w:hint="eastAsia" w:eastAsia="宋体"/>
                <w:lang w:val="en-US" w:eastAsia="zh-CN"/>
              </w:rPr>
            </w:pPr>
            <w:r>
              <w:rPr>
                <w:rFonts w:ascii="宋体" w:hAnsi="宋体" w:eastAsia="宋体"/>
                <w:b w:val="0"/>
                <w:sz w:val="18"/>
              </w:rPr>
              <w:t xml:space="preserve">坠落悬挂用安全</w:t>
            </w:r>
            <w:r>
              <w:rPr>
                <w:rFonts w:hint="eastAsia"/>
                <w:b w:val="0"/>
                <w:sz w:val="18"/>
                <w:lang w:val="en-US" w:eastAsia="zh-CN"/>
              </w:rPr>
              <w:t xml:space="preserve">带</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非标的、过期的、缺少附件的、轻微损坏的。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安全鞋</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非标的、损坏的。</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各1双</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其他设备设施</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衣架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黑体" w:hAnsi="黑体" w:eastAsia="黑体"/>
                <w:b/>
                <w:sz w:val="20"/>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K21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零部件判废考位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有问题的钢管</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有问题的扣件</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有问题的安全网</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有问题的金属垫板</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有问题的底座</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有问题的挡脚板</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有问题的脚手板</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K22</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作业现场安全隐患排除考位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≥5</w:t>
            </w:r>
            <w:r>
              <w:t xml:space="preserve">m²</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登高架设作业现场安全风险</w:t>
            </w:r>
            <w:r>
              <w:rPr>
                <w:rFonts w:hint="eastAsia" w:ascii="宋体" w:hAnsi="宋体" w:eastAsia="宋体"/>
                <w:b w:val="0"/>
                <w:sz w:val="18"/>
                <w:lang w:eastAsia="zh-CN"/>
              </w:rPr>
              <w:t xml:space="preserve">、</w:t>
            </w:r>
            <w:r>
              <w:rPr>
                <w:rFonts w:ascii="宋体" w:hAnsi="宋体" w:eastAsia="宋体"/>
                <w:b w:val="0"/>
                <w:sz w:val="18"/>
              </w:rPr>
              <w:t xml:space="preserve">安全隐患、职业危害的场景</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Align w:val="center"/>
            <w:vMerge w:val="restart"/>
            <w:textDirection w:val="lrTb"/>
            <w:noWrap w:val="false"/>
          </w:tcPr>
          <w:p>
            <w:pPr>
              <w:jc w:val="left"/>
              <w:spacing w:before="0" w:after="0" w:line="230" w:lineRule="exact"/>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gridSpan w:val="8"/>
            <w:tcW w:w="13241" w:type="dxa"/>
            <w:vAlign w:val="center"/>
            <w:textDirection w:val="lrTb"/>
            <w:noWrap w:val="false"/>
          </w:tcPr>
          <w:p>
            <w:pPr>
              <w:jc w:val="left"/>
              <w:spacing w:before="0" w:after="0" w:line="230" w:lineRule="exact"/>
            </w:pPr>
            <w:r>
              <w:rPr>
                <w:rFonts w:ascii="黑体" w:hAnsi="黑体" w:eastAsia="黑体"/>
                <w:b/>
                <w:sz w:val="20"/>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K31</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双排落地钢管脚手架考位</w:t>
            </w:r>
            <w:r/>
          </w:p>
        </w:tc>
        <w:tc>
          <w:tcPr>
            <w:tcW w:w="960" w:type="dxa"/>
            <w:vAlign w:val="center"/>
            <w:vMerge w:val="restart"/>
            <w:textDirection w:val="lrTb"/>
            <w:noWrap w:val="false"/>
          </w:tcPr>
          <w:p>
            <w:pPr>
              <w:jc w:val="center"/>
              <w:spacing w:before="0" w:after="0" w:line="230" w:lineRule="exact"/>
            </w:pPr>
            <w:r>
              <w:rPr>
                <w:rFonts w:hint="eastAsia" w:ascii="宋体" w:hAnsi="宋体" w:eastAsia="宋体"/>
                <w:b w:val="0"/>
                <w:sz w:val="18"/>
              </w:rPr>
              <w:t xml:space="preserve">架体四周应有符合高处作业防坠半径要求的安全空间；应有满足存放待安装脚手架构配件的空间</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扣件式钢管脚手架，包括但不限于：搭设双排落地钢管脚手架所需的垫木、底座、脚手板、踢脚板、连墙件、钢管及连接件等</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1.满足搭设两步三跨和操作层所需的构配件。</w:t>
            </w:r>
            <w:r/>
          </w:p>
          <w:p>
            <w:pPr>
              <w:jc w:val="left"/>
              <w:spacing w:before="0" w:after="0" w:line="230" w:lineRule="exact"/>
            </w:pPr>
            <w:r>
              <w:rPr>
                <w:rFonts w:ascii="宋体" w:hAnsi="宋体" w:eastAsia="宋体"/>
                <w:b w:val="0"/>
                <w:sz w:val="18"/>
              </w:rPr>
              <w:t xml:space="preserve">2.应符合现行标准《建筑施工扣件式钢管脚手架安全技术规范》（JGJ130）对构配件的质量要求，扣件还应符合现行《钢管脚手架扣件》（GB/T15831）的有关要求。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1.在两步三跨双排脚手架上拆除外排中间部位2根立杆、6根小横杆以及全部大横杆和斜撑（</w:t>
            </w:r>
            <w:r>
              <w:t xml:space="preserve">含抛撑），未拆除</w:t>
            </w:r>
            <w:r>
              <w:rPr>
                <w:rFonts w:ascii="宋体" w:hAnsi="宋体" w:eastAsia="宋体"/>
                <w:b w:val="0"/>
                <w:sz w:val="18"/>
              </w:rPr>
              <w:t xml:space="preserve">部分应当安全稳固，作为基本形态脚手架。考生在基本形态脚手架上继续搭设，搭设完毕的整体脚手架应至少两步三跨（含操作层）。</w:t>
            </w:r>
            <w:r/>
          </w:p>
          <w:p>
            <w:pPr>
              <w:jc w:val="left"/>
              <w:spacing w:before="0" w:after="0" w:line="230" w:lineRule="exact"/>
              <w:rPr>
                <w:rFonts w:hint="eastAsia" w:eastAsia="宋体"/>
                <w:lang w:eastAsia="zh-CN"/>
              </w:rPr>
            </w:pPr>
            <w:r>
              <w:rPr>
                <w:rFonts w:ascii="宋体" w:hAnsi="宋体" w:eastAsia="宋体"/>
                <w:b w:val="0"/>
                <w:sz w:val="18"/>
              </w:rPr>
              <w:t xml:space="preserve">2.二步架上方净空高度不小于2m。3.考生在攀登脚手架前，必须将速差自控器（防坠器）安全带连</w:t>
            </w:r>
            <w:r>
              <w:rPr>
                <w:rFonts w:hint="eastAsia"/>
                <w:b w:val="0"/>
                <w:sz w:val="18"/>
                <w:lang w:val="en-US" w:eastAsia="zh-CN"/>
              </w:rPr>
              <w:t xml:space="preserve">接</w:t>
            </w:r>
            <w:r>
              <w:rPr>
                <w:rFonts w:hint="eastAsia"/>
                <w:b w:val="0"/>
                <w:sz w:val="18"/>
                <w:lang w:eastAsia="zh-CN"/>
              </w:rPr>
              <w:t xml:space="preserve">。</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安全网</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安全立网</w:t>
            </w:r>
            <w:r/>
          </w:p>
        </w:tc>
        <w:tc>
          <w:tcPr>
            <w:tcW w:w="4478" w:type="dxa"/>
            <w:vAlign w:val="center"/>
            <w:vMerge w:val="restart"/>
            <w:textDirection w:val="lrTb"/>
            <w:noWrap w:val="false"/>
          </w:tcPr>
          <w:p>
            <w:pPr>
              <w:jc w:val="left"/>
              <w:spacing w:before="0" w:after="0" w:line="230" w:lineRule="exact"/>
            </w:pPr>
            <w:r>
              <w:rPr>
                <w:rFonts w:ascii="宋体" w:hAnsi="宋体" w:eastAsia="宋体"/>
                <w:b w:val="0"/>
                <w:sz w:val="18"/>
              </w:rPr>
              <w:t xml:space="preserve">应符合现行标准《安全网》（GB5725）的有关要求。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安全平网</w:t>
            </w:r>
            <w:r/>
          </w:p>
        </w:tc>
        <w:tc>
          <w:tcPr>
            <w:tcW w:w="4478" w:type="dxa"/>
            <w:vAlign w:val="center"/>
            <w:vMerge w:val="continue"/>
            <w:textDirection w:val="lrTb"/>
            <w:noWrap w:val="false"/>
          </w:tcPr>
          <w:p>
            <w:pPr>
              <w:spacing w:after="0" w:line="240" w:lineRule="auto"/>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搭设脚手架所需的配套工器具，包括但不限于：扭力扳手、卷尺、铅笔、铁锤、水平仪、角度仪、手持电动套筒扳手等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default" w:eastAsia="宋体"/>
                <w:lang w:val="en-US" w:eastAsia="zh-CN"/>
              </w:rPr>
            </w:pPr>
            <w:r>
              <w:rPr>
                <w:rFonts w:hint="eastAsia"/>
                <w:b w:val="0"/>
                <w:sz w:val="18"/>
                <w:lang w:val="en-US" w:eastAsia="zh-CN"/>
              </w:rPr>
              <w:t xml:space="preserve">套数根据作业人数配备</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数量根据作业人数配备</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作业环境显示屏</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可设置和展示场地是否平整、坚实以及排水是否顺畅等情况，可设置和展示温度、雨、雪、雾、风向、风速等天气情况。</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水平生命线装置</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1.在脚手架上方平行脚手架设置，用于挂设速差自控器（防坠器）。</w:t>
            </w:r>
            <w:r/>
          </w:p>
          <w:p>
            <w:pPr>
              <w:jc w:val="left"/>
              <w:spacing w:before="0" w:after="0" w:line="230" w:lineRule="exact"/>
            </w:pPr>
            <w:r>
              <w:rPr>
                <w:rFonts w:ascii="宋体" w:hAnsi="宋体" w:eastAsia="宋体"/>
                <w:b w:val="0"/>
                <w:sz w:val="18"/>
              </w:rPr>
              <w:t xml:space="preserve">2.应符合现行标准《坠落防护水平生命线装置》（GB38454）的有关要求。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速差自控器（防坠器）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1.速差自控器（防坠器）的安全绳长度不超过水平生命线装置至地面的距离，保证坠落发生后最小安全距离应大于1m。</w:t>
            </w:r>
            <w:r/>
          </w:p>
          <w:p>
            <w:pPr>
              <w:jc w:val="left"/>
              <w:spacing w:before="0" w:after="0" w:line="230" w:lineRule="exact"/>
            </w:pPr>
            <w:r>
              <w:rPr>
                <w:rFonts w:ascii="宋体" w:hAnsi="宋体" w:eastAsia="宋体"/>
                <w:b w:val="0"/>
                <w:sz w:val="18"/>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≥2个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r>
        <w:trPr>
          <w:jc w:val="center"/>
        </w:trPr>
        <w:tc>
          <w:tcPr>
            <w:tcW w:w="902" w:type="dxa"/>
            <w:vAlign w:val="center"/>
            <w:vMerge w:val="restart"/>
            <w:textDirection w:val="lrTb"/>
            <w:noWrap w:val="false"/>
          </w:tcPr>
          <w:p>
            <w:pPr>
              <w:jc w:val="center"/>
              <w:spacing w:before="0" w:after="0" w:line="230" w:lineRule="exact"/>
            </w:pPr>
            <w:r>
              <w:rPr>
                <w:rFonts w:ascii="宋体" w:hAnsi="宋体" w:eastAsia="宋体"/>
                <w:b/>
                <w:sz w:val="18"/>
              </w:rPr>
              <w:t xml:space="preserve">K32</w:t>
            </w:r>
            <w:r/>
          </w:p>
        </w:tc>
        <w:tc>
          <w:tcPr>
            <w:tcW w:w="1041" w:type="dxa"/>
            <w:vAlign w:val="center"/>
            <w:vMerge w:val="restart"/>
            <w:textDirection w:val="lrTb"/>
            <w:noWrap w:val="false"/>
          </w:tcPr>
          <w:p>
            <w:pPr>
              <w:jc w:val="center"/>
              <w:spacing w:before="0" w:after="0" w:line="230" w:lineRule="exact"/>
            </w:pPr>
            <w:r>
              <w:rPr>
                <w:rFonts w:ascii="宋体" w:hAnsi="宋体" w:eastAsia="宋体"/>
                <w:b w:val="0"/>
                <w:sz w:val="18"/>
              </w:rPr>
              <w:t xml:space="preserve">双排钢管跨越架考位</w:t>
            </w:r>
            <w:r/>
          </w:p>
        </w:tc>
        <w:tc>
          <w:tcPr>
            <w:tcW w:w="960" w:type="dxa"/>
            <w:vAlign w:val="center"/>
            <w:vMerge w:val="restart"/>
            <w:textDirection w:val="lrTb"/>
            <w:noWrap w:val="false"/>
          </w:tcPr>
          <w:p>
            <w:pPr>
              <w:jc w:val="center"/>
              <w:spacing w:before="0" w:after="0" w:line="230" w:lineRule="exact"/>
            </w:pPr>
            <w:r>
              <w:rPr>
                <w:rFonts w:ascii="宋体" w:hAnsi="宋体" w:eastAsia="宋体"/>
                <w:b w:val="0"/>
                <w:sz w:val="18"/>
              </w:rPr>
              <w:t xml:space="preserve">架体四周应有符合高处作业防坠半径要求的安全空间；应有满足存放</w:t>
            </w:r>
            <w:r>
              <w:rPr>
                <w:rFonts w:hint="eastAsia"/>
                <w:b w:val="0"/>
                <w:sz w:val="18"/>
                <w:lang w:val="en-US" w:eastAsia="zh-CN"/>
              </w:rPr>
              <w:t xml:space="preserve">待</w:t>
            </w:r>
            <w:r>
              <w:rPr>
                <w:rFonts w:ascii="宋体" w:hAnsi="宋体" w:eastAsia="宋体"/>
                <w:b w:val="0"/>
                <w:sz w:val="18"/>
              </w:rPr>
              <w:t xml:space="preserve">安装</w:t>
            </w:r>
            <w:r>
              <w:rPr>
                <w:rFonts w:hint="eastAsia"/>
                <w:b w:val="0"/>
                <w:sz w:val="18"/>
                <w:lang w:val="en-US" w:eastAsia="zh-CN"/>
              </w:rPr>
              <w:t xml:space="preserve">跨</w:t>
            </w:r>
            <w:r>
              <w:rPr>
                <w:rFonts w:ascii="宋体" w:hAnsi="宋体" w:eastAsia="宋体"/>
                <w:b w:val="0"/>
                <w:sz w:val="18"/>
              </w:rPr>
              <w:t xml:space="preserve">越架构配件的空间</w:t>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扣件式钢管跨越架，包括但不限于：搭设双排钢管跨越架所需的垫木、底座、钢管及连接件等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1.满足搭设三步三跨所需的构配件。2.应符合现行标准《建筑施工扣件式钢管脚手架安全技术规范》（JGJ130）对构配件的质量要求，扣件还应符合现行标准《钢管脚手架扣件》（GB/T15831）的有关要求。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Align w:val="center"/>
            <w:vMerge w:val="restart"/>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在三步三跨双排跨越架上拆除其中一排中间部位2根立杆、8根小横杆以及全部大横杆和斜撑（含抛撑、羊角杆），未拆除部分应当安全稳固，作为基本形态跨越架。考生在基本形态跨越架上继续搭设，搭设完毕的整体跨越架应至少三步三跨。</w:t>
            </w:r>
            <w:r/>
          </w:p>
          <w:p>
            <w:pPr>
              <w:jc w:val="left"/>
              <w:spacing w:before="0" w:after="0" w:line="230" w:lineRule="exact"/>
              <w:rPr>
                <w:rFonts w:hint="eastAsia" w:eastAsia="宋体"/>
                <w:lang w:val="en-US" w:eastAsia="zh-CN"/>
              </w:rPr>
            </w:pPr>
            <w:r>
              <w:rPr>
                <w:rFonts w:ascii="宋体" w:hAnsi="宋体" w:eastAsia="宋体"/>
                <w:b w:val="0"/>
                <w:sz w:val="18"/>
              </w:rPr>
              <w:t xml:space="preserve">2.二步架上方净空高度不小于2.2m。3.考生在攀登跨越架前，必须将速差自控器（防坠器）与安全带连</w:t>
            </w:r>
            <w:r>
              <w:rPr>
                <w:rFonts w:hint="eastAsia"/>
                <w:b w:val="0"/>
                <w:sz w:val="18"/>
                <w:lang w:val="en-US" w:eastAsia="zh-CN"/>
              </w:rPr>
              <w:t xml:space="preserve">接。</w:t>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搭设跨越架所需的配套工器具，包括但不限于：扭力扳手、卷尺、铅笔、铁锤、手锯/电锯、水平仪、角度仪、手持电动套筒扳手等</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各类工器具的型号规格应满足作业需要。</w:t>
            </w:r>
            <w:r/>
          </w:p>
        </w:tc>
        <w:tc>
          <w:tcPr>
            <w:tcW w:w="854" w:type="dxa"/>
            <w:vAlign w:val="center"/>
            <w:textDirection w:val="lrTb"/>
            <w:noWrap w:val="false"/>
          </w:tcPr>
          <w:p>
            <w:pPr>
              <w:jc w:val="center"/>
              <w:spacing w:before="0" w:after="0" w:line="230" w:lineRule="exact"/>
            </w:pPr>
            <w:r>
              <w:rPr>
                <w:rFonts w:hint="eastAsia"/>
                <w:b w:val="0"/>
                <w:sz w:val="18"/>
                <w:lang w:val="en-US" w:eastAsia="zh-CN"/>
              </w:rPr>
              <w:t xml:space="preserve">套数根据作业人数配备</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工具袋</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数量根据作业人数配备</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作业环境显示屏</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可设置和展示场地是否平整、坚实以及排水是否顺畅等情况，可设置和展示温度、雨、雪、雾、风向、风速等天气情况。</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安全围栏</w:t>
            </w:r>
            <w:r/>
          </w:p>
        </w:tc>
        <w:tc>
          <w:tcPr>
            <w:tcW w:w="4478" w:type="dxa"/>
            <w:vAlign w:val="center"/>
            <w:textDirection w:val="lrTb"/>
            <w:noWrap w:val="false"/>
          </w:tcPr>
          <w:p>
            <w:pPr>
              <w:jc w:val="left"/>
              <w:spacing w:before="0" w:after="0" w:line="230" w:lineRule="exact"/>
            </w:pPr>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安全标志</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1.配备禁止、警告、指令、提示等四类安全标志。</w:t>
            </w:r>
            <w:r/>
          </w:p>
          <w:p>
            <w:pPr>
              <w:jc w:val="left"/>
              <w:spacing w:before="0" w:after="0" w:line="230" w:lineRule="exact"/>
            </w:pPr>
            <w:r>
              <w:rPr>
                <w:rFonts w:ascii="宋体" w:hAnsi="宋体" w:eastAsia="宋体"/>
                <w:b w:val="0"/>
                <w:sz w:val="18"/>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器材摆放架</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定制，满足摆放需求。</w:t>
            </w:r>
            <w:r/>
          </w:p>
        </w:tc>
        <w:tc>
          <w:tcPr>
            <w:tcW w:w="854" w:type="dxa"/>
            <w:vAlign w:val="center"/>
            <w:textDirection w:val="lrTb"/>
            <w:noWrap w:val="false"/>
          </w:tcPr>
          <w:p>
            <w:pPr>
              <w:jc w:val="center"/>
              <w:spacing w:before="0" w:after="0" w:line="230" w:lineRule="exact"/>
              <w:rPr>
                <w:rFonts w:hint="eastAsia" w:eastAsia="宋体"/>
                <w:lang w:val="en-US" w:eastAsia="zh-CN"/>
              </w:rPr>
            </w:pPr>
            <w:r>
              <w:rPr>
                <w:rFonts w:hint="eastAsia"/>
                <w:lang w:val="en-US" w:eastAsia="zh-CN"/>
              </w:rPr>
              <w:t xml:space="preserve">若干</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Align w:val="center"/>
            <w:vMerge w:val="restart"/>
            <w:textDirection w:val="lrTb"/>
            <w:noWrap w:val="false"/>
          </w:tcPr>
          <w:p>
            <w:pPr>
              <w:jc w:val="center"/>
              <w:spacing w:before="0" w:after="0" w:line="230" w:lineRule="exact"/>
            </w:pPr>
            <w:r>
              <w:rPr>
                <w:rFonts w:ascii="宋体" w:hAnsi="宋体" w:eastAsia="宋体"/>
                <w:b w:val="0"/>
                <w:sz w:val="18"/>
              </w:rPr>
              <w:t xml:space="preserve">考生作业安全防护设备设施</w:t>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水平生命线装置</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1.在跨越架上方平行跨越架设置，用于挂设速差自控器（防坠器）。</w:t>
            </w:r>
            <w:r/>
          </w:p>
          <w:p>
            <w:pPr>
              <w:jc w:val="left"/>
              <w:spacing w:before="0" w:after="0" w:line="230" w:lineRule="exact"/>
            </w:pPr>
            <w:r>
              <w:rPr>
                <w:rFonts w:ascii="宋体" w:hAnsi="宋体" w:eastAsia="宋体"/>
                <w:b w:val="0"/>
                <w:sz w:val="18"/>
              </w:rPr>
              <w:t xml:space="preserve">2.应符合现行标准《坠落防护水平生命线装置》（GB38454）的有关要求。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1套</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tcW w:w="1315" w:type="dxa"/>
            <w:vMerge w:val="continue"/>
            <w:textDirection w:val="lrTb"/>
            <w:noWrap w:val="false"/>
          </w:tcPr>
          <w:p>
            <w:pPr>
              <w:spacing w:after="0" w:line="240" w:lineRule="auto"/>
            </w:pPr>
            <w:r/>
            <w:r/>
          </w:p>
        </w:tc>
        <w:tc>
          <w:tcPr>
            <w:tcW w:w="1910" w:type="dxa"/>
            <w:vAlign w:val="center"/>
            <w:textDirection w:val="lrTb"/>
            <w:noWrap w:val="false"/>
          </w:tcPr>
          <w:p>
            <w:pPr>
              <w:jc w:val="left"/>
              <w:spacing w:before="0" w:after="0" w:line="230" w:lineRule="exact"/>
            </w:pPr>
            <w:r>
              <w:rPr>
                <w:rFonts w:ascii="宋体" w:hAnsi="宋体" w:eastAsia="宋体"/>
                <w:b w:val="0"/>
                <w:sz w:val="18"/>
              </w:rPr>
              <w:t xml:space="preserve">速差自控器（防坠器）</w:t>
            </w:r>
            <w:r/>
          </w:p>
        </w:tc>
        <w:tc>
          <w:tcPr>
            <w:tcW w:w="4478" w:type="dxa"/>
            <w:vAlign w:val="center"/>
            <w:textDirection w:val="lrTb"/>
            <w:noWrap w:val="false"/>
          </w:tcPr>
          <w:p>
            <w:pPr>
              <w:jc w:val="left"/>
              <w:spacing w:before="0" w:after="0" w:line="230" w:lineRule="exact"/>
              <w:rPr>
                <w:rFonts w:ascii="宋体" w:hAnsi="宋体" w:eastAsia="宋体"/>
                <w:b w:val="0"/>
                <w:sz w:val="18"/>
              </w:rPr>
            </w:pPr>
            <w:r>
              <w:rPr>
                <w:rFonts w:ascii="宋体" w:hAnsi="宋体" w:eastAsia="宋体"/>
                <w:b w:val="0"/>
                <w:sz w:val="18"/>
              </w:rPr>
              <w:t xml:space="preserve">1.速差自控器（防坠器）的安全绳长度不超过水平生命线装置至地面的距离，保证坠落发生后最小安全距离应大于1m。</w:t>
            </w:r>
            <w:r/>
          </w:p>
          <w:p>
            <w:pPr>
              <w:jc w:val="left"/>
              <w:spacing w:before="0" w:after="0" w:line="230" w:lineRule="exact"/>
            </w:pPr>
            <w:r>
              <w:rPr>
                <w:rFonts w:ascii="宋体" w:hAnsi="宋体" w:eastAsia="宋体"/>
                <w:b w:val="0"/>
                <w:sz w:val="18"/>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pPr>
            <w:r>
              <w:rPr>
                <w:rFonts w:ascii="宋体" w:hAnsi="宋体" w:eastAsia="宋体"/>
                <w:b w:val="0"/>
                <w:sz w:val="18"/>
              </w:rPr>
              <w:t xml:space="preserve">≥2个</w:t>
            </w:r>
            <w:r/>
          </w:p>
        </w:tc>
        <w:tc>
          <w:tcPr>
            <w:tcW w:w="1781" w:type="dxa"/>
            <w:vMerge w:val="continue"/>
            <w:textDirection w:val="lrTb"/>
            <w:noWrap w:val="false"/>
          </w:tcPr>
          <w:p>
            <w:pPr>
              <w:spacing w:after="0" w:line="240" w:lineRule="auto"/>
            </w:pPr>
            <w:r/>
            <w:r/>
          </w:p>
        </w:tc>
      </w:tr>
      <w:tr>
        <w:trPr>
          <w:jc w:val="center"/>
        </w:trPr>
        <w:tc>
          <w:tcPr>
            <w:tcW w:w="902" w:type="dxa"/>
            <w:vMerge w:val="continue"/>
            <w:textDirection w:val="lrTb"/>
            <w:noWrap w:val="false"/>
          </w:tcPr>
          <w:p>
            <w:pPr>
              <w:spacing w:after="0" w:line="240" w:lineRule="auto"/>
            </w:pPr>
            <w:r/>
            <w:r/>
          </w:p>
        </w:tc>
        <w:tc>
          <w:tcPr>
            <w:tcW w:w="1041" w:type="dxa"/>
            <w:vMerge w:val="continue"/>
            <w:textDirection w:val="lrTb"/>
            <w:noWrap w:val="false"/>
          </w:tcPr>
          <w:p>
            <w:pPr>
              <w:spacing w:after="0" w:line="240" w:lineRule="auto"/>
            </w:pPr>
            <w:r/>
            <w:r/>
          </w:p>
        </w:tc>
        <w:tc>
          <w:tcPr>
            <w:tcW w:w="960" w:type="dxa"/>
            <w:vMerge w:val="continue"/>
            <w:textDirection w:val="lrTb"/>
            <w:noWrap w:val="false"/>
          </w:tcPr>
          <w:p>
            <w:pPr>
              <w:spacing w:after="0" w:line="240" w:lineRule="auto"/>
            </w:pPr>
            <w:r/>
            <w:r/>
          </w:p>
        </w:tc>
        <w:tc>
          <w:tcPr>
            <w:gridSpan w:val="2"/>
            <w:tcW w:w="3225" w:type="dxa"/>
            <w:vAlign w:val="center"/>
            <w:textDirection w:val="lrTb"/>
            <w:noWrap w:val="false"/>
          </w:tcPr>
          <w:p>
            <w:pPr>
              <w:jc w:val="left"/>
              <w:spacing w:before="0" w:after="0" w:line="230" w:lineRule="exact"/>
            </w:pPr>
            <w:r>
              <w:rPr>
                <w:rFonts w:ascii="宋体" w:hAnsi="宋体" w:eastAsia="宋体"/>
                <w:b w:val="0"/>
                <w:sz w:val="18"/>
              </w:rPr>
              <w:t xml:space="preserve">其他设备、设施、器材</w:t>
            </w:r>
            <w:r/>
          </w:p>
        </w:tc>
        <w:tc>
          <w:tcPr>
            <w:tcW w:w="4478" w:type="dxa"/>
            <w:vAlign w:val="center"/>
            <w:textDirection w:val="lrTb"/>
            <w:noWrap w:val="false"/>
          </w:tcPr>
          <w:p>
            <w:pPr>
              <w:jc w:val="left"/>
              <w:spacing w:before="0" w:after="0" w:line="230" w:lineRule="exact"/>
            </w:pPr>
            <w:r>
              <w:rPr>
                <w:rFonts w:ascii="宋体" w:hAnsi="宋体" w:eastAsia="宋体"/>
                <w:b w:val="0"/>
                <w:sz w:val="18"/>
              </w:rPr>
              <w:t xml:space="preserve">根据实际需求配备。</w:t>
            </w:r>
            <w:r/>
          </w:p>
        </w:tc>
        <w:tc>
          <w:tcPr>
            <w:tcW w:w="854" w:type="dxa"/>
            <w:vAlign w:val="center"/>
            <w:textDirection w:val="lrTb"/>
            <w:noWrap w:val="false"/>
          </w:tcPr>
          <w:p>
            <w:pPr>
              <w:jc w:val="center"/>
              <w:spacing w:before="0" w:after="0" w:line="230" w:lineRule="exact"/>
            </w:pPr>
            <w:r/>
            <w:r/>
          </w:p>
        </w:tc>
        <w:tc>
          <w:tcPr>
            <w:tcW w:w="1781" w:type="dxa"/>
            <w:vMerge w:val="continue"/>
            <w:textDirection w:val="lrTb"/>
            <w:noWrap w:val="false"/>
          </w:tcPr>
          <w:p>
            <w:pPr>
              <w:spacing w:after="0" w:line="240" w:lineRule="auto"/>
            </w:pPr>
            <w:r/>
            <w:r/>
          </w:p>
        </w:tc>
      </w:tr>
    </w:tbl>
    <w:p>
      <w:pPr>
        <w:spacing w:after="40"/>
      </w:pPr>
      <w:r/>
      <w:r/>
    </w:p>
    <w:p>
      <w:pP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71"/>
        <w:numPr>
          <w:ilvl w:val="0"/>
          <w:numId w:val="0"/>
        </w:numPr>
        <w:pageBreakBefore w:val="0"/>
        <w:spacing w:line="360" w:lineRule="auto"/>
        <w:widowControl w:val="off"/>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7、考场配套</w:t>
      </w:r>
      <w:r/>
    </w:p>
    <w:p>
      <w:pPr>
        <w:jc w:val="center"/>
        <w:rPr>
          <w:rFonts w:hint="eastAsia" w:ascii="宋体" w:hAnsi="宋体" w:eastAsia="宋体" w:cs="宋体"/>
          <w:b/>
          <w:bCs/>
          <w:color w:val="auto"/>
          <w:sz w:val="22"/>
          <w:szCs w:val="22"/>
          <w:lang w:val="en-US" w:eastAsia="zh-CN"/>
        </w:rPr>
        <w:outlineLvl w:val="9"/>
      </w:pPr>
      <w:r>
        <w:rPr>
          <w:rFonts w:hint="eastAsia" w:ascii="宋体" w:hAnsi="宋体" w:eastAsia="宋体" w:cs="宋体"/>
          <w:b/>
          <w:bCs/>
          <w:color w:val="auto"/>
          <w:sz w:val="22"/>
          <w:szCs w:val="22"/>
          <w:lang w:val="en-US" w:eastAsia="zh-CN"/>
        </w:rPr>
        <w:t xml:space="preserve">表7 考场配套</w:t>
      </w:r>
      <w:r/>
    </w:p>
    <w:tbl>
      <w:tblPr>
        <w:tblStyle w:val="780"/>
        <w:tblW w:w="4558" w:type="pct"/>
        <w:tblInd w:w="6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3970"/>
        <w:gridCol w:w="798"/>
        <w:gridCol w:w="748"/>
        <w:gridCol w:w="6843"/>
      </w:tblGrid>
      <w:tr>
        <w:trPr>
          <w:trHeight w:val="57"/>
        </w:trPr>
        <w:tc>
          <w:tcPr>
            <w:tcW w:w="915"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3973"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设备/设施/器材</w:t>
            </w:r>
            <w:r/>
          </w:p>
        </w:tc>
        <w:tc>
          <w:tcPr>
            <w:tcW w:w="799"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c>
          <w:tcPr>
            <w:tcW w:w="749"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单位</w:t>
            </w:r>
            <w:r/>
          </w:p>
        </w:tc>
        <w:tc>
          <w:tcPr>
            <w:tcW w:w="6848" w:type="dxa"/>
            <w:vAlign w:val="center"/>
            <w:textDirection w:val="lrTb"/>
            <w:noWrap w:val="false"/>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标准要求</w:t>
            </w:r>
            <w:r/>
          </w:p>
        </w:tc>
      </w:tr>
      <w:tr>
        <w:trPr>
          <w:trHeight w:val="745"/>
        </w:trPr>
        <w:tc>
          <w:tcPr>
            <w:shd w:val="clear" w:color="auto" w:fill="auto"/>
            <w:tcW w:w="915" w:type="dxa"/>
            <w:vAlign w:val="center"/>
            <w:textDirection w:val="lrTb"/>
            <w:noWrap/>
          </w:tcPr>
          <w:p>
            <w:pPr>
              <w:jc w:val="center"/>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1</w:t>
            </w:r>
            <w:r/>
          </w:p>
        </w:tc>
        <w:tc>
          <w:tcPr>
            <w:shd w:val="clear" w:color="auto" w:fill="auto"/>
            <w:tcW w:w="3973" w:type="dxa"/>
            <w:vAlign w:val="center"/>
            <w:textDirection w:val="lrTb"/>
            <w:noWrap/>
          </w:tcPr>
          <w:p>
            <w:pPr>
              <w:jc w:val="center"/>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进行智能分析的成套设备</w:t>
            </w:r>
            <w:r/>
          </w:p>
        </w:tc>
        <w:tc>
          <w:tcPr>
            <w:shd w:val="clear" w:color="auto" w:fill="auto"/>
            <w:tcW w:w="799" w:type="dxa"/>
            <w:vAlign w:val="center"/>
            <w:textDirection w:val="lrTb"/>
            <w:noWrap/>
          </w:tcPr>
          <w:p>
            <w:pPr>
              <w:jc w:val="center"/>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1</w:t>
            </w:r>
            <w:r/>
          </w:p>
        </w:tc>
        <w:tc>
          <w:tcPr>
            <w:shd w:val="clear" w:color="auto" w:fill="auto"/>
            <w:tcW w:w="749" w:type="dxa"/>
            <w:vAlign w:val="center"/>
            <w:textDirection w:val="lrTb"/>
            <w:noWrap/>
          </w:tcPr>
          <w:p>
            <w:pPr>
              <w:jc w:val="center"/>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套</w:t>
            </w:r>
            <w:r/>
          </w:p>
        </w:tc>
        <w:tc>
          <w:tcPr>
            <w:shd w:val="clear" w:color="auto" w:fill="auto"/>
            <w:tcW w:w="6848" w:type="dxa"/>
            <w:vAlign w:val="center"/>
            <w:textDirection w:val="lrTb"/>
            <w:noWrap w:val="false"/>
          </w:tcPr>
          <w:p>
            <w:pPr>
              <w:numPr>
                <w:ilvl w:val="0"/>
                <w:numId w:val="0"/>
              </w:num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1.应当符合应急管理部《特种作业安全技术实际操作考场人工智能（AI）考评系统建设数据规范》《特种作业安全技术实际操作考场人工智能（AI）考评系统建设实施指南》中规定的技术参数。</w:t>
            </w:r>
            <w:r/>
          </w:p>
          <w:p>
            <w:pPr>
              <w:numPr>
                <w:ilvl w:val="0"/>
                <w:numId w:val="0"/>
              </w:num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2.双路高性能处理器2台，可支持16条DDR5（最高5600MHz）内存槽。可支持12个3.5寸盘位（8个兼容SATA/SAS/U.2），可支持9个PCIe扩展槽。支持选配后置硬盘/PCIe模组。AI总算力≥560TFLOPS（支持INT8/FP16/BF16/FP32混合精度计算），支持视频类AI模型的实时推理能力，能够稳定处理不低于160路1080p分辨率视频流，支持25FPS全帧率处理，能够适配图像识别、目标检测、行为分析等算法模型。</w:t>
            </w:r>
            <w:r/>
          </w:p>
          <w:p>
            <w:pPr>
              <w:numPr>
                <w:ilvl w:val="0"/>
                <w:numId w:val="0"/>
              </w:num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3.采集器：分辨率：300-400万像素，支持POE供电，具备拾音功能。</w:t>
            </w:r>
            <w:r/>
          </w:p>
          <w:p>
            <w:pPr>
              <w:numPr>
                <w:ilvl w:val="0"/>
                <w:numId w:val="0"/>
              </w:num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4.画面终端：≥23 英寸 ，支持稳定的日常计算性能的市面主流 CPU，DDR4，内存，含 4 个 USB 接口、HDMI 与 DP 显示接口等，满足外设连接与高清输出需求。</w:t>
            </w:r>
            <w:r/>
          </w:p>
          <w:p>
            <w:pPr>
              <w:numPr>
                <w:ilvl w:val="0"/>
                <w:numId w:val="0"/>
              </w:num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5.支持多角度图像记录，实时识别作业人员动作行为、操作设备对象状态，智能分析结果，评分详情。（需提供上述智能识别功能的实物实拍操作图片佐证资料并进行详细说明）</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6.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实物实拍操作图片佐证资料并进行详细说明） </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7.手持终端15个（数量不限于15个，需要根据考场情况满足全考场使用）。屏幕尺寸：≥10.1英寸，内置系统：基于android13及以上安卓系统或同等功能国产系统，内存≥6G，硬盘≥64G。具备以下功能：（投标文件需逐项提供系统功能证明图片，验证功能完备性）</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1）须满足国家《安全生产考试机构和考试点管理规定》（应急〔2025〕41号）；</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2）支持高压电工作业，低压电工作业，熔化焊接与热切割作业，压力焊作业，登高架设作业，高处安装、维护、拆除作业，煤气作业，制冷与空调作业，危险化学品安全作业等特种作业实操评分功能；</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①考评员登录认证功能，支持账号密码登录与人脸识别登录；</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②考生信息确认功能，支持准考证号/身份证号/扫码登录，系统自动推送考生的姓名、准考证号、考试子科目等信息；</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③考试题目抽取功能：支持随机抽取考题组卷；</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④考评员在线评分功能：支持自行配置评分项和否定项；</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⑤考试过程拍照功能：支持上传照片和视频；</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⑥考试评分提醒功能；</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⑦考试成绩单生成功能；</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⑧成绩查询功能；</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⑨评分记录查询功能。</w:t>
            </w:r>
            <w:r/>
          </w:p>
          <w:p>
            <w:pPr>
              <w:numPr>
                <w:ilvl w:val="0"/>
                <w:numId w:val="0"/>
              </w:num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8.系统具备考试成绩自动上传至省级实操考核管理平台的功能，方便考试组织和管理。</w:t>
            </w:r>
            <w:r/>
          </w:p>
          <w:p>
            <w:pPr>
              <w:numPr>
                <w:ilvl w:val="0"/>
                <w:numId w:val="0"/>
              </w:num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bCs/>
                <w:color w:val="ff0000"/>
                <w:sz w:val="18"/>
                <w:szCs w:val="18"/>
                <w:highlight w:val="none"/>
                <w:lang w:val="en-US" w:eastAsia="zh-CN"/>
              </w:rPr>
              <w:t xml:space="preserve">针对上述功能，投标供应商需提供相关功能承诺，否则作无效响应处理。</w:t>
            </w:r>
            <w:r/>
          </w:p>
        </w:tc>
      </w:tr>
      <w:tr>
        <w:trPr>
          <w:trHeight w:val="467"/>
        </w:trPr>
        <w:tc>
          <w:tcPr>
            <w:tcW w:w="915" w:type="dxa"/>
            <w:vAlign w:val="center"/>
            <w:textDirection w:val="lrTb"/>
            <w:noWrap/>
          </w:tcPr>
          <w:p>
            <w:pPr>
              <w:jc w:val="center"/>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2</w:t>
            </w:r>
            <w:r/>
          </w:p>
        </w:tc>
        <w:tc>
          <w:tcPr>
            <w:tcW w:w="3973" w:type="dxa"/>
            <w:vAlign w:val="center"/>
            <w:textDirection w:val="lrTb"/>
            <w:noWrap/>
          </w:tcPr>
          <w:p>
            <w:pPr>
              <w:jc w:val="center"/>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智能叫号系统软件</w:t>
            </w:r>
            <w:r/>
          </w:p>
        </w:tc>
        <w:tc>
          <w:tcPr>
            <w:tcW w:w="799" w:type="dxa"/>
            <w:vAlign w:val="center"/>
            <w:textDirection w:val="lrTb"/>
            <w:noWrap/>
          </w:tcPr>
          <w:p>
            <w:pPr>
              <w:jc w:val="center"/>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1</w:t>
            </w:r>
            <w:r/>
          </w:p>
        </w:tc>
        <w:tc>
          <w:tcPr>
            <w:tcW w:w="749" w:type="dxa"/>
            <w:vAlign w:val="center"/>
            <w:textDirection w:val="lrTb"/>
            <w:noWrap/>
          </w:tcPr>
          <w:p>
            <w:pPr>
              <w:jc w:val="center"/>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套</w:t>
            </w:r>
            <w:r/>
          </w:p>
        </w:tc>
        <w:tc>
          <w:tcPr>
            <w:tcW w:w="6848" w:type="dxa"/>
            <w:vAlign w:val="center"/>
            <w:textDirection w:val="lrTb"/>
            <w:noWrap w:val="false"/>
          </w:tcPr>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1．硬件配备：</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①取号机1台：显示屏幕不小于21寸，分辨率不低于1920×1080，具备触摸交互功能，响应时间不超过50ms。处理器性能不低于IntelCorei5系列，内存≥8GB；独立显卡≥2G；固态硬盘≥60G，保障系统流畅运行与数据存储。支持取号信息出纸质小票。配备身份证阅读器，支持二代身份证快速读取信息。</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②考场门口叫号信息显示器8台：内存容量：≥4GB；屏幕尺寸：≥21英寸。门外显示器可实时显示当前考场候考人员、已经叫号人员，便于考生明确自己的位置，配备音响，可语音呼叫考生姓名及序号。</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2.系统功能：</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①系统需具备可扩展性与兼容性，能与现有各类考试相关系统实现无缝对接整合，还需预留未来功能拓展的接口，为后续的系统升级及新功能添加提供便利。</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②签到与打印环节，系统支持考生通过身份证读卡签到、手输准考证号码签到、手输身份证号码签到，搭配人脸在线比对功能、验证考生个人信息真实性及考试信息有效性，随后按照签到顺序及考生的报名信息，打印小票，指引考生到达指定位置候考；</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③系统根据签到顺序、考试工种、设备数量等内容，智能生成候考队列，当前呼叫信息、候考信息、已呼叫信息，显示在候考大屏，实时进行语音播报，考生可超看当前信息及排队时间。</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④考场内的考官点击呼叫，呼叫对应的考生前往考场。</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⑤实时监测考生考试进度，为完成考试的考生，自动排号到下一个考场，实现全自动智能叫号。</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⑥系统设置叫号工种、叫号时间、叫号顺序、播报时间等内容，并依据设置自动完成排号信息的分配。叫号信息会实时更新，考生只需查看屏幕上的叫号信息及语音叫号信息，可前往指定考场参加相应考试。</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 xml:space="preserve">⑦系统会实时监测每个考场的考试进程，一旦发现有空闲设备，便立即安排相应考生进行考试，以此最大限度地提高设备使用率，显著提升考试效率。</w:t>
            </w:r>
            <w:r/>
          </w:p>
          <w:p>
            <w:pPr>
              <w:jc w:val="left"/>
              <w:spacing w:line="360" w:lineRule="auto"/>
              <w:rPr>
                <w:rFonts w:hint="eastAsia" w:ascii="宋体" w:hAnsi="宋体" w:eastAsia="宋体" w:cs="宋体"/>
                <w:b w:val="0"/>
                <w:bCs w:val="0"/>
                <w:sz w:val="18"/>
                <w:szCs w:val="18"/>
                <w:highlight w:val="none"/>
                <w:lang w:val="en-US" w:eastAsia="zh-CN"/>
              </w:rPr>
            </w:pPr>
            <w:r>
              <w:rPr>
                <w:rFonts w:hint="eastAsia" w:ascii="宋体" w:hAnsi="宋体" w:eastAsia="宋体" w:cs="宋体"/>
                <w:b/>
                <w:bCs/>
                <w:color w:val="ff0000"/>
                <w:sz w:val="18"/>
                <w:szCs w:val="18"/>
                <w:highlight w:val="none"/>
                <w:lang w:val="en-US" w:eastAsia="zh-CN"/>
              </w:rPr>
              <w:t xml:space="preserve">针对上述功能，投标供应商需提供相关功能承诺，格式自拟，否则作无效响应处理。</w:t>
            </w:r>
            <w:r/>
          </w:p>
        </w:tc>
      </w:tr>
    </w:tbl>
    <w:p>
      <w:pPr>
        <w:pStyle w:val="771"/>
        <w:numPr>
          <w:ilvl w:val="0"/>
          <w:numId w:val="0"/>
        </w:numPr>
        <w:pageBreakBefore w:val="0"/>
        <w:spacing w:line="360" w:lineRule="auto"/>
        <w:widowControl w:val="off"/>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8、考场监控</w:t>
      </w:r>
      <w:r/>
    </w:p>
    <w:p>
      <w:pPr>
        <w:jc w:val="center"/>
        <w:rPr>
          <w:rFonts w:hint="eastAsia" w:ascii="宋体" w:hAnsi="宋体" w:eastAsia="宋体" w:cs="宋体"/>
          <w:b/>
          <w:bCs/>
          <w:color w:val="auto"/>
          <w:sz w:val="22"/>
          <w:szCs w:val="22"/>
          <w:lang w:val="en-US" w:eastAsia="zh-CN"/>
        </w:rPr>
        <w:outlineLvl w:val="9"/>
      </w:pPr>
      <w:r>
        <w:rPr>
          <w:rFonts w:hint="eastAsia" w:ascii="宋体" w:hAnsi="宋体" w:eastAsia="宋体" w:cs="宋体"/>
          <w:b/>
          <w:bCs/>
          <w:color w:val="auto"/>
          <w:sz w:val="22"/>
          <w:szCs w:val="22"/>
          <w:lang w:val="en-US" w:eastAsia="zh-CN"/>
        </w:rPr>
        <w:t xml:space="preserve">表8 考场监控</w:t>
      </w:r>
      <w:r/>
    </w:p>
    <w:tbl>
      <w:tblPr>
        <w:tblStyle w:val="780"/>
        <w:tblW w:w="4564" w:type="pct"/>
        <w:tblInd w:w="6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3980"/>
        <w:gridCol w:w="799"/>
        <w:gridCol w:w="796"/>
        <w:gridCol w:w="6801"/>
      </w:tblGrid>
      <w:tr>
        <w:trPr>
          <w:trHeight w:val="57"/>
        </w:trPr>
        <w:tc>
          <w:tcPr>
            <w:tcW w:w="915"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3983" w:type="dxa"/>
            <w:vAlign w:val="center"/>
            <w:textDirection w:val="lrTb"/>
            <w:noWrap w:val="false"/>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设备/设施/器材</w:t>
            </w:r>
            <w:r/>
          </w:p>
        </w:tc>
        <w:tc>
          <w:tcPr>
            <w:tcW w:w="800"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c>
          <w:tcPr>
            <w:tcW w:w="797"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单位</w:t>
            </w:r>
            <w:r/>
          </w:p>
        </w:tc>
        <w:tc>
          <w:tcPr>
            <w:tcW w:w="6805" w:type="dxa"/>
            <w:vAlign w:val="center"/>
            <w:textDirection w:val="lrTb"/>
            <w:noWrap w:val="false"/>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标准要求</w:t>
            </w:r>
            <w:r/>
          </w:p>
        </w:tc>
      </w:tr>
      <w:tr>
        <w:trPr>
          <w:trHeight w:val="329"/>
        </w:trPr>
        <w:tc>
          <w:tcPr>
            <w:tcW w:w="915"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3983"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监控摄像头</w:t>
            </w:r>
            <w:r/>
          </w:p>
        </w:tc>
        <w:tc>
          <w:tcPr>
            <w:tcW w:w="800"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40</w:t>
            </w:r>
            <w:r/>
          </w:p>
        </w:tc>
        <w:tc>
          <w:tcPr>
            <w:tcW w:w="797"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个</w:t>
            </w:r>
            <w:r/>
          </w:p>
        </w:tc>
        <w:tc>
          <w:tcPr>
            <w:tcW w:w="680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分辨率：300-400万像素，支持POE供电，具备拾音功能。</w:t>
            </w:r>
            <w:r/>
          </w:p>
        </w:tc>
      </w:tr>
      <w:tr>
        <w:trPr>
          <w:trHeight w:val="57"/>
        </w:trPr>
        <w:tc>
          <w:tcPr>
            <w:shd w:val="clear" w:color="auto" w:fill="auto"/>
            <w:tcW w:w="915"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W w:w="3983"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安装布线</w:t>
            </w:r>
            <w:r/>
          </w:p>
        </w:tc>
        <w:tc>
          <w:tcPr>
            <w:shd w:val="clear" w:color="auto" w:fill="auto"/>
            <w:tcW w:w="800"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797"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W w:w="680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根据考场定制施工，监控部署，实现远程观看考场监控。</w:t>
            </w:r>
            <w:r/>
          </w:p>
        </w:tc>
      </w:tr>
    </w:tbl>
    <w:p>
      <w:pPr>
        <w:pStyle w:val="771"/>
        <w:numPr>
          <w:ilvl w:val="0"/>
          <w:numId w:val="0"/>
        </w:numPr>
        <w:pageBreakBefore w:val="0"/>
        <w:spacing w:line="360" w:lineRule="auto"/>
        <w:widowControl w:val="off"/>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9、候考区</w:t>
      </w:r>
      <w:r/>
    </w:p>
    <w:p>
      <w:pPr>
        <w:jc w:val="center"/>
        <w:rPr>
          <w:rFonts w:hint="eastAsia" w:ascii="宋体" w:hAnsi="宋体" w:eastAsia="宋体" w:cs="宋体"/>
          <w:b/>
          <w:bCs/>
          <w:color w:val="auto"/>
          <w:sz w:val="22"/>
          <w:szCs w:val="22"/>
          <w:lang w:val="en-US" w:eastAsia="zh-CN"/>
        </w:rPr>
        <w:outlineLvl w:val="9"/>
      </w:pPr>
      <w:r>
        <w:rPr>
          <w:rFonts w:hint="eastAsia" w:ascii="宋体" w:hAnsi="宋体" w:eastAsia="宋体" w:cs="宋体"/>
          <w:b/>
          <w:bCs/>
          <w:color w:val="auto"/>
          <w:sz w:val="22"/>
          <w:szCs w:val="22"/>
          <w:lang w:val="en-US" w:eastAsia="zh-CN"/>
        </w:rPr>
        <w:t xml:space="preserve">表9 候考区</w:t>
      </w:r>
      <w:r/>
    </w:p>
    <w:tbl>
      <w:tblPr>
        <w:tblStyle w:val="780"/>
        <w:tblW w:w="4575" w:type="pct"/>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4012"/>
        <w:gridCol w:w="737"/>
        <w:gridCol w:w="675"/>
        <w:gridCol w:w="6968"/>
      </w:tblGrid>
      <w:tr>
        <w:trPr>
          <w:trHeight w:val="57"/>
        </w:trPr>
        <w:tc>
          <w:tcPr>
            <w:tcW w:w="931"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4015" w:type="dxa"/>
            <w:vAlign w:val="center"/>
            <w:textDirection w:val="lrTb"/>
            <w:noWrap w:val="false"/>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设备/设施/器材</w:t>
            </w:r>
            <w:r/>
          </w:p>
        </w:tc>
        <w:tc>
          <w:tcPr>
            <w:tcW w:w="738"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c>
          <w:tcPr>
            <w:tcW w:w="676"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单位</w:t>
            </w:r>
            <w:r/>
          </w:p>
        </w:tc>
        <w:tc>
          <w:tcPr>
            <w:tcW w:w="6973" w:type="dxa"/>
            <w:vAlign w:val="center"/>
            <w:textDirection w:val="lrTb"/>
            <w:noWrap w:val="false"/>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标准要求</w:t>
            </w:r>
            <w:r/>
          </w:p>
        </w:tc>
      </w:tr>
      <w:tr>
        <w:trPr>
          <w:trHeight w:val="57"/>
        </w:trPr>
        <w:tc>
          <w:tcPr>
            <w:shd w:val="clear" w:color="auto" w:fill="auto"/>
            <w:tcW w:w="931"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401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36门人脸识别存包柜</w:t>
            </w:r>
            <w:r/>
          </w:p>
        </w:tc>
        <w:tc>
          <w:tcPr>
            <w:shd w:val="clear" w:color="auto" w:fill="auto"/>
            <w:tcW w:w="738"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W w:w="676"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W w:w="6973" w:type="dxa"/>
            <w:vAlign w:val="center"/>
            <w:textDirection w:val="lrTb"/>
            <w:noWrap w:val="false"/>
          </w:tcPr>
          <w:p>
            <w:pPr>
              <w:jc w:val="both"/>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36门，支持人脸识别存储，钢制。≥高1800*宽2550*深460。</w:t>
            </w:r>
            <w:r/>
          </w:p>
        </w:tc>
      </w:tr>
      <w:tr>
        <w:trPr>
          <w:trHeight w:val="57"/>
        </w:trPr>
        <w:tc>
          <w:tcPr>
            <w:tcW w:w="931"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401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身份证阅读器</w:t>
            </w:r>
            <w:r/>
          </w:p>
        </w:tc>
        <w:tc>
          <w:tcPr>
            <w:tcW w:w="738"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676"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台</w:t>
            </w:r>
            <w:r/>
          </w:p>
        </w:tc>
        <w:tc>
          <w:tcPr>
            <w:tcW w:w="6973"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zh-CN" w:eastAsia="zh-CN"/>
              </w:rPr>
              <w:t xml:space="preserve">1．可快速读取二代、</w:t>
            </w:r>
            <w:r>
              <w:rPr>
                <w:rFonts w:hint="eastAsia" w:ascii="宋体" w:hAnsi="宋体" w:eastAsia="宋体" w:cs="宋体"/>
                <w:b w:val="0"/>
                <w:bCs w:val="0"/>
                <w:color w:val="auto"/>
                <w:sz w:val="21"/>
                <w:szCs w:val="21"/>
                <w:highlight w:val="none"/>
                <w:lang w:val="en-US" w:eastAsia="zh-CN"/>
              </w:rPr>
              <w:t xml:space="preserve">三代</w:t>
            </w:r>
            <w:r>
              <w:rPr>
                <w:rFonts w:hint="eastAsia" w:ascii="宋体" w:hAnsi="宋体" w:eastAsia="宋体" w:cs="宋体"/>
                <w:b w:val="0"/>
                <w:bCs w:val="0"/>
                <w:color w:val="auto"/>
                <w:sz w:val="21"/>
                <w:szCs w:val="21"/>
                <w:highlight w:val="none"/>
                <w:lang w:val="zh-CN" w:eastAsia="zh-CN"/>
              </w:rPr>
              <w:t xml:space="preserve">身份证信息，保障身份核验高效准确。支持二次开发。</w:t>
            </w:r>
            <w:r/>
          </w:p>
        </w:tc>
      </w:tr>
    </w:tbl>
    <w:p>
      <w:pPr>
        <w:keepLines w:val="0"/>
        <w:keepNext w:val="0"/>
        <w:pageBreakBefore w:val="0"/>
        <w:spacing w:line="360" w:lineRule="auto"/>
        <w:widowControl w:val="off"/>
        <w:rPr>
          <w:rFonts w:hint="eastAsia" w:eastAsia="方正仿宋_GBK"/>
          <w:b/>
          <w:bCs/>
          <w:color w:val="auto"/>
          <w:sz w:val="24"/>
          <w:highlight w:val="none"/>
          <w:lang w:eastAsia="zh-CN"/>
        </w:rPr>
      </w:pPr>
      <w:r>
        <w:rPr>
          <w:rFonts w:hint="eastAsia" w:eastAsia="方正仿宋_GBK"/>
          <w:b/>
          <w:bCs/>
          <w:color w:val="auto"/>
          <w:sz w:val="24"/>
          <w:highlight w:val="none"/>
        </w:rPr>
        <w:t xml:space="preserve">备注：</w:t>
      </w:r>
      <w:r>
        <w:rPr>
          <w:rFonts w:hint="eastAsia" w:eastAsia="方正仿宋_GBK"/>
          <w:b/>
          <w:bCs/>
          <w:color w:val="auto"/>
          <w:sz w:val="24"/>
          <w:highlight w:val="none"/>
          <w:lang w:val="en-US" w:eastAsia="zh-CN"/>
        </w:rPr>
        <w:t xml:space="preserve">报价单位</w:t>
      </w:r>
      <w:r>
        <w:rPr>
          <w:rFonts w:hint="eastAsia" w:eastAsia="方正仿宋_GBK"/>
          <w:b/>
          <w:bCs/>
          <w:color w:val="auto"/>
          <w:sz w:val="24"/>
          <w:highlight w:val="none"/>
        </w:rPr>
        <w:t xml:space="preserve">应结合本项目特种作业实操考试设备技术参数要求、考场现场实际情况及设备安装所需相关条件综合考虑进行报价，确保所供货物及配套设施完善服务满足实际考试使用需求。</w:t>
      </w:r>
      <w:r>
        <w:rPr>
          <w:rFonts w:hint="eastAsia" w:eastAsia="方正仿宋_GBK"/>
          <w:b/>
          <w:bCs/>
          <w:color w:val="auto"/>
          <w:sz w:val="24"/>
          <w:highlight w:val="none"/>
          <w:lang w:val="en-US" w:eastAsia="zh-CN"/>
        </w:rPr>
        <w:t xml:space="preserve">报价单位可</w:t>
      </w:r>
      <w:r>
        <w:rPr>
          <w:rFonts w:hint="eastAsia" w:eastAsia="方正仿宋_GBK"/>
          <w:b/>
          <w:bCs/>
          <w:color w:val="auto"/>
          <w:sz w:val="24"/>
          <w:highlight w:val="none"/>
        </w:rPr>
        <w:t xml:space="preserve">自行前往考场现场踏勘，充分了解场地布局、基础配套等实际情况，设备安装过程中产生的场地改造、墙体/地面/顶面的拆除与修复、管线铺设与调整等一切相关费用均已包含在报价中</w:t>
      </w:r>
      <w:r>
        <w:rPr>
          <w:rFonts w:hint="eastAsia" w:eastAsia="方正仿宋_GBK"/>
          <w:b/>
          <w:bCs/>
          <w:color w:val="auto"/>
          <w:sz w:val="24"/>
          <w:highlight w:val="none"/>
          <w:lang w:eastAsia="zh-CN"/>
        </w:rPr>
        <w:t xml:space="preserve">。</w:t>
      </w:r>
      <w:r/>
    </w:p>
    <w:p>
      <w:pPr>
        <w:ind w:firstLine="482"/>
        <w:jc w:val="left"/>
        <w:spacing w:line="360" w:lineRule="auto"/>
        <w:widowControl/>
        <w:rPr>
          <w:rFonts w:hint="eastAsia" w:asciiTheme="minorEastAsia" w:hAnsiTheme="minorEastAsia"/>
          <w:b/>
          <w:sz w:val="24"/>
          <w:szCs w:val="24"/>
          <w:highlight w:val="none"/>
        </w:rPr>
        <w:sectPr>
          <w:footnotePr/>
          <w:endnotePr/>
          <w:type w:val="nextPage"/>
          <w:pgSz w:w="16838" w:h="11906" w:orient="landscape"/>
          <w:pgMar w:top="1134" w:right="1134" w:bottom="1134" w:left="1134" w:header="851" w:footer="992" w:gutter="0"/>
          <w:cols w:num="1" w:sep="0" w:space="425" w:equalWidth="1"/>
          <w:docGrid w:linePitch="360"/>
        </w:sectPr>
      </w:pPr>
      <w:r>
        <w:rPr>
          <w:rFonts w:hint="eastAsia" w:asciiTheme="minorEastAsia" w:hAnsiTheme="minorEastAsia"/>
          <w:b/>
          <w:sz w:val="24"/>
          <w:szCs w:val="24"/>
          <w:highlight w:val="none"/>
        </w:rPr>
      </w:r>
      <w:r/>
    </w:p>
    <w:p>
      <w:pPr>
        <w:ind w:firstLine="482"/>
        <w:spacing w:line="360" w:lineRule="auto"/>
        <w:rPr>
          <w:rFonts w:asciiTheme="minorEastAsia" w:hAnsiTheme="minorEastAsia"/>
          <w:b/>
          <w:bCs/>
          <w:sz w:val="22"/>
          <w:szCs w:val="22"/>
          <w:highlight w:val="none"/>
        </w:rPr>
      </w:pPr>
      <w:r>
        <w:rPr>
          <w:rFonts w:hint="eastAsia" w:asciiTheme="minorEastAsia" w:hAnsiTheme="minorEastAsia"/>
          <w:b/>
          <w:bCs/>
          <w:sz w:val="22"/>
          <w:szCs w:val="22"/>
          <w:highlight w:val="none"/>
        </w:rPr>
        <w:t xml:space="preserve">四、辅材、配件要求</w:t>
      </w:r>
      <w:r/>
    </w:p>
    <w:p>
      <w:pPr>
        <w:ind w:firstLine="470"/>
        <w:jc w:val="left"/>
        <w:spacing w:line="360" w:lineRule="auto"/>
        <w:rPr>
          <w:rFonts w:asciiTheme="minorEastAsia" w:hAnsiTheme="minorEastAsia"/>
          <w:iCs/>
          <w:color w:val="000000" w:themeColor="text1"/>
          <w:sz w:val="22"/>
          <w:szCs w:val="22"/>
          <w:highlight w:val="none"/>
          <w14:textFill>
            <w14:solidFill>
              <w14:schemeClr w14:val="tx1"/>
            </w14:solidFill>
          </w14:textFill>
        </w:rPr>
      </w:pPr>
      <w:r>
        <w:rPr>
          <w:rFonts w:hint="eastAsia" w:asciiTheme="minorEastAsia" w:hAnsiTheme="minorEastAsia"/>
          <w:iCs/>
          <w:sz w:val="22"/>
          <w:szCs w:val="22"/>
          <w:highlight w:val="none"/>
        </w:rPr>
        <w:t xml:space="preserve">本项目涉及硬件设备中包含本项目设备集成所需的所有配品、配件以及网线、电源线等，若在具体实施时，所需配品配件及网线、电源线缺损时，由中标人负责增加解决。因不同投标人的设备设计原理未必完全相同，可视自身情况配置辅材，应能充分满足采购人需求的功能及参数要求</w:t>
      </w:r>
      <w:r>
        <w:rPr>
          <w:rFonts w:hint="eastAsia" w:eastAsia="宋体" w:asciiTheme="minorEastAsia" w:hAnsiTheme="minorEastAsia"/>
          <w:iCs/>
          <w:sz w:val="22"/>
          <w:szCs w:val="22"/>
          <w:highlight w:val="none"/>
          <w:lang w:eastAsia="zh-CN"/>
        </w:rPr>
        <w:t xml:space="preserve">，</w:t>
      </w:r>
      <w:r>
        <w:rPr>
          <w:rFonts w:hint="eastAsia" w:asciiTheme="minorEastAsia" w:hAnsiTheme="minorEastAsia"/>
          <w:iCs/>
          <w:sz w:val="22"/>
          <w:szCs w:val="22"/>
          <w:highlight w:val="none"/>
        </w:rPr>
        <w:t xml:space="preserve">此</w:t>
      </w:r>
      <w:r>
        <w:rPr>
          <w:rFonts w:hint="eastAsia" w:asciiTheme="minorEastAsia" w:hAnsiTheme="minorEastAsia"/>
          <w:iCs/>
          <w:color w:val="000000" w:themeColor="text1"/>
          <w:sz w:val="22"/>
          <w:szCs w:val="22"/>
          <w:highlight w:val="none"/>
          <w14:textFill>
            <w14:solidFill>
              <w14:schemeClr w14:val="tx1"/>
            </w14:solidFill>
          </w14:textFill>
        </w:rPr>
        <w:t xml:space="preserve">部分包含在投标报价中</w:t>
      </w:r>
      <w:r>
        <w:rPr>
          <w:rFonts w:hint="eastAsia" w:eastAsia="宋体" w:asciiTheme="minorEastAsia" w:hAnsiTheme="minorEastAsia"/>
          <w:iCs/>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iCs/>
          <w:color w:val="000000" w:themeColor="text1"/>
          <w:sz w:val="22"/>
          <w:szCs w:val="22"/>
          <w:highlight w:val="none"/>
          <w14:textFill>
            <w14:solidFill>
              <w14:schemeClr w14:val="tx1"/>
            </w14:solidFill>
          </w14:textFill>
        </w:rPr>
        <w:t xml:space="preserve">如果投标人中标并签署合同后，在供货或项目实施时出现辅材和配件的任何遗漏，均由中标人及时配齐提供，不影响项目正常实施，采购人不在额外支付费用。</w:t>
      </w:r>
      <w:r/>
    </w:p>
    <w:p>
      <w:pPr>
        <w:pStyle w:val="813"/>
        <w:numPr>
          <w:ilvl w:val="0"/>
          <w:numId w:val="5"/>
        </w:numPr>
        <w:ind w:firstLine="442"/>
        <w:jc w:val="both"/>
        <w:keepLines w:val="0"/>
        <w:keepNext w:val="0"/>
        <w:pageBreakBefore w:val="0"/>
        <w:spacing w:line="360" w:lineRule="auto"/>
        <w:widowControl w:val="off"/>
        <w:rPr>
          <w:rFonts w:hint="eastAsia" w:asciiTheme="minorEastAsia" w:hAnsiTheme="minorEastAsia"/>
          <w:b/>
          <w:bCs/>
          <w:color w:val="000000" w:themeColor="text1"/>
          <w:sz w:val="22"/>
          <w:szCs w:val="22"/>
          <w:highlight w:val="none"/>
          <w14:textFill>
            <w14:solidFill>
              <w14:schemeClr w14:val="tx1"/>
            </w14:solidFill>
          </w14:textFill>
        </w:rPr>
      </w:pPr>
      <w:r>
        <w:rPr>
          <w:rFonts w:hint="eastAsia" w:asciiTheme="minorEastAsia" w:hAnsiTheme="minorEastAsia"/>
          <w:b/>
          <w:bCs/>
          <w:color w:val="000000" w:themeColor="text1"/>
          <w:sz w:val="22"/>
          <w:szCs w:val="22"/>
          <w:highlight w:val="none"/>
          <w14:textFill>
            <w14:solidFill>
              <w14:schemeClr w14:val="tx1"/>
            </w14:solidFill>
          </w14:textFill>
        </w:rPr>
        <w:t xml:space="preserve">供货要求</w:t>
      </w:r>
      <w:r/>
    </w:p>
    <w:p>
      <w:pPr>
        <w:numPr>
          <w:ilvl w:val="0"/>
          <w:numId w:val="6"/>
        </w:numPr>
        <w:ind w:firstLine="562"/>
        <w:jc w:val="left"/>
        <w:spacing w:line="360" w:lineRule="auto"/>
        <w:rPr>
          <w:rFonts w:hint="eastAsia" w:ascii="宋体" w:hAnsi="宋体" w:eastAsia="宋体" w:cs="宋体"/>
          <w:b w:val="0"/>
          <w:bCs w:val="0"/>
          <w:i/>
          <w:iCs/>
          <w:color w:val="000000" w:themeColor="text1"/>
          <w:sz w:val="22"/>
          <w:szCs w:val="22"/>
          <w:highlight w:val="none"/>
          <w:u w:val="single"/>
          <w:lang w:eastAsia="zh-CN"/>
          <w14:textFill>
            <w14:solidFill>
              <w14:schemeClr w14:val="tx1"/>
            </w14:solidFill>
          </w14:textFill>
        </w:rPr>
      </w:pPr>
      <w:r>
        <w:rPr>
          <w:rFonts w:hint="eastAsia" w:ascii="宋体" w:hAnsi="宋体" w:eastAsia="宋体" w:cs="宋体"/>
          <w:b w:val="0"/>
          <w:bCs w:val="0"/>
          <w:i/>
          <w:iCs/>
          <w:color w:val="000000" w:themeColor="text1"/>
          <w:sz w:val="22"/>
          <w:szCs w:val="22"/>
          <w:highlight w:val="none"/>
          <w:u w:val="single"/>
          <w14:textFill>
            <w14:solidFill>
              <w14:schemeClr w14:val="tx1"/>
            </w14:solidFill>
          </w14:textFill>
        </w:rPr>
        <w:t xml:space="preserve">合同履行期限（交货期）：</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合同签订后</w:t>
      </w:r>
      <w:r>
        <w:rPr>
          <w:rFonts w:hint="eastAsia" w:ascii="宋体" w:hAnsi="宋体" w:eastAsia="宋体" w:cs="宋体"/>
          <w:i/>
          <w:iCs/>
          <w:color w:val="000000" w:themeColor="text1"/>
          <w:sz w:val="22"/>
          <w:szCs w:val="22"/>
          <w:highlight w:val="none"/>
          <w:u w:val="single"/>
          <w:lang w:val="en-US" w:eastAsia="zh-CN"/>
          <w14:textFill>
            <w14:solidFill>
              <w14:schemeClr w14:val="tx1"/>
            </w14:solidFill>
          </w14:textFill>
        </w:rPr>
        <w:t xml:space="preserve">30</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日历天内完成供货并调试安装完毕，试运行60日历天正常后，通过验收后交付使用。</w:t>
      </w:r>
      <w:r/>
    </w:p>
    <w:p>
      <w:pPr>
        <w:numPr>
          <w:ilvl w:val="0"/>
          <w:numId w:val="0"/>
        </w:numPr>
        <w:ind w:firstLine="440"/>
        <w:jc w:val="left"/>
        <w:spacing w:line="360" w:lineRule="auto"/>
        <w:rPr>
          <w:rFonts w:hint="eastAsia" w:ascii="宋体" w:hAnsi="宋体" w:eastAsia="宋体" w:cs="宋体"/>
          <w:b w:val="0"/>
          <w:bCs w:val="0"/>
          <w:i w:val="0"/>
          <w:iCs w:val="0"/>
          <w:color w:val="000000" w:themeColor="text1"/>
          <w:sz w:val="22"/>
          <w:szCs w:val="22"/>
          <w:highlight w:val="none"/>
          <w:u w:val="none"/>
          <w:lang w:eastAsia="zh-CN"/>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t xml:space="preserve">注：</w:t>
      </w:r>
      <w:r>
        <w:rPr>
          <w:rFonts w:hint="eastAsia" w:ascii="宋体" w:hAnsi="宋体" w:eastAsia="宋体" w:cs="宋体"/>
          <w:b w:val="0"/>
          <w:bCs w:val="0"/>
          <w:i/>
          <w:iCs/>
          <w:color w:val="auto"/>
          <w:sz w:val="22"/>
          <w:szCs w:val="22"/>
          <w:highlight w:val="none"/>
          <w:u w:val="single"/>
          <w:lang w:eastAsia="zh-CN"/>
        </w:rPr>
        <w:t xml:space="preserve">合同签订后中标供应商须在30日历天内完成全部设备的供货、运输、安装、调试、可复用设备转移防护、考场改造及系统互联互通等全部工作，试运行60日历天正常后，通过验收后交付使用。确保考场达到安全生产考试点验收标准并通过采购人验收；若涉及特殊定制设备，需提前与采购人书面确认供货周期，不得无故延期。逾期交付的，按每日1000元标准扣除合同价款；逾期超过5个日历天的，采购人有权解除合同，</w:t>
      </w:r>
      <w:r>
        <w:rPr>
          <w:rFonts w:hint="eastAsia" w:ascii="宋体" w:hAnsi="宋体" w:eastAsia="宋体" w:cs="宋体"/>
          <w:b w:val="0"/>
          <w:bCs w:val="0"/>
          <w:i/>
          <w:iCs/>
          <w:color w:val="auto"/>
          <w:sz w:val="22"/>
          <w:szCs w:val="22"/>
          <w:highlight w:val="none"/>
          <w:u w:val="single"/>
          <w:lang w:val="en-US" w:eastAsia="zh-CN"/>
        </w:rPr>
        <w:t xml:space="preserve">中标</w:t>
      </w:r>
      <w:r>
        <w:rPr>
          <w:rFonts w:hint="eastAsia" w:ascii="宋体" w:hAnsi="宋体" w:eastAsia="宋体" w:cs="宋体"/>
          <w:b w:val="0"/>
          <w:bCs w:val="0"/>
          <w:i/>
          <w:iCs/>
          <w:color w:val="auto"/>
          <w:sz w:val="22"/>
          <w:szCs w:val="22"/>
          <w:highlight w:val="none"/>
          <w:u w:val="single"/>
          <w:lang w:eastAsia="zh-CN"/>
        </w:rPr>
        <w:t xml:space="preserve">供应商承担由此造成的全部损失。对于中标供应商未按合同约定提供设备或服务的，采购人具有依法追究其违约责任的权利。</w:t>
      </w:r>
      <w:r/>
    </w:p>
    <w:p>
      <w:pPr>
        <w:numPr>
          <w:ilvl w:val="0"/>
          <w:numId w:val="6"/>
        </w:numPr>
        <w:ind w:left="0" w:firstLine="562"/>
        <w:jc w:val="left"/>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交货方式：现场交货</w:t>
      </w:r>
      <w:r>
        <w:rPr>
          <w:rFonts w:hint="eastAsia" w:ascii="宋体" w:hAnsi="宋体" w:eastAsia="宋体" w:cs="宋体"/>
          <w:sz w:val="22"/>
          <w:szCs w:val="22"/>
          <w:highlight w:val="none"/>
          <w:lang w:eastAsia="zh-CN"/>
        </w:rPr>
        <w:t xml:space="preserve">，在货物发运前对其进行满足运输距离、防潮、防震、防锈和防破损装卸等要求包装，以保证货物安全运达采购人指定地点。</w:t>
      </w:r>
      <w:r/>
    </w:p>
    <w:p>
      <w:pPr>
        <w:numPr>
          <w:ilvl w:val="0"/>
          <w:numId w:val="6"/>
        </w:numPr>
        <w:ind w:left="0" w:firstLine="562"/>
        <w:jc w:val="left"/>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质量要求：供应商须提供符合本项目采购需求、国家质量检测标准及《安全生产考试机构和考试点管理规定》等对应行业规范的全新未使用原装合格产品，供货时须随货附带产品质保书、出厂合格证及必要的检验或试验报告等证明材料；考场改造需严格遵循施工规范及技术要求，确保工位面积、布局、防火隔离、地面处理等符合实操考试全场景需求，施工材料需提供合格证明文件，施工工艺达标、结构稳固安全；设备实现与国家、省级考试考核系统互联互通；整体质量满足安全生产考试点验收及启用条件。</w:t>
      </w:r>
      <w:r/>
    </w:p>
    <w:p>
      <w:pPr>
        <w:ind w:firstLine="440"/>
        <w:jc w:val="left"/>
        <w:spacing w:line="360" w:lineRule="auto"/>
        <w:rPr>
          <w:sz w:val="20"/>
          <w:szCs w:val="21"/>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.交货地点：连云港市应急管理服务中心</w:t>
      </w:r>
      <w:r>
        <w:rPr>
          <w:rFonts w:hint="eastAsia" w:ascii="宋体" w:hAnsi="宋体" w:eastAsia="宋体" w:cs="宋体"/>
          <w:sz w:val="22"/>
          <w:szCs w:val="22"/>
          <w:highlight w:val="none"/>
          <w:lang w:eastAsia="zh-CN"/>
        </w:rPr>
        <w:t xml:space="preserve">，（具体地点以采购单位通知为准，供应商需自行踏勘现场确认工况）</w:t>
      </w:r>
      <w:r>
        <w:rPr>
          <w:rFonts w:hint="eastAsia" w:ascii="宋体" w:hAnsi="宋体" w:eastAsia="宋体" w:cs="宋体"/>
          <w:sz w:val="22"/>
          <w:szCs w:val="22"/>
          <w:highlight w:val="none"/>
        </w:rPr>
        <w:t xml:space="preserve">。</w:t>
      </w:r>
      <w:r/>
    </w:p>
    <w:p>
      <w:pPr>
        <w:ind w:firstLine="480"/>
        <w:jc w:val="left"/>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5</w:t>
      </w:r>
      <w:r>
        <w:rPr>
          <w:rFonts w:hint="eastAsia" w:ascii="宋体" w:hAnsi="宋体" w:eastAsia="宋体" w:cs="Times New Roman"/>
          <w:sz w:val="22"/>
          <w:szCs w:val="22"/>
          <w:highlight w:val="none"/>
        </w:rPr>
        <w:t xml:space="preserve">.中标人提供的货物（含配件）应是全新的、未使用过的合格正品，并保证所提供货物的开箱合格率为 100%，外观和内在质量都不得有任何问题。提供的产品应根据国家标准和规范进行设计和制造，并遵循采购文件及投标文件的要求。 货物运抵现场后应完好无损，如有缺漏、损坏，由中标人负责调换、补齐或赔偿。 </w:t>
      </w:r>
      <w:r/>
    </w:p>
    <w:p>
      <w:pPr>
        <w:ind w:firstLine="480"/>
        <w:jc w:val="left"/>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6.</w:t>
      </w:r>
      <w:r>
        <w:rPr>
          <w:rFonts w:hint="eastAsia" w:ascii="宋体" w:hAnsi="宋体" w:eastAsia="宋体" w:cs="Times New Roman"/>
          <w:sz w:val="22"/>
          <w:szCs w:val="22"/>
          <w:highlight w:val="none"/>
        </w:rPr>
        <w:t xml:space="preserve">所提供货物的技术资料（含软件）完整正确，数据和资料准确无误，能够保证设备按时正确地安装、调试和验收，并能满足正常运行和维修保养的需要。在未验收前，货物保管、安全均由成交供应商负责，货物送到采购人指定地点，并负责办理运输和装卸，费用由中标人负责。</w:t>
      </w:r>
      <w:r/>
    </w:p>
    <w:p>
      <w:pPr>
        <w:ind w:firstLine="482"/>
        <w:jc w:val="left"/>
        <w:spacing w:line="360" w:lineRule="auto"/>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lang w:val="en-US" w:eastAsia="zh-CN"/>
        </w:rPr>
        <w:t xml:space="preserve">六</w:t>
      </w:r>
      <w:r>
        <w:rPr>
          <w:rFonts w:hint="eastAsia" w:ascii="宋体" w:hAnsi="宋体" w:eastAsia="宋体" w:cs="Times New Roman"/>
          <w:b/>
          <w:bCs/>
          <w:sz w:val="22"/>
          <w:szCs w:val="22"/>
          <w:highlight w:val="none"/>
        </w:rPr>
        <w:t xml:space="preserve">、安装调试要求</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 xml:space="preserve">1.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对由于设计、工艺或材料的缺陷或故障负责。在未验收前，货物保管、安全均由中标人负责。</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 xml:space="preserve">2.所提供的技术资料完整正确，数据和资料准确无误，能够保证设备按时正确地安装、调试和验收，并能满足正常运行和维修保养的需要。货物送到采购人指定地点，并负责办理运输和装卸，费用由中标人负责。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3.</w:t>
      </w:r>
      <w:r>
        <w:rPr>
          <w:rFonts w:hint="eastAsia" w:ascii="Times New Roman" w:hAnsi="Times New Roman" w:eastAsia="宋体" w:cs="Times New Roman"/>
          <w:sz w:val="22"/>
          <w:szCs w:val="22"/>
          <w:highlight w:val="none"/>
        </w:rPr>
        <w:t xml:space="preserve">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4</w:t>
      </w:r>
      <w:r>
        <w:rPr>
          <w:rFonts w:hint="eastAsia" w:ascii="Times New Roman" w:hAnsi="Times New Roman" w:eastAsia="宋体" w:cs="Times New Roman"/>
          <w:sz w:val="22"/>
          <w:szCs w:val="22"/>
          <w:highlight w:val="none"/>
        </w:rPr>
        <w:t xml:space="preserve">.中标人根据提交的相关技术文件，对合同设备的进行安装、调试、试运行，使其符合技术要求和有关标准的要求。质保期内，中标人需负责相关设备的正确安装、调试和维护保养，保持设备运转良好。</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 xml:space="preserve">5.实施进度要求：中标人进场组织项目实施要提供项目进度计划表，项目进度计划表需要提前提交采购人确认。中标人保证拟派的项目实施人员及技术力量符合项目要求，确保项目按时完工。</w:t>
      </w:r>
      <w:r/>
    </w:p>
    <w:p>
      <w:pPr>
        <w:ind w:firstLine="48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6.项目实施安全要求：中标人在项目实施过程中，应严格遵守安全工作的相关规范，应按相应安全规程操作，如在项目实施过程中发生安全事故，责任由中标人自负。</w:t>
      </w:r>
      <w:r/>
    </w:p>
    <w:p>
      <w:pPr>
        <w:pStyle w:val="962"/>
        <w:ind w:firstLine="468"/>
        <w:rPr>
          <w:rFonts w:hint="eastAsia" w:ascii="宋体" w:hAnsi="宋体" w:eastAsia="宋体" w:cs="宋体"/>
          <w:sz w:val="28"/>
          <w:szCs w:val="28"/>
          <w:highlight w:val="none"/>
          <w:lang w:val="en-US" w:eastAsia="zh-CN"/>
        </w:rPr>
      </w:pPr>
      <w:r>
        <w:rPr>
          <w:rFonts w:hint="eastAsia" w:ascii="宋体" w:hAnsi="宋体" w:eastAsia="宋体" w:cs="宋体"/>
          <w:sz w:val="22"/>
          <w:szCs w:val="22"/>
          <w:highlight w:val="none"/>
          <w:lang w:val="en-US" w:eastAsia="zh-CN"/>
        </w:rPr>
        <w:t xml:space="preserve">7.网络运维要求：保障项目实施过程中、完工后的网络安全和数据安全维护以及信息安全突发事件保障及处理，确保项目验收后采购人能够正常访问和使用系统，所有网络设备及线路的日常巡检、故障排查、安全策略更新均由中标人负责，定期提交网络安全运行报告，确保数据完整性和系统稳定性。</w:t>
      </w:r>
      <w:r/>
    </w:p>
    <w:p>
      <w:pPr>
        <w:ind w:firstLine="480"/>
        <w:jc w:val="left"/>
        <w:spacing w:line="360" w:lineRule="auto"/>
        <w:rPr>
          <w:rFonts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8</w:t>
      </w:r>
      <w:r>
        <w:rPr>
          <w:rFonts w:hint="eastAsia" w:ascii="Times New Roman" w:hAnsi="Times New Roman" w:eastAsia="宋体" w:cs="Times New Roman"/>
          <w:sz w:val="22"/>
          <w:szCs w:val="22"/>
          <w:highlight w:val="none"/>
        </w:rPr>
        <w:t xml:space="preserve">.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9</w:t>
      </w:r>
      <w:r>
        <w:rPr>
          <w:rFonts w:hint="eastAsia" w:ascii="Times New Roman" w:hAnsi="Times New Roman" w:eastAsia="宋体" w:cs="Times New Roman"/>
          <w:sz w:val="22"/>
          <w:szCs w:val="22"/>
          <w:highlight w:val="none"/>
        </w:rPr>
        <w:t xml:space="preserve">.在安装调试期间或保修过程中，中标人负责及时清理产生的垃圾，保持安装场地整洁。对场地内现有设施，施工时要充分考虑，做相应保护措施，不得污损现有环境。</w:t>
      </w:r>
      <w:r/>
    </w:p>
    <w:p>
      <w:pPr>
        <w:ind w:firstLine="482"/>
        <w:jc w:val="left"/>
        <w:spacing w:line="360" w:lineRule="auto"/>
        <w:rPr>
          <w:sz w:val="20"/>
          <w:szCs w:val="21"/>
          <w:highlight w:val="none"/>
        </w:rPr>
      </w:pPr>
      <w:r>
        <w:rPr>
          <w:rFonts w:hint="eastAsia" w:ascii="Times New Roman" w:hAnsi="Times New Roman" w:eastAsia="宋体" w:cs="Times New Roman"/>
          <w:b/>
          <w:bCs/>
          <w:sz w:val="22"/>
          <w:szCs w:val="22"/>
          <w:highlight w:val="none"/>
          <w:lang w:val="en-US" w:eastAsia="zh-CN"/>
        </w:rPr>
        <w:t xml:space="preserve">七</w:t>
      </w:r>
      <w:r>
        <w:rPr>
          <w:rFonts w:hint="eastAsia" w:ascii="Times New Roman" w:hAnsi="Times New Roman" w:eastAsia="宋体" w:cs="Times New Roman"/>
          <w:b/>
          <w:bCs/>
          <w:sz w:val="22"/>
          <w:szCs w:val="22"/>
          <w:highlight w:val="none"/>
        </w:rPr>
        <w:t xml:space="preserve">、人员配备要求</w:t>
      </w:r>
      <w:r/>
    </w:p>
    <w:p>
      <w:pPr>
        <w:ind w:firstLine="482"/>
        <w:jc w:val="left"/>
        <w:spacing w:line="360" w:lineRule="auto"/>
        <w:rPr>
          <w:rFonts w:hint="eastAsia" w:ascii="Times New Roman" w:hAnsi="Times New Roman"/>
          <w:sz w:val="22"/>
          <w:szCs w:val="22"/>
          <w:highlight w:val="none"/>
        </w:rPr>
      </w:pPr>
      <w:r>
        <w:rPr>
          <w:rFonts w:hint="eastAsia" w:ascii="Times New Roman" w:hAnsi="Times New Roman"/>
          <w:sz w:val="22"/>
          <w:szCs w:val="22"/>
          <w:highlight w:val="none"/>
        </w:rPr>
        <w:t xml:space="preserve">为保证项目实施，本项目需配备专业的项目实施团队，包含项目负责人1名，及若干专业技术人员。拟派的项目负责人具体负责项目全过程的各项工作，把握项目进度、质量把控、产品验收、包装运输、指导安装、调试及验收等，具有信息系统项目管理、电子信息、系统规划与管理等方面的专业技术，并</w:t>
      </w:r>
      <w:r>
        <w:rPr>
          <w:rFonts w:hint="eastAsia" w:ascii="Times New Roman" w:hAnsi="Times New Roman" w:eastAsia="宋体"/>
          <w:sz w:val="22"/>
          <w:szCs w:val="22"/>
          <w:highlight w:val="none"/>
          <w:lang w:val="en-US" w:eastAsia="zh-CN"/>
        </w:rPr>
        <w:t xml:space="preserve">对考试</w:t>
      </w:r>
      <w:r>
        <w:rPr>
          <w:rFonts w:hint="eastAsia" w:ascii="Times New Roman" w:hAnsi="Times New Roman"/>
          <w:sz w:val="22"/>
          <w:szCs w:val="22"/>
          <w:highlight w:val="none"/>
        </w:rPr>
        <w:t xml:space="preserve">设备建设改造、相关软件运行维护等经验，能够及时与采购人对接工作，指导项目团队成员认真完成每一项工作。拟派的项目团队成员需为专业人员，且具有网络规划、信息安全管理等方面的专业技术。参与类似项目的经验。能够在规定的时间内完成货物安装、调试，软件平台升级维护，保障项目实施过程中网络数据安全，能够有效应对信息安全突发情况等。</w:t>
      </w:r>
      <w:r/>
    </w:p>
    <w:p>
      <w:pPr>
        <w:ind w:firstLine="482"/>
        <w:jc w:val="left"/>
        <w:spacing w:line="360" w:lineRule="auto"/>
        <w:rPr>
          <w:rFonts w:ascii="Times New Roman" w:hAnsi="Times New Roman" w:eastAsia="宋体" w:cs="Times New Roman"/>
          <w:b/>
          <w:bCs/>
          <w:i/>
          <w:iCs/>
          <w:sz w:val="22"/>
          <w:szCs w:val="22"/>
          <w:highlight w:val="none"/>
          <w:u w:val="single"/>
        </w:rPr>
      </w:pPr>
      <w:r>
        <w:rPr>
          <w:rFonts w:hint="eastAsia" w:ascii="Times New Roman" w:hAnsi="Times New Roman" w:eastAsia="宋体" w:cs="Times New Roman"/>
          <w:b/>
          <w:bCs/>
          <w:i/>
          <w:iCs/>
          <w:sz w:val="22"/>
          <w:szCs w:val="22"/>
          <w:highlight w:val="none"/>
          <w:u w:val="single"/>
          <w:lang w:val="en-US" w:eastAsia="zh-CN"/>
        </w:rPr>
        <w:t xml:space="preserve">八</w:t>
      </w:r>
      <w:r>
        <w:rPr>
          <w:rFonts w:hint="eastAsia" w:ascii="Times New Roman" w:hAnsi="Times New Roman" w:eastAsia="宋体" w:cs="Times New Roman"/>
          <w:b/>
          <w:bCs/>
          <w:i/>
          <w:iCs/>
          <w:sz w:val="22"/>
          <w:szCs w:val="22"/>
          <w:highlight w:val="none"/>
          <w:u w:val="single"/>
        </w:rPr>
        <w:t xml:space="preserve">、履约验收要求</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1.中标</w:t>
      </w:r>
      <w:r>
        <w:rPr>
          <w:rFonts w:hint="eastAsia" w:ascii="宋体" w:hAnsi="宋体" w:eastAsia="宋体" w:cs="宋体"/>
          <w:i/>
          <w:iCs/>
          <w:sz w:val="22"/>
          <w:szCs w:val="22"/>
          <w:highlight w:val="none"/>
          <w:u w:val="single"/>
          <w:lang w:val="en-US" w:eastAsia="zh-CN"/>
        </w:rPr>
        <w:t xml:space="preserve">供应商</w:t>
      </w:r>
      <w:r>
        <w:rPr>
          <w:rFonts w:hint="eastAsia" w:ascii="宋体" w:hAnsi="宋体" w:eastAsia="宋体" w:cs="宋体"/>
          <w:i/>
          <w:iCs/>
          <w:sz w:val="22"/>
          <w:szCs w:val="22"/>
          <w:highlight w:val="none"/>
          <w:u w:val="single"/>
        </w:rPr>
        <w:t xml:space="preserve">应在完成供货后提供一份货物清单作为采购人验收的依据。</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2.设备到达采购人现场前，应提前通知采购人做好接收准备，设备到达现场后由采购人会同有关单位和人员根据清单进行现场初步验收。</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3</w:t>
      </w:r>
      <w:r>
        <w:rPr>
          <w:rFonts w:hint="eastAsia" w:ascii="宋体" w:hAnsi="宋体" w:eastAsia="宋体" w:cs="宋体"/>
          <w:bCs/>
          <w:i/>
          <w:iCs/>
          <w:sz w:val="22"/>
          <w:szCs w:val="22"/>
          <w:highlight w:val="none"/>
          <w:u w:val="single"/>
        </w:rPr>
        <w:t xml:space="preserve">.中标</w:t>
      </w:r>
      <w:r>
        <w:rPr>
          <w:rFonts w:hint="eastAsia" w:ascii="宋体" w:hAnsi="宋体" w:eastAsia="宋体" w:cs="宋体"/>
          <w:bCs/>
          <w:i/>
          <w:iCs/>
          <w:sz w:val="22"/>
          <w:szCs w:val="22"/>
          <w:highlight w:val="none"/>
          <w:u w:val="single"/>
          <w:lang w:val="en-US" w:eastAsia="zh-CN"/>
        </w:rPr>
        <w:t xml:space="preserve">供货商</w:t>
      </w:r>
      <w:r>
        <w:rPr>
          <w:rFonts w:hint="eastAsia" w:ascii="宋体" w:hAnsi="宋体" w:eastAsia="宋体" w:cs="宋体"/>
          <w:bCs/>
          <w:i/>
          <w:iCs/>
          <w:sz w:val="22"/>
          <w:szCs w:val="22"/>
          <w:highlight w:val="none"/>
          <w:u w:val="single"/>
        </w:rPr>
        <w:t xml:space="preserve">提供的货物在质保期内因货物本身的质量问题发生故障，中标人负责更换</w:t>
      </w:r>
      <w:r>
        <w:rPr>
          <w:rFonts w:hint="eastAsia" w:ascii="宋体" w:hAnsi="宋体" w:eastAsia="宋体" w:cs="宋体"/>
          <w:bCs/>
          <w:i/>
          <w:iCs/>
          <w:sz w:val="22"/>
          <w:szCs w:val="22"/>
          <w:highlight w:val="none"/>
          <w:u w:val="single"/>
          <w:lang w:eastAsia="zh-CN"/>
        </w:rPr>
        <w:t xml:space="preserve">，</w:t>
      </w:r>
      <w:r>
        <w:rPr>
          <w:rFonts w:hint="eastAsia" w:ascii="宋体" w:hAnsi="宋体" w:eastAsia="宋体" w:cs="宋体"/>
          <w:bCs/>
          <w:i/>
          <w:iCs/>
          <w:sz w:val="22"/>
          <w:szCs w:val="22"/>
          <w:highlight w:val="none"/>
          <w:u w:val="single"/>
          <w:lang w:val="en-US" w:eastAsia="zh-CN"/>
        </w:rPr>
        <w:t xml:space="preserve">且不另外收取费用</w:t>
      </w:r>
      <w:r>
        <w:rPr>
          <w:rFonts w:hint="eastAsia" w:ascii="宋体" w:hAnsi="宋体" w:eastAsia="宋体" w:cs="宋体"/>
          <w:bCs/>
          <w:i/>
          <w:iCs/>
          <w:sz w:val="22"/>
          <w:szCs w:val="22"/>
          <w:highlight w:val="none"/>
          <w:u w:val="single"/>
        </w:rPr>
        <w:t xml:space="preserve">。</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4.</w:t>
      </w:r>
      <w:r>
        <w:rPr>
          <w:rFonts w:hint="eastAsia" w:ascii="宋体" w:hAnsi="宋体" w:eastAsia="宋体" w:cs="宋体"/>
          <w:bCs/>
          <w:i/>
          <w:iCs/>
          <w:sz w:val="22"/>
          <w:szCs w:val="22"/>
          <w:highlight w:val="none"/>
          <w:u w:val="single"/>
        </w:rPr>
        <w:t xml:space="preserve">采购人对中标人提交的货物依据招标文件上的技术规格要求和国家有关质量标准进行现场初步验收。中标人交货前应对产品作出全面检查和对验收文件进行整理，并列出清单，作为采购人收货验收和使用的技术条件依据，检验的结果应随货物交采购人。采购人对中标人提供的货物在交付验收前，中标</w:t>
      </w:r>
      <w:r>
        <w:rPr>
          <w:rFonts w:hint="eastAsia" w:ascii="宋体" w:hAnsi="宋体" w:eastAsia="宋体" w:cs="宋体"/>
          <w:bCs/>
          <w:i/>
          <w:iCs/>
          <w:sz w:val="22"/>
          <w:szCs w:val="22"/>
          <w:highlight w:val="none"/>
          <w:u w:val="single"/>
          <w:lang w:val="en-US" w:eastAsia="zh-CN"/>
        </w:rPr>
        <w:t xml:space="preserve">供货商</w:t>
      </w:r>
      <w:r>
        <w:rPr>
          <w:rFonts w:hint="eastAsia" w:ascii="宋体" w:hAnsi="宋体" w:eastAsia="宋体" w:cs="宋体"/>
          <w:bCs/>
          <w:i/>
          <w:iCs/>
          <w:sz w:val="22"/>
          <w:szCs w:val="22"/>
          <w:highlight w:val="none"/>
          <w:u w:val="single"/>
        </w:rPr>
        <w:t xml:space="preserve">需负责安装并培训采购人的使用操作人员，上述工作完成后采购人应予最终验收。</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5</w:t>
      </w:r>
      <w:r>
        <w:rPr>
          <w:rFonts w:hint="eastAsia" w:ascii="宋体" w:hAnsi="宋体" w:eastAsia="宋体" w:cs="宋体"/>
          <w:bCs/>
          <w:i/>
          <w:iCs/>
          <w:sz w:val="22"/>
          <w:szCs w:val="22"/>
          <w:highlight w:val="none"/>
          <w:u w:val="single"/>
        </w:rPr>
        <w:t xml:space="preserve">.硬件设备验收要求：相关硬件设备安装完成后，提交设备清单及说明书等资料，中标人可申请进行硬件设备验收。采购人收到完整的材料后一个月内完成验收，形成验收意见，验收书双方共同签署。对于不满足要求的，提出整改，整改完成后再重新进行验收，直至符合招标文件要求。</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6</w:t>
      </w:r>
      <w:r>
        <w:rPr>
          <w:rFonts w:hint="eastAsia" w:ascii="宋体" w:hAnsi="宋体" w:eastAsia="宋体" w:cs="宋体"/>
          <w:bCs/>
          <w:i/>
          <w:iCs/>
          <w:sz w:val="22"/>
          <w:szCs w:val="22"/>
          <w:highlight w:val="none"/>
          <w:u w:val="single"/>
        </w:rPr>
        <w:t xml:space="preserve">.软件系统平台验收要求：相关软件系统平台部署完成后，提供软件使用说明书并组织相关培训，软件系统平台自交付起12个月，完成功能性、兼容性、稳定性验收，形成应收意见，验收书双方共同签署。对于不满足要求的，提出整改，整改完成后再重新进行验收，直至符合招标文件要求。</w:t>
      </w:r>
      <w:r/>
    </w:p>
    <w:p>
      <w:pPr>
        <w:ind w:firstLine="562"/>
        <w:jc w:val="left"/>
        <w:spacing w:line="360" w:lineRule="auto"/>
        <w:rPr>
          <w:rFonts w:hint="eastAsia" w:ascii="宋体" w:hAnsi="宋体" w:eastAsia="宋体" w:cs="宋体"/>
          <w:i/>
          <w:iCs/>
          <w:sz w:val="22"/>
          <w:szCs w:val="22"/>
          <w:highlight w:val="none"/>
          <w:u w:val="single"/>
          <w:lang w:eastAsia="zh-CN"/>
        </w:rPr>
      </w:pPr>
      <w:r>
        <w:rPr>
          <w:rFonts w:hint="eastAsia" w:ascii="宋体" w:hAnsi="宋体" w:eastAsia="宋体" w:cs="宋体"/>
          <w:bCs/>
          <w:i/>
          <w:iCs/>
          <w:sz w:val="22"/>
          <w:szCs w:val="22"/>
          <w:highlight w:val="none"/>
          <w:u w:val="single"/>
          <w:lang w:val="en-US" w:eastAsia="zh-CN"/>
        </w:rPr>
        <w:t xml:space="preserve">7.</w:t>
      </w:r>
      <w:r>
        <w:rPr>
          <w:rFonts w:ascii="宋体" w:hAnsi="宋体" w:eastAsia="宋体" w:cs="宋体"/>
          <w:i/>
          <w:iCs/>
          <w:sz w:val="22"/>
          <w:szCs w:val="22"/>
          <w:highlight w:val="none"/>
          <w:u w:val="single"/>
        </w:rPr>
        <w:t xml:space="preserve">履约验收的内容</w:t>
      </w:r>
      <w:r>
        <w:rPr>
          <w:rFonts w:hint="eastAsia" w:ascii="宋体" w:hAnsi="宋体" w:eastAsia="宋体" w:cs="宋体"/>
          <w:i/>
          <w:iCs/>
          <w:sz w:val="22"/>
          <w:szCs w:val="22"/>
          <w:highlight w:val="none"/>
          <w:u w:val="single"/>
          <w:lang w:eastAsia="zh-CN"/>
        </w:rPr>
        <w:t xml:space="preserve">：</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（1）</w:t>
      </w:r>
      <w:r>
        <w:rPr>
          <w:rFonts w:hint="eastAsia" w:ascii="宋体" w:hAnsi="宋体" w:eastAsia="宋体" w:cs="宋体"/>
          <w:bCs/>
          <w:i/>
          <w:iCs/>
          <w:sz w:val="22"/>
          <w:szCs w:val="22"/>
          <w:highlight w:val="none"/>
          <w:u w:val="single"/>
        </w:rPr>
        <w:t xml:space="preserve">货物数量、规格型号验收：核对供货品牌、型号、规格、技术参数、数量、配件、备品备件是否与招标文件、投标文件、采购合同一致；清点设备、配套附件、工具、耗材、产品合格证、出厂检测报告、说明书等资料是否齐全。</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（2）</w:t>
      </w:r>
      <w:r>
        <w:rPr>
          <w:rFonts w:hint="eastAsia" w:ascii="宋体" w:hAnsi="宋体" w:eastAsia="宋体" w:cs="宋体"/>
          <w:bCs/>
          <w:i/>
          <w:iCs/>
          <w:sz w:val="22"/>
          <w:szCs w:val="22"/>
          <w:highlight w:val="none"/>
          <w:u w:val="single"/>
        </w:rPr>
        <w:t xml:space="preserve">外观与包装验收：检查设备外观有无破损、变形、划痕、锈蚀，包装完好性，标识铭牌信息是否清晰、与合同一致。</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(3)</w:t>
      </w:r>
      <w:r>
        <w:rPr>
          <w:rFonts w:hint="eastAsia" w:ascii="宋体" w:hAnsi="宋体" w:eastAsia="宋体" w:cs="宋体"/>
          <w:bCs/>
          <w:i/>
          <w:iCs/>
          <w:sz w:val="22"/>
          <w:szCs w:val="22"/>
          <w:highlight w:val="none"/>
          <w:u w:val="single"/>
        </w:rPr>
        <w:t xml:space="preserve">功能、性能测试验收：按技术要求对考试考核设备逐项通电调试、实操测试，检验各项功能、技术指标是否达到采购需求；包含设备运行稳定性、响应速度、数据采集、存储、输出、联网、兼容性等。</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（4）</w:t>
      </w:r>
      <w:r>
        <w:rPr>
          <w:rFonts w:hint="eastAsia" w:ascii="宋体" w:hAnsi="宋体" w:eastAsia="宋体" w:cs="宋体"/>
          <w:bCs/>
          <w:i/>
          <w:iCs/>
          <w:sz w:val="22"/>
          <w:szCs w:val="22"/>
          <w:highlight w:val="none"/>
          <w:u w:val="single"/>
        </w:rPr>
        <w:t xml:space="preserve">安装调试验收：如合同包含安装、布线、部署服务，核查安装施工质量、设备固定、线路排布、系统联调成果，系统能否正常投入考试考核使用。</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eastAsia="zh-CN"/>
        </w:rPr>
        <w:t xml:space="preserve">（</w:t>
      </w:r>
      <w:r>
        <w:rPr>
          <w:rFonts w:hint="eastAsia" w:ascii="宋体" w:hAnsi="宋体" w:eastAsia="宋体" w:cs="宋体"/>
          <w:bCs/>
          <w:i/>
          <w:iCs/>
          <w:sz w:val="22"/>
          <w:szCs w:val="22"/>
          <w:highlight w:val="none"/>
          <w:u w:val="single"/>
          <w:lang w:val="en-US" w:eastAsia="zh-CN"/>
        </w:rPr>
        <w:t xml:space="preserve">5</w:t>
      </w:r>
      <w:r>
        <w:rPr>
          <w:rFonts w:hint="eastAsia" w:ascii="宋体" w:hAnsi="宋体" w:eastAsia="宋体" w:cs="宋体"/>
          <w:bCs/>
          <w:i/>
          <w:iCs/>
          <w:sz w:val="22"/>
          <w:szCs w:val="22"/>
          <w:highlight w:val="none"/>
          <w:u w:val="single"/>
          <w:lang w:eastAsia="zh-CN"/>
        </w:rPr>
        <w:t xml:space="preserve">）</w:t>
      </w:r>
      <w:r>
        <w:rPr>
          <w:rFonts w:hint="eastAsia" w:ascii="宋体" w:hAnsi="宋体" w:eastAsia="宋体" w:cs="宋体"/>
          <w:bCs/>
          <w:i/>
          <w:iCs/>
          <w:sz w:val="22"/>
          <w:szCs w:val="22"/>
          <w:highlight w:val="none"/>
          <w:u w:val="single"/>
        </w:rPr>
        <w:t xml:space="preserve">资料交付验收：核查全套技术文档、操作手册、维护手册、出厂证书、检测报告、保修凭证、软件授权 / 序列号等是否完整交付。</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（6）</w:t>
      </w:r>
      <w:r>
        <w:rPr>
          <w:rFonts w:hint="eastAsia" w:ascii="宋体" w:hAnsi="宋体" w:eastAsia="宋体" w:cs="宋体"/>
          <w:bCs/>
          <w:i/>
          <w:iCs/>
          <w:sz w:val="22"/>
          <w:szCs w:val="22"/>
          <w:highlight w:val="none"/>
          <w:u w:val="single"/>
        </w:rPr>
        <w:t xml:space="preserve">培训服务验收：若合同约定操作、运维培训，核查培训记录、参训人员掌握情况，确认培训义务已完成。</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（7）</w:t>
      </w:r>
      <w:r>
        <w:rPr>
          <w:rFonts w:hint="eastAsia" w:ascii="宋体" w:hAnsi="宋体" w:eastAsia="宋体" w:cs="宋体"/>
          <w:bCs/>
          <w:i/>
          <w:iCs/>
          <w:sz w:val="22"/>
          <w:szCs w:val="22"/>
          <w:highlight w:val="none"/>
          <w:u w:val="single"/>
        </w:rPr>
        <w:t xml:space="preserve">质保及售后服务承诺核验：核对质保期限、售后响应、维修、更换等承诺是否按合同落实。</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（8）</w:t>
      </w:r>
      <w:r>
        <w:rPr>
          <w:rFonts w:hint="eastAsia" w:ascii="宋体" w:hAnsi="宋体" w:eastAsia="宋体" w:cs="宋体"/>
          <w:bCs/>
          <w:i/>
          <w:iCs/>
          <w:sz w:val="22"/>
          <w:szCs w:val="22"/>
          <w:highlight w:val="none"/>
          <w:u w:val="single"/>
        </w:rPr>
        <w:t xml:space="preserve">其他合同附随义务：合同约定的运输、卸货、就位、垃圾清理等全部义务完成情况</w:t>
      </w:r>
      <w:r/>
    </w:p>
    <w:p>
      <w:pPr>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rPr>
        <w:t xml:space="preserve">。</w:t>
      </w:r>
      <w:r/>
    </w:p>
    <w:p>
      <w:pPr>
        <w:ind w:firstLine="440"/>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i/>
          <w:iCs/>
          <w:sz w:val="22"/>
          <w:szCs w:val="22"/>
          <w:highlight w:val="none"/>
          <w:u w:val="single"/>
          <w:lang w:val="en-US" w:eastAsia="zh-CN"/>
        </w:rPr>
        <w:t xml:space="preserve">8.</w:t>
      </w:r>
      <w:r>
        <w:rPr>
          <w:rFonts w:ascii="宋体" w:hAnsi="宋体" w:eastAsia="宋体" w:cs="宋体"/>
          <w:i/>
          <w:iCs/>
          <w:sz w:val="22"/>
          <w:szCs w:val="22"/>
          <w:highlight w:val="none"/>
          <w:u w:val="single"/>
        </w:rPr>
        <w:t xml:space="preserve">履约验收标准：以政府采购合同、招标文件、投标文件约定的技术参数、功能指标为首要验收依据，同时符合国家及行业现行强制性标准；设备为全新原厂产品，系统运行稳定，可正常开展考试考核工作，资料齐全，全部合同义务履行到位。</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lang w:val="en-US" w:eastAsia="zh-CN"/>
        </w:rPr>
        <w:t xml:space="preserve">9.</w:t>
      </w:r>
      <w:r>
        <w:rPr>
          <w:rFonts w:hint="eastAsia" w:ascii="宋体" w:hAnsi="宋体" w:eastAsia="宋体" w:cs="宋体"/>
          <w:i/>
          <w:iCs/>
          <w:sz w:val="22"/>
          <w:szCs w:val="22"/>
          <w:highlight w:val="none"/>
          <w:u w:val="single"/>
        </w:rPr>
        <w:t xml:space="preserve">具备以下条件，方可通过验收：</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（1）经验收，设备及系统的各类性能及指标完全符合招标文件的技术要求、用途及功能需求。</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（2）初验中出现的问题，已由中标人全部做好处理（永久性的而非临时性的），并经再次检测合格。</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（3）合同规定的技术文件，除竣工验收文件外，其它已经如数提交给采购人。</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（4）合同规定由中标人提供的技术服务已经实现。</w:t>
      </w:r>
      <w:r/>
    </w:p>
    <w:p>
      <w:pPr>
        <w:ind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九</w:t>
      </w:r>
      <w:r>
        <w:rPr>
          <w:rFonts w:hint="eastAsia" w:ascii="宋体" w:hAnsi="宋体" w:eastAsia="宋体" w:cs="宋体"/>
          <w:b/>
          <w:bCs/>
          <w:sz w:val="22"/>
          <w:szCs w:val="22"/>
          <w:highlight w:val="none"/>
        </w:rPr>
        <w:t xml:space="preserve">、培训要求</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须为考场相关工作人员提供免费技术培训服务，包含组织形式、人员安排、时间规划、培训内容，且培训内容需全面覆盖设备及考务系统应用升级培训、系统管理培训、系统运行维护培训等核心内容，不限于以下内容：</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 培训内容和目标：包含设备基础原理、设备规范操作及日常维护等相关内容，确保参训人员熟练掌握考场设备及考务系统基础原理、能规范完成实操设备操作与考务系统操作，具备设备基础维护和常规故障排查能力；</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 培训地点和时间安排：培训地点在设备实际安装地点；提供不少于10课时的理论培训、不少于20课时由培训工程师旁站指导的实践操作培训；</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 培训方法要点：理论教学结合实际案例开展可视化辅导；实操教学采用示范-模仿-实操验收的方式，结合考场实际操作场景进行针对性辅导；</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 培训师资要求：由具备特种作业实操考场设备及配套考务系统培训丰富经验的专业工程师开展培训，讲师总人数不少于2人，培训现场至少配备1名讲师全程指导；</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 培训管理和协调：培训前与考场相关工作人员提前对接，充分了解特种作业实操考试的设备使用需求及培训重点；现场培训中针对参训人员的操作疑问、难点进行重点解答，及时响应用户各类培训相关需求；</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 现场实操培训：围绕考场实际运营场景，开展设备及配套考务系统的实际使用操作、考场操作规范与注意事项、设备常规故障排查及处理流程等内容的专项实操培训。</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培训过程中产生的费用包含在投标报价内，采购人不再另行支付任何费用。</w:t>
      </w:r>
      <w:r/>
    </w:p>
    <w:p>
      <w:pPr>
        <w:ind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十、售后服务要求</w:t>
      </w:r>
      <w:r/>
    </w:p>
    <w:p>
      <w:pPr>
        <w:ind w:firstLine="480"/>
        <w:spacing w:line="360" w:lineRule="auto"/>
        <w:rPr>
          <w:rFonts w:hint="eastAsia" w:ascii="宋体" w:hAnsi="宋体" w:eastAsia="宋体" w:cs="宋体"/>
          <w:i/>
          <w:iCs/>
          <w:sz w:val="22"/>
          <w:szCs w:val="22"/>
          <w:highlight w:val="none"/>
          <w:u w:val="single"/>
          <w:lang w:eastAsia="zh-CN"/>
        </w:rPr>
      </w:pPr>
      <w:r>
        <w:rPr>
          <w:rFonts w:hint="eastAsia" w:ascii="宋体" w:hAnsi="宋体" w:eastAsia="宋体" w:cs="宋体"/>
          <w:i/>
          <w:iCs/>
          <w:sz w:val="22"/>
          <w:szCs w:val="22"/>
          <w:highlight w:val="none"/>
          <w:u w:val="single"/>
        </w:rPr>
        <w:t xml:space="preserve">1.质保期：</w:t>
      </w:r>
      <w:r>
        <w:rPr>
          <w:rFonts w:hint="eastAsia" w:ascii="宋体" w:hAnsi="宋体" w:eastAsia="宋体" w:cs="宋体"/>
          <w:i/>
          <w:iCs/>
          <w:sz w:val="22"/>
          <w:szCs w:val="22"/>
          <w:highlight w:val="none"/>
          <w:u w:val="single"/>
          <w:lang w:val="en-US" w:eastAsia="zh-CN"/>
        </w:rPr>
        <w:t xml:space="preserve">2</w:t>
      </w:r>
      <w:r>
        <w:rPr>
          <w:rFonts w:hint="eastAsia" w:ascii="宋体" w:hAnsi="宋体" w:eastAsia="宋体" w:cs="宋体"/>
          <w:i/>
          <w:iCs/>
          <w:sz w:val="22"/>
          <w:szCs w:val="22"/>
          <w:highlight w:val="none"/>
          <w:u w:val="single"/>
        </w:rPr>
        <w:t xml:space="preserve">年（自交付验收合格之日起计）</w:t>
      </w:r>
      <w:r>
        <w:rPr>
          <w:rFonts w:hint="eastAsia" w:ascii="宋体" w:hAnsi="宋体" w:eastAsia="宋体" w:cs="宋体"/>
          <w:i/>
          <w:iCs/>
          <w:sz w:val="22"/>
          <w:szCs w:val="22"/>
          <w:highlight w:val="none"/>
          <w:u w:val="single"/>
          <w:lang w:eastAsia="zh-CN"/>
        </w:rPr>
        <w:t xml:space="preserve">。质保期间，中标人包维修、保养、安检、调换等，此部分包含在预算内。对于采购方人为原因造成的故障，中标人只收取维保成本费用。</w:t>
      </w:r>
      <w:r/>
    </w:p>
    <w:p>
      <w:pPr>
        <w:ind w:firstLine="480"/>
        <w:spacing w:line="360" w:lineRule="auto"/>
        <w:rPr>
          <w:rFonts w:hint="eastAsia"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2.售后服务要求</w:t>
      </w:r>
      <w:r/>
    </w:p>
    <w:p>
      <w:pPr>
        <w:ind w:firstLine="480"/>
        <w:spacing w:line="360" w:lineRule="auto"/>
        <w:rPr>
          <w:rFonts w:hint="eastAsia" w:ascii="宋体" w:hAnsi="宋体" w:eastAsia="宋体" w:cs="宋体"/>
          <w:i/>
          <w:iCs/>
          <w:sz w:val="22"/>
          <w:szCs w:val="22"/>
          <w:highlight w:val="none"/>
          <w:u w:val="single"/>
          <w:lang w:eastAsia="zh-CN"/>
        </w:rPr>
      </w:pPr>
      <w:r>
        <w:rPr>
          <w:rFonts w:hint="eastAsia" w:ascii="宋体" w:hAnsi="宋体" w:eastAsia="宋体" w:cs="宋体"/>
          <w:i/>
          <w:iCs/>
          <w:sz w:val="22"/>
          <w:szCs w:val="22"/>
          <w:highlight w:val="none"/>
          <w:u w:val="single"/>
        </w:rPr>
        <w:t xml:space="preserve">在免费质保期内，中标供应商提供日常维护和技术支持，如遇与所供服务有关的问题，中标</w:t>
      </w:r>
      <w:r>
        <w:rPr>
          <w:rFonts w:hint="eastAsia" w:ascii="宋体" w:hAnsi="宋体" w:eastAsia="宋体" w:cs="宋体"/>
          <w:i/>
          <w:iCs/>
          <w:sz w:val="22"/>
          <w:szCs w:val="22"/>
          <w:highlight w:val="none"/>
          <w:u w:val="single"/>
          <w:lang w:val="en-US" w:eastAsia="zh-CN"/>
        </w:rPr>
        <w:t xml:space="preserve">供应商</w:t>
      </w:r>
      <w:r>
        <w:rPr>
          <w:rFonts w:hint="eastAsia" w:ascii="宋体" w:hAnsi="宋体" w:eastAsia="宋体" w:cs="宋体"/>
          <w:i/>
          <w:iCs/>
          <w:sz w:val="22"/>
          <w:szCs w:val="22"/>
          <w:highlight w:val="none"/>
          <w:u w:val="single"/>
        </w:rPr>
        <w:t xml:space="preserve">须在接采购人通知后  1  小时响应，4小时内赶到现场提供免费服务，一般问题在24小时内完成修复工作，严重问题要求及时提出用户方可接受的解决方案和服务承诺</w:t>
      </w:r>
      <w:r>
        <w:rPr>
          <w:rFonts w:hint="eastAsia" w:ascii="宋体" w:hAnsi="宋体" w:eastAsia="宋体" w:cs="宋体"/>
          <w:i/>
          <w:iCs/>
          <w:sz w:val="22"/>
          <w:szCs w:val="22"/>
          <w:highlight w:val="none"/>
          <w:u w:val="single"/>
          <w:lang w:eastAsia="zh-CN"/>
        </w:rPr>
        <w:t xml:space="preserve">。</w:t>
      </w:r>
      <w:r/>
    </w:p>
    <w:p>
      <w:pPr>
        <w:ind w:firstLine="480"/>
        <w:spacing w:line="360" w:lineRule="auto"/>
        <w:rPr>
          <w:rFonts w:ascii="宋体" w:hAnsi="宋体" w:eastAsia="宋体" w:cs="宋体"/>
          <w:i w:val="0"/>
          <w:iCs w:val="0"/>
          <w:sz w:val="22"/>
          <w:szCs w:val="22"/>
          <w:highlight w:val="none"/>
          <w:u w:val="none"/>
        </w:rPr>
      </w:pPr>
      <w:r>
        <w:rPr>
          <w:rFonts w:hint="eastAsia" w:ascii="宋体" w:hAnsi="宋体" w:eastAsia="宋体" w:cs="宋体"/>
          <w:i w:val="0"/>
          <w:iCs w:val="0"/>
          <w:sz w:val="22"/>
          <w:szCs w:val="22"/>
          <w:highlight w:val="none"/>
          <w:u w:val="none"/>
        </w:rPr>
        <w:t xml:space="preserve">3.负责提供技术咨询和软件升级服务，提供不定期的仪器应用技术培训服务。</w:t>
      </w:r>
      <w:r/>
    </w:p>
    <w:p>
      <w:pPr>
        <w:ind w:firstLine="480"/>
        <w:spacing w:line="360" w:lineRule="auto"/>
        <w:rPr>
          <w:rFonts w:ascii="宋体" w:hAnsi="宋体" w:eastAsia="宋体" w:cs="宋体"/>
          <w:i w:val="0"/>
          <w:iCs w:val="0"/>
          <w:sz w:val="22"/>
          <w:szCs w:val="22"/>
          <w:highlight w:val="none"/>
          <w:u w:val="none"/>
        </w:rPr>
      </w:pPr>
      <w:r>
        <w:rPr>
          <w:rFonts w:hint="eastAsia" w:ascii="宋体" w:hAnsi="宋体" w:eastAsia="宋体" w:cs="宋体"/>
          <w:i w:val="0"/>
          <w:iCs w:val="0"/>
          <w:sz w:val="22"/>
          <w:szCs w:val="22"/>
          <w:highlight w:val="none"/>
          <w:u w:val="none"/>
        </w:rPr>
        <w:t xml:space="preserve">4.质保期由设备最终调试验收合格后开始计算。质保期内中标</w:t>
      </w:r>
      <w:r>
        <w:rPr>
          <w:rFonts w:hint="eastAsia" w:ascii="宋体" w:hAnsi="宋体" w:eastAsia="宋体" w:cs="宋体"/>
          <w:i w:val="0"/>
          <w:iCs w:val="0"/>
          <w:sz w:val="22"/>
          <w:szCs w:val="22"/>
          <w:highlight w:val="none"/>
          <w:u w:val="none"/>
          <w:lang w:val="en-US" w:eastAsia="zh-CN"/>
        </w:rPr>
        <w:t xml:space="preserve">供应商</w:t>
      </w:r>
      <w:r>
        <w:rPr>
          <w:rFonts w:hint="eastAsia" w:ascii="宋体" w:hAnsi="宋体" w:eastAsia="宋体" w:cs="宋体"/>
          <w:i w:val="0"/>
          <w:iCs w:val="0"/>
          <w:sz w:val="22"/>
          <w:szCs w:val="22"/>
          <w:highlight w:val="none"/>
          <w:u w:val="none"/>
        </w:rPr>
        <w:t xml:space="preserve">负责本次采购产品的维修、保养、安检、调换等，相关费用包含在报价内，采购人不再支付任何费用；对于采购方人为原因造成的故障，中标</w:t>
      </w:r>
      <w:r>
        <w:rPr>
          <w:rFonts w:hint="eastAsia" w:ascii="宋体" w:hAnsi="宋体" w:eastAsia="宋体" w:cs="宋体"/>
          <w:i w:val="0"/>
          <w:iCs w:val="0"/>
          <w:sz w:val="22"/>
          <w:szCs w:val="22"/>
          <w:highlight w:val="none"/>
          <w:u w:val="none"/>
          <w:lang w:val="en-US" w:eastAsia="zh-CN"/>
        </w:rPr>
        <w:t xml:space="preserve">供应商</w:t>
      </w:r>
      <w:r>
        <w:rPr>
          <w:rFonts w:hint="eastAsia" w:ascii="宋体" w:hAnsi="宋体" w:eastAsia="宋体" w:cs="宋体"/>
          <w:i w:val="0"/>
          <w:iCs w:val="0"/>
          <w:sz w:val="22"/>
          <w:szCs w:val="22"/>
          <w:highlight w:val="none"/>
          <w:u w:val="none"/>
        </w:rPr>
        <w:t xml:space="preserve">只收取维保成本费用。</w:t>
      </w:r>
      <w:r/>
    </w:p>
    <w:p>
      <w:pPr>
        <w:ind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十</w:t>
      </w:r>
      <w:r>
        <w:rPr>
          <w:rFonts w:hint="eastAsia" w:ascii="宋体" w:hAnsi="宋体" w:eastAsia="宋体" w:cs="宋体"/>
          <w:b/>
          <w:bCs/>
          <w:sz w:val="22"/>
          <w:szCs w:val="22"/>
          <w:highlight w:val="none"/>
          <w:lang w:val="en-US" w:eastAsia="zh-CN"/>
        </w:rPr>
        <w:t xml:space="preserve">一</w:t>
      </w:r>
      <w:r>
        <w:rPr>
          <w:rFonts w:hint="eastAsia" w:ascii="宋体" w:hAnsi="宋体" w:eastAsia="宋体" w:cs="宋体"/>
          <w:b/>
          <w:bCs/>
          <w:sz w:val="22"/>
          <w:szCs w:val="22"/>
          <w:highlight w:val="none"/>
        </w:rPr>
        <w:t xml:space="preserve">、商品包装及快递包装要求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（一）商品包装环保要求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1.商品包装层数不得超过3层，空隙率不大于40%；</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2.商品包装尽可能使用单一材质的包装材料，如因功能需求必需使用不同材质，不同材质间应便于分离；</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3.商品包装中铅、汞、镉、六价铬的总含量应不大于100mg/kg；</w:t>
      </w:r>
      <w:r/>
    </w:p>
    <w:p>
      <w:pPr>
        <w:ind w:left="479"/>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4.商品包装印刷使用的油墨中挥发性有机化合物(VOCs)含量应不大于 5%（以重量计）；5.塑料材质商品包装上呈现的印刷颜色不得超过6色；</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6.纸质商品包装应使用 75%以上的可再生纤维原料生产；7.木质商品包装的原料应来源于可持续性森林。</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（二）快递包装环保要求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1.快递包装中重金属（铅、汞、镉、六价铬）总量应不大于 100mg/kg；</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2.快递包装印刷使用的油墨中不应添加邻苯二甲酸酯，其挥发性有机化合物(VOCs)含量应不大于5%（以重量计）；</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3.快递包装中使用纸基材的包装材料，纸基材中的有机氯的含量应不大于 150 mg/kg；</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6.快递中使用的充气类填充物不得使用聚氯乙烯作为原料，且原料为单一材质制成，生物分解率大于60%；</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7.快递中使用的集装袋应为单一材质制成，其重复使用次数应不小于 80 次；</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8.快递中应使用幅宽不大于45mm 的生物降解胶带；</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9.快递包装中不得使用溶剂型胶粘剂；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10.快递应使用电子面单；</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12.快递包装产品质量和封装方式应符合相关国家或行业标准技术指标要求。</w:t>
      </w:r>
      <w:r/>
    </w:p>
    <w:p>
      <w:pPr>
        <w:ind w:firstLine="480"/>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十</w:t>
      </w:r>
      <w:r>
        <w:rPr>
          <w:rFonts w:hint="eastAsia" w:ascii="宋体" w:hAnsi="宋体" w:eastAsia="宋体" w:cs="宋体"/>
          <w:b/>
          <w:bCs/>
          <w:sz w:val="22"/>
          <w:szCs w:val="22"/>
          <w:highlight w:val="none"/>
          <w:lang w:val="en-US" w:eastAsia="zh-CN"/>
        </w:rPr>
        <w:t xml:space="preserve">二</w:t>
      </w:r>
      <w:r>
        <w:rPr>
          <w:rFonts w:hint="eastAsia" w:ascii="宋体" w:hAnsi="宋体" w:eastAsia="宋体" w:cs="宋体"/>
          <w:b/>
          <w:bCs/>
          <w:sz w:val="22"/>
          <w:szCs w:val="22"/>
          <w:highlight w:val="none"/>
        </w:rPr>
        <w:t xml:space="preserve">、付款方式与履约保证金</w:t>
      </w:r>
      <w:r/>
    </w:p>
    <w:p>
      <w:pPr>
        <w:ind w:firstLine="480"/>
        <w:jc w:val="left"/>
        <w:spacing w:line="360" w:lineRule="auto"/>
        <w:rPr>
          <w:rFonts w:hint="eastAsia" w:ascii="宋体" w:hAnsi="宋体" w:eastAsia="宋体" w:cs="Times New Roman"/>
          <w:b w:val="0"/>
          <w:bCs w:val="0"/>
          <w:i/>
          <w:iCs/>
          <w:color w:val="auto"/>
          <w:sz w:val="22"/>
          <w:szCs w:val="22"/>
          <w:highlight w:val="none"/>
          <w:u w:val="single"/>
        </w:rPr>
      </w:pPr>
      <w:r>
        <w:rPr>
          <w:rFonts w:hint="eastAsia" w:ascii="宋体" w:hAnsi="宋体" w:eastAsia="宋体" w:cs="宋体"/>
          <w:b w:val="0"/>
          <w:bCs w:val="0"/>
          <w:i/>
          <w:iCs/>
          <w:color w:val="auto"/>
          <w:sz w:val="22"/>
          <w:szCs w:val="22"/>
          <w:highlight w:val="none"/>
          <w:u w:val="single"/>
        </w:rPr>
        <w:t xml:space="preserve">1.付款方式：</w:t>
      </w:r>
      <w:r>
        <w:rPr>
          <w:rFonts w:hint="eastAsia" w:ascii="宋体" w:hAnsi="宋体" w:eastAsia="宋体" w:cs="Times New Roman"/>
          <w:b w:val="0"/>
          <w:bCs w:val="0"/>
          <w:i/>
          <w:iCs/>
          <w:color w:val="auto"/>
          <w:sz w:val="22"/>
          <w:szCs w:val="22"/>
          <w:highlight w:val="none"/>
          <w:u w:val="single"/>
        </w:rPr>
        <w:t xml:space="preserve">全部货物送达甲方指定地点，清点无误后甲方向乙方支付合同总价40%；货物完成安装调试，试运行60日历天正常后支付合同价的40%；项目整体最终验收合格交付使用后，甲方向乙方支付剩余合同总价的20%。甲方每次付款前，乙方须按甲方要求提供对等金额的合法发票。</w:t>
      </w:r>
      <w:r/>
    </w:p>
    <w:p>
      <w:pPr>
        <w:ind w:firstLine="480"/>
        <w:spacing w:line="360" w:lineRule="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2.履约保证金：</w:t>
      </w:r>
      <w:r>
        <w:rPr>
          <w:rFonts w:hint="eastAsia" w:ascii="宋体" w:hAnsi="宋体" w:eastAsia="宋体" w:cs="宋体"/>
          <w:b w:val="0"/>
          <w:bCs w:val="0"/>
          <w:color w:val="auto"/>
          <w:sz w:val="22"/>
          <w:szCs w:val="22"/>
          <w:highlight w:val="none"/>
          <w:lang w:val="en-US" w:eastAsia="zh-CN"/>
        </w:rPr>
        <w:t xml:space="preserve">本项目不收履约保证金。</w:t>
      </w:r>
      <w:r/>
    </w:p>
    <w:p>
      <w:pPr>
        <w:ind w:firstLine="44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十</w:t>
      </w:r>
      <w:r>
        <w:rPr>
          <w:rFonts w:hint="eastAsia" w:ascii="宋体" w:hAnsi="宋体" w:eastAsia="宋体" w:cs="宋体"/>
          <w:b/>
          <w:bCs/>
          <w:sz w:val="22"/>
          <w:szCs w:val="22"/>
          <w:highlight w:val="none"/>
          <w:lang w:val="en-US" w:eastAsia="zh-CN"/>
        </w:rPr>
        <w:t xml:space="preserve">三</w:t>
      </w:r>
      <w:r>
        <w:rPr>
          <w:rFonts w:hint="eastAsia" w:ascii="宋体" w:hAnsi="宋体" w:eastAsia="宋体" w:cs="宋体"/>
          <w:b/>
          <w:bCs/>
          <w:sz w:val="22"/>
          <w:szCs w:val="22"/>
          <w:highlight w:val="none"/>
        </w:rPr>
        <w:t xml:space="preserve">、报价要求及其他</w:t>
      </w:r>
      <w:bookmarkEnd w:id="8"/>
      <w:r/>
      <w:bookmarkEnd w:id="9"/>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1.本项目报价不得超过预算价（最高限价）。</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应根据国家收费标准并结合市场实际进行报价，总价包干。投标报价须包含但不限于人员</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全部设备、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p>
    <w:p>
      <w:pPr>
        <w:ind w:firstLine="48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供应商的任何错漏、优惠、竞争性报价不得作为减轻责任、减少服务、增加收费、降低服务质量的理由；</w:t>
      </w:r>
      <w:r/>
    </w:p>
    <w:p>
      <w:pPr>
        <w:pStyle w:val="784"/>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eastAsia="zh-CN"/>
        </w:rPr>
        <w:t xml:space="preserve">供应商报价除包含采购文件中列明的项目外还应包括保障服务正常运行应当具有的物资和服务，对服务正常运行应当具有的物资和服务理解不一致的以采购人理解为准。</w:t>
      </w:r>
      <w:r/>
    </w:p>
    <w:p>
      <w:pPr>
        <w:ind w:firstLine="44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0"/>
        <w:jc w:val="center"/>
        <w:spacing w:before="156" w:after="156" w:line="360" w:lineRule="auto"/>
        <w:rPr>
          <w:rFonts w:ascii="黑体" w:hAnsi="黑体" w:eastAsia="黑体"/>
          <w:sz w:val="24"/>
          <w:szCs w:val="24"/>
          <w:highlight w:val="none"/>
        </w:rPr>
      </w:pPr>
      <w:r/>
      <w:bookmarkStart w:id="13" w:name="_Toc5691"/>
      <w:r/>
      <w:bookmarkStart w:id="14" w:name="_Toc163482577"/>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3"/>
      <w:r/>
      <w:bookmarkEnd w:id="14"/>
      <w:r/>
      <w:r/>
    </w:p>
    <w:p>
      <w:pPr>
        <w:ind w:firstLine="482"/>
        <w:jc w:val="left"/>
        <w:spacing w:line="500" w:lineRule="exact"/>
        <w:rPr>
          <w:rFonts w:asciiTheme="minorEastAsia" w:hAnsiTheme="minorEastAsia"/>
          <w:b/>
          <w:sz w:val="22"/>
          <w:szCs w:val="22"/>
          <w:highlight w:val="none"/>
        </w:rPr>
      </w:pPr>
      <w:r>
        <w:rPr>
          <w:rFonts w:hint="eastAsia" w:asciiTheme="minorEastAsia" w:hAnsiTheme="minorEastAsia"/>
          <w:b/>
          <w:sz w:val="22"/>
          <w:szCs w:val="22"/>
          <w:highlight w:val="none"/>
        </w:rPr>
        <w:t xml:space="preserve">一、评标方法</w:t>
      </w:r>
      <w:r/>
    </w:p>
    <w:p>
      <w:pPr>
        <w:ind w:firstLine="480"/>
        <w:jc w:val="left"/>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p>
    <w:p>
      <w:pPr>
        <w:ind w:firstLine="482"/>
        <w:jc w:val="left"/>
        <w:spacing w:line="500" w:lineRule="exact"/>
        <w:rPr>
          <w:rFonts w:asciiTheme="minorEastAsia" w:hAnsiTheme="minorEastAsia"/>
          <w:b/>
          <w:sz w:val="22"/>
          <w:szCs w:val="22"/>
          <w:highlight w:val="none"/>
        </w:rPr>
      </w:pPr>
      <w:r>
        <w:rPr>
          <w:rFonts w:asciiTheme="minorEastAsia" w:hAnsiTheme="minorEastAsia"/>
          <w:b/>
          <w:sz w:val="22"/>
          <w:szCs w:val="22"/>
          <w:highlight w:val="none"/>
        </w:rPr>
        <w:t xml:space="preserve">二、评标标准</w:t>
      </w:r>
      <w:r/>
    </w:p>
    <w:p>
      <w:pPr>
        <w:ind w:firstLine="480"/>
        <w:jc w:val="left"/>
        <w:spacing w:line="500" w:lineRule="exact"/>
        <w:rPr>
          <w:sz w:val="22"/>
          <w:szCs w:val="22"/>
          <w:highlight w:val="none"/>
        </w:rPr>
      </w:pPr>
      <w:r>
        <w:rPr>
          <w:rFonts w:hint="eastAsia"/>
          <w:sz w:val="22"/>
          <w:szCs w:val="22"/>
          <w:highlight w:val="none"/>
        </w:rPr>
        <w:t xml:space="preserve">（1）评委会以招标文件为评标依据，评委会各成员独立对每个投标人的投标文件进行评价，并汇总每个投标人的得分。评标过程中不得去掉报价中的最高报价和最低报价。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2"/>
          <w:szCs w:val="22"/>
          <w:highlight w:val="none"/>
        </w:rPr>
      </w:pPr>
      <w:r>
        <w:rPr>
          <w:rFonts w:hint="eastAsia"/>
          <w:sz w:val="22"/>
          <w:szCs w:val="22"/>
          <w:highlight w:val="none"/>
        </w:rPr>
        <w:t xml:space="preserve">（2）本项目评分总分为100分，按四舍五入取至小数点后两位。</w:t>
      </w:r>
      <w:r/>
    </w:p>
    <w:p>
      <w:pPr>
        <w:ind w:firstLine="480"/>
        <w:jc w:val="left"/>
        <w:spacing w:line="500" w:lineRule="exact"/>
        <w:rPr>
          <w:rFonts w:hint="eastAsia"/>
          <w:sz w:val="22"/>
          <w:szCs w:val="22"/>
          <w:highlight w:val="none"/>
        </w:rPr>
      </w:pPr>
      <w:r>
        <w:rPr>
          <w:rFonts w:hint="eastAsia"/>
          <w:sz w:val="22"/>
          <w:szCs w:val="22"/>
          <w:highlight w:val="none"/>
        </w:rPr>
        <w:t xml:space="preserve">（3）总得分=价格分+商务分+技术分。</w:t>
      </w:r>
      <w:r/>
    </w:p>
    <w:p>
      <w:pPr>
        <w:ind w:firstLine="480"/>
        <w:jc w:val="left"/>
        <w:spacing w:line="500" w:lineRule="exact"/>
        <w:rPr>
          <w:sz w:val="24"/>
          <w:szCs w:val="24"/>
          <w:highlight w:val="none"/>
        </w:rPr>
      </w:pPr>
      <w:r>
        <w:rPr>
          <w:sz w:val="24"/>
          <w:szCs w:val="24"/>
          <w:highlight w:val="none"/>
        </w:rPr>
      </w:r>
      <w:r/>
    </w:p>
    <w:p>
      <w:pPr>
        <w:jc w:val="center"/>
        <w:spacing w:line="500" w:lineRule="exact"/>
        <w:rPr>
          <w:rFonts w:ascii="宋体" w:hAnsi="宋体" w:eastAsia="宋体" w:cs="宋体"/>
          <w:b/>
          <w:sz w:val="24"/>
          <w:szCs w:val="24"/>
          <w:highlight w:val="none"/>
        </w:rPr>
      </w:pPr>
      <w:r>
        <w:rPr>
          <w:rFonts w:hint="eastAsia" w:ascii="黑体" w:hAnsi="黑体" w:eastAsia="黑体"/>
          <w:sz w:val="32"/>
          <w:szCs w:val="24"/>
          <w:highlight w:val="none"/>
        </w:rPr>
        <w:t xml:space="preserve">综合评分法</w:t>
      </w:r>
      <w:r/>
    </w:p>
    <w:p>
      <w:pPr>
        <w:ind w:firstLine="482"/>
        <w:jc w:val="left"/>
        <w:spacing w:line="500" w:lineRule="exact"/>
        <w:rPr>
          <w:rFonts w:ascii="宋体" w:hAnsi="宋体" w:eastAsia="宋体" w:cs="宋体"/>
          <w:b/>
          <w:sz w:val="22"/>
          <w:szCs w:val="22"/>
          <w:highlight w:val="none"/>
        </w:rPr>
      </w:pPr>
      <w:r>
        <w:rPr>
          <w:rFonts w:hint="eastAsia" w:ascii="宋体" w:hAnsi="宋体" w:eastAsia="宋体" w:cs="宋体"/>
          <w:b/>
          <w:sz w:val="22"/>
          <w:szCs w:val="22"/>
          <w:highlight w:val="none"/>
        </w:rPr>
        <w:t xml:space="preserve">1.价格分（30分）</w:t>
      </w:r>
      <w:r/>
    </w:p>
    <w:p>
      <w:pPr>
        <w:ind w:firstLine="480"/>
        <w:jc w:val="left"/>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投标报价得分=（评标基准价/投标报价）×30分。</w:t>
      </w:r>
      <w:r/>
    </w:p>
    <w:p>
      <w:pPr>
        <w:ind w:firstLine="480"/>
        <w:jc w:val="left"/>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因落实政府采购政策进行价格调整的，以调整后的价格计算评标基准价和投标报价，小数点后保留两位。</w:t>
      </w:r>
      <w:r/>
    </w:p>
    <w:p>
      <w:pPr>
        <w:ind w:firstLine="482"/>
        <w:jc w:val="left"/>
        <w:spacing w:line="360" w:lineRule="auto"/>
        <w:rPr>
          <w:rFonts w:asciiTheme="minorEastAsia" w:hAnsiTheme="minorEastAsia"/>
          <w:b/>
          <w:sz w:val="22"/>
          <w:szCs w:val="22"/>
          <w:highlight w:val="none"/>
        </w:rPr>
      </w:pPr>
      <w:r>
        <w:rPr>
          <w:rFonts w:hint="eastAsia"/>
          <w:b/>
          <w:sz w:val="22"/>
          <w:szCs w:val="22"/>
          <w:highlight w:val="none"/>
        </w:rPr>
        <w:t xml:space="preserve">2.商务分</w:t>
      </w:r>
      <w:r>
        <w:rPr>
          <w:rFonts w:hint="eastAsia" w:asciiTheme="minorEastAsia" w:hAnsiTheme="minorEastAsia"/>
          <w:b/>
          <w:sz w:val="22"/>
          <w:szCs w:val="22"/>
          <w:highlight w:val="none"/>
        </w:rPr>
        <w:t xml:space="preserve">（</w:t>
      </w:r>
      <w:r>
        <w:rPr>
          <w:rFonts w:hint="eastAsia" w:eastAsia="宋体" w:asciiTheme="minorEastAsia" w:hAnsiTheme="minorEastAsia"/>
          <w:b/>
          <w:sz w:val="22"/>
          <w:szCs w:val="22"/>
          <w:highlight w:val="none"/>
          <w:lang w:val="en-US" w:eastAsia="zh-CN"/>
        </w:rPr>
        <w:t xml:space="preserve">31</w:t>
      </w:r>
      <w:r>
        <w:rPr>
          <w:rFonts w:hint="eastAsia" w:asciiTheme="minorEastAsia" w:hAnsiTheme="minorEastAsia"/>
          <w:b/>
          <w:sz w:val="22"/>
          <w:szCs w:val="22"/>
          <w:highlight w:val="none"/>
        </w:rPr>
        <w:t xml:space="preserve">分）</w:t>
      </w:r>
      <w:r/>
    </w:p>
    <w:tbl>
      <w:tblPr>
        <w:tblStyle w:val="780"/>
        <w:tblW w:w="92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47"/>
      </w:tblGrid>
      <w:tr>
        <w:trPr>
          <w:jc w:val="center"/>
          <w:trHeight w:val="621"/>
        </w:trPr>
        <w:tc>
          <w:tcPr>
            <w:tcW w:w="208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评审因素</w:t>
            </w:r>
            <w:r/>
          </w:p>
        </w:tc>
        <w:tc>
          <w:tcPr>
            <w:tcW w:w="71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评审标准</w:t>
            </w:r>
            <w:r/>
          </w:p>
        </w:tc>
      </w:tr>
      <w:tr>
        <w:trPr>
          <w:jc w:val="center"/>
          <w:trHeight w:val="315"/>
        </w:trPr>
        <w:tc>
          <w:tcPr>
            <w:tcW w:w="2084" w:type="dxa"/>
            <w:vAlign w:val="center"/>
            <w:textDirection w:val="lrTb"/>
            <w:noWrap w:val="false"/>
          </w:tcPr>
          <w:p>
            <w:pPr>
              <w:jc w:val="center"/>
              <w:spacing w:line="276"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lang w:val="en-US" w:eastAsia="zh-CN"/>
              </w:rPr>
              <w:t xml:space="preserve">企业实力</w:t>
            </w:r>
            <w:r>
              <w:rPr>
                <w:rFonts w:hint="eastAsia" w:ascii="宋体" w:hAnsi="宋体" w:eastAsia="宋体" w:cs="宋体"/>
                <w:b/>
                <w:bCs/>
                <w:sz w:val="22"/>
                <w:szCs w:val="22"/>
                <w:highlight w:val="none"/>
              </w:rPr>
              <w:t xml:space="preserve">（</w:t>
            </w:r>
            <w:r>
              <w:rPr>
                <w:rFonts w:hint="eastAsia" w:ascii="宋体" w:hAnsi="宋体" w:eastAsia="宋体" w:cs="宋体"/>
                <w:b/>
                <w:bCs/>
                <w:sz w:val="22"/>
                <w:szCs w:val="22"/>
                <w:highlight w:val="none"/>
                <w:lang w:val="en-US" w:eastAsia="zh-CN"/>
              </w:rPr>
              <w:t xml:space="preserve">9</w:t>
            </w:r>
            <w:r>
              <w:rPr>
                <w:rFonts w:hint="eastAsia" w:ascii="宋体" w:hAnsi="宋体" w:eastAsia="宋体" w:cs="宋体"/>
                <w:b/>
                <w:bCs/>
                <w:sz w:val="22"/>
                <w:szCs w:val="22"/>
                <w:highlight w:val="none"/>
              </w:rPr>
              <w:t xml:space="preserve">分）</w:t>
            </w:r>
            <w:r/>
          </w:p>
        </w:tc>
        <w:tc>
          <w:tcPr>
            <w:tcW w:w="7147" w:type="dxa"/>
            <w:vAlign w:val="center"/>
            <w:textDirection w:val="lrTb"/>
            <w:noWrap w:val="false"/>
          </w:tcPr>
          <w:p>
            <w:pPr>
              <w:numPr>
                <w:ilvl w:val="0"/>
                <w:numId w:val="0"/>
              </w:numPr>
              <w:jc w:val="both"/>
              <w:keepLines w:val="0"/>
              <w:keepNext w:val="0"/>
              <w:pageBreakBefore w:val="0"/>
              <w:spacing w:line="360" w:lineRule="auto"/>
              <w:widowControl/>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1.投标人具有有效期内职业健康安全管理体系认证证书、环境管理体系认证证书、质量管理体系认证证书的每有1个得1分，本项最多得3分；</w:t>
            </w:r>
            <w:r/>
          </w:p>
          <w:p>
            <w:pPr>
              <w:numPr>
                <w:ilvl w:val="0"/>
                <w:numId w:val="0"/>
              </w:numPr>
              <w:jc w:val="both"/>
              <w:keepLines w:val="0"/>
              <w:keepNext w:val="0"/>
              <w:pageBreakBefore w:val="0"/>
              <w:spacing w:line="360"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2.投标人具有有效期内信息安全管理体系认证证书的得3分；</w:t>
            </w:r>
            <w:r/>
          </w:p>
          <w:p>
            <w:pPr>
              <w:numPr>
                <w:ilvl w:val="0"/>
                <w:numId w:val="0"/>
              </w:numPr>
              <w:jc w:val="both"/>
              <w:keepLines w:val="0"/>
              <w:keepNext w:val="0"/>
              <w:pageBreakBefore w:val="0"/>
              <w:spacing w:line="360"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3.投标人具有有效期内信息安全服务资质认证证书（认证范围需包含：信息系统安全运维服务）的得3分；</w:t>
            </w:r>
            <w:r/>
          </w:p>
          <w:p>
            <w:pPr>
              <w:pStyle w:val="784"/>
              <w:ind w:left="0" w:firstLine="0"/>
              <w:rPr>
                <w:rFonts w:hint="eastAsia" w:ascii="宋体" w:hAnsi="宋体" w:eastAsia="宋体" w:cs="宋体"/>
                <w:sz w:val="22"/>
                <w:szCs w:val="22"/>
                <w:highlight w:val="none"/>
                <w:lang w:eastAsia="zh-CN"/>
              </w:rPr>
            </w:pPr>
            <w:r>
              <w:rPr>
                <w:rFonts w:hint="eastAsia" w:ascii="宋体" w:hAnsi="宋体" w:eastAsia="宋体" w:cs="宋体"/>
                <w:b/>
                <w:bCs/>
                <w:sz w:val="22"/>
                <w:szCs w:val="22"/>
                <w:highlight w:val="none"/>
                <w:lang w:val="en-US" w:eastAsia="zh-CN" w:bidi="ar-SA"/>
              </w:rPr>
              <w:t xml:space="preserve">（注：上述1-</w:t>
            </w:r>
            <w:r>
              <w:rPr>
                <w:rFonts w:hint="eastAsia" w:ascii="宋体" w:hAnsi="宋体" w:cs="宋体"/>
                <w:b/>
                <w:bCs/>
                <w:sz w:val="22"/>
                <w:szCs w:val="22"/>
                <w:highlight w:val="none"/>
                <w:lang w:val="en-US" w:eastAsia="zh-CN" w:bidi="ar-SA"/>
              </w:rPr>
              <w:t xml:space="preserve">3</w:t>
            </w:r>
            <w:r>
              <w:rPr>
                <w:rFonts w:hint="eastAsia" w:ascii="宋体" w:hAnsi="宋体" w:eastAsia="宋体" w:cs="宋体"/>
                <w:b/>
                <w:bCs/>
                <w:sz w:val="22"/>
                <w:szCs w:val="22"/>
                <w:highlight w:val="none"/>
                <w:lang w:val="en-US" w:eastAsia="zh-CN" w:bidi="ar-SA"/>
              </w:rPr>
              <w:t xml:space="preserve">项投标文件中提供有效证书原件扫描件证明材料加盖供应商电子签章上传，未提供或提供不全的均不得分。）</w:t>
            </w:r>
            <w:r/>
          </w:p>
        </w:tc>
      </w:tr>
      <w:tr>
        <w:trPr>
          <w:jc w:val="center"/>
          <w:trHeight w:val="621"/>
        </w:trPr>
        <w:tc>
          <w:tcPr>
            <w:tcW w:w="2084" w:type="dxa"/>
            <w:vAlign w:val="center"/>
            <w:textDirection w:val="lrTb"/>
            <w:noWrap w:val="false"/>
          </w:tcPr>
          <w:p>
            <w:pPr>
              <w:jc w:val="center"/>
              <w:spacing w:line="360" w:lineRule="auto"/>
              <w:widowControl/>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r>
            <w:r/>
          </w:p>
          <w:p>
            <w:pPr>
              <w:jc w:val="center"/>
              <w:spacing w:line="360" w:lineRule="auto"/>
              <w:widowControl/>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r>
            <w:r/>
          </w:p>
          <w:p>
            <w:pPr>
              <w:jc w:val="center"/>
              <w:spacing w:line="360" w:lineRule="auto"/>
              <w:widowControl/>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项目团队能力（13）</w:t>
            </w:r>
            <w:r/>
          </w:p>
        </w:tc>
        <w:tc>
          <w:tcPr>
            <w:tcW w:w="714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1.投标人拟派项目负责人具有工程师中级及以上职称的得3分，本项最多得3分。</w:t>
            </w:r>
            <w:r/>
          </w:p>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项目组成员（不含项目负责人）：具有系统集成项目管理工程师、网络工程师、信息安全管理工程师、注册安全工程师（专业不包含建筑施工安全和煤矿安全）、特种作业操作证（低压电工作业），每提供一个证书得2分，同一证书不重复得分且一人多证不重复得分，本项最多得10分。</w:t>
            </w:r>
            <w:r/>
          </w:p>
          <w:p>
            <w:pPr>
              <w:numPr>
                <w:ilvl w:val="0"/>
                <w:numId w:val="0"/>
              </w:numPr>
              <w:jc w:val="both"/>
              <w:keepLines w:val="0"/>
              <w:keepNext w:val="0"/>
              <w:pageBreakBefore w:val="0"/>
              <w:spacing w:line="360" w:lineRule="auto"/>
              <w:widowControl/>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注：①提供人员相关证书（在有效期内）及投标人为其缴纳的2026年01月至今任意一个月的社保缴费证明（加盖社保中心章或社保中心参保缴费证明电子专用章）等材料，如退休人员，需提供退休证及和供应商签订的返聘合同等材料；</w:t>
            </w:r>
            <w:r/>
          </w:p>
          <w:p>
            <w:pPr>
              <w:numPr>
                <w:ilvl w:val="0"/>
                <w:numId w:val="0"/>
              </w:numPr>
              <w:jc w:val="both"/>
              <w:keepLines w:val="0"/>
              <w:keepNext w:val="0"/>
              <w:pageBreakBefore w:val="0"/>
              <w:spacing w:line="360" w:lineRule="auto"/>
              <w:widowControl/>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②项目组成员、项目负责人不得重复，否则不得分；）</w:t>
            </w:r>
            <w:r/>
          </w:p>
        </w:tc>
      </w:tr>
      <w:tr>
        <w:trPr>
          <w:jc w:val="center"/>
          <w:trHeight w:val="621"/>
        </w:trPr>
        <w:tc>
          <w:tcPr>
            <w:tcW w:w="2084" w:type="dxa"/>
            <w:vAlign w:val="center"/>
            <w:textDirection w:val="lrTb"/>
            <w:noWrap w:val="false"/>
          </w:tcPr>
          <w:p>
            <w:pPr>
              <w:jc w:val="center"/>
              <w:spacing w:line="360" w:lineRule="auto"/>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类似业绩</w:t>
            </w:r>
            <w:r/>
          </w:p>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9</w:t>
            </w:r>
            <w:r>
              <w:rPr>
                <w:rFonts w:hint="eastAsia" w:ascii="宋体" w:hAnsi="宋体" w:eastAsia="宋体" w:cs="宋体"/>
                <w:b/>
                <w:bCs/>
                <w:color w:val="000000"/>
                <w:sz w:val="22"/>
                <w:szCs w:val="22"/>
                <w:highlight w:val="none"/>
              </w:rPr>
              <w:t xml:space="preserve">分）</w:t>
            </w:r>
            <w:r/>
          </w:p>
        </w:tc>
        <w:tc>
          <w:tcPr>
            <w:tcW w:w="714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投标人自2023年1月1日（以合同签订时间为主）以来，承接过类似业绩（如：考核类、培训类、实训类等教学设备采购业绩）。每提供一个得3分，本项最多得9分，没有不得分。</w:t>
            </w:r>
            <w:r/>
          </w:p>
          <w:p>
            <w:pPr>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lang w:val="en-US" w:eastAsia="zh-CN" w:bidi="ar-SA"/>
              </w:rPr>
              <w:t xml:space="preserve">（注：提供合同原件扫描件并加盖投标人电子签章上传）未提供不得分；</w:t>
            </w:r>
            <w:r/>
          </w:p>
        </w:tc>
      </w:tr>
    </w:tbl>
    <w:p>
      <w:pPr>
        <w:ind w:firstLine="723"/>
        <w:jc w:val="left"/>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3.技术分（</w:t>
      </w:r>
      <w:r>
        <w:rPr>
          <w:rFonts w:hint="eastAsia" w:ascii="宋体" w:hAnsi="宋体" w:eastAsia="宋体" w:cs="宋体"/>
          <w:b/>
          <w:sz w:val="22"/>
          <w:szCs w:val="22"/>
          <w:highlight w:val="none"/>
          <w:lang w:val="en-US" w:eastAsia="zh-CN"/>
        </w:rPr>
        <w:t xml:space="preserve">39</w:t>
      </w:r>
      <w:r>
        <w:rPr>
          <w:rFonts w:hint="eastAsia" w:ascii="宋体" w:hAnsi="宋体" w:eastAsia="宋体" w:cs="宋体"/>
          <w:b/>
          <w:sz w:val="22"/>
          <w:szCs w:val="22"/>
          <w:highlight w:val="none"/>
        </w:rPr>
        <w:t xml:space="preserve">分）</w:t>
      </w:r>
      <w:r/>
    </w:p>
    <w:tbl>
      <w:tblPr>
        <w:tblStyle w:val="780"/>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274"/>
      </w:tblGrid>
      <w:tr>
        <w:trPr>
          <w:jc w:val="center"/>
          <w:trHeight w:val="621"/>
        </w:trPr>
        <w:tc>
          <w:tcPr>
            <w:tcW w:w="17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评审因素</w:t>
            </w:r>
            <w:r/>
          </w:p>
        </w:tc>
        <w:tc>
          <w:tcPr>
            <w:tcW w:w="727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评审标准</w:t>
            </w:r>
            <w:r/>
          </w:p>
        </w:tc>
      </w:tr>
      <w:tr>
        <w:trPr>
          <w:jc w:val="center"/>
          <w:trHeight w:val="621"/>
        </w:trPr>
        <w:tc>
          <w:tcPr>
            <w:shd w:val="clear" w:color="auto" w:fill="auto"/>
            <w:tcW w:w="172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highlight w:val="none"/>
              </w:rPr>
            </w:pPr>
            <w:r>
              <w:rPr>
                <w:rFonts w:ascii="宋体" w:hAnsi="宋体" w:eastAsia="宋体" w:cs="宋体"/>
                <w:b/>
                <w:bCs/>
                <w:sz w:val="22"/>
                <w:highlight w:val="none"/>
              </w:rPr>
              <w:t xml:space="preserve">项目整体建设方案</w:t>
            </w:r>
            <w:r>
              <w:rPr>
                <w:rFonts w:hint="eastAsia" w:ascii="宋体" w:hAnsi="宋体" w:eastAsia="宋体" w:cs="宋体"/>
                <w:b/>
                <w:bCs/>
                <w:sz w:val="22"/>
                <w:szCs w:val="22"/>
                <w:highlight w:val="none"/>
              </w:rPr>
              <w:t xml:space="preserve">（</w:t>
            </w:r>
            <w:r>
              <w:rPr>
                <w:rFonts w:hint="eastAsia" w:ascii="宋体" w:hAnsi="宋体" w:eastAsia="宋体" w:cs="宋体"/>
                <w:b/>
                <w:bCs/>
                <w:sz w:val="22"/>
                <w:szCs w:val="22"/>
                <w:highlight w:val="none"/>
                <w:lang w:val="en-US" w:eastAsia="zh-CN"/>
              </w:rPr>
              <w:t xml:space="preserve">9</w:t>
            </w:r>
            <w:r>
              <w:rPr>
                <w:rFonts w:hint="eastAsia" w:ascii="宋体" w:hAnsi="宋体" w:eastAsia="宋体" w:cs="宋体"/>
                <w:b/>
                <w:bCs/>
                <w:sz w:val="22"/>
                <w:szCs w:val="22"/>
                <w:highlight w:val="none"/>
              </w:rPr>
              <w:t xml:space="preserve">分）</w:t>
            </w:r>
            <w:r/>
          </w:p>
        </w:tc>
        <w:tc>
          <w:tcPr>
            <w:shd w:val="clear" w:color="auto" w:fill="auto"/>
            <w:tcW w:w="7274" w:type="dxa"/>
            <w:textDirection w:val="lrTb"/>
            <w:noWrap w:val="false"/>
          </w:tcPr>
          <w:p>
            <w:pPr>
              <w:pStyle w:val="976"/>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根据投标人提供的项目整体建设方案，包括：总体实施方案、主要技术路线、设备选型配置、施工组织架构等内容。方案内容完整详实，优于或贴合项目需求，可实施性强的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9</w:t>
            </w:r>
            <w:r>
              <w:rPr>
                <w:rFonts w:hint="eastAsia" w:hAnsi="宋体" w:eastAsia="宋体" w:cs="宋体"/>
                <w:b/>
                <w:bCs/>
                <w:sz w:val="22"/>
                <w:szCs w:val="22"/>
                <w:highlight w:val="none"/>
                <w:lang w:eastAsia="zh-CN"/>
              </w:rPr>
              <w:t xml:space="preserve">分；</w:t>
            </w:r>
            <w:r/>
          </w:p>
          <w:p>
            <w:pPr>
              <w:pStyle w:val="976"/>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方案内容较详细，较贴合项目需求，可实施性较强的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6</w:t>
            </w:r>
            <w:r>
              <w:rPr>
                <w:rFonts w:hint="eastAsia" w:hAnsi="宋体" w:eastAsia="宋体" w:cs="宋体"/>
                <w:b/>
                <w:bCs/>
                <w:sz w:val="22"/>
                <w:szCs w:val="22"/>
                <w:highlight w:val="none"/>
                <w:lang w:eastAsia="zh-CN"/>
              </w:rPr>
              <w:t xml:space="preserve">分；</w:t>
            </w:r>
            <w:r/>
          </w:p>
          <w:p>
            <w:pPr>
              <w:pStyle w:val="976"/>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方案内容一般，与项目需求理解有偏差，可实施性一般的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3</w:t>
            </w:r>
            <w:r>
              <w:rPr>
                <w:rFonts w:hint="eastAsia" w:hAnsi="宋体" w:eastAsia="宋体" w:cs="宋体"/>
                <w:b/>
                <w:bCs/>
                <w:sz w:val="22"/>
                <w:szCs w:val="22"/>
                <w:highlight w:val="none"/>
                <w:lang w:eastAsia="zh-CN"/>
              </w:rPr>
              <w:t xml:space="preserve">分；</w:t>
            </w:r>
            <w:r/>
          </w:p>
          <w:p>
            <w:pPr>
              <w:jc w:val="both"/>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highlight w:val="none"/>
              </w:rPr>
            </w:pPr>
            <w:r>
              <w:rPr>
                <w:rFonts w:hint="eastAsia" w:hAnsi="宋体" w:eastAsia="宋体" w:cs="宋体"/>
                <w:b/>
                <w:bCs/>
                <w:sz w:val="22"/>
                <w:highlight w:val="none"/>
              </w:rPr>
              <w:t xml:space="preserve">该项未见阐述不得分。</w:t>
            </w:r>
            <w:r/>
          </w:p>
        </w:tc>
      </w:tr>
      <w:tr>
        <w:trPr>
          <w:jc w:val="center"/>
          <w:trHeight w:val="621"/>
        </w:trPr>
        <w:tc>
          <w:tcPr>
            <w:shd w:val="clear" w:color="auto" w:fill="auto"/>
            <w:tcW w:w="172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highlight w:val="none"/>
              </w:rPr>
            </w:pPr>
            <w:r>
              <w:rPr>
                <w:rFonts w:ascii="宋体" w:hAnsi="宋体" w:eastAsia="宋体" w:cs="宋体"/>
                <w:b/>
                <w:bCs/>
                <w:sz w:val="22"/>
                <w:highlight w:val="none"/>
              </w:rPr>
              <w:t xml:space="preserve">应急处理方案</w:t>
            </w:r>
            <w:r>
              <w:rPr>
                <w:rFonts w:hint="eastAsia" w:ascii="宋体" w:hAnsi="宋体" w:eastAsia="宋体" w:cs="宋体"/>
                <w:b/>
                <w:bCs/>
                <w:sz w:val="22"/>
                <w:szCs w:val="22"/>
                <w:highlight w:val="none"/>
                <w:lang w:val="en-US" w:eastAsia="zh-CN" w:bidi="ar-SA"/>
              </w:rPr>
              <w:t xml:space="preserve">（</w:t>
            </w:r>
            <w:r>
              <w:rPr>
                <w:rFonts w:hint="eastAsia" w:ascii="宋体" w:hAnsi="宋体" w:eastAsia="宋体" w:cs="宋体"/>
                <w:b/>
                <w:bCs/>
                <w:sz w:val="22"/>
                <w:szCs w:val="22"/>
                <w:highlight w:val="none"/>
                <w:lang w:val="en-US" w:eastAsia="zh-CN"/>
              </w:rPr>
              <w:t xml:space="preserve">5</w:t>
            </w:r>
            <w:r>
              <w:rPr>
                <w:rFonts w:hint="eastAsia" w:ascii="宋体" w:hAnsi="宋体" w:eastAsia="宋体" w:cs="宋体"/>
                <w:b/>
                <w:bCs/>
                <w:sz w:val="22"/>
                <w:szCs w:val="22"/>
                <w:highlight w:val="none"/>
              </w:rPr>
              <w:t xml:space="preserve">分）</w:t>
            </w:r>
            <w:r/>
          </w:p>
        </w:tc>
        <w:tc>
          <w:tcPr>
            <w:shd w:val="clear" w:color="auto" w:fill="auto"/>
            <w:tcW w:w="7274" w:type="dxa"/>
            <w:textDirection w:val="lrTb"/>
            <w:noWrap w:val="false"/>
          </w:tcPr>
          <w:p>
            <w:pPr>
              <w:pStyle w:val="976"/>
              <w:ind w:firstLine="220"/>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供应商根据采购需求提供应急处理方案，包含但不限于系统、设备故障，投诉响应机制等处理措施。</w:t>
            </w:r>
            <w:r/>
          </w:p>
          <w:p>
            <w:pPr>
              <w:pStyle w:val="976"/>
              <w:ind w:firstLine="220"/>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方案针对性强、可操作性高的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5</w:t>
            </w:r>
            <w:r>
              <w:rPr>
                <w:rFonts w:hint="eastAsia" w:hAnsi="宋体" w:eastAsia="宋体" w:cs="宋体"/>
                <w:b/>
                <w:bCs/>
                <w:sz w:val="22"/>
                <w:szCs w:val="22"/>
                <w:highlight w:val="none"/>
                <w:lang w:eastAsia="zh-CN"/>
              </w:rPr>
              <w:t xml:space="preserve">分；</w:t>
            </w:r>
            <w:r/>
          </w:p>
          <w:p>
            <w:pPr>
              <w:pStyle w:val="976"/>
              <w:ind w:firstLine="220"/>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方案针对性较强、可操作性较高的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3</w:t>
            </w:r>
            <w:r>
              <w:rPr>
                <w:rFonts w:hint="eastAsia" w:hAnsi="宋体" w:eastAsia="宋体" w:cs="宋体"/>
                <w:b/>
                <w:bCs/>
                <w:sz w:val="22"/>
                <w:szCs w:val="22"/>
                <w:highlight w:val="none"/>
                <w:lang w:eastAsia="zh-CN"/>
              </w:rPr>
              <w:t xml:space="preserve">分；</w:t>
            </w:r>
            <w:r/>
          </w:p>
          <w:p>
            <w:pPr>
              <w:pStyle w:val="976"/>
              <w:ind w:firstLine="220"/>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方案针对性一般、可操作性一般的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1</w:t>
            </w:r>
            <w:r>
              <w:rPr>
                <w:rFonts w:hint="eastAsia" w:hAnsi="宋体" w:eastAsia="宋体" w:cs="宋体"/>
                <w:b/>
                <w:bCs/>
                <w:sz w:val="22"/>
                <w:szCs w:val="22"/>
                <w:highlight w:val="none"/>
                <w:lang w:eastAsia="zh-CN"/>
              </w:rPr>
              <w:t xml:space="preserve">分；</w:t>
            </w:r>
            <w:r/>
          </w:p>
          <w:p>
            <w:pPr>
              <w:jc w:val="both"/>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highlight w:val="none"/>
              </w:rPr>
            </w:pPr>
            <w:r>
              <w:rPr>
                <w:rFonts w:hint="eastAsia" w:ascii="宋体" w:hAnsi="宋体" w:eastAsia="宋体" w:cs="宋体"/>
                <w:b/>
                <w:color w:val="000000"/>
                <w:sz w:val="22"/>
                <w:szCs w:val="22"/>
                <w:highlight w:val="none"/>
              </w:rPr>
              <w:t xml:space="preserve">该项未见阐述该项不得分。</w:t>
            </w:r>
            <w:r/>
          </w:p>
        </w:tc>
      </w:tr>
      <w:tr>
        <w:trPr>
          <w:jc w:val="center"/>
          <w:trHeight w:val="621"/>
        </w:trPr>
        <w:tc>
          <w:tcPr>
            <w:shd w:val="clear" w:color="auto" w:fill="auto"/>
            <w:tcW w:w="1725" w:type="dxa"/>
            <w:vAlign w:val="center"/>
            <w:textDirection w:val="lrTb"/>
            <w:noWrap w:val="false"/>
          </w:tcPr>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lang w:val="en-US" w:eastAsia="zh-CN" w:bidi="ar-SA"/>
              </w:rPr>
              <w:t xml:space="preserve">场地布局整体规划（5分）</w:t>
            </w:r>
            <w:r/>
          </w:p>
        </w:tc>
        <w:tc>
          <w:tcPr>
            <w:shd w:val="clear" w:color="auto" w:fill="auto"/>
            <w:tcW w:w="7274" w:type="dxa"/>
            <w:vAlign w:val="center"/>
            <w:textDirection w:val="lrTb"/>
            <w:noWrap w:val="false"/>
          </w:tcPr>
          <w:p>
            <w:pPr>
              <w:ind w:firstLine="22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根据投标人所提供的设计效果进行评分，内容包含但不限于设计效果紧贴项目主题，层次清晰、布局合理，展示主题突出鲜明，具备场地完整总平面图、表现图（整体效果图、局部效果图）、场地详细图纸及场地平面文化设计方案： </w:t>
            </w:r>
            <w:r/>
          </w:p>
          <w:p>
            <w:pPr>
              <w:pStyle w:val="976"/>
              <w:numPr>
                <w:ilvl w:val="0"/>
                <w:numId w:val="0"/>
              </w:numPr>
              <w:spacing w:line="360" w:lineRule="auto"/>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（1）方案完整、详尽、计划合理、可行、满足项目需求的</w:t>
            </w:r>
            <w:r>
              <w:rPr>
                <w:rFonts w:hint="eastAsia" w:ascii="宋体" w:hAnsi="宋体" w:eastAsia="宋体" w:cs="宋体"/>
                <w:b/>
                <w:bCs/>
                <w:sz w:val="22"/>
                <w:szCs w:val="22"/>
                <w:highlight w:val="none"/>
                <w:lang w:val="en-US" w:eastAsia="zh-CN" w:bidi="ar-SA"/>
              </w:rPr>
              <w:t xml:space="preserve">得</w:t>
            </w:r>
            <w:r>
              <w:rPr>
                <w:rFonts w:hint="eastAsia" w:hAnsi="宋体" w:eastAsia="宋体" w:cs="宋体"/>
                <w:b/>
                <w:bCs/>
                <w:sz w:val="22"/>
                <w:szCs w:val="22"/>
                <w:highlight w:val="none"/>
                <w:lang w:val="en-US" w:eastAsia="zh-CN" w:bidi="ar-SA"/>
              </w:rPr>
              <w:t xml:space="preserve">5</w:t>
            </w:r>
            <w:r>
              <w:rPr>
                <w:rFonts w:hint="eastAsia" w:ascii="宋体" w:hAnsi="宋体" w:eastAsia="宋体" w:cs="宋体"/>
                <w:b/>
                <w:bCs/>
                <w:sz w:val="22"/>
                <w:szCs w:val="22"/>
                <w:highlight w:val="none"/>
                <w:lang w:val="en-US" w:eastAsia="zh-CN" w:bidi="ar-SA"/>
              </w:rPr>
              <w:t xml:space="preserve">分；</w:t>
            </w:r>
            <w:r/>
          </w:p>
          <w:p>
            <w:pPr>
              <w:pStyle w:val="976"/>
              <w:numPr>
                <w:ilvl w:val="0"/>
                <w:numId w:val="0"/>
              </w:numPr>
              <w:spacing w:line="360" w:lineRule="auto"/>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（2）方案完整，总体科学合理、可行，部分内容表述不清但满足项目需求的</w:t>
            </w:r>
            <w:r>
              <w:rPr>
                <w:rFonts w:hint="eastAsia" w:ascii="宋体" w:hAnsi="宋体" w:eastAsia="宋体" w:cs="宋体"/>
                <w:b/>
                <w:bCs/>
                <w:sz w:val="22"/>
                <w:szCs w:val="22"/>
                <w:highlight w:val="none"/>
                <w:lang w:val="en-US" w:eastAsia="zh-CN" w:bidi="ar-SA"/>
              </w:rPr>
              <w:t xml:space="preserve">得3分；</w:t>
            </w:r>
            <w:r>
              <w:rPr>
                <w:rFonts w:hint="eastAsia" w:ascii="宋体" w:hAnsi="宋体" w:eastAsia="宋体" w:cs="宋体"/>
                <w:sz w:val="22"/>
                <w:szCs w:val="22"/>
                <w:highlight w:val="none"/>
                <w:lang w:val="en-US" w:eastAsia="zh-CN" w:bidi="ar-SA"/>
              </w:rPr>
              <w:t xml:space="preserve"> </w:t>
            </w:r>
            <w:r/>
          </w:p>
          <w:p>
            <w:pPr>
              <w:pStyle w:val="976"/>
              <w:numPr>
                <w:ilvl w:val="0"/>
                <w:numId w:val="0"/>
              </w:numPr>
              <w:spacing w:line="360" w:lineRule="auto"/>
              <w:tabs>
                <w:tab w:val="left" w:pos="2020" w:leader="none"/>
                <w:tab w:val="center" w:pos="4535"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bidi="ar-SA"/>
              </w:rPr>
              <w:t xml:space="preserve">（3）方案缺漏较多，但提供的内容总体合理的</w:t>
            </w:r>
            <w:r>
              <w:rPr>
                <w:rFonts w:hint="eastAsia" w:ascii="宋体" w:hAnsi="宋体" w:eastAsia="宋体" w:cs="宋体"/>
                <w:b/>
                <w:bCs/>
                <w:sz w:val="22"/>
                <w:szCs w:val="22"/>
                <w:highlight w:val="none"/>
                <w:lang w:val="en-US" w:eastAsia="zh-CN" w:bidi="ar-SA"/>
              </w:rPr>
              <w:t xml:space="preserve">得1分；</w:t>
            </w:r>
            <w:r>
              <w:rPr>
                <w:rFonts w:hint="eastAsia" w:ascii="宋体" w:hAnsi="宋体" w:eastAsia="宋体" w:cs="宋体"/>
                <w:b/>
                <w:color w:val="000000"/>
                <w:sz w:val="22"/>
                <w:szCs w:val="22"/>
                <w:highlight w:val="none"/>
              </w:rPr>
              <w:br/>
            </w:r>
            <w:r>
              <w:rPr>
                <w:rFonts w:hint="eastAsia" w:ascii="宋体" w:hAnsi="宋体" w:eastAsia="宋体" w:cs="宋体"/>
                <w:b/>
                <w:color w:val="000000"/>
                <w:sz w:val="22"/>
                <w:szCs w:val="22"/>
                <w:highlight w:val="none"/>
              </w:rPr>
              <w:t xml:space="preserve">该项未见阐述该项不得分。</w:t>
            </w:r>
            <w:r/>
          </w:p>
        </w:tc>
      </w:tr>
      <w:tr>
        <w:trPr>
          <w:jc w:val="center"/>
          <w:trHeight w:val="621"/>
        </w:trPr>
        <w:tc>
          <w:tcPr>
            <w:shd w:val="clear" w:color="auto" w:fill="auto"/>
            <w:tcW w:w="172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质量管理体系及保证措施</w:t>
            </w:r>
            <w:r/>
          </w:p>
          <w:p>
            <w:pPr>
              <w:numPr>
                <w:ilvl w:val="0"/>
                <w:numId w:val="0"/>
              </w:numPr>
              <w:jc w:val="center"/>
              <w:keepLines w:val="0"/>
              <w:keepNext w:val="0"/>
              <w:pageBreakBefore w:val="0"/>
              <w:spacing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（5分）</w:t>
            </w:r>
            <w:r/>
          </w:p>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7274" w:type="dxa"/>
            <w:vAlign w:val="center"/>
            <w:textDirection w:val="lrTb"/>
            <w:noWrap w:val="false"/>
          </w:tcPr>
          <w:p>
            <w:pPr>
              <w:pStyle w:val="97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根据供应商针对本项目制定的质量保证体系及保证措施，内容至少包含制定完整的质量保证体系、针对质量目标措施及质量控制的保证措施。</w:t>
            </w:r>
            <w:r/>
          </w:p>
          <w:p>
            <w:pPr>
              <w:pStyle w:val="97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（1）内容具有针对性和实用性，优于项目实际需求的</w:t>
            </w:r>
            <w:r>
              <w:rPr>
                <w:rFonts w:hint="eastAsia" w:ascii="宋体" w:hAnsi="宋体" w:eastAsia="宋体" w:cs="宋体"/>
                <w:b/>
                <w:bCs/>
                <w:sz w:val="22"/>
                <w:szCs w:val="22"/>
                <w:highlight w:val="none"/>
                <w:lang w:val="en-US" w:eastAsia="zh-CN" w:bidi="ar-SA"/>
              </w:rPr>
              <w:t xml:space="preserve">得</w:t>
            </w:r>
            <w:r>
              <w:rPr>
                <w:rFonts w:hint="eastAsia" w:hAnsi="宋体" w:eastAsia="宋体" w:cs="宋体"/>
                <w:b/>
                <w:bCs/>
                <w:sz w:val="22"/>
                <w:szCs w:val="22"/>
                <w:highlight w:val="none"/>
                <w:lang w:val="en-US" w:eastAsia="zh-CN" w:bidi="ar-SA"/>
              </w:rPr>
              <w:t xml:space="preserve">5</w:t>
            </w:r>
            <w:r>
              <w:rPr>
                <w:rFonts w:hint="eastAsia" w:ascii="宋体" w:hAnsi="宋体" w:eastAsia="宋体" w:cs="宋体"/>
                <w:b/>
                <w:bCs/>
                <w:sz w:val="22"/>
                <w:szCs w:val="22"/>
                <w:highlight w:val="none"/>
                <w:lang w:val="en-US" w:eastAsia="zh-CN" w:bidi="ar-SA"/>
              </w:rPr>
              <w:t xml:space="preserve">分；</w:t>
            </w:r>
            <w:r/>
          </w:p>
          <w:p>
            <w:pPr>
              <w:pStyle w:val="97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（2）内容具有针对性和实用性，符合项目实际需求的得</w:t>
            </w:r>
            <w:r>
              <w:rPr>
                <w:rFonts w:hint="eastAsia" w:ascii="宋体" w:hAnsi="宋体" w:eastAsia="宋体" w:cs="宋体"/>
                <w:b/>
                <w:bCs/>
                <w:sz w:val="22"/>
                <w:szCs w:val="22"/>
                <w:highlight w:val="none"/>
                <w:lang w:val="en-US" w:eastAsia="zh-CN" w:bidi="ar-SA"/>
              </w:rPr>
              <w:t xml:space="preserve">3分；</w:t>
            </w:r>
            <w:r/>
          </w:p>
          <w:p>
            <w:pPr>
              <w:pStyle w:val="97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（3）每有一项内容存在瑕疵（内容存在瑕疵是指体系建设与项目内在需求有漏项、技术措施与项目实际特点不匹配、质控措施无监督制约机制）的</w:t>
            </w:r>
            <w:r>
              <w:rPr>
                <w:rFonts w:hint="eastAsia" w:ascii="宋体" w:hAnsi="宋体" w:eastAsia="宋体" w:cs="宋体"/>
                <w:b/>
                <w:bCs/>
                <w:sz w:val="22"/>
                <w:szCs w:val="22"/>
                <w:highlight w:val="none"/>
                <w:lang w:val="en-US" w:eastAsia="zh-CN" w:bidi="ar-SA"/>
              </w:rPr>
              <w:t xml:space="preserve">得1分；</w:t>
            </w:r>
            <w:r/>
          </w:p>
          <w:p>
            <w:pPr>
              <w:pStyle w:val="97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b/>
                <w:color w:val="000000"/>
                <w:sz w:val="22"/>
                <w:szCs w:val="22"/>
                <w:highlight w:val="none"/>
              </w:rPr>
              <w:t xml:space="preserve">该项未见阐述该项不得分。</w:t>
            </w:r>
            <w:r/>
          </w:p>
        </w:tc>
      </w:tr>
      <w:tr>
        <w:trPr>
          <w:jc w:val="center"/>
          <w:trHeight w:val="621"/>
        </w:trPr>
        <w:tc>
          <w:tcPr>
            <w:shd w:val="clear" w:color="auto" w:fill="auto"/>
            <w:tcW w:w="1725" w:type="dxa"/>
            <w:vAlign w:val="center"/>
            <w:textDirection w:val="lrTb"/>
            <w:noWrap w:val="false"/>
          </w:tcPr>
          <w:p>
            <w:pPr>
              <w:jc w:val="center"/>
              <w:spacing w:line="360" w:lineRule="auto"/>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进度计划控制方案（5分）</w:t>
            </w:r>
            <w:r/>
          </w:p>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7274"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根据供应商提供的供货方案与采购需求的满足情况进行评价。（包括但不限于明确货物交付时间、安装调试时间安排）</w:t>
            </w:r>
            <w:r/>
          </w:p>
          <w:p>
            <w:pPr>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（1）方案详细明确、交付时间和安装调试时间明确，各环节的工作进度安排详细合理的</w:t>
            </w:r>
            <w:r>
              <w:rPr>
                <w:rFonts w:hint="eastAsia" w:ascii="宋体" w:hAnsi="宋体" w:eastAsia="宋体" w:cs="宋体"/>
                <w:b/>
                <w:bCs/>
                <w:sz w:val="22"/>
                <w:szCs w:val="22"/>
                <w:highlight w:val="none"/>
                <w:lang w:val="en-US" w:eastAsia="zh-CN" w:bidi="ar-SA"/>
              </w:rPr>
              <w:t xml:space="preserve">得5分；</w:t>
            </w:r>
            <w:r/>
          </w:p>
          <w:p>
            <w:pPr>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（2）方案较详细明确、交付时间和安装调试时间较明确、各环节的工作进度安排较为详细合理的</w:t>
            </w:r>
            <w:r>
              <w:rPr>
                <w:rFonts w:hint="eastAsia" w:ascii="宋体" w:hAnsi="宋体" w:eastAsia="宋体" w:cs="宋体"/>
                <w:b/>
                <w:bCs/>
                <w:sz w:val="22"/>
                <w:szCs w:val="22"/>
                <w:highlight w:val="none"/>
                <w:lang w:val="en-US" w:eastAsia="zh-CN" w:bidi="ar-SA"/>
              </w:rPr>
              <w:t xml:space="preserve">得3分；</w:t>
            </w:r>
            <w:r/>
          </w:p>
          <w:p>
            <w:pPr>
              <w:keepLines w:val="0"/>
              <w:keepNext w:val="0"/>
              <w:spacing w:line="360" w:lineRule="auto"/>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（3）方案不详细或有缺失、交付时间和安装调试时间不明确、各环节的工作进度安排不详细不合理的</w:t>
            </w:r>
            <w:r>
              <w:rPr>
                <w:rFonts w:hint="eastAsia" w:ascii="宋体" w:hAnsi="宋体" w:eastAsia="宋体" w:cs="宋体"/>
                <w:b/>
                <w:bCs/>
                <w:sz w:val="22"/>
                <w:szCs w:val="22"/>
                <w:highlight w:val="none"/>
                <w:lang w:val="en-US" w:eastAsia="zh-CN" w:bidi="ar-SA"/>
              </w:rPr>
              <w:t xml:space="preserve">得1分；</w:t>
            </w:r>
            <w:r/>
          </w:p>
          <w:p>
            <w:pPr>
              <w:keepLines w:val="0"/>
              <w:keepNext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该项未见阐述该项不得分。</w:t>
            </w:r>
            <w:r/>
          </w:p>
        </w:tc>
      </w:tr>
      <w:tr>
        <w:trPr>
          <w:jc w:val="center"/>
          <w:trHeight w:val="343"/>
        </w:trPr>
        <w:tc>
          <w:tcPr>
            <w:shd w:val="clear" w:color="auto" w:fill="auto"/>
            <w:tcW w:w="172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培训方案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（5分）</w:t>
            </w:r>
            <w:r/>
          </w:p>
          <w:p>
            <w:pPr>
              <w:jc w:val="center"/>
              <w:spacing w:line="360"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c>
          <w:tcPr>
            <w:shd w:val="clear" w:color="auto" w:fill="auto"/>
            <w:tcW w:w="727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投标人需提交详尽的技术培训方案及相应承诺，并提供系统升级服务方案及相应承诺。评审将依据投标人提交的技术培训及升级服务方案和承诺的完善程度进行综合评分：</w:t>
            </w:r>
            <w:r>
              <w:rPr>
                <w:rFonts w:hint="eastAsia" w:ascii="宋体" w:hAnsi="宋体" w:eastAsia="宋体" w:cs="宋体"/>
                <w:b/>
                <w:bCs/>
                <w:sz w:val="22"/>
                <w:szCs w:val="22"/>
                <w:highlight w:val="none"/>
                <w:lang w:val="en-US" w:eastAsia="zh-CN" w:bidi="ar-SA"/>
              </w:rPr>
              <w:t xml:space="preserve">（提供承诺函，格式自</w:t>
            </w:r>
            <w:r>
              <w:rPr>
                <w:rFonts w:hint="eastAsia" w:ascii="宋体" w:hAnsi="宋体" w:eastAsia="宋体" w:cs="宋体"/>
                <w:sz w:val="22"/>
                <w:szCs w:val="22"/>
                <w:highlight w:val="none"/>
                <w:lang w:val="en-US" w:eastAsia="zh-CN" w:bidi="ar-SA"/>
              </w:rPr>
              <w:t xml:space="preserve">拟）。</w:t>
            </w:r>
            <w:r/>
          </w:p>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（1）技术培训方案包括组织形式，安排人员、时间、培训内容和应用升级培训、系统管理培训、系统运行维护培训等内容详细、规划合理、可操作性强</w:t>
            </w:r>
            <w:r>
              <w:rPr>
                <w:rFonts w:hint="eastAsia" w:ascii="宋体" w:hAnsi="宋体" w:eastAsia="宋体" w:cs="宋体"/>
                <w:b/>
                <w:bCs/>
                <w:sz w:val="22"/>
                <w:szCs w:val="22"/>
                <w:highlight w:val="none"/>
                <w:lang w:val="en-US" w:eastAsia="zh-CN" w:bidi="ar-SA"/>
              </w:rPr>
              <w:t xml:space="preserve">得5分</w:t>
            </w:r>
            <w:r>
              <w:rPr>
                <w:rFonts w:hint="eastAsia" w:ascii="宋体" w:hAnsi="宋体" w:eastAsia="宋体" w:cs="宋体"/>
                <w:sz w:val="22"/>
                <w:szCs w:val="22"/>
                <w:highlight w:val="none"/>
                <w:lang w:val="en-US" w:eastAsia="zh-CN" w:bidi="ar-SA"/>
              </w:rPr>
              <w:t xml:space="preserve">；</w:t>
            </w:r>
            <w:r/>
          </w:p>
          <w:p>
            <w:pPr>
              <w:pStyle w:val="976"/>
              <w:numPr>
                <w:ilvl w:val="0"/>
                <w:numId w:val="0"/>
              </w:numPr>
              <w:ind w:firstLine="220"/>
              <w:jc w:val="left"/>
              <w:spacing w:line="360" w:lineRule="auto"/>
              <w:tabs>
                <w:tab w:val="left" w:pos="2020" w:leader="none"/>
                <w:tab w:val="center" w:pos="4535" w:leader="none"/>
              </w:tabs>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（2）技术培训方案包括组织形式，安排人员、时间、培训内容和应用升级培训、</w:t>
            </w:r>
            <w:r>
              <w:rPr>
                <w:rFonts w:hint="eastAsia" w:ascii="宋体" w:hAnsi="宋体" w:eastAsia="宋体" w:cs="宋体"/>
                <w:b w:val="0"/>
                <w:bCs w:val="0"/>
                <w:sz w:val="22"/>
                <w:szCs w:val="22"/>
                <w:highlight w:val="none"/>
                <w:lang w:val="en-US" w:eastAsia="zh-CN" w:bidi="ar-SA"/>
              </w:rPr>
              <w:t xml:space="preserve">系统管理培训、系统运行维护培训等内容完整，可操作性一般</w:t>
            </w:r>
            <w:r>
              <w:rPr>
                <w:rFonts w:hint="eastAsia" w:ascii="宋体" w:hAnsi="宋体" w:eastAsia="宋体" w:cs="宋体"/>
                <w:b/>
                <w:bCs/>
                <w:sz w:val="22"/>
                <w:szCs w:val="22"/>
                <w:highlight w:val="none"/>
                <w:lang w:val="en-US" w:eastAsia="zh-CN" w:bidi="ar-SA"/>
              </w:rPr>
              <w:t xml:space="preserve">得3分；</w:t>
            </w:r>
            <w:r/>
          </w:p>
          <w:p>
            <w:pPr>
              <w:pStyle w:val="976"/>
              <w:numPr>
                <w:ilvl w:val="0"/>
                <w:numId w:val="0"/>
              </w:numPr>
              <w:ind w:left="0" w:firstLine="220"/>
              <w:jc w:val="left"/>
              <w:spacing w:line="360" w:lineRule="auto"/>
              <w:tabs>
                <w:tab w:val="left" w:pos="2020" w:leader="none"/>
                <w:tab w:val="center" w:pos="4535" w:leader="none"/>
              </w:tabs>
              <w:rPr>
                <w:rFonts w:hint="eastAsia" w:ascii="宋体" w:hAnsi="宋体" w:eastAsia="宋体" w:cs="宋体"/>
                <w:sz w:val="22"/>
                <w:szCs w:val="22"/>
                <w:highlight w:val="none"/>
                <w:lang w:val="en-US" w:eastAsia="en-US" w:bidi="ar-SA"/>
              </w:rPr>
            </w:pPr>
            <w:r>
              <w:rPr>
                <w:rFonts w:hint="eastAsia" w:ascii="宋体" w:hAnsi="宋体" w:eastAsia="宋体" w:cs="宋体"/>
                <w:sz w:val="22"/>
                <w:szCs w:val="22"/>
                <w:highlight w:val="none"/>
                <w:lang w:val="en-US" w:eastAsia="zh-CN" w:bidi="ar-SA"/>
              </w:rPr>
              <w:t xml:space="preserve">（3）技术培训方案包括组织形式，安排人员、时间、培训内容和应用升级培训、系统管理培训、系统运行维护培训等内容简单、可操作性差</w:t>
            </w:r>
            <w:r>
              <w:rPr>
                <w:rFonts w:hint="eastAsia" w:ascii="宋体" w:hAnsi="宋体" w:eastAsia="宋体" w:cs="宋体"/>
                <w:b/>
                <w:bCs/>
                <w:sz w:val="22"/>
                <w:szCs w:val="22"/>
                <w:highlight w:val="none"/>
                <w:lang w:val="en-US" w:eastAsia="zh-CN" w:bidi="ar-SA"/>
              </w:rPr>
              <w:t xml:space="preserve">得1分</w:t>
            </w:r>
            <w:r>
              <w:rPr>
                <w:rFonts w:hint="eastAsia" w:ascii="宋体" w:hAnsi="宋体" w:eastAsia="宋体" w:cs="宋体"/>
                <w:sz w:val="22"/>
                <w:szCs w:val="22"/>
                <w:highlight w:val="none"/>
                <w:lang w:val="en-US" w:eastAsia="zh-CN" w:bidi="ar-SA"/>
              </w:rPr>
              <w:br/>
            </w:r>
            <w:r>
              <w:rPr>
                <w:rFonts w:hint="eastAsia" w:ascii="宋体" w:hAnsi="宋体" w:eastAsia="宋体" w:cs="宋体"/>
                <w:b/>
                <w:color w:val="000000"/>
                <w:sz w:val="22"/>
                <w:szCs w:val="22"/>
                <w:highlight w:val="none"/>
              </w:rPr>
              <w:t xml:space="preserve">该项未见阐述该项不得分。</w:t>
            </w:r>
            <w:r/>
          </w:p>
        </w:tc>
      </w:tr>
      <w:tr>
        <w:trPr>
          <w:jc w:val="center"/>
          <w:trHeight w:val="343"/>
        </w:trPr>
        <w:tc>
          <w:tcPr>
            <w:shd w:val="clear" w:color="auto" w:fill="auto"/>
            <w:tcW w:w="1725" w:type="dxa"/>
            <w:vAlign w:val="center"/>
            <w:textDirection w:val="lrTb"/>
            <w:noWrap w:val="false"/>
          </w:tcPr>
          <w:p>
            <w:pPr>
              <w:pStyle w:val="813"/>
              <w:numPr>
                <w:ilvl w:val="0"/>
                <w:numId w:val="0"/>
              </w:numPr>
              <w:jc w:val="center"/>
              <w:keepLines w:val="0"/>
              <w:keepNext w:val="0"/>
              <w:pageBreakBefore w:val="0"/>
              <w:spacing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售后服务</w:t>
            </w:r>
            <w:r/>
          </w:p>
          <w:p>
            <w:pPr>
              <w:pStyle w:val="813"/>
              <w:numPr>
                <w:ilvl w:val="0"/>
                <w:numId w:val="0"/>
              </w:numPr>
              <w:jc w:val="center"/>
              <w:keepLines w:val="0"/>
              <w:keepNext w:val="0"/>
              <w:pageBreakBefore w:val="0"/>
              <w:spacing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w:t>
            </w:r>
            <w:r>
              <w:rPr>
                <w:rFonts w:hint="eastAsia" w:ascii="宋体" w:hAnsi="宋体" w:cs="宋体"/>
                <w:b/>
                <w:bCs/>
                <w:sz w:val="22"/>
                <w:szCs w:val="22"/>
                <w:highlight w:val="none"/>
                <w:lang w:val="en-US" w:eastAsia="zh-CN" w:bidi="ar-SA"/>
              </w:rPr>
              <w:t xml:space="preserve">5</w:t>
            </w:r>
            <w:r>
              <w:rPr>
                <w:rFonts w:hint="eastAsia" w:ascii="宋体" w:hAnsi="宋体" w:eastAsia="宋体" w:cs="宋体"/>
                <w:b/>
                <w:bCs/>
                <w:sz w:val="22"/>
                <w:szCs w:val="22"/>
                <w:highlight w:val="none"/>
                <w:lang w:val="en-US" w:eastAsia="zh-CN" w:bidi="ar-SA"/>
              </w:rPr>
              <w:t xml:space="preserve">分）</w:t>
            </w:r>
            <w:r/>
          </w:p>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7274" w:type="dxa"/>
            <w:vAlign w:val="center"/>
            <w:textDirection w:val="lrTb"/>
            <w:noWrap w:val="false"/>
          </w:tcPr>
          <w:p>
            <w:pPr>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根据供应商针对本项目制定的售后服务方案</w:t>
            </w:r>
            <w:r>
              <w:rPr>
                <w:rFonts w:hint="eastAsia" w:ascii="宋体" w:hAnsi="宋体" w:eastAsia="宋体" w:cs="宋体"/>
                <w:b/>
                <w:bCs/>
                <w:sz w:val="22"/>
                <w:szCs w:val="22"/>
                <w:highlight w:val="none"/>
                <w:lang w:val="en-US" w:eastAsia="zh-CN" w:bidi="ar-SA"/>
              </w:rPr>
              <w:t xml:space="preserve">（包括但不限于包括服务的响应时间、解决问题的能力、紧急故障处理预案、备品备件、技术指导、质保内容、质保期后的维保方案）</w:t>
            </w:r>
            <w:r>
              <w:rPr>
                <w:rFonts w:hint="eastAsia" w:ascii="宋体" w:hAnsi="宋体" w:eastAsia="宋体" w:cs="宋体"/>
                <w:sz w:val="22"/>
                <w:szCs w:val="22"/>
                <w:highlight w:val="none"/>
                <w:lang w:val="en-US" w:eastAsia="zh-CN" w:bidi="ar-SA"/>
              </w:rPr>
              <w:t xml:space="preserve">进行评价：</w:t>
            </w:r>
            <w:r/>
          </w:p>
          <w:p>
            <w:pPr>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（1）售后服务方案详细完整、解决问题的预案完整、备品备件充足、质保及质保期后的维保方案完善的</w:t>
            </w:r>
            <w:r>
              <w:rPr>
                <w:rFonts w:hint="eastAsia" w:ascii="宋体" w:hAnsi="宋体" w:eastAsia="宋体" w:cs="宋体"/>
                <w:b/>
                <w:bCs/>
                <w:sz w:val="22"/>
                <w:szCs w:val="22"/>
                <w:highlight w:val="none"/>
                <w:lang w:val="en-US" w:eastAsia="zh-CN" w:bidi="ar-SA"/>
              </w:rPr>
              <w:t xml:space="preserve">得5分；</w:t>
            </w:r>
            <w:r/>
          </w:p>
          <w:p>
            <w:pPr>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（2）售后服务方案基本完整、解决问题的预案基本完整、备品备件较充足、质保及质保期后的维保方案基本完善的</w:t>
            </w:r>
            <w:r>
              <w:rPr>
                <w:rFonts w:hint="eastAsia" w:ascii="宋体" w:hAnsi="宋体" w:eastAsia="宋体" w:cs="宋体"/>
                <w:b/>
                <w:bCs/>
                <w:sz w:val="22"/>
                <w:szCs w:val="22"/>
                <w:highlight w:val="none"/>
                <w:lang w:val="en-US" w:eastAsia="zh-CN" w:bidi="ar-SA"/>
              </w:rPr>
              <w:t xml:space="preserve">得3分；</w:t>
            </w:r>
            <w:r/>
          </w:p>
          <w:p>
            <w:pPr>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（3）售后服务方案片面或有缺陷的</w:t>
            </w:r>
            <w:r>
              <w:rPr>
                <w:rFonts w:hint="eastAsia" w:ascii="宋体" w:hAnsi="宋体" w:eastAsia="宋体" w:cs="宋体"/>
                <w:b/>
                <w:bCs/>
                <w:sz w:val="22"/>
                <w:szCs w:val="22"/>
                <w:highlight w:val="none"/>
                <w:lang w:val="en-US" w:eastAsia="zh-CN" w:bidi="ar-SA"/>
              </w:rPr>
              <w:t xml:space="preserve">得1分；</w:t>
            </w:r>
            <w:r/>
          </w:p>
          <w:p>
            <w:pPr>
              <w:pStyle w:val="97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该项未见阐述该项不得分。</w:t>
            </w:r>
            <w:r/>
          </w:p>
        </w:tc>
      </w:tr>
    </w:tbl>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widowControl/>
        <w:rPr>
          <w:sz w:val="24"/>
          <w:szCs w:val="24"/>
          <w:highlight w:val="none"/>
        </w:rPr>
      </w:pPr>
      <w:r>
        <w:rPr>
          <w:sz w:val="24"/>
          <w:szCs w:val="24"/>
          <w:highlight w:val="none"/>
        </w:rPr>
      </w:r>
      <w:r/>
    </w:p>
    <w:p>
      <w:pPr>
        <w:pStyle w:val="770"/>
        <w:jc w:val="center"/>
        <w:spacing w:before="156" w:after="156" w:line="360" w:lineRule="auto"/>
        <w:rPr>
          <w:rFonts w:ascii="黑体" w:hAnsi="黑体" w:eastAsia="黑体"/>
          <w:b w:val="0"/>
          <w:highlight w:val="none"/>
        </w:rPr>
      </w:pPr>
      <w:r/>
      <w:bookmarkStart w:id="15" w:name="_Toc163482578"/>
      <w:r/>
      <w:bookmarkStart w:id="16" w:name="_Toc3616"/>
      <w:r>
        <w:rPr>
          <w:rFonts w:hint="eastAsia" w:ascii="黑体" w:hAnsi="黑体" w:eastAsia="黑体"/>
          <w:b w:val="0"/>
          <w:highlight w:val="none"/>
        </w:rPr>
        <w:t xml:space="preserve">第六章  投标文件格式</w:t>
      </w:r>
      <w:bookmarkEnd w:id="15"/>
      <w:r/>
      <w:bookmarkEnd w:id="16"/>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sz w:val="32"/>
          <w:szCs w:val="36"/>
          <w:highlight w:val="none"/>
        </w:rPr>
        <w:outlineLvl w:val="1"/>
      </w:pPr>
      <w:r>
        <w:rPr>
          <w:rFonts w:hint="eastAsia" w:ascii="宋体" w:hAnsi="宋体" w:eastAsia="宋体" w:cs="宋体"/>
          <w:sz w:val="32"/>
          <w:szCs w:val="36"/>
          <w:highlight w:val="non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b/>
          <w:sz w:val="24"/>
          <w:highlight w:val="none"/>
        </w:rPr>
      </w:pPr>
      <w:r>
        <w:rPr>
          <w:rFonts w:hint="eastAsia"/>
          <w:b/>
          <w:sz w:val="24"/>
          <w:highlight w:val="none"/>
        </w:rPr>
        <w:t xml:space="preserve">承诺函：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四、具备履行合同所必需的设备和专业技术能力的声明及证明材料</w:t>
      </w:r>
      <w:r/>
    </w:p>
    <w:p>
      <w:pPr>
        <w:rPr>
          <w:highlight w:val="none"/>
        </w:rPr>
      </w:pPr>
      <w:r>
        <w:rPr>
          <w:highlight w:val="none"/>
        </w:rPr>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jc w:val="center"/>
        <w:spacing w:line="460" w:lineRule="exact"/>
        <w:rPr>
          <w:rFonts w:ascii="黑体" w:hAnsi="黑体" w:eastAsia="黑体" w:cs="宋体"/>
          <w:bCs/>
          <w:sz w:val="36"/>
          <w:szCs w:val="28"/>
          <w:highlight w:val="none"/>
        </w:rPr>
      </w:pPr>
      <w:r>
        <w:rPr>
          <w:rFonts w:ascii="黑体" w:hAnsi="黑体" w:eastAsia="黑体" w:cs="宋体"/>
          <w:bCs/>
          <w:sz w:val="36"/>
          <w:szCs w:val="28"/>
          <w:highlight w:val="none"/>
        </w:rPr>
      </w:r>
      <w:r/>
    </w:p>
    <w:p>
      <w:pPr>
        <w:jc w:val="center"/>
        <w:spacing w:line="46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五、参加政府采购活动前3年内在经营活动中没有重大违法记录的书面声明</w:t>
      </w:r>
      <w:r/>
    </w:p>
    <w:p>
      <w:pPr>
        <w:rPr>
          <w:highlight w:val="none"/>
        </w:rPr>
      </w:pPr>
      <w:r>
        <w:rPr>
          <w:highlight w:val="none"/>
        </w:rPr>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六、落实政府采购政策需满足的资格要求的证明文件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七、特定资格要求的证明文件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八、法律、行政法规规定的其他条件的证明文件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 联系电话：</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ascii="Calibri" w:hAnsi="Calibri" w:eastAsia="宋体" w:cs="Times New Roman"/>
          <w:sz w:val="24"/>
          <w:szCs w:val="24"/>
          <w:highlight w:val="none"/>
        </w:rPr>
        <w:t xml:space="preserve">4.</w:t>
      </w:r>
      <w:r>
        <w:rPr>
          <w:rFonts w:hint="eastAsia"/>
          <w:sz w:val="24"/>
          <w:szCs w:val="24"/>
          <w:highlight w:val="none"/>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z w:val="24"/>
          <w:szCs w:val="24"/>
          <w:highlight w:val="none"/>
        </w:rPr>
        <w:t xml:space="preserve">附：</w:t>
      </w: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7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color w:val="000000"/>
          <w:sz w:val="28"/>
          <w:szCs w:val="32"/>
          <w:highlight w:val="none"/>
        </w:rPr>
        <w:outlineLvl w:val="1"/>
      </w:pPr>
      <w:r>
        <w:rPr>
          <w:rFonts w:hint="eastAsia" w:ascii="Arial" w:hAnsi="Arial" w:eastAsia="宋体" w:cs="Arial"/>
          <w:iCs/>
          <w:sz w:val="32"/>
          <w:highlight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致：连云港市公共资源</w:t>
      </w:r>
      <w:r>
        <w:rPr>
          <w:rFonts w:hint="eastAsia" w:ascii="宋体" w:hAnsi="宋体" w:eastAsia="宋体" w:cs="Times New Roman"/>
          <w:color w:val="000000"/>
          <w:sz w:val="24"/>
          <w:szCs w:val="21"/>
          <w:highlight w:val="none"/>
          <w:lang w:eastAsia="zh-CN"/>
        </w:rPr>
        <w:t xml:space="preserve">采购代理机构</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6"/>
          <w:highlight w:val="none"/>
        </w:rPr>
        <w:t xml:space="preserve">十</w:t>
      </w:r>
      <w:r>
        <w:rPr>
          <w:rFonts w:hint="eastAsia" w:ascii="Arial" w:hAnsi="Arial" w:eastAsia="宋体" w:cs="Arial"/>
          <w:sz w:val="32"/>
          <w:highlight w:val="none"/>
        </w:rPr>
        <w:t xml:space="preserve">一、中小企业声明函（货物）</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 （标的名称）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本单位郑重声明，根据《财政部民政部中国残疾人联合会关于促进残疾人就业政府采购政策的通知》（财库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 </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w:t>
      </w:r>
      <w:r>
        <w:rPr>
          <w:rFonts w:hint="eastAsia" w:ascii="Arial" w:hAnsi="Arial" w:eastAsia="宋体" w:cs="Arial"/>
          <w:sz w:val="32"/>
          <w:highlight w:val="none"/>
          <w:lang w:val="en-US" w:eastAsia="zh-CN"/>
        </w:rPr>
        <w:t xml:space="preserve">三</w:t>
      </w:r>
      <w:r>
        <w:rPr>
          <w:rFonts w:hint="eastAsia" w:ascii="Arial" w:hAnsi="Arial" w:eastAsia="宋体" w:cs="Arial"/>
          <w:sz w:val="32"/>
          <w:highlight w:val="none"/>
        </w:rPr>
        <w:t xml:space="preserve">、投标分项报价表（分包号：**）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780"/>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highlight w:val="none"/>
              </w:rPr>
            </w:pPr>
            <w:r>
              <w:rPr>
                <w:rFonts w:hint="eastAsia" w:ascii="Times New Roman" w:hAnsi="Times New Roman"/>
                <w:b/>
                <w:color w:val="000000"/>
                <w:szCs w:val="24"/>
                <w:highlight w:val="none"/>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13"/>
            <w:tcW w:w="9299" w:type="dxa"/>
            <w:vAlign w:val="center"/>
            <w:textDirection w:val="lrTb"/>
            <w:noWrap/>
          </w:tcPr>
          <w:p>
            <w:pPr>
              <w:spacing w:line="360" w:lineRule="auto"/>
              <w:widowControl/>
              <w:rPr>
                <w:rFonts w:hint="default" w:ascii="宋体" w:hAnsi="宋体" w:eastAsia="宋体" w:cs="Times New Roman"/>
                <w:b/>
                <w:bCs/>
                <w:sz w:val="24"/>
                <w:szCs w:val="32"/>
                <w:highlight w:val="none"/>
                <w:lang w:val="en-US" w:eastAsia="zh-CN"/>
              </w:rPr>
            </w:pPr>
            <w:r>
              <w:rPr>
                <w:rFonts w:hint="eastAsia" w:ascii="宋体" w:hAnsi="宋体" w:eastAsia="宋体" w:cs="Times New Roman"/>
                <w:b/>
                <w:bCs/>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highlight w:val="none"/>
                <w:u w:val="single"/>
                <w:lang w:val="en-US" w:eastAsia="zh-CN"/>
              </w:rPr>
              <w:t xml:space="preserve">       </w:t>
            </w:r>
            <w:r>
              <w:rPr>
                <w:rFonts w:hint="eastAsia" w:ascii="宋体" w:hAnsi="宋体" w:eastAsia="宋体" w:cs="Times New Roman"/>
                <w:b/>
                <w:bCs/>
                <w:sz w:val="24"/>
                <w:szCs w:val="32"/>
                <w:highlight w:val="none"/>
              </w:rPr>
              <w:t xml:space="preserve">%。</w:t>
            </w:r>
            <w:r>
              <w:rPr>
                <w:rFonts w:hint="eastAsia" w:ascii="宋体" w:hAnsi="宋体" w:eastAsia="宋体" w:cs="Times New Roman"/>
                <w:b/>
                <w:bCs/>
                <w:sz w:val="24"/>
                <w:szCs w:val="32"/>
                <w:highlight w:val="none"/>
                <w:lang w:eastAsia="zh-CN"/>
              </w:rPr>
              <w:t xml:space="preserve">（</w:t>
            </w:r>
            <w:r>
              <w:rPr>
                <w:rFonts w:hint="eastAsia" w:ascii="宋体" w:hAnsi="宋体" w:eastAsia="宋体" w:cs="Times New Roman"/>
                <w:b/>
                <w:bCs/>
                <w:sz w:val="24"/>
                <w:szCs w:val="32"/>
                <w:highlight w:val="none"/>
                <w:lang w:val="en-US" w:eastAsia="zh-CN"/>
              </w:rPr>
              <w:t xml:space="preserve">该部分供应商填写）</w:t>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spacing w:line="360" w:lineRule="auto"/>
        <w:rPr>
          <w:rFonts w:ascii="宋体" w:hAnsi="宋体"/>
          <w:color w:val="000000"/>
          <w:szCs w:val="20"/>
          <w:highlight w:val="none"/>
        </w:rPr>
      </w:pPr>
      <w:r>
        <w:rPr>
          <w:rFonts w:ascii="宋体" w:hAnsi="宋体"/>
          <w:color w:val="000000"/>
          <w:szCs w:val="20"/>
          <w:highlight w:val="none"/>
        </w:rPr>
      </w:r>
      <w:r/>
    </w:p>
    <w:p>
      <w:pPr>
        <w:spacing w:line="360" w:lineRule="auto"/>
        <w:rPr>
          <w:rFonts w:ascii="宋体" w:hAnsi="宋体"/>
          <w:color w:val="000000"/>
          <w:szCs w:val="24"/>
          <w:highlight w:val="none"/>
        </w:rPr>
      </w:pPr>
      <w:r>
        <w:rPr>
          <w:rFonts w:hint="eastAsia" w:ascii="宋体" w:hAnsi="宋体"/>
          <w:color w:val="000000"/>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w:t>
      </w:r>
      <w:r>
        <w:rPr>
          <w:rFonts w:hint="eastAsia" w:ascii="Arial" w:hAnsi="Arial" w:eastAsia="宋体" w:cs="Arial"/>
          <w:sz w:val="32"/>
          <w:highlight w:val="none"/>
          <w:lang w:val="en-US" w:eastAsia="zh-CN"/>
        </w:rPr>
        <w:t xml:space="preserve">四</w:t>
      </w:r>
      <w:r>
        <w:rPr>
          <w:rFonts w:hint="eastAsia" w:ascii="Arial" w:hAnsi="Arial" w:eastAsia="宋体" w:cs="Arial"/>
          <w:sz w:val="32"/>
          <w:highlight w:val="none"/>
        </w:rPr>
        <w:t xml:space="preserve">、关于符合本国产品标准的声明函</w:t>
      </w:r>
      <w:r/>
    </w:p>
    <w:p>
      <w:pPr>
        <w:pStyle w:val="80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03"/>
        <w:ind w:left="0" w:right="0" w:firstLine="420"/>
        <w:keepLines w:val="0"/>
        <w:keepNext w:val="0"/>
        <w:spacing w:before="0" w:beforeAutospacing="0" w:after="0" w:afterAutospacing="0" w:line="360"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803"/>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803"/>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803"/>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803"/>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803"/>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803"/>
        <w:jc w:val="center"/>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803"/>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803"/>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803"/>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80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80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80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80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80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80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pStyle w:val="80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r>
      <w:r/>
    </w:p>
    <w:p>
      <w:pPr>
        <w:pStyle w:val="80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r>
      <w:r/>
    </w:p>
    <w:p>
      <w:pPr>
        <w:pStyle w:val="803"/>
        <w:spacing w:before="0" w:beforeAutospacing="0" w:after="150" w:afterAutospacing="0" w:line="27" w:lineRule="atLeast"/>
        <w:shd w:val="clear" w:color="auto" w:fill="ffffff"/>
        <w:widowControl/>
        <w:rPr>
          <w:rFonts w:ascii="宋体" w:hAnsi="宋体"/>
          <w:szCs w:val="24"/>
          <w:highlight w:val="none"/>
        </w:rPr>
      </w:pPr>
      <w:r>
        <w:rPr>
          <w:rFonts w:ascii="宋体" w:hAnsi="宋体"/>
          <w:szCs w:val="24"/>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五</w:t>
      </w:r>
      <w:r>
        <w:rPr>
          <w:rFonts w:hint="eastAsia" w:ascii="Arial" w:hAnsi="Arial" w:eastAsia="宋体" w:cs="Arial"/>
          <w:iCs/>
          <w:sz w:val="32"/>
          <w:highlight w:val="none"/>
        </w:rPr>
        <w:t xml:space="preserve">、技术要求响应及偏离表</w:t>
      </w:r>
      <w:r/>
    </w:p>
    <w:p>
      <w:pPr>
        <w:rPr>
          <w:highlight w:val="none"/>
        </w:rPr>
      </w:pPr>
      <w:r>
        <w:rPr>
          <w:highlight w:val="none"/>
        </w:rPr>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80"/>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6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419"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9"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1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1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1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1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bookmarkStart w:id="17" w:name="_Hlt26955054"/>
      <w:r/>
      <w:bookmarkEnd w:id="17"/>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六</w:t>
      </w:r>
      <w:r>
        <w:rPr>
          <w:rFonts w:hint="eastAsia" w:ascii="Arial" w:hAnsi="Arial" w:eastAsia="宋体" w:cs="Arial"/>
          <w:iCs/>
          <w:sz w:val="32"/>
          <w:highlight w:val="none"/>
        </w:rPr>
        <w:t xml:space="preserve">、商务要求响应及偏离表</w:t>
      </w:r>
      <w:r/>
    </w:p>
    <w:p>
      <w:pPr>
        <w:rPr>
          <w:highlight w:val="none"/>
        </w:rPr>
      </w:pPr>
      <w:r>
        <w:rPr>
          <w:highlight w:val="none"/>
        </w:rPr>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8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rPr>
                <w:rFonts w:ascii="宋体" w:hAnsi="宋体" w:eastAsia="宋体" w:cs="Times New Roman"/>
                <w:color w:val="000000"/>
                <w:sz w:val="24"/>
                <w:szCs w:val="24"/>
                <w:highlight w:val="none"/>
              </w:rPr>
            </w:pPr>
            <w:r/>
            <w:bookmarkStart w:id="18" w:name="_Hlt26671343"/>
            <w:r/>
            <w:bookmarkEnd w:id="18"/>
            <w:r/>
            <w:bookmarkStart w:id="19" w:name="_Hlt24879081"/>
            <w:r/>
            <w:bookmarkEnd w:id="19"/>
            <w:r/>
            <w:bookmarkStart w:id="20" w:name="_Hlt26955056"/>
            <w:r/>
            <w:bookmarkEnd w:id="20"/>
            <w:r/>
            <w:bookmarkStart w:id="21" w:name="_Hlt26671372"/>
            <w:r/>
            <w:bookmarkEnd w:id="21"/>
            <w:r/>
            <w:bookmarkStart w:id="22" w:name="_Hlt26609391"/>
            <w:r/>
            <w:bookmarkEnd w:id="22"/>
            <w:r/>
            <w:bookmarkStart w:id="23" w:name="_Hlt26955064"/>
            <w:r/>
            <w:bookmarkEnd w:id="23"/>
            <w:r/>
            <w:bookmarkStart w:id="24" w:name="_Hlt26580838"/>
            <w:r/>
            <w:bookmarkEnd w:id="24"/>
            <w:r/>
            <w:bookmarkStart w:id="25" w:name="_Hlt26782999"/>
            <w:r/>
            <w:bookmarkEnd w:id="25"/>
            <w:r>
              <w:rPr>
                <w:rFonts w:hint="eastAsia" w:ascii="宋体" w:hAnsi="宋体" w:eastAsia="宋体" w:cs="Times New Roman"/>
                <w:color w:val="000000"/>
                <w:sz w:val="24"/>
                <w:szCs w:val="24"/>
                <w:highlight w:val="none"/>
              </w:rPr>
              <w:t xml:space="preserve">序号</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26" w:name="_Hlt26671374"/>
      <w:r/>
      <w:bookmarkEnd w:id="26"/>
      <w:r/>
      <w:bookmarkStart w:id="27" w:name="_Hlt26609389"/>
      <w:r/>
      <w:bookmarkEnd w:id="27"/>
      <w:r/>
      <w:bookmarkStart w:id="28" w:name="_格式2__法定代表人授权书"/>
      <w:r/>
      <w:bookmarkEnd w:id="28"/>
      <w:r/>
      <w:bookmarkStart w:id="29" w:name="_Hlt26955066"/>
      <w:r/>
      <w:bookmarkEnd w:id="29"/>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七</w:t>
      </w:r>
      <w:r>
        <w:rPr>
          <w:rFonts w:hint="eastAsia" w:ascii="Arial" w:hAnsi="Arial" w:eastAsia="宋体" w:cs="Arial"/>
          <w:iCs/>
          <w:sz w:val="36"/>
          <w:highlight w:val="none"/>
        </w:rPr>
        <w:t xml:space="preserve">、类似项目业绩一览表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80"/>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序号</w:t>
            </w:r>
            <w:r/>
          </w:p>
        </w:tc>
        <w:tc>
          <w:tcPr>
            <w:tcW w:w="2552"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项目名称</w:t>
            </w:r>
            <w:r/>
          </w:p>
        </w:tc>
        <w:tc>
          <w:tcPr>
            <w:tcW w:w="2232"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采购单位</w:t>
            </w:r>
            <w:r/>
          </w:p>
        </w:tc>
        <w:tc>
          <w:tcPr>
            <w:tcW w:w="1594"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主要标的</w:t>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55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2"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55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2"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55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2"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55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2"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八</w:t>
      </w:r>
      <w:r>
        <w:rPr>
          <w:rFonts w:hint="eastAsia" w:ascii="Arial" w:hAnsi="Arial" w:eastAsia="宋体" w:cs="Arial"/>
          <w:iCs/>
          <w:sz w:val="36"/>
          <w:highlight w:val="none"/>
        </w:rPr>
        <w:t xml:space="preserve">、项目团队人员一览表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80"/>
        <w:tblW w:w="9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2284"/>
        <w:gridCol w:w="2831"/>
        <w:gridCol w:w="3234"/>
      </w:tblGrid>
      <w:tr>
        <w:trPr>
          <w:cantSplit/>
          <w:jc w:val="center"/>
          <w:trHeight w:val="638"/>
        </w:trPr>
        <w:tc>
          <w:tcPr>
            <w:tcW w:w="1499" w:type="dxa"/>
            <w:vAlign w:val="center"/>
            <w:textDirection w:val="lrTb"/>
            <w:noWrap w:val="false"/>
          </w:tcPr>
          <w:p>
            <w:pPr>
              <w:ind w:firstLine="0"/>
              <w:rPr>
                <w:rFonts w:hint="eastAsia" w:ascii="宋体" w:hAnsi="宋体"/>
                <w:sz w:val="24"/>
                <w:highlight w:val="none"/>
              </w:rPr>
            </w:pPr>
            <w:r>
              <w:rPr>
                <w:rFonts w:hint="eastAsia" w:ascii="宋体" w:hAnsi="宋体"/>
                <w:sz w:val="24"/>
                <w:highlight w:val="none"/>
              </w:rPr>
              <w:t xml:space="preserve">姓名</w:t>
            </w:r>
            <w:r/>
          </w:p>
        </w:tc>
        <w:tc>
          <w:tcPr>
            <w:tcW w:w="2284" w:type="dxa"/>
            <w:vAlign w:val="center"/>
            <w:textDirection w:val="lrTb"/>
            <w:noWrap w:val="false"/>
          </w:tcPr>
          <w:p>
            <w:pPr>
              <w:ind w:firstLine="0"/>
              <w:rPr>
                <w:rFonts w:hint="eastAsia" w:ascii="宋体" w:hAnsi="宋体"/>
                <w:sz w:val="24"/>
                <w:highlight w:val="none"/>
              </w:rPr>
            </w:pPr>
            <w:r>
              <w:rPr>
                <w:rFonts w:hint="eastAsia" w:ascii="宋体" w:hAnsi="宋体"/>
                <w:sz w:val="24"/>
                <w:highlight w:val="none"/>
              </w:rPr>
              <w:t xml:space="preserve">本项目拟担任职务</w:t>
            </w:r>
            <w:r/>
          </w:p>
        </w:tc>
        <w:tc>
          <w:tcPr>
            <w:tcW w:w="2831" w:type="dxa"/>
            <w:vAlign w:val="center"/>
            <w:textDirection w:val="lrTb"/>
            <w:noWrap w:val="false"/>
          </w:tcPr>
          <w:p>
            <w:pPr>
              <w:ind w:firstLine="0"/>
              <w:rPr>
                <w:rFonts w:hint="eastAsia" w:ascii="宋体" w:hAnsi="宋体"/>
                <w:sz w:val="24"/>
                <w:highlight w:val="none"/>
              </w:rPr>
            </w:pPr>
            <w:r>
              <w:rPr>
                <w:rFonts w:hint="eastAsia" w:ascii="宋体" w:hAnsi="宋体"/>
                <w:sz w:val="24"/>
                <w:highlight w:val="none"/>
              </w:rPr>
              <w:t xml:space="preserve">技术职称、专业资质</w:t>
            </w:r>
            <w:r/>
          </w:p>
        </w:tc>
        <w:tc>
          <w:tcPr>
            <w:tcW w:w="3234" w:type="dxa"/>
            <w:vAlign w:val="center"/>
            <w:textDirection w:val="lrTb"/>
            <w:noWrap w:val="false"/>
          </w:tcPr>
          <w:p>
            <w:pPr>
              <w:ind w:firstLine="0"/>
              <w:rPr>
                <w:rFonts w:hint="eastAsia" w:ascii="宋体" w:hAnsi="宋体"/>
                <w:sz w:val="24"/>
                <w:highlight w:val="none"/>
              </w:rPr>
            </w:pPr>
            <w:r>
              <w:rPr>
                <w:rFonts w:hint="eastAsia" w:ascii="宋体" w:hAnsi="宋体"/>
                <w:sz w:val="24"/>
                <w:highlight w:val="none"/>
              </w:rPr>
              <w:t xml:space="preserve">主要资历及担任过的职务</w:t>
            </w:r>
            <w:r/>
          </w:p>
        </w:tc>
      </w:tr>
      <w:tr>
        <w:trPr>
          <w:cantSplit/>
          <w:jc w:val="center"/>
          <w:trHeight w:val="640"/>
        </w:trPr>
        <w:tc>
          <w:tcPr>
            <w:tcW w:w="149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2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831"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32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40"/>
        </w:trPr>
        <w:tc>
          <w:tcPr>
            <w:tcW w:w="149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2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831"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32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40"/>
        </w:trPr>
        <w:tc>
          <w:tcPr>
            <w:tcW w:w="149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2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831"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32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40"/>
        </w:trPr>
        <w:tc>
          <w:tcPr>
            <w:tcW w:w="149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2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831"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32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643"/>
        <w:jc w:val="left"/>
        <w:spacing w:line="500" w:lineRule="exact"/>
        <w:rPr>
          <w:rFonts w:ascii="黑体" w:hAnsi="黑体" w:eastAsia="黑体" w:cs="Times New Roman"/>
          <w:b/>
          <w:color w:val="000000"/>
          <w:sz w:val="32"/>
          <w:szCs w:val="32"/>
          <w:highlight w:val="none"/>
        </w:rPr>
      </w:pPr>
      <w:r>
        <w:rPr>
          <w:rFonts w:ascii="黑体" w:hAnsi="黑体" w:eastAsia="黑体" w:cs="Times New Roman"/>
          <w:b/>
          <w:color w:val="000000"/>
          <w:sz w:val="32"/>
          <w:szCs w:val="32"/>
          <w:highlight w:val="none"/>
        </w:rPr>
      </w:r>
      <w:r/>
    </w:p>
    <w:p>
      <w:pPr>
        <w:jc w:val="left"/>
        <w:rPr>
          <w:rFonts w:ascii="Times New Roman" w:hAnsi="Times New Roman" w:eastAsia="仿宋_GB2312" w:cs="Times New Roman"/>
          <w:color w:val="000000"/>
          <w:sz w:val="22"/>
          <w:szCs w:val="20"/>
          <w:highlight w:val="none"/>
        </w:rPr>
        <w:outlineLvl w:val="1"/>
      </w:pPr>
      <w:r>
        <w:rPr>
          <w:rFonts w:hint="eastAsia" w:ascii="宋体" w:hAnsi="宋体" w:eastAsia="宋体" w:cs="宋体"/>
          <w:bCs/>
          <w:color w:val="000000"/>
          <w:sz w:val="32"/>
          <w:szCs w:val="36"/>
          <w:highlight w:val="none"/>
          <w:lang w:val="en-US" w:eastAsia="zh-CN"/>
        </w:rPr>
        <w:t xml:space="preserve">十九</w:t>
      </w:r>
      <w:r>
        <w:rPr>
          <w:rFonts w:hint="eastAsia" w:ascii="宋体" w:hAnsi="宋体" w:eastAsia="宋体" w:cs="宋体"/>
          <w:bCs/>
          <w:color w:val="000000"/>
          <w:sz w:val="32"/>
          <w:szCs w:val="36"/>
          <w:highlight w:val="none"/>
        </w:rPr>
        <w:t xml:space="preserve">、开标一览表</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开标一览表</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w:t>
      </w:r>
      <w:r/>
    </w:p>
    <w:tbl>
      <w:tblPr>
        <w:tblStyle w:val="80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p>
        </w:tc>
        <w:tc>
          <w:tcPr>
            <w:tcW w:w="6662"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662"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元</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p>
        </w:tc>
        <w:tc>
          <w:tcPr>
            <w:tcW w:w="6662" w:type="dxa"/>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p>
    <w:p>
      <w:pP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center"/>
        <w:rPr>
          <w:rFonts w:ascii="黑体" w:hAnsi="黑体" w:eastAsia="黑体" w:cs="仿宋"/>
          <w:bCs/>
          <w:color w:val="000000"/>
          <w:sz w:val="36"/>
          <w:szCs w:val="36"/>
          <w:highlight w:val="none"/>
        </w:rPr>
        <w:sectPr>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cs="仿宋"/>
          <w:bCs/>
          <w:color w:val="000000"/>
          <w:sz w:val="36"/>
          <w:szCs w:val="36"/>
          <w:highlight w:val="none"/>
        </w:rPr>
      </w:r>
      <w:r/>
    </w:p>
    <w:p>
      <w:pPr>
        <w:jc w:val="left"/>
        <w:rPr>
          <w:rFonts w:hint="eastAsia" w:ascii="宋体" w:hAnsi="宋体" w:eastAsia="宋体" w:cs="宋体"/>
          <w:bCs/>
          <w:color w:val="000000"/>
          <w:sz w:val="32"/>
          <w:szCs w:val="36"/>
          <w:highlight w:val="none"/>
          <w:lang w:val="en-US" w:eastAsia="zh-CN"/>
        </w:rPr>
        <w:outlineLvl w:val="1"/>
      </w:pPr>
      <w:r>
        <w:rPr>
          <w:rFonts w:hint="eastAsia" w:ascii="宋体" w:hAnsi="宋体" w:eastAsia="宋体" w:cs="宋体"/>
          <w:bCs/>
          <w:color w:val="000000"/>
          <w:sz w:val="32"/>
          <w:szCs w:val="36"/>
          <w:highlight w:val="none"/>
          <w:lang w:val="en-US" w:eastAsia="zh-CN"/>
        </w:rPr>
        <w:t xml:space="preserve">二十、其他材料</w:t>
      </w:r>
      <w:r/>
    </w:p>
    <w:p>
      <w:pPr>
        <w:jc w:val="center"/>
        <w:spacing w:line="360" w:lineRule="auto"/>
        <w:tabs>
          <w:tab w:val="left" w:pos="360" w:leader="none"/>
        </w:tabs>
        <w:rPr>
          <w:rFonts w:hint="eastAsia" w:ascii="黑体" w:hAnsi="黑体" w:eastAsia="黑体" w:cs="宋体"/>
          <w:bCs/>
          <w:sz w:val="36"/>
          <w:szCs w:val="28"/>
          <w:highlight w:val="none"/>
          <w:lang w:val="en-US" w:eastAsia="zh-CN"/>
        </w:rPr>
      </w:pPr>
      <w:r>
        <w:rPr>
          <w:rFonts w:hint="eastAsia" w:ascii="黑体" w:hAnsi="黑体" w:eastAsia="黑体" w:cs="宋体"/>
          <w:bCs/>
          <w:sz w:val="36"/>
          <w:szCs w:val="28"/>
          <w:highlight w:val="none"/>
          <w:lang w:val="en-US" w:eastAsia="zh-CN"/>
        </w:rPr>
        <w:t xml:space="preserve">其他材料</w:t>
      </w:r>
      <w:r/>
    </w:p>
    <w:p>
      <w:pPr>
        <w:numPr>
          <w:ilvl w:val="0"/>
          <w:numId w:val="0"/>
        </w:numPr>
        <w:jc w:val="left"/>
        <w:rPr>
          <w:rFonts w:hint="eastAsia" w:ascii="宋体" w:hAnsi="宋体" w:eastAsia="宋体" w:cs="宋体"/>
          <w:bCs/>
          <w:color w:val="000000"/>
          <w:sz w:val="32"/>
          <w:szCs w:val="36"/>
          <w:highlight w:val="none"/>
          <w:lang w:val="en-US" w:eastAsia="zh-CN"/>
        </w:rPr>
        <w:outlineLvl w:val="1"/>
      </w:pPr>
      <w:r>
        <w:rPr>
          <w:rFonts w:hint="eastAsia" w:ascii="宋体" w:hAnsi="宋体" w:eastAsia="宋体" w:cs="宋体"/>
          <w:bCs/>
          <w:color w:val="000000"/>
          <w:sz w:val="32"/>
          <w:szCs w:val="36"/>
          <w:highlight w:val="none"/>
          <w:lang w:val="en-US" w:eastAsia="zh-CN"/>
        </w:rPr>
      </w:r>
      <w:r/>
    </w:p>
    <w:p>
      <w:pPr>
        <w:pStyle w:val="813"/>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根据评分要求投标人自认为需要提交的相关材料）</w:t>
      </w:r>
      <w:r>
        <w:rPr>
          <w:rFonts w:hint="eastAsia" w:ascii="宋体" w:hAnsi="宋体" w:eastAsia="宋体" w:cs="宋体"/>
          <w:color w:val="auto"/>
          <w:sz w:val="24"/>
          <w:szCs w:val="24"/>
          <w:highlight w:val="none"/>
        </w:rPr>
        <w:t xml:space="preserve">，格式自定）</w:t>
      </w:r>
      <w:r/>
    </w:p>
    <w:p>
      <w:pPr>
        <w:pStyle w:val="81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1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1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1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1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1"/>
          <w:szCs w:val="21"/>
          <w:highlight w:val="none"/>
        </w:rPr>
        <w:outlineLvl w:val="9"/>
      </w:pPr>
      <w:r/>
      <w:bookmarkStart w:id="30" w:name="_Toc15981"/>
      <w:r/>
      <w:bookmarkStart w:id="31" w:name="_Toc7993"/>
      <w:r/>
      <w:bookmarkStart w:id="32" w:name="_Toc27574"/>
      <w:r>
        <w:rPr>
          <w:rFonts w:hint="eastAsia" w:ascii="宋体" w:hAnsi="宋体" w:eastAsia="宋体" w:cs="宋体"/>
          <w:b/>
          <w:bCs/>
          <w:color w:val="auto"/>
          <w:spacing w:val="8"/>
          <w:sz w:val="21"/>
          <w:szCs w:val="21"/>
          <w:highlight w:val="none"/>
        </w:rPr>
        <w:t xml:space="preserve">注：</w:t>
      </w:r>
      <w:bookmarkEnd w:id="30"/>
      <w:r/>
      <w:bookmarkEnd w:id="31"/>
      <w:r/>
      <w:bookmarkEnd w:id="32"/>
      <w:r/>
      <w:r/>
    </w:p>
    <w:p>
      <w:pPr>
        <w:ind w:firstLine="514"/>
        <w:jc w:val="left"/>
        <w:spacing w:line="360" w:lineRule="auto"/>
        <w:rPr>
          <w:rFonts w:hint="eastAsia" w:ascii="宋体" w:hAnsi="宋体" w:eastAsia="宋体" w:cs="宋体"/>
          <w:b/>
          <w:bCs/>
          <w:color w:val="auto"/>
          <w:spacing w:val="9"/>
          <w:sz w:val="21"/>
          <w:szCs w:val="21"/>
          <w:highlight w:val="none"/>
        </w:rPr>
      </w:pPr>
      <w:r>
        <w:rPr>
          <w:rFonts w:hint="eastAsia" w:ascii="宋体" w:hAnsi="宋体" w:eastAsia="宋体" w:cs="宋体"/>
          <w:b/>
          <w:bCs/>
          <w:color w:val="auto"/>
          <w:spacing w:val="8"/>
          <w:sz w:val="21"/>
          <w:szCs w:val="21"/>
          <w:highlight w:val="none"/>
        </w:rPr>
        <w:t xml:space="preserve">1、本项目的资格评审及评标相关的证明文</w:t>
      </w:r>
      <w:r>
        <w:rPr>
          <w:rFonts w:hint="eastAsia" w:ascii="宋体" w:hAnsi="宋体" w:eastAsia="宋体" w:cs="宋体"/>
          <w:b/>
          <w:bCs/>
          <w:color w:val="auto"/>
          <w:spacing w:val="7"/>
          <w:sz w:val="21"/>
          <w:szCs w:val="21"/>
          <w:highlight w:val="none"/>
        </w:rPr>
        <w:t xml:space="preserve">件均需提供原件扫描件上传至电子投标</w:t>
      </w:r>
      <w:r>
        <w:rPr>
          <w:rFonts w:hint="eastAsia" w:ascii="宋体" w:hAnsi="宋体" w:eastAsia="宋体" w:cs="宋体"/>
          <w:b/>
          <w:bCs/>
          <w:color w:val="auto"/>
          <w:spacing w:val="8"/>
          <w:sz w:val="21"/>
          <w:szCs w:val="21"/>
          <w:highlight w:val="none"/>
        </w:rPr>
        <w:t xml:space="preserve">文件中，扫描件需齐全并能清晰辨认且在有效期内，</w:t>
      </w:r>
      <w:r>
        <w:rPr>
          <w:rFonts w:hint="eastAsia" w:ascii="宋体" w:hAnsi="宋体" w:eastAsia="宋体" w:cs="宋体"/>
          <w:b/>
          <w:bCs/>
          <w:color w:val="auto"/>
          <w:spacing w:val="7"/>
          <w:sz w:val="21"/>
          <w:szCs w:val="21"/>
          <w:highlight w:val="none"/>
        </w:rPr>
        <w:t xml:space="preserve">提供的与评分相关的证明材料必须能清</w:t>
      </w:r>
      <w:r>
        <w:rPr>
          <w:rFonts w:hint="eastAsia" w:ascii="宋体" w:hAnsi="宋体" w:eastAsia="宋体" w:cs="宋体"/>
          <w:b/>
          <w:bCs/>
          <w:color w:val="auto"/>
          <w:spacing w:val="9"/>
          <w:sz w:val="21"/>
          <w:szCs w:val="21"/>
          <w:highlight w:val="none"/>
        </w:rPr>
        <w:t xml:space="preserve">晰的</w:t>
      </w:r>
      <w:r>
        <w:rPr>
          <w:rFonts w:hint="eastAsia" w:ascii="宋体" w:hAnsi="宋体" w:cs="宋体"/>
          <w:b/>
          <w:bCs/>
          <w:color w:val="auto"/>
          <w:spacing w:val="9"/>
          <w:sz w:val="21"/>
          <w:szCs w:val="21"/>
          <w:highlight w:val="none"/>
          <w:lang w:eastAsia="zh-CN"/>
        </w:rPr>
        <w:t xml:space="preserve">标明</w:t>
      </w:r>
      <w:r>
        <w:rPr>
          <w:rFonts w:hint="eastAsia" w:ascii="宋体" w:hAnsi="宋体" w:eastAsia="宋体" w:cs="宋体"/>
          <w:b/>
          <w:bCs/>
          <w:color w:val="auto"/>
          <w:spacing w:val="9"/>
          <w:sz w:val="21"/>
          <w:szCs w:val="21"/>
          <w:highlight w:val="none"/>
        </w:rPr>
        <w:t xml:space="preserve">需要明示的内容，否则由此引起后果自行承担。</w:t>
      </w:r>
      <w:r/>
    </w:p>
    <w:p>
      <w:pPr>
        <w:pStyle w:val="973"/>
        <w:rPr>
          <w:rFonts w:hint="eastAsia" w:ascii="宋体" w:hAnsi="宋体" w:eastAsia="宋体" w:cs="宋体"/>
          <w:b/>
          <w:bCs/>
          <w:color w:val="auto"/>
          <w:sz w:val="21"/>
          <w:szCs w:val="21"/>
          <w:highlight w:val="none"/>
        </w:rPr>
        <w:sectPr>
          <w:footerReference w:type="default" r:id="rId13"/>
          <w:footerReference w:type="first" r:id="rId14"/>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 w:val="21"/>
          <w:szCs w:val="21"/>
          <w:highlight w:val="none"/>
        </w:rPr>
        <w:t xml:space="preserve">2、若标书制作工具中格式和内容与“江苏政府采购网”发布的采购文件不一致，请以“江苏政府采购网”发布的招标采购文件为准。</w:t>
      </w:r>
      <w:r/>
    </w:p>
    <w:p>
      <w:pPr>
        <w:jc w:val="center"/>
        <w:rPr>
          <w:rFonts w:ascii="黑体" w:hAnsi="黑体" w:eastAsia="黑体" w:cs="仿宋"/>
          <w:bCs/>
          <w:color w:val="000000"/>
          <w:sz w:val="36"/>
          <w:szCs w:val="36"/>
          <w:highlight w:val="none"/>
        </w:rPr>
      </w:pPr>
      <w:r>
        <w:rPr>
          <w:rFonts w:hint="eastAsia" w:ascii="黑体" w:hAnsi="黑体" w:eastAsia="黑体" w:cs="仿宋"/>
          <w:bCs/>
          <w:color w:val="000000"/>
          <w:sz w:val="36"/>
          <w:szCs w:val="36"/>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highlight w:val="none"/>
        </w:rPr>
      </w:pPr>
      <w:r>
        <w:rPr>
          <w:rFonts w:hint="eastAsia" w:ascii="宋体" w:hAnsi="宋体" w:eastAsia="宋体" w:cs="Times New Roman"/>
          <w:sz w:val="24"/>
          <w:szCs w:val="24"/>
          <w:highlight w:val="none"/>
        </w:rPr>
        <w:t xml:space="preserve">具体要求详见第二章 投标人须知 八、询问与质疑。</w:t>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ymbol">
    <w:panose1 w:val="05050102010706020507"/>
  </w:font>
  <w:font w:name="新宋体">
    <w:panose1 w:val="0201060903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
  </w:p>
  <w:p>
    <w:pPr>
      <w:pStyle w:val="7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3242"/>
                            <w:rPr/>
                          </w:sdtPr>
                          <w:sdtContent>
                            <w:p>
                              <w:pPr>
                                <w:pStyle w:val="793"/>
                                <w:jc w:val="center"/>
                              </w:pPr>
                              <w:r>
                                <w:fldChar w:fldCharType="begin"/>
                              </w:r>
                              <w:r>
                                <w:instrText xml:space="preserve"> PAGE   \* MERGEFORMAT </w:instrText>
                              </w:r>
                              <w:r>
                                <w:fldChar w:fldCharType="separate"/>
                              </w:r>
                              <w:r>
                                <w:rPr>
                                  <w:lang w:val="zh-CN"/>
                                </w:rPr>
                                <w:t xml:space="preserve">72</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3242"/>
                      <w:rPr/>
                    </w:sdtPr>
                    <w:sdtContent>
                      <w:p>
                        <w:pPr>
                          <w:pStyle w:val="793"/>
                          <w:jc w:val="center"/>
                        </w:pPr>
                        <w:r>
                          <w:fldChar w:fldCharType="begin"/>
                        </w:r>
                        <w:r>
                          <w:instrText xml:space="preserve"> PAGE   \* MERGEFORMAT </w:instrText>
                        </w:r>
                        <w:r>
                          <w:fldChar w:fldCharType="separate"/>
                        </w:r>
                        <w:r>
                          <w:rPr>
                            <w:lang w:val="zh-CN"/>
                          </w:rPr>
                          <w:t xml:space="preserve">72</w:t>
                        </w:r>
                        <w:r>
                          <w:rPr>
                            <w:lang w:val="zh-CN"/>
                          </w:rPr>
                          <w:fldChar w:fldCharType="end"/>
                        </w:r>
                        <w:r/>
                      </w:p>
                    </w:sdtContent>
                  </w:sdt>
                  <w:p>
                    <w:r/>
                    <w:r/>
                  </w:p>
                </w:txbxContent>
              </v:textbox>
            </v:shape>
          </w:pict>
        </mc:Fallback>
      </mc:AlternateContent>
    </w:r>
    <w:r/>
  </w:p>
  <w:p>
    <w:pPr>
      <w:pStyle w:val="7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9"/>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9"/>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9"/>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9"/>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70">
    <w:name w:val="Heading 1"/>
    <w:basedOn w:val="769"/>
    <w:next w:val="769"/>
    <w:link w:val="966"/>
    <w:uiPriority w:val="9"/>
    <w:qFormat/>
    <w:pPr>
      <w:keepLines/>
      <w:keepNext/>
      <w:spacing w:before="340" w:after="330" w:line="578" w:lineRule="auto"/>
      <w:outlineLvl w:val="0"/>
    </w:pPr>
    <w:rPr>
      <w:b/>
      <w:bCs/>
      <w:sz w:val="44"/>
      <w:szCs w:val="44"/>
    </w:rPr>
  </w:style>
  <w:style w:type="paragraph" w:styleId="771">
    <w:name w:val="Heading 2"/>
    <w:basedOn w:val="769"/>
    <w:next w:val="769"/>
    <w:link w:val="96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2">
    <w:name w:val="Heading 3"/>
    <w:basedOn w:val="769"/>
    <w:next w:val="769"/>
    <w:link w:val="969"/>
    <w:uiPriority w:val="9"/>
    <w:unhideWhenUsed/>
    <w:qFormat/>
    <w:pPr>
      <w:keepLines/>
      <w:keepNext/>
      <w:spacing w:before="260" w:after="260" w:line="416" w:lineRule="auto"/>
      <w:outlineLvl w:val="2"/>
    </w:pPr>
    <w:rPr>
      <w:b/>
      <w:bCs/>
      <w:sz w:val="32"/>
      <w:szCs w:val="32"/>
    </w:rPr>
  </w:style>
  <w:style w:type="paragraph" w:styleId="773">
    <w:name w:val="Heading 4"/>
    <w:basedOn w:val="769"/>
    <w:next w:val="769"/>
    <w:link w:val="817"/>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18"/>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19"/>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21"/>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22"/>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9"/>
    <w:link w:val="967"/>
    <w:uiPriority w:val="99"/>
    <w:semiHidden/>
    <w:unhideWhenUsed/>
    <w:qFormat/>
    <w:rPr>
      <w:rFonts w:ascii="宋体" w:eastAsia="宋体"/>
      <w:sz w:val="18"/>
      <w:szCs w:val="18"/>
    </w:rPr>
  </w:style>
  <w:style w:type="paragraph" w:styleId="784">
    <w:name w:val="annotation text"/>
    <w:basedOn w:val="769"/>
    <w:link w:val="971"/>
    <w:uiPriority w:val="0"/>
    <w:qFormat/>
    <w:pPr>
      <w:ind w:firstLine="922"/>
      <w:jc w:val="left"/>
      <w:spacing w:line="360" w:lineRule="auto"/>
    </w:pPr>
    <w:rPr>
      <w:rFonts w:ascii="Times New Roman" w:hAnsi="Times New Roman" w:eastAsia="宋体" w:cs="Times New Roman"/>
      <w:szCs w:val="24"/>
    </w:rPr>
  </w:style>
  <w:style w:type="paragraph" w:styleId="785">
    <w:name w:val="Body Text"/>
    <w:basedOn w:val="769"/>
    <w:next w:val="769"/>
    <w:uiPriority w:val="1"/>
    <w:qFormat/>
    <w:pPr>
      <w:ind w:left="109"/>
    </w:pPr>
    <w:rPr>
      <w:rFonts w:ascii="宋体" w:hAnsi="宋体"/>
    </w:rPr>
  </w:style>
  <w:style w:type="paragraph" w:styleId="786">
    <w:name w:val="Body Text Indent"/>
    <w:basedOn w:val="769"/>
    <w:uiPriority w:val="0"/>
    <w:qFormat/>
    <w:pPr>
      <w:ind w:left="420"/>
      <w:spacing w:after="120"/>
    </w:pPr>
    <w:rPr>
      <w:rFonts w:ascii="Times New Roman" w:hAnsi="Times New Roman"/>
      <w:sz w:val="20"/>
      <w:szCs w:val="24"/>
      <w:lang w:eastAsia="en-US"/>
    </w:rPr>
  </w:style>
  <w:style w:type="paragraph" w:styleId="787">
    <w:name w:val="toc 5"/>
    <w:basedOn w:val="769"/>
    <w:next w:val="769"/>
    <w:uiPriority w:val="39"/>
    <w:unhideWhenUsed/>
    <w:qFormat/>
    <w:pPr>
      <w:ind w:left="1134" w:right="0" w:firstLine="0"/>
      <w:spacing w:after="57"/>
    </w:pPr>
  </w:style>
  <w:style w:type="paragraph" w:styleId="788">
    <w:name w:val="toc 3"/>
    <w:basedOn w:val="769"/>
    <w:next w:val="769"/>
    <w:uiPriority w:val="39"/>
    <w:unhideWhenUsed/>
    <w:qFormat/>
    <w:pPr>
      <w:ind w:left="567" w:right="0" w:firstLine="0"/>
      <w:spacing w:after="57"/>
    </w:pPr>
  </w:style>
  <w:style w:type="paragraph" w:styleId="789">
    <w:name w:val="toc 8"/>
    <w:basedOn w:val="769"/>
    <w:next w:val="769"/>
    <w:uiPriority w:val="39"/>
    <w:unhideWhenUsed/>
    <w:qFormat/>
    <w:pPr>
      <w:ind w:left="1984" w:right="0" w:firstLine="0"/>
      <w:spacing w:after="57"/>
    </w:pPr>
  </w:style>
  <w:style w:type="paragraph" w:styleId="790">
    <w:name w:val="Date"/>
    <w:basedOn w:val="769"/>
    <w:next w:val="769"/>
    <w:link w:val="970"/>
    <w:uiPriority w:val="99"/>
    <w:semiHidden/>
    <w:unhideWhenUsed/>
    <w:qFormat/>
    <w:pPr>
      <w:ind w:left="100"/>
    </w:pPr>
  </w:style>
  <w:style w:type="paragraph" w:styleId="791">
    <w:name w:val="endnote text"/>
    <w:basedOn w:val="769"/>
    <w:link w:val="960"/>
    <w:uiPriority w:val="99"/>
    <w:semiHidden/>
    <w:unhideWhenUsed/>
    <w:qFormat/>
    <w:pPr>
      <w:spacing w:after="0" w:line="240" w:lineRule="auto"/>
    </w:pPr>
    <w:rPr>
      <w:sz w:val="20"/>
    </w:rPr>
  </w:style>
  <w:style w:type="paragraph" w:styleId="792">
    <w:name w:val="Balloon Text"/>
    <w:basedOn w:val="769"/>
    <w:link w:val="972"/>
    <w:uiPriority w:val="99"/>
    <w:semiHidden/>
    <w:unhideWhenUsed/>
    <w:qFormat/>
    <w:rPr>
      <w:sz w:val="18"/>
      <w:szCs w:val="18"/>
    </w:rPr>
  </w:style>
  <w:style w:type="paragraph" w:styleId="793">
    <w:name w:val="Footer"/>
    <w:basedOn w:val="769"/>
    <w:link w:val="965"/>
    <w:uiPriority w:val="99"/>
    <w:unhideWhenUsed/>
    <w:qFormat/>
    <w:pPr>
      <w:jc w:val="left"/>
      <w:tabs>
        <w:tab w:val="center" w:pos="4153" w:leader="none"/>
        <w:tab w:val="right" w:pos="8306" w:leader="none"/>
      </w:tabs>
    </w:pPr>
    <w:rPr>
      <w:sz w:val="18"/>
      <w:szCs w:val="18"/>
    </w:rPr>
  </w:style>
  <w:style w:type="paragraph" w:styleId="794">
    <w:name w:val="Header"/>
    <w:basedOn w:val="769"/>
    <w:link w:val="96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9"/>
    <w:next w:val="769"/>
    <w:uiPriority w:val="39"/>
    <w:unhideWhenUsed/>
    <w:qFormat/>
    <w:pPr>
      <w:jc w:val="center"/>
      <w:spacing w:line="480" w:lineRule="auto"/>
      <w:tabs>
        <w:tab w:val="right" w:pos="9628" w:leader="dot"/>
      </w:tabs>
    </w:pPr>
    <w:rPr>
      <w:b/>
      <w:sz w:val="44"/>
      <w:szCs w:val="44"/>
    </w:rPr>
  </w:style>
  <w:style w:type="paragraph" w:styleId="796">
    <w:name w:val="toc 4"/>
    <w:basedOn w:val="769"/>
    <w:next w:val="769"/>
    <w:uiPriority w:val="39"/>
    <w:unhideWhenUsed/>
    <w:qFormat/>
    <w:pPr>
      <w:ind w:left="850" w:right="0" w:firstLine="0"/>
      <w:spacing w:after="57"/>
    </w:pPr>
  </w:style>
  <w:style w:type="paragraph" w:styleId="797">
    <w:name w:val="Subtitle"/>
    <w:basedOn w:val="769"/>
    <w:next w:val="769"/>
    <w:link w:val="826"/>
    <w:uiPriority w:val="11"/>
    <w:qFormat/>
    <w:pPr>
      <w:spacing w:before="200" w:after="200"/>
    </w:pPr>
    <w:rPr>
      <w:sz w:val="24"/>
      <w:szCs w:val="24"/>
    </w:rPr>
  </w:style>
  <w:style w:type="paragraph" w:styleId="798">
    <w:name w:val="footnote text"/>
    <w:basedOn w:val="769"/>
    <w:link w:val="959"/>
    <w:uiPriority w:val="99"/>
    <w:semiHidden/>
    <w:unhideWhenUsed/>
    <w:qFormat/>
    <w:pPr>
      <w:spacing w:after="40" w:line="240" w:lineRule="auto"/>
    </w:pPr>
    <w:rPr>
      <w:sz w:val="18"/>
    </w:rPr>
  </w:style>
  <w:style w:type="paragraph" w:styleId="799">
    <w:name w:val="toc 6"/>
    <w:basedOn w:val="769"/>
    <w:next w:val="769"/>
    <w:uiPriority w:val="39"/>
    <w:unhideWhenUsed/>
    <w:qFormat/>
    <w:pPr>
      <w:ind w:left="1417" w:right="0" w:firstLine="0"/>
      <w:spacing w:after="57"/>
    </w:pPr>
  </w:style>
  <w:style w:type="paragraph" w:styleId="800">
    <w:name w:val="table of figures"/>
    <w:basedOn w:val="769"/>
    <w:next w:val="769"/>
    <w:uiPriority w:val="99"/>
    <w:unhideWhenUsed/>
    <w:qFormat/>
    <w:pPr>
      <w:spacing w:after="0" w:afterAutospacing="0"/>
    </w:pPr>
  </w:style>
  <w:style w:type="paragraph" w:styleId="801">
    <w:name w:val="toc 2"/>
    <w:basedOn w:val="769"/>
    <w:next w:val="769"/>
    <w:uiPriority w:val="39"/>
    <w:unhideWhenUsed/>
    <w:qFormat/>
    <w:pPr>
      <w:ind w:left="283" w:right="0" w:firstLine="0"/>
      <w:spacing w:after="57"/>
    </w:pPr>
  </w:style>
  <w:style w:type="paragraph" w:styleId="802">
    <w:name w:val="toc 9"/>
    <w:basedOn w:val="769"/>
    <w:next w:val="769"/>
    <w:uiPriority w:val="39"/>
    <w:unhideWhenUsed/>
    <w:qFormat/>
    <w:pPr>
      <w:ind w:left="2268" w:right="0" w:firstLine="0"/>
      <w:spacing w:after="57"/>
    </w:pPr>
  </w:style>
  <w:style w:type="paragraph" w:styleId="803">
    <w:name w:val="Normal (Web)"/>
    <w:basedOn w:val="769"/>
    <w:uiPriority w:val="99"/>
    <w:unhideWhenUsed/>
    <w:qFormat/>
    <w:pPr>
      <w:jc w:val="left"/>
      <w:spacing w:before="100" w:beforeAutospacing="1" w:after="100" w:afterAutospacing="1"/>
    </w:pPr>
    <w:rPr>
      <w:rFonts w:cs="Times New Roman"/>
      <w:sz w:val="24"/>
    </w:rPr>
  </w:style>
  <w:style w:type="paragraph" w:styleId="804">
    <w:name w:val="Title"/>
    <w:basedOn w:val="769"/>
    <w:next w:val="769"/>
    <w:link w:val="825"/>
    <w:uiPriority w:val="10"/>
    <w:qFormat/>
    <w:pPr>
      <w:contextualSpacing/>
      <w:spacing w:before="300" w:after="200"/>
    </w:pPr>
    <w:rPr>
      <w:sz w:val="48"/>
      <w:szCs w:val="48"/>
    </w:rPr>
  </w:style>
  <w:style w:type="paragraph" w:styleId="805">
    <w:name w:val="Body Text First Indent 2"/>
    <w:basedOn w:val="786"/>
    <w:uiPriority w:val="99"/>
    <w:unhideWhenUsed/>
    <w:qFormat/>
    <w:pPr>
      <w:ind w:firstLine="420"/>
    </w:pPr>
  </w:style>
  <w:style w:type="table" w:styleId="806">
    <w:name w:val="Table Grid"/>
    <w:basedOn w:val="7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79"/>
    <w:uiPriority w:val="22"/>
    <w:qFormat/>
    <w:rPr>
      <w:b/>
    </w:rPr>
  </w:style>
  <w:style w:type="character" w:styleId="808">
    <w:name w:val="endnote reference"/>
    <w:basedOn w:val="779"/>
    <w:uiPriority w:val="99"/>
    <w:semiHidden/>
    <w:unhideWhenUsed/>
    <w:qFormat/>
    <w:rPr>
      <w:vertAlign w:val="superscript"/>
    </w:rPr>
  </w:style>
  <w:style w:type="character" w:styleId="809">
    <w:name w:val="Emphasis"/>
    <w:uiPriority w:val="0"/>
    <w:qFormat/>
    <w:rPr>
      <w:i/>
    </w:rPr>
  </w:style>
  <w:style w:type="character" w:styleId="810">
    <w:name w:val="Hyperlink"/>
    <w:uiPriority w:val="99"/>
    <w:qFormat/>
    <w:rPr>
      <w:color w:val="0000ff"/>
      <w:u w:val="none"/>
    </w:rPr>
  </w:style>
  <w:style w:type="character" w:styleId="811">
    <w:name w:val="annotation reference"/>
    <w:uiPriority w:val="0"/>
    <w:qFormat/>
    <w:rPr>
      <w:sz w:val="21"/>
      <w:szCs w:val="21"/>
    </w:rPr>
  </w:style>
  <w:style w:type="character" w:styleId="812">
    <w:name w:val="footnote reference"/>
    <w:basedOn w:val="779"/>
    <w:uiPriority w:val="99"/>
    <w:unhideWhenUsed/>
    <w:qFormat/>
    <w:rPr>
      <w:vertAlign w:val="superscript"/>
    </w:rPr>
  </w:style>
  <w:style w:type="paragraph" w:styleId="81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14" w:customStyle="1">
    <w:name w:val="Heading 1 Char"/>
    <w:basedOn w:val="779"/>
    <w:uiPriority w:val="9"/>
    <w:qFormat/>
    <w:rPr>
      <w:rFonts w:ascii="Arial" w:hAnsi="Arial" w:eastAsia="Arial" w:cs="Arial"/>
      <w:sz w:val="40"/>
      <w:szCs w:val="40"/>
    </w:rPr>
  </w:style>
  <w:style w:type="character" w:styleId="815" w:customStyle="1">
    <w:name w:val="Heading 2 Char"/>
    <w:basedOn w:val="779"/>
    <w:uiPriority w:val="9"/>
    <w:qFormat/>
    <w:rPr>
      <w:rFonts w:ascii="Arial" w:hAnsi="Arial" w:eastAsia="Arial" w:cs="Arial"/>
      <w:sz w:val="34"/>
    </w:rPr>
  </w:style>
  <w:style w:type="character" w:styleId="816" w:customStyle="1">
    <w:name w:val="Heading 3 Char"/>
    <w:basedOn w:val="779"/>
    <w:uiPriority w:val="9"/>
    <w:qFormat/>
    <w:rPr>
      <w:rFonts w:ascii="Arial" w:hAnsi="Arial" w:eastAsia="Arial" w:cs="Arial"/>
      <w:sz w:val="30"/>
      <w:szCs w:val="30"/>
    </w:rPr>
  </w:style>
  <w:style w:type="character" w:styleId="817" w:customStyle="1">
    <w:name w:val="Heading 4 Char"/>
    <w:basedOn w:val="779"/>
    <w:link w:val="773"/>
    <w:uiPriority w:val="9"/>
    <w:qFormat/>
    <w:rPr>
      <w:rFonts w:ascii="Arial" w:hAnsi="Arial" w:eastAsia="Arial" w:cs="Arial"/>
      <w:b/>
      <w:bCs/>
      <w:sz w:val="26"/>
      <w:szCs w:val="26"/>
    </w:rPr>
  </w:style>
  <w:style w:type="character" w:styleId="818" w:customStyle="1">
    <w:name w:val="Heading 5 Char"/>
    <w:basedOn w:val="779"/>
    <w:link w:val="774"/>
    <w:uiPriority w:val="9"/>
    <w:qFormat/>
    <w:rPr>
      <w:rFonts w:ascii="Arial" w:hAnsi="Arial" w:eastAsia="Arial" w:cs="Arial"/>
      <w:b/>
      <w:bCs/>
      <w:sz w:val="24"/>
      <w:szCs w:val="24"/>
    </w:rPr>
  </w:style>
  <w:style w:type="character" w:styleId="819" w:customStyle="1">
    <w:name w:val="Heading 6 Char"/>
    <w:basedOn w:val="779"/>
    <w:link w:val="775"/>
    <w:uiPriority w:val="9"/>
    <w:qFormat/>
    <w:rPr>
      <w:rFonts w:ascii="Arial" w:hAnsi="Arial" w:eastAsia="Arial" w:cs="Arial"/>
      <w:b/>
      <w:bCs/>
      <w:sz w:val="22"/>
      <w:szCs w:val="22"/>
    </w:rPr>
  </w:style>
  <w:style w:type="character" w:styleId="820" w:customStyle="1">
    <w:name w:val="Heading 7 Char"/>
    <w:basedOn w:val="779"/>
    <w:link w:val="776"/>
    <w:uiPriority w:val="9"/>
    <w:qFormat/>
    <w:rPr>
      <w:rFonts w:ascii="Arial" w:hAnsi="Arial" w:eastAsia="Arial" w:cs="Arial"/>
      <w:b/>
      <w:bCs/>
      <w:i/>
      <w:iCs/>
      <w:sz w:val="22"/>
      <w:szCs w:val="22"/>
    </w:rPr>
  </w:style>
  <w:style w:type="character" w:styleId="821" w:customStyle="1">
    <w:name w:val="Heading 8 Char"/>
    <w:basedOn w:val="779"/>
    <w:link w:val="777"/>
    <w:uiPriority w:val="9"/>
    <w:qFormat/>
    <w:rPr>
      <w:rFonts w:ascii="Arial" w:hAnsi="Arial" w:eastAsia="Arial" w:cs="Arial"/>
      <w:i/>
      <w:iCs/>
      <w:sz w:val="22"/>
      <w:szCs w:val="22"/>
    </w:rPr>
  </w:style>
  <w:style w:type="character" w:styleId="822" w:customStyle="1">
    <w:name w:val="Heading 9 Char"/>
    <w:basedOn w:val="779"/>
    <w:link w:val="778"/>
    <w:uiPriority w:val="9"/>
    <w:qFormat/>
    <w:rPr>
      <w:rFonts w:ascii="Arial" w:hAnsi="Arial" w:eastAsia="Arial" w:cs="Arial"/>
      <w:i/>
      <w:iCs/>
      <w:sz w:val="21"/>
      <w:szCs w:val="21"/>
    </w:rPr>
  </w:style>
  <w:style w:type="paragraph" w:styleId="823">
    <w:name w:val="List Paragraph"/>
    <w:basedOn w:val="769"/>
    <w:uiPriority w:val="34"/>
    <w:qFormat/>
    <w:pPr>
      <w:contextualSpacing/>
      <w:ind w:left="720"/>
    </w:p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basedOn w:val="779"/>
    <w:link w:val="804"/>
    <w:uiPriority w:val="10"/>
    <w:qFormat/>
    <w:rPr>
      <w:sz w:val="48"/>
      <w:szCs w:val="48"/>
    </w:rPr>
  </w:style>
  <w:style w:type="character" w:styleId="826" w:customStyle="1">
    <w:name w:val="Subtitle Char"/>
    <w:basedOn w:val="779"/>
    <w:link w:val="797"/>
    <w:uiPriority w:val="11"/>
    <w:qFormat/>
    <w:rPr>
      <w:sz w:val="24"/>
      <w:szCs w:val="24"/>
    </w:rPr>
  </w:style>
  <w:style w:type="paragraph" w:styleId="827">
    <w:name w:val="Quote"/>
    <w:basedOn w:val="769"/>
    <w:next w:val="769"/>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69"/>
    <w:next w:val="769"/>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basedOn w:val="779"/>
    <w:uiPriority w:val="99"/>
    <w:qFormat/>
  </w:style>
  <w:style w:type="character" w:styleId="832" w:customStyle="1">
    <w:name w:val="Footer Char"/>
    <w:basedOn w:val="779"/>
    <w:uiPriority w:val="99"/>
    <w:qFormat/>
  </w:style>
  <w:style w:type="character" w:styleId="833" w:customStyle="1">
    <w:name w:val="Caption Char"/>
    <w:uiPriority w:val="99"/>
    <w:qFormat/>
  </w:style>
  <w:style w:type="table" w:styleId="834" w:customStyle="1">
    <w:name w:val="Table Grid Light"/>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8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8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8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8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8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8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8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8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8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8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8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8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8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8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8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8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8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8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8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basedOn w:val="78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basedOn w:val="78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basedOn w:val="78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basedOn w:val="78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basedOn w:val="78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8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8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8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basedOn w:val="78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8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basedOn w:val="78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8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8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8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8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8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8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8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8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8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8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8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8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8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basedOn w:val="78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basedOn w:val="78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basedOn w:val="78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basedOn w:val="78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basedOn w:val="78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8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8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8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8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8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8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8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basedOn w:val="78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basedOn w:val="78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basedOn w:val="78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basedOn w:val="78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basedOn w:val="78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8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8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8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8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8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8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8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basedOn w:val="78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basedOn w:val="78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basedOn w:val="78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basedOn w:val="78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basedOn w:val="78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8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8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8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8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8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8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basedOn w:val="7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8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basedOn w:val="78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basedOn w:val="78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basedOn w:val="78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basedOn w:val="78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basedOn w:val="78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basedOn w:val="7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8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basedOn w:val="78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basedOn w:val="78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basedOn w:val="78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basedOn w:val="78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basedOn w:val="78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link w:val="798"/>
    <w:uiPriority w:val="99"/>
    <w:qFormat/>
    <w:rPr>
      <w:sz w:val="18"/>
    </w:rPr>
  </w:style>
  <w:style w:type="character" w:styleId="960" w:customStyle="1">
    <w:name w:val="Endnote Text Char"/>
    <w:link w:val="791"/>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正文首行缩进11"/>
    <w:basedOn w:val="963"/>
    <w:uiPriority w:val="0"/>
    <w:qFormat/>
    <w:pPr>
      <w:ind w:firstLine="200"/>
      <w:spacing w:line="360" w:lineRule="auto"/>
    </w:pPr>
    <w:rPr>
      <w:rFonts w:ascii="仿宋_GB2312" w:hAnsi="Times New Roman" w:eastAsia="仿宋_GB2312"/>
      <w:sz w:val="30"/>
      <w:szCs w:val="30"/>
    </w:rPr>
  </w:style>
  <w:style w:type="paragraph" w:styleId="963" w:customStyle="1">
    <w:name w:val="正文文本11"/>
    <w:basedOn w:val="769"/>
    <w:next w:val="769"/>
    <w:uiPriority w:val="0"/>
    <w:qFormat/>
    <w:rPr>
      <w:rFonts w:ascii="楷体_GB2312" w:hAnsi="Arial" w:eastAsia="楷体_GB2312"/>
      <w:sz w:val="28"/>
      <w:szCs w:val="28"/>
      <w:lang w:eastAsia="en-US"/>
    </w:rPr>
  </w:style>
  <w:style w:type="character" w:styleId="964" w:customStyle="1">
    <w:name w:val="页眉 Char"/>
    <w:basedOn w:val="779"/>
    <w:link w:val="794"/>
    <w:uiPriority w:val="99"/>
    <w:semiHidden/>
    <w:qFormat/>
    <w:rPr>
      <w:sz w:val="18"/>
      <w:szCs w:val="18"/>
    </w:rPr>
  </w:style>
  <w:style w:type="character" w:styleId="965" w:customStyle="1">
    <w:name w:val="页脚 Char"/>
    <w:basedOn w:val="779"/>
    <w:link w:val="793"/>
    <w:uiPriority w:val="99"/>
    <w:qFormat/>
    <w:rPr>
      <w:sz w:val="18"/>
      <w:szCs w:val="18"/>
    </w:rPr>
  </w:style>
  <w:style w:type="character" w:styleId="966" w:customStyle="1">
    <w:name w:val="标题 1 Char"/>
    <w:basedOn w:val="779"/>
    <w:link w:val="770"/>
    <w:uiPriority w:val="9"/>
    <w:qFormat/>
    <w:rPr>
      <w:b/>
      <w:bCs/>
      <w:sz w:val="44"/>
      <w:szCs w:val="44"/>
    </w:rPr>
  </w:style>
  <w:style w:type="character" w:styleId="967" w:customStyle="1">
    <w:name w:val="文档结构图 Char"/>
    <w:basedOn w:val="779"/>
    <w:link w:val="783"/>
    <w:uiPriority w:val="99"/>
    <w:semiHidden/>
    <w:qFormat/>
    <w:rPr>
      <w:rFonts w:ascii="宋体" w:eastAsia="宋体"/>
      <w:sz w:val="18"/>
      <w:szCs w:val="18"/>
    </w:rPr>
  </w:style>
  <w:style w:type="character" w:styleId="968" w:customStyle="1">
    <w:name w:val="标题 2 Char"/>
    <w:basedOn w:val="779"/>
    <w:link w:val="771"/>
    <w:uiPriority w:val="9"/>
    <w:qFormat/>
    <w:rPr>
      <w:rFonts w:asciiTheme="majorHAnsi" w:hAnsiTheme="majorHAnsi" w:eastAsiaTheme="majorEastAsia" w:cstheme="majorBidi"/>
      <w:b/>
      <w:bCs/>
      <w:sz w:val="32"/>
      <w:szCs w:val="32"/>
    </w:rPr>
  </w:style>
  <w:style w:type="character" w:styleId="969" w:customStyle="1">
    <w:name w:val="标题 3 Char"/>
    <w:basedOn w:val="779"/>
    <w:link w:val="772"/>
    <w:uiPriority w:val="9"/>
    <w:qFormat/>
    <w:rPr>
      <w:b/>
      <w:bCs/>
      <w:sz w:val="32"/>
      <w:szCs w:val="32"/>
    </w:rPr>
  </w:style>
  <w:style w:type="character" w:styleId="970" w:customStyle="1">
    <w:name w:val="日期 Char"/>
    <w:basedOn w:val="779"/>
    <w:link w:val="790"/>
    <w:uiPriority w:val="99"/>
    <w:semiHidden/>
    <w:qFormat/>
  </w:style>
  <w:style w:type="character" w:styleId="971" w:customStyle="1">
    <w:name w:val="批注文字 Char"/>
    <w:basedOn w:val="779"/>
    <w:link w:val="784"/>
    <w:uiPriority w:val="0"/>
    <w:qFormat/>
    <w:rPr>
      <w:rFonts w:ascii="Times New Roman" w:hAnsi="Times New Roman" w:eastAsia="宋体" w:cs="Times New Roman"/>
      <w:szCs w:val="24"/>
    </w:rPr>
  </w:style>
  <w:style w:type="character" w:styleId="972" w:customStyle="1">
    <w:name w:val="批注框文本 Char"/>
    <w:basedOn w:val="779"/>
    <w:link w:val="792"/>
    <w:uiPriority w:val="99"/>
    <w:semiHidden/>
    <w:qFormat/>
    <w:rPr>
      <w:sz w:val="18"/>
      <w:szCs w:val="18"/>
    </w:rPr>
  </w:style>
  <w:style w:type="paragraph" w:styleId="973" w:customStyle="1">
    <w:name w:val="首行缩进"/>
    <w:basedOn w:val="769"/>
    <w:uiPriority w:val="0"/>
    <w:unhideWhenUsed/>
    <w:qFormat/>
    <w:pPr>
      <w:ind w:firstLine="480"/>
    </w:pPr>
    <w:rPr>
      <w:szCs w:val="24"/>
      <w:lang w:val="zh-CN"/>
    </w:rPr>
  </w:style>
  <w:style w:type="paragraph" w:styleId="974" w:customStyle="1">
    <w:name w:val="纯文本11"/>
    <w:basedOn w:val="769"/>
    <w:uiPriority w:val="0"/>
    <w:qFormat/>
    <w:rPr>
      <w:rFonts w:ascii="宋体" w:hAnsi="Courier New"/>
    </w:rPr>
  </w:style>
  <w:style w:type="paragraph" w:styleId="975" w:customStyle="1">
    <w:name w:val="Table Text"/>
    <w:basedOn w:val="769"/>
    <w:uiPriority w:val="0"/>
    <w:qFormat/>
    <w:pPr>
      <w:ind w:left="0" w:right="0"/>
      <w:jc w:val="left"/>
      <w:spacing w:before="0" w:beforeAutospacing="0" w:after="0" w:afterAutospacing="0"/>
    </w:pPr>
    <w:rPr>
      <w:rFonts w:hint="eastAsia" w:ascii="宋体" w:hAnsi="宋体" w:eastAsia="宋体" w:cs="宋体"/>
      <w:color w:val="000000"/>
      <w:sz w:val="25"/>
      <w:szCs w:val="25"/>
      <w:lang w:val="en-US" w:eastAsia="zh-CN"/>
    </w:rPr>
  </w:style>
  <w:style w:type="paragraph" w:styleId="976" w:customStyle="1">
    <w:name w:val="正文文本1"/>
    <w:basedOn w:val="977"/>
    <w:next w:val="769"/>
    <w:uiPriority w:val="0"/>
    <w:qFormat/>
    <w:pPr>
      <w:spacing w:after="120"/>
    </w:pPr>
    <w:rPr>
      <w:lang w:eastAsia="en-US"/>
    </w:rPr>
  </w:style>
  <w:style w:type="paragraph" w:styleId="977" w:customStyle="1">
    <w:name w:val="正文1"/>
    <w:basedOn w:val="769"/>
    <w:next w:val="976"/>
    <w:uiPriority w:val="0"/>
    <w:qFormat/>
    <w:pPr>
      <w:jc w:val="left"/>
      <w:spacing w:line="360" w:lineRule="atLeast"/>
    </w:pPr>
    <w:rPr>
      <w:rFonts w:ascii="宋体" w:hAnsiTheme="minorHAnsi" w:eastAsiaTheme="minorEastAsia" w:cstheme="minorBidi"/>
      <w:sz w:val="24"/>
      <w:szCs w:val="20"/>
    </w:rPr>
  </w:style>
  <w:style w:type="paragraph" w:styleId="978" w:customStyle="1">
    <w:name w:val="页脚111"/>
    <w:basedOn w:val="769"/>
    <w:uiPriority w:val="0"/>
    <w:qFormat/>
    <w:pPr>
      <w:jc w:val="left"/>
      <w:tabs>
        <w:tab w:val="center" w:pos="4153" w:leader="none"/>
        <w:tab w:val="right" w:pos="8306" w:leader="none"/>
      </w:tabs>
    </w:pPr>
    <w:rPr>
      <w:sz w:val="18"/>
      <w:szCs w:val="18"/>
    </w:rPr>
  </w:style>
  <w:style w:type="paragraph" w:styleId="979" w:customStyle="1">
    <w:name w:val="页脚112"/>
    <w:basedOn w:val="769"/>
    <w:uiPriority w:val="99"/>
    <w:unhideWhenUsed/>
    <w:qFormat/>
    <w:pPr>
      <w:tabs>
        <w:tab w:val="center" w:pos="7143" w:leader="none"/>
        <w:tab w:val="right" w:pos="14287" w:leader="none"/>
      </w:tabs>
    </w:pPr>
  </w:style>
  <w:style w:type="paragraph" w:styleId="9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1" w:customStyle="1">
    <w:name w:val="纯文本1"/>
    <w:basedOn w:val="769"/>
    <w:uiPriority w:val="0"/>
    <w:qFormat/>
    <w:rPr>
      <w:rFonts w:ascii="宋体" w:hAnsi="Courier New" w:eastAsia="宋体" w:cs="Courier New"/>
      <w:szCs w:val="21"/>
    </w:rPr>
  </w:style>
  <w:style w:type="numbering" w:styleId="56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7A6CE1-1BC4-411B-988A-AF9EC2A3C4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颜工</cp:lastModifiedBy>
  <cp:revision>7</cp:revision>
  <dcterms:created xsi:type="dcterms:W3CDTF">2026-02-06T03:05:00Z</dcterms:created>
  <dcterms:modified xsi:type="dcterms:W3CDTF">2026-10-23T01:50:33Z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eyJoZGlkIjoiZGU2NjJhNGEyZDJkMzlmZWZmZmM3OGRkNWY2MmNiNmYiLCJ1c2VySWQiOiIyMzI4MDIzMTgifQ==</vt:lpwstr>
  </property>
  <property fmtid="{D5CDD505-2E9C-101B-9397-08002B2CF9AE}" pid="3" name="KSOProductBuildVer">
    <vt:lpwstr>2052-12.1.0.29161</vt:lpwstr>
  </property>
  <property fmtid="{D5CDD505-2E9C-101B-9397-08002B2CF9AE}" pid="4" name="ICV">
    <vt:lpwstr>A1AD35F3EC114053A1E68398213844C7_13</vt:lpwstr>
  </property>
</Properties>
</file>